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D302D" w:rsidRPr="004B2E72" w:rsidP="004D302D" w14:paraId="4E8062B9" w14:textId="77777777">
      <w:pPr>
        <w:pStyle w:val="HTMLPreformatted"/>
        <w:jc w:val="center"/>
        <w:rPr>
          <w:rFonts w:ascii="Times New Roman" w:hAnsi="Times New Roman" w:cs="Times New Roman"/>
          <w:b/>
          <w:bCs/>
          <w:sz w:val="24"/>
          <w:szCs w:val="24"/>
        </w:rPr>
      </w:pPr>
      <w:bookmarkStart w:id="0" w:name="_GoBack"/>
      <w:bookmarkEnd w:id="0"/>
      <w:r w:rsidRPr="004B2E72">
        <w:rPr>
          <w:rFonts w:ascii="Times New Roman" w:hAnsi="Times New Roman" w:cs="Times New Roman"/>
          <w:b/>
          <w:bCs/>
          <w:sz w:val="24"/>
          <w:szCs w:val="24"/>
        </w:rPr>
        <w:t>BEFORE</w:t>
      </w:r>
    </w:p>
    <w:p w:rsidR="004D302D" w:rsidRPr="004B2E72" w:rsidP="004D302D" w14:paraId="2E582242" w14:textId="77777777">
      <w:pPr>
        <w:pStyle w:val="HTMLPreformatted"/>
        <w:jc w:val="center"/>
        <w:rPr>
          <w:rFonts w:ascii="Times New Roman" w:hAnsi="Times New Roman" w:cs="Times New Roman"/>
          <w:sz w:val="24"/>
          <w:szCs w:val="24"/>
        </w:rPr>
      </w:pPr>
      <w:r w:rsidRPr="004B2E72">
        <w:rPr>
          <w:rFonts w:ascii="Times New Roman" w:hAnsi="Times New Roman" w:cs="Times New Roman"/>
          <w:b/>
          <w:bCs/>
          <w:sz w:val="24"/>
          <w:szCs w:val="24"/>
        </w:rPr>
        <w:t>THE PUBLIC UTILITIES COMMISSION OF OHIO</w:t>
      </w:r>
    </w:p>
    <w:p w:rsidR="004D302D" w:rsidRPr="004B2E72" w:rsidP="004D302D" w14:paraId="062709A8" w14:textId="77777777">
      <w:pPr>
        <w:pStyle w:val="HTMLPreformatted"/>
        <w:rPr>
          <w:rFonts w:ascii="Times New Roman" w:hAnsi="Times New Roman" w:cs="Times New Roman"/>
          <w:sz w:val="24"/>
          <w:szCs w:val="24"/>
        </w:rPr>
      </w:pPr>
    </w:p>
    <w:tbl>
      <w:tblPr>
        <w:tblW w:w="9452" w:type="dxa"/>
        <w:tblLook w:val="01E0"/>
      </w:tblPr>
      <w:tblGrid>
        <w:gridCol w:w="4590"/>
        <w:gridCol w:w="360"/>
        <w:gridCol w:w="4502"/>
      </w:tblGrid>
      <w:tr w14:paraId="57A77629" w14:textId="77777777" w:rsidTr="001C05B7">
        <w:tblPrEx>
          <w:tblW w:w="9452" w:type="dxa"/>
          <w:tblLook w:val="01E0"/>
        </w:tblPrEx>
        <w:trPr>
          <w:trHeight w:val="807"/>
        </w:trPr>
        <w:tc>
          <w:tcPr>
            <w:tcW w:w="4590" w:type="dxa"/>
            <w:shd w:val="clear" w:color="auto" w:fill="auto"/>
          </w:tcPr>
          <w:p w:rsidR="004D302D" w:rsidRPr="004B2E72" w:rsidP="00D968C9" w14:paraId="7D77C45B" w14:textId="77777777">
            <w:pPr>
              <w:autoSpaceDE w:val="0"/>
              <w:autoSpaceDN w:val="0"/>
              <w:adjustRightInd w:val="0"/>
              <w:rPr>
                <w:szCs w:val="24"/>
              </w:rPr>
            </w:pPr>
            <w:r w:rsidRPr="004B2E72">
              <w:rPr>
                <w:szCs w:val="24"/>
              </w:rPr>
              <w:t>In the Matters of the Applications of Duke Energy Ohio, Inc., for Adjustments to Rider MGP Rates.</w:t>
            </w:r>
          </w:p>
          <w:p w:rsidR="004D302D" w:rsidRPr="004B2E72" w:rsidP="00D968C9" w14:paraId="76B4D6A9" w14:textId="77777777">
            <w:pPr>
              <w:autoSpaceDE w:val="0"/>
              <w:autoSpaceDN w:val="0"/>
              <w:adjustRightInd w:val="0"/>
              <w:rPr>
                <w:szCs w:val="24"/>
              </w:rPr>
            </w:pPr>
          </w:p>
          <w:p w:rsidR="004D302D" w:rsidRPr="004B2E72" w:rsidP="00D968C9" w14:paraId="5B00008A" w14:textId="77777777">
            <w:pPr>
              <w:autoSpaceDE w:val="0"/>
              <w:autoSpaceDN w:val="0"/>
              <w:adjustRightInd w:val="0"/>
              <w:rPr>
                <w:szCs w:val="24"/>
              </w:rPr>
            </w:pPr>
            <w:r w:rsidRPr="004B2E72">
              <w:rPr>
                <w:szCs w:val="24"/>
              </w:rPr>
              <w:t>In the Matters of the Applications of Duke Energy Ohio, Inc. for Tariff Approval.</w:t>
            </w:r>
          </w:p>
        </w:tc>
        <w:tc>
          <w:tcPr>
            <w:tcW w:w="360" w:type="dxa"/>
            <w:shd w:val="clear" w:color="auto" w:fill="auto"/>
          </w:tcPr>
          <w:p w:rsidR="004D302D" w:rsidRPr="004B2E72" w:rsidP="00D968C9" w14:paraId="2A21825B" w14:textId="77777777">
            <w:pPr>
              <w:pStyle w:val="HTMLPreformatted"/>
              <w:rPr>
                <w:rFonts w:ascii="Times New Roman" w:hAnsi="Times New Roman" w:cs="Times New Roman"/>
                <w:sz w:val="24"/>
                <w:szCs w:val="24"/>
              </w:rPr>
            </w:pPr>
            <w:r w:rsidRPr="004B2E72">
              <w:rPr>
                <w:rFonts w:ascii="Times New Roman" w:hAnsi="Times New Roman" w:cs="Times New Roman"/>
                <w:sz w:val="24"/>
                <w:szCs w:val="24"/>
              </w:rPr>
              <w:t>)</w:t>
            </w:r>
          </w:p>
          <w:p w:rsidR="004D302D" w:rsidRPr="004B2E72" w:rsidP="00D968C9" w14:paraId="629296D4" w14:textId="77777777">
            <w:pPr>
              <w:pStyle w:val="HTMLPreformatted"/>
              <w:rPr>
                <w:rFonts w:ascii="Times New Roman" w:hAnsi="Times New Roman" w:cs="Times New Roman"/>
                <w:sz w:val="24"/>
                <w:szCs w:val="24"/>
              </w:rPr>
            </w:pPr>
            <w:r w:rsidRPr="004B2E72">
              <w:rPr>
                <w:rFonts w:ascii="Times New Roman" w:hAnsi="Times New Roman" w:cs="Times New Roman"/>
                <w:sz w:val="24"/>
                <w:szCs w:val="24"/>
              </w:rPr>
              <w:t>)</w:t>
            </w:r>
          </w:p>
          <w:p w:rsidR="004D302D" w:rsidRPr="004B2E72" w:rsidP="00D968C9" w14:paraId="2CB11E94" w14:textId="77777777">
            <w:pPr>
              <w:pStyle w:val="HTMLPreformatted"/>
              <w:rPr>
                <w:rFonts w:ascii="Times New Roman" w:hAnsi="Times New Roman" w:cs="Times New Roman"/>
                <w:sz w:val="24"/>
                <w:szCs w:val="24"/>
              </w:rPr>
            </w:pPr>
            <w:r w:rsidRPr="004B2E72">
              <w:rPr>
                <w:rFonts w:ascii="Times New Roman" w:hAnsi="Times New Roman" w:cs="Times New Roman"/>
                <w:sz w:val="24"/>
                <w:szCs w:val="24"/>
              </w:rPr>
              <w:t>)</w:t>
            </w:r>
          </w:p>
          <w:p w:rsidR="00D63691" w:rsidRPr="004B2E72" w:rsidP="00D968C9" w14:paraId="37D4F777" w14:textId="77777777">
            <w:pPr>
              <w:pStyle w:val="HTMLPreformatted"/>
              <w:rPr>
                <w:rFonts w:ascii="Times New Roman" w:hAnsi="Times New Roman" w:cs="Times New Roman"/>
                <w:sz w:val="24"/>
                <w:szCs w:val="24"/>
              </w:rPr>
            </w:pPr>
          </w:p>
          <w:p w:rsidR="004D302D" w:rsidRPr="004B2E72" w:rsidP="00D968C9" w14:paraId="21EEEC42" w14:textId="1D96A8C3">
            <w:pPr>
              <w:pStyle w:val="HTMLPreformatted"/>
              <w:rPr>
                <w:rFonts w:ascii="Times New Roman" w:hAnsi="Times New Roman" w:cs="Times New Roman"/>
                <w:sz w:val="24"/>
                <w:szCs w:val="24"/>
              </w:rPr>
            </w:pPr>
            <w:r w:rsidRPr="004B2E72">
              <w:rPr>
                <w:rFonts w:ascii="Times New Roman" w:hAnsi="Times New Roman" w:cs="Times New Roman"/>
                <w:sz w:val="24"/>
                <w:szCs w:val="24"/>
              </w:rPr>
              <w:t>)</w:t>
            </w:r>
          </w:p>
          <w:p w:rsidR="004D302D" w:rsidRPr="004B2E72" w:rsidP="00D968C9" w14:paraId="65EA674E" w14:textId="77777777">
            <w:pPr>
              <w:pStyle w:val="HTMLPreformatted"/>
              <w:rPr>
                <w:rFonts w:ascii="Times New Roman" w:hAnsi="Times New Roman" w:cs="Times New Roman"/>
                <w:sz w:val="24"/>
                <w:szCs w:val="24"/>
              </w:rPr>
            </w:pPr>
            <w:r w:rsidRPr="004B2E72">
              <w:rPr>
                <w:rFonts w:ascii="Times New Roman" w:hAnsi="Times New Roman" w:cs="Times New Roman"/>
                <w:sz w:val="24"/>
                <w:szCs w:val="24"/>
              </w:rPr>
              <w:t>)</w:t>
            </w:r>
          </w:p>
          <w:p w:rsidR="004D302D" w:rsidRPr="004B2E72" w:rsidP="00D968C9" w14:paraId="16D552D5" w14:textId="73EA813B">
            <w:pPr>
              <w:pStyle w:val="HTMLPreformatted"/>
              <w:rPr>
                <w:rFonts w:ascii="Times New Roman" w:hAnsi="Times New Roman" w:cs="Times New Roman"/>
                <w:sz w:val="24"/>
                <w:szCs w:val="24"/>
              </w:rPr>
            </w:pPr>
          </w:p>
        </w:tc>
        <w:tc>
          <w:tcPr>
            <w:tcW w:w="4502" w:type="dxa"/>
            <w:shd w:val="clear" w:color="auto" w:fill="auto"/>
          </w:tcPr>
          <w:p w:rsidR="00D63691" w:rsidRPr="004B2E72" w:rsidP="00D968C9" w14:paraId="30CC02DD" w14:textId="77777777">
            <w:pPr>
              <w:rPr>
                <w:szCs w:val="24"/>
              </w:rPr>
            </w:pPr>
          </w:p>
          <w:p w:rsidR="004D302D" w:rsidRPr="004B2E72" w:rsidP="00D968C9" w14:paraId="79EE4D3D" w14:textId="1E77AA59">
            <w:pPr>
              <w:rPr>
                <w:szCs w:val="24"/>
              </w:rPr>
            </w:pPr>
            <w:r w:rsidRPr="004B2E72">
              <w:rPr>
                <w:szCs w:val="24"/>
              </w:rPr>
              <w:t>C</w:t>
            </w:r>
            <w:r w:rsidRPr="004B2E72" w:rsidR="003F1777">
              <w:rPr>
                <w:szCs w:val="24"/>
              </w:rPr>
              <w:t xml:space="preserve">ase No. </w:t>
            </w:r>
            <w:r w:rsidRPr="004B2E72">
              <w:rPr>
                <w:szCs w:val="24"/>
              </w:rPr>
              <w:t>20-53</w:t>
            </w:r>
            <w:r w:rsidRPr="004B2E72" w:rsidR="003F1777">
              <w:rPr>
                <w:szCs w:val="24"/>
              </w:rPr>
              <w:t>-GA-RDR</w:t>
            </w:r>
          </w:p>
          <w:p w:rsidR="004D302D" w:rsidRPr="004B2E72" w:rsidP="00D968C9" w14:paraId="15EF5ACC" w14:textId="77777777">
            <w:pPr>
              <w:rPr>
                <w:szCs w:val="24"/>
              </w:rPr>
            </w:pPr>
          </w:p>
          <w:p w:rsidR="00D63691" w:rsidRPr="004B2E72" w:rsidP="00D968C9" w14:paraId="59648CE1" w14:textId="77777777">
            <w:pPr>
              <w:rPr>
                <w:szCs w:val="24"/>
              </w:rPr>
            </w:pPr>
          </w:p>
          <w:p w:rsidR="004D302D" w:rsidRPr="004B2E72" w:rsidP="00D968C9" w14:paraId="64CAEB08" w14:textId="6B7075BD">
            <w:pPr>
              <w:rPr>
                <w:szCs w:val="24"/>
              </w:rPr>
            </w:pPr>
            <w:r w:rsidRPr="004B2E72">
              <w:rPr>
                <w:szCs w:val="24"/>
              </w:rPr>
              <w:t xml:space="preserve">Case No. </w:t>
            </w:r>
            <w:r w:rsidRPr="004B2E72" w:rsidR="00D63691">
              <w:rPr>
                <w:szCs w:val="24"/>
              </w:rPr>
              <w:t>20-54</w:t>
            </w:r>
            <w:r w:rsidRPr="004B2E72">
              <w:rPr>
                <w:szCs w:val="24"/>
              </w:rPr>
              <w:t>-GA-ATA</w:t>
            </w:r>
          </w:p>
        </w:tc>
      </w:tr>
    </w:tbl>
    <w:p w:rsidR="004D302D" w:rsidRPr="004B2E72" w:rsidP="004D302D" w14:paraId="4E6CDE15" w14:textId="77777777">
      <w:pPr>
        <w:pBdr>
          <w:bottom w:val="single" w:sz="12" w:space="1" w:color="auto"/>
        </w:pBdr>
        <w:spacing w:before="4"/>
        <w:rPr>
          <w:szCs w:val="24"/>
        </w:rPr>
      </w:pPr>
    </w:p>
    <w:p w:rsidR="004D302D" w:rsidRPr="004B2E72" w:rsidP="004D302D" w14:paraId="4190A7A4" w14:textId="77777777">
      <w:pPr>
        <w:tabs>
          <w:tab w:val="left" w:pos="-720"/>
        </w:tabs>
        <w:suppressAutoHyphens/>
        <w:jc w:val="center"/>
        <w:rPr>
          <w:b/>
          <w:spacing w:val="-3"/>
          <w:szCs w:val="24"/>
        </w:rPr>
      </w:pPr>
    </w:p>
    <w:p w:rsidR="004D302D" w:rsidRPr="004B2E72" w:rsidP="004D302D" w14:paraId="657C1A83" w14:textId="5A07C4EF">
      <w:pPr>
        <w:tabs>
          <w:tab w:val="left" w:pos="-720"/>
        </w:tabs>
        <w:suppressAutoHyphens/>
        <w:jc w:val="center"/>
        <w:rPr>
          <w:b/>
          <w:spacing w:val="-3"/>
          <w:szCs w:val="24"/>
        </w:rPr>
      </w:pPr>
      <w:r w:rsidRPr="005B6253">
        <w:rPr>
          <w:b/>
          <w:spacing w:val="-3"/>
          <w:szCs w:val="24"/>
        </w:rPr>
        <w:t xml:space="preserve">REPLY TO DUKE’S </w:t>
      </w:r>
      <w:r w:rsidRPr="005B6253" w:rsidR="00D63691">
        <w:rPr>
          <w:b/>
          <w:spacing w:val="-3"/>
          <w:szCs w:val="24"/>
        </w:rPr>
        <w:t>COMMENTS</w:t>
      </w:r>
      <w:r w:rsidR="00D22C97">
        <w:rPr>
          <w:b/>
          <w:spacing w:val="-3"/>
          <w:szCs w:val="24"/>
        </w:rPr>
        <w:t xml:space="preserve"> ON THE </w:t>
      </w:r>
      <w:r w:rsidR="00F9604D">
        <w:rPr>
          <w:b/>
          <w:spacing w:val="-3"/>
          <w:szCs w:val="24"/>
        </w:rPr>
        <w:t xml:space="preserve">PUCO </w:t>
      </w:r>
      <w:r w:rsidR="00D22C97">
        <w:rPr>
          <w:b/>
          <w:spacing w:val="-3"/>
          <w:szCs w:val="24"/>
        </w:rPr>
        <w:t>STAFF REPORT</w:t>
      </w:r>
      <w:r w:rsidR="00F9604D">
        <w:rPr>
          <w:b/>
          <w:spacing w:val="-3"/>
          <w:szCs w:val="24"/>
        </w:rPr>
        <w:t xml:space="preserve"> REGARDING CHARGES </w:t>
      </w:r>
      <w:r w:rsidR="00221502">
        <w:rPr>
          <w:b/>
          <w:spacing w:val="-3"/>
          <w:szCs w:val="24"/>
        </w:rPr>
        <w:t>TO CLEAN UP</w:t>
      </w:r>
      <w:r w:rsidR="00F9604D">
        <w:rPr>
          <w:b/>
          <w:spacing w:val="-3"/>
          <w:szCs w:val="24"/>
        </w:rPr>
        <w:t xml:space="preserve"> DEFUNCT MANUFACTURED GAS PLANTS </w:t>
      </w:r>
    </w:p>
    <w:p w:rsidR="004D302D" w:rsidRPr="004B2E72" w:rsidP="004D302D" w14:paraId="65120EEB" w14:textId="77777777">
      <w:pPr>
        <w:tabs>
          <w:tab w:val="left" w:pos="-720"/>
        </w:tabs>
        <w:suppressAutoHyphens/>
        <w:jc w:val="center"/>
        <w:rPr>
          <w:b/>
          <w:spacing w:val="-3"/>
          <w:szCs w:val="24"/>
        </w:rPr>
      </w:pPr>
      <w:r w:rsidRPr="004B2E72">
        <w:rPr>
          <w:b/>
          <w:spacing w:val="-3"/>
          <w:szCs w:val="24"/>
        </w:rPr>
        <w:t>BY</w:t>
      </w:r>
    </w:p>
    <w:p w:rsidR="004D302D" w:rsidRPr="004B2E72" w:rsidP="004D302D" w14:paraId="00D34CD4" w14:textId="77777777">
      <w:pPr>
        <w:tabs>
          <w:tab w:val="left" w:pos="-720"/>
        </w:tabs>
        <w:suppressAutoHyphens/>
        <w:jc w:val="center"/>
        <w:rPr>
          <w:b/>
          <w:spacing w:val="-3"/>
          <w:szCs w:val="24"/>
        </w:rPr>
      </w:pPr>
      <w:r w:rsidRPr="004B2E72">
        <w:rPr>
          <w:b/>
          <w:spacing w:val="-3"/>
          <w:szCs w:val="24"/>
        </w:rPr>
        <w:t>THE OFFICE OF THE OHIO CONSUMERS’ COUNSEL</w:t>
      </w:r>
    </w:p>
    <w:p w:rsidR="004D302D" w:rsidRPr="004B2E72" w:rsidP="004D302D" w14:paraId="4537135E" w14:textId="77777777">
      <w:pPr>
        <w:pBdr>
          <w:bottom w:val="single" w:sz="12" w:space="1" w:color="auto"/>
        </w:pBdr>
        <w:tabs>
          <w:tab w:val="left" w:pos="-720"/>
        </w:tabs>
        <w:suppressAutoHyphens/>
        <w:jc w:val="center"/>
        <w:rPr>
          <w:b/>
          <w:spacing w:val="-3"/>
          <w:szCs w:val="24"/>
        </w:rPr>
      </w:pPr>
    </w:p>
    <w:p w:rsidR="004D302D" w:rsidRPr="004B2E72" w:rsidP="002D45DE" w14:paraId="6CEED962" w14:textId="77777777">
      <w:pPr>
        <w:pStyle w:val="HTMLPreformatted"/>
        <w:jc w:val="center"/>
        <w:rPr>
          <w:rFonts w:ascii="Times New Roman" w:hAnsi="Times New Roman" w:cs="Times New Roman"/>
          <w:b/>
          <w:bCs/>
          <w:sz w:val="24"/>
          <w:szCs w:val="24"/>
        </w:rPr>
      </w:pPr>
    </w:p>
    <w:p w:rsidR="004D302D" w:rsidRPr="004B2E72" w:rsidP="004D302D" w14:paraId="221680E9" w14:textId="77777777">
      <w:pPr>
        <w:ind w:left="4320"/>
        <w:rPr>
          <w:szCs w:val="24"/>
        </w:rPr>
      </w:pPr>
    </w:p>
    <w:p w:rsidR="004D302D" w:rsidRPr="004B2E72" w:rsidP="004D302D" w14:paraId="545C2B4F" w14:textId="77777777">
      <w:pPr>
        <w:ind w:left="4320"/>
        <w:rPr>
          <w:szCs w:val="24"/>
        </w:rPr>
      </w:pPr>
    </w:p>
    <w:p w:rsidR="004D302D" w:rsidRPr="004B2E72" w:rsidP="004D302D" w14:paraId="78EEE2F8" w14:textId="77777777">
      <w:pPr>
        <w:ind w:left="4320"/>
        <w:rPr>
          <w:szCs w:val="24"/>
        </w:rPr>
      </w:pPr>
    </w:p>
    <w:p w:rsidR="004D302D" w:rsidRPr="004B2E72" w:rsidP="004D302D" w14:paraId="7F862DF7" w14:textId="77777777">
      <w:pPr>
        <w:ind w:left="4320"/>
        <w:rPr>
          <w:szCs w:val="24"/>
        </w:rPr>
      </w:pPr>
      <w:r w:rsidRPr="004B2E72">
        <w:rPr>
          <w:szCs w:val="24"/>
        </w:rPr>
        <w:t>Bruce Weston (0016973)</w:t>
      </w:r>
    </w:p>
    <w:p w:rsidR="004D302D" w:rsidRPr="004B2E72" w:rsidP="004D302D" w14:paraId="599E4FE5" w14:textId="77777777">
      <w:pPr>
        <w:tabs>
          <w:tab w:val="left" w:pos="4320"/>
        </w:tabs>
        <w:ind w:left="4320"/>
        <w:rPr>
          <w:szCs w:val="24"/>
        </w:rPr>
      </w:pPr>
      <w:r w:rsidRPr="004B2E72">
        <w:rPr>
          <w:szCs w:val="24"/>
        </w:rPr>
        <w:t>Ohio Consumers’ Counsel</w:t>
      </w:r>
    </w:p>
    <w:p w:rsidR="004D302D" w:rsidRPr="004B2E72" w:rsidP="004D302D" w14:paraId="296BE513" w14:textId="77777777">
      <w:pPr>
        <w:tabs>
          <w:tab w:val="left" w:pos="4320"/>
        </w:tabs>
        <w:ind w:left="4320"/>
        <w:rPr>
          <w:szCs w:val="24"/>
        </w:rPr>
      </w:pPr>
    </w:p>
    <w:p w:rsidR="004D302D" w:rsidRPr="004B2E72" w:rsidP="006D0012" w14:paraId="4BC8DFEA" w14:textId="5A731CD3">
      <w:pPr>
        <w:pStyle w:val="NormalWeb"/>
        <w:ind w:left="4320"/>
      </w:pPr>
      <w:r w:rsidRPr="004B2E72">
        <w:t xml:space="preserve">William </w:t>
      </w:r>
      <w:r w:rsidR="006F571D">
        <w:t xml:space="preserve">J. </w:t>
      </w:r>
      <w:r w:rsidRPr="004B2E72">
        <w:t xml:space="preserve">Michael (0070921) </w:t>
      </w:r>
      <w:r w:rsidRPr="004B2E72">
        <w:br/>
      </w:r>
      <w:r w:rsidRPr="004B2E72" w:rsidR="003F1777">
        <w:t>Counsel of Record</w:t>
      </w:r>
      <w:r w:rsidRPr="004B2E72">
        <w:br/>
      </w:r>
      <w:r w:rsidRPr="004B2E72" w:rsidR="003F1777">
        <w:t>Amy Botschner O’Brien (0074423)</w:t>
      </w:r>
      <w:r w:rsidRPr="004B2E72">
        <w:br/>
      </w:r>
      <w:r w:rsidRPr="004B2E72" w:rsidR="003F1777">
        <w:t>Assistant Consumers’ Counsel</w:t>
      </w:r>
    </w:p>
    <w:p w:rsidR="004D302D" w:rsidRPr="004B2E72" w:rsidP="004D302D" w14:paraId="4788D102" w14:textId="77777777">
      <w:pPr>
        <w:ind w:left="3600" w:firstLine="720"/>
        <w:rPr>
          <w:b/>
          <w:bCs/>
          <w:szCs w:val="24"/>
        </w:rPr>
      </w:pPr>
      <w:r w:rsidRPr="004B2E72">
        <w:rPr>
          <w:b/>
          <w:bCs/>
          <w:szCs w:val="24"/>
        </w:rPr>
        <w:t>Office of the Ohio Consumers’ Counsel</w:t>
      </w:r>
    </w:p>
    <w:p w:rsidR="004D302D" w:rsidRPr="004B2E72" w:rsidP="004D302D" w14:paraId="66C7270B" w14:textId="77777777">
      <w:pPr>
        <w:ind w:left="3600" w:firstLine="720"/>
        <w:rPr>
          <w:b/>
          <w:szCs w:val="24"/>
        </w:rPr>
      </w:pPr>
      <w:r w:rsidRPr="004B2E72">
        <w:rPr>
          <w:szCs w:val="24"/>
        </w:rPr>
        <w:t>65 East State Street, 7th Floor</w:t>
      </w:r>
    </w:p>
    <w:p w:rsidR="004D302D" w:rsidRPr="004B2E72" w:rsidP="004D302D" w14:paraId="0131D1BA" w14:textId="77777777">
      <w:pPr>
        <w:ind w:left="3600" w:firstLine="720"/>
        <w:rPr>
          <w:b/>
          <w:szCs w:val="24"/>
        </w:rPr>
      </w:pPr>
      <w:r w:rsidRPr="004B2E72">
        <w:rPr>
          <w:szCs w:val="24"/>
        </w:rPr>
        <w:t>Columbus, Ohio 43215</w:t>
      </w:r>
    </w:p>
    <w:p w:rsidR="004D302D" w:rsidRPr="004B2E72" w:rsidP="004D302D" w14:paraId="6F47824B" w14:textId="6031270E">
      <w:pPr>
        <w:autoSpaceDE w:val="0"/>
        <w:autoSpaceDN w:val="0"/>
        <w:adjustRightInd w:val="0"/>
        <w:ind w:left="3600" w:firstLine="720"/>
        <w:rPr>
          <w:szCs w:val="24"/>
        </w:rPr>
      </w:pPr>
      <w:r w:rsidRPr="004B2E72">
        <w:rPr>
          <w:szCs w:val="24"/>
        </w:rPr>
        <w:t>Telephone [</w:t>
      </w:r>
      <w:r w:rsidRPr="004B2E72" w:rsidR="00D63691">
        <w:rPr>
          <w:szCs w:val="24"/>
        </w:rPr>
        <w:t>Michael</w:t>
      </w:r>
      <w:r w:rsidRPr="004B2E72">
        <w:rPr>
          <w:szCs w:val="24"/>
        </w:rPr>
        <w:t>]: (614) 466-</w:t>
      </w:r>
      <w:r w:rsidRPr="004B2E72" w:rsidR="00A80C6B">
        <w:rPr>
          <w:szCs w:val="24"/>
        </w:rPr>
        <w:t>1291</w:t>
      </w:r>
    </w:p>
    <w:p w:rsidR="004D302D" w:rsidRPr="004B2E72" w:rsidP="004B2E72" w14:paraId="5D2C2E00" w14:textId="0ACE8352">
      <w:pPr>
        <w:autoSpaceDE w:val="0"/>
        <w:autoSpaceDN w:val="0"/>
        <w:adjustRightInd w:val="0"/>
        <w:ind w:left="4320"/>
        <w:rPr>
          <w:rStyle w:val="Hyperlink"/>
          <w:szCs w:val="24"/>
        </w:rPr>
      </w:pPr>
      <w:r w:rsidRPr="004B2E72">
        <w:rPr>
          <w:szCs w:val="24"/>
        </w:rPr>
        <w:t>Telephone [Botschner]: (614) 466-9575</w:t>
      </w:r>
      <w:r w:rsidRPr="004B2E72" w:rsidR="004B2E72">
        <w:rPr>
          <w:szCs w:val="24"/>
        </w:rPr>
        <w:br/>
      </w:r>
      <w:hyperlink r:id="rId6" w:history="1">
        <w:r w:rsidRPr="00DD317D" w:rsidR="00581C48">
          <w:rPr>
            <w:rStyle w:val="Hyperlink"/>
            <w:szCs w:val="24"/>
          </w:rPr>
          <w:t>william.michael@occ.ohio.gov</w:t>
        </w:r>
      </w:hyperlink>
      <w:r w:rsidRPr="004B2E72" w:rsidR="004B2E72">
        <w:rPr>
          <w:color w:val="0000FF"/>
          <w:szCs w:val="24"/>
        </w:rPr>
        <w:br/>
      </w:r>
      <w:r w:rsidRPr="004B2E72">
        <w:rPr>
          <w:rStyle w:val="Hyperlink"/>
          <w:szCs w:val="24"/>
        </w:rPr>
        <w:t>amy.botschner.obrien@occ.ohio.gov</w:t>
      </w:r>
    </w:p>
    <w:p w:rsidR="004D302D" w:rsidRPr="004B2E72" w:rsidP="004D302D" w14:paraId="02ED9CBB" w14:textId="73741A2E">
      <w:pPr>
        <w:rPr>
          <w:szCs w:val="24"/>
        </w:rPr>
      </w:pPr>
      <w:r>
        <w:rPr>
          <w:szCs w:val="24"/>
        </w:rPr>
        <w:t>November</w:t>
      </w:r>
      <w:r w:rsidR="00A36EA6">
        <w:rPr>
          <w:szCs w:val="24"/>
        </w:rPr>
        <w:t xml:space="preserve"> </w:t>
      </w:r>
      <w:r w:rsidR="004B0585">
        <w:rPr>
          <w:szCs w:val="24"/>
        </w:rPr>
        <w:t>9</w:t>
      </w:r>
      <w:r w:rsidR="00A36EA6">
        <w:rPr>
          <w:szCs w:val="24"/>
        </w:rPr>
        <w:t>, 2020</w:t>
      </w:r>
      <w:r w:rsidR="00A36EA6">
        <w:rPr>
          <w:szCs w:val="24"/>
        </w:rPr>
        <w:tab/>
      </w:r>
      <w:r w:rsidR="00A36EA6">
        <w:rPr>
          <w:szCs w:val="24"/>
        </w:rPr>
        <w:tab/>
      </w:r>
      <w:r w:rsidR="00A36EA6">
        <w:rPr>
          <w:szCs w:val="24"/>
        </w:rPr>
        <w:tab/>
      </w:r>
      <w:r w:rsidR="00A36EA6">
        <w:rPr>
          <w:szCs w:val="24"/>
        </w:rPr>
        <w:tab/>
      </w:r>
      <w:r w:rsidRPr="004B2E72" w:rsidR="003F1777">
        <w:rPr>
          <w:szCs w:val="24"/>
        </w:rPr>
        <w:t>(willing to accept service by e-mail)</w:t>
      </w:r>
    </w:p>
    <w:p w:rsidR="004D302D" w:rsidRPr="004B2E72" w:rsidP="002D45DE" w14:paraId="21445CE2" w14:textId="77777777">
      <w:pPr>
        <w:pStyle w:val="HTMLPreformatted"/>
        <w:jc w:val="center"/>
        <w:rPr>
          <w:rFonts w:ascii="Times New Roman" w:hAnsi="Times New Roman" w:cs="Times New Roman"/>
          <w:b/>
          <w:bCs/>
          <w:sz w:val="24"/>
          <w:szCs w:val="24"/>
        </w:rPr>
      </w:pPr>
    </w:p>
    <w:p w:rsidR="004D302D" w:rsidRPr="004B2E72" w:rsidP="002D45DE" w14:paraId="56ABFCAD" w14:textId="77777777">
      <w:pPr>
        <w:pStyle w:val="HTMLPreformatted"/>
        <w:jc w:val="center"/>
        <w:rPr>
          <w:rFonts w:ascii="Times New Roman" w:hAnsi="Times New Roman" w:cs="Times New Roman"/>
          <w:b/>
          <w:bCs/>
          <w:sz w:val="24"/>
          <w:szCs w:val="24"/>
        </w:rPr>
        <w:sectPr w:rsidSect="003546B3">
          <w:footerReference w:type="default" r:id="rId7"/>
          <w:pgSz w:w="12240" w:h="15840"/>
          <w:pgMar w:top="1440" w:right="1440" w:bottom="1440" w:left="1440" w:header="720" w:footer="720" w:gutter="0"/>
          <w:cols w:space="720"/>
          <w:docGrid w:linePitch="360"/>
        </w:sectPr>
      </w:pPr>
    </w:p>
    <w:p w:rsidR="005B6253" w:rsidP="005B6253" w14:paraId="3FAFD5A1" w14:textId="42D31354">
      <w:pPr>
        <w:jc w:val="center"/>
        <w:rPr>
          <w:b/>
          <w:bCs/>
          <w:szCs w:val="24"/>
          <w:u w:val="single"/>
        </w:rPr>
      </w:pPr>
      <w:r w:rsidRPr="005B6253">
        <w:rPr>
          <w:b/>
          <w:bCs/>
          <w:szCs w:val="24"/>
          <w:u w:val="single"/>
        </w:rPr>
        <w:t>TABLE OF CONTENTS</w:t>
      </w:r>
    </w:p>
    <w:p w:rsidR="005B6253" w:rsidP="005B6253" w14:paraId="36995A0E" w14:textId="34208B13">
      <w:pPr>
        <w:jc w:val="center"/>
        <w:rPr>
          <w:b/>
          <w:bCs/>
          <w:szCs w:val="24"/>
          <w:u w:val="single"/>
        </w:rPr>
      </w:pPr>
    </w:p>
    <w:p w:rsidR="005B6253" w:rsidP="005B6253" w14:paraId="5F843663" w14:textId="713D5C61">
      <w:pPr>
        <w:jc w:val="right"/>
        <w:rPr>
          <w:b/>
          <w:bCs/>
          <w:szCs w:val="24"/>
        </w:rPr>
      </w:pPr>
      <w:r w:rsidRPr="005B6253">
        <w:rPr>
          <w:b/>
          <w:bCs/>
          <w:szCs w:val="24"/>
        </w:rPr>
        <w:t>Page</w:t>
      </w:r>
    </w:p>
    <w:p w:rsidR="001C05B7" w:rsidP="005B6253" w14:paraId="5A0DF0CB" w14:textId="77777777">
      <w:pPr>
        <w:jc w:val="right"/>
        <w:rPr>
          <w:b/>
          <w:bCs/>
          <w:szCs w:val="24"/>
        </w:rPr>
      </w:pPr>
    </w:p>
    <w:p w:rsidR="009A3DFA" w14:paraId="6DBE5D44" w14:textId="51C92351">
      <w:pPr>
        <w:pStyle w:val="TOC1"/>
        <w:rPr>
          <w:rFonts w:asciiTheme="minorHAnsi" w:eastAsiaTheme="minorEastAsia" w:hAnsiTheme="minorHAnsi" w:cstheme="minorBidi"/>
          <w:caps w:val="0"/>
          <w:sz w:val="22"/>
          <w:szCs w:val="22"/>
        </w:rPr>
      </w:pPr>
      <w:r>
        <w:rPr>
          <w:b/>
          <w:bCs/>
          <w:caps w:val="0"/>
          <w:szCs w:val="24"/>
        </w:rPr>
        <w:fldChar w:fldCharType="begin"/>
      </w:r>
      <w:r>
        <w:rPr>
          <w:b/>
          <w:bCs/>
          <w:caps w:val="0"/>
          <w:szCs w:val="24"/>
        </w:rPr>
        <w:instrText xml:space="preserve"> TOC \o "1-3" \h \z \u </w:instrText>
      </w:r>
      <w:r>
        <w:rPr>
          <w:b/>
          <w:bCs/>
          <w:caps w:val="0"/>
          <w:szCs w:val="24"/>
        </w:rPr>
        <w:fldChar w:fldCharType="separate"/>
      </w:r>
      <w:hyperlink w:anchor="_Toc55815485" w:history="1">
        <w:r w:rsidRPr="00662852">
          <w:rPr>
            <w:rStyle w:val="Hyperlink"/>
          </w:rPr>
          <w:t>I.</w:t>
        </w:r>
        <w:r>
          <w:rPr>
            <w:rFonts w:asciiTheme="minorHAnsi" w:eastAsiaTheme="minorEastAsia" w:hAnsiTheme="minorHAnsi" w:cstheme="minorBidi"/>
            <w:caps w:val="0"/>
            <w:sz w:val="22"/>
            <w:szCs w:val="22"/>
          </w:rPr>
          <w:tab/>
        </w:r>
        <w:r w:rsidRPr="00662852">
          <w:rPr>
            <w:rStyle w:val="Hyperlink"/>
          </w:rPr>
          <w:t>INTRODUCTION AND BACKGROUND</w:t>
        </w:r>
        <w:r>
          <w:rPr>
            <w:webHidden/>
          </w:rPr>
          <w:tab/>
        </w:r>
        <w:r>
          <w:rPr>
            <w:webHidden/>
          </w:rPr>
          <w:fldChar w:fldCharType="begin"/>
        </w:r>
        <w:r>
          <w:rPr>
            <w:webHidden/>
          </w:rPr>
          <w:instrText xml:space="preserve"> PAGEREF _Toc55815485 \h </w:instrText>
        </w:r>
        <w:r>
          <w:rPr>
            <w:webHidden/>
          </w:rPr>
          <w:fldChar w:fldCharType="separate"/>
        </w:r>
        <w:r>
          <w:rPr>
            <w:webHidden/>
          </w:rPr>
          <w:t>1</w:t>
        </w:r>
        <w:r>
          <w:rPr>
            <w:webHidden/>
          </w:rPr>
          <w:fldChar w:fldCharType="end"/>
        </w:r>
      </w:hyperlink>
    </w:p>
    <w:p w:rsidR="009A3DFA" w14:paraId="3B0CF8EF" w14:textId="3E5C88F1">
      <w:pPr>
        <w:pStyle w:val="TOC1"/>
        <w:rPr>
          <w:rFonts w:asciiTheme="minorHAnsi" w:eastAsiaTheme="minorEastAsia" w:hAnsiTheme="minorHAnsi" w:cstheme="minorBidi"/>
          <w:caps w:val="0"/>
          <w:sz w:val="22"/>
          <w:szCs w:val="22"/>
        </w:rPr>
      </w:pPr>
      <w:hyperlink w:anchor="_Toc55815486" w:history="1">
        <w:r w:rsidRPr="00662852">
          <w:rPr>
            <w:rStyle w:val="Hyperlink"/>
          </w:rPr>
          <w:t>II.</w:t>
        </w:r>
        <w:r>
          <w:rPr>
            <w:rFonts w:asciiTheme="minorHAnsi" w:eastAsiaTheme="minorEastAsia" w:hAnsiTheme="minorHAnsi" w:cstheme="minorBidi"/>
            <w:caps w:val="0"/>
            <w:sz w:val="22"/>
            <w:szCs w:val="22"/>
          </w:rPr>
          <w:tab/>
        </w:r>
        <w:r w:rsidRPr="00662852">
          <w:rPr>
            <w:rStyle w:val="Hyperlink"/>
          </w:rPr>
          <w:t>COMMENTS</w:t>
        </w:r>
        <w:r>
          <w:rPr>
            <w:webHidden/>
          </w:rPr>
          <w:tab/>
        </w:r>
        <w:r>
          <w:rPr>
            <w:webHidden/>
          </w:rPr>
          <w:fldChar w:fldCharType="begin"/>
        </w:r>
        <w:r>
          <w:rPr>
            <w:webHidden/>
          </w:rPr>
          <w:instrText xml:space="preserve"> PAGEREF _Toc55815486 \h </w:instrText>
        </w:r>
        <w:r>
          <w:rPr>
            <w:webHidden/>
          </w:rPr>
          <w:fldChar w:fldCharType="separate"/>
        </w:r>
        <w:r>
          <w:rPr>
            <w:webHidden/>
          </w:rPr>
          <w:t>3</w:t>
        </w:r>
        <w:r>
          <w:rPr>
            <w:webHidden/>
          </w:rPr>
          <w:fldChar w:fldCharType="end"/>
        </w:r>
      </w:hyperlink>
    </w:p>
    <w:p w:rsidR="009A3DFA" w14:paraId="7BB6ACC8" w14:textId="69F2E05D">
      <w:pPr>
        <w:pStyle w:val="TOC2"/>
        <w:tabs>
          <w:tab w:val="left" w:pos="1440"/>
        </w:tabs>
        <w:rPr>
          <w:rFonts w:asciiTheme="minorHAnsi" w:eastAsiaTheme="minorEastAsia" w:hAnsiTheme="minorHAnsi" w:cstheme="minorBidi"/>
          <w:noProof/>
          <w:sz w:val="22"/>
          <w:szCs w:val="22"/>
        </w:rPr>
      </w:pPr>
      <w:hyperlink w:anchor="_Toc55815487" w:history="1">
        <w:r w:rsidRPr="00662852">
          <w:rPr>
            <w:rStyle w:val="Hyperlink"/>
            <w:noProof/>
          </w:rPr>
          <w:t>A.</w:t>
        </w:r>
        <w:r>
          <w:rPr>
            <w:rFonts w:asciiTheme="minorHAnsi" w:eastAsiaTheme="minorEastAsia" w:hAnsiTheme="minorHAnsi" w:cstheme="minorBidi"/>
            <w:noProof/>
            <w:sz w:val="22"/>
            <w:szCs w:val="22"/>
          </w:rPr>
          <w:tab/>
        </w:r>
        <w:r w:rsidRPr="00662852">
          <w:rPr>
            <w:rStyle w:val="Hyperlink"/>
            <w:noProof/>
          </w:rPr>
          <w:t xml:space="preserve">The PUCO previously ruled that Duke cannot charge customers for </w:t>
        </w:r>
        <w:r>
          <w:rPr>
            <w:rStyle w:val="Hyperlink"/>
            <w:noProof/>
          </w:rPr>
          <w:br/>
        </w:r>
        <w:r w:rsidRPr="00662852">
          <w:rPr>
            <w:rStyle w:val="Hyperlink"/>
            <w:noProof/>
          </w:rPr>
          <w:t>Manufactured Gas Plant cleanup costs incurred outside the bounds of the Manufactured Gas Plant Sites.</w:t>
        </w:r>
        <w:r>
          <w:rPr>
            <w:noProof/>
            <w:webHidden/>
          </w:rPr>
          <w:tab/>
        </w:r>
        <w:r>
          <w:rPr>
            <w:noProof/>
            <w:webHidden/>
          </w:rPr>
          <w:fldChar w:fldCharType="begin"/>
        </w:r>
        <w:r>
          <w:rPr>
            <w:noProof/>
            <w:webHidden/>
          </w:rPr>
          <w:instrText xml:space="preserve"> PAGEREF _Toc55815487 \h </w:instrText>
        </w:r>
        <w:r>
          <w:rPr>
            <w:noProof/>
            <w:webHidden/>
          </w:rPr>
          <w:fldChar w:fldCharType="separate"/>
        </w:r>
        <w:r>
          <w:rPr>
            <w:noProof/>
            <w:webHidden/>
          </w:rPr>
          <w:t>3</w:t>
        </w:r>
        <w:r>
          <w:rPr>
            <w:noProof/>
            <w:webHidden/>
          </w:rPr>
          <w:fldChar w:fldCharType="end"/>
        </w:r>
      </w:hyperlink>
    </w:p>
    <w:p w:rsidR="009A3DFA" w14:paraId="2A0F6B32" w14:textId="0F87F11E">
      <w:pPr>
        <w:pStyle w:val="TOC3"/>
        <w:tabs>
          <w:tab w:val="left" w:pos="2160"/>
        </w:tabs>
        <w:rPr>
          <w:rFonts w:asciiTheme="minorHAnsi" w:eastAsiaTheme="minorEastAsia" w:hAnsiTheme="minorHAnsi" w:cstheme="minorBidi"/>
          <w:noProof/>
          <w:sz w:val="22"/>
          <w:szCs w:val="22"/>
        </w:rPr>
      </w:pPr>
      <w:hyperlink w:anchor="_Toc55815488" w:history="1">
        <w:r w:rsidRPr="00662852">
          <w:rPr>
            <w:rStyle w:val="Hyperlink"/>
            <w:noProof/>
          </w:rPr>
          <w:t>1.</w:t>
        </w:r>
        <w:r>
          <w:rPr>
            <w:rFonts w:asciiTheme="minorHAnsi" w:eastAsiaTheme="minorEastAsia" w:hAnsiTheme="minorHAnsi" w:cstheme="minorBidi"/>
            <w:noProof/>
            <w:sz w:val="22"/>
            <w:szCs w:val="22"/>
          </w:rPr>
          <w:tab/>
        </w:r>
        <w:r w:rsidRPr="00662852">
          <w:rPr>
            <w:rStyle w:val="Hyperlink"/>
            <w:noProof/>
          </w:rPr>
          <w:t xml:space="preserve">The PUCO should not allow Duke to charge customers for </w:t>
        </w:r>
        <w:r>
          <w:rPr>
            <w:rStyle w:val="Hyperlink"/>
            <w:noProof/>
          </w:rPr>
          <w:br/>
        </w:r>
        <w:r w:rsidRPr="00662852">
          <w:rPr>
            <w:rStyle w:val="Hyperlink"/>
            <w:noProof/>
          </w:rPr>
          <w:t xml:space="preserve">investigation and remediation of the Area West of the West Parcel </w:t>
        </w:r>
        <w:r>
          <w:rPr>
            <w:rStyle w:val="Hyperlink"/>
            <w:noProof/>
          </w:rPr>
          <w:br/>
        </w:r>
        <w:r w:rsidRPr="00662852">
          <w:rPr>
            <w:rStyle w:val="Hyperlink"/>
            <w:noProof/>
          </w:rPr>
          <w:t>and the areas outside the “original footprint” of the MGP plants operations, including the Ohio River.</w:t>
        </w:r>
        <w:r>
          <w:rPr>
            <w:noProof/>
            <w:webHidden/>
          </w:rPr>
          <w:tab/>
        </w:r>
        <w:r>
          <w:rPr>
            <w:noProof/>
            <w:webHidden/>
          </w:rPr>
          <w:fldChar w:fldCharType="begin"/>
        </w:r>
        <w:r>
          <w:rPr>
            <w:noProof/>
            <w:webHidden/>
          </w:rPr>
          <w:instrText xml:space="preserve"> PAGEREF _Toc55815488 \h </w:instrText>
        </w:r>
        <w:r>
          <w:rPr>
            <w:noProof/>
            <w:webHidden/>
          </w:rPr>
          <w:fldChar w:fldCharType="separate"/>
        </w:r>
        <w:r>
          <w:rPr>
            <w:noProof/>
            <w:webHidden/>
          </w:rPr>
          <w:t>3</w:t>
        </w:r>
        <w:r>
          <w:rPr>
            <w:noProof/>
            <w:webHidden/>
          </w:rPr>
          <w:fldChar w:fldCharType="end"/>
        </w:r>
      </w:hyperlink>
    </w:p>
    <w:p w:rsidR="009A3DFA" w14:paraId="2C901E6E" w14:textId="6D39B2B5">
      <w:pPr>
        <w:pStyle w:val="TOC3"/>
        <w:tabs>
          <w:tab w:val="left" w:pos="2160"/>
        </w:tabs>
        <w:rPr>
          <w:rFonts w:asciiTheme="minorHAnsi" w:eastAsiaTheme="minorEastAsia" w:hAnsiTheme="minorHAnsi" w:cstheme="minorBidi"/>
          <w:noProof/>
          <w:sz w:val="22"/>
          <w:szCs w:val="22"/>
        </w:rPr>
      </w:pPr>
      <w:hyperlink w:anchor="_Toc55815489" w:history="1">
        <w:r w:rsidRPr="00662852">
          <w:rPr>
            <w:rStyle w:val="Hyperlink"/>
            <w:noProof/>
          </w:rPr>
          <w:t>2.</w:t>
        </w:r>
        <w:r>
          <w:rPr>
            <w:rFonts w:asciiTheme="minorHAnsi" w:eastAsiaTheme="minorEastAsia" w:hAnsiTheme="minorHAnsi" w:cstheme="minorBidi"/>
            <w:noProof/>
            <w:sz w:val="22"/>
            <w:szCs w:val="22"/>
          </w:rPr>
          <w:tab/>
        </w:r>
        <w:r w:rsidRPr="00662852">
          <w:rPr>
            <w:rStyle w:val="Hyperlink"/>
            <w:noProof/>
          </w:rPr>
          <w:t xml:space="preserve">To consumers’ detriment, Duke relies on language from the Rate </w:t>
        </w:r>
        <w:r>
          <w:rPr>
            <w:rStyle w:val="Hyperlink"/>
            <w:noProof/>
          </w:rPr>
          <w:br/>
        </w:r>
        <w:r w:rsidRPr="00662852">
          <w:rPr>
            <w:rStyle w:val="Hyperlink"/>
            <w:noProof/>
          </w:rPr>
          <w:t>Case Order and Ohio Supreme Court ruling unrelated to the PUCO’s ruling on R.C. 4909.15(A)(4).</w:t>
        </w:r>
        <w:r>
          <w:rPr>
            <w:noProof/>
            <w:webHidden/>
          </w:rPr>
          <w:tab/>
        </w:r>
        <w:r>
          <w:rPr>
            <w:noProof/>
            <w:webHidden/>
          </w:rPr>
          <w:fldChar w:fldCharType="begin"/>
        </w:r>
        <w:r>
          <w:rPr>
            <w:noProof/>
            <w:webHidden/>
          </w:rPr>
          <w:instrText xml:space="preserve"> PAGEREF _Toc55815489 \h </w:instrText>
        </w:r>
        <w:r>
          <w:rPr>
            <w:noProof/>
            <w:webHidden/>
          </w:rPr>
          <w:fldChar w:fldCharType="separate"/>
        </w:r>
        <w:r>
          <w:rPr>
            <w:noProof/>
            <w:webHidden/>
          </w:rPr>
          <w:t>8</w:t>
        </w:r>
        <w:r>
          <w:rPr>
            <w:noProof/>
            <w:webHidden/>
          </w:rPr>
          <w:fldChar w:fldCharType="end"/>
        </w:r>
      </w:hyperlink>
    </w:p>
    <w:p w:rsidR="009A3DFA" w14:paraId="2FEC1D75" w14:textId="1699C7CE">
      <w:pPr>
        <w:pStyle w:val="TOC3"/>
        <w:tabs>
          <w:tab w:val="left" w:pos="2160"/>
        </w:tabs>
        <w:rPr>
          <w:rFonts w:asciiTheme="minorHAnsi" w:eastAsiaTheme="minorEastAsia" w:hAnsiTheme="minorHAnsi" w:cstheme="minorBidi"/>
          <w:noProof/>
          <w:sz w:val="22"/>
          <w:szCs w:val="22"/>
        </w:rPr>
      </w:pPr>
      <w:hyperlink w:anchor="_Toc55815490" w:history="1">
        <w:r w:rsidRPr="00662852">
          <w:rPr>
            <w:rStyle w:val="Hyperlink"/>
            <w:noProof/>
          </w:rPr>
          <w:t>3.</w:t>
        </w:r>
        <w:r>
          <w:rPr>
            <w:rFonts w:asciiTheme="minorHAnsi" w:eastAsiaTheme="minorEastAsia" w:hAnsiTheme="minorHAnsi" w:cstheme="minorBidi"/>
            <w:noProof/>
            <w:sz w:val="22"/>
            <w:szCs w:val="22"/>
          </w:rPr>
          <w:tab/>
        </w:r>
        <w:r w:rsidRPr="00662852">
          <w:rPr>
            <w:rStyle w:val="Hyperlink"/>
            <w:noProof/>
          </w:rPr>
          <w:t xml:space="preserve">The PUCO’s 2016 ruling extending the time period for Duke’s </w:t>
        </w:r>
        <w:r>
          <w:rPr>
            <w:rStyle w:val="Hyperlink"/>
            <w:noProof/>
          </w:rPr>
          <w:br/>
        </w:r>
        <w:r w:rsidRPr="00662852">
          <w:rPr>
            <w:rStyle w:val="Hyperlink"/>
            <w:noProof/>
          </w:rPr>
          <w:t xml:space="preserve">deferral was not ratemaking and thus has no bearing on whether </w:t>
        </w:r>
        <w:r>
          <w:rPr>
            <w:rStyle w:val="Hyperlink"/>
            <w:noProof/>
          </w:rPr>
          <w:br/>
        </w:r>
        <w:r w:rsidRPr="00662852">
          <w:rPr>
            <w:rStyle w:val="Hyperlink"/>
            <w:noProof/>
          </w:rPr>
          <w:t>Duke can charge customers for costs incurred in the “Offsite” Areas.</w:t>
        </w:r>
        <w:r>
          <w:rPr>
            <w:noProof/>
            <w:webHidden/>
          </w:rPr>
          <w:tab/>
        </w:r>
        <w:r>
          <w:rPr>
            <w:noProof/>
            <w:webHidden/>
          </w:rPr>
          <w:fldChar w:fldCharType="begin"/>
        </w:r>
        <w:r>
          <w:rPr>
            <w:noProof/>
            <w:webHidden/>
          </w:rPr>
          <w:instrText xml:space="preserve"> PAGEREF _Toc55815490 \h </w:instrText>
        </w:r>
        <w:r>
          <w:rPr>
            <w:noProof/>
            <w:webHidden/>
          </w:rPr>
          <w:fldChar w:fldCharType="separate"/>
        </w:r>
        <w:r>
          <w:rPr>
            <w:noProof/>
            <w:webHidden/>
          </w:rPr>
          <w:t>9</w:t>
        </w:r>
        <w:r>
          <w:rPr>
            <w:noProof/>
            <w:webHidden/>
          </w:rPr>
          <w:fldChar w:fldCharType="end"/>
        </w:r>
      </w:hyperlink>
    </w:p>
    <w:p w:rsidR="009A3DFA" w14:paraId="1032CD86" w14:textId="3291689B">
      <w:pPr>
        <w:pStyle w:val="TOC2"/>
        <w:tabs>
          <w:tab w:val="left" w:pos="1440"/>
        </w:tabs>
        <w:rPr>
          <w:rFonts w:asciiTheme="minorHAnsi" w:eastAsiaTheme="minorEastAsia" w:hAnsiTheme="minorHAnsi" w:cstheme="minorBidi"/>
          <w:noProof/>
          <w:sz w:val="22"/>
          <w:szCs w:val="22"/>
        </w:rPr>
      </w:pPr>
      <w:hyperlink w:anchor="_Toc55815491" w:history="1">
        <w:r w:rsidRPr="00662852">
          <w:rPr>
            <w:rStyle w:val="Hyperlink"/>
            <w:noProof/>
          </w:rPr>
          <w:t>B.</w:t>
        </w:r>
        <w:r>
          <w:rPr>
            <w:rFonts w:asciiTheme="minorHAnsi" w:eastAsiaTheme="minorEastAsia" w:hAnsiTheme="minorHAnsi" w:cstheme="minorBidi"/>
            <w:noProof/>
            <w:sz w:val="22"/>
            <w:szCs w:val="22"/>
          </w:rPr>
          <w:tab/>
        </w:r>
        <w:r w:rsidRPr="00662852">
          <w:rPr>
            <w:rStyle w:val="Hyperlink"/>
            <w:noProof/>
          </w:rPr>
          <w:t xml:space="preserve">The PUCO Staff’s recommended approximately $3.9 million disallowance </w:t>
        </w:r>
        <w:r>
          <w:rPr>
            <w:rStyle w:val="Hyperlink"/>
            <w:noProof/>
          </w:rPr>
          <w:br/>
        </w:r>
        <w:r w:rsidRPr="00662852">
          <w:rPr>
            <w:rStyle w:val="Hyperlink"/>
            <w:noProof/>
          </w:rPr>
          <w:t xml:space="preserve">for Duke’s 2019 spending on the East End and West End remediation protects consumers and is reasonable and reliable and consistent with its positions on </w:t>
        </w:r>
        <w:r>
          <w:rPr>
            <w:rStyle w:val="Hyperlink"/>
            <w:noProof/>
          </w:rPr>
          <w:br/>
        </w:r>
        <w:r w:rsidRPr="00662852">
          <w:rPr>
            <w:rStyle w:val="Hyperlink"/>
            <w:noProof/>
          </w:rPr>
          <w:t>prior cases.</w:t>
        </w:r>
        <w:r>
          <w:rPr>
            <w:noProof/>
            <w:webHidden/>
          </w:rPr>
          <w:tab/>
        </w:r>
        <w:r>
          <w:rPr>
            <w:noProof/>
            <w:webHidden/>
          </w:rPr>
          <w:fldChar w:fldCharType="begin"/>
        </w:r>
        <w:r>
          <w:rPr>
            <w:noProof/>
            <w:webHidden/>
          </w:rPr>
          <w:instrText xml:space="preserve"> PAGEREF _Toc55815491 \h </w:instrText>
        </w:r>
        <w:r>
          <w:rPr>
            <w:noProof/>
            <w:webHidden/>
          </w:rPr>
          <w:fldChar w:fldCharType="separate"/>
        </w:r>
        <w:r>
          <w:rPr>
            <w:noProof/>
            <w:webHidden/>
          </w:rPr>
          <w:t>11</w:t>
        </w:r>
        <w:r>
          <w:rPr>
            <w:noProof/>
            <w:webHidden/>
          </w:rPr>
          <w:fldChar w:fldCharType="end"/>
        </w:r>
      </w:hyperlink>
    </w:p>
    <w:p w:rsidR="009A3DFA" w14:paraId="0803541E" w14:textId="0F66C5E6">
      <w:pPr>
        <w:pStyle w:val="TOC2"/>
        <w:tabs>
          <w:tab w:val="left" w:pos="1440"/>
        </w:tabs>
        <w:rPr>
          <w:rFonts w:asciiTheme="minorHAnsi" w:eastAsiaTheme="minorEastAsia" w:hAnsiTheme="minorHAnsi" w:cstheme="minorBidi"/>
          <w:noProof/>
          <w:sz w:val="22"/>
          <w:szCs w:val="22"/>
        </w:rPr>
      </w:pPr>
      <w:hyperlink w:anchor="_Toc55815492" w:history="1">
        <w:r w:rsidRPr="00662852">
          <w:rPr>
            <w:rStyle w:val="Hyperlink"/>
            <w:noProof/>
          </w:rPr>
          <w:t>C.</w:t>
        </w:r>
        <w:r>
          <w:rPr>
            <w:rFonts w:asciiTheme="minorHAnsi" w:eastAsiaTheme="minorEastAsia" w:hAnsiTheme="minorHAnsi" w:cstheme="minorBidi"/>
            <w:noProof/>
            <w:sz w:val="22"/>
            <w:szCs w:val="22"/>
          </w:rPr>
          <w:tab/>
        </w:r>
        <w:r w:rsidRPr="00662852">
          <w:rPr>
            <w:rStyle w:val="Hyperlink"/>
            <w:noProof/>
          </w:rPr>
          <w:t xml:space="preserve">To protect consumers, the PUCO should disallow Duke Manufactured Gas </w:t>
        </w:r>
        <w:r>
          <w:rPr>
            <w:rStyle w:val="Hyperlink"/>
            <w:noProof/>
          </w:rPr>
          <w:br/>
        </w:r>
        <w:r w:rsidRPr="00662852">
          <w:rPr>
            <w:rStyle w:val="Hyperlink"/>
            <w:noProof/>
          </w:rPr>
          <w:t>Plant cleanup costs that are excessive and far more than necessary to protect people and the environment.</w:t>
        </w:r>
        <w:r>
          <w:rPr>
            <w:noProof/>
            <w:webHidden/>
          </w:rPr>
          <w:tab/>
        </w:r>
        <w:r>
          <w:rPr>
            <w:noProof/>
            <w:webHidden/>
          </w:rPr>
          <w:fldChar w:fldCharType="begin"/>
        </w:r>
        <w:r>
          <w:rPr>
            <w:noProof/>
            <w:webHidden/>
          </w:rPr>
          <w:instrText xml:space="preserve"> PAGEREF _Toc55815492 \h </w:instrText>
        </w:r>
        <w:r>
          <w:rPr>
            <w:noProof/>
            <w:webHidden/>
          </w:rPr>
          <w:fldChar w:fldCharType="separate"/>
        </w:r>
        <w:r>
          <w:rPr>
            <w:noProof/>
            <w:webHidden/>
          </w:rPr>
          <w:t>12</w:t>
        </w:r>
        <w:r>
          <w:rPr>
            <w:noProof/>
            <w:webHidden/>
          </w:rPr>
          <w:fldChar w:fldCharType="end"/>
        </w:r>
      </w:hyperlink>
    </w:p>
    <w:p w:rsidR="009A3DFA" w14:paraId="02BEAC7D" w14:textId="66F62C1E">
      <w:pPr>
        <w:pStyle w:val="TOC3"/>
        <w:tabs>
          <w:tab w:val="left" w:pos="2160"/>
        </w:tabs>
        <w:rPr>
          <w:rFonts w:asciiTheme="minorHAnsi" w:eastAsiaTheme="minorEastAsia" w:hAnsiTheme="minorHAnsi" w:cstheme="minorBidi"/>
          <w:noProof/>
          <w:sz w:val="22"/>
          <w:szCs w:val="22"/>
        </w:rPr>
      </w:pPr>
      <w:hyperlink w:anchor="_Toc55815493" w:history="1">
        <w:r w:rsidRPr="00662852">
          <w:rPr>
            <w:rStyle w:val="Hyperlink"/>
            <w:noProof/>
          </w:rPr>
          <w:t>1.</w:t>
        </w:r>
        <w:r>
          <w:rPr>
            <w:rFonts w:asciiTheme="minorHAnsi" w:eastAsiaTheme="minorEastAsia" w:hAnsiTheme="minorHAnsi" w:cstheme="minorBidi"/>
            <w:noProof/>
            <w:sz w:val="22"/>
            <w:szCs w:val="22"/>
          </w:rPr>
          <w:tab/>
        </w:r>
        <w:r w:rsidRPr="00662852">
          <w:rPr>
            <w:rStyle w:val="Hyperlink"/>
            <w:noProof/>
          </w:rPr>
          <w:t xml:space="preserve">Duke’s proposed charges to consumers for 2019 Manufactured Gas </w:t>
        </w:r>
        <w:r>
          <w:rPr>
            <w:rStyle w:val="Hyperlink"/>
            <w:noProof/>
          </w:rPr>
          <w:br/>
        </w:r>
        <w:r w:rsidRPr="00662852">
          <w:rPr>
            <w:rStyle w:val="Hyperlink"/>
            <w:noProof/>
          </w:rPr>
          <w:t xml:space="preserve">Plant cleanup costs are imprudent because Duke could have cleaned </w:t>
        </w:r>
        <w:r>
          <w:rPr>
            <w:rStyle w:val="Hyperlink"/>
            <w:noProof/>
          </w:rPr>
          <w:br/>
        </w:r>
        <w:r w:rsidRPr="00662852">
          <w:rPr>
            <w:rStyle w:val="Hyperlink"/>
            <w:noProof/>
          </w:rPr>
          <w:t xml:space="preserve">up the Manufactured Gas Plant Sites at substantially lower cost while </w:t>
        </w:r>
        <w:r>
          <w:rPr>
            <w:rStyle w:val="Hyperlink"/>
            <w:noProof/>
          </w:rPr>
          <w:br/>
        </w:r>
        <w:r w:rsidRPr="00662852">
          <w:rPr>
            <w:rStyle w:val="Hyperlink"/>
            <w:noProof/>
          </w:rPr>
          <w:t>still complying with the Ohio Voluntary Action Program.</w:t>
        </w:r>
        <w:r>
          <w:rPr>
            <w:noProof/>
            <w:webHidden/>
          </w:rPr>
          <w:tab/>
        </w:r>
        <w:r>
          <w:rPr>
            <w:noProof/>
            <w:webHidden/>
          </w:rPr>
          <w:fldChar w:fldCharType="begin"/>
        </w:r>
        <w:r>
          <w:rPr>
            <w:noProof/>
            <w:webHidden/>
          </w:rPr>
          <w:instrText xml:space="preserve"> PAGEREF _Toc55815493 \h </w:instrText>
        </w:r>
        <w:r>
          <w:rPr>
            <w:noProof/>
            <w:webHidden/>
          </w:rPr>
          <w:fldChar w:fldCharType="separate"/>
        </w:r>
        <w:r>
          <w:rPr>
            <w:noProof/>
            <w:webHidden/>
          </w:rPr>
          <w:t>12</w:t>
        </w:r>
        <w:r>
          <w:rPr>
            <w:noProof/>
            <w:webHidden/>
          </w:rPr>
          <w:fldChar w:fldCharType="end"/>
        </w:r>
      </w:hyperlink>
    </w:p>
    <w:p w:rsidR="009A3DFA" w14:paraId="67EBE39E" w14:textId="6ADCD6D4">
      <w:pPr>
        <w:pStyle w:val="TOC2"/>
        <w:tabs>
          <w:tab w:val="left" w:pos="1440"/>
        </w:tabs>
        <w:rPr>
          <w:rStyle w:val="Hyperlink"/>
          <w:noProof/>
        </w:rPr>
      </w:pPr>
      <w:hyperlink w:anchor="_Toc55815494" w:history="1">
        <w:r w:rsidRPr="00662852">
          <w:rPr>
            <w:rStyle w:val="Hyperlink"/>
            <w:noProof/>
          </w:rPr>
          <w:t>D.</w:t>
        </w:r>
        <w:r>
          <w:rPr>
            <w:rFonts w:asciiTheme="minorHAnsi" w:eastAsiaTheme="minorEastAsia" w:hAnsiTheme="minorHAnsi" w:cstheme="minorBidi"/>
            <w:noProof/>
            <w:sz w:val="22"/>
            <w:szCs w:val="22"/>
          </w:rPr>
          <w:tab/>
        </w:r>
        <w:r w:rsidRPr="00662852">
          <w:rPr>
            <w:rStyle w:val="Hyperlink"/>
            <w:noProof/>
          </w:rPr>
          <w:t>In consumers’ interest, the PUCO should adopt the PUCO Staff’s recommendation to release the insurance proceeds and immediately provide</w:t>
        </w:r>
        <w:r>
          <w:rPr>
            <w:rStyle w:val="Hyperlink"/>
            <w:noProof/>
          </w:rPr>
          <w:br/>
        </w:r>
        <w:r w:rsidRPr="00662852">
          <w:rPr>
            <w:rStyle w:val="Hyperlink"/>
            <w:noProof/>
          </w:rPr>
          <w:t xml:space="preserve">an approximately $50.5 million credit to consumers, which is the amount of </w:t>
        </w:r>
        <w:r>
          <w:rPr>
            <w:rStyle w:val="Hyperlink"/>
            <w:noProof/>
          </w:rPr>
          <w:br/>
        </w:r>
        <w:r w:rsidRPr="00662852">
          <w:rPr>
            <w:rStyle w:val="Hyperlink"/>
            <w:noProof/>
          </w:rPr>
          <w:t>net proceeds from the insurance claims.</w:t>
        </w:r>
        <w:r>
          <w:rPr>
            <w:noProof/>
            <w:webHidden/>
          </w:rPr>
          <w:tab/>
        </w:r>
        <w:r>
          <w:rPr>
            <w:noProof/>
            <w:webHidden/>
          </w:rPr>
          <w:fldChar w:fldCharType="begin"/>
        </w:r>
        <w:r>
          <w:rPr>
            <w:noProof/>
            <w:webHidden/>
          </w:rPr>
          <w:instrText xml:space="preserve"> PAGEREF _Toc55815494 \h </w:instrText>
        </w:r>
        <w:r>
          <w:rPr>
            <w:noProof/>
            <w:webHidden/>
          </w:rPr>
          <w:fldChar w:fldCharType="separate"/>
        </w:r>
        <w:r>
          <w:rPr>
            <w:noProof/>
            <w:webHidden/>
          </w:rPr>
          <w:t>14</w:t>
        </w:r>
        <w:r>
          <w:rPr>
            <w:noProof/>
            <w:webHidden/>
          </w:rPr>
          <w:fldChar w:fldCharType="end"/>
        </w:r>
      </w:hyperlink>
    </w:p>
    <w:p w:rsidR="009A3DFA" w14:paraId="352A75F5" w14:textId="77777777">
      <w:pPr>
        <w:spacing w:after="200" w:line="276" w:lineRule="auto"/>
        <w:rPr>
          <w:rStyle w:val="Hyperlink"/>
          <w:noProof/>
        </w:rPr>
      </w:pPr>
      <w:r>
        <w:rPr>
          <w:rStyle w:val="Hyperlink"/>
          <w:noProof/>
        </w:rPr>
        <w:br w:type="page"/>
      </w:r>
    </w:p>
    <w:p w:rsidR="009A3DFA" w14:paraId="5F8804AF" w14:textId="7276EB95">
      <w:pPr>
        <w:pStyle w:val="TOC3"/>
        <w:tabs>
          <w:tab w:val="left" w:pos="2160"/>
        </w:tabs>
        <w:rPr>
          <w:rFonts w:asciiTheme="minorHAnsi" w:eastAsiaTheme="minorEastAsia" w:hAnsiTheme="minorHAnsi" w:cstheme="minorBidi"/>
          <w:noProof/>
          <w:sz w:val="22"/>
          <w:szCs w:val="22"/>
        </w:rPr>
      </w:pPr>
      <w:hyperlink w:anchor="_Toc55815495" w:history="1">
        <w:r w:rsidRPr="00662852">
          <w:rPr>
            <w:rStyle w:val="Hyperlink"/>
            <w:noProof/>
          </w:rPr>
          <w:t>1.</w:t>
        </w:r>
        <w:r>
          <w:rPr>
            <w:rFonts w:asciiTheme="minorHAnsi" w:eastAsiaTheme="minorEastAsia" w:hAnsiTheme="minorHAnsi" w:cstheme="minorBidi"/>
            <w:noProof/>
            <w:sz w:val="22"/>
            <w:szCs w:val="22"/>
          </w:rPr>
          <w:tab/>
        </w:r>
        <w:r w:rsidRPr="00662852">
          <w:rPr>
            <w:rStyle w:val="Hyperlink"/>
            <w:noProof/>
          </w:rPr>
          <w:t xml:space="preserve">Duke’s proposal to keep some of the $50.5 million in insurance </w:t>
        </w:r>
        <w:r>
          <w:rPr>
            <w:rStyle w:val="Hyperlink"/>
            <w:noProof/>
          </w:rPr>
          <w:br/>
        </w:r>
        <w:r w:rsidRPr="00662852">
          <w:rPr>
            <w:rStyle w:val="Hyperlink"/>
            <w:noProof/>
          </w:rPr>
          <w:t xml:space="preserve">proceeds for itself (which would harm customers), and its assertion </w:t>
        </w:r>
        <w:r>
          <w:rPr>
            <w:rStyle w:val="Hyperlink"/>
            <w:noProof/>
          </w:rPr>
          <w:br/>
        </w:r>
        <w:r w:rsidRPr="00662852">
          <w:rPr>
            <w:rStyle w:val="Hyperlink"/>
            <w:noProof/>
          </w:rPr>
          <w:t xml:space="preserve">that consumers’ fair share of the insurance proceeds cannot be calculated until investigation and remediation is complete, contradicts the Rate </w:t>
        </w:r>
        <w:r>
          <w:rPr>
            <w:rStyle w:val="Hyperlink"/>
            <w:noProof/>
          </w:rPr>
          <w:br/>
        </w:r>
        <w:r w:rsidRPr="00662852">
          <w:rPr>
            <w:rStyle w:val="Hyperlink"/>
            <w:noProof/>
          </w:rPr>
          <w:t>Case Order and is barred by the doctrine of collateral estoppel.</w:t>
        </w:r>
        <w:r>
          <w:rPr>
            <w:noProof/>
            <w:webHidden/>
          </w:rPr>
          <w:tab/>
        </w:r>
        <w:r>
          <w:rPr>
            <w:noProof/>
            <w:webHidden/>
          </w:rPr>
          <w:fldChar w:fldCharType="begin"/>
        </w:r>
        <w:r>
          <w:rPr>
            <w:noProof/>
            <w:webHidden/>
          </w:rPr>
          <w:instrText xml:space="preserve"> PAGEREF _Toc55815495 \h </w:instrText>
        </w:r>
        <w:r>
          <w:rPr>
            <w:noProof/>
            <w:webHidden/>
          </w:rPr>
          <w:fldChar w:fldCharType="separate"/>
        </w:r>
        <w:r>
          <w:rPr>
            <w:noProof/>
            <w:webHidden/>
          </w:rPr>
          <w:t>14</w:t>
        </w:r>
        <w:r>
          <w:rPr>
            <w:noProof/>
            <w:webHidden/>
          </w:rPr>
          <w:fldChar w:fldCharType="end"/>
        </w:r>
      </w:hyperlink>
    </w:p>
    <w:p w:rsidR="009A3DFA" w14:paraId="002887B8" w14:textId="5738AF82">
      <w:pPr>
        <w:pStyle w:val="TOC3"/>
        <w:tabs>
          <w:tab w:val="left" w:pos="2160"/>
        </w:tabs>
        <w:rPr>
          <w:rFonts w:asciiTheme="minorHAnsi" w:eastAsiaTheme="minorEastAsia" w:hAnsiTheme="minorHAnsi" w:cstheme="minorBidi"/>
          <w:noProof/>
          <w:sz w:val="22"/>
          <w:szCs w:val="22"/>
        </w:rPr>
      </w:pPr>
      <w:hyperlink w:anchor="_Toc55815496" w:history="1">
        <w:r w:rsidRPr="00662852">
          <w:rPr>
            <w:rStyle w:val="Hyperlink"/>
            <w:noProof/>
          </w:rPr>
          <w:t>2.</w:t>
        </w:r>
        <w:r>
          <w:rPr>
            <w:rFonts w:asciiTheme="minorHAnsi" w:eastAsiaTheme="minorEastAsia" w:hAnsiTheme="minorHAnsi" w:cstheme="minorBidi"/>
            <w:noProof/>
            <w:sz w:val="22"/>
            <w:szCs w:val="22"/>
          </w:rPr>
          <w:tab/>
        </w:r>
        <w:r w:rsidRPr="00662852">
          <w:rPr>
            <w:rStyle w:val="Hyperlink"/>
            <w:noProof/>
          </w:rPr>
          <w:t xml:space="preserve">Using all insurance proceeds to offset charges to customers is consistent with the PUCO’s ruling in the Rate Case Order that Duke’s shareholders should be responsible, in part, for cleaning up the Manufactured Gas </w:t>
        </w:r>
        <w:r>
          <w:rPr>
            <w:rStyle w:val="Hyperlink"/>
            <w:noProof/>
          </w:rPr>
          <w:br/>
        </w:r>
        <w:r w:rsidRPr="00662852">
          <w:rPr>
            <w:rStyle w:val="Hyperlink"/>
            <w:noProof/>
          </w:rPr>
          <w:t>Plant Sites.</w:t>
        </w:r>
        <w:r>
          <w:rPr>
            <w:noProof/>
            <w:webHidden/>
          </w:rPr>
          <w:tab/>
        </w:r>
        <w:r>
          <w:rPr>
            <w:noProof/>
            <w:webHidden/>
          </w:rPr>
          <w:fldChar w:fldCharType="begin"/>
        </w:r>
        <w:r>
          <w:rPr>
            <w:noProof/>
            <w:webHidden/>
          </w:rPr>
          <w:instrText xml:space="preserve"> PAGEREF _Toc55815496 \h </w:instrText>
        </w:r>
        <w:r>
          <w:rPr>
            <w:noProof/>
            <w:webHidden/>
          </w:rPr>
          <w:fldChar w:fldCharType="separate"/>
        </w:r>
        <w:r>
          <w:rPr>
            <w:noProof/>
            <w:webHidden/>
          </w:rPr>
          <w:t>16</w:t>
        </w:r>
        <w:r>
          <w:rPr>
            <w:noProof/>
            <w:webHidden/>
          </w:rPr>
          <w:fldChar w:fldCharType="end"/>
        </w:r>
      </w:hyperlink>
    </w:p>
    <w:p w:rsidR="009A3DFA" w14:paraId="2DEB3EAA" w14:textId="388BBAD4">
      <w:pPr>
        <w:pStyle w:val="TOC1"/>
        <w:rPr>
          <w:rFonts w:asciiTheme="minorHAnsi" w:eastAsiaTheme="minorEastAsia" w:hAnsiTheme="minorHAnsi" w:cstheme="minorBidi"/>
          <w:caps w:val="0"/>
          <w:sz w:val="22"/>
          <w:szCs w:val="22"/>
        </w:rPr>
      </w:pPr>
      <w:hyperlink w:anchor="_Toc55815497" w:history="1">
        <w:r w:rsidRPr="00662852">
          <w:rPr>
            <w:rStyle w:val="Hyperlink"/>
          </w:rPr>
          <w:t>III.</w:t>
        </w:r>
        <w:r>
          <w:rPr>
            <w:rFonts w:asciiTheme="minorHAnsi" w:eastAsiaTheme="minorEastAsia" w:hAnsiTheme="minorHAnsi" w:cstheme="minorBidi"/>
            <w:caps w:val="0"/>
            <w:sz w:val="22"/>
            <w:szCs w:val="22"/>
          </w:rPr>
          <w:tab/>
        </w:r>
        <w:r w:rsidRPr="00662852">
          <w:rPr>
            <w:rStyle w:val="Hyperlink"/>
          </w:rPr>
          <w:t>CONCLUSION</w:t>
        </w:r>
        <w:r>
          <w:rPr>
            <w:webHidden/>
          </w:rPr>
          <w:tab/>
        </w:r>
        <w:r>
          <w:rPr>
            <w:webHidden/>
          </w:rPr>
          <w:fldChar w:fldCharType="begin"/>
        </w:r>
        <w:r>
          <w:rPr>
            <w:webHidden/>
          </w:rPr>
          <w:instrText xml:space="preserve"> PAGEREF _Toc55815497 \h </w:instrText>
        </w:r>
        <w:r>
          <w:rPr>
            <w:webHidden/>
          </w:rPr>
          <w:fldChar w:fldCharType="separate"/>
        </w:r>
        <w:r>
          <w:rPr>
            <w:webHidden/>
          </w:rPr>
          <w:t>18</w:t>
        </w:r>
        <w:r>
          <w:rPr>
            <w:webHidden/>
          </w:rPr>
          <w:fldChar w:fldCharType="end"/>
        </w:r>
      </w:hyperlink>
    </w:p>
    <w:p w:rsidR="005B6253" w:rsidRPr="005B6253" w:rsidP="005B6253" w14:paraId="68758778" w14:textId="34CFC8AA">
      <w:pPr>
        <w:jc w:val="right"/>
        <w:rPr>
          <w:b/>
          <w:bCs/>
          <w:szCs w:val="24"/>
        </w:rPr>
      </w:pPr>
      <w:r>
        <w:rPr>
          <w:b/>
          <w:bCs/>
          <w:caps/>
          <w:noProof/>
          <w:szCs w:val="24"/>
        </w:rPr>
        <w:fldChar w:fldCharType="end"/>
      </w:r>
    </w:p>
    <w:p w:rsidR="00B2471F" w:rsidRPr="004B2E72" w:rsidP="00B2471F" w14:paraId="5AD365E6" w14:textId="77777777">
      <w:pPr>
        <w:rPr>
          <w:b/>
          <w:bCs/>
          <w:szCs w:val="24"/>
          <w:u w:val="single"/>
        </w:rPr>
      </w:pPr>
    </w:p>
    <w:p w:rsidR="00655EB2" w:rsidRPr="004B2E72" w:rsidP="00B2471F" w14:paraId="72D1F4FE" w14:textId="2F810539">
      <w:pPr>
        <w:pStyle w:val="HTMLPreformatted"/>
        <w:rPr>
          <w:rFonts w:ascii="Times New Roman" w:hAnsi="Times New Roman" w:cs="Times New Roman"/>
          <w:b/>
          <w:bCs/>
          <w:sz w:val="24"/>
          <w:szCs w:val="24"/>
        </w:rPr>
        <w:sectPr w:rsidSect="003546B3">
          <w:footerReference w:type="default" r:id="rId8"/>
          <w:pgSz w:w="12240" w:h="15840"/>
          <w:pgMar w:top="1440" w:right="1440" w:bottom="1440" w:left="1440" w:header="720" w:footer="720" w:gutter="0"/>
          <w:pgNumType w:fmt="lowerRoman" w:start="1"/>
          <w:cols w:space="720"/>
          <w:docGrid w:linePitch="360"/>
        </w:sectPr>
      </w:pPr>
    </w:p>
    <w:p w:rsidR="002D45DE" w:rsidRPr="004B2E72" w:rsidP="002D45DE" w14:paraId="1F0969FE" w14:textId="1915C276">
      <w:pPr>
        <w:pStyle w:val="HTMLPreformatted"/>
        <w:jc w:val="center"/>
        <w:rPr>
          <w:rFonts w:ascii="Times New Roman" w:hAnsi="Times New Roman" w:cs="Times New Roman"/>
          <w:b/>
          <w:bCs/>
          <w:sz w:val="24"/>
          <w:szCs w:val="24"/>
        </w:rPr>
      </w:pPr>
      <w:r w:rsidRPr="004B2E72">
        <w:rPr>
          <w:rFonts w:ascii="Times New Roman" w:hAnsi="Times New Roman" w:cs="Times New Roman"/>
          <w:b/>
          <w:bCs/>
          <w:sz w:val="24"/>
          <w:szCs w:val="24"/>
        </w:rPr>
        <w:t>BEFORE</w:t>
      </w:r>
    </w:p>
    <w:p w:rsidR="002D45DE" w:rsidRPr="004B2E72" w:rsidP="002D45DE" w14:paraId="4733F364" w14:textId="77777777">
      <w:pPr>
        <w:pStyle w:val="HTMLPreformatted"/>
        <w:jc w:val="center"/>
        <w:rPr>
          <w:rFonts w:ascii="Times New Roman" w:hAnsi="Times New Roman" w:cs="Times New Roman"/>
          <w:sz w:val="24"/>
          <w:szCs w:val="24"/>
        </w:rPr>
      </w:pPr>
      <w:r w:rsidRPr="004B2E72">
        <w:rPr>
          <w:rFonts w:ascii="Times New Roman" w:hAnsi="Times New Roman" w:cs="Times New Roman"/>
          <w:b/>
          <w:bCs/>
          <w:sz w:val="24"/>
          <w:szCs w:val="24"/>
        </w:rPr>
        <w:t>THE PUBLIC UTILITIES COMMISSION OF OHIO</w:t>
      </w:r>
    </w:p>
    <w:p w:rsidR="002D45DE" w:rsidRPr="004B2E72" w:rsidP="002D45DE" w14:paraId="2F0D0D0F" w14:textId="77777777">
      <w:pPr>
        <w:pStyle w:val="HTMLPreformatted"/>
        <w:rPr>
          <w:rFonts w:ascii="Times New Roman" w:hAnsi="Times New Roman" w:cs="Times New Roman"/>
          <w:sz w:val="24"/>
          <w:szCs w:val="24"/>
        </w:rPr>
      </w:pPr>
    </w:p>
    <w:tbl>
      <w:tblPr>
        <w:tblW w:w="9452" w:type="dxa"/>
        <w:tblLook w:val="01E0"/>
      </w:tblPr>
      <w:tblGrid>
        <w:gridCol w:w="4590"/>
        <w:gridCol w:w="360"/>
        <w:gridCol w:w="4502"/>
      </w:tblGrid>
      <w:tr w14:paraId="0172F556" w14:textId="77777777" w:rsidTr="001C05B7">
        <w:tblPrEx>
          <w:tblW w:w="9452" w:type="dxa"/>
          <w:tblLook w:val="01E0"/>
        </w:tblPrEx>
        <w:trPr>
          <w:trHeight w:val="807"/>
        </w:trPr>
        <w:tc>
          <w:tcPr>
            <w:tcW w:w="4590" w:type="dxa"/>
            <w:shd w:val="clear" w:color="auto" w:fill="auto"/>
          </w:tcPr>
          <w:p w:rsidR="00A80C6B" w:rsidRPr="004B2E72" w:rsidP="00F936DB" w14:paraId="4BE4E310" w14:textId="77777777">
            <w:pPr>
              <w:autoSpaceDE w:val="0"/>
              <w:autoSpaceDN w:val="0"/>
              <w:adjustRightInd w:val="0"/>
              <w:rPr>
                <w:szCs w:val="24"/>
              </w:rPr>
            </w:pPr>
            <w:r w:rsidRPr="004B2E72">
              <w:rPr>
                <w:szCs w:val="24"/>
              </w:rPr>
              <w:t>In the Matters of the Applications of Duke Energy Ohio, Inc., for Adjustments to Rider MGP Rates.</w:t>
            </w:r>
          </w:p>
          <w:p w:rsidR="00A80C6B" w:rsidRPr="004B2E72" w:rsidP="00F936DB" w14:paraId="26E7BB73" w14:textId="77777777">
            <w:pPr>
              <w:autoSpaceDE w:val="0"/>
              <w:autoSpaceDN w:val="0"/>
              <w:adjustRightInd w:val="0"/>
              <w:rPr>
                <w:szCs w:val="24"/>
              </w:rPr>
            </w:pPr>
          </w:p>
          <w:p w:rsidR="00A80C6B" w:rsidRPr="004B2E72" w:rsidP="00F936DB" w14:paraId="230EEE11" w14:textId="77777777">
            <w:pPr>
              <w:autoSpaceDE w:val="0"/>
              <w:autoSpaceDN w:val="0"/>
              <w:adjustRightInd w:val="0"/>
              <w:rPr>
                <w:szCs w:val="24"/>
              </w:rPr>
            </w:pPr>
            <w:r w:rsidRPr="004B2E72">
              <w:rPr>
                <w:szCs w:val="24"/>
              </w:rPr>
              <w:t>In the Matters of the Applications of Duke Energy Ohio, Inc. for Tariff Approval.</w:t>
            </w:r>
          </w:p>
        </w:tc>
        <w:tc>
          <w:tcPr>
            <w:tcW w:w="360" w:type="dxa"/>
            <w:shd w:val="clear" w:color="auto" w:fill="auto"/>
          </w:tcPr>
          <w:p w:rsidR="00A80C6B" w:rsidRPr="004B2E72" w:rsidP="00F936DB" w14:paraId="0ECFBA00" w14:textId="77777777">
            <w:pPr>
              <w:pStyle w:val="HTMLPreformatted"/>
              <w:rPr>
                <w:rFonts w:ascii="Times New Roman" w:hAnsi="Times New Roman" w:cs="Times New Roman"/>
                <w:sz w:val="24"/>
                <w:szCs w:val="24"/>
              </w:rPr>
            </w:pPr>
            <w:r w:rsidRPr="004B2E72">
              <w:rPr>
                <w:rFonts w:ascii="Times New Roman" w:hAnsi="Times New Roman" w:cs="Times New Roman"/>
                <w:sz w:val="24"/>
                <w:szCs w:val="24"/>
              </w:rPr>
              <w:t>)</w:t>
            </w:r>
          </w:p>
          <w:p w:rsidR="00A80C6B" w:rsidRPr="004B2E72" w:rsidP="00F936DB" w14:paraId="521F51D7" w14:textId="77777777">
            <w:pPr>
              <w:pStyle w:val="HTMLPreformatted"/>
              <w:rPr>
                <w:rFonts w:ascii="Times New Roman" w:hAnsi="Times New Roman" w:cs="Times New Roman"/>
                <w:sz w:val="24"/>
                <w:szCs w:val="24"/>
              </w:rPr>
            </w:pPr>
            <w:r w:rsidRPr="004B2E72">
              <w:rPr>
                <w:rFonts w:ascii="Times New Roman" w:hAnsi="Times New Roman" w:cs="Times New Roman"/>
                <w:sz w:val="24"/>
                <w:szCs w:val="24"/>
              </w:rPr>
              <w:t>)</w:t>
            </w:r>
          </w:p>
          <w:p w:rsidR="00A80C6B" w:rsidRPr="004B2E72" w:rsidP="00F936DB" w14:paraId="169375A8" w14:textId="77777777">
            <w:pPr>
              <w:pStyle w:val="HTMLPreformatted"/>
              <w:rPr>
                <w:rFonts w:ascii="Times New Roman" w:hAnsi="Times New Roman" w:cs="Times New Roman"/>
                <w:sz w:val="24"/>
                <w:szCs w:val="24"/>
              </w:rPr>
            </w:pPr>
            <w:r w:rsidRPr="004B2E72">
              <w:rPr>
                <w:rFonts w:ascii="Times New Roman" w:hAnsi="Times New Roman" w:cs="Times New Roman"/>
                <w:sz w:val="24"/>
                <w:szCs w:val="24"/>
              </w:rPr>
              <w:t>)</w:t>
            </w:r>
          </w:p>
          <w:p w:rsidR="00A80C6B" w:rsidRPr="004B2E72" w:rsidP="00F936DB" w14:paraId="32156BA0" w14:textId="77777777">
            <w:pPr>
              <w:pStyle w:val="HTMLPreformatted"/>
              <w:rPr>
                <w:rFonts w:ascii="Times New Roman" w:hAnsi="Times New Roman" w:cs="Times New Roman"/>
                <w:sz w:val="24"/>
                <w:szCs w:val="24"/>
              </w:rPr>
            </w:pPr>
          </w:p>
          <w:p w:rsidR="00A80C6B" w:rsidRPr="004B2E72" w:rsidP="00F936DB" w14:paraId="7ACE9870" w14:textId="77777777">
            <w:pPr>
              <w:pStyle w:val="HTMLPreformatted"/>
              <w:rPr>
                <w:rFonts w:ascii="Times New Roman" w:hAnsi="Times New Roman" w:cs="Times New Roman"/>
                <w:sz w:val="24"/>
                <w:szCs w:val="24"/>
              </w:rPr>
            </w:pPr>
            <w:r w:rsidRPr="004B2E72">
              <w:rPr>
                <w:rFonts w:ascii="Times New Roman" w:hAnsi="Times New Roman" w:cs="Times New Roman"/>
                <w:sz w:val="24"/>
                <w:szCs w:val="24"/>
              </w:rPr>
              <w:t>)</w:t>
            </w:r>
          </w:p>
          <w:p w:rsidR="00A80C6B" w:rsidRPr="004B2E72" w:rsidP="00F936DB" w14:paraId="62BAED2F" w14:textId="77777777">
            <w:pPr>
              <w:pStyle w:val="HTMLPreformatted"/>
              <w:rPr>
                <w:rFonts w:ascii="Times New Roman" w:hAnsi="Times New Roman" w:cs="Times New Roman"/>
                <w:sz w:val="24"/>
                <w:szCs w:val="24"/>
              </w:rPr>
            </w:pPr>
            <w:r w:rsidRPr="004B2E72">
              <w:rPr>
                <w:rFonts w:ascii="Times New Roman" w:hAnsi="Times New Roman" w:cs="Times New Roman"/>
                <w:sz w:val="24"/>
                <w:szCs w:val="24"/>
              </w:rPr>
              <w:t>)</w:t>
            </w:r>
          </w:p>
          <w:p w:rsidR="00A80C6B" w:rsidRPr="004B2E72" w:rsidP="00F936DB" w14:paraId="3829FE83" w14:textId="77777777">
            <w:pPr>
              <w:pStyle w:val="HTMLPreformatted"/>
              <w:rPr>
                <w:rFonts w:ascii="Times New Roman" w:hAnsi="Times New Roman" w:cs="Times New Roman"/>
                <w:sz w:val="24"/>
                <w:szCs w:val="24"/>
              </w:rPr>
            </w:pPr>
          </w:p>
        </w:tc>
        <w:tc>
          <w:tcPr>
            <w:tcW w:w="4502" w:type="dxa"/>
            <w:shd w:val="clear" w:color="auto" w:fill="auto"/>
          </w:tcPr>
          <w:p w:rsidR="00A80C6B" w:rsidRPr="004B2E72" w:rsidP="00F936DB" w14:paraId="3E15CAA5" w14:textId="77777777">
            <w:pPr>
              <w:rPr>
                <w:szCs w:val="24"/>
              </w:rPr>
            </w:pPr>
          </w:p>
          <w:p w:rsidR="00A80C6B" w:rsidRPr="004B2E72" w:rsidP="00F936DB" w14:paraId="650BFAB9" w14:textId="59227B5D">
            <w:pPr>
              <w:rPr>
                <w:szCs w:val="24"/>
              </w:rPr>
            </w:pPr>
            <w:r w:rsidRPr="004B2E72">
              <w:rPr>
                <w:szCs w:val="24"/>
              </w:rPr>
              <w:t>Case No. 20-53-GA-RDR</w:t>
            </w:r>
          </w:p>
          <w:p w:rsidR="00A80C6B" w:rsidRPr="004B2E72" w:rsidP="00F936DB" w14:paraId="179E82CC" w14:textId="77777777">
            <w:pPr>
              <w:rPr>
                <w:szCs w:val="24"/>
              </w:rPr>
            </w:pPr>
          </w:p>
          <w:p w:rsidR="00A80C6B" w:rsidRPr="004B2E72" w:rsidP="00F936DB" w14:paraId="370C7BB1" w14:textId="77777777">
            <w:pPr>
              <w:rPr>
                <w:szCs w:val="24"/>
              </w:rPr>
            </w:pPr>
          </w:p>
          <w:p w:rsidR="00A80C6B" w:rsidRPr="004B2E72" w:rsidP="00F936DB" w14:paraId="74F1F5E3" w14:textId="2443DC0A">
            <w:pPr>
              <w:rPr>
                <w:szCs w:val="24"/>
              </w:rPr>
            </w:pPr>
            <w:r w:rsidRPr="004B2E72">
              <w:rPr>
                <w:szCs w:val="24"/>
              </w:rPr>
              <w:t>Case No. 20-54-GA-ATA</w:t>
            </w:r>
          </w:p>
        </w:tc>
      </w:tr>
    </w:tbl>
    <w:p w:rsidR="002D45DE" w:rsidRPr="004B2E72" w:rsidP="007C2E95" w14:paraId="367D972C" w14:textId="77777777">
      <w:pPr>
        <w:pBdr>
          <w:bottom w:val="single" w:sz="12" w:space="1" w:color="auto"/>
        </w:pBdr>
        <w:spacing w:before="4"/>
        <w:rPr>
          <w:szCs w:val="24"/>
        </w:rPr>
      </w:pPr>
    </w:p>
    <w:p w:rsidR="007A324B" w:rsidRPr="004B2E72" w:rsidP="00510499" w14:paraId="0B1D51C6" w14:textId="77777777">
      <w:pPr>
        <w:tabs>
          <w:tab w:val="left" w:pos="-720"/>
        </w:tabs>
        <w:suppressAutoHyphens/>
        <w:jc w:val="center"/>
        <w:rPr>
          <w:b/>
          <w:spacing w:val="-3"/>
          <w:szCs w:val="24"/>
        </w:rPr>
      </w:pPr>
    </w:p>
    <w:p w:rsidR="00015934" w:rsidRPr="004B2E72" w:rsidP="00015934" w14:paraId="3310AB9A" w14:textId="77777777">
      <w:pPr>
        <w:tabs>
          <w:tab w:val="left" w:pos="-720"/>
        </w:tabs>
        <w:suppressAutoHyphens/>
        <w:jc w:val="center"/>
        <w:rPr>
          <w:b/>
          <w:spacing w:val="-3"/>
          <w:szCs w:val="24"/>
        </w:rPr>
      </w:pPr>
      <w:r w:rsidRPr="005B6253">
        <w:rPr>
          <w:b/>
          <w:spacing w:val="-3"/>
          <w:szCs w:val="24"/>
        </w:rPr>
        <w:t>REPLY TO DUKE’S COMMENTS</w:t>
      </w:r>
      <w:r>
        <w:rPr>
          <w:b/>
          <w:spacing w:val="-3"/>
          <w:szCs w:val="24"/>
        </w:rPr>
        <w:t xml:space="preserve"> ON THE PUCO STAFF REPORT REGARDING CHARGES TO CLEAN UP DEFUNCT MANUFACTURED GAS PLANTS </w:t>
      </w:r>
    </w:p>
    <w:p w:rsidR="00015934" w:rsidRPr="004B2E72" w:rsidP="00015934" w14:paraId="2193F8A1" w14:textId="77777777">
      <w:pPr>
        <w:tabs>
          <w:tab w:val="left" w:pos="-720"/>
        </w:tabs>
        <w:suppressAutoHyphens/>
        <w:jc w:val="center"/>
        <w:rPr>
          <w:b/>
          <w:spacing w:val="-3"/>
          <w:szCs w:val="24"/>
        </w:rPr>
      </w:pPr>
      <w:r w:rsidRPr="004B2E72">
        <w:rPr>
          <w:b/>
          <w:spacing w:val="-3"/>
          <w:szCs w:val="24"/>
        </w:rPr>
        <w:t>BY</w:t>
      </w:r>
    </w:p>
    <w:p w:rsidR="00015934" w:rsidRPr="004B2E72" w:rsidP="00015934" w14:paraId="44B60F7B" w14:textId="77777777">
      <w:pPr>
        <w:tabs>
          <w:tab w:val="left" w:pos="-720"/>
        </w:tabs>
        <w:suppressAutoHyphens/>
        <w:jc w:val="center"/>
        <w:rPr>
          <w:b/>
          <w:spacing w:val="-3"/>
          <w:szCs w:val="24"/>
        </w:rPr>
      </w:pPr>
      <w:r w:rsidRPr="004B2E72">
        <w:rPr>
          <w:b/>
          <w:spacing w:val="-3"/>
          <w:szCs w:val="24"/>
        </w:rPr>
        <w:t>THE OFFICE OF THE OHIO CONSUMERS’ COUNSEL</w:t>
      </w:r>
    </w:p>
    <w:p w:rsidR="00BA6EC5" w:rsidRPr="004B2E72" w14:paraId="7E83522E" w14:textId="77777777">
      <w:pPr>
        <w:pBdr>
          <w:bottom w:val="single" w:sz="12" w:space="1" w:color="auto"/>
        </w:pBdr>
        <w:tabs>
          <w:tab w:val="left" w:pos="-720"/>
        </w:tabs>
        <w:suppressAutoHyphens/>
        <w:jc w:val="center"/>
        <w:rPr>
          <w:b/>
          <w:spacing w:val="-3"/>
          <w:szCs w:val="24"/>
        </w:rPr>
      </w:pPr>
    </w:p>
    <w:p w:rsidR="00D22C97" w:rsidRPr="005B6253" w:rsidP="001C05B7" w14:paraId="4598E3AD" w14:textId="42D27175">
      <w:pPr>
        <w:pStyle w:val="Heading1"/>
        <w:numPr>
          <w:ilvl w:val="0"/>
          <w:numId w:val="0"/>
        </w:numPr>
        <w:ind w:left="720" w:hanging="720"/>
      </w:pPr>
      <w:bookmarkStart w:id="1" w:name="_Toc55815485"/>
      <w:r>
        <w:t>I.</w:t>
      </w:r>
      <w:r>
        <w:tab/>
        <w:t>INTRODUCTION AND BACKGROUND</w:t>
      </w:r>
      <w:bookmarkEnd w:id="1"/>
    </w:p>
    <w:p w:rsidR="009E0146" w:rsidP="006240C9" w14:paraId="31DDC859" w14:textId="0B17A554">
      <w:pPr>
        <w:spacing w:before="240" w:line="480" w:lineRule="auto"/>
        <w:ind w:firstLine="720"/>
        <w:rPr>
          <w:szCs w:val="24"/>
        </w:rPr>
      </w:pPr>
      <w:r w:rsidRPr="004B2E72">
        <w:rPr>
          <w:szCs w:val="24"/>
        </w:rPr>
        <w:t xml:space="preserve">Duke wants to </w:t>
      </w:r>
      <w:r w:rsidR="00943169">
        <w:rPr>
          <w:szCs w:val="24"/>
        </w:rPr>
        <w:t xml:space="preserve">collect nearly </w:t>
      </w:r>
      <w:r w:rsidRPr="00F548D4" w:rsidR="00943169">
        <w:rPr>
          <w:szCs w:val="24"/>
        </w:rPr>
        <w:t>$3</w:t>
      </w:r>
      <w:r w:rsidRPr="00F548D4" w:rsidR="0068506E">
        <w:rPr>
          <w:szCs w:val="24"/>
        </w:rPr>
        <w:t>9</w:t>
      </w:r>
      <w:r w:rsidRPr="00F548D4" w:rsidR="00943169">
        <w:rPr>
          <w:szCs w:val="24"/>
        </w:rPr>
        <w:t xml:space="preserve"> million</w:t>
      </w:r>
      <w:r w:rsidR="00943169">
        <w:rPr>
          <w:szCs w:val="24"/>
        </w:rPr>
        <w:t xml:space="preserve"> from its customers for 2019 cleanup costs </w:t>
      </w:r>
      <w:r w:rsidR="00F47A29">
        <w:rPr>
          <w:szCs w:val="24"/>
        </w:rPr>
        <w:t xml:space="preserve">of </w:t>
      </w:r>
      <w:r>
        <w:rPr>
          <w:szCs w:val="24"/>
        </w:rPr>
        <w:t xml:space="preserve">two </w:t>
      </w:r>
      <w:r w:rsidR="00D51D44">
        <w:rPr>
          <w:szCs w:val="24"/>
        </w:rPr>
        <w:t xml:space="preserve">long defunct </w:t>
      </w:r>
      <w:r>
        <w:rPr>
          <w:szCs w:val="24"/>
        </w:rPr>
        <w:t xml:space="preserve">manufactured </w:t>
      </w:r>
      <w:r w:rsidR="00F47A29">
        <w:rPr>
          <w:szCs w:val="24"/>
        </w:rPr>
        <w:t>gas plant</w:t>
      </w:r>
      <w:r>
        <w:rPr>
          <w:szCs w:val="24"/>
        </w:rPr>
        <w:t xml:space="preserve"> (“MGP”) sites</w:t>
      </w:r>
      <w:r w:rsidR="00F47A29">
        <w:rPr>
          <w:szCs w:val="24"/>
        </w:rPr>
        <w:t>.</w:t>
      </w:r>
      <w:r w:rsidR="00015934">
        <w:rPr>
          <w:szCs w:val="24"/>
        </w:rPr>
        <w:t xml:space="preserve"> </w:t>
      </w:r>
      <w:r w:rsidR="00BD6AD4">
        <w:rPr>
          <w:szCs w:val="24"/>
        </w:rPr>
        <w:t xml:space="preserve">In support of its </w:t>
      </w:r>
      <w:r w:rsidR="00BF5F39">
        <w:rPr>
          <w:szCs w:val="24"/>
        </w:rPr>
        <w:t>position, Duke</w:t>
      </w:r>
      <w:r w:rsidR="00F47A29">
        <w:rPr>
          <w:szCs w:val="24"/>
        </w:rPr>
        <w:t xml:space="preserve"> </w:t>
      </w:r>
      <w:r w:rsidR="00D51D44">
        <w:rPr>
          <w:szCs w:val="24"/>
        </w:rPr>
        <w:t xml:space="preserve">repeats </w:t>
      </w:r>
      <w:r w:rsidR="00BD6AD4">
        <w:rPr>
          <w:szCs w:val="24"/>
        </w:rPr>
        <w:t xml:space="preserve">the same arguments in </w:t>
      </w:r>
      <w:r w:rsidR="00E337BD">
        <w:rPr>
          <w:szCs w:val="24"/>
        </w:rPr>
        <w:t>its</w:t>
      </w:r>
      <w:r w:rsidR="00A8724E">
        <w:rPr>
          <w:szCs w:val="24"/>
        </w:rPr>
        <w:t xml:space="preserve"> </w:t>
      </w:r>
      <w:r w:rsidR="00E337BD">
        <w:rPr>
          <w:szCs w:val="24"/>
        </w:rPr>
        <w:t>application in this case (</w:t>
      </w:r>
      <w:r w:rsidR="00BD6AD4">
        <w:rPr>
          <w:szCs w:val="24"/>
        </w:rPr>
        <w:t>“Application”) and comments</w:t>
      </w:r>
      <w:r w:rsidR="00A8724E">
        <w:rPr>
          <w:szCs w:val="24"/>
        </w:rPr>
        <w:t xml:space="preserve"> </w:t>
      </w:r>
      <w:r w:rsidR="00E337BD">
        <w:rPr>
          <w:szCs w:val="24"/>
        </w:rPr>
        <w:t>that it made last year in Case No. 19-174-GA-RDR</w:t>
      </w:r>
      <w:r w:rsidR="00F437A0">
        <w:rPr>
          <w:szCs w:val="24"/>
        </w:rPr>
        <w:t>.</w:t>
      </w:r>
      <w:r w:rsidR="00EC34D6">
        <w:rPr>
          <w:szCs w:val="24"/>
        </w:rPr>
        <w:t xml:space="preserve"> </w:t>
      </w:r>
      <w:r w:rsidR="00F437A0">
        <w:rPr>
          <w:szCs w:val="24"/>
        </w:rPr>
        <w:t>That case</w:t>
      </w:r>
      <w:r w:rsidR="00A8724E">
        <w:rPr>
          <w:szCs w:val="24"/>
        </w:rPr>
        <w:t xml:space="preserve"> </w:t>
      </w:r>
      <w:r w:rsidR="00E337BD">
        <w:rPr>
          <w:szCs w:val="24"/>
        </w:rPr>
        <w:t xml:space="preserve">was fully litigated and is awaiting a ruling by the </w:t>
      </w:r>
      <w:r w:rsidR="008C3F37">
        <w:rPr>
          <w:szCs w:val="24"/>
        </w:rPr>
        <w:t>Public Utilities Commission of Ohio (“</w:t>
      </w:r>
      <w:r w:rsidR="00E337BD">
        <w:rPr>
          <w:szCs w:val="24"/>
        </w:rPr>
        <w:t>PUCO</w:t>
      </w:r>
      <w:r w:rsidR="008C3F37">
        <w:rPr>
          <w:szCs w:val="24"/>
        </w:rPr>
        <w:t>”)</w:t>
      </w:r>
      <w:r w:rsidR="00E337BD">
        <w:rPr>
          <w:szCs w:val="24"/>
        </w:rPr>
        <w:t>.</w:t>
      </w:r>
      <w:r w:rsidR="00A8724E">
        <w:rPr>
          <w:szCs w:val="24"/>
        </w:rPr>
        <w:t xml:space="preserve"> </w:t>
      </w:r>
      <w:r w:rsidR="00E337BD">
        <w:rPr>
          <w:szCs w:val="24"/>
        </w:rPr>
        <w:t>The PUCO Staff, OCC, and other intervenors</w:t>
      </w:r>
      <w:r w:rsidR="000B491E">
        <w:rPr>
          <w:szCs w:val="24"/>
        </w:rPr>
        <w:t>,</w:t>
      </w:r>
      <w:r w:rsidR="00E337BD">
        <w:rPr>
          <w:szCs w:val="24"/>
        </w:rPr>
        <w:t xml:space="preserve"> thoroughly refuted Duke’s arguments in the </w:t>
      </w:r>
      <w:r>
        <w:rPr>
          <w:szCs w:val="24"/>
        </w:rPr>
        <w:t xml:space="preserve">19-174 case and Duke’s recycled arguments should be rejected here </w:t>
      </w:r>
      <w:r w:rsidR="00D22C97">
        <w:rPr>
          <w:szCs w:val="24"/>
        </w:rPr>
        <w:t>to protect consumers</w:t>
      </w:r>
      <w:r>
        <w:rPr>
          <w:szCs w:val="24"/>
        </w:rPr>
        <w:t>.</w:t>
      </w:r>
    </w:p>
    <w:p w:rsidR="00E77C54" w:rsidP="00E77C54" w14:paraId="68ECC224" w14:textId="77777777">
      <w:pPr>
        <w:spacing w:line="480" w:lineRule="auto"/>
        <w:ind w:firstLine="720"/>
        <w:rPr>
          <w:szCs w:val="24"/>
        </w:rPr>
      </w:pPr>
      <w:r>
        <w:rPr>
          <w:szCs w:val="24"/>
        </w:rPr>
        <w:t xml:space="preserve">For example, in this case, Duke once again argues that it is entitled to cleanup costs in the area of the East End former </w:t>
      </w:r>
      <w:r w:rsidR="008C3F37">
        <w:rPr>
          <w:szCs w:val="24"/>
        </w:rPr>
        <w:t xml:space="preserve">MGP site known as the West of the West (or “WOW”) parcel </w:t>
      </w:r>
      <w:r w:rsidR="00A01696">
        <w:rPr>
          <w:szCs w:val="24"/>
        </w:rPr>
        <w:t xml:space="preserve">and </w:t>
      </w:r>
      <w:r>
        <w:rPr>
          <w:szCs w:val="24"/>
        </w:rPr>
        <w:t>the Ohio River</w:t>
      </w:r>
      <w:r w:rsidR="00A01696">
        <w:rPr>
          <w:szCs w:val="24"/>
        </w:rPr>
        <w:t>.</w:t>
      </w:r>
      <w:r w:rsidR="00EC34D6">
        <w:rPr>
          <w:szCs w:val="24"/>
        </w:rPr>
        <w:t xml:space="preserve"> </w:t>
      </w:r>
      <w:r w:rsidR="00A01696">
        <w:rPr>
          <w:szCs w:val="24"/>
        </w:rPr>
        <w:t xml:space="preserve">But </w:t>
      </w:r>
      <w:r w:rsidR="008C3F37">
        <w:rPr>
          <w:szCs w:val="24"/>
        </w:rPr>
        <w:t xml:space="preserve">PUCO Staff, OCC, and others </w:t>
      </w:r>
      <w:r w:rsidR="00A01696">
        <w:rPr>
          <w:szCs w:val="24"/>
        </w:rPr>
        <w:t>have</w:t>
      </w:r>
      <w:r w:rsidR="008C3F37">
        <w:rPr>
          <w:szCs w:val="24"/>
        </w:rPr>
        <w:t xml:space="preserve"> clearly </w:t>
      </w:r>
      <w:r w:rsidR="00A01696">
        <w:rPr>
          <w:szCs w:val="24"/>
        </w:rPr>
        <w:t xml:space="preserve">shown </w:t>
      </w:r>
      <w:r w:rsidR="008C3F37">
        <w:rPr>
          <w:szCs w:val="24"/>
        </w:rPr>
        <w:t>that</w:t>
      </w:r>
      <w:r w:rsidR="00A8724E">
        <w:rPr>
          <w:szCs w:val="24"/>
        </w:rPr>
        <w:t xml:space="preserve"> </w:t>
      </w:r>
      <w:r w:rsidR="008C3F37">
        <w:rPr>
          <w:szCs w:val="24"/>
        </w:rPr>
        <w:t xml:space="preserve">Duke </w:t>
      </w:r>
      <w:r>
        <w:rPr>
          <w:szCs w:val="24"/>
        </w:rPr>
        <w:t>i</w:t>
      </w:r>
      <w:r w:rsidR="008C3F37">
        <w:rPr>
          <w:szCs w:val="24"/>
        </w:rPr>
        <w:t>s not entitled to collect cleanup costs for these areas from customers.</w:t>
      </w:r>
      <w:r w:rsidR="00A8724E">
        <w:rPr>
          <w:szCs w:val="24"/>
        </w:rPr>
        <w:t xml:space="preserve"> </w:t>
      </w:r>
      <w:r w:rsidR="008C3F37">
        <w:rPr>
          <w:szCs w:val="24"/>
        </w:rPr>
        <w:t xml:space="preserve">Duke </w:t>
      </w:r>
      <w:r w:rsidR="002B5591">
        <w:rPr>
          <w:szCs w:val="24"/>
        </w:rPr>
        <w:t xml:space="preserve">also </w:t>
      </w:r>
      <w:r w:rsidRPr="004B2E72" w:rsidR="003F1777">
        <w:rPr>
          <w:szCs w:val="24"/>
        </w:rPr>
        <w:t xml:space="preserve">wants to keep some of the insurance money that it has collected related to </w:t>
      </w:r>
      <w:r w:rsidR="008C3F37">
        <w:rPr>
          <w:szCs w:val="24"/>
        </w:rPr>
        <w:t xml:space="preserve">the MGP </w:t>
      </w:r>
      <w:r w:rsidRPr="004B2E72" w:rsidR="003F1777">
        <w:rPr>
          <w:szCs w:val="24"/>
        </w:rPr>
        <w:t xml:space="preserve">cleanup, even though the </w:t>
      </w:r>
      <w:r w:rsidRPr="004B2E72" w:rsidR="001D4EBF">
        <w:rPr>
          <w:szCs w:val="24"/>
        </w:rPr>
        <w:t>PUCO</w:t>
      </w:r>
      <w:r w:rsidR="00A8724E">
        <w:rPr>
          <w:szCs w:val="24"/>
        </w:rPr>
        <w:t xml:space="preserve"> </w:t>
      </w:r>
      <w:r w:rsidRPr="004B2E72" w:rsidR="003F1777">
        <w:rPr>
          <w:szCs w:val="24"/>
        </w:rPr>
        <w:t>has already ruled that all of this money</w:t>
      </w:r>
      <w:r w:rsidRPr="00F548D4" w:rsidR="003F1777">
        <w:rPr>
          <w:szCs w:val="24"/>
        </w:rPr>
        <w:t>—</w:t>
      </w:r>
      <w:r w:rsidR="00306E6B">
        <w:rPr>
          <w:szCs w:val="24"/>
        </w:rPr>
        <w:t xml:space="preserve">approximately </w:t>
      </w:r>
      <w:r w:rsidRPr="00F548D4" w:rsidR="003F1777">
        <w:rPr>
          <w:szCs w:val="24"/>
        </w:rPr>
        <w:t>$50.</w:t>
      </w:r>
      <w:r w:rsidRPr="00F548D4" w:rsidR="009339FE">
        <w:rPr>
          <w:szCs w:val="24"/>
        </w:rPr>
        <w:t>6</w:t>
      </w:r>
      <w:r w:rsidRPr="00F548D4" w:rsidR="003F1777">
        <w:rPr>
          <w:szCs w:val="24"/>
        </w:rPr>
        <w:t xml:space="preserve"> million—</w:t>
      </w:r>
      <w:r w:rsidRPr="004B2E72" w:rsidR="003F1777">
        <w:rPr>
          <w:szCs w:val="24"/>
        </w:rPr>
        <w:t xml:space="preserve">belongs to </w:t>
      </w:r>
      <w:r w:rsidRPr="004B2E72" w:rsidR="006E0657">
        <w:rPr>
          <w:szCs w:val="24"/>
        </w:rPr>
        <w:t xml:space="preserve">Duke’s </w:t>
      </w:r>
      <w:r w:rsidRPr="004B2E72" w:rsidR="003F1777">
        <w:rPr>
          <w:szCs w:val="24"/>
        </w:rPr>
        <w:t>customers.</w:t>
      </w:r>
      <w:r w:rsidR="00A8724E">
        <w:rPr>
          <w:szCs w:val="24"/>
        </w:rPr>
        <w:t xml:space="preserve"> </w:t>
      </w:r>
    </w:p>
    <w:p w:rsidR="00B5599C" w:rsidRPr="004B2E72" w:rsidP="00E77C54" w14:paraId="0EF4B211" w14:textId="0FE5409F">
      <w:pPr>
        <w:spacing w:line="480" w:lineRule="auto"/>
        <w:ind w:firstLine="720"/>
        <w:rPr>
          <w:szCs w:val="24"/>
        </w:rPr>
      </w:pPr>
      <w:r>
        <w:rPr>
          <w:szCs w:val="24"/>
        </w:rPr>
        <w:t xml:space="preserve">Duke </w:t>
      </w:r>
      <w:r w:rsidR="00B07111">
        <w:rPr>
          <w:szCs w:val="24"/>
        </w:rPr>
        <w:t xml:space="preserve">again </w:t>
      </w:r>
      <w:r>
        <w:rPr>
          <w:szCs w:val="24"/>
        </w:rPr>
        <w:t xml:space="preserve">wants to </w:t>
      </w:r>
      <w:r w:rsidR="00B07111">
        <w:rPr>
          <w:szCs w:val="24"/>
        </w:rPr>
        <w:t>charge customers for costs to clean</w:t>
      </w:r>
      <w:r w:rsidR="00BF5F39">
        <w:rPr>
          <w:szCs w:val="24"/>
        </w:rPr>
        <w:t xml:space="preserve"> </w:t>
      </w:r>
      <w:r w:rsidR="00B07111">
        <w:rPr>
          <w:szCs w:val="24"/>
        </w:rPr>
        <w:t xml:space="preserve">up the </w:t>
      </w:r>
      <w:r w:rsidR="00513FF1">
        <w:rPr>
          <w:szCs w:val="24"/>
        </w:rPr>
        <w:t xml:space="preserve">MGP sites </w:t>
      </w:r>
      <w:r w:rsidR="00D33DCC">
        <w:rPr>
          <w:szCs w:val="24"/>
        </w:rPr>
        <w:t xml:space="preserve">to a standard that </w:t>
      </w:r>
      <w:r w:rsidRPr="00015934" w:rsidR="001A374A">
        <w:rPr>
          <w:i/>
          <w:iCs/>
          <w:szCs w:val="24"/>
        </w:rPr>
        <w:t>exceeds</w:t>
      </w:r>
      <w:r w:rsidR="001A374A">
        <w:rPr>
          <w:szCs w:val="24"/>
        </w:rPr>
        <w:t xml:space="preserve"> </w:t>
      </w:r>
      <w:r w:rsidR="00D33DCC">
        <w:rPr>
          <w:szCs w:val="24"/>
        </w:rPr>
        <w:t>the applicable environmental</w:t>
      </w:r>
      <w:r w:rsidR="009C346B">
        <w:rPr>
          <w:szCs w:val="24"/>
        </w:rPr>
        <w:t xml:space="preserve"> requirements</w:t>
      </w:r>
      <w:r w:rsidR="006824D9">
        <w:rPr>
          <w:szCs w:val="24"/>
        </w:rPr>
        <w:t>, thus</w:t>
      </w:r>
      <w:r w:rsidR="00D33DCC">
        <w:rPr>
          <w:szCs w:val="24"/>
        </w:rPr>
        <w:t xml:space="preserve"> leading to much higher </w:t>
      </w:r>
      <w:r w:rsidR="0076573F">
        <w:rPr>
          <w:szCs w:val="24"/>
        </w:rPr>
        <w:t>charges</w:t>
      </w:r>
      <w:r w:rsidR="00015934">
        <w:rPr>
          <w:szCs w:val="24"/>
        </w:rPr>
        <w:t xml:space="preserve"> </w:t>
      </w:r>
      <w:r w:rsidR="001A374A">
        <w:rPr>
          <w:szCs w:val="24"/>
        </w:rPr>
        <w:t>to</w:t>
      </w:r>
      <w:r w:rsidR="00015934">
        <w:rPr>
          <w:szCs w:val="24"/>
        </w:rPr>
        <w:t xml:space="preserve"> </w:t>
      </w:r>
      <w:r w:rsidR="00D33DCC">
        <w:rPr>
          <w:szCs w:val="24"/>
        </w:rPr>
        <w:t>Duke’s customers.</w:t>
      </w:r>
      <w:r w:rsidR="00A8724E">
        <w:rPr>
          <w:szCs w:val="24"/>
        </w:rPr>
        <w:t xml:space="preserve"> </w:t>
      </w:r>
      <w:r w:rsidR="00D22C97">
        <w:rPr>
          <w:szCs w:val="24"/>
        </w:rPr>
        <w:t xml:space="preserve">In Case No. 19-174-GA-RDR, </w:t>
      </w:r>
      <w:r w:rsidR="00D33DCC">
        <w:rPr>
          <w:szCs w:val="24"/>
        </w:rPr>
        <w:t xml:space="preserve">OCC </w:t>
      </w:r>
      <w:r w:rsidR="00D22C97">
        <w:rPr>
          <w:szCs w:val="24"/>
        </w:rPr>
        <w:t xml:space="preserve">offered the testimony of </w:t>
      </w:r>
      <w:r w:rsidR="00A8724E">
        <w:rPr>
          <w:szCs w:val="24"/>
        </w:rPr>
        <w:t>J</w:t>
      </w:r>
      <w:r w:rsidRPr="00C52CE9" w:rsidR="00C52CE9">
        <w:rPr>
          <w:szCs w:val="24"/>
        </w:rPr>
        <w:t xml:space="preserve">ames </w:t>
      </w:r>
      <w:r w:rsidR="009C346B">
        <w:rPr>
          <w:szCs w:val="24"/>
        </w:rPr>
        <w:t xml:space="preserve">R. </w:t>
      </w:r>
      <w:r w:rsidRPr="00C52CE9" w:rsidR="00C52CE9">
        <w:rPr>
          <w:szCs w:val="24"/>
        </w:rPr>
        <w:t>Campbell</w:t>
      </w:r>
      <w:r w:rsidR="00C52CE9">
        <w:rPr>
          <w:szCs w:val="24"/>
        </w:rPr>
        <w:t xml:space="preserve">, </w:t>
      </w:r>
      <w:r w:rsidRPr="00C52CE9" w:rsidR="00C52CE9">
        <w:rPr>
          <w:szCs w:val="24"/>
        </w:rPr>
        <w:t>a Ph.D.</w:t>
      </w:r>
      <w:r w:rsidR="00D22C97">
        <w:rPr>
          <w:szCs w:val="24"/>
        </w:rPr>
        <w:t>, on this matter.</w:t>
      </w:r>
      <w:r w:rsidR="00A8724E">
        <w:rPr>
          <w:szCs w:val="24"/>
        </w:rPr>
        <w:t xml:space="preserve"> </w:t>
      </w:r>
      <w:r w:rsidR="00D22C97">
        <w:rPr>
          <w:szCs w:val="24"/>
        </w:rPr>
        <w:t>He is an</w:t>
      </w:r>
      <w:r w:rsidRPr="00C52CE9" w:rsidR="00C52CE9">
        <w:rPr>
          <w:szCs w:val="24"/>
        </w:rPr>
        <w:t xml:space="preserve"> environmental engineer with 30</w:t>
      </w:r>
      <w:r w:rsidR="00406471">
        <w:rPr>
          <w:szCs w:val="24"/>
        </w:rPr>
        <w:t>-</w:t>
      </w:r>
      <w:r w:rsidRPr="00C52CE9" w:rsidR="00C52CE9">
        <w:rPr>
          <w:szCs w:val="24"/>
        </w:rPr>
        <w:t>plus years of experience at more than 50 MGP sites who is certified by the State of Ohio to evaluate MGP cleanup projects like Duke’s</w:t>
      </w:r>
      <w:r w:rsidR="006C155D">
        <w:rPr>
          <w:szCs w:val="24"/>
        </w:rPr>
        <w:t>.</w:t>
      </w:r>
      <w:r w:rsidR="00A8724E">
        <w:rPr>
          <w:szCs w:val="24"/>
        </w:rPr>
        <w:t xml:space="preserve"> </w:t>
      </w:r>
      <w:r w:rsidR="006C155D">
        <w:rPr>
          <w:szCs w:val="24"/>
        </w:rPr>
        <w:t>He testified</w:t>
      </w:r>
      <w:r w:rsidR="006824D9">
        <w:rPr>
          <w:szCs w:val="24"/>
        </w:rPr>
        <w:t xml:space="preserve"> </w:t>
      </w:r>
      <w:r w:rsidRPr="00C52CE9" w:rsidR="00C52CE9">
        <w:rPr>
          <w:szCs w:val="24"/>
        </w:rPr>
        <w:t>that Duke is cleaning up these properties far beyond what is required by law and far beyond what is necessary to protect human health and the environment</w:t>
      </w:r>
      <w:r w:rsidR="006824D9">
        <w:rPr>
          <w:szCs w:val="24"/>
        </w:rPr>
        <w:t>.</w:t>
      </w:r>
      <w:r w:rsidR="00A8724E">
        <w:rPr>
          <w:szCs w:val="24"/>
        </w:rPr>
        <w:t xml:space="preserve"> </w:t>
      </w:r>
      <w:r w:rsidR="006824D9">
        <w:rPr>
          <w:szCs w:val="24"/>
        </w:rPr>
        <w:t>Duke</w:t>
      </w:r>
      <w:r w:rsidR="00BF5F39">
        <w:rPr>
          <w:szCs w:val="24"/>
        </w:rPr>
        <w:t>’s</w:t>
      </w:r>
      <w:r w:rsidR="006824D9">
        <w:rPr>
          <w:szCs w:val="24"/>
        </w:rPr>
        <w:t xml:space="preserve"> continued </w:t>
      </w:r>
      <w:r w:rsidRPr="00B10871" w:rsidR="00B10871">
        <w:rPr>
          <w:szCs w:val="24"/>
        </w:rPr>
        <w:t xml:space="preserve">remediation efforts </w:t>
      </w:r>
      <w:r w:rsidR="006C155D">
        <w:rPr>
          <w:szCs w:val="24"/>
        </w:rPr>
        <w:t>at issue here</w:t>
      </w:r>
      <w:r w:rsidR="00BF5F39">
        <w:rPr>
          <w:szCs w:val="24"/>
        </w:rPr>
        <w:t xml:space="preserve"> </w:t>
      </w:r>
      <w:r w:rsidRPr="00B10871" w:rsidR="00B10871">
        <w:rPr>
          <w:szCs w:val="24"/>
        </w:rPr>
        <w:t xml:space="preserve">were </w:t>
      </w:r>
      <w:r w:rsidR="00BF5F39">
        <w:rPr>
          <w:szCs w:val="24"/>
        </w:rPr>
        <w:t xml:space="preserve">again </w:t>
      </w:r>
      <w:r w:rsidRPr="00B10871" w:rsidR="00B10871">
        <w:rPr>
          <w:szCs w:val="24"/>
        </w:rPr>
        <w:t>excessive and unnecessary</w:t>
      </w:r>
      <w:r w:rsidR="00B10871">
        <w:rPr>
          <w:szCs w:val="24"/>
        </w:rPr>
        <w:t>.</w:t>
      </w:r>
      <w:r w:rsidR="00A8724E">
        <w:rPr>
          <w:szCs w:val="24"/>
        </w:rPr>
        <w:t xml:space="preserve"> </w:t>
      </w:r>
      <w:r w:rsidRPr="00B10871" w:rsidR="00B10871">
        <w:rPr>
          <w:szCs w:val="24"/>
        </w:rPr>
        <w:t xml:space="preserve">Duke could have remediated the MGP </w:t>
      </w:r>
      <w:r w:rsidR="006C155D">
        <w:rPr>
          <w:szCs w:val="24"/>
        </w:rPr>
        <w:t>s</w:t>
      </w:r>
      <w:r w:rsidRPr="00B10871" w:rsidR="00B10871">
        <w:rPr>
          <w:szCs w:val="24"/>
        </w:rPr>
        <w:t>ites</w:t>
      </w:r>
      <w:r w:rsidR="00B10871">
        <w:rPr>
          <w:szCs w:val="24"/>
        </w:rPr>
        <w:t xml:space="preserve"> in 2019 </w:t>
      </w:r>
      <w:r w:rsidRPr="00B10871" w:rsidR="00B10871">
        <w:rPr>
          <w:szCs w:val="24"/>
        </w:rPr>
        <w:t>at substantially lower</w:t>
      </w:r>
      <w:r w:rsidR="00B10871">
        <w:rPr>
          <w:szCs w:val="24"/>
        </w:rPr>
        <w:t xml:space="preserve"> costs than it</w:t>
      </w:r>
      <w:r w:rsidR="00406471">
        <w:rPr>
          <w:szCs w:val="24"/>
        </w:rPr>
        <w:t xml:space="preserve"> is</w:t>
      </w:r>
      <w:r w:rsidR="00B10871">
        <w:rPr>
          <w:szCs w:val="24"/>
        </w:rPr>
        <w:t xml:space="preserve"> seeking </w:t>
      </w:r>
      <w:r w:rsidR="001A374A">
        <w:rPr>
          <w:szCs w:val="24"/>
        </w:rPr>
        <w:t>reimbursement</w:t>
      </w:r>
      <w:r w:rsidR="00EC34D6">
        <w:rPr>
          <w:szCs w:val="24"/>
        </w:rPr>
        <w:t xml:space="preserve"> </w:t>
      </w:r>
      <w:r w:rsidR="00B10871">
        <w:rPr>
          <w:szCs w:val="24"/>
        </w:rPr>
        <w:t>from customers</w:t>
      </w:r>
      <w:r w:rsidR="00406471">
        <w:rPr>
          <w:szCs w:val="24"/>
        </w:rPr>
        <w:t xml:space="preserve"> now</w:t>
      </w:r>
      <w:r w:rsidR="00B10871">
        <w:rPr>
          <w:szCs w:val="24"/>
        </w:rPr>
        <w:t>.</w:t>
      </w:r>
      <w:r w:rsidR="00DE3355">
        <w:rPr>
          <w:szCs w:val="24"/>
        </w:rPr>
        <w:t xml:space="preserve"> While Duke should not be allowed to charge consumers, the PUCO should find that Duke’s charges for clean-up beyond legal requirements should be denied.</w:t>
      </w:r>
    </w:p>
    <w:p w:rsidR="00D23463" w:rsidRPr="004B2E72" w:rsidP="005B7FA3" w14:paraId="5C5FDEDC" w14:textId="5DBE5954">
      <w:pPr>
        <w:spacing w:line="480" w:lineRule="auto"/>
        <w:ind w:firstLine="720"/>
        <w:rPr>
          <w:szCs w:val="24"/>
        </w:rPr>
      </w:pPr>
      <w:r>
        <w:rPr>
          <w:szCs w:val="24"/>
        </w:rPr>
        <w:t>Accordingly</w:t>
      </w:r>
      <w:r w:rsidRPr="004B2E72" w:rsidR="003F1777">
        <w:rPr>
          <w:szCs w:val="24"/>
        </w:rPr>
        <w:t>,</w:t>
      </w:r>
      <w:r>
        <w:rPr>
          <w:szCs w:val="24"/>
        </w:rPr>
        <w:t xml:space="preserve"> the PUCO</w:t>
      </w:r>
      <w:r w:rsidRPr="004B2E72" w:rsidR="003F1777">
        <w:rPr>
          <w:szCs w:val="24"/>
        </w:rPr>
        <w:t xml:space="preserve"> should adopt the recommendations made by </w:t>
      </w:r>
      <w:r w:rsidR="006C155D">
        <w:rPr>
          <w:szCs w:val="24"/>
        </w:rPr>
        <w:t>OCC</w:t>
      </w:r>
      <w:r w:rsidRPr="004B2E72" w:rsidR="002D4A61">
        <w:rPr>
          <w:szCs w:val="24"/>
        </w:rPr>
        <w:t xml:space="preserve">. </w:t>
      </w:r>
      <w:r w:rsidR="00B10871">
        <w:rPr>
          <w:szCs w:val="24"/>
        </w:rPr>
        <w:t xml:space="preserve">The PUCO should adopt the PUCO Staff’s </w:t>
      </w:r>
      <w:r w:rsidR="00BF5F39">
        <w:rPr>
          <w:szCs w:val="24"/>
        </w:rPr>
        <w:t>recommended</w:t>
      </w:r>
      <w:r w:rsidR="00B10871">
        <w:rPr>
          <w:szCs w:val="24"/>
        </w:rPr>
        <w:t xml:space="preserve"> </w:t>
      </w:r>
      <w:r w:rsidR="00375362">
        <w:rPr>
          <w:szCs w:val="24"/>
        </w:rPr>
        <w:t xml:space="preserve">full </w:t>
      </w:r>
      <w:bookmarkStart w:id="2" w:name="_Hlk53498366"/>
      <w:r w:rsidRPr="00375362" w:rsidR="00375362">
        <w:rPr>
          <w:szCs w:val="24"/>
        </w:rPr>
        <w:t>$3,897,930</w:t>
      </w:r>
      <w:bookmarkEnd w:id="2"/>
      <w:r w:rsidR="00375362">
        <w:rPr>
          <w:szCs w:val="24"/>
        </w:rPr>
        <w:t xml:space="preserve"> </w:t>
      </w:r>
      <w:r w:rsidR="00B10871">
        <w:rPr>
          <w:szCs w:val="24"/>
        </w:rPr>
        <w:t xml:space="preserve">adjustment to Rider MGP to </w:t>
      </w:r>
      <w:r w:rsidR="00BF5F39">
        <w:rPr>
          <w:szCs w:val="24"/>
        </w:rPr>
        <w:t>remove</w:t>
      </w:r>
      <w:r w:rsidR="00B10871">
        <w:rPr>
          <w:szCs w:val="24"/>
        </w:rPr>
        <w:t xml:space="preserve"> costs incurred in the WOW </w:t>
      </w:r>
      <w:r w:rsidR="005B7FA3">
        <w:rPr>
          <w:szCs w:val="24"/>
        </w:rPr>
        <w:t>parcel and the Ohio River.</w:t>
      </w:r>
      <w:r w:rsidR="00A8724E">
        <w:rPr>
          <w:szCs w:val="24"/>
        </w:rPr>
        <w:t xml:space="preserve"> </w:t>
      </w:r>
      <w:r w:rsidR="005B7FA3">
        <w:rPr>
          <w:szCs w:val="24"/>
        </w:rPr>
        <w:t xml:space="preserve">The PUCO should order Duke to identify and remove all remediation costs that go beyond the standards identified by OCC witness Dr. James Campbell in testimony </w:t>
      </w:r>
      <w:r w:rsidR="00F9418B">
        <w:rPr>
          <w:szCs w:val="24"/>
        </w:rPr>
        <w:t xml:space="preserve">filed </w:t>
      </w:r>
      <w:r w:rsidR="005B7FA3">
        <w:rPr>
          <w:szCs w:val="24"/>
        </w:rPr>
        <w:t>in the 19-174-GA-RDR case.</w:t>
      </w:r>
      <w:r w:rsidR="00A8724E">
        <w:rPr>
          <w:szCs w:val="24"/>
        </w:rPr>
        <w:t xml:space="preserve"> </w:t>
      </w:r>
      <w:r w:rsidR="005B7FA3">
        <w:rPr>
          <w:szCs w:val="24"/>
        </w:rPr>
        <w:t xml:space="preserve">And the PUCO should direct Duke to immediately pay customers </w:t>
      </w:r>
      <w:r w:rsidRPr="004B2E72" w:rsidR="003F1777">
        <w:rPr>
          <w:szCs w:val="24"/>
        </w:rPr>
        <w:t xml:space="preserve">all </w:t>
      </w:r>
      <w:r w:rsidR="00E77C54">
        <w:rPr>
          <w:szCs w:val="24"/>
        </w:rPr>
        <w:t xml:space="preserve">approximately </w:t>
      </w:r>
      <w:r w:rsidRPr="00F548D4" w:rsidR="003F1777">
        <w:rPr>
          <w:szCs w:val="24"/>
        </w:rPr>
        <w:t>$50.</w:t>
      </w:r>
      <w:r w:rsidRPr="00F548D4" w:rsidR="009339FE">
        <w:rPr>
          <w:szCs w:val="24"/>
        </w:rPr>
        <w:t>6</w:t>
      </w:r>
      <w:r w:rsidRPr="00F548D4" w:rsidR="003F1777">
        <w:rPr>
          <w:szCs w:val="24"/>
        </w:rPr>
        <w:t xml:space="preserve"> million</w:t>
      </w:r>
      <w:r w:rsidRPr="004B2E72" w:rsidR="003F1777">
        <w:rPr>
          <w:szCs w:val="24"/>
        </w:rPr>
        <w:t xml:space="preserve"> in insurance proceeds</w:t>
      </w:r>
      <w:r w:rsidR="005B7FA3">
        <w:rPr>
          <w:szCs w:val="24"/>
        </w:rPr>
        <w:t xml:space="preserve"> that it collected </w:t>
      </w:r>
      <w:r w:rsidR="00F9418B">
        <w:rPr>
          <w:szCs w:val="24"/>
        </w:rPr>
        <w:t xml:space="preserve">from insurers </w:t>
      </w:r>
      <w:r w:rsidR="005B7FA3">
        <w:rPr>
          <w:szCs w:val="24"/>
        </w:rPr>
        <w:t xml:space="preserve">and is </w:t>
      </w:r>
      <w:r w:rsidR="00F9418B">
        <w:rPr>
          <w:szCs w:val="24"/>
        </w:rPr>
        <w:t xml:space="preserve">currently </w:t>
      </w:r>
      <w:r w:rsidR="005B7FA3">
        <w:rPr>
          <w:szCs w:val="24"/>
        </w:rPr>
        <w:t>holding</w:t>
      </w:r>
      <w:r w:rsidR="00F9418B">
        <w:rPr>
          <w:szCs w:val="24"/>
        </w:rPr>
        <w:t xml:space="preserve"> in a non-</w:t>
      </w:r>
      <w:r w:rsidR="00F452F8">
        <w:rPr>
          <w:szCs w:val="24"/>
        </w:rPr>
        <w:t>interest-bearing</w:t>
      </w:r>
      <w:r w:rsidR="00F9418B">
        <w:rPr>
          <w:szCs w:val="24"/>
        </w:rPr>
        <w:t xml:space="preserve"> account.</w:t>
      </w:r>
      <w:r w:rsidRPr="004B2E72" w:rsidR="002D4A61">
        <w:rPr>
          <w:szCs w:val="24"/>
        </w:rPr>
        <w:t xml:space="preserve"> </w:t>
      </w:r>
    </w:p>
    <w:p w:rsidR="007B4CAB" w:rsidP="001C05B7" w14:paraId="64F58FF6" w14:textId="3A0C65A5">
      <w:pPr>
        <w:pStyle w:val="Heading1"/>
      </w:pPr>
      <w:bookmarkStart w:id="3" w:name="_Toc53042897"/>
      <w:bookmarkStart w:id="4" w:name="_Toc55815486"/>
      <w:r>
        <w:t>COMMENTS</w:t>
      </w:r>
      <w:bookmarkEnd w:id="3"/>
      <w:bookmarkEnd w:id="4"/>
    </w:p>
    <w:p w:rsidR="00171857" w:rsidP="00104B50" w14:paraId="25363D14" w14:textId="6FCF4254">
      <w:pPr>
        <w:pStyle w:val="Heading2"/>
      </w:pPr>
      <w:bookmarkStart w:id="5" w:name="_Toc53042898"/>
      <w:bookmarkStart w:id="6" w:name="_Toc55815487"/>
      <w:r>
        <w:t>T</w:t>
      </w:r>
      <w:r w:rsidR="006C155D">
        <w:t>he</w:t>
      </w:r>
      <w:r w:rsidR="00946CF7">
        <w:t xml:space="preserve"> </w:t>
      </w:r>
      <w:r w:rsidRPr="004B2E72">
        <w:t xml:space="preserve">PUCO </w:t>
      </w:r>
      <w:r>
        <w:t xml:space="preserve">previously </w:t>
      </w:r>
      <w:r w:rsidRPr="004B2E72">
        <w:t>rule</w:t>
      </w:r>
      <w:r>
        <w:t>d</w:t>
      </w:r>
      <w:r w:rsidRPr="004B2E72">
        <w:t xml:space="preserve"> that Duke </w:t>
      </w:r>
      <w:r>
        <w:t xml:space="preserve">cannot </w:t>
      </w:r>
      <w:r w:rsidRPr="004B2E72">
        <w:t>charge customers for M</w:t>
      </w:r>
      <w:r>
        <w:t>anufactured Gas Plant</w:t>
      </w:r>
      <w:r w:rsidR="00A8724E">
        <w:t xml:space="preserve"> </w:t>
      </w:r>
      <w:r w:rsidRPr="004B2E72">
        <w:t xml:space="preserve">cleanup </w:t>
      </w:r>
      <w:r w:rsidRPr="00B85A22">
        <w:t>costs</w:t>
      </w:r>
      <w:r w:rsidRPr="004B2E72">
        <w:t xml:space="preserve"> incurred </w:t>
      </w:r>
      <w:r w:rsidRPr="00B85A22">
        <w:t>outside the bounds</w:t>
      </w:r>
      <w:r>
        <w:t xml:space="preserve"> </w:t>
      </w:r>
      <w:r w:rsidRPr="001F2945">
        <w:t xml:space="preserve">of the </w:t>
      </w:r>
      <w:r w:rsidR="00A01696">
        <w:t>Manufactured Gas Plan</w:t>
      </w:r>
      <w:r w:rsidR="00BB22F6">
        <w:t>t</w:t>
      </w:r>
      <w:r w:rsidRPr="001F2945">
        <w:t xml:space="preserve"> Sites</w:t>
      </w:r>
      <w:r w:rsidRPr="004B2E72">
        <w:t>.</w:t>
      </w:r>
      <w:bookmarkEnd w:id="5"/>
      <w:bookmarkEnd w:id="6"/>
    </w:p>
    <w:p w:rsidR="00171857" w:rsidP="00171857" w14:paraId="2CD1E662" w14:textId="7E32CE78">
      <w:pPr>
        <w:spacing w:line="480" w:lineRule="auto"/>
        <w:ind w:firstLine="720"/>
        <w:rPr>
          <w:szCs w:val="24"/>
        </w:rPr>
      </w:pPr>
      <w:r w:rsidRPr="00003995">
        <w:rPr>
          <w:szCs w:val="24"/>
        </w:rPr>
        <w:t xml:space="preserve">Duke’s primary argument in this case </w:t>
      </w:r>
      <w:r>
        <w:rPr>
          <w:szCs w:val="24"/>
        </w:rPr>
        <w:t xml:space="preserve">(as it was in previous MGP cases) </w:t>
      </w:r>
      <w:r w:rsidRPr="00003995">
        <w:rPr>
          <w:szCs w:val="24"/>
        </w:rPr>
        <w:t>is that the location of contamination doesn’t matter.</w:t>
      </w:r>
      <w:r>
        <w:rPr>
          <w:vertAlign w:val="superscript"/>
        </w:rPr>
        <w:footnoteReference w:id="2"/>
      </w:r>
      <w:r w:rsidRPr="00003995">
        <w:rPr>
          <w:szCs w:val="24"/>
        </w:rPr>
        <w:t xml:space="preserve"> According to Duke, customers should pay for all cleanup related to the MGP sites, no matter where the contamination is located. </w:t>
      </w:r>
      <w:r>
        <w:rPr>
          <w:szCs w:val="24"/>
        </w:rPr>
        <w:t xml:space="preserve">But </w:t>
      </w:r>
      <w:r w:rsidR="00F437A0">
        <w:rPr>
          <w:szCs w:val="24"/>
        </w:rPr>
        <w:t xml:space="preserve">as explained below, </w:t>
      </w:r>
      <w:r>
        <w:rPr>
          <w:szCs w:val="24"/>
        </w:rPr>
        <w:t xml:space="preserve">the PUCO has already ruled that Duke cannot charge customers for MGP cleanup costs outside the bounds of the MGP Sites. The PUCO </w:t>
      </w:r>
      <w:r w:rsidR="003B127A">
        <w:rPr>
          <w:szCs w:val="24"/>
        </w:rPr>
        <w:t xml:space="preserve">should </w:t>
      </w:r>
      <w:r>
        <w:rPr>
          <w:szCs w:val="24"/>
        </w:rPr>
        <w:t>disallow these charges</w:t>
      </w:r>
      <w:r w:rsidR="00A60317">
        <w:rPr>
          <w:szCs w:val="24"/>
        </w:rPr>
        <w:t xml:space="preserve"> as recommended by</w:t>
      </w:r>
      <w:r w:rsidR="00403DA0">
        <w:rPr>
          <w:szCs w:val="24"/>
        </w:rPr>
        <w:t xml:space="preserve"> its own Staff and supported by OCC</w:t>
      </w:r>
      <w:r>
        <w:rPr>
          <w:szCs w:val="24"/>
        </w:rPr>
        <w:t>.</w:t>
      </w:r>
    </w:p>
    <w:p w:rsidR="00171857" w:rsidRPr="00F12421" w:rsidP="00103918" w14:paraId="49A61787" w14:textId="5DA8955A">
      <w:pPr>
        <w:pStyle w:val="Heading3"/>
      </w:pPr>
      <w:bookmarkStart w:id="7" w:name="_Toc55815488"/>
      <w:r w:rsidRPr="00F12421">
        <w:rPr>
          <w:rStyle w:val="Heading3Char"/>
          <w:b/>
          <w:bCs/>
        </w:rPr>
        <w:t>The PUCO</w:t>
      </w:r>
      <w:r w:rsidR="001A374A">
        <w:rPr>
          <w:rStyle w:val="Heading3Char"/>
          <w:b/>
          <w:bCs/>
        </w:rPr>
        <w:t xml:space="preserve"> should not allow Duke to charge customers for</w:t>
      </w:r>
      <w:r w:rsidR="00EC34D6">
        <w:rPr>
          <w:rStyle w:val="Heading3Char"/>
          <w:b/>
          <w:bCs/>
        </w:rPr>
        <w:t xml:space="preserve"> </w:t>
      </w:r>
      <w:r w:rsidRPr="00F12421">
        <w:t xml:space="preserve">investigation and remediation of the Area West of the West Parcel and </w:t>
      </w:r>
      <w:r w:rsidR="00161A1F">
        <w:t>t</w:t>
      </w:r>
      <w:r w:rsidRPr="00F12421">
        <w:t xml:space="preserve">he areas outside the “original footprint” of the </w:t>
      </w:r>
      <w:r w:rsidR="003B127A">
        <w:t xml:space="preserve">MGP plants </w:t>
      </w:r>
      <w:r w:rsidRPr="00F12421">
        <w:t>operations, including the Ohio River.</w:t>
      </w:r>
      <w:bookmarkEnd w:id="7"/>
    </w:p>
    <w:p w:rsidR="001A374A" w:rsidP="00171857" w14:paraId="28E38A65" w14:textId="2BE6651E">
      <w:pPr>
        <w:spacing w:before="240" w:line="480" w:lineRule="auto"/>
        <w:ind w:firstLine="720"/>
        <w:rPr>
          <w:szCs w:val="24"/>
        </w:rPr>
      </w:pPr>
      <w:r>
        <w:rPr>
          <w:szCs w:val="24"/>
        </w:rPr>
        <w:t>Consistent with its position in previous case</w:t>
      </w:r>
      <w:r w:rsidR="006C155D">
        <w:rPr>
          <w:szCs w:val="24"/>
        </w:rPr>
        <w:t>s</w:t>
      </w:r>
      <w:r>
        <w:rPr>
          <w:szCs w:val="24"/>
        </w:rPr>
        <w:t>, i</w:t>
      </w:r>
      <w:r w:rsidRPr="003E2EE2">
        <w:rPr>
          <w:szCs w:val="24"/>
        </w:rPr>
        <w:t xml:space="preserve">n the </w:t>
      </w:r>
      <w:r>
        <w:rPr>
          <w:szCs w:val="24"/>
        </w:rPr>
        <w:t xml:space="preserve">August </w:t>
      </w:r>
      <w:r w:rsidRPr="003E2EE2">
        <w:rPr>
          <w:szCs w:val="24"/>
        </w:rPr>
        <w:t xml:space="preserve">2020 Staff Report, </w:t>
      </w:r>
      <w:r>
        <w:rPr>
          <w:szCs w:val="24"/>
        </w:rPr>
        <w:t xml:space="preserve">the PUCO </w:t>
      </w:r>
      <w:r w:rsidRPr="003E2EE2">
        <w:rPr>
          <w:szCs w:val="24"/>
        </w:rPr>
        <w:t xml:space="preserve">Staff recommended that </w:t>
      </w:r>
      <w:r>
        <w:rPr>
          <w:szCs w:val="24"/>
        </w:rPr>
        <w:t>Duke</w:t>
      </w:r>
      <w:r w:rsidRPr="003E2EE2">
        <w:rPr>
          <w:szCs w:val="24"/>
        </w:rPr>
        <w:t xml:space="preserve"> </w:t>
      </w:r>
      <w:r>
        <w:rPr>
          <w:szCs w:val="24"/>
        </w:rPr>
        <w:t>should not be permitted to</w:t>
      </w:r>
      <w:r w:rsidR="00A8724E">
        <w:rPr>
          <w:szCs w:val="24"/>
        </w:rPr>
        <w:t xml:space="preserve"> </w:t>
      </w:r>
      <w:r>
        <w:rPr>
          <w:szCs w:val="24"/>
        </w:rPr>
        <w:t>collect</w:t>
      </w:r>
      <w:r w:rsidRPr="003E2EE2">
        <w:rPr>
          <w:szCs w:val="24"/>
        </w:rPr>
        <w:t xml:space="preserve"> costs</w:t>
      </w:r>
      <w:r>
        <w:rPr>
          <w:szCs w:val="24"/>
        </w:rPr>
        <w:t xml:space="preserve"> </w:t>
      </w:r>
      <w:r w:rsidRPr="003E2EE2">
        <w:rPr>
          <w:szCs w:val="24"/>
        </w:rPr>
        <w:t xml:space="preserve">associated with investigation and/or remediation of the </w:t>
      </w:r>
      <w:r>
        <w:rPr>
          <w:szCs w:val="24"/>
        </w:rPr>
        <w:t xml:space="preserve">WOW </w:t>
      </w:r>
      <w:r w:rsidRPr="003E2EE2">
        <w:rPr>
          <w:szCs w:val="24"/>
        </w:rPr>
        <w:t>Parcel</w:t>
      </w:r>
      <w:r>
        <w:rPr>
          <w:szCs w:val="24"/>
        </w:rPr>
        <w:t xml:space="preserve">. </w:t>
      </w:r>
      <w:r w:rsidR="002A1F6B">
        <w:rPr>
          <w:szCs w:val="24"/>
        </w:rPr>
        <w:t xml:space="preserve">Staff also recommended that </w:t>
      </w:r>
      <w:r>
        <w:rPr>
          <w:szCs w:val="24"/>
        </w:rPr>
        <w:t xml:space="preserve">Duke </w:t>
      </w:r>
      <w:r w:rsidR="00406471">
        <w:rPr>
          <w:szCs w:val="24"/>
        </w:rPr>
        <w:t>n</w:t>
      </w:r>
      <w:r>
        <w:rPr>
          <w:szCs w:val="24"/>
        </w:rPr>
        <w:t xml:space="preserve">ot </w:t>
      </w:r>
      <w:r w:rsidR="002A1F6B">
        <w:rPr>
          <w:szCs w:val="24"/>
        </w:rPr>
        <w:t xml:space="preserve">be </w:t>
      </w:r>
      <w:r>
        <w:rPr>
          <w:szCs w:val="24"/>
        </w:rPr>
        <w:t xml:space="preserve">permitted to collect costs associated with the areas outside what </w:t>
      </w:r>
      <w:r w:rsidR="006C155D">
        <w:rPr>
          <w:szCs w:val="24"/>
        </w:rPr>
        <w:t xml:space="preserve">PUCO </w:t>
      </w:r>
      <w:r>
        <w:rPr>
          <w:szCs w:val="24"/>
        </w:rPr>
        <w:t>Staff considers to be the “original footprint” of the MGP sites, including the Ohio River.</w:t>
      </w:r>
      <w:r>
        <w:rPr>
          <w:rStyle w:val="FootnoteReference"/>
          <w:szCs w:val="24"/>
        </w:rPr>
        <w:footnoteReference w:id="3"/>
      </w:r>
      <w:r>
        <w:rPr>
          <w:szCs w:val="24"/>
        </w:rPr>
        <w:t xml:space="preserve"> Staff correctly reasoned that </w:t>
      </w:r>
      <w:r w:rsidRPr="003E2EE2">
        <w:rPr>
          <w:szCs w:val="24"/>
        </w:rPr>
        <w:t xml:space="preserve">“the Commission </w:t>
      </w:r>
      <w:r>
        <w:rPr>
          <w:szCs w:val="24"/>
        </w:rPr>
        <w:t xml:space="preserve">[already] </w:t>
      </w:r>
      <w:r w:rsidRPr="003E2EE2">
        <w:rPr>
          <w:szCs w:val="24"/>
        </w:rPr>
        <w:t>denied [such costs] for recovery</w:t>
      </w:r>
      <w:r>
        <w:rPr>
          <w:szCs w:val="24"/>
        </w:rPr>
        <w:t>.</w:t>
      </w:r>
      <w:r w:rsidRPr="003E2EE2">
        <w:rPr>
          <w:szCs w:val="24"/>
        </w:rPr>
        <w:t>”</w:t>
      </w:r>
      <w:r>
        <w:rPr>
          <w:rStyle w:val="FootnoteReference"/>
          <w:szCs w:val="24"/>
        </w:rPr>
        <w:footnoteReference w:id="4"/>
      </w:r>
      <w:r w:rsidRPr="003E2EE2">
        <w:rPr>
          <w:szCs w:val="24"/>
        </w:rPr>
        <w:t xml:space="preserve"> </w:t>
      </w:r>
    </w:p>
    <w:p w:rsidR="00171857" w:rsidP="00171857" w14:paraId="03E1731C" w14:textId="0A162EF1">
      <w:pPr>
        <w:spacing w:before="240" w:line="480" w:lineRule="auto"/>
        <w:ind w:firstLine="720"/>
        <w:rPr>
          <w:szCs w:val="24"/>
        </w:rPr>
      </w:pPr>
      <w:r>
        <w:rPr>
          <w:szCs w:val="24"/>
        </w:rPr>
        <w:t>Duke disagrees with Staff’s recommendation</w:t>
      </w:r>
      <w:r w:rsidR="001A374A">
        <w:rPr>
          <w:szCs w:val="24"/>
        </w:rPr>
        <w:t>.</w:t>
      </w:r>
      <w:r>
        <w:rPr>
          <w:rStyle w:val="FootnoteReference"/>
          <w:szCs w:val="24"/>
        </w:rPr>
        <w:footnoteReference w:id="5"/>
      </w:r>
      <w:r>
        <w:rPr>
          <w:szCs w:val="24"/>
        </w:rPr>
        <w:t xml:space="preserve"> Duke </w:t>
      </w:r>
      <w:r w:rsidR="006C155D">
        <w:rPr>
          <w:szCs w:val="24"/>
        </w:rPr>
        <w:t>asserts</w:t>
      </w:r>
      <w:r>
        <w:rPr>
          <w:szCs w:val="24"/>
        </w:rPr>
        <w:t xml:space="preserve"> that </w:t>
      </w:r>
      <w:r w:rsidR="006C155D">
        <w:rPr>
          <w:szCs w:val="24"/>
        </w:rPr>
        <w:t xml:space="preserve">the PUCO </w:t>
      </w:r>
      <w:r>
        <w:rPr>
          <w:szCs w:val="24"/>
        </w:rPr>
        <w:t>Staff misunderstands the PUCO’s Opinion and Order in the 2012 Natural Gas Base Rate case.</w:t>
      </w:r>
      <w:r>
        <w:rPr>
          <w:rStyle w:val="FootnoteReference"/>
          <w:szCs w:val="24"/>
        </w:rPr>
        <w:footnoteReference w:id="6"/>
      </w:r>
      <w:r>
        <w:rPr>
          <w:szCs w:val="24"/>
        </w:rPr>
        <w:t xml:space="preserve"> Duke is incorrect.</w:t>
      </w:r>
    </w:p>
    <w:p w:rsidR="00A60317" w:rsidP="00171857" w14:paraId="538A9A45" w14:textId="04A2E6C8">
      <w:pPr>
        <w:spacing w:line="480" w:lineRule="auto"/>
        <w:ind w:firstLine="720"/>
        <w:rPr>
          <w:szCs w:val="24"/>
        </w:rPr>
      </w:pPr>
      <w:r>
        <w:rPr>
          <w:szCs w:val="24"/>
        </w:rPr>
        <w:t>In that case t</w:t>
      </w:r>
      <w:r w:rsidRPr="004B2E72" w:rsidR="00171857">
        <w:rPr>
          <w:szCs w:val="24"/>
        </w:rPr>
        <w:t>he PUCO ruled that a utility can charge customers for expenses related to property, even if that property is not “used and useful” under R.C. 4909.15(A)(1).</w:t>
      </w:r>
      <w:r>
        <w:rPr>
          <w:rStyle w:val="FootnoteReference"/>
          <w:szCs w:val="24"/>
        </w:rPr>
        <w:footnoteReference w:id="7"/>
      </w:r>
      <w:r w:rsidRPr="004B2E72" w:rsidR="00171857">
        <w:rPr>
          <w:szCs w:val="24"/>
        </w:rPr>
        <w:t xml:space="preserve"> But </w:t>
      </w:r>
      <w:r w:rsidR="00171857">
        <w:rPr>
          <w:szCs w:val="24"/>
        </w:rPr>
        <w:t>there is a condition: t</w:t>
      </w:r>
      <w:r w:rsidRPr="004B2E72" w:rsidR="00171857">
        <w:rPr>
          <w:szCs w:val="24"/>
        </w:rPr>
        <w:t>he utility must also satisfy R.C. 4909.15(A)(4)</w:t>
      </w:r>
      <w:r w:rsidR="002A1F6B">
        <w:rPr>
          <w:szCs w:val="24"/>
        </w:rPr>
        <w:t xml:space="preserve">, by showing that the charge </w:t>
      </w:r>
      <w:r w:rsidR="00EC34D6">
        <w:rPr>
          <w:szCs w:val="24"/>
        </w:rPr>
        <w:t>is for</w:t>
      </w:r>
      <w:r w:rsidRPr="004B2E72" w:rsidR="00171857">
        <w:rPr>
          <w:szCs w:val="24"/>
        </w:rPr>
        <w:t xml:space="preserve"> the “cost to the utility of rendering the public utility service.” </w:t>
      </w:r>
    </w:p>
    <w:p w:rsidR="00171857" w:rsidRPr="004B2E72" w:rsidP="00171857" w14:paraId="7B099D36" w14:textId="3D7F38AE">
      <w:pPr>
        <w:spacing w:line="480" w:lineRule="auto"/>
        <w:ind w:firstLine="720"/>
        <w:rPr>
          <w:szCs w:val="24"/>
        </w:rPr>
      </w:pPr>
      <w:r>
        <w:rPr>
          <w:szCs w:val="24"/>
        </w:rPr>
        <w:t xml:space="preserve">Here, the PUCO should conclude that </w:t>
      </w:r>
      <w:r w:rsidRPr="004B2E72">
        <w:rPr>
          <w:szCs w:val="24"/>
        </w:rPr>
        <w:t xml:space="preserve">the Rate Case Order </w:t>
      </w:r>
      <w:r w:rsidR="002A1F6B">
        <w:rPr>
          <w:szCs w:val="24"/>
        </w:rPr>
        <w:t xml:space="preserve">already </w:t>
      </w:r>
      <w:r w:rsidR="00AC15D8">
        <w:rPr>
          <w:szCs w:val="24"/>
        </w:rPr>
        <w:t>prohibits Duke from charging consumers for</w:t>
      </w:r>
      <w:r w:rsidR="00015934">
        <w:rPr>
          <w:szCs w:val="24"/>
        </w:rPr>
        <w:t xml:space="preserve"> </w:t>
      </w:r>
      <w:r w:rsidR="002A1F6B">
        <w:rPr>
          <w:szCs w:val="24"/>
        </w:rPr>
        <w:t>remediation costs for</w:t>
      </w:r>
      <w:r w:rsidR="00EC34D6">
        <w:rPr>
          <w:szCs w:val="24"/>
        </w:rPr>
        <w:t xml:space="preserve"> </w:t>
      </w:r>
      <w:r w:rsidRPr="004B2E72">
        <w:rPr>
          <w:szCs w:val="24"/>
        </w:rPr>
        <w:t>the WOW parcel and Ohio River (together, the “Offsite Areas”)</w:t>
      </w:r>
      <w:r w:rsidR="00AC15D8">
        <w:rPr>
          <w:szCs w:val="24"/>
        </w:rPr>
        <w:t>.</w:t>
      </w:r>
      <w:r w:rsidR="00EC34D6">
        <w:rPr>
          <w:szCs w:val="24"/>
        </w:rPr>
        <w:t xml:space="preserve"> </w:t>
      </w:r>
      <w:r w:rsidR="00AC15D8">
        <w:rPr>
          <w:szCs w:val="24"/>
        </w:rPr>
        <w:t>They are not costs</w:t>
      </w:r>
      <w:r w:rsidR="00015934">
        <w:rPr>
          <w:szCs w:val="24"/>
        </w:rPr>
        <w:t xml:space="preserve"> </w:t>
      </w:r>
      <w:r w:rsidR="002A1F6B">
        <w:rPr>
          <w:szCs w:val="24"/>
        </w:rPr>
        <w:t>of rendering public utility service</w:t>
      </w:r>
      <w:r w:rsidR="00AC15D8">
        <w:rPr>
          <w:szCs w:val="24"/>
        </w:rPr>
        <w:t>.</w:t>
      </w:r>
      <w:r>
        <w:rPr>
          <w:szCs w:val="24"/>
        </w:rPr>
        <w:t xml:space="preserve"> </w:t>
      </w:r>
    </w:p>
    <w:p w:rsidR="00171857" w:rsidRPr="004B2E72" w:rsidP="00171857" w14:paraId="3AE1089E" w14:textId="3C28DA91">
      <w:pPr>
        <w:keepNext/>
        <w:keepLines/>
        <w:spacing w:line="480" w:lineRule="auto"/>
        <w:ind w:firstLine="720"/>
        <w:rPr>
          <w:szCs w:val="24"/>
        </w:rPr>
      </w:pPr>
      <w:r w:rsidRPr="004B2E72">
        <w:rPr>
          <w:szCs w:val="24"/>
        </w:rPr>
        <w:t xml:space="preserve">The Rate Case Order addresses </w:t>
      </w:r>
      <w:r w:rsidR="002A1F6B">
        <w:rPr>
          <w:szCs w:val="24"/>
        </w:rPr>
        <w:t xml:space="preserve">how Duke must </w:t>
      </w:r>
      <w:r w:rsidRPr="004B2E72">
        <w:rPr>
          <w:szCs w:val="24"/>
        </w:rPr>
        <w:t>compl</w:t>
      </w:r>
      <w:r w:rsidR="002A1F6B">
        <w:rPr>
          <w:szCs w:val="24"/>
        </w:rPr>
        <w:t>y</w:t>
      </w:r>
      <w:r w:rsidR="00015934">
        <w:rPr>
          <w:szCs w:val="24"/>
        </w:rPr>
        <w:t xml:space="preserve"> </w:t>
      </w:r>
      <w:r w:rsidRPr="004B2E72">
        <w:rPr>
          <w:szCs w:val="24"/>
        </w:rPr>
        <w:t xml:space="preserve">with R.C. 4909.15(A)(4) on pages 54 to 60. This section of the </w:t>
      </w:r>
      <w:r w:rsidR="002A1F6B">
        <w:rPr>
          <w:szCs w:val="24"/>
        </w:rPr>
        <w:t>O</w:t>
      </w:r>
      <w:r w:rsidRPr="004B2E72">
        <w:rPr>
          <w:szCs w:val="24"/>
        </w:rPr>
        <w:t>rder includes some language that Duke considers favorable to its position:</w:t>
      </w:r>
    </w:p>
    <w:p w:rsidR="00171857" w:rsidRPr="004B2E72" w:rsidP="00171857" w14:paraId="661473BB" w14:textId="77777777">
      <w:pPr>
        <w:keepLines/>
        <w:spacing w:after="240"/>
        <w:ind w:left="1440" w:right="720"/>
        <w:jc w:val="both"/>
        <w:rPr>
          <w:szCs w:val="24"/>
        </w:rPr>
      </w:pPr>
      <w:r w:rsidRPr="004B2E72">
        <w:rPr>
          <w:szCs w:val="24"/>
        </w:rPr>
        <w:t xml:space="preserve">Not only is Duke legally obligated to remediate these sites as the owner and operator of these sites, but it is undisputed on the record that Duke has the societal obligation to clean up these sites for the safety and prosperity of the communities in those areas and in order to maintain the usefulness of the properties; </w:t>
      </w:r>
      <w:r w:rsidRPr="00015934">
        <w:rPr>
          <w:i/>
          <w:iCs/>
          <w:szCs w:val="24"/>
        </w:rPr>
        <w:t>therefore, these costs are a current cost of doing business</w:t>
      </w:r>
      <w:r w:rsidRPr="004B2E72">
        <w:rPr>
          <w:szCs w:val="24"/>
        </w:rPr>
        <w:t>.</w:t>
      </w:r>
      <w:r>
        <w:rPr>
          <w:rStyle w:val="FootnoteReference"/>
          <w:szCs w:val="24"/>
        </w:rPr>
        <w:footnoteReference w:id="8"/>
      </w:r>
    </w:p>
    <w:p w:rsidR="00171857" w:rsidRPr="004B2E72" w:rsidP="00171857" w14:paraId="39A8C113" w14:textId="1D362BBD">
      <w:pPr>
        <w:spacing w:line="480" w:lineRule="auto"/>
        <w:ind w:firstLine="720"/>
        <w:rPr>
          <w:szCs w:val="24"/>
        </w:rPr>
      </w:pPr>
      <w:r w:rsidRPr="004B2E72">
        <w:rPr>
          <w:szCs w:val="24"/>
        </w:rPr>
        <w:t xml:space="preserve">Duke </w:t>
      </w:r>
      <w:r>
        <w:rPr>
          <w:szCs w:val="24"/>
        </w:rPr>
        <w:t>refers</w:t>
      </w:r>
      <w:r w:rsidRPr="004B2E72">
        <w:rPr>
          <w:szCs w:val="24"/>
        </w:rPr>
        <w:t xml:space="preserve"> to this quote, where the PUCO focused on Duke’s legal obligation to remediate the sites, and the PUCO’s statement that remediation costs are “a current cost of doing business.”</w:t>
      </w:r>
      <w:r>
        <w:rPr>
          <w:rStyle w:val="FootnoteReference"/>
          <w:szCs w:val="24"/>
        </w:rPr>
        <w:footnoteReference w:id="9"/>
      </w:r>
      <w:r w:rsidRPr="004B2E72">
        <w:rPr>
          <w:szCs w:val="24"/>
        </w:rPr>
        <w:t xml:space="preserve"> Duke </w:t>
      </w:r>
      <w:r w:rsidR="001C0260">
        <w:rPr>
          <w:szCs w:val="24"/>
        </w:rPr>
        <w:t>argues</w:t>
      </w:r>
      <w:r w:rsidRPr="004B2E72">
        <w:rPr>
          <w:szCs w:val="24"/>
        </w:rPr>
        <w:t xml:space="preserve"> that this is all you need to know about the Rate Case Order</w:t>
      </w:r>
      <w:r w:rsidR="00A01696">
        <w:rPr>
          <w:szCs w:val="24"/>
        </w:rPr>
        <w:t xml:space="preserve"> </w:t>
      </w:r>
      <w:r w:rsidRPr="004B2E72">
        <w:rPr>
          <w:szCs w:val="24"/>
        </w:rPr>
        <w:t>—</w:t>
      </w:r>
      <w:r w:rsidR="00A01696">
        <w:rPr>
          <w:szCs w:val="24"/>
        </w:rPr>
        <w:t xml:space="preserve"> </w:t>
      </w:r>
      <w:r w:rsidRPr="004B2E72">
        <w:rPr>
          <w:szCs w:val="24"/>
        </w:rPr>
        <w:t>that this one sentence is unambiguous proof that the PUCO has allowed Duke to charge customers for any and all cleanup costs, no matter where the contamination is found. But drawing this conclusion from this single sentence ignores both the plain language of other parts of the Rate Case Order and the context in which the PUCO made this statement.</w:t>
      </w:r>
    </w:p>
    <w:p w:rsidR="00171857" w:rsidRPr="004B2E72" w:rsidP="00171857" w14:paraId="1A03BE36" w14:textId="77777777">
      <w:pPr>
        <w:keepNext/>
        <w:spacing w:line="480" w:lineRule="auto"/>
        <w:ind w:firstLine="720"/>
        <w:rPr>
          <w:szCs w:val="24"/>
        </w:rPr>
      </w:pPr>
      <w:r w:rsidRPr="004B2E72">
        <w:rPr>
          <w:szCs w:val="24"/>
        </w:rPr>
        <w:t>First, the Rate Case Order also says:</w:t>
      </w:r>
    </w:p>
    <w:p w:rsidR="00171857" w:rsidRPr="004B2E72" w:rsidP="00171857" w14:paraId="1CA4DBF6" w14:textId="77777777">
      <w:pPr>
        <w:keepLines/>
        <w:spacing w:after="240"/>
        <w:ind w:left="1440" w:right="720"/>
        <w:jc w:val="both"/>
        <w:rPr>
          <w:szCs w:val="24"/>
        </w:rPr>
      </w:pPr>
      <w:r w:rsidRPr="004B2E72">
        <w:rPr>
          <w:szCs w:val="24"/>
        </w:rPr>
        <w:t xml:space="preserve">Upon our review of the record in these cases, we find that Duke has supported its claim that the </w:t>
      </w:r>
      <w:r w:rsidRPr="00015934">
        <w:rPr>
          <w:i/>
          <w:iCs/>
          <w:szCs w:val="24"/>
        </w:rPr>
        <w:t>remediation costs incurred on the East and West End sites</w:t>
      </w:r>
      <w:r w:rsidRPr="004B2E72">
        <w:rPr>
          <w:szCs w:val="24"/>
        </w:rPr>
        <w:t xml:space="preserve"> were a cost of providing utility service. Duke has substantiated, on the record, that the remediation costs were a necessary cost of doing business as a public utility in response to a federal law, CERCLA, that imposes liability on Duke and its predecessors for the remediation of the MGP sites.</w:t>
      </w:r>
      <w:r>
        <w:rPr>
          <w:rStyle w:val="FootnoteReference"/>
          <w:szCs w:val="24"/>
        </w:rPr>
        <w:footnoteReference w:id="10"/>
      </w:r>
    </w:p>
    <w:p w:rsidR="00171857" w:rsidRPr="004B2E72" w:rsidP="005B6253" w14:paraId="7B9724A3" w14:textId="137D5D50">
      <w:pPr>
        <w:spacing w:line="480" w:lineRule="auto"/>
        <w:rPr>
          <w:szCs w:val="24"/>
        </w:rPr>
      </w:pPr>
      <w:r w:rsidRPr="004B2E72">
        <w:rPr>
          <w:szCs w:val="24"/>
        </w:rPr>
        <w:t>This language</w:t>
      </w:r>
      <w:r w:rsidR="001C0260">
        <w:rPr>
          <w:szCs w:val="24"/>
        </w:rPr>
        <w:t xml:space="preserve"> </w:t>
      </w:r>
      <w:r w:rsidRPr="004B2E72">
        <w:rPr>
          <w:szCs w:val="24"/>
        </w:rPr>
        <w:t>—</w:t>
      </w:r>
      <w:r w:rsidR="001C0260">
        <w:rPr>
          <w:szCs w:val="24"/>
        </w:rPr>
        <w:t xml:space="preserve"> </w:t>
      </w:r>
      <w:r w:rsidRPr="004B2E72">
        <w:rPr>
          <w:szCs w:val="24"/>
        </w:rPr>
        <w:t>which immediately precedes Duke’s favored quote</w:t>
      </w:r>
      <w:r w:rsidR="001C0260">
        <w:rPr>
          <w:szCs w:val="24"/>
        </w:rPr>
        <w:t xml:space="preserve"> </w:t>
      </w:r>
      <w:r w:rsidRPr="004B2E72">
        <w:rPr>
          <w:szCs w:val="24"/>
        </w:rPr>
        <w:t>—</w:t>
      </w:r>
      <w:r w:rsidR="001C0260">
        <w:rPr>
          <w:szCs w:val="24"/>
        </w:rPr>
        <w:t xml:space="preserve"> </w:t>
      </w:r>
      <w:r w:rsidRPr="004B2E72">
        <w:rPr>
          <w:szCs w:val="24"/>
        </w:rPr>
        <w:t xml:space="preserve">says that Duke has supported its claim regarding remediation costs “incurred </w:t>
      </w:r>
      <w:r w:rsidRPr="004B2E72">
        <w:rPr>
          <w:i/>
          <w:iCs/>
          <w:szCs w:val="24"/>
        </w:rPr>
        <w:t>on</w:t>
      </w:r>
      <w:r w:rsidRPr="004B2E72">
        <w:rPr>
          <w:szCs w:val="24"/>
        </w:rPr>
        <w:t xml:space="preserve"> the East and West End sites.”</w:t>
      </w:r>
      <w:r>
        <w:rPr>
          <w:rStyle w:val="FootnoteReference"/>
          <w:szCs w:val="24"/>
        </w:rPr>
        <w:footnoteReference w:id="11"/>
      </w:r>
      <w:r w:rsidRPr="004B2E72">
        <w:rPr>
          <w:szCs w:val="24"/>
        </w:rPr>
        <w:t xml:space="preserve"> It does not say that Duke has supported a claim for remediation of </w:t>
      </w:r>
      <w:r w:rsidRPr="004B2E72">
        <w:rPr>
          <w:i/>
          <w:iCs/>
          <w:szCs w:val="24"/>
        </w:rPr>
        <w:t>offsite</w:t>
      </w:r>
      <w:r w:rsidRPr="004B2E72">
        <w:rPr>
          <w:szCs w:val="24"/>
        </w:rPr>
        <w:t xml:space="preserve"> areas like the WOW parcel and Ohio River. </w:t>
      </w:r>
    </w:p>
    <w:p w:rsidR="00171857" w:rsidRPr="004B2E72" w:rsidP="00171857" w14:paraId="70656ADC" w14:textId="4683B07F">
      <w:pPr>
        <w:spacing w:line="480" w:lineRule="auto"/>
        <w:ind w:firstLine="720"/>
        <w:rPr>
          <w:szCs w:val="24"/>
        </w:rPr>
      </w:pPr>
      <w:r w:rsidRPr="004B2E72">
        <w:rPr>
          <w:szCs w:val="24"/>
        </w:rPr>
        <w:t>Second, also in the same paragraph, the PUCO highlights the importance of cleaning up the properties “to maintain the usefulness of the properties.”</w:t>
      </w:r>
      <w:r>
        <w:rPr>
          <w:rStyle w:val="FootnoteReference"/>
          <w:szCs w:val="24"/>
        </w:rPr>
        <w:footnoteReference w:id="12"/>
      </w:r>
      <w:r w:rsidRPr="004B2E72">
        <w:rPr>
          <w:szCs w:val="24"/>
        </w:rPr>
        <w:t xml:space="preserve"> This, too, </w:t>
      </w:r>
      <w:r w:rsidR="001C0260">
        <w:rPr>
          <w:szCs w:val="24"/>
        </w:rPr>
        <w:t>demonstrates</w:t>
      </w:r>
      <w:r w:rsidRPr="004B2E72">
        <w:rPr>
          <w:szCs w:val="24"/>
        </w:rPr>
        <w:t xml:space="preserve"> that the PUCO was referring to the MGP Sites themselves and not the Offsite Areas. At the time, the MGP Sites themselves were used for utility operations, including underground gas mains and pipelines; a gas operations center; storage, staging, and employee facilities; sensitive utility infrastructure; and propane facilities.</w:t>
      </w:r>
      <w:r>
        <w:rPr>
          <w:rStyle w:val="FootnoteReference"/>
          <w:szCs w:val="24"/>
        </w:rPr>
        <w:footnoteReference w:id="13"/>
      </w:r>
      <w:r w:rsidRPr="004B2E72">
        <w:rPr>
          <w:szCs w:val="24"/>
        </w:rPr>
        <w:t xml:space="preserve"> The PUCO reasoned that it was important to remediate those areas to “maintain the usefulness of the properties” for providing utility service. The same cannot be said of the </w:t>
      </w:r>
      <w:r w:rsidR="00C61988">
        <w:rPr>
          <w:szCs w:val="24"/>
        </w:rPr>
        <w:t>offsite areas.</w:t>
      </w:r>
      <w:r w:rsidR="00EC34D6">
        <w:rPr>
          <w:szCs w:val="24"/>
        </w:rPr>
        <w:t xml:space="preserve"> </w:t>
      </w:r>
      <w:r w:rsidR="00F452F8">
        <w:rPr>
          <w:szCs w:val="24"/>
        </w:rPr>
        <w:t xml:space="preserve">The </w:t>
      </w:r>
      <w:r w:rsidRPr="004B2E72" w:rsidR="00F452F8">
        <w:rPr>
          <w:szCs w:val="24"/>
        </w:rPr>
        <w:t>WOW parcel</w:t>
      </w:r>
      <w:r w:rsidR="00015934">
        <w:rPr>
          <w:szCs w:val="24"/>
        </w:rPr>
        <w:t xml:space="preserve"> </w:t>
      </w:r>
      <w:r w:rsidRPr="004B2E72">
        <w:rPr>
          <w:szCs w:val="24"/>
        </w:rPr>
        <w:t>is an empty field with no utility distribution operations whatsoever</w:t>
      </w:r>
      <w:r w:rsidR="00C61988">
        <w:rPr>
          <w:szCs w:val="24"/>
        </w:rPr>
        <w:t>.</w:t>
      </w:r>
      <w:r w:rsidR="00EC34D6">
        <w:rPr>
          <w:szCs w:val="24"/>
        </w:rPr>
        <w:t xml:space="preserve"> </w:t>
      </w:r>
      <w:r w:rsidR="00C61988">
        <w:rPr>
          <w:szCs w:val="24"/>
        </w:rPr>
        <w:t>The Ohio</w:t>
      </w:r>
      <w:r w:rsidR="00015934">
        <w:rPr>
          <w:szCs w:val="24"/>
        </w:rPr>
        <w:t xml:space="preserve"> </w:t>
      </w:r>
      <w:r w:rsidRPr="004B2E72">
        <w:rPr>
          <w:szCs w:val="24"/>
        </w:rPr>
        <w:t>River</w:t>
      </w:r>
      <w:r w:rsidR="002A2B7B">
        <w:rPr>
          <w:szCs w:val="24"/>
        </w:rPr>
        <w:t xml:space="preserve"> </w:t>
      </w:r>
      <w:r w:rsidR="00C61988">
        <w:rPr>
          <w:szCs w:val="24"/>
        </w:rPr>
        <w:t xml:space="preserve">is </w:t>
      </w:r>
      <w:r w:rsidRPr="004B2E72">
        <w:rPr>
          <w:szCs w:val="24"/>
        </w:rPr>
        <w:t>neither owned by Duke nor used for utility service.</w:t>
      </w:r>
      <w:r>
        <w:rPr>
          <w:rStyle w:val="FootnoteReference"/>
          <w:szCs w:val="24"/>
        </w:rPr>
        <w:footnoteReference w:id="14"/>
      </w:r>
    </w:p>
    <w:p w:rsidR="00171857" w:rsidRPr="004B2E72" w:rsidP="00171857" w14:paraId="7DC17E9E" w14:textId="33674BA1">
      <w:pPr>
        <w:spacing w:line="480" w:lineRule="auto"/>
        <w:ind w:firstLine="720"/>
        <w:rPr>
          <w:szCs w:val="24"/>
        </w:rPr>
      </w:pPr>
      <w:r w:rsidRPr="004B2E72">
        <w:rPr>
          <w:szCs w:val="24"/>
        </w:rPr>
        <w:t xml:space="preserve">Third, the PUCO’s discussion of R.C. 4909.15(A)(4) in the Rate Case Order does not end with Duke’s quoted language. To the contrary, the Rate Case Order devotes an entire paragraph specifically to the Purchased Parcel (which includes the WOW parcel) and how R.C. 4909.15(A)(4) applies to it. In </w:t>
      </w:r>
      <w:r w:rsidR="00A60317">
        <w:rPr>
          <w:szCs w:val="24"/>
        </w:rPr>
        <w:t xml:space="preserve">rejecting </w:t>
      </w:r>
      <w:r w:rsidRPr="004B2E72">
        <w:rPr>
          <w:szCs w:val="24"/>
        </w:rPr>
        <w:t>charge</w:t>
      </w:r>
      <w:r w:rsidR="00A60317">
        <w:rPr>
          <w:szCs w:val="24"/>
        </w:rPr>
        <w:t>s to Duke’s</w:t>
      </w:r>
      <w:r w:rsidR="00EC34D6">
        <w:rPr>
          <w:szCs w:val="24"/>
        </w:rPr>
        <w:t xml:space="preserve"> </w:t>
      </w:r>
      <w:r w:rsidRPr="004B2E72">
        <w:rPr>
          <w:szCs w:val="24"/>
        </w:rPr>
        <w:t xml:space="preserve">customers </w:t>
      </w:r>
      <w:r w:rsidR="00A60317">
        <w:rPr>
          <w:szCs w:val="24"/>
        </w:rPr>
        <w:t xml:space="preserve">for </w:t>
      </w:r>
      <w:r w:rsidRPr="004B2E72">
        <w:rPr>
          <w:szCs w:val="24"/>
        </w:rPr>
        <w:t xml:space="preserve">a $2.3 million premium for the Purchased Parcel, the PUCO </w:t>
      </w:r>
      <w:r w:rsidR="00A60317">
        <w:rPr>
          <w:szCs w:val="24"/>
        </w:rPr>
        <w:t xml:space="preserve">stressed that </w:t>
      </w:r>
      <w:r w:rsidRPr="004B2E72">
        <w:rPr>
          <w:szCs w:val="24"/>
        </w:rPr>
        <w:t>the Purchased Parcel was not used to render public utility service:</w:t>
      </w:r>
    </w:p>
    <w:p w:rsidR="00171857" w:rsidRPr="004B2E72" w:rsidP="00171857" w14:paraId="0323679E" w14:textId="77777777">
      <w:pPr>
        <w:spacing w:after="240"/>
        <w:ind w:left="1440" w:right="720"/>
        <w:jc w:val="both"/>
        <w:rPr>
          <w:szCs w:val="24"/>
        </w:rPr>
      </w:pPr>
      <w:r w:rsidRPr="004B2E72">
        <w:rPr>
          <w:szCs w:val="24"/>
        </w:rPr>
        <w:t xml:space="preserve">Duke failed to prove, on the record, what, if any, of this purchased parcel was, or ever had been, used for the provision of manufactured gas or utility service for the customers of Duke or its predecessors. ... While it may be that a portion of the purchased parcel was formerly part of the MGP, Duke has failed to provide sufficient evidence on the record to distinguish the portion of the parcel that had been MGP-related from the portion that had never been related to the MGPs. </w:t>
      </w:r>
      <w:r w:rsidRPr="004B2E72">
        <w:rPr>
          <w:i/>
          <w:iCs/>
          <w:szCs w:val="24"/>
        </w:rPr>
        <w:t>Thus, when applying the requirement for recovery set forth in R.C. 4909.15(A)(4), we are not willing to entertain Duke’s unsubstantiated request for recovery of costs related to property [that] has not been shown on the record in these cases to provide, either in the past or in the present, utility services that caused the statutorily mandated environmental remediation</w:t>
      </w:r>
      <w:r w:rsidRPr="004B2E72">
        <w:rPr>
          <w:szCs w:val="24"/>
        </w:rPr>
        <w:t xml:space="preserve">. </w:t>
      </w:r>
      <w:r w:rsidRPr="004B2E72">
        <w:rPr>
          <w:i/>
          <w:iCs/>
          <w:szCs w:val="24"/>
        </w:rPr>
        <w:t>Moreover,</w:t>
      </w:r>
      <w:r w:rsidRPr="004B2E72">
        <w:rPr>
          <w:szCs w:val="24"/>
        </w:rPr>
        <w:t xml:space="preserve"> the record reflects that the requested $2,331,580 amount submitted by Duke for recovery relates to the price Duke paid to purchase the property from a third-party and not to the statutorily mandated remediation efforts. Therefore, we conclude that the requested $2,331,580 associated with the purchased parcel on the East End site should not be included in the amount of costs to be recovered through Rider MGP approved by the Commission in this Order.</w:t>
      </w:r>
      <w:r>
        <w:rPr>
          <w:rStyle w:val="FootnoteReference"/>
          <w:szCs w:val="24"/>
        </w:rPr>
        <w:footnoteReference w:id="15"/>
      </w:r>
    </w:p>
    <w:p w:rsidR="00171857" w:rsidRPr="004B2E72" w:rsidP="005B6253" w14:paraId="004AC163" w14:textId="584274BF">
      <w:pPr>
        <w:spacing w:line="480" w:lineRule="auto"/>
        <w:rPr>
          <w:szCs w:val="24"/>
        </w:rPr>
      </w:pPr>
      <w:r w:rsidRPr="004B2E72">
        <w:rPr>
          <w:szCs w:val="24"/>
        </w:rPr>
        <w:t xml:space="preserve">This paragraph is the only paragraph from the Rate Case Order regarding the applicability of R.C. 4909.15(A)(4) to the Purchased Parcel, yet Duke ignores most of it in its </w:t>
      </w:r>
      <w:r>
        <w:rPr>
          <w:szCs w:val="24"/>
        </w:rPr>
        <w:t>Comments</w:t>
      </w:r>
      <w:r w:rsidRPr="004B2E72">
        <w:rPr>
          <w:szCs w:val="24"/>
        </w:rPr>
        <w:t xml:space="preserve">. The impact of this paragraph, however, cannot </w:t>
      </w:r>
      <w:r w:rsidR="001C0260">
        <w:rPr>
          <w:szCs w:val="24"/>
        </w:rPr>
        <w:t xml:space="preserve">and should not </w:t>
      </w:r>
      <w:r w:rsidRPr="004B2E72">
        <w:rPr>
          <w:szCs w:val="24"/>
        </w:rPr>
        <w:t>be ignored.</w:t>
      </w:r>
    </w:p>
    <w:p w:rsidR="00171857" w:rsidP="00171857" w14:paraId="4EE9B427" w14:textId="53797798">
      <w:pPr>
        <w:spacing w:line="480" w:lineRule="auto"/>
        <w:ind w:firstLine="720"/>
        <w:rPr>
          <w:szCs w:val="24"/>
        </w:rPr>
      </w:pPr>
      <w:r w:rsidRPr="004B2E72">
        <w:rPr>
          <w:szCs w:val="24"/>
        </w:rPr>
        <w:t xml:space="preserve">Duke </w:t>
      </w:r>
      <w:r w:rsidR="001C0260">
        <w:rPr>
          <w:szCs w:val="24"/>
        </w:rPr>
        <w:t>says</w:t>
      </w:r>
      <w:r w:rsidRPr="004B2E72">
        <w:rPr>
          <w:szCs w:val="24"/>
        </w:rPr>
        <w:t xml:space="preserve"> in </w:t>
      </w:r>
      <w:r>
        <w:rPr>
          <w:szCs w:val="24"/>
        </w:rPr>
        <w:t>its Comments</w:t>
      </w:r>
      <w:r w:rsidRPr="004B2E72">
        <w:rPr>
          <w:szCs w:val="24"/>
        </w:rPr>
        <w:t xml:space="preserve"> that the </w:t>
      </w:r>
      <w:r w:rsidR="001C0260">
        <w:rPr>
          <w:szCs w:val="24"/>
        </w:rPr>
        <w:t xml:space="preserve">PUCO </w:t>
      </w:r>
      <w:r>
        <w:rPr>
          <w:szCs w:val="24"/>
        </w:rPr>
        <w:t xml:space="preserve">Staff recommended </w:t>
      </w:r>
      <w:r w:rsidRPr="004B2E72">
        <w:rPr>
          <w:szCs w:val="24"/>
        </w:rPr>
        <w:t>deni</w:t>
      </w:r>
      <w:r>
        <w:rPr>
          <w:szCs w:val="24"/>
        </w:rPr>
        <w:t xml:space="preserve">al of Duke’s collection of the </w:t>
      </w:r>
      <w:r w:rsidR="00E77C54">
        <w:rPr>
          <w:szCs w:val="24"/>
        </w:rPr>
        <w:t xml:space="preserve">approximately </w:t>
      </w:r>
      <w:r>
        <w:rPr>
          <w:szCs w:val="24"/>
        </w:rPr>
        <w:t>$3.9 million</w:t>
      </w:r>
      <w:r w:rsidRPr="004B2E72">
        <w:rPr>
          <w:szCs w:val="24"/>
        </w:rPr>
        <w:t xml:space="preserve"> </w:t>
      </w:r>
      <w:r w:rsidR="00C61988">
        <w:rPr>
          <w:szCs w:val="24"/>
        </w:rPr>
        <w:t xml:space="preserve">in this case </w:t>
      </w:r>
      <w:r w:rsidRPr="004B2E72">
        <w:rPr>
          <w:szCs w:val="24"/>
        </w:rPr>
        <w:t xml:space="preserve">because of the </w:t>
      </w:r>
      <w:r>
        <w:rPr>
          <w:szCs w:val="24"/>
        </w:rPr>
        <w:t>PUCO’s previous disallowance of costs associated with Duke’s reacquisition of the Purchased Parcel, which includes the WOW Parcel.</w:t>
      </w:r>
      <w:r>
        <w:rPr>
          <w:rStyle w:val="FootnoteReference"/>
          <w:szCs w:val="24"/>
        </w:rPr>
        <w:footnoteReference w:id="16"/>
      </w:r>
      <w:r>
        <w:rPr>
          <w:szCs w:val="24"/>
        </w:rPr>
        <w:t xml:space="preserve"> Duke</w:t>
      </w:r>
      <w:r w:rsidR="00C61988">
        <w:rPr>
          <w:szCs w:val="24"/>
        </w:rPr>
        <w:t xml:space="preserve"> reads</w:t>
      </w:r>
      <w:r w:rsidR="00015934">
        <w:rPr>
          <w:szCs w:val="24"/>
        </w:rPr>
        <w:t xml:space="preserve"> </w:t>
      </w:r>
      <w:r>
        <w:rPr>
          <w:szCs w:val="24"/>
        </w:rPr>
        <w:t xml:space="preserve">that decision </w:t>
      </w:r>
      <w:r w:rsidR="00C61988">
        <w:rPr>
          <w:szCs w:val="24"/>
        </w:rPr>
        <w:t xml:space="preserve">as not binding here </w:t>
      </w:r>
      <w:r>
        <w:rPr>
          <w:szCs w:val="24"/>
        </w:rPr>
        <w:t xml:space="preserve">because the </w:t>
      </w:r>
      <w:r w:rsidR="00C61988">
        <w:rPr>
          <w:szCs w:val="24"/>
        </w:rPr>
        <w:t>$3.9 million is not related to acquisition costs but instead is for investigation and/or remediation of</w:t>
      </w:r>
      <w:r w:rsidR="00EC34D6">
        <w:rPr>
          <w:szCs w:val="24"/>
        </w:rPr>
        <w:t xml:space="preserve"> </w:t>
      </w:r>
      <w:r>
        <w:rPr>
          <w:szCs w:val="24"/>
        </w:rPr>
        <w:t>former MGP operations.</w:t>
      </w:r>
      <w:r>
        <w:rPr>
          <w:rStyle w:val="FootnoteReference"/>
          <w:szCs w:val="24"/>
        </w:rPr>
        <w:footnoteReference w:id="17"/>
      </w:r>
      <w:r>
        <w:rPr>
          <w:szCs w:val="24"/>
        </w:rPr>
        <w:t xml:space="preserve"> Therefore, Duke concludes, </w:t>
      </w:r>
      <w:r w:rsidR="001C0260">
        <w:rPr>
          <w:szCs w:val="24"/>
        </w:rPr>
        <w:t xml:space="preserve">PUCO </w:t>
      </w:r>
      <w:r>
        <w:rPr>
          <w:szCs w:val="24"/>
        </w:rPr>
        <w:t xml:space="preserve">Staff offered no basis for </w:t>
      </w:r>
      <w:r w:rsidR="00A60317">
        <w:rPr>
          <w:szCs w:val="24"/>
        </w:rPr>
        <w:t>not allowing</w:t>
      </w:r>
      <w:r w:rsidR="00015934">
        <w:rPr>
          <w:szCs w:val="24"/>
        </w:rPr>
        <w:t xml:space="preserve"> </w:t>
      </w:r>
      <w:r>
        <w:rPr>
          <w:szCs w:val="24"/>
        </w:rPr>
        <w:t xml:space="preserve">Duke to charge customers </w:t>
      </w:r>
      <w:r w:rsidR="00E77C54">
        <w:rPr>
          <w:szCs w:val="24"/>
        </w:rPr>
        <w:t xml:space="preserve">approximately </w:t>
      </w:r>
      <w:r w:rsidR="00663431">
        <w:rPr>
          <w:szCs w:val="24"/>
        </w:rPr>
        <w:t xml:space="preserve">$3.9 million </w:t>
      </w:r>
      <w:r>
        <w:rPr>
          <w:szCs w:val="24"/>
        </w:rPr>
        <w:t>for the costs of actual investigation and remediations.</w:t>
      </w:r>
      <w:r>
        <w:rPr>
          <w:rStyle w:val="FootnoteReference"/>
          <w:szCs w:val="24"/>
        </w:rPr>
        <w:footnoteReference w:id="18"/>
      </w:r>
      <w:r w:rsidR="00A8724E">
        <w:rPr>
          <w:szCs w:val="24"/>
        </w:rPr>
        <w:t xml:space="preserve"> </w:t>
      </w:r>
      <w:r>
        <w:rPr>
          <w:szCs w:val="24"/>
        </w:rPr>
        <w:t xml:space="preserve">Duke’s interpretation of the Rate Case Order is flawed. </w:t>
      </w:r>
    </w:p>
    <w:p w:rsidR="00171857" w:rsidRPr="004B2E72" w:rsidP="00171857" w14:paraId="76B12E0D" w14:textId="642E8A4C">
      <w:pPr>
        <w:spacing w:line="480" w:lineRule="auto"/>
        <w:ind w:firstLine="720"/>
        <w:rPr>
          <w:szCs w:val="24"/>
        </w:rPr>
      </w:pPr>
      <w:r>
        <w:rPr>
          <w:szCs w:val="24"/>
        </w:rPr>
        <w:t>T</w:t>
      </w:r>
      <w:r w:rsidRPr="004B2E72">
        <w:rPr>
          <w:szCs w:val="24"/>
        </w:rPr>
        <w:t>he PUCO identified two independent grounds or denying charge</w:t>
      </w:r>
      <w:r w:rsidR="00A60317">
        <w:rPr>
          <w:szCs w:val="24"/>
        </w:rPr>
        <w:t>s</w:t>
      </w:r>
      <w:r w:rsidRPr="004B2E72">
        <w:rPr>
          <w:szCs w:val="24"/>
        </w:rPr>
        <w:t xml:space="preserve"> </w:t>
      </w:r>
      <w:r w:rsidR="00A60317">
        <w:rPr>
          <w:szCs w:val="24"/>
        </w:rPr>
        <w:t xml:space="preserve">to </w:t>
      </w:r>
      <w:r w:rsidRPr="004B2E72">
        <w:rPr>
          <w:szCs w:val="24"/>
        </w:rPr>
        <w:t xml:space="preserve">customers for the Purchased Parcel, separated by the word “moreover.” First, the PUCO ruled that under R.C. 4909.15(A)(4), Duke could not charge customers for the Purchased Parcel because the Purchased Parcel had not been “shown on the record in these cases to provide, either in the past or in the present, </w:t>
      </w:r>
      <w:r w:rsidRPr="00015934">
        <w:rPr>
          <w:i/>
          <w:iCs/>
          <w:szCs w:val="24"/>
        </w:rPr>
        <w:t>utility services that caused</w:t>
      </w:r>
      <w:r w:rsidRPr="004B2E72">
        <w:rPr>
          <w:szCs w:val="24"/>
        </w:rPr>
        <w:t xml:space="preserve"> the statutorily mandated environmental remediation.” Second, the PUCO ruled that Duke could not charge customers for the</w:t>
      </w:r>
      <w:r w:rsidR="00015934">
        <w:rPr>
          <w:szCs w:val="24"/>
        </w:rPr>
        <w:t xml:space="preserve"> </w:t>
      </w:r>
      <w:r w:rsidRPr="004B2E72">
        <w:rPr>
          <w:szCs w:val="24"/>
        </w:rPr>
        <w:t>premium it paid for the Purchased Parcel because it “relates to the price Duke paid to purchase the property from a third-party and not to the statutorily mandated remediation efforts.”</w:t>
      </w:r>
      <w:r>
        <w:rPr>
          <w:rStyle w:val="FootnoteReference"/>
          <w:szCs w:val="24"/>
        </w:rPr>
        <w:footnoteReference w:id="19"/>
      </w:r>
    </w:p>
    <w:p w:rsidR="00171857" w:rsidRPr="004B2E72" w:rsidP="00171857" w14:paraId="06409C44" w14:textId="481D521E">
      <w:pPr>
        <w:spacing w:line="480" w:lineRule="auto"/>
        <w:ind w:firstLine="720"/>
        <w:rPr>
          <w:szCs w:val="24"/>
        </w:rPr>
      </w:pPr>
      <w:r>
        <w:rPr>
          <w:szCs w:val="24"/>
        </w:rPr>
        <w:t xml:space="preserve">If the PUCO intended </w:t>
      </w:r>
      <w:r w:rsidR="00403DA0">
        <w:rPr>
          <w:szCs w:val="24"/>
        </w:rPr>
        <w:t>to allow Duke</w:t>
      </w:r>
      <w:r>
        <w:rPr>
          <w:szCs w:val="24"/>
        </w:rPr>
        <w:t xml:space="preserve"> to collect MGP remediation costs from customers regardless of </w:t>
      </w:r>
      <w:r w:rsidR="00AC15D8">
        <w:rPr>
          <w:szCs w:val="24"/>
        </w:rPr>
        <w:t>a causal connection between the utility service provided and the remediation</w:t>
      </w:r>
      <w:r>
        <w:rPr>
          <w:szCs w:val="24"/>
        </w:rPr>
        <w:t xml:space="preserve"> </w:t>
      </w:r>
      <w:r w:rsidR="00403DA0">
        <w:rPr>
          <w:szCs w:val="24"/>
        </w:rPr>
        <w:t>(</w:t>
      </w:r>
      <w:r>
        <w:rPr>
          <w:szCs w:val="24"/>
        </w:rPr>
        <w:t>as Duke argues</w:t>
      </w:r>
      <w:r w:rsidR="00403DA0">
        <w:rPr>
          <w:szCs w:val="24"/>
        </w:rPr>
        <w:t>)</w:t>
      </w:r>
      <w:r>
        <w:rPr>
          <w:szCs w:val="24"/>
        </w:rPr>
        <w:t>,</w:t>
      </w:r>
      <w:r w:rsidR="00015934">
        <w:rPr>
          <w:szCs w:val="24"/>
        </w:rPr>
        <w:t xml:space="preserve"> </w:t>
      </w:r>
      <w:r>
        <w:rPr>
          <w:szCs w:val="24"/>
        </w:rPr>
        <w:t>there would be no reason for the PUCO’s language quoted above.</w:t>
      </w:r>
      <w:r w:rsidR="00A8724E">
        <w:rPr>
          <w:szCs w:val="24"/>
        </w:rPr>
        <w:t xml:space="preserve"> </w:t>
      </w:r>
      <w:r>
        <w:rPr>
          <w:szCs w:val="24"/>
        </w:rPr>
        <w:t>And th</w:t>
      </w:r>
      <w:r w:rsidRPr="004B2E72">
        <w:rPr>
          <w:szCs w:val="24"/>
        </w:rPr>
        <w:t xml:space="preserve">is language </w:t>
      </w:r>
      <w:r>
        <w:rPr>
          <w:szCs w:val="24"/>
        </w:rPr>
        <w:t>applies in this case as well</w:t>
      </w:r>
      <w:r w:rsidRPr="004B2E72">
        <w:rPr>
          <w:szCs w:val="24"/>
        </w:rPr>
        <w:t>. The WOW parcel is part of the Purchased Parcel. So</w:t>
      </w:r>
      <w:r w:rsidR="004B0585">
        <w:rPr>
          <w:szCs w:val="24"/>
        </w:rPr>
        <w:t>,</w:t>
      </w:r>
      <w:r w:rsidRPr="004B2E72">
        <w:rPr>
          <w:szCs w:val="24"/>
        </w:rPr>
        <w:t xml:space="preserve"> the PUCO’s ruling regarding the Purchased Parcel in the Rate Case Order applies to the WOW parcel. </w:t>
      </w:r>
    </w:p>
    <w:p w:rsidR="00171857" w:rsidRPr="00F55692" w:rsidP="00171857" w14:paraId="77B793C6" w14:textId="31E11372">
      <w:pPr>
        <w:spacing w:line="480" w:lineRule="auto"/>
        <w:ind w:firstLine="720"/>
        <w:rPr>
          <w:szCs w:val="24"/>
        </w:rPr>
      </w:pPr>
      <w:r w:rsidRPr="004B2E72">
        <w:rPr>
          <w:szCs w:val="24"/>
        </w:rPr>
        <w:t>Duke cannot show that the WOW parcel or Ohio River were ever used to “provide, either in the past or the present, utility services that caused the statutorily mandated environmental remediation.”</w:t>
      </w:r>
      <w:r w:rsidR="00A8724E">
        <w:rPr>
          <w:szCs w:val="24"/>
        </w:rPr>
        <w:t xml:space="preserve"> </w:t>
      </w:r>
      <w:r w:rsidRPr="004B2E72">
        <w:rPr>
          <w:szCs w:val="24"/>
        </w:rPr>
        <w:t>Consistent with the Rate Case Order, therefore, it is insufficient under R.C. 4909.15(A)(4) for Duke to merely show that its investigation and remediation costs are a “cost of doing business.” The Rate Case Order is unambiguous: Duke cannot charge customers to investigate and remediate the</w:t>
      </w:r>
      <w:r>
        <w:rPr>
          <w:szCs w:val="24"/>
        </w:rPr>
        <w:t xml:space="preserve"> WOW Parcel nor the</w:t>
      </w:r>
      <w:r w:rsidRPr="004B2E72">
        <w:rPr>
          <w:szCs w:val="24"/>
        </w:rPr>
        <w:t xml:space="preserve"> Offsite Areas</w:t>
      </w:r>
      <w:r w:rsidR="009F247D">
        <w:rPr>
          <w:szCs w:val="24"/>
        </w:rPr>
        <w:t xml:space="preserve"> because </w:t>
      </w:r>
      <w:r w:rsidR="00AC15D8">
        <w:rPr>
          <w:szCs w:val="24"/>
        </w:rPr>
        <w:t>there is no causal connection between Duke providing utility service and the remediation.</w:t>
      </w:r>
      <w:r>
        <w:rPr>
          <w:szCs w:val="24"/>
        </w:rPr>
        <w:t xml:space="preserve"> The PUCO should adopt its Staff’s recommendation to disallow these charges to consumers.</w:t>
      </w:r>
    </w:p>
    <w:p w:rsidR="00171857" w:rsidRPr="00D15640" w:rsidP="00103918" w14:paraId="58AD002D" w14:textId="4A0F88EC">
      <w:pPr>
        <w:pStyle w:val="Heading3"/>
      </w:pPr>
      <w:bookmarkStart w:id="8" w:name="_Toc55815489"/>
      <w:r w:rsidRPr="004B5B6F">
        <w:rPr>
          <w:rStyle w:val="Heading3Char"/>
        </w:rPr>
        <w:t xml:space="preserve">To consumers’ detriment, Duke </w:t>
      </w:r>
      <w:r w:rsidR="00E77C54">
        <w:rPr>
          <w:rStyle w:val="Heading3Char"/>
        </w:rPr>
        <w:t>relies on</w:t>
      </w:r>
      <w:r w:rsidRPr="004B5B6F">
        <w:rPr>
          <w:rStyle w:val="Heading3Char"/>
        </w:rPr>
        <w:t xml:space="preserve"> language from the Rate</w:t>
      </w:r>
      <w:r w:rsidRPr="00D15640">
        <w:t xml:space="preserve"> Case Order and Ohio Supreme Court ruling unrelated to the PUCO’s ruling on R.C. 4909.15(A)(4).</w:t>
      </w:r>
      <w:bookmarkEnd w:id="8"/>
    </w:p>
    <w:p w:rsidR="00171857" w:rsidRPr="004B2E72" w:rsidP="00171857" w14:paraId="7FEC91E4" w14:textId="3256359B">
      <w:pPr>
        <w:spacing w:before="240" w:line="480" w:lineRule="auto"/>
        <w:ind w:firstLine="720"/>
        <w:rPr>
          <w:szCs w:val="24"/>
        </w:rPr>
      </w:pPr>
      <w:r w:rsidRPr="004B2E72">
        <w:rPr>
          <w:szCs w:val="24"/>
        </w:rPr>
        <w:t xml:space="preserve">Duke argues in its </w:t>
      </w:r>
      <w:r>
        <w:rPr>
          <w:szCs w:val="24"/>
        </w:rPr>
        <w:t>comments</w:t>
      </w:r>
      <w:r w:rsidRPr="004B2E72">
        <w:rPr>
          <w:szCs w:val="24"/>
        </w:rPr>
        <w:t xml:space="preserve"> that the Rate Case Order “recognized </w:t>
      </w:r>
      <w:r w:rsidRPr="004B2E72">
        <w:rPr>
          <w:i/>
          <w:iCs/>
          <w:szCs w:val="24"/>
        </w:rPr>
        <w:t>all</w:t>
      </w:r>
      <w:r w:rsidRPr="004B2E72">
        <w:rPr>
          <w:szCs w:val="24"/>
        </w:rPr>
        <w:t xml:space="preserve"> MGP investigation and remediation expenses stemming from Duke Energy Ohio’s statutory mandate as recoverable costs of utility service under R.C. 4909.15(A)(4).”</w:t>
      </w:r>
      <w:r>
        <w:rPr>
          <w:rStyle w:val="FootnoteReference"/>
          <w:szCs w:val="24"/>
        </w:rPr>
        <w:footnoteReference w:id="20"/>
      </w:r>
      <w:r w:rsidRPr="004B2E72">
        <w:rPr>
          <w:szCs w:val="24"/>
        </w:rPr>
        <w:t xml:space="preserve"> Duke arrives at this conclusion through a series of citations to the Rate Case Order, some taken out of context, and many taken from sections of the Rate Case Order that were not about R.C. 4909.15(A)(4).</w:t>
      </w:r>
    </w:p>
    <w:p w:rsidR="00171857" w:rsidRPr="004B2E72" w:rsidP="00171857" w14:paraId="31A5C5F9" w14:textId="77777777">
      <w:pPr>
        <w:spacing w:line="480" w:lineRule="auto"/>
        <w:ind w:firstLine="720"/>
        <w:rPr>
          <w:szCs w:val="24"/>
        </w:rPr>
      </w:pPr>
      <w:r w:rsidRPr="004B2E72">
        <w:rPr>
          <w:szCs w:val="24"/>
        </w:rPr>
        <w:t>Duke begins its argument by quoting the Rate Case Order, where the PUCO said that “the environmental investigation and remediation costs associated with the East and West End MGP sites are business costs incurred by Duke in compliance with Ohio regulations and federal statutes.”</w:t>
      </w:r>
      <w:r>
        <w:rPr>
          <w:rStyle w:val="FootnoteReference"/>
          <w:szCs w:val="24"/>
        </w:rPr>
        <w:footnoteReference w:id="21"/>
      </w:r>
      <w:r w:rsidRPr="004B2E72">
        <w:rPr>
          <w:szCs w:val="24"/>
        </w:rPr>
        <w:t xml:space="preserve"> The PUCO did say this. But it said it in the section of the Rate Case Order approving deferral authority (which is not ratemaking). This quote was not about R.C. 4909.15(A)(4).</w:t>
      </w:r>
    </w:p>
    <w:p w:rsidR="00171857" w:rsidRPr="004B2E72" w:rsidP="00171857" w14:paraId="3FA8BBE5" w14:textId="471D7854">
      <w:pPr>
        <w:spacing w:line="480" w:lineRule="auto"/>
        <w:ind w:firstLine="720"/>
        <w:rPr>
          <w:szCs w:val="24"/>
        </w:rPr>
      </w:pPr>
      <w:r w:rsidRPr="004B2E72">
        <w:rPr>
          <w:szCs w:val="24"/>
        </w:rPr>
        <w:t xml:space="preserve">Duke then provides a lengthy block quote from the Rate Case </w:t>
      </w:r>
      <w:r w:rsidR="001C0260">
        <w:rPr>
          <w:szCs w:val="24"/>
        </w:rPr>
        <w:t xml:space="preserve">Order </w:t>
      </w:r>
      <w:r w:rsidRPr="004B2E72">
        <w:rPr>
          <w:szCs w:val="24"/>
        </w:rPr>
        <w:t>where the PUCO discusses Duke’s statutory obligation to clean the MGP Sites.</w:t>
      </w:r>
      <w:r>
        <w:rPr>
          <w:rStyle w:val="FootnoteReference"/>
          <w:szCs w:val="24"/>
        </w:rPr>
        <w:footnoteReference w:id="22"/>
      </w:r>
      <w:r w:rsidRPr="004B2E72">
        <w:rPr>
          <w:szCs w:val="24"/>
        </w:rPr>
        <w:t xml:space="preserve"> This time, the quote is from the section of the Rate Case Order addressing</w:t>
      </w:r>
      <w:r w:rsidR="00353AA7">
        <w:rPr>
          <w:szCs w:val="24"/>
        </w:rPr>
        <w:t xml:space="preserve"> the</w:t>
      </w:r>
      <w:r w:rsidR="00EC34D6">
        <w:rPr>
          <w:szCs w:val="24"/>
        </w:rPr>
        <w:t xml:space="preserve"> </w:t>
      </w:r>
      <w:r w:rsidRPr="004B2E72">
        <w:rPr>
          <w:szCs w:val="24"/>
        </w:rPr>
        <w:t xml:space="preserve">used and usefulness </w:t>
      </w:r>
      <w:r w:rsidR="00353AA7">
        <w:rPr>
          <w:szCs w:val="24"/>
        </w:rPr>
        <w:t xml:space="preserve">criteria for rate base </w:t>
      </w:r>
      <w:r w:rsidRPr="004B2E72">
        <w:rPr>
          <w:szCs w:val="24"/>
        </w:rPr>
        <w:t xml:space="preserve">under R.C. 4909.15(A)(1), which the Supreme Court explicitly ruled has no bearing on </w:t>
      </w:r>
      <w:r w:rsidR="00353AA7">
        <w:rPr>
          <w:szCs w:val="24"/>
        </w:rPr>
        <w:t xml:space="preserve">whether consumers can be charged for expenses under </w:t>
      </w:r>
      <w:r w:rsidRPr="004B2E72">
        <w:rPr>
          <w:szCs w:val="24"/>
        </w:rPr>
        <w:t>R.C. 4909.15(A)(4).</w:t>
      </w:r>
      <w:r>
        <w:rPr>
          <w:rStyle w:val="FootnoteReference"/>
          <w:szCs w:val="24"/>
        </w:rPr>
        <w:footnoteReference w:id="23"/>
      </w:r>
    </w:p>
    <w:p w:rsidR="00171857" w:rsidRPr="004B2E72" w:rsidP="00171857" w14:paraId="473D233F" w14:textId="0008B23E">
      <w:pPr>
        <w:spacing w:line="480" w:lineRule="auto"/>
        <w:ind w:firstLine="720"/>
        <w:rPr>
          <w:szCs w:val="24"/>
        </w:rPr>
      </w:pPr>
      <w:r w:rsidRPr="004B2E72">
        <w:rPr>
          <w:szCs w:val="24"/>
        </w:rPr>
        <w:t xml:space="preserve">Duke also quotes the Supreme Court of Ohio’s decision in the appeal of the Rate Case, where the </w:t>
      </w:r>
      <w:r w:rsidR="00A11FDA">
        <w:rPr>
          <w:szCs w:val="24"/>
        </w:rPr>
        <w:t xml:space="preserve">Supreme </w:t>
      </w:r>
      <w:r w:rsidRPr="004B2E72">
        <w:rPr>
          <w:szCs w:val="24"/>
        </w:rPr>
        <w:t>Court referred to Duke’s “statutory mandate to remediate the contamination.”</w:t>
      </w:r>
      <w:r>
        <w:rPr>
          <w:rStyle w:val="FootnoteReference"/>
          <w:szCs w:val="24"/>
        </w:rPr>
        <w:footnoteReference w:id="24"/>
      </w:r>
      <w:r w:rsidRPr="004B2E72">
        <w:rPr>
          <w:szCs w:val="24"/>
        </w:rPr>
        <w:t xml:space="preserve"> Yet again, this quote is taken out of context. Here, the </w:t>
      </w:r>
      <w:r w:rsidR="00A11FDA">
        <w:rPr>
          <w:szCs w:val="24"/>
        </w:rPr>
        <w:t xml:space="preserve">Supreme </w:t>
      </w:r>
      <w:r w:rsidRPr="004B2E72">
        <w:rPr>
          <w:szCs w:val="24"/>
        </w:rPr>
        <w:t>Court was addressing parties’ arguments regarding the used and useful standard and OCC’s argument that the PUCO failed to follow its own precedent on that issue.</w:t>
      </w:r>
      <w:r>
        <w:rPr>
          <w:rStyle w:val="FootnoteReference"/>
          <w:szCs w:val="24"/>
        </w:rPr>
        <w:footnoteReference w:id="25"/>
      </w:r>
      <w:r w:rsidRPr="004B2E72">
        <w:rPr>
          <w:szCs w:val="24"/>
        </w:rPr>
        <w:t xml:space="preserve"> This language from the Supreme Court </w:t>
      </w:r>
      <w:r w:rsidR="00E77C54">
        <w:rPr>
          <w:szCs w:val="24"/>
        </w:rPr>
        <w:t>o</w:t>
      </w:r>
      <w:r w:rsidRPr="004B2E72">
        <w:rPr>
          <w:szCs w:val="24"/>
        </w:rPr>
        <w:t xml:space="preserve">pinion was not about </w:t>
      </w:r>
      <w:r w:rsidR="00353AA7">
        <w:rPr>
          <w:szCs w:val="24"/>
        </w:rPr>
        <w:t xml:space="preserve">charging customers for expenses of remediation under </w:t>
      </w:r>
      <w:r w:rsidRPr="004B2E72">
        <w:rPr>
          <w:szCs w:val="24"/>
        </w:rPr>
        <w:t>R.C. 4909.15(A)(4).</w:t>
      </w:r>
    </w:p>
    <w:p w:rsidR="00171857" w:rsidRPr="001A1688" w:rsidP="00103918" w14:paraId="70D2C5B4" w14:textId="067AEC2A">
      <w:pPr>
        <w:pStyle w:val="Heading3"/>
      </w:pPr>
      <w:bookmarkStart w:id="9" w:name="_Toc55815490"/>
      <w:r w:rsidRPr="004B5B6F">
        <w:rPr>
          <w:rStyle w:val="Heading3Char"/>
        </w:rPr>
        <w:t>The PUCO’s 2016 ruling extending the time period for Duke’s</w:t>
      </w:r>
      <w:r w:rsidRPr="001A1688">
        <w:t xml:space="preserve"> deferral was not ratemaking and thus has no bearing on whether Duke can charge customers for costs incurred in the “Offsite” Areas.</w:t>
      </w:r>
      <w:bookmarkEnd w:id="9"/>
    </w:p>
    <w:p w:rsidR="00171857" w:rsidRPr="004B2E72" w:rsidP="00171857" w14:paraId="12F741B2" w14:textId="3255E8D9">
      <w:pPr>
        <w:spacing w:line="480" w:lineRule="auto"/>
        <w:ind w:firstLine="720"/>
        <w:rPr>
          <w:szCs w:val="24"/>
        </w:rPr>
      </w:pPr>
      <w:r w:rsidRPr="004B2E72">
        <w:rPr>
          <w:szCs w:val="24"/>
        </w:rPr>
        <w:t>In the Rate Case Order, the PUCO ruled that Duke could not charge customers for cleanup costs at the East End Site after December 31, 2016.</w:t>
      </w:r>
      <w:r>
        <w:rPr>
          <w:rStyle w:val="FootnoteReference"/>
          <w:szCs w:val="24"/>
        </w:rPr>
        <w:footnoteReference w:id="26"/>
      </w:r>
      <w:r w:rsidRPr="004B2E72">
        <w:rPr>
          <w:szCs w:val="24"/>
        </w:rPr>
        <w:t xml:space="preserve"> The PUCO, however, left open the possibility </w:t>
      </w:r>
      <w:r w:rsidR="00AC15D8">
        <w:rPr>
          <w:szCs w:val="24"/>
        </w:rPr>
        <w:t xml:space="preserve">of </w:t>
      </w:r>
      <w:r w:rsidR="00353AA7">
        <w:rPr>
          <w:szCs w:val="24"/>
        </w:rPr>
        <w:t>deferring (for later collection from customers) additional cleanup costs Duke incurred</w:t>
      </w:r>
      <w:r w:rsidR="00015934">
        <w:rPr>
          <w:szCs w:val="24"/>
        </w:rPr>
        <w:t xml:space="preserve"> </w:t>
      </w:r>
      <w:r w:rsidRPr="004B2E72">
        <w:rPr>
          <w:szCs w:val="24"/>
        </w:rPr>
        <w:t>under “exigent circumstances.”</w:t>
      </w:r>
      <w:r>
        <w:rPr>
          <w:rStyle w:val="FootnoteReference"/>
          <w:szCs w:val="24"/>
        </w:rPr>
        <w:footnoteReference w:id="27"/>
      </w:r>
      <w:r w:rsidRPr="004B2E72">
        <w:rPr>
          <w:szCs w:val="24"/>
        </w:rPr>
        <w:t xml:space="preserve"> In 2016, Duke filed an application to extend deferral authority beyond December 31, 2016, claiming exigent circumstances.</w:t>
      </w:r>
      <w:r>
        <w:rPr>
          <w:rStyle w:val="FootnoteReference"/>
          <w:szCs w:val="24"/>
        </w:rPr>
        <w:footnoteReference w:id="28"/>
      </w:r>
      <w:r w:rsidRPr="004B2E72">
        <w:rPr>
          <w:szCs w:val="24"/>
        </w:rPr>
        <w:t xml:space="preserve"> The PUCO ruled in favor of Duke, finding that exigent circumstances existed at the time and allowing Duke to continue deferring costs on the East End through December 31, 2019.</w:t>
      </w:r>
      <w:r>
        <w:rPr>
          <w:rStyle w:val="FootnoteReference"/>
          <w:szCs w:val="24"/>
        </w:rPr>
        <w:footnoteReference w:id="29"/>
      </w:r>
      <w:r>
        <w:rPr>
          <w:szCs w:val="24"/>
        </w:rPr>
        <w:t xml:space="preserve"> </w:t>
      </w:r>
      <w:r w:rsidRPr="004B2E72">
        <w:rPr>
          <w:szCs w:val="24"/>
        </w:rPr>
        <w:t xml:space="preserve">In its </w:t>
      </w:r>
      <w:r>
        <w:rPr>
          <w:szCs w:val="24"/>
        </w:rPr>
        <w:t>Comments</w:t>
      </w:r>
      <w:r w:rsidRPr="004B2E72">
        <w:rPr>
          <w:szCs w:val="24"/>
        </w:rPr>
        <w:t>, Duke suggests that this deferral ruling (the “Deferral Order”) supports its claim that it can charge customers to investigate and remediate the West of the West parcel. Duke is mistaken, for several reasons.</w:t>
      </w:r>
    </w:p>
    <w:p w:rsidR="00171857" w:rsidRPr="004B2E72" w:rsidP="00171857" w14:paraId="329FF3C6" w14:textId="1D219B47">
      <w:pPr>
        <w:spacing w:line="480" w:lineRule="auto"/>
        <w:ind w:firstLine="720"/>
        <w:rPr>
          <w:szCs w:val="24"/>
        </w:rPr>
      </w:pPr>
      <w:r w:rsidRPr="004B2E72">
        <w:rPr>
          <w:szCs w:val="24"/>
        </w:rPr>
        <w:t>First, as the PUCO and Ohio Supreme Court have emphasized, a deferral is an accounting mechanism and nothing more</w:t>
      </w:r>
      <w:r w:rsidR="00C7508C">
        <w:rPr>
          <w:szCs w:val="24"/>
        </w:rPr>
        <w:t xml:space="preserve"> </w:t>
      </w:r>
      <w:r w:rsidRPr="004B2E72">
        <w:rPr>
          <w:szCs w:val="24"/>
        </w:rPr>
        <w:t>—</w:t>
      </w:r>
      <w:r w:rsidR="00C7508C">
        <w:rPr>
          <w:szCs w:val="24"/>
        </w:rPr>
        <w:t xml:space="preserve"> </w:t>
      </w:r>
      <w:r w:rsidRPr="004B2E72">
        <w:rPr>
          <w:szCs w:val="24"/>
        </w:rPr>
        <w:t>it is not ratemaking.</w:t>
      </w:r>
      <w:r>
        <w:rPr>
          <w:rStyle w:val="FootnoteReference"/>
          <w:szCs w:val="24"/>
        </w:rPr>
        <w:footnoteReference w:id="30"/>
      </w:r>
      <w:r w:rsidRPr="004B2E72">
        <w:rPr>
          <w:szCs w:val="24"/>
        </w:rPr>
        <w:t xml:space="preserve"> Indeed, the Deferral Order itself addressed this issue, reiterating that “deferrals do not constitute ratemaking” and that “the Commission is not determining what, if any, of these costs may be appropriate for recovery in a subsequent proceeding.”</w:t>
      </w:r>
      <w:r>
        <w:rPr>
          <w:rStyle w:val="FootnoteReference"/>
          <w:szCs w:val="24"/>
        </w:rPr>
        <w:footnoteReference w:id="31"/>
      </w:r>
    </w:p>
    <w:p w:rsidR="00171857" w:rsidRPr="004B2E72" w:rsidP="00171857" w14:paraId="3D57CFEB" w14:textId="4C8BC818">
      <w:pPr>
        <w:spacing w:line="480" w:lineRule="auto"/>
        <w:ind w:firstLine="720"/>
        <w:rPr>
          <w:szCs w:val="24"/>
        </w:rPr>
      </w:pPr>
      <w:r w:rsidRPr="004B2E72">
        <w:rPr>
          <w:szCs w:val="24"/>
        </w:rPr>
        <w:t xml:space="preserve">Second, the PUCO did not make any factual findings or legal rulings regarding the WOW parcel in the Deferral Order. Duke notes in its </w:t>
      </w:r>
      <w:r>
        <w:rPr>
          <w:szCs w:val="24"/>
        </w:rPr>
        <w:t>Comments</w:t>
      </w:r>
      <w:r w:rsidRPr="004B2E72">
        <w:rPr>
          <w:szCs w:val="24"/>
        </w:rPr>
        <w:t xml:space="preserve"> that the Deferral Order discusses the WOW parcel.</w:t>
      </w:r>
      <w:r>
        <w:rPr>
          <w:rStyle w:val="FootnoteReference"/>
          <w:szCs w:val="24"/>
        </w:rPr>
        <w:footnoteReference w:id="32"/>
      </w:r>
      <w:r w:rsidRPr="004B2E72">
        <w:rPr>
          <w:szCs w:val="24"/>
        </w:rPr>
        <w:t xml:space="preserve"> The Deferral Order does mention the WOW parcel, </w:t>
      </w:r>
      <w:r w:rsidR="00C82AB9">
        <w:rPr>
          <w:szCs w:val="24"/>
        </w:rPr>
        <w:t>except</w:t>
      </w:r>
      <w:r w:rsidRPr="004B2E72">
        <w:rPr>
          <w:szCs w:val="24"/>
        </w:rPr>
        <w:t xml:space="preserve"> in sentences where the PUCO is summarizing Duke’s position.</w:t>
      </w:r>
      <w:r>
        <w:rPr>
          <w:rStyle w:val="FootnoteReference"/>
          <w:szCs w:val="24"/>
        </w:rPr>
        <w:footnoteReference w:id="33"/>
      </w:r>
      <w:r w:rsidRPr="004B2E72">
        <w:rPr>
          <w:szCs w:val="24"/>
        </w:rPr>
        <w:t xml:space="preserve"> At no point in the Deferral Order does the PUCO say that Duke can </w:t>
      </w:r>
      <w:r w:rsidR="006D193E">
        <w:rPr>
          <w:szCs w:val="24"/>
        </w:rPr>
        <w:t xml:space="preserve">defer or </w:t>
      </w:r>
      <w:r w:rsidRPr="004B2E72">
        <w:rPr>
          <w:szCs w:val="24"/>
        </w:rPr>
        <w:t>charge customers for cleanup costs in the WOW parcel or Ohio River.</w:t>
      </w:r>
    </w:p>
    <w:p w:rsidR="00171857" w:rsidRPr="004B2E72" w:rsidP="00171857" w14:paraId="6CD02DCE" w14:textId="58D518C7">
      <w:pPr>
        <w:spacing w:line="480" w:lineRule="auto"/>
        <w:ind w:firstLine="720"/>
        <w:rPr>
          <w:szCs w:val="24"/>
        </w:rPr>
      </w:pPr>
      <w:r w:rsidRPr="004B2E72">
        <w:rPr>
          <w:szCs w:val="24"/>
        </w:rPr>
        <w:t xml:space="preserve">Third, the issue of whether customers could be charged for costs incurred in the WOW parcel and Ohio River simply was not raised in the deferral case. The PUCO’s ruling in that case came in December 2016. It was not until nearly two years later that the PUCO Staff issued its first report in these rider cases and parties began filing their respective comments on the issue of charges in the WOW parcel and Ohio River. The Deferral Order, therefore, provides no support for Duke’s theory that it can </w:t>
      </w:r>
      <w:r w:rsidR="006D193E">
        <w:rPr>
          <w:szCs w:val="24"/>
        </w:rPr>
        <w:t xml:space="preserve">defer or </w:t>
      </w:r>
      <w:r w:rsidRPr="004B2E72">
        <w:rPr>
          <w:szCs w:val="24"/>
        </w:rPr>
        <w:t>charge customers for remediation costs in the WOW parcel and Ohio River.</w:t>
      </w:r>
    </w:p>
    <w:p w:rsidR="00171857" w:rsidRPr="004B2E72" w:rsidP="00104B50" w14:paraId="097A23F6" w14:textId="69C868B4">
      <w:pPr>
        <w:pStyle w:val="Heading2"/>
      </w:pPr>
      <w:bookmarkStart w:id="10" w:name="_Toc53042899"/>
      <w:bookmarkStart w:id="11" w:name="_Toc55815491"/>
      <w:r w:rsidRPr="004B2E72">
        <w:t xml:space="preserve">The PUCO Staff’s recommended </w:t>
      </w:r>
      <w:r w:rsidR="00531CB4">
        <w:t xml:space="preserve">approximately </w:t>
      </w:r>
      <w:r w:rsidRPr="004B2E72">
        <w:t>$</w:t>
      </w:r>
      <w:r>
        <w:t>3.9</w:t>
      </w:r>
      <w:r w:rsidRPr="004B2E72">
        <w:t xml:space="preserve"> million disallowance </w:t>
      </w:r>
      <w:r w:rsidR="00415CAC">
        <w:t xml:space="preserve">for Duke’s 2019 spending on the East End and West End remediation </w:t>
      </w:r>
      <w:r w:rsidRPr="004B2E72">
        <w:t>protects consumers and is reasonable and reliable</w:t>
      </w:r>
      <w:r w:rsidR="00AA034C">
        <w:t xml:space="preserve"> and consistent with its positions on prior cases</w:t>
      </w:r>
      <w:r w:rsidRPr="004B2E72">
        <w:t>.</w:t>
      </w:r>
      <w:bookmarkEnd w:id="10"/>
      <w:bookmarkEnd w:id="11"/>
    </w:p>
    <w:p w:rsidR="004B5B6F" w:rsidP="00171857" w14:paraId="2DC24C0A" w14:textId="0F1D06AE">
      <w:pPr>
        <w:spacing w:line="480" w:lineRule="auto"/>
        <w:ind w:firstLine="720"/>
        <w:rPr>
          <w:szCs w:val="24"/>
        </w:rPr>
      </w:pPr>
      <w:r w:rsidRPr="004B2E72">
        <w:rPr>
          <w:szCs w:val="24"/>
        </w:rPr>
        <w:t>The PUCO Staff provided a comprehensive calculation of the total amount that Duke spent investigating and remediating the Offsite Areas. The PUCO Staff recommended the following disallowances:</w:t>
      </w:r>
      <w:r>
        <w:rPr>
          <w:rStyle w:val="FootnoteReference"/>
          <w:szCs w:val="24"/>
        </w:rPr>
        <w:footnoteReference w:id="34"/>
      </w:r>
    </w:p>
    <w:p w:rsidR="004B5B6F" w14:paraId="6795EE2A" w14:textId="77777777">
      <w:pPr>
        <w:spacing w:after="200" w:line="276" w:lineRule="auto"/>
        <w:rPr>
          <w:szCs w:val="24"/>
        </w:rPr>
      </w:pPr>
      <w:r>
        <w:rPr>
          <w:szCs w:val="24"/>
        </w:rPr>
        <w:br w:type="page"/>
      </w:r>
    </w:p>
    <w:tbl>
      <w:tblPr>
        <w:tblStyle w:val="TableGrid"/>
        <w:tblW w:w="0" w:type="auto"/>
        <w:tblInd w:w="1344" w:type="dxa"/>
        <w:tblLook w:val="04A0"/>
      </w:tblPr>
      <w:tblGrid>
        <w:gridCol w:w="1345"/>
        <w:gridCol w:w="2610"/>
        <w:gridCol w:w="2700"/>
      </w:tblGrid>
      <w:tr w14:paraId="4107FAB5" w14:textId="77777777" w:rsidTr="00171857">
        <w:tblPrEx>
          <w:tblW w:w="0" w:type="auto"/>
          <w:tblInd w:w="1344" w:type="dxa"/>
          <w:tblLook w:val="04A0"/>
        </w:tblPrEx>
        <w:tc>
          <w:tcPr>
            <w:tcW w:w="1345" w:type="dxa"/>
          </w:tcPr>
          <w:p w:rsidR="00171857" w:rsidRPr="004B2E72" w:rsidP="00171857" w14:paraId="11EBF3E7" w14:textId="77777777">
            <w:pPr>
              <w:rPr>
                <w:szCs w:val="24"/>
              </w:rPr>
            </w:pPr>
            <w:r w:rsidRPr="004B2E72">
              <w:rPr>
                <w:szCs w:val="24"/>
              </w:rPr>
              <w:t>Year</w:t>
            </w:r>
          </w:p>
        </w:tc>
        <w:tc>
          <w:tcPr>
            <w:tcW w:w="2610" w:type="dxa"/>
          </w:tcPr>
          <w:p w:rsidR="00171857" w:rsidRPr="004B2E72" w:rsidP="00171857" w14:paraId="23F89759" w14:textId="77777777">
            <w:pPr>
              <w:rPr>
                <w:szCs w:val="24"/>
              </w:rPr>
            </w:pPr>
            <w:r w:rsidRPr="004B2E72">
              <w:rPr>
                <w:szCs w:val="24"/>
              </w:rPr>
              <w:t>East End Disallowance</w:t>
            </w:r>
          </w:p>
        </w:tc>
        <w:tc>
          <w:tcPr>
            <w:tcW w:w="2700" w:type="dxa"/>
          </w:tcPr>
          <w:p w:rsidR="00171857" w:rsidRPr="004B2E72" w:rsidP="00171857" w14:paraId="12D2EE2D" w14:textId="77777777">
            <w:pPr>
              <w:rPr>
                <w:szCs w:val="24"/>
              </w:rPr>
            </w:pPr>
            <w:r w:rsidRPr="004B2E72">
              <w:rPr>
                <w:szCs w:val="24"/>
              </w:rPr>
              <w:t>West End Disallowance</w:t>
            </w:r>
          </w:p>
        </w:tc>
      </w:tr>
      <w:tr w14:paraId="184277F3" w14:textId="77777777" w:rsidTr="00171857">
        <w:tblPrEx>
          <w:tblW w:w="0" w:type="auto"/>
          <w:tblInd w:w="1344" w:type="dxa"/>
          <w:tblLook w:val="04A0"/>
        </w:tblPrEx>
        <w:tc>
          <w:tcPr>
            <w:tcW w:w="1345" w:type="dxa"/>
          </w:tcPr>
          <w:p w:rsidR="00171857" w:rsidRPr="004B2E72" w:rsidP="00171857" w14:paraId="6A29BABB" w14:textId="77777777">
            <w:pPr>
              <w:rPr>
                <w:szCs w:val="24"/>
              </w:rPr>
            </w:pPr>
            <w:r w:rsidRPr="004B2E72">
              <w:rPr>
                <w:szCs w:val="24"/>
              </w:rPr>
              <w:t>2013</w:t>
            </w:r>
          </w:p>
        </w:tc>
        <w:tc>
          <w:tcPr>
            <w:tcW w:w="2610" w:type="dxa"/>
          </w:tcPr>
          <w:p w:rsidR="00171857" w:rsidRPr="004B2E72" w:rsidP="00171857" w14:paraId="5DED94FD" w14:textId="77777777">
            <w:pPr>
              <w:rPr>
                <w:szCs w:val="24"/>
              </w:rPr>
            </w:pPr>
            <w:r w:rsidRPr="004B2E72">
              <w:rPr>
                <w:szCs w:val="24"/>
              </w:rPr>
              <w:t>$274,321</w:t>
            </w:r>
          </w:p>
        </w:tc>
        <w:tc>
          <w:tcPr>
            <w:tcW w:w="2700" w:type="dxa"/>
          </w:tcPr>
          <w:p w:rsidR="00171857" w:rsidRPr="004B2E72" w:rsidP="00171857" w14:paraId="7E798DD1" w14:textId="77777777">
            <w:pPr>
              <w:rPr>
                <w:szCs w:val="24"/>
              </w:rPr>
            </w:pPr>
            <w:r w:rsidRPr="004B2E72">
              <w:rPr>
                <w:szCs w:val="24"/>
              </w:rPr>
              <w:t>$22,456</w:t>
            </w:r>
          </w:p>
        </w:tc>
      </w:tr>
      <w:tr w14:paraId="23B71D62" w14:textId="77777777" w:rsidTr="00171857">
        <w:tblPrEx>
          <w:tblW w:w="0" w:type="auto"/>
          <w:tblInd w:w="1344" w:type="dxa"/>
          <w:tblLook w:val="04A0"/>
        </w:tblPrEx>
        <w:tc>
          <w:tcPr>
            <w:tcW w:w="1345" w:type="dxa"/>
          </w:tcPr>
          <w:p w:rsidR="00171857" w:rsidRPr="004B2E72" w:rsidP="00171857" w14:paraId="490063D8" w14:textId="77777777">
            <w:pPr>
              <w:rPr>
                <w:szCs w:val="24"/>
              </w:rPr>
            </w:pPr>
            <w:r w:rsidRPr="004B2E72">
              <w:rPr>
                <w:szCs w:val="24"/>
              </w:rPr>
              <w:t>2014</w:t>
            </w:r>
          </w:p>
        </w:tc>
        <w:tc>
          <w:tcPr>
            <w:tcW w:w="2610" w:type="dxa"/>
          </w:tcPr>
          <w:p w:rsidR="00171857" w:rsidRPr="004B2E72" w:rsidP="00171857" w14:paraId="2F0322A5" w14:textId="77777777">
            <w:pPr>
              <w:rPr>
                <w:szCs w:val="24"/>
              </w:rPr>
            </w:pPr>
            <w:r w:rsidRPr="004B2E72">
              <w:rPr>
                <w:szCs w:val="24"/>
              </w:rPr>
              <w:t>$135,380</w:t>
            </w:r>
          </w:p>
        </w:tc>
        <w:tc>
          <w:tcPr>
            <w:tcW w:w="2700" w:type="dxa"/>
          </w:tcPr>
          <w:p w:rsidR="00171857" w:rsidRPr="004B2E72" w:rsidP="00171857" w14:paraId="2654F13B" w14:textId="77777777">
            <w:pPr>
              <w:rPr>
                <w:szCs w:val="24"/>
              </w:rPr>
            </w:pPr>
            <w:r w:rsidRPr="004B2E72">
              <w:rPr>
                <w:szCs w:val="24"/>
              </w:rPr>
              <w:t>$328,299</w:t>
            </w:r>
          </w:p>
        </w:tc>
      </w:tr>
      <w:tr w14:paraId="20EAFCDC" w14:textId="77777777" w:rsidTr="00171857">
        <w:tblPrEx>
          <w:tblW w:w="0" w:type="auto"/>
          <w:tblInd w:w="1344" w:type="dxa"/>
          <w:tblLook w:val="04A0"/>
        </w:tblPrEx>
        <w:tc>
          <w:tcPr>
            <w:tcW w:w="1345" w:type="dxa"/>
          </w:tcPr>
          <w:p w:rsidR="00171857" w:rsidRPr="004B2E72" w:rsidP="00171857" w14:paraId="42EEEDE0" w14:textId="77777777">
            <w:pPr>
              <w:rPr>
                <w:szCs w:val="24"/>
              </w:rPr>
            </w:pPr>
            <w:r w:rsidRPr="004B2E72">
              <w:rPr>
                <w:szCs w:val="24"/>
              </w:rPr>
              <w:t>2015</w:t>
            </w:r>
          </w:p>
        </w:tc>
        <w:tc>
          <w:tcPr>
            <w:tcW w:w="2610" w:type="dxa"/>
          </w:tcPr>
          <w:p w:rsidR="00171857" w:rsidRPr="004B2E72" w:rsidP="00171857" w14:paraId="632889D5" w14:textId="77777777">
            <w:pPr>
              <w:rPr>
                <w:szCs w:val="24"/>
              </w:rPr>
            </w:pPr>
            <w:r w:rsidRPr="004B2E72">
              <w:rPr>
                <w:szCs w:val="24"/>
              </w:rPr>
              <w:t>$222,780</w:t>
            </w:r>
          </w:p>
        </w:tc>
        <w:tc>
          <w:tcPr>
            <w:tcW w:w="2700" w:type="dxa"/>
          </w:tcPr>
          <w:p w:rsidR="00171857" w:rsidRPr="004B2E72" w:rsidP="00171857" w14:paraId="253C99F4" w14:textId="77777777">
            <w:pPr>
              <w:rPr>
                <w:szCs w:val="24"/>
              </w:rPr>
            </w:pPr>
            <w:r w:rsidRPr="004B2E72">
              <w:rPr>
                <w:szCs w:val="24"/>
              </w:rPr>
              <w:t>$97,728</w:t>
            </w:r>
          </w:p>
        </w:tc>
      </w:tr>
      <w:tr w14:paraId="59E1ACF1" w14:textId="77777777" w:rsidTr="00171857">
        <w:tblPrEx>
          <w:tblW w:w="0" w:type="auto"/>
          <w:tblInd w:w="1344" w:type="dxa"/>
          <w:tblLook w:val="04A0"/>
        </w:tblPrEx>
        <w:tc>
          <w:tcPr>
            <w:tcW w:w="1345" w:type="dxa"/>
          </w:tcPr>
          <w:p w:rsidR="00171857" w:rsidRPr="004B2E72" w:rsidP="00171857" w14:paraId="71F347E1" w14:textId="77777777">
            <w:pPr>
              <w:rPr>
                <w:szCs w:val="24"/>
              </w:rPr>
            </w:pPr>
            <w:r w:rsidRPr="004B2E72">
              <w:rPr>
                <w:szCs w:val="24"/>
              </w:rPr>
              <w:t>2016</w:t>
            </w:r>
          </w:p>
        </w:tc>
        <w:tc>
          <w:tcPr>
            <w:tcW w:w="2610" w:type="dxa"/>
          </w:tcPr>
          <w:p w:rsidR="00171857" w:rsidRPr="004B2E72" w:rsidP="00171857" w14:paraId="1D197947" w14:textId="77777777">
            <w:pPr>
              <w:rPr>
                <w:szCs w:val="24"/>
              </w:rPr>
            </w:pPr>
            <w:r w:rsidRPr="004B2E72">
              <w:rPr>
                <w:szCs w:val="24"/>
              </w:rPr>
              <w:t>$561,999</w:t>
            </w:r>
          </w:p>
        </w:tc>
        <w:tc>
          <w:tcPr>
            <w:tcW w:w="2700" w:type="dxa"/>
          </w:tcPr>
          <w:p w:rsidR="00171857" w:rsidRPr="004B2E72" w:rsidP="00171857" w14:paraId="754E5A0D" w14:textId="77777777">
            <w:pPr>
              <w:rPr>
                <w:szCs w:val="24"/>
              </w:rPr>
            </w:pPr>
            <w:r w:rsidRPr="004B2E72">
              <w:rPr>
                <w:szCs w:val="24"/>
              </w:rPr>
              <w:t>$0</w:t>
            </w:r>
          </w:p>
        </w:tc>
      </w:tr>
      <w:tr w14:paraId="62D9F413" w14:textId="77777777" w:rsidTr="00171857">
        <w:tblPrEx>
          <w:tblW w:w="0" w:type="auto"/>
          <w:tblInd w:w="1344" w:type="dxa"/>
          <w:tblLook w:val="04A0"/>
        </w:tblPrEx>
        <w:tc>
          <w:tcPr>
            <w:tcW w:w="1345" w:type="dxa"/>
          </w:tcPr>
          <w:p w:rsidR="00171857" w:rsidRPr="004B2E72" w:rsidP="00171857" w14:paraId="41B47C15" w14:textId="77777777">
            <w:pPr>
              <w:rPr>
                <w:szCs w:val="24"/>
              </w:rPr>
            </w:pPr>
            <w:r w:rsidRPr="004B2E72">
              <w:rPr>
                <w:szCs w:val="24"/>
              </w:rPr>
              <w:t>2017</w:t>
            </w:r>
          </w:p>
        </w:tc>
        <w:tc>
          <w:tcPr>
            <w:tcW w:w="2610" w:type="dxa"/>
          </w:tcPr>
          <w:p w:rsidR="00171857" w:rsidRPr="004B2E72" w:rsidP="00171857" w14:paraId="44090600" w14:textId="77777777">
            <w:pPr>
              <w:rPr>
                <w:szCs w:val="24"/>
              </w:rPr>
            </w:pPr>
            <w:r w:rsidRPr="004B2E72">
              <w:rPr>
                <w:szCs w:val="24"/>
              </w:rPr>
              <w:t>$10,033,787</w:t>
            </w:r>
          </w:p>
        </w:tc>
        <w:tc>
          <w:tcPr>
            <w:tcW w:w="2700" w:type="dxa"/>
          </w:tcPr>
          <w:p w:rsidR="00171857" w:rsidRPr="004B2E72" w:rsidP="00171857" w14:paraId="2937F5B5" w14:textId="77777777">
            <w:pPr>
              <w:rPr>
                <w:szCs w:val="24"/>
              </w:rPr>
            </w:pPr>
            <w:r w:rsidRPr="004B2E72">
              <w:rPr>
                <w:szCs w:val="24"/>
              </w:rPr>
              <w:t>$</w:t>
            </w:r>
            <w:r>
              <w:rPr>
                <w:szCs w:val="24"/>
              </w:rPr>
              <w:t>191,149</w:t>
            </w:r>
          </w:p>
        </w:tc>
      </w:tr>
      <w:tr w14:paraId="2673DBB1" w14:textId="77777777" w:rsidTr="00171857">
        <w:tblPrEx>
          <w:tblW w:w="0" w:type="auto"/>
          <w:tblInd w:w="1344" w:type="dxa"/>
          <w:tblLook w:val="04A0"/>
        </w:tblPrEx>
        <w:tc>
          <w:tcPr>
            <w:tcW w:w="1345" w:type="dxa"/>
          </w:tcPr>
          <w:p w:rsidR="00171857" w:rsidRPr="004B2E72" w:rsidP="00171857" w14:paraId="5E755624" w14:textId="77777777">
            <w:pPr>
              <w:rPr>
                <w:szCs w:val="24"/>
              </w:rPr>
            </w:pPr>
            <w:r w:rsidRPr="004B2E72">
              <w:rPr>
                <w:szCs w:val="24"/>
              </w:rPr>
              <w:t>2018</w:t>
            </w:r>
          </w:p>
        </w:tc>
        <w:tc>
          <w:tcPr>
            <w:tcW w:w="2610" w:type="dxa"/>
          </w:tcPr>
          <w:p w:rsidR="00171857" w:rsidRPr="004B2E72" w:rsidP="00171857" w14:paraId="567689BB" w14:textId="77777777">
            <w:pPr>
              <w:rPr>
                <w:szCs w:val="24"/>
              </w:rPr>
            </w:pPr>
            <w:r w:rsidRPr="004B2E72">
              <w:rPr>
                <w:szCs w:val="24"/>
              </w:rPr>
              <w:t>$</w:t>
            </w:r>
            <w:r>
              <w:rPr>
                <w:szCs w:val="24"/>
              </w:rPr>
              <w:t>9,366,276</w:t>
            </w:r>
          </w:p>
        </w:tc>
        <w:tc>
          <w:tcPr>
            <w:tcW w:w="2700" w:type="dxa"/>
          </w:tcPr>
          <w:p w:rsidR="00171857" w:rsidRPr="004B2E72" w:rsidP="00171857" w14:paraId="1C8E9EEE" w14:textId="77777777">
            <w:pPr>
              <w:rPr>
                <w:szCs w:val="24"/>
              </w:rPr>
            </w:pPr>
            <w:r w:rsidRPr="004B2E72">
              <w:rPr>
                <w:szCs w:val="24"/>
              </w:rPr>
              <w:t>$1,999,967</w:t>
            </w:r>
          </w:p>
        </w:tc>
      </w:tr>
      <w:tr w14:paraId="43D785AF" w14:textId="77777777" w:rsidTr="00171857">
        <w:tblPrEx>
          <w:tblW w:w="0" w:type="auto"/>
          <w:tblInd w:w="1344" w:type="dxa"/>
          <w:tblLook w:val="04A0"/>
        </w:tblPrEx>
        <w:tc>
          <w:tcPr>
            <w:tcW w:w="1345" w:type="dxa"/>
          </w:tcPr>
          <w:p w:rsidR="00171857" w:rsidRPr="004B2E72" w:rsidP="00171857" w14:paraId="45BFD6DD" w14:textId="77777777">
            <w:pPr>
              <w:rPr>
                <w:szCs w:val="24"/>
              </w:rPr>
            </w:pPr>
            <w:r>
              <w:rPr>
                <w:szCs w:val="24"/>
              </w:rPr>
              <w:t>2019</w:t>
            </w:r>
          </w:p>
        </w:tc>
        <w:tc>
          <w:tcPr>
            <w:tcW w:w="2610" w:type="dxa"/>
          </w:tcPr>
          <w:p w:rsidR="00171857" w:rsidRPr="004B2E72" w:rsidP="00171857" w14:paraId="6BA2B3A6" w14:textId="77777777">
            <w:pPr>
              <w:rPr>
                <w:szCs w:val="24"/>
              </w:rPr>
            </w:pPr>
            <w:r>
              <w:rPr>
                <w:szCs w:val="24"/>
              </w:rPr>
              <w:t>$2,632,006</w:t>
            </w:r>
          </w:p>
        </w:tc>
        <w:tc>
          <w:tcPr>
            <w:tcW w:w="2700" w:type="dxa"/>
          </w:tcPr>
          <w:p w:rsidR="00171857" w:rsidRPr="004B2E72" w:rsidP="00171857" w14:paraId="5BD2DF90" w14:textId="77777777">
            <w:pPr>
              <w:rPr>
                <w:szCs w:val="24"/>
              </w:rPr>
            </w:pPr>
            <w:r>
              <w:rPr>
                <w:szCs w:val="24"/>
              </w:rPr>
              <w:t>$1,265,923</w:t>
            </w:r>
          </w:p>
        </w:tc>
      </w:tr>
      <w:tr w14:paraId="2A44E3A5" w14:textId="77777777" w:rsidTr="00171857">
        <w:tblPrEx>
          <w:tblW w:w="0" w:type="auto"/>
          <w:tblInd w:w="1344" w:type="dxa"/>
          <w:tblLook w:val="04A0"/>
        </w:tblPrEx>
        <w:tc>
          <w:tcPr>
            <w:tcW w:w="1345" w:type="dxa"/>
          </w:tcPr>
          <w:p w:rsidR="00171857" w:rsidRPr="004B2E72" w:rsidP="00171857" w14:paraId="3E305368" w14:textId="77777777">
            <w:pPr>
              <w:rPr>
                <w:szCs w:val="24"/>
              </w:rPr>
            </w:pPr>
            <w:r w:rsidRPr="004B2E72">
              <w:rPr>
                <w:szCs w:val="24"/>
              </w:rPr>
              <w:t>TOTAL</w:t>
            </w:r>
          </w:p>
        </w:tc>
        <w:tc>
          <w:tcPr>
            <w:tcW w:w="2610" w:type="dxa"/>
          </w:tcPr>
          <w:p w:rsidR="00171857" w:rsidRPr="004B2E72" w:rsidP="00171857" w14:paraId="5EFC8589" w14:textId="77777777">
            <w:pPr>
              <w:rPr>
                <w:szCs w:val="24"/>
              </w:rPr>
            </w:pPr>
            <w:r w:rsidRPr="004B2E72">
              <w:rPr>
                <w:szCs w:val="24"/>
              </w:rPr>
              <w:t>$</w:t>
            </w:r>
            <w:r>
              <w:rPr>
                <w:szCs w:val="24"/>
              </w:rPr>
              <w:t>23,226,546</w:t>
            </w:r>
          </w:p>
        </w:tc>
        <w:tc>
          <w:tcPr>
            <w:tcW w:w="2700" w:type="dxa"/>
          </w:tcPr>
          <w:p w:rsidR="00171857" w:rsidRPr="004B2E72" w:rsidP="00171857" w14:paraId="189BC0EC" w14:textId="77777777">
            <w:pPr>
              <w:rPr>
                <w:szCs w:val="24"/>
              </w:rPr>
            </w:pPr>
            <w:r w:rsidRPr="004B2E72">
              <w:rPr>
                <w:szCs w:val="24"/>
              </w:rPr>
              <w:t>$</w:t>
            </w:r>
            <w:r>
              <w:rPr>
                <w:szCs w:val="24"/>
              </w:rPr>
              <w:t>3,905,522</w:t>
            </w:r>
          </w:p>
        </w:tc>
      </w:tr>
    </w:tbl>
    <w:p w:rsidR="00171857" w:rsidRPr="004B2E72" w:rsidP="00171857" w14:paraId="2FDDF67A" w14:textId="77777777">
      <w:pPr>
        <w:ind w:firstLine="720"/>
        <w:rPr>
          <w:szCs w:val="24"/>
        </w:rPr>
      </w:pPr>
    </w:p>
    <w:p w:rsidR="00171857" w:rsidP="00171857" w14:paraId="71456F5F" w14:textId="4DF969E9">
      <w:pPr>
        <w:spacing w:line="480" w:lineRule="auto"/>
        <w:ind w:firstLine="720"/>
        <w:rPr>
          <w:szCs w:val="24"/>
        </w:rPr>
      </w:pPr>
      <w:r>
        <w:rPr>
          <w:szCs w:val="24"/>
        </w:rPr>
        <w:t>Duke asserts that although it does not believe it was appropriate for Staff to disallow costs associated with the WOW Parcel and Ohio River</w:t>
      </w:r>
      <w:r w:rsidR="00415CAC">
        <w:rPr>
          <w:szCs w:val="24"/>
        </w:rPr>
        <w:t xml:space="preserve"> (at East End) and </w:t>
      </w:r>
      <w:r w:rsidR="00F50A26">
        <w:rPr>
          <w:szCs w:val="24"/>
        </w:rPr>
        <w:t>the Ohio River (West End)</w:t>
      </w:r>
      <w:r>
        <w:rPr>
          <w:szCs w:val="24"/>
        </w:rPr>
        <w:t>, the amounts recommended by Staff appear to be reasonable.</w:t>
      </w:r>
      <w:r>
        <w:rPr>
          <w:rStyle w:val="FootnoteReference"/>
          <w:szCs w:val="24"/>
        </w:rPr>
        <w:footnoteReference w:id="35"/>
      </w:r>
      <w:r>
        <w:rPr>
          <w:szCs w:val="24"/>
        </w:rPr>
        <w:t xml:space="preserve"> The </w:t>
      </w:r>
      <w:r w:rsidR="00C82AB9">
        <w:rPr>
          <w:szCs w:val="24"/>
        </w:rPr>
        <w:t xml:space="preserve">PUCO </w:t>
      </w:r>
      <w:r w:rsidRPr="004B2E72">
        <w:rPr>
          <w:szCs w:val="24"/>
        </w:rPr>
        <w:t xml:space="preserve">Staff’s analysis is </w:t>
      </w:r>
      <w:r>
        <w:rPr>
          <w:szCs w:val="24"/>
        </w:rPr>
        <w:t xml:space="preserve">appropriate and </w:t>
      </w:r>
      <w:r w:rsidRPr="004B2E72">
        <w:rPr>
          <w:szCs w:val="24"/>
        </w:rPr>
        <w:t xml:space="preserve">reasonable and </w:t>
      </w:r>
      <w:r w:rsidR="00C17F09">
        <w:rPr>
          <w:szCs w:val="24"/>
        </w:rPr>
        <w:t xml:space="preserve">consistent with </w:t>
      </w:r>
      <w:r w:rsidR="00F50A26">
        <w:rPr>
          <w:szCs w:val="24"/>
        </w:rPr>
        <w:t>its recommendations in prior cases</w:t>
      </w:r>
      <w:r w:rsidR="00C17F09">
        <w:rPr>
          <w:szCs w:val="24"/>
        </w:rPr>
        <w:t>.</w:t>
      </w:r>
      <w:r>
        <w:rPr>
          <w:rStyle w:val="FootnoteReference"/>
          <w:szCs w:val="24"/>
        </w:rPr>
        <w:footnoteReference w:id="36"/>
      </w:r>
      <w:r w:rsidR="00C17F09">
        <w:rPr>
          <w:szCs w:val="24"/>
        </w:rPr>
        <w:t xml:space="preserve"> Therefore, it </w:t>
      </w:r>
      <w:r w:rsidRPr="004B2E72">
        <w:rPr>
          <w:szCs w:val="24"/>
        </w:rPr>
        <w:t>should be adopted by the PUCO.</w:t>
      </w:r>
    </w:p>
    <w:p w:rsidR="00AA034C" w:rsidRPr="00FB791F" w:rsidP="00104B50" w14:paraId="5C7A5196" w14:textId="4865A652">
      <w:pPr>
        <w:pStyle w:val="Heading2"/>
      </w:pPr>
      <w:bookmarkStart w:id="12" w:name="_Toc53042900"/>
      <w:bookmarkStart w:id="13" w:name="_Toc55815492"/>
      <w:r>
        <w:t>To protect consumers, the PUCO</w:t>
      </w:r>
      <w:r w:rsidRPr="00694833">
        <w:t xml:space="preserve"> should </w:t>
      </w:r>
      <w:r w:rsidRPr="00694833" w:rsidR="006A4F62">
        <w:t xml:space="preserve">disallow Duke </w:t>
      </w:r>
      <w:r w:rsidR="00C7508C">
        <w:t>Manufactured Gas Plan</w:t>
      </w:r>
      <w:r w:rsidR="00531CB4">
        <w:t>t</w:t>
      </w:r>
      <w:r w:rsidRPr="00694833" w:rsidR="006A4F62">
        <w:t xml:space="preserve"> cleanup costs that are excessive and far more than </w:t>
      </w:r>
      <w:r w:rsidRPr="00D51B20" w:rsidR="006A4F62">
        <w:t>necessa</w:t>
      </w:r>
      <w:r w:rsidRPr="00FB791F" w:rsidR="006A4F62">
        <w:t>ry to protect people and the environment.</w:t>
      </w:r>
      <w:bookmarkEnd w:id="12"/>
      <w:bookmarkEnd w:id="13"/>
    </w:p>
    <w:p w:rsidR="00AA034C" w:rsidRPr="004B2E72" w:rsidP="00740545" w14:paraId="5B98D99B" w14:textId="69F03504">
      <w:pPr>
        <w:pStyle w:val="Heading3"/>
        <w:numPr>
          <w:ilvl w:val="0"/>
          <w:numId w:val="0"/>
        </w:numPr>
        <w:ind w:left="2160" w:hanging="720"/>
      </w:pPr>
      <w:bookmarkStart w:id="14" w:name="_Toc53042901"/>
      <w:bookmarkStart w:id="15" w:name="_Toc55815493"/>
      <w:r>
        <w:t>1.</w:t>
      </w:r>
      <w:r>
        <w:tab/>
      </w:r>
      <w:r w:rsidRPr="00687B25" w:rsidR="00A17764">
        <w:t xml:space="preserve">Duke’s proposed charges to consumers for 2019 </w:t>
      </w:r>
      <w:r w:rsidR="00C7508C">
        <w:t>Manufactured Gas Plan</w:t>
      </w:r>
      <w:r w:rsidR="00531CB4">
        <w:t>t</w:t>
      </w:r>
      <w:r w:rsidRPr="00687B25" w:rsidR="00A17764">
        <w:t xml:space="preserve"> cleanup costs are</w:t>
      </w:r>
      <w:r w:rsidRPr="00A17764" w:rsidR="00A17764">
        <w:t xml:space="preserve"> imprudent because Duke could have cleaned up the </w:t>
      </w:r>
      <w:r w:rsidR="00617B14">
        <w:t>Manufactured Gas Plan</w:t>
      </w:r>
      <w:r w:rsidR="00531CB4">
        <w:t>t</w:t>
      </w:r>
      <w:r w:rsidRPr="00A17764" w:rsidR="00A17764">
        <w:t xml:space="preserve"> Sites at substantially lower cost while still complying with the Ohio Voluntary Action Program.</w:t>
      </w:r>
      <w:bookmarkEnd w:id="14"/>
      <w:bookmarkEnd w:id="15"/>
    </w:p>
    <w:p w:rsidR="00C82AB9" w:rsidP="00AA034C" w14:paraId="485AEAF6" w14:textId="5D475B4E">
      <w:pPr>
        <w:spacing w:line="480" w:lineRule="auto"/>
        <w:ind w:firstLine="720"/>
        <w:rPr>
          <w:szCs w:val="24"/>
        </w:rPr>
      </w:pPr>
      <w:r>
        <w:rPr>
          <w:szCs w:val="24"/>
        </w:rPr>
        <w:t xml:space="preserve">In 2019 Duke continued its practice of cleaning up the MGP </w:t>
      </w:r>
      <w:r w:rsidR="00C7508C">
        <w:rPr>
          <w:szCs w:val="24"/>
        </w:rPr>
        <w:t>S</w:t>
      </w:r>
      <w:r>
        <w:rPr>
          <w:szCs w:val="24"/>
        </w:rPr>
        <w:t>ites to a standard well beyond what is necessary to protect the public and the environment.</w:t>
      </w:r>
      <w:r w:rsidR="00A8724E">
        <w:rPr>
          <w:szCs w:val="24"/>
        </w:rPr>
        <w:t xml:space="preserve"> </w:t>
      </w:r>
      <w:r>
        <w:rPr>
          <w:szCs w:val="24"/>
        </w:rPr>
        <w:t xml:space="preserve">In testimony </w:t>
      </w:r>
      <w:r w:rsidR="00037BE6">
        <w:rPr>
          <w:szCs w:val="24"/>
        </w:rPr>
        <w:t xml:space="preserve">filed </w:t>
      </w:r>
      <w:r>
        <w:rPr>
          <w:szCs w:val="24"/>
        </w:rPr>
        <w:t>in this case</w:t>
      </w:r>
      <w:r w:rsidR="00037BE6">
        <w:rPr>
          <w:szCs w:val="24"/>
        </w:rPr>
        <w:t>,</w:t>
      </w:r>
      <w:r>
        <w:rPr>
          <w:szCs w:val="24"/>
        </w:rPr>
        <w:t xml:space="preserve"> Duke witness Todd L. Bachand describes remedial </w:t>
      </w:r>
      <w:r w:rsidR="00037BE6">
        <w:rPr>
          <w:szCs w:val="24"/>
        </w:rPr>
        <w:t xml:space="preserve">actions at the MGP </w:t>
      </w:r>
      <w:r w:rsidR="00C7508C">
        <w:rPr>
          <w:szCs w:val="24"/>
        </w:rPr>
        <w:t>S</w:t>
      </w:r>
      <w:r w:rsidR="00037BE6">
        <w:rPr>
          <w:szCs w:val="24"/>
        </w:rPr>
        <w:t>ites similar to</w:t>
      </w:r>
      <w:r>
        <w:rPr>
          <w:szCs w:val="24"/>
        </w:rPr>
        <w:t xml:space="preserve"> those</w:t>
      </w:r>
      <w:r w:rsidR="00037BE6">
        <w:rPr>
          <w:szCs w:val="24"/>
        </w:rPr>
        <w:t xml:space="preserve"> described in the prior cases</w:t>
      </w:r>
      <w:r w:rsidR="009C346B">
        <w:rPr>
          <w:szCs w:val="24"/>
        </w:rPr>
        <w:t>,</w:t>
      </w:r>
      <w:r w:rsidR="00037BE6">
        <w:rPr>
          <w:szCs w:val="24"/>
        </w:rPr>
        <w:t xml:space="preserve"> including </w:t>
      </w:r>
      <w:r w:rsidR="009C346B">
        <w:rPr>
          <w:szCs w:val="24"/>
        </w:rPr>
        <w:t xml:space="preserve">deep </w:t>
      </w:r>
      <w:r w:rsidR="00037BE6">
        <w:rPr>
          <w:szCs w:val="24"/>
        </w:rPr>
        <w:t>excavation and in-situ solidification (where reagents such as Portland cement are mixed with the MGP contaminants to bind the contaminants and keep them from moving).</w:t>
      </w:r>
      <w:r w:rsidR="00EC34D6">
        <w:rPr>
          <w:szCs w:val="24"/>
        </w:rPr>
        <w:t xml:space="preserve"> </w:t>
      </w:r>
    </w:p>
    <w:p w:rsidR="009C346B" w:rsidP="00AA034C" w14:paraId="304F3A73" w14:textId="46294F07">
      <w:pPr>
        <w:spacing w:line="480" w:lineRule="auto"/>
        <w:ind w:firstLine="720"/>
        <w:rPr>
          <w:szCs w:val="24"/>
        </w:rPr>
      </w:pPr>
      <w:r>
        <w:rPr>
          <w:szCs w:val="24"/>
        </w:rPr>
        <w:t>In Case No. 19-174-GA-RDR, MGP expert Dr. James R. Campbell</w:t>
      </w:r>
      <w:r w:rsidR="00F530A4">
        <w:rPr>
          <w:szCs w:val="24"/>
        </w:rPr>
        <w:t>,</w:t>
      </w:r>
      <w:r>
        <w:rPr>
          <w:szCs w:val="24"/>
        </w:rPr>
        <w:t xml:space="preserve"> </w:t>
      </w:r>
      <w:r w:rsidR="00F530A4">
        <w:rPr>
          <w:szCs w:val="24"/>
        </w:rPr>
        <w:t xml:space="preserve">who </w:t>
      </w:r>
      <w:r w:rsidRPr="0080056D" w:rsidR="0080056D">
        <w:rPr>
          <w:szCs w:val="24"/>
        </w:rPr>
        <w:t>has a Ph.D. in Civil and Environmental Engineering from Carnegie Mellon</w:t>
      </w:r>
      <w:r w:rsidR="00F530A4">
        <w:rPr>
          <w:szCs w:val="24"/>
        </w:rPr>
        <w:t>,</w:t>
      </w:r>
      <w:r>
        <w:rPr>
          <w:szCs w:val="24"/>
        </w:rPr>
        <w:t xml:space="preserve"> testified for OCC</w:t>
      </w:r>
      <w:r w:rsidRPr="0080056D" w:rsidR="0080056D">
        <w:rPr>
          <w:szCs w:val="24"/>
        </w:rPr>
        <w:t>.</w:t>
      </w:r>
      <w:r>
        <w:rPr>
          <w:rStyle w:val="FootnoteReference"/>
          <w:szCs w:val="24"/>
        </w:rPr>
        <w:footnoteReference w:id="37"/>
      </w:r>
      <w:r w:rsidRPr="0080056D" w:rsidR="0080056D">
        <w:rPr>
          <w:szCs w:val="24"/>
        </w:rPr>
        <w:t xml:space="preserve"> </w:t>
      </w:r>
      <w:r>
        <w:rPr>
          <w:szCs w:val="24"/>
        </w:rPr>
        <w:t>Dr. Campbell</w:t>
      </w:r>
      <w:r w:rsidRPr="0080056D" w:rsidR="0080056D">
        <w:rPr>
          <w:szCs w:val="24"/>
        </w:rPr>
        <w:t xml:space="preserve"> has been working with manufactured gas plant sites for more than 30 years, including the investigation, design, and remediation of more than 50 such sites.</w:t>
      </w:r>
      <w:r>
        <w:rPr>
          <w:rStyle w:val="FootnoteReference"/>
          <w:szCs w:val="24"/>
        </w:rPr>
        <w:footnoteReference w:id="38"/>
      </w:r>
      <w:r w:rsidRPr="0080056D" w:rsidR="0080056D">
        <w:rPr>
          <w:szCs w:val="24"/>
        </w:rPr>
        <w:t xml:space="preserve"> He has worked on the analysis or environmental assessment and cleanup of more than 100 sites in total, providing expert analysis for 12 MGP sites designated as superfund sites under the Comprehensive Environmental Response, Compensation, and Liability Act (more commonly known as “CERCLA”). He is a certified professional (“CP”) under the Ohio </w:t>
      </w:r>
      <w:r w:rsidR="0080056D">
        <w:rPr>
          <w:szCs w:val="24"/>
        </w:rPr>
        <w:t>Voluntary Action Program (“VAP”).</w:t>
      </w:r>
      <w:r>
        <w:rPr>
          <w:rStyle w:val="FootnoteReference"/>
          <w:szCs w:val="24"/>
        </w:rPr>
        <w:footnoteReference w:id="39"/>
      </w:r>
      <w:r w:rsidR="00A8724E">
        <w:rPr>
          <w:szCs w:val="24"/>
        </w:rPr>
        <w:t xml:space="preserve"> </w:t>
      </w:r>
      <w:r w:rsidR="0080056D">
        <w:rPr>
          <w:szCs w:val="24"/>
        </w:rPr>
        <w:t>T</w:t>
      </w:r>
      <w:r w:rsidRPr="0080056D" w:rsidR="0080056D">
        <w:rPr>
          <w:szCs w:val="24"/>
        </w:rPr>
        <w:t>his means</w:t>
      </w:r>
      <w:r w:rsidR="0080056D">
        <w:rPr>
          <w:szCs w:val="24"/>
        </w:rPr>
        <w:t xml:space="preserve"> </w:t>
      </w:r>
      <w:r w:rsidRPr="0080056D" w:rsidR="0080056D">
        <w:rPr>
          <w:szCs w:val="24"/>
        </w:rPr>
        <w:t>that the State of Ohio considers him well-qualified based on his education and experience to act as an agent of the State for purposes of interpreting the VAP and determining when a site meets all applicable VAP standards.</w:t>
      </w:r>
      <w:r>
        <w:rPr>
          <w:rStyle w:val="FootnoteReference"/>
          <w:szCs w:val="24"/>
        </w:rPr>
        <w:footnoteReference w:id="40"/>
      </w:r>
      <w:r w:rsidRPr="0080056D" w:rsidR="0080056D">
        <w:rPr>
          <w:szCs w:val="24"/>
        </w:rPr>
        <w:t xml:space="preserve"> </w:t>
      </w:r>
      <w:r w:rsidR="00C82AB9">
        <w:rPr>
          <w:szCs w:val="24"/>
        </w:rPr>
        <w:t>T</w:t>
      </w:r>
      <w:r w:rsidRPr="0080056D" w:rsidR="0080056D">
        <w:rPr>
          <w:szCs w:val="24"/>
        </w:rPr>
        <w:t xml:space="preserve">he PUCO itself has previously described Dr. Campbell as “a learned environmental consultant and professional.” </w:t>
      </w:r>
    </w:p>
    <w:p w:rsidR="00B51BA4" w:rsidP="00AA034C" w14:paraId="531EBD19" w14:textId="3F2033DD">
      <w:pPr>
        <w:spacing w:line="480" w:lineRule="auto"/>
        <w:ind w:firstLine="720"/>
        <w:rPr>
          <w:szCs w:val="24"/>
        </w:rPr>
      </w:pPr>
      <w:r w:rsidRPr="00B51BA4">
        <w:rPr>
          <w:szCs w:val="24"/>
        </w:rPr>
        <w:t>In short,</w:t>
      </w:r>
      <w:r w:rsidR="00015934">
        <w:rPr>
          <w:szCs w:val="24"/>
        </w:rPr>
        <w:t xml:space="preserve"> </w:t>
      </w:r>
      <w:r w:rsidRPr="00B51BA4">
        <w:rPr>
          <w:szCs w:val="24"/>
        </w:rPr>
        <w:t>Dr. Campbell testified</w:t>
      </w:r>
      <w:r>
        <w:rPr>
          <w:szCs w:val="24"/>
        </w:rPr>
        <w:t xml:space="preserve"> in last year’s case</w:t>
      </w:r>
      <w:r w:rsidR="00BD224E">
        <w:rPr>
          <w:szCs w:val="24"/>
        </w:rPr>
        <w:t xml:space="preserve"> that</w:t>
      </w:r>
      <w:r w:rsidRPr="00B51BA4">
        <w:rPr>
          <w:szCs w:val="24"/>
        </w:rPr>
        <w:t xml:space="preserve"> “Duke consistently failed to use more cost-effective approaches available under the VAP Rules. That failure to pursue more cost-effective approaches should be borne by Duke’s shareholders and not its customers.”</w:t>
      </w:r>
      <w:r>
        <w:rPr>
          <w:rStyle w:val="FootnoteReference"/>
          <w:szCs w:val="24"/>
        </w:rPr>
        <w:footnoteReference w:id="41"/>
      </w:r>
      <w:r w:rsidRPr="00B51BA4">
        <w:rPr>
          <w:szCs w:val="24"/>
        </w:rPr>
        <w:t xml:space="preserve"> </w:t>
      </w:r>
    </w:p>
    <w:p w:rsidR="00B51BA4" w:rsidP="00015934" w14:paraId="270C912E" w14:textId="60E86D62">
      <w:pPr>
        <w:spacing w:line="480" w:lineRule="auto"/>
        <w:rPr>
          <w:szCs w:val="24"/>
        </w:rPr>
      </w:pPr>
      <w:r>
        <w:rPr>
          <w:szCs w:val="24"/>
        </w:rPr>
        <w:t xml:space="preserve">Duke’s customers should similarly not be on the hook to pay for Duke’s excessive and imprudent MGP </w:t>
      </w:r>
      <w:r w:rsidR="002A6494">
        <w:rPr>
          <w:szCs w:val="24"/>
        </w:rPr>
        <w:t xml:space="preserve">cleanup </w:t>
      </w:r>
      <w:r>
        <w:rPr>
          <w:szCs w:val="24"/>
        </w:rPr>
        <w:t>costs incurred in 2019.</w:t>
      </w:r>
      <w:r w:rsidR="00A8724E">
        <w:rPr>
          <w:szCs w:val="24"/>
        </w:rPr>
        <w:t xml:space="preserve"> </w:t>
      </w:r>
    </w:p>
    <w:p w:rsidR="003F2475" w:rsidP="00104B50" w14:paraId="08159F00" w14:textId="78C19F8D">
      <w:pPr>
        <w:pStyle w:val="Heading2"/>
      </w:pPr>
      <w:bookmarkStart w:id="18" w:name="_Toc53042902"/>
      <w:bookmarkStart w:id="19" w:name="_Toc55815494"/>
      <w:bookmarkStart w:id="20" w:name="_Toc31972590"/>
      <w:bookmarkStart w:id="21" w:name="_Toc32570325"/>
      <w:bookmarkStart w:id="22" w:name="_Hlk52789550"/>
      <w:bookmarkStart w:id="23" w:name="_Toc31972578"/>
      <w:bookmarkStart w:id="24" w:name="_Toc32570313"/>
      <w:r>
        <w:t>In consumers’ interest, t</w:t>
      </w:r>
      <w:r w:rsidR="00576F5D">
        <w:t xml:space="preserve">he PUCO should adopt </w:t>
      </w:r>
      <w:r w:rsidR="005D170E">
        <w:t xml:space="preserve">the </w:t>
      </w:r>
      <w:r w:rsidR="00C7508C">
        <w:t xml:space="preserve">PUCO </w:t>
      </w:r>
      <w:r w:rsidR="00576F5D">
        <w:t>Staff’s recommendation to release the insurance proceeds</w:t>
      </w:r>
      <w:r>
        <w:t xml:space="preserve"> and immediately provide a</w:t>
      </w:r>
      <w:r w:rsidR="00531CB4">
        <w:t>n approximat</w:t>
      </w:r>
      <w:r w:rsidR="004B0585">
        <w:t>e</w:t>
      </w:r>
      <w:r w:rsidR="00531CB4">
        <w:t>ly</w:t>
      </w:r>
      <w:r>
        <w:t xml:space="preserve"> $50</w:t>
      </w:r>
      <w:r w:rsidR="00576F5D">
        <w:t>.</w:t>
      </w:r>
      <w:r>
        <w:t>5 million credit to consumers, which is the amount of net proceeds from the insurance claims.</w:t>
      </w:r>
      <w:bookmarkEnd w:id="18"/>
      <w:bookmarkEnd w:id="19"/>
    </w:p>
    <w:p w:rsidR="00576F5D" w:rsidRPr="004B2E72" w:rsidP="00D700F4" w14:paraId="1FF02E43" w14:textId="34C2BB56">
      <w:pPr>
        <w:pStyle w:val="Heading3"/>
        <w:numPr>
          <w:ilvl w:val="0"/>
          <w:numId w:val="9"/>
        </w:numPr>
        <w:ind w:left="2160" w:hanging="720"/>
      </w:pPr>
      <w:bookmarkStart w:id="25" w:name="_Toc53042903"/>
      <w:bookmarkStart w:id="26" w:name="_Toc55815495"/>
      <w:r w:rsidRPr="004B5B6F">
        <w:rPr>
          <w:rStyle w:val="Heading3Char"/>
        </w:rPr>
        <w:t>Duke’s proposal to keep some of the $50.5 million in insurance proceeds for itself (which would harm customers)</w:t>
      </w:r>
      <w:r w:rsidRPr="004B5B6F" w:rsidR="00662AC8">
        <w:rPr>
          <w:rStyle w:val="Heading3Char"/>
        </w:rPr>
        <w:t>, and its assertion that consumers’ fair share of the ins</w:t>
      </w:r>
      <w:r w:rsidRPr="004B5B6F" w:rsidR="00104239">
        <w:rPr>
          <w:rStyle w:val="Heading3Char"/>
        </w:rPr>
        <w:t>u</w:t>
      </w:r>
      <w:r w:rsidRPr="004B5B6F" w:rsidR="00662AC8">
        <w:rPr>
          <w:rStyle w:val="Heading3Char"/>
        </w:rPr>
        <w:t xml:space="preserve">rance proceeds cannot be calculated until investigation </w:t>
      </w:r>
      <w:r w:rsidRPr="004B5B6F" w:rsidR="00104239">
        <w:rPr>
          <w:rStyle w:val="Heading3Char"/>
        </w:rPr>
        <w:t xml:space="preserve">and </w:t>
      </w:r>
      <w:r w:rsidRPr="004B5B6F" w:rsidR="00662AC8">
        <w:rPr>
          <w:rStyle w:val="Heading3Char"/>
        </w:rPr>
        <w:t>remediation is complete</w:t>
      </w:r>
      <w:r w:rsidR="00461865">
        <w:rPr>
          <w:rStyle w:val="Heading3Char"/>
        </w:rPr>
        <w:t>,</w:t>
      </w:r>
      <w:r w:rsidRPr="004B5B6F" w:rsidR="00662AC8">
        <w:rPr>
          <w:rStyle w:val="Heading3Char"/>
        </w:rPr>
        <w:t xml:space="preserve"> </w:t>
      </w:r>
      <w:r w:rsidRPr="004B5B6F">
        <w:rPr>
          <w:rStyle w:val="Heading3Char"/>
        </w:rPr>
        <w:t>contradicts the Rate Case Order and is barred by the doctrine of collateral estoppel.</w:t>
      </w:r>
      <w:bookmarkEnd w:id="25"/>
      <w:bookmarkEnd w:id="26"/>
    </w:p>
    <w:bookmarkEnd w:id="20"/>
    <w:bookmarkEnd w:id="21"/>
    <w:p w:rsidR="00104239" w:rsidRPr="00104239" w:rsidP="00104239" w14:paraId="31B72847" w14:textId="4FB923CA">
      <w:pPr>
        <w:spacing w:line="480" w:lineRule="auto"/>
        <w:ind w:firstLine="720"/>
        <w:rPr>
          <w:szCs w:val="24"/>
        </w:rPr>
      </w:pPr>
      <w:r>
        <w:rPr>
          <w:szCs w:val="24"/>
        </w:rPr>
        <w:t>Consistent with the Rate Case Order,</w:t>
      </w:r>
      <w:r>
        <w:rPr>
          <w:rStyle w:val="FootnoteReference"/>
          <w:szCs w:val="24"/>
        </w:rPr>
        <w:footnoteReference w:id="42"/>
      </w:r>
      <w:r>
        <w:rPr>
          <w:szCs w:val="24"/>
        </w:rPr>
        <w:t xml:space="preserve"> t</w:t>
      </w:r>
      <w:r w:rsidR="00714B66">
        <w:rPr>
          <w:szCs w:val="24"/>
        </w:rPr>
        <w:t xml:space="preserve">he </w:t>
      </w:r>
      <w:r w:rsidR="008645A1">
        <w:rPr>
          <w:szCs w:val="24"/>
        </w:rPr>
        <w:t xml:space="preserve">PUCO </w:t>
      </w:r>
      <w:r w:rsidR="00714B66">
        <w:rPr>
          <w:szCs w:val="24"/>
        </w:rPr>
        <w:t xml:space="preserve">Staff recommended that </w:t>
      </w:r>
      <w:r w:rsidRPr="00104239" w:rsidR="00714B66">
        <w:rPr>
          <w:szCs w:val="24"/>
        </w:rPr>
        <w:t xml:space="preserve">any proceeds paid by insurers for MGP investigation, net of litigation costs and attorney fees, should be reimbursed to </w:t>
      </w:r>
      <w:bookmarkEnd w:id="22"/>
      <w:r w:rsidR="008645A1">
        <w:rPr>
          <w:szCs w:val="24"/>
        </w:rPr>
        <w:t>consumers</w:t>
      </w:r>
      <w:r w:rsidRPr="00104239" w:rsidR="00714B66">
        <w:rPr>
          <w:szCs w:val="24"/>
        </w:rPr>
        <w:t>.</w:t>
      </w:r>
      <w:r>
        <w:rPr>
          <w:rStyle w:val="FootnoteReference"/>
          <w:szCs w:val="24"/>
        </w:rPr>
        <w:footnoteReference w:id="43"/>
      </w:r>
      <w:r w:rsidRPr="00104239" w:rsidR="00714B66">
        <w:rPr>
          <w:szCs w:val="24"/>
        </w:rPr>
        <w:t xml:space="preserve"> </w:t>
      </w:r>
      <w:r w:rsidR="008645A1">
        <w:rPr>
          <w:szCs w:val="24"/>
        </w:rPr>
        <w:t xml:space="preserve">PUCO </w:t>
      </w:r>
      <w:r w:rsidR="00714B66">
        <w:rPr>
          <w:szCs w:val="24"/>
        </w:rPr>
        <w:t>Staff also recommended that t</w:t>
      </w:r>
      <w:r w:rsidRPr="00104239" w:rsidR="00714B66">
        <w:rPr>
          <w:szCs w:val="24"/>
        </w:rPr>
        <w:t xml:space="preserve">he proceeds should not be held by Duke until all investigation and remediation is </w:t>
      </w:r>
      <w:r w:rsidR="00714B66">
        <w:rPr>
          <w:szCs w:val="24"/>
        </w:rPr>
        <w:t>c</w:t>
      </w:r>
      <w:r w:rsidRPr="00104239" w:rsidR="00714B66">
        <w:rPr>
          <w:szCs w:val="24"/>
        </w:rPr>
        <w:t>omplete</w:t>
      </w:r>
      <w:r w:rsidR="008645A1">
        <w:rPr>
          <w:szCs w:val="24"/>
        </w:rPr>
        <w:t xml:space="preserve">, </w:t>
      </w:r>
      <w:r w:rsidR="00714B66">
        <w:rPr>
          <w:szCs w:val="24"/>
        </w:rPr>
        <w:t>which could be years from now</w:t>
      </w:r>
      <w:r w:rsidRPr="00104239" w:rsidR="00714B66">
        <w:rPr>
          <w:szCs w:val="24"/>
        </w:rPr>
        <w:t>.</w:t>
      </w:r>
      <w:r>
        <w:rPr>
          <w:rStyle w:val="FootnoteReference"/>
          <w:szCs w:val="24"/>
        </w:rPr>
        <w:footnoteReference w:id="44"/>
      </w:r>
      <w:r w:rsidR="00714B66">
        <w:rPr>
          <w:szCs w:val="24"/>
        </w:rPr>
        <w:t xml:space="preserve"> Duke takes particular issue with this recommendation and asserts that this amount cannot be calculated until investigation and remediation is complete and </w:t>
      </w:r>
      <w:r w:rsidR="00891F5F">
        <w:rPr>
          <w:szCs w:val="24"/>
        </w:rPr>
        <w:t>Duke</w:t>
      </w:r>
      <w:r w:rsidR="00714B66">
        <w:rPr>
          <w:szCs w:val="24"/>
        </w:rPr>
        <w:t xml:space="preserve"> knows what proportion of its investigation and remediations costs will be recoverable.</w:t>
      </w:r>
      <w:r>
        <w:rPr>
          <w:rStyle w:val="FootnoteReference"/>
          <w:szCs w:val="24"/>
        </w:rPr>
        <w:footnoteReference w:id="45"/>
      </w:r>
      <w:r w:rsidR="00714B66">
        <w:rPr>
          <w:szCs w:val="24"/>
        </w:rPr>
        <w:t xml:space="preserve"> The PUCO should adopt Staff’s recommendation to release the insurance proceeds and immediately refund the amount held by Duke to customers.</w:t>
      </w:r>
    </w:p>
    <w:p w:rsidR="00576F5D" w:rsidRPr="004B2E72" w:rsidP="00576F5D" w14:paraId="5C2B78FC" w14:textId="0C93D157">
      <w:pPr>
        <w:spacing w:line="480" w:lineRule="auto"/>
        <w:ind w:firstLine="720"/>
        <w:rPr>
          <w:szCs w:val="24"/>
        </w:rPr>
      </w:pPr>
      <w:r w:rsidRPr="004B2E72">
        <w:rPr>
          <w:szCs w:val="24"/>
        </w:rPr>
        <w:t>The doctrine of collateral estoppel, also known as issue preclusion, operates to “preclude the re</w:t>
      </w:r>
      <w:r w:rsidR="004B5B6F">
        <w:rPr>
          <w:szCs w:val="24"/>
        </w:rPr>
        <w:t>-</w:t>
      </w:r>
      <w:r w:rsidRPr="004B2E72">
        <w:rPr>
          <w:szCs w:val="24"/>
        </w:rPr>
        <w:t>litigation of a point of law or fact that was at issue in a former action between the same parties and was passed upon by a court of competent jurisdiction.”</w:t>
      </w:r>
      <w:r>
        <w:rPr>
          <w:rStyle w:val="FootnoteReference"/>
          <w:szCs w:val="24"/>
        </w:rPr>
        <w:footnoteReference w:id="46"/>
      </w:r>
      <w:r w:rsidRPr="004B2E72">
        <w:rPr>
          <w:szCs w:val="24"/>
        </w:rPr>
        <w:t xml:space="preserve"> It applies to PUCO proceedings.</w:t>
      </w:r>
      <w:r>
        <w:rPr>
          <w:rStyle w:val="FootnoteReference"/>
          <w:szCs w:val="24"/>
        </w:rPr>
        <w:footnoteReference w:id="47"/>
      </w:r>
      <w:r w:rsidR="004E05F6">
        <w:rPr>
          <w:szCs w:val="24"/>
        </w:rPr>
        <w:t xml:space="preserve"> </w:t>
      </w:r>
      <w:r w:rsidR="008645A1">
        <w:rPr>
          <w:szCs w:val="24"/>
        </w:rPr>
        <w:t>T</w:t>
      </w:r>
      <w:r w:rsidR="004E05F6">
        <w:rPr>
          <w:szCs w:val="24"/>
        </w:rPr>
        <w:t>he PUCO has already held that Duke must pass the entire amount of the insurance proceeds to its customers to offset the costs that customers paid or will pay for Duke’s MGP cleanup.</w:t>
      </w:r>
      <w:r>
        <w:rPr>
          <w:rStyle w:val="FootnoteReference"/>
          <w:szCs w:val="24"/>
        </w:rPr>
        <w:footnoteReference w:id="48"/>
      </w:r>
    </w:p>
    <w:p w:rsidR="00576F5D" w:rsidRPr="004B2E72" w:rsidP="00576F5D" w14:paraId="674491E8" w14:textId="474D3995">
      <w:pPr>
        <w:spacing w:line="480" w:lineRule="auto"/>
        <w:ind w:firstLine="720"/>
        <w:rPr>
          <w:szCs w:val="24"/>
        </w:rPr>
      </w:pPr>
      <w:r w:rsidRPr="004B2E72">
        <w:rPr>
          <w:szCs w:val="24"/>
        </w:rPr>
        <w:t xml:space="preserve">The PUCO then ruled on this issue: “We find that any proceeds paid by insurers ... for MGP investigation and remediation should be used to reimburse the ratepayers. The Commission also concludes that any proceeds returned to ratepayers should be net of the costs to achieve those proceeds, </w:t>
      </w:r>
      <w:r w:rsidRPr="004B2E72">
        <w:rPr>
          <w:i/>
          <w:iCs/>
          <w:szCs w:val="24"/>
        </w:rPr>
        <w:t>e.g.</w:t>
      </w:r>
      <w:r w:rsidRPr="004B2E72">
        <w:rPr>
          <w:szCs w:val="24"/>
        </w:rPr>
        <w:t>, litigation costs.... Finally, we agree that, to the extent the proceeds collected from insurers ... exceed the amount recoverable from ratepayers, Duke should be permitted to retain such amount.”</w:t>
      </w:r>
      <w:r>
        <w:rPr>
          <w:rStyle w:val="FootnoteReference"/>
          <w:szCs w:val="24"/>
        </w:rPr>
        <w:footnoteReference w:id="49"/>
      </w:r>
    </w:p>
    <w:p w:rsidR="00576F5D" w:rsidRPr="004B2E72" w:rsidP="00576F5D" w14:paraId="4C9E5C34" w14:textId="2511C48C">
      <w:pPr>
        <w:spacing w:line="480" w:lineRule="auto"/>
        <w:ind w:firstLine="720"/>
        <w:rPr>
          <w:szCs w:val="24"/>
        </w:rPr>
      </w:pPr>
      <w:r w:rsidRPr="004B2E72">
        <w:rPr>
          <w:szCs w:val="24"/>
        </w:rPr>
        <w:t>In other words, in the Rate Case, Duke made precisely the same argument it is making here</w:t>
      </w:r>
      <w:r w:rsidR="008645A1">
        <w:rPr>
          <w:szCs w:val="24"/>
        </w:rPr>
        <w:t xml:space="preserve"> </w:t>
      </w:r>
      <w:r w:rsidRPr="004B2E72">
        <w:rPr>
          <w:szCs w:val="24"/>
        </w:rPr>
        <w:t>—</w:t>
      </w:r>
      <w:r w:rsidR="008645A1">
        <w:rPr>
          <w:szCs w:val="24"/>
        </w:rPr>
        <w:t xml:space="preserve"> </w:t>
      </w:r>
      <w:r w:rsidRPr="004B2E72">
        <w:rPr>
          <w:szCs w:val="24"/>
        </w:rPr>
        <w:t>that if any costs are disallowed, Duke should get to keep a corresponding portion of the insurance proceeds. And the PUCO explicitly rejected that argument, ruling that Duke gets to keep insurance proceeds only after customers are reimbursed in full.</w:t>
      </w:r>
    </w:p>
    <w:p w:rsidR="00576F5D" w:rsidRPr="004B2E72" w:rsidP="00576F5D" w14:paraId="72441872" w14:textId="098621F3">
      <w:pPr>
        <w:spacing w:line="480" w:lineRule="auto"/>
        <w:ind w:firstLine="720"/>
        <w:rPr>
          <w:szCs w:val="24"/>
        </w:rPr>
      </w:pPr>
      <w:r w:rsidRPr="004B2E72">
        <w:rPr>
          <w:szCs w:val="24"/>
        </w:rPr>
        <w:t xml:space="preserve">The precise issue of insurance allocation was raised in the Rate Case. Parties took competing, well-defined positions on that issue. And the PUCO made an unambiguous ruling. That ruling is that customers get </w:t>
      </w:r>
      <w:r w:rsidRPr="004B2E72">
        <w:rPr>
          <w:i/>
          <w:iCs/>
          <w:szCs w:val="24"/>
        </w:rPr>
        <w:t>all</w:t>
      </w:r>
      <w:r w:rsidRPr="004B2E72">
        <w:rPr>
          <w:szCs w:val="24"/>
        </w:rPr>
        <w:t xml:space="preserve"> the insurance proceeds (</w:t>
      </w:r>
      <w:r w:rsidR="00531CB4">
        <w:rPr>
          <w:szCs w:val="24"/>
        </w:rPr>
        <w:t xml:space="preserve">approximately </w:t>
      </w:r>
      <w:r w:rsidRPr="004B2E72">
        <w:rPr>
          <w:szCs w:val="24"/>
        </w:rPr>
        <w:t xml:space="preserve">$50.5 million), and </w:t>
      </w:r>
      <w:r w:rsidRPr="004B2E72">
        <w:rPr>
          <w:i/>
          <w:iCs/>
          <w:szCs w:val="24"/>
        </w:rPr>
        <w:t>only</w:t>
      </w:r>
      <w:r w:rsidRPr="004B2E72">
        <w:rPr>
          <w:szCs w:val="24"/>
        </w:rPr>
        <w:t xml:space="preserve"> after customers are reimbursed in full does Duke get any. Customers have already paid </w:t>
      </w:r>
      <w:r w:rsidR="00306E6B">
        <w:rPr>
          <w:szCs w:val="24"/>
        </w:rPr>
        <w:t xml:space="preserve">approximately </w:t>
      </w:r>
      <w:r w:rsidRPr="004B2E72">
        <w:rPr>
          <w:szCs w:val="24"/>
        </w:rPr>
        <w:t xml:space="preserve">$55.5 million under Rider MGP, so with </w:t>
      </w:r>
      <w:r w:rsidR="00531CB4">
        <w:rPr>
          <w:szCs w:val="24"/>
        </w:rPr>
        <w:t xml:space="preserve">approximately </w:t>
      </w:r>
      <w:r w:rsidRPr="004B2E72">
        <w:rPr>
          <w:szCs w:val="24"/>
        </w:rPr>
        <w:t>$50.5 million in net insurance proceeds, they will never be reimbursed in full. Thus, there will never be any leftover insurance proceeds for Duke, and there is no basis for Duke to continue holding the insurance money. Duke is doing nothing more than trying to litigate the issue again, which is barred by collateral estoppel.</w:t>
      </w:r>
    </w:p>
    <w:p w:rsidR="00576F5D" w:rsidRPr="004B5B6F" w:rsidP="00D700F4" w14:paraId="396ABA49" w14:textId="046604B2">
      <w:pPr>
        <w:pStyle w:val="Heading3"/>
        <w:numPr>
          <w:ilvl w:val="0"/>
          <w:numId w:val="9"/>
        </w:numPr>
        <w:ind w:left="2160" w:hanging="720"/>
      </w:pPr>
      <w:bookmarkStart w:id="27" w:name="_Toc31972591"/>
      <w:bookmarkStart w:id="28" w:name="_Toc32570326"/>
      <w:bookmarkStart w:id="29" w:name="_Toc53042904"/>
      <w:bookmarkStart w:id="30" w:name="_Toc55815496"/>
      <w:r w:rsidRPr="004B5B6F">
        <w:t xml:space="preserve">Using all insurance proceeds to offset charges to customers is consistent with the PUCO’s ruling in the Rate Case Order that Duke’s shareholders should be responsible, in part, for cleaning up the </w:t>
      </w:r>
      <w:r w:rsidR="00617B14">
        <w:t>Manufactured Gas Plant</w:t>
      </w:r>
      <w:r w:rsidRPr="004B5B6F">
        <w:t xml:space="preserve"> Sites.</w:t>
      </w:r>
      <w:bookmarkEnd w:id="27"/>
      <w:bookmarkEnd w:id="28"/>
      <w:bookmarkEnd w:id="29"/>
      <w:bookmarkEnd w:id="30"/>
    </w:p>
    <w:p w:rsidR="00576F5D" w:rsidRPr="00A945E9" w:rsidP="00576F5D" w14:paraId="4E795983" w14:textId="5EA844DE">
      <w:pPr>
        <w:spacing w:line="480" w:lineRule="auto"/>
        <w:ind w:firstLine="720"/>
        <w:rPr>
          <w:szCs w:val="24"/>
        </w:rPr>
      </w:pPr>
      <w:r>
        <w:rPr>
          <w:szCs w:val="24"/>
        </w:rPr>
        <w:t xml:space="preserve">In its Report, </w:t>
      </w:r>
      <w:r w:rsidRPr="00A945E9">
        <w:rPr>
          <w:szCs w:val="24"/>
        </w:rPr>
        <w:t xml:space="preserve">Staff </w:t>
      </w:r>
      <w:r>
        <w:rPr>
          <w:szCs w:val="24"/>
        </w:rPr>
        <w:t xml:space="preserve">asserts that </w:t>
      </w:r>
      <w:r w:rsidR="00891F5F">
        <w:rPr>
          <w:szCs w:val="24"/>
        </w:rPr>
        <w:t xml:space="preserve">it </w:t>
      </w:r>
      <w:r w:rsidRPr="00A945E9">
        <w:rPr>
          <w:szCs w:val="24"/>
        </w:rPr>
        <w:t xml:space="preserve">continued to investigate </w:t>
      </w:r>
      <w:r>
        <w:rPr>
          <w:szCs w:val="24"/>
        </w:rPr>
        <w:t>Duke’s</w:t>
      </w:r>
      <w:r w:rsidRPr="00A945E9">
        <w:rPr>
          <w:szCs w:val="24"/>
        </w:rPr>
        <w:t xml:space="preserve"> efforts to pursue collection of insurance proceeds, as directed by the </w:t>
      </w:r>
      <w:r>
        <w:rPr>
          <w:szCs w:val="24"/>
        </w:rPr>
        <w:t>PUCO i</w:t>
      </w:r>
      <w:r w:rsidRPr="00A945E9">
        <w:rPr>
          <w:szCs w:val="24"/>
        </w:rPr>
        <w:t>n the Rate Case Order.</w:t>
      </w:r>
      <w:r>
        <w:rPr>
          <w:rStyle w:val="FootnoteReference"/>
          <w:szCs w:val="24"/>
        </w:rPr>
        <w:footnoteReference w:id="50"/>
      </w:r>
      <w:r w:rsidRPr="00A945E9">
        <w:rPr>
          <w:szCs w:val="24"/>
        </w:rPr>
        <w:t xml:space="preserve"> </w:t>
      </w:r>
      <w:r>
        <w:rPr>
          <w:szCs w:val="24"/>
        </w:rPr>
        <w:t xml:space="preserve">According to </w:t>
      </w:r>
      <w:r w:rsidR="008645A1">
        <w:rPr>
          <w:szCs w:val="24"/>
        </w:rPr>
        <w:t xml:space="preserve">PUCO </w:t>
      </w:r>
      <w:r>
        <w:rPr>
          <w:szCs w:val="24"/>
        </w:rPr>
        <w:t xml:space="preserve">Staff, </w:t>
      </w:r>
      <w:r w:rsidRPr="00A945E9">
        <w:rPr>
          <w:szCs w:val="24"/>
        </w:rPr>
        <w:t>as of December 31, 2019, Duke successfully collected $50,562,476, net of legal fees, from multiple insurance companies.</w:t>
      </w:r>
      <w:r>
        <w:rPr>
          <w:rStyle w:val="FootnoteReference"/>
          <w:szCs w:val="24"/>
        </w:rPr>
        <w:footnoteReference w:id="51"/>
      </w:r>
      <w:r w:rsidRPr="00A945E9">
        <w:rPr>
          <w:szCs w:val="24"/>
        </w:rPr>
        <w:t xml:space="preserve"> </w:t>
      </w:r>
      <w:r w:rsidR="008645A1">
        <w:rPr>
          <w:szCs w:val="24"/>
        </w:rPr>
        <w:t xml:space="preserve">PUCO </w:t>
      </w:r>
      <w:r w:rsidRPr="00A945E9">
        <w:rPr>
          <w:szCs w:val="24"/>
        </w:rPr>
        <w:t xml:space="preserve">Staff </w:t>
      </w:r>
      <w:r>
        <w:rPr>
          <w:szCs w:val="24"/>
        </w:rPr>
        <w:t xml:space="preserve">explained that it </w:t>
      </w:r>
      <w:r w:rsidRPr="00A945E9">
        <w:rPr>
          <w:szCs w:val="24"/>
        </w:rPr>
        <w:t xml:space="preserve">will continue to monitor </w:t>
      </w:r>
      <w:r>
        <w:rPr>
          <w:szCs w:val="24"/>
        </w:rPr>
        <w:t>Duke</w:t>
      </w:r>
      <w:r w:rsidRPr="00A945E9">
        <w:rPr>
          <w:szCs w:val="24"/>
        </w:rPr>
        <w:t xml:space="preserve">’s efforts. </w:t>
      </w:r>
      <w:r w:rsidR="008645A1">
        <w:rPr>
          <w:szCs w:val="24"/>
        </w:rPr>
        <w:t xml:space="preserve">PUCO </w:t>
      </w:r>
      <w:r>
        <w:rPr>
          <w:szCs w:val="24"/>
        </w:rPr>
        <w:t>Staff noted that t</w:t>
      </w:r>
      <w:r w:rsidRPr="00A945E9">
        <w:rPr>
          <w:szCs w:val="24"/>
        </w:rPr>
        <w:t xml:space="preserve">hese funds have not yet been reimbursed to </w:t>
      </w:r>
      <w:r w:rsidR="008645A1">
        <w:rPr>
          <w:szCs w:val="24"/>
        </w:rPr>
        <w:t xml:space="preserve">consumers </w:t>
      </w:r>
      <w:r w:rsidR="00891F5F">
        <w:rPr>
          <w:szCs w:val="24"/>
        </w:rPr>
        <w:t>and</w:t>
      </w:r>
      <w:r>
        <w:rPr>
          <w:szCs w:val="24"/>
        </w:rPr>
        <w:t>, c</w:t>
      </w:r>
      <w:r w:rsidRPr="00A945E9">
        <w:rPr>
          <w:szCs w:val="24"/>
        </w:rPr>
        <w:t xml:space="preserve">onsistent with </w:t>
      </w:r>
      <w:r w:rsidR="008645A1">
        <w:rPr>
          <w:szCs w:val="24"/>
        </w:rPr>
        <w:t xml:space="preserve">PUCO </w:t>
      </w:r>
      <w:r w:rsidRPr="00A945E9">
        <w:rPr>
          <w:szCs w:val="24"/>
        </w:rPr>
        <w:t xml:space="preserve">Staff testimony filed in Case No. 19-0174-GA-RDR, </w:t>
      </w:r>
      <w:r w:rsidR="008645A1">
        <w:rPr>
          <w:szCs w:val="24"/>
        </w:rPr>
        <w:t xml:space="preserve">PUCO </w:t>
      </w:r>
      <w:r w:rsidRPr="00A945E9">
        <w:rPr>
          <w:szCs w:val="24"/>
        </w:rPr>
        <w:t xml:space="preserve">Staff recommends that any proceeds paid by insurers for MGP investigation, net of litigation costs and attorney fees, should be reimbursed to </w:t>
      </w:r>
      <w:r>
        <w:rPr>
          <w:szCs w:val="24"/>
        </w:rPr>
        <w:t>customers (as OCC has previously recommended)</w:t>
      </w:r>
      <w:r w:rsidRPr="00A945E9">
        <w:rPr>
          <w:szCs w:val="24"/>
        </w:rPr>
        <w:t>.</w:t>
      </w:r>
      <w:r>
        <w:rPr>
          <w:rStyle w:val="FootnoteReference"/>
          <w:szCs w:val="24"/>
        </w:rPr>
        <w:footnoteReference w:id="52"/>
      </w:r>
      <w:r w:rsidRPr="00A945E9">
        <w:rPr>
          <w:szCs w:val="24"/>
        </w:rPr>
        <w:t xml:space="preserve"> </w:t>
      </w:r>
      <w:r w:rsidR="008645A1">
        <w:rPr>
          <w:szCs w:val="24"/>
        </w:rPr>
        <w:t>Also</w:t>
      </w:r>
      <w:r>
        <w:rPr>
          <w:szCs w:val="24"/>
        </w:rPr>
        <w:t xml:space="preserve">, </w:t>
      </w:r>
      <w:r w:rsidR="008645A1">
        <w:rPr>
          <w:szCs w:val="24"/>
        </w:rPr>
        <w:t xml:space="preserve">PUCO </w:t>
      </w:r>
      <w:r>
        <w:rPr>
          <w:szCs w:val="24"/>
        </w:rPr>
        <w:t>Staff recommended that t</w:t>
      </w:r>
      <w:r w:rsidRPr="00A945E9">
        <w:rPr>
          <w:szCs w:val="24"/>
        </w:rPr>
        <w:t>he proceeds should not be held by Duke until all investigation and remediation is complete.</w:t>
      </w:r>
      <w:r>
        <w:rPr>
          <w:rStyle w:val="FootnoteReference"/>
          <w:szCs w:val="24"/>
        </w:rPr>
        <w:footnoteReference w:id="53"/>
      </w:r>
    </w:p>
    <w:p w:rsidR="00576F5D" w:rsidRPr="004B2E72" w:rsidP="00576F5D" w14:paraId="206BCC03" w14:textId="32ABA778">
      <w:pPr>
        <w:spacing w:line="480" w:lineRule="auto"/>
        <w:ind w:firstLine="720"/>
        <w:rPr>
          <w:szCs w:val="24"/>
        </w:rPr>
      </w:pPr>
      <w:r w:rsidRPr="004B2E72">
        <w:rPr>
          <w:szCs w:val="24"/>
        </w:rPr>
        <w:t xml:space="preserve">Duke claims that </w:t>
      </w:r>
      <w:r>
        <w:rPr>
          <w:szCs w:val="24"/>
        </w:rPr>
        <w:t>r</w:t>
      </w:r>
      <w:r w:rsidRPr="0013417C">
        <w:rPr>
          <w:szCs w:val="24"/>
        </w:rPr>
        <w:t xml:space="preserve">equiring </w:t>
      </w:r>
      <w:r w:rsidR="008645A1">
        <w:rPr>
          <w:szCs w:val="24"/>
        </w:rPr>
        <w:t>it</w:t>
      </w:r>
      <w:r w:rsidRPr="0013417C">
        <w:rPr>
          <w:szCs w:val="24"/>
        </w:rPr>
        <w:t xml:space="preserve"> to refund all insurance proceeds to customers, while permitting it to </w:t>
      </w:r>
      <w:r w:rsidR="009F546E">
        <w:rPr>
          <w:szCs w:val="24"/>
        </w:rPr>
        <w:t>collect from customers</w:t>
      </w:r>
      <w:r w:rsidRPr="0013417C">
        <w:rPr>
          <w:szCs w:val="24"/>
        </w:rPr>
        <w:t xml:space="preserve"> only a portion of the legally obligatory investigation and remediation costs for which the insurance proceeds were meant to compensate, would unfairly punish </w:t>
      </w:r>
      <w:r w:rsidR="00891F5F">
        <w:rPr>
          <w:szCs w:val="24"/>
        </w:rPr>
        <w:t>Duke</w:t>
      </w:r>
      <w:r w:rsidRPr="0013417C">
        <w:rPr>
          <w:szCs w:val="24"/>
        </w:rPr>
        <w:t xml:space="preserve"> for its efforts to comply with environmental law.</w:t>
      </w:r>
      <w:r>
        <w:rPr>
          <w:rStyle w:val="FootnoteReference"/>
          <w:szCs w:val="24"/>
        </w:rPr>
        <w:footnoteReference w:id="54"/>
      </w:r>
      <w:r w:rsidRPr="0013417C">
        <w:rPr>
          <w:szCs w:val="24"/>
        </w:rPr>
        <w:t xml:space="preserve"> </w:t>
      </w:r>
      <w:r>
        <w:rPr>
          <w:szCs w:val="24"/>
        </w:rPr>
        <w:t>Duke also argues that r</w:t>
      </w:r>
      <w:r w:rsidRPr="00D55570">
        <w:rPr>
          <w:szCs w:val="24"/>
        </w:rPr>
        <w:t xml:space="preserve">efusing to proportionally allocate the insurance proceeds would upset the balance of responsibilities that the </w:t>
      </w:r>
      <w:r>
        <w:rPr>
          <w:szCs w:val="24"/>
        </w:rPr>
        <w:t>PUCO</w:t>
      </w:r>
      <w:r w:rsidRPr="00D55570">
        <w:rPr>
          <w:szCs w:val="24"/>
        </w:rPr>
        <w:t xml:space="preserve"> envisioned in the 2012 Natural Gas Base Rate Case, between shareholders and customers.</w:t>
      </w:r>
      <w:r>
        <w:rPr>
          <w:rStyle w:val="FootnoteReference"/>
          <w:szCs w:val="24"/>
        </w:rPr>
        <w:footnoteReference w:id="55"/>
      </w:r>
      <w:r w:rsidRPr="00D55570">
        <w:rPr>
          <w:szCs w:val="24"/>
        </w:rPr>
        <w:t xml:space="preserve"> </w:t>
      </w:r>
      <w:r>
        <w:rPr>
          <w:szCs w:val="24"/>
        </w:rPr>
        <w:t>Finally, Duke claims t</w:t>
      </w:r>
      <w:r w:rsidRPr="00D55570">
        <w:rPr>
          <w:szCs w:val="24"/>
        </w:rPr>
        <w:t xml:space="preserve">he </w:t>
      </w:r>
      <w:r>
        <w:rPr>
          <w:szCs w:val="24"/>
        </w:rPr>
        <w:t>PUCO</w:t>
      </w:r>
      <w:r w:rsidRPr="00D55570">
        <w:rPr>
          <w:szCs w:val="24"/>
        </w:rPr>
        <w:t xml:space="preserve">’s analysis in the 2012 Natural Gas Base Rate Case Opinion and Order indicates strongly that the </w:t>
      </w:r>
      <w:r>
        <w:rPr>
          <w:szCs w:val="24"/>
        </w:rPr>
        <w:t>PUCO</w:t>
      </w:r>
      <w:r w:rsidRPr="00D55570">
        <w:rPr>
          <w:szCs w:val="24"/>
        </w:rPr>
        <w:t xml:space="preserve"> did not intend to burden </w:t>
      </w:r>
      <w:r>
        <w:rPr>
          <w:szCs w:val="24"/>
        </w:rPr>
        <w:t>shareholder’s with a large portion of the actual investigation or remediation costs.</w:t>
      </w:r>
      <w:r>
        <w:rPr>
          <w:rStyle w:val="FootnoteReference"/>
          <w:szCs w:val="24"/>
        </w:rPr>
        <w:footnoteReference w:id="56"/>
      </w:r>
      <w:r>
        <w:rPr>
          <w:szCs w:val="24"/>
        </w:rPr>
        <w:t xml:space="preserve"> Rather, shareholders would only be</w:t>
      </w:r>
      <w:r w:rsidR="009F28B5">
        <w:rPr>
          <w:szCs w:val="24"/>
        </w:rPr>
        <w:t>ar</w:t>
      </w:r>
      <w:r w:rsidR="00015934">
        <w:rPr>
          <w:szCs w:val="24"/>
        </w:rPr>
        <w:t xml:space="preserve"> </w:t>
      </w:r>
      <w:r>
        <w:rPr>
          <w:szCs w:val="24"/>
        </w:rPr>
        <w:t>the carrying costs.</w:t>
      </w:r>
      <w:r>
        <w:rPr>
          <w:rStyle w:val="FootnoteReference"/>
          <w:szCs w:val="24"/>
        </w:rPr>
        <w:footnoteReference w:id="57"/>
      </w:r>
    </w:p>
    <w:p w:rsidR="00576F5D" w:rsidRPr="004B2E72" w:rsidP="00576F5D" w14:paraId="627E4543" w14:textId="2966E163">
      <w:pPr>
        <w:spacing w:line="480" w:lineRule="auto"/>
        <w:ind w:firstLine="720"/>
        <w:rPr>
          <w:szCs w:val="24"/>
        </w:rPr>
      </w:pPr>
      <w:r w:rsidRPr="004B2E72">
        <w:rPr>
          <w:szCs w:val="24"/>
        </w:rPr>
        <w:t xml:space="preserve">First, the Rate Case Order never says that this is the </w:t>
      </w:r>
      <w:r w:rsidRPr="004B2E72">
        <w:rPr>
          <w:i/>
          <w:iCs/>
          <w:szCs w:val="24"/>
        </w:rPr>
        <w:t>only</w:t>
      </w:r>
      <w:r w:rsidRPr="004B2E72">
        <w:rPr>
          <w:szCs w:val="24"/>
        </w:rPr>
        <w:t xml:space="preserve"> way that shareholders should pay for Duke’s MGP costs.</w:t>
      </w:r>
      <w:r>
        <w:rPr>
          <w:szCs w:val="24"/>
        </w:rPr>
        <w:t xml:space="preserve"> </w:t>
      </w:r>
      <w:r w:rsidRPr="004B2E72">
        <w:rPr>
          <w:szCs w:val="24"/>
        </w:rPr>
        <w:t xml:space="preserve">Second, the Rate Case Order limited Duke’s recovery of MGP costs to </w:t>
      </w:r>
      <w:r w:rsidR="005D170E">
        <w:rPr>
          <w:szCs w:val="24"/>
        </w:rPr>
        <w:t>10</w:t>
      </w:r>
      <w:r w:rsidRPr="004B2E72" w:rsidR="005D170E">
        <w:rPr>
          <w:szCs w:val="24"/>
        </w:rPr>
        <w:t xml:space="preserve"> </w:t>
      </w:r>
      <w:r w:rsidRPr="004B2E72">
        <w:rPr>
          <w:szCs w:val="24"/>
        </w:rPr>
        <w:t>years, thus contemplating that shareholders would be responsible for any costs beyond that period.</w:t>
      </w:r>
      <w:r>
        <w:rPr>
          <w:szCs w:val="24"/>
        </w:rPr>
        <w:t xml:space="preserve"> </w:t>
      </w:r>
      <w:r w:rsidRPr="004B2E72">
        <w:rPr>
          <w:szCs w:val="24"/>
        </w:rPr>
        <w:t>Third, the Rate Case Order denied Duke the right to charge customers for any 2008 costs for the West End site, so shareholders paid those amounts.</w:t>
      </w:r>
      <w:r>
        <w:rPr>
          <w:szCs w:val="24"/>
        </w:rPr>
        <w:t xml:space="preserve"> </w:t>
      </w:r>
      <w:r w:rsidRPr="004B2E72">
        <w:rPr>
          <w:szCs w:val="24"/>
        </w:rPr>
        <w:t>Fourth, the Rate Case Order did not allow Duke to charge customers more than $2.3 million related to the Purchased Parcel, so shareholders paid that amount.</w:t>
      </w:r>
      <w:r>
        <w:rPr>
          <w:szCs w:val="24"/>
        </w:rPr>
        <w:t xml:space="preserve"> </w:t>
      </w:r>
      <w:r w:rsidRPr="004B2E72">
        <w:rPr>
          <w:szCs w:val="24"/>
        </w:rPr>
        <w:t>Fifth, as explained above, the Rate Case Order unambiguously stated that all insurance proceeds would go to customers, thus benefiting customers and not shareholders.</w:t>
      </w:r>
      <w:r>
        <w:rPr>
          <w:szCs w:val="24"/>
        </w:rPr>
        <w:t xml:space="preserve"> </w:t>
      </w:r>
      <w:r w:rsidRPr="004B2E72">
        <w:rPr>
          <w:szCs w:val="24"/>
        </w:rPr>
        <w:t>Sixth, as explained above, the Rate Case Order prohibits Duke from charging customers to investigate and remediate the Offsite Areas, so shareholders should pay those amounts.</w:t>
      </w:r>
    </w:p>
    <w:p w:rsidR="00576F5D" w:rsidRPr="004B2E72" w:rsidP="00576F5D" w14:paraId="213401B2" w14:textId="4B1A3507">
      <w:pPr>
        <w:spacing w:line="480" w:lineRule="auto"/>
        <w:ind w:firstLine="720"/>
        <w:rPr>
          <w:szCs w:val="24"/>
        </w:rPr>
      </w:pPr>
      <w:r w:rsidRPr="004B2E72">
        <w:rPr>
          <w:szCs w:val="24"/>
        </w:rPr>
        <w:t xml:space="preserve">Duke mischaracterized the Rate Case Order by claiming that the PUCO expected that the </w:t>
      </w:r>
      <w:r w:rsidRPr="004B2E72">
        <w:rPr>
          <w:i/>
          <w:iCs/>
          <w:szCs w:val="24"/>
        </w:rPr>
        <w:t>only</w:t>
      </w:r>
      <w:r w:rsidRPr="004B2E72">
        <w:rPr>
          <w:szCs w:val="24"/>
        </w:rPr>
        <w:t xml:space="preserve"> costs to be borne by shareholders would be through the denial of carrying costs. The Rate Case Order contemplates multiple different ways that Duke’s shareholders would be out of pocket for MGP costs. The PUCO should reject Duke’s claim that the Rate Case Order intended </w:t>
      </w:r>
      <w:r w:rsidR="009F28B5">
        <w:rPr>
          <w:szCs w:val="24"/>
        </w:rPr>
        <w:t xml:space="preserve">limited </w:t>
      </w:r>
      <w:r w:rsidRPr="004B2E72">
        <w:rPr>
          <w:szCs w:val="24"/>
        </w:rPr>
        <w:t>shareholders responsibility for MGP cleanup</w:t>
      </w:r>
      <w:r w:rsidR="009F28B5">
        <w:rPr>
          <w:szCs w:val="24"/>
        </w:rPr>
        <w:t xml:space="preserve"> to bearing carrying costs</w:t>
      </w:r>
      <w:r w:rsidRPr="004B2E72">
        <w:rPr>
          <w:szCs w:val="24"/>
        </w:rPr>
        <w:t>.</w:t>
      </w:r>
    </w:p>
    <w:p w:rsidR="000F4357" w:rsidRPr="004B2E72" w:rsidP="001C05B7" w14:paraId="5E49CD1F" w14:textId="2D6A48AD">
      <w:pPr>
        <w:pStyle w:val="Heading1"/>
      </w:pPr>
      <w:bookmarkStart w:id="31" w:name="_Toc31972593"/>
      <w:bookmarkStart w:id="32" w:name="_Toc32570328"/>
      <w:bookmarkStart w:id="33" w:name="_Toc53042905"/>
      <w:bookmarkStart w:id="34" w:name="_Toc55815497"/>
      <w:bookmarkEnd w:id="23"/>
      <w:bookmarkEnd w:id="24"/>
      <w:r w:rsidRPr="004B2E72">
        <w:t>CONCLUSION</w:t>
      </w:r>
      <w:bookmarkEnd w:id="31"/>
      <w:bookmarkEnd w:id="32"/>
      <w:bookmarkEnd w:id="33"/>
      <w:bookmarkEnd w:id="34"/>
    </w:p>
    <w:p w:rsidR="000F4357" w:rsidRPr="004B2E72" w:rsidP="007750BB" w14:paraId="504EF9D3" w14:textId="5741F507">
      <w:pPr>
        <w:spacing w:line="480" w:lineRule="auto"/>
        <w:ind w:firstLine="720"/>
        <w:rPr>
          <w:szCs w:val="24"/>
        </w:rPr>
      </w:pPr>
      <w:r w:rsidRPr="004B2E72">
        <w:rPr>
          <w:szCs w:val="24"/>
        </w:rPr>
        <w:t>Duke’s proposed $</w:t>
      </w:r>
      <w:r w:rsidR="00D65A85">
        <w:rPr>
          <w:szCs w:val="24"/>
        </w:rPr>
        <w:t>39</w:t>
      </w:r>
      <w:r w:rsidRPr="004B2E72">
        <w:rPr>
          <w:szCs w:val="24"/>
        </w:rPr>
        <w:t xml:space="preserve"> million in charges to consumers are inconsistent with the Rate Case Order because they include $</w:t>
      </w:r>
      <w:r w:rsidR="00D65A85">
        <w:rPr>
          <w:szCs w:val="24"/>
        </w:rPr>
        <w:t>3.9</w:t>
      </w:r>
      <w:r w:rsidRPr="004B2E72">
        <w:rPr>
          <w:szCs w:val="24"/>
        </w:rPr>
        <w:t xml:space="preserve"> million in charges for the Offsite Areas</w:t>
      </w:r>
      <w:r w:rsidRPr="004B2E72" w:rsidR="00A31D8E">
        <w:rPr>
          <w:szCs w:val="24"/>
        </w:rPr>
        <w:t xml:space="preserve"> </w:t>
      </w:r>
      <w:r w:rsidRPr="004B2E72" w:rsidR="007E2B94">
        <w:rPr>
          <w:szCs w:val="24"/>
        </w:rPr>
        <w:t>that</w:t>
      </w:r>
      <w:r w:rsidRPr="004B2E72" w:rsidR="00A31D8E">
        <w:rPr>
          <w:szCs w:val="24"/>
        </w:rPr>
        <w:t xml:space="preserve"> </w:t>
      </w:r>
      <w:r w:rsidRPr="004B2E72" w:rsidR="007E2B94">
        <w:rPr>
          <w:szCs w:val="24"/>
        </w:rPr>
        <w:t xml:space="preserve">Duke </w:t>
      </w:r>
      <w:r w:rsidRPr="004B2E72" w:rsidR="00A31D8E">
        <w:rPr>
          <w:szCs w:val="24"/>
        </w:rPr>
        <w:t xml:space="preserve">never used </w:t>
      </w:r>
      <w:r w:rsidRPr="004B2E72" w:rsidR="00286159">
        <w:rPr>
          <w:szCs w:val="24"/>
        </w:rPr>
        <w:t>for manufactured gas activity</w:t>
      </w:r>
      <w:r w:rsidRPr="004B2E72">
        <w:rPr>
          <w:szCs w:val="24"/>
        </w:rPr>
        <w:t>. Duke’s proposed $</w:t>
      </w:r>
      <w:r w:rsidR="00D65A85">
        <w:rPr>
          <w:szCs w:val="24"/>
        </w:rPr>
        <w:t>39</w:t>
      </w:r>
      <w:r w:rsidRPr="004B2E72">
        <w:rPr>
          <w:szCs w:val="24"/>
        </w:rPr>
        <w:t xml:space="preserve"> million in charges to consumers are excessive </w:t>
      </w:r>
      <w:r w:rsidRPr="004B2E72" w:rsidR="00E14B6F">
        <w:rPr>
          <w:szCs w:val="24"/>
        </w:rPr>
        <w:t xml:space="preserve">and imprudent </w:t>
      </w:r>
      <w:r w:rsidRPr="004B2E72">
        <w:rPr>
          <w:szCs w:val="24"/>
        </w:rPr>
        <w:t xml:space="preserve">because Duke employed remediation methods that were unnecessary to effectively and efficiently clean up the MGP Sites. And Duke’s proposal that it be </w:t>
      </w:r>
      <w:r w:rsidRPr="004B2E72" w:rsidR="00207745">
        <w:rPr>
          <w:szCs w:val="24"/>
        </w:rPr>
        <w:t>allowed</w:t>
      </w:r>
      <w:r w:rsidRPr="004B2E72">
        <w:rPr>
          <w:szCs w:val="24"/>
        </w:rPr>
        <w:t xml:space="preserve"> to keep some of the $50.5 million in insurance proceeds is barred by the Rate Case Order.</w:t>
      </w:r>
    </w:p>
    <w:p w:rsidR="00CC5CFA" w:rsidP="00E8468E" w14:paraId="01D92FCD" w14:textId="77777777">
      <w:pPr>
        <w:spacing w:after="200" w:line="276" w:lineRule="auto"/>
        <w:ind w:left="3600" w:firstLine="720"/>
        <w:rPr>
          <w:szCs w:val="24"/>
        </w:rPr>
      </w:pPr>
    </w:p>
    <w:p w:rsidR="00115AF7" w:rsidRPr="004B2E72" w:rsidP="00E8468E" w14:paraId="0F52B6E1" w14:textId="242D8878">
      <w:pPr>
        <w:spacing w:after="200" w:line="276" w:lineRule="auto"/>
        <w:ind w:left="3600" w:firstLine="720"/>
        <w:rPr>
          <w:szCs w:val="24"/>
        </w:rPr>
      </w:pPr>
      <w:r w:rsidRPr="004B2E72">
        <w:rPr>
          <w:szCs w:val="24"/>
        </w:rPr>
        <w:t>Respectfully submitted,</w:t>
      </w:r>
    </w:p>
    <w:p w:rsidR="00CC5CFA" w:rsidRPr="004B2E72" w:rsidP="00CC5CFA" w14:paraId="5D2BA986" w14:textId="77777777">
      <w:pPr>
        <w:ind w:left="4320"/>
        <w:rPr>
          <w:szCs w:val="24"/>
        </w:rPr>
      </w:pPr>
      <w:r w:rsidRPr="004B2E72">
        <w:rPr>
          <w:szCs w:val="24"/>
        </w:rPr>
        <w:t>Bruce Weston (0016973)</w:t>
      </w:r>
    </w:p>
    <w:p w:rsidR="00CC5CFA" w:rsidRPr="004B2E72" w:rsidP="00CC5CFA" w14:paraId="6F13669F" w14:textId="77777777">
      <w:pPr>
        <w:tabs>
          <w:tab w:val="left" w:pos="4320"/>
        </w:tabs>
        <w:ind w:left="4320"/>
        <w:rPr>
          <w:szCs w:val="24"/>
        </w:rPr>
      </w:pPr>
      <w:r w:rsidRPr="004B2E72">
        <w:rPr>
          <w:szCs w:val="24"/>
        </w:rPr>
        <w:t>Ohio Consumers’ Counsel</w:t>
      </w:r>
    </w:p>
    <w:p w:rsidR="00CC5CFA" w:rsidRPr="004B2E72" w:rsidP="00CC5CFA" w14:paraId="5654E602" w14:textId="77777777">
      <w:pPr>
        <w:tabs>
          <w:tab w:val="left" w:pos="4320"/>
        </w:tabs>
        <w:ind w:left="4320"/>
        <w:rPr>
          <w:szCs w:val="24"/>
        </w:rPr>
      </w:pPr>
    </w:p>
    <w:p w:rsidR="001C05B7" w:rsidRPr="001C05B7" w:rsidP="001C05B7" w14:paraId="0FFF75D7" w14:textId="2B080C06">
      <w:pPr>
        <w:pStyle w:val="NormalWeb"/>
        <w:spacing w:before="0" w:beforeAutospacing="0" w:after="0" w:afterAutospacing="0"/>
        <w:ind w:left="4320"/>
        <w:rPr>
          <w:i/>
          <w:iCs/>
          <w:u w:val="single"/>
        </w:rPr>
      </w:pPr>
      <w:r>
        <w:rPr>
          <w:i/>
          <w:iCs/>
          <w:u w:val="single"/>
        </w:rPr>
        <w:t>/s/ William J. Michael</w:t>
      </w:r>
      <w:r w:rsidR="00AC1F4E">
        <w:rPr>
          <w:i/>
          <w:iCs/>
          <w:u w:val="single"/>
        </w:rPr>
        <w:tab/>
      </w:r>
    </w:p>
    <w:p w:rsidR="00CC5CFA" w:rsidRPr="004B2E72" w:rsidP="00AC1F4E" w14:paraId="1208CB7F" w14:textId="6172E671">
      <w:pPr>
        <w:pStyle w:val="NormalWeb"/>
        <w:spacing w:before="0" w:beforeAutospacing="0"/>
        <w:ind w:left="4320"/>
      </w:pPr>
      <w:r w:rsidRPr="004B2E72">
        <w:t xml:space="preserve">William </w:t>
      </w:r>
      <w:r w:rsidR="004B5B6F">
        <w:t xml:space="preserve">J. </w:t>
      </w:r>
      <w:r w:rsidRPr="004B2E72">
        <w:t xml:space="preserve">Michael (0070921) </w:t>
      </w:r>
      <w:r w:rsidRPr="004B2E72">
        <w:br/>
        <w:t>Counsel of Record</w:t>
      </w:r>
      <w:r w:rsidRPr="004B2E72">
        <w:br/>
        <w:t>Amy Botschner O’Brien (0074423)</w:t>
      </w:r>
      <w:r w:rsidRPr="004B2E72">
        <w:br/>
        <w:t>Assistant Consumers’ Counsel</w:t>
      </w:r>
    </w:p>
    <w:p w:rsidR="00CC5CFA" w:rsidRPr="004B2E72" w:rsidP="00CC5CFA" w14:paraId="767388C5" w14:textId="77777777">
      <w:pPr>
        <w:ind w:left="3600" w:firstLine="720"/>
        <w:rPr>
          <w:b/>
          <w:bCs/>
          <w:szCs w:val="24"/>
        </w:rPr>
      </w:pPr>
      <w:r w:rsidRPr="004B2E72">
        <w:rPr>
          <w:b/>
          <w:bCs/>
          <w:szCs w:val="24"/>
        </w:rPr>
        <w:t>Office of the Ohio Consumers’ Counsel</w:t>
      </w:r>
    </w:p>
    <w:p w:rsidR="00CC5CFA" w:rsidRPr="004B2E72" w:rsidP="00CC5CFA" w14:paraId="4952F244" w14:textId="77777777">
      <w:pPr>
        <w:ind w:left="3600" w:firstLine="720"/>
        <w:rPr>
          <w:b/>
          <w:szCs w:val="24"/>
        </w:rPr>
      </w:pPr>
      <w:r w:rsidRPr="004B2E72">
        <w:rPr>
          <w:szCs w:val="24"/>
        </w:rPr>
        <w:t>65 East State Street, 7th Floor</w:t>
      </w:r>
    </w:p>
    <w:p w:rsidR="00CC5CFA" w:rsidRPr="004B2E72" w:rsidP="00CC5CFA" w14:paraId="0E24E88F" w14:textId="77777777">
      <w:pPr>
        <w:ind w:left="3600" w:firstLine="720"/>
        <w:rPr>
          <w:b/>
          <w:szCs w:val="24"/>
        </w:rPr>
      </w:pPr>
      <w:r w:rsidRPr="004B2E72">
        <w:rPr>
          <w:szCs w:val="24"/>
        </w:rPr>
        <w:t>Columbus, Ohio 43215</w:t>
      </w:r>
    </w:p>
    <w:p w:rsidR="00CC5CFA" w:rsidRPr="004B2E72" w:rsidP="00CC5CFA" w14:paraId="38FA5EDC" w14:textId="77777777">
      <w:pPr>
        <w:autoSpaceDE w:val="0"/>
        <w:autoSpaceDN w:val="0"/>
        <w:adjustRightInd w:val="0"/>
        <w:ind w:left="3600" w:firstLine="720"/>
        <w:rPr>
          <w:szCs w:val="24"/>
        </w:rPr>
      </w:pPr>
      <w:r w:rsidRPr="004B2E72">
        <w:rPr>
          <w:szCs w:val="24"/>
        </w:rPr>
        <w:t>Telephone [Michael]: (614) 466-1291</w:t>
      </w:r>
    </w:p>
    <w:p w:rsidR="00CC5CFA" w:rsidRPr="004B2E72" w:rsidP="00CC5CFA" w14:paraId="7815FE80" w14:textId="29205868">
      <w:pPr>
        <w:autoSpaceDE w:val="0"/>
        <w:autoSpaceDN w:val="0"/>
        <w:adjustRightInd w:val="0"/>
        <w:ind w:left="4320"/>
        <w:rPr>
          <w:rStyle w:val="Hyperlink"/>
          <w:szCs w:val="24"/>
        </w:rPr>
      </w:pPr>
      <w:r w:rsidRPr="004B2E72">
        <w:rPr>
          <w:szCs w:val="24"/>
        </w:rPr>
        <w:t>Telephone [Botschner]: (614) 466-9575</w:t>
      </w:r>
      <w:r w:rsidRPr="004B2E72">
        <w:rPr>
          <w:szCs w:val="24"/>
        </w:rPr>
        <w:br/>
      </w:r>
      <w:hyperlink r:id="rId6" w:history="1">
        <w:r w:rsidRPr="00DD317D" w:rsidR="004B5B6F">
          <w:rPr>
            <w:rStyle w:val="Hyperlink"/>
            <w:szCs w:val="24"/>
          </w:rPr>
          <w:t>william.michael@occ.ohio.gov</w:t>
        </w:r>
      </w:hyperlink>
      <w:r w:rsidRPr="004B2E72">
        <w:rPr>
          <w:color w:val="0000FF"/>
          <w:szCs w:val="24"/>
        </w:rPr>
        <w:br/>
      </w:r>
      <w:r w:rsidRPr="004B2E72">
        <w:rPr>
          <w:rStyle w:val="Hyperlink"/>
          <w:szCs w:val="24"/>
        </w:rPr>
        <w:t>amy.botschner.obrien@occ.ohio.gov</w:t>
      </w:r>
    </w:p>
    <w:p w:rsidR="00565ACF" w:rsidRPr="004B2E72" w:rsidP="00B55882" w14:paraId="0C87B504" w14:textId="61BE536E">
      <w:pPr>
        <w:rPr>
          <w:szCs w:val="24"/>
        </w:rPr>
      </w:pPr>
      <w:r w:rsidRPr="004B2E72">
        <w:rPr>
          <w:szCs w:val="24"/>
        </w:rPr>
        <w:tab/>
      </w:r>
      <w:r w:rsidRPr="004B2E72">
        <w:rPr>
          <w:szCs w:val="24"/>
        </w:rPr>
        <w:tab/>
      </w:r>
      <w:r w:rsidRPr="004B2E72">
        <w:rPr>
          <w:szCs w:val="24"/>
        </w:rPr>
        <w:tab/>
      </w:r>
      <w:r w:rsidRPr="004B2E72">
        <w:rPr>
          <w:szCs w:val="24"/>
        </w:rPr>
        <w:tab/>
      </w:r>
      <w:r w:rsidRPr="004B2E72">
        <w:rPr>
          <w:szCs w:val="24"/>
        </w:rPr>
        <w:tab/>
      </w:r>
      <w:r w:rsidRPr="004B2E72">
        <w:rPr>
          <w:szCs w:val="24"/>
        </w:rPr>
        <w:tab/>
        <w:t>(willing to accept service by e-mail)</w:t>
      </w:r>
    </w:p>
    <w:p w:rsidR="00E1100F" w:rsidRPr="004B2E72" w:rsidP="00D805DF" w14:paraId="4D380610" w14:textId="77777777">
      <w:pPr>
        <w:ind w:left="2160" w:firstLine="720"/>
        <w:rPr>
          <w:b/>
          <w:bCs/>
          <w:szCs w:val="24"/>
          <w:u w:val="single"/>
        </w:rPr>
        <w:sectPr w:rsidSect="003546B3">
          <w:footerReference w:type="default" r:id="rId9"/>
          <w:pgSz w:w="12240" w:h="15840"/>
          <w:pgMar w:top="1440" w:right="1440" w:bottom="1440" w:left="1440" w:header="720" w:footer="720" w:gutter="0"/>
          <w:pgNumType w:start="1"/>
          <w:cols w:space="720"/>
          <w:docGrid w:linePitch="360"/>
        </w:sectPr>
      </w:pPr>
    </w:p>
    <w:p w:rsidR="00BA6EC5" w:rsidRPr="004B2E72" w:rsidP="00D805DF" w14:paraId="794D62B5" w14:textId="77777777">
      <w:pPr>
        <w:ind w:left="2160" w:firstLine="720"/>
        <w:rPr>
          <w:b/>
          <w:bCs/>
          <w:szCs w:val="24"/>
          <w:u w:val="single"/>
        </w:rPr>
      </w:pPr>
      <w:r w:rsidRPr="004B2E72">
        <w:rPr>
          <w:b/>
          <w:bCs/>
          <w:szCs w:val="24"/>
          <w:u w:val="single"/>
        </w:rPr>
        <w:t>CERTIFICATE OF SERVICE</w:t>
      </w:r>
    </w:p>
    <w:p w:rsidR="00BA6EC5" w:rsidRPr="004B2E72" w14:paraId="28D0C439" w14:textId="77777777">
      <w:pPr>
        <w:pStyle w:val="EndnoteText"/>
        <w:widowControl/>
        <w:tabs>
          <w:tab w:val="left" w:pos="-720"/>
        </w:tabs>
        <w:suppressAutoHyphens/>
        <w:rPr>
          <w:rFonts w:ascii="Times New Roman" w:hAnsi="Times New Roman"/>
          <w:spacing w:val="-3"/>
          <w:szCs w:val="24"/>
        </w:rPr>
      </w:pPr>
    </w:p>
    <w:p w:rsidR="00BA6EC5" w:rsidRPr="004B2E72" w:rsidP="00151D11" w14:paraId="6C048BF5" w14:textId="2BE1879A">
      <w:pPr>
        <w:tabs>
          <w:tab w:val="left" w:pos="-720"/>
        </w:tabs>
        <w:suppressAutoHyphens/>
        <w:spacing w:line="480" w:lineRule="auto"/>
        <w:rPr>
          <w:szCs w:val="24"/>
        </w:rPr>
      </w:pPr>
      <w:r>
        <w:rPr>
          <w:szCs w:val="24"/>
        </w:rPr>
        <w:tab/>
      </w:r>
      <w:r w:rsidRPr="004B2E72" w:rsidR="003F1777">
        <w:rPr>
          <w:szCs w:val="24"/>
        </w:rPr>
        <w:t xml:space="preserve">It is hereby certified that a true copy of the foregoing </w:t>
      </w:r>
      <w:r w:rsidRPr="00151D11">
        <w:rPr>
          <w:bCs/>
          <w:spacing w:val="-3"/>
          <w:szCs w:val="24"/>
        </w:rPr>
        <w:t>Reply To Duke’s Comments On The P</w:t>
      </w:r>
      <w:r>
        <w:rPr>
          <w:bCs/>
          <w:spacing w:val="-3"/>
          <w:szCs w:val="24"/>
        </w:rPr>
        <w:t>UCO</w:t>
      </w:r>
      <w:r w:rsidRPr="00151D11">
        <w:rPr>
          <w:bCs/>
          <w:spacing w:val="-3"/>
          <w:szCs w:val="24"/>
        </w:rPr>
        <w:t xml:space="preserve"> Staff Report Regarding Charges To Clean Up Defunct Manufactured Gas Plants </w:t>
      </w:r>
      <w:r w:rsidRPr="004B2E72" w:rsidR="003F1777">
        <w:rPr>
          <w:szCs w:val="24"/>
        </w:rPr>
        <w:t xml:space="preserve">was served by electronic transmission upon the parties below this </w:t>
      </w:r>
      <w:r w:rsidR="004B0585">
        <w:rPr>
          <w:szCs w:val="24"/>
        </w:rPr>
        <w:t>9th</w:t>
      </w:r>
      <w:r w:rsidRPr="004B2E72" w:rsidR="003F1777">
        <w:rPr>
          <w:szCs w:val="24"/>
        </w:rPr>
        <w:t xml:space="preserve"> day of </w:t>
      </w:r>
      <w:r w:rsidR="00AF16F6">
        <w:rPr>
          <w:szCs w:val="24"/>
        </w:rPr>
        <w:t>November</w:t>
      </w:r>
      <w:r w:rsidRPr="004B2E72" w:rsidR="00C3373A">
        <w:rPr>
          <w:szCs w:val="24"/>
        </w:rPr>
        <w:t xml:space="preserve"> 2020</w:t>
      </w:r>
      <w:r w:rsidRPr="004B2E72" w:rsidR="003F1777">
        <w:rPr>
          <w:szCs w:val="24"/>
        </w:rPr>
        <w:t>.</w:t>
      </w:r>
    </w:p>
    <w:p w:rsidR="00BA6EC5" w:rsidRPr="004B2E72" w14:paraId="057A1A43" w14:textId="77777777">
      <w:pPr>
        <w:pStyle w:val="EndnoteText"/>
        <w:widowControl/>
        <w:rPr>
          <w:rFonts w:ascii="Times New Roman" w:hAnsi="Times New Roman"/>
          <w:snapToGrid/>
          <w:szCs w:val="24"/>
        </w:rPr>
      </w:pPr>
    </w:p>
    <w:p w:rsidR="00BA6EC5" w:rsidRPr="004B2E72" w14:paraId="384E3151" w14:textId="6D9DAB2C">
      <w:pPr>
        <w:pStyle w:val="EndnoteText"/>
        <w:widowControl/>
        <w:rPr>
          <w:rFonts w:ascii="Times New Roman" w:hAnsi="Times New Roman"/>
          <w:snapToGrid/>
          <w:szCs w:val="24"/>
        </w:rPr>
      </w:pPr>
      <w:r w:rsidRPr="004B2E72">
        <w:rPr>
          <w:rFonts w:ascii="Times New Roman" w:hAnsi="Times New Roman"/>
          <w:snapToGrid/>
          <w:szCs w:val="24"/>
        </w:rPr>
        <w:tab/>
      </w:r>
      <w:r w:rsidRPr="004B2E72">
        <w:rPr>
          <w:rFonts w:ascii="Times New Roman" w:hAnsi="Times New Roman"/>
          <w:snapToGrid/>
          <w:szCs w:val="24"/>
        </w:rPr>
        <w:tab/>
      </w:r>
      <w:r w:rsidRPr="004B2E72">
        <w:rPr>
          <w:rFonts w:ascii="Times New Roman" w:hAnsi="Times New Roman"/>
          <w:snapToGrid/>
          <w:szCs w:val="24"/>
        </w:rPr>
        <w:tab/>
      </w:r>
      <w:r w:rsidRPr="004B2E72">
        <w:rPr>
          <w:rFonts w:ascii="Times New Roman" w:hAnsi="Times New Roman"/>
          <w:snapToGrid/>
          <w:szCs w:val="24"/>
        </w:rPr>
        <w:tab/>
      </w:r>
      <w:r w:rsidRPr="004B2E72">
        <w:rPr>
          <w:rFonts w:ascii="Times New Roman" w:hAnsi="Times New Roman"/>
          <w:snapToGrid/>
          <w:szCs w:val="24"/>
        </w:rPr>
        <w:tab/>
      </w:r>
      <w:r w:rsidRPr="004B2E72">
        <w:rPr>
          <w:rFonts w:ascii="Times New Roman" w:hAnsi="Times New Roman"/>
          <w:snapToGrid/>
          <w:szCs w:val="24"/>
        </w:rPr>
        <w:tab/>
      </w:r>
      <w:r w:rsidRPr="004B2E72">
        <w:rPr>
          <w:rFonts w:ascii="Times New Roman" w:hAnsi="Times New Roman"/>
          <w:i/>
          <w:snapToGrid/>
          <w:szCs w:val="24"/>
          <w:u w:val="single"/>
        </w:rPr>
        <w:t xml:space="preserve">/s/ </w:t>
      </w:r>
      <w:r w:rsidR="00E8468E">
        <w:rPr>
          <w:rFonts w:ascii="Times New Roman" w:hAnsi="Times New Roman"/>
          <w:i/>
          <w:snapToGrid/>
          <w:szCs w:val="24"/>
          <w:u w:val="single"/>
        </w:rPr>
        <w:t xml:space="preserve">William </w:t>
      </w:r>
      <w:r w:rsidR="004B5B6F">
        <w:rPr>
          <w:rFonts w:ascii="Times New Roman" w:hAnsi="Times New Roman"/>
          <w:i/>
          <w:snapToGrid/>
          <w:szCs w:val="24"/>
          <w:u w:val="single"/>
        </w:rPr>
        <w:t xml:space="preserve">J. </w:t>
      </w:r>
      <w:r w:rsidR="00E8468E">
        <w:rPr>
          <w:rFonts w:ascii="Times New Roman" w:hAnsi="Times New Roman"/>
          <w:i/>
          <w:snapToGrid/>
          <w:szCs w:val="24"/>
          <w:u w:val="single"/>
        </w:rPr>
        <w:t>Michael</w:t>
      </w:r>
      <w:r w:rsidRPr="004B2E72">
        <w:rPr>
          <w:rFonts w:ascii="Times New Roman" w:hAnsi="Times New Roman"/>
          <w:i/>
          <w:snapToGrid/>
          <w:szCs w:val="24"/>
          <w:u w:val="single"/>
        </w:rPr>
        <w:tab/>
      </w:r>
    </w:p>
    <w:p w:rsidR="00BA6EC5" w:rsidRPr="004B2E72" w14:paraId="2AC6B403" w14:textId="30916B9F">
      <w:pPr>
        <w:pStyle w:val="EndnoteText"/>
        <w:widowControl/>
        <w:rPr>
          <w:rFonts w:ascii="Times New Roman" w:hAnsi="Times New Roman"/>
          <w:snapToGrid/>
          <w:szCs w:val="24"/>
        </w:rPr>
      </w:pPr>
      <w:r w:rsidRPr="004B2E72">
        <w:rPr>
          <w:rFonts w:ascii="Times New Roman" w:hAnsi="Times New Roman"/>
          <w:snapToGrid/>
          <w:szCs w:val="24"/>
        </w:rPr>
        <w:tab/>
      </w:r>
      <w:r w:rsidRPr="004B2E72">
        <w:rPr>
          <w:rFonts w:ascii="Times New Roman" w:hAnsi="Times New Roman"/>
          <w:snapToGrid/>
          <w:szCs w:val="24"/>
        </w:rPr>
        <w:tab/>
      </w:r>
      <w:r w:rsidRPr="004B2E72">
        <w:rPr>
          <w:rFonts w:ascii="Times New Roman" w:hAnsi="Times New Roman"/>
          <w:snapToGrid/>
          <w:szCs w:val="24"/>
        </w:rPr>
        <w:tab/>
      </w:r>
      <w:r w:rsidRPr="004B2E72">
        <w:rPr>
          <w:rFonts w:ascii="Times New Roman" w:hAnsi="Times New Roman"/>
          <w:snapToGrid/>
          <w:szCs w:val="24"/>
        </w:rPr>
        <w:tab/>
      </w:r>
      <w:r w:rsidRPr="004B2E72">
        <w:rPr>
          <w:rFonts w:ascii="Times New Roman" w:hAnsi="Times New Roman"/>
          <w:snapToGrid/>
          <w:szCs w:val="24"/>
        </w:rPr>
        <w:tab/>
      </w:r>
      <w:r w:rsidRPr="004B2E72">
        <w:rPr>
          <w:rFonts w:ascii="Times New Roman" w:hAnsi="Times New Roman"/>
          <w:snapToGrid/>
          <w:szCs w:val="24"/>
        </w:rPr>
        <w:tab/>
      </w:r>
      <w:r w:rsidR="00E8468E">
        <w:rPr>
          <w:rFonts w:ascii="Times New Roman" w:hAnsi="Times New Roman"/>
          <w:snapToGrid/>
          <w:szCs w:val="24"/>
        </w:rPr>
        <w:t xml:space="preserve">William </w:t>
      </w:r>
      <w:r w:rsidR="004B5B6F">
        <w:rPr>
          <w:rFonts w:ascii="Times New Roman" w:hAnsi="Times New Roman"/>
          <w:snapToGrid/>
          <w:szCs w:val="24"/>
        </w:rPr>
        <w:t xml:space="preserve">J. </w:t>
      </w:r>
      <w:r w:rsidR="00E8468E">
        <w:rPr>
          <w:rFonts w:ascii="Times New Roman" w:hAnsi="Times New Roman"/>
          <w:snapToGrid/>
          <w:szCs w:val="24"/>
        </w:rPr>
        <w:t>Michael</w:t>
      </w:r>
    </w:p>
    <w:p w:rsidR="00BA6EC5" w:rsidRPr="004B2E72" w14:paraId="23F4AAC9" w14:textId="77777777">
      <w:pPr>
        <w:pStyle w:val="EndnoteText"/>
        <w:widowControl/>
        <w:rPr>
          <w:rFonts w:ascii="Times New Roman" w:hAnsi="Times New Roman"/>
          <w:snapToGrid/>
          <w:szCs w:val="24"/>
        </w:rPr>
      </w:pPr>
      <w:r w:rsidRPr="004B2E72">
        <w:rPr>
          <w:rFonts w:ascii="Times New Roman" w:hAnsi="Times New Roman"/>
          <w:snapToGrid/>
          <w:szCs w:val="24"/>
        </w:rPr>
        <w:tab/>
      </w:r>
      <w:r w:rsidRPr="004B2E72">
        <w:rPr>
          <w:rFonts w:ascii="Times New Roman" w:hAnsi="Times New Roman"/>
          <w:snapToGrid/>
          <w:szCs w:val="24"/>
        </w:rPr>
        <w:tab/>
      </w:r>
      <w:r w:rsidRPr="004B2E72">
        <w:rPr>
          <w:rFonts w:ascii="Times New Roman" w:hAnsi="Times New Roman"/>
          <w:snapToGrid/>
          <w:szCs w:val="24"/>
        </w:rPr>
        <w:tab/>
      </w:r>
      <w:r w:rsidRPr="004B2E72">
        <w:rPr>
          <w:rFonts w:ascii="Times New Roman" w:hAnsi="Times New Roman"/>
          <w:snapToGrid/>
          <w:szCs w:val="24"/>
        </w:rPr>
        <w:tab/>
      </w:r>
      <w:r w:rsidRPr="004B2E72">
        <w:rPr>
          <w:rFonts w:ascii="Times New Roman" w:hAnsi="Times New Roman"/>
          <w:snapToGrid/>
          <w:szCs w:val="24"/>
        </w:rPr>
        <w:tab/>
      </w:r>
      <w:r w:rsidRPr="004B2E72">
        <w:rPr>
          <w:rFonts w:ascii="Times New Roman" w:hAnsi="Times New Roman"/>
          <w:snapToGrid/>
          <w:szCs w:val="24"/>
        </w:rPr>
        <w:tab/>
        <w:t>Assistant Consumers’ Counsel</w:t>
      </w:r>
    </w:p>
    <w:p w:rsidR="00BA6EC5" w:rsidRPr="004B2E72" w14:paraId="7C48B6BC" w14:textId="77777777">
      <w:pPr>
        <w:pStyle w:val="EndnoteText"/>
        <w:widowControl/>
        <w:rPr>
          <w:rFonts w:ascii="Times New Roman" w:hAnsi="Times New Roman"/>
          <w:snapToGrid/>
          <w:szCs w:val="24"/>
        </w:rPr>
      </w:pPr>
    </w:p>
    <w:p w:rsidR="00BA6EC5" w:rsidRPr="004B2E72" w14:paraId="0C9742B6" w14:textId="77777777">
      <w:pPr>
        <w:pStyle w:val="EndnoteText"/>
        <w:widowControl/>
        <w:jc w:val="center"/>
        <w:rPr>
          <w:rFonts w:ascii="Times New Roman" w:hAnsi="Times New Roman"/>
          <w:b/>
          <w:bCs/>
          <w:snapToGrid/>
          <w:szCs w:val="24"/>
        </w:rPr>
      </w:pPr>
    </w:p>
    <w:p w:rsidR="00B438EA" w:rsidRPr="004B2E72" w:rsidP="00B438EA" w14:paraId="21E6EFB3" w14:textId="77777777">
      <w:pPr>
        <w:pStyle w:val="CommentText"/>
        <w:rPr>
          <w:sz w:val="24"/>
          <w:szCs w:val="24"/>
        </w:rPr>
      </w:pPr>
      <w:bookmarkStart w:id="35" w:name="_Hlk22544303"/>
      <w:r w:rsidRPr="004B2E72">
        <w:rPr>
          <w:sz w:val="24"/>
          <w:szCs w:val="24"/>
        </w:rPr>
        <w:t>The PUCO’s e-filing system will electronically serve notice of the filing of this document on the following parties:</w:t>
      </w:r>
    </w:p>
    <w:p w:rsidR="00B438EA" w:rsidRPr="004B2E72" w:rsidP="00B438EA" w14:paraId="3386669E" w14:textId="77777777">
      <w:pPr>
        <w:pStyle w:val="EndnoteText"/>
        <w:widowControl/>
        <w:rPr>
          <w:rFonts w:ascii="Times New Roman" w:hAnsi="Times New Roman"/>
          <w:snapToGrid/>
          <w:szCs w:val="24"/>
        </w:rPr>
      </w:pPr>
    </w:p>
    <w:p w:rsidR="00B438EA" w:rsidRPr="004B2E72" w:rsidP="00B438EA" w14:paraId="28C67307" w14:textId="77777777">
      <w:pPr>
        <w:pStyle w:val="EndnoteText"/>
        <w:widowControl/>
        <w:jc w:val="center"/>
        <w:rPr>
          <w:rFonts w:ascii="Times New Roman" w:hAnsi="Times New Roman"/>
          <w:b/>
          <w:bCs/>
          <w:snapToGrid/>
          <w:szCs w:val="24"/>
        </w:rPr>
      </w:pPr>
    </w:p>
    <w:p w:rsidR="00B438EA" w:rsidRPr="004B2E72" w:rsidP="00B438EA" w14:paraId="6037969A" w14:textId="77777777">
      <w:pPr>
        <w:pStyle w:val="CommentText"/>
        <w:jc w:val="center"/>
        <w:rPr>
          <w:b/>
          <w:bCs/>
          <w:sz w:val="24"/>
          <w:szCs w:val="24"/>
          <w:u w:val="single"/>
        </w:rPr>
      </w:pPr>
      <w:r w:rsidRPr="004B2E72">
        <w:rPr>
          <w:b/>
          <w:bCs/>
          <w:sz w:val="24"/>
          <w:szCs w:val="24"/>
          <w:u w:val="single"/>
        </w:rPr>
        <w:t>SERVICE LIST</w:t>
      </w:r>
    </w:p>
    <w:bookmarkEnd w:id="35"/>
    <w:p w:rsidR="00E26BB9" w:rsidRPr="00E26BB9" w:rsidP="00E26BB9" w14:paraId="46E12DA5" w14:textId="77777777">
      <w:pPr>
        <w:jc w:val="center"/>
        <w:rPr>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6"/>
        <w:gridCol w:w="4315"/>
      </w:tblGrid>
      <w:tr w14:paraId="0DAE7B31" w14:textId="77777777" w:rsidTr="00C6198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E26BB9" w:rsidRPr="00A575BD" w:rsidP="00E26BB9" w14:paraId="5F6C4878" w14:textId="77777777">
            <w:pPr>
              <w:rPr>
                <w:color w:val="0000FF"/>
                <w:szCs w:val="24"/>
                <w:u w:val="single"/>
              </w:rPr>
            </w:pPr>
            <w:r>
              <w:rPr>
                <w:color w:val="0000FF"/>
                <w:szCs w:val="24"/>
                <w:u w:val="single"/>
              </w:rPr>
              <w:t>Werner.margard@ohioattorneygeneral.gov</w:t>
            </w:r>
          </w:p>
          <w:p w:rsidR="00E26BB9" w:rsidRPr="00A575BD" w:rsidP="00E26BB9" w14:paraId="3033BD28" w14:textId="437EE414">
            <w:pPr>
              <w:rPr>
                <w:color w:val="0000FF"/>
                <w:szCs w:val="24"/>
                <w:u w:val="single"/>
              </w:rPr>
            </w:pPr>
            <w:r>
              <w:rPr>
                <w:color w:val="0000FF"/>
                <w:szCs w:val="24"/>
                <w:u w:val="single"/>
              </w:rPr>
              <w:t>Kyle.kern@ohioattorneygeneral.gov</w:t>
            </w:r>
          </w:p>
          <w:p w:rsidR="00E26BB9" w:rsidRPr="00E26BB9" w:rsidP="00E26BB9" w14:paraId="063DA896" w14:textId="77777777">
            <w:pPr>
              <w:jc w:val="both"/>
            </w:pPr>
          </w:p>
          <w:p w:rsidR="00E26BB9" w:rsidRPr="00E26BB9" w:rsidP="00E26BB9" w14:paraId="067940C3" w14:textId="77777777">
            <w:pPr>
              <w:jc w:val="both"/>
            </w:pPr>
          </w:p>
        </w:tc>
        <w:tc>
          <w:tcPr>
            <w:tcW w:w="4315" w:type="dxa"/>
          </w:tcPr>
          <w:p w:rsidR="00E26BB9" w:rsidRPr="00E26BB9" w:rsidP="00E26BB9" w14:paraId="74B62A24" w14:textId="77777777">
            <w:pPr>
              <w:jc w:val="both"/>
              <w:rPr>
                <w:color w:val="0000FF"/>
                <w:u w:val="single"/>
              </w:rPr>
            </w:pPr>
            <w:r w:rsidRPr="00E26BB9">
              <w:rPr>
                <w:color w:val="0000FF"/>
                <w:u w:val="single"/>
              </w:rPr>
              <w:t>rocco.dascenzo@duke-energy.com</w:t>
            </w:r>
          </w:p>
          <w:p w:rsidR="00E26BB9" w:rsidRPr="00E26BB9" w:rsidP="00E26BB9" w14:paraId="0B7B94DA" w14:textId="77777777">
            <w:pPr>
              <w:jc w:val="both"/>
              <w:rPr>
                <w:color w:val="0000FF"/>
                <w:u w:val="single"/>
              </w:rPr>
            </w:pPr>
            <w:r w:rsidRPr="00E26BB9">
              <w:rPr>
                <w:color w:val="0000FF"/>
                <w:u w:val="single"/>
              </w:rPr>
              <w:t>larisa.vaysman@duke-energy.com</w:t>
            </w:r>
          </w:p>
          <w:p w:rsidR="00E26BB9" w:rsidRPr="00E26BB9" w:rsidP="00E26BB9" w14:paraId="1F0A26B8" w14:textId="77777777">
            <w:pPr>
              <w:jc w:val="both"/>
              <w:rPr>
                <w:color w:val="0000FF"/>
                <w:u w:val="single"/>
              </w:rPr>
            </w:pPr>
            <w:r w:rsidRPr="00E26BB9">
              <w:rPr>
                <w:color w:val="0000FF"/>
                <w:u w:val="single"/>
              </w:rPr>
              <w:t>jeanne.kingery@duke-energy.com</w:t>
            </w:r>
          </w:p>
          <w:p w:rsidR="00E26BB9" w:rsidRPr="00E26BB9" w:rsidP="00E26BB9" w14:paraId="637C2B2C" w14:textId="77777777">
            <w:pPr>
              <w:jc w:val="both"/>
            </w:pPr>
            <w:hyperlink r:id="rId10" w:history="1">
              <w:r w:rsidRPr="00E26BB9" w:rsidR="00F25F86">
                <w:rPr>
                  <w:color w:val="0000FF"/>
                  <w:u w:val="single"/>
                </w:rPr>
                <w:t>mkurtz@bkllawfirm.com</w:t>
              </w:r>
            </w:hyperlink>
          </w:p>
          <w:p w:rsidR="00E26BB9" w:rsidRPr="00E26BB9" w:rsidP="00E26BB9" w14:paraId="2D911805" w14:textId="77777777">
            <w:pPr>
              <w:jc w:val="both"/>
              <w:rPr>
                <w:color w:val="0000FF"/>
                <w:u w:val="single"/>
              </w:rPr>
            </w:pPr>
            <w:hyperlink r:id="rId11" w:history="1">
              <w:r w:rsidRPr="00E26BB9" w:rsidR="00F25F86">
                <w:rPr>
                  <w:color w:val="0000FF"/>
                  <w:u w:val="single"/>
                </w:rPr>
                <w:t>kboehm@bkllawfirm.com</w:t>
              </w:r>
            </w:hyperlink>
          </w:p>
          <w:p w:rsidR="00E26BB9" w:rsidP="00E26BB9" w14:paraId="325333E9" w14:textId="2219DCC1">
            <w:pPr>
              <w:jc w:val="both"/>
              <w:rPr>
                <w:color w:val="0000FF"/>
                <w:u w:val="single"/>
              </w:rPr>
            </w:pPr>
            <w:hyperlink r:id="rId12" w:history="1">
              <w:r w:rsidRPr="00E26BB9" w:rsidR="00F25F86">
                <w:rPr>
                  <w:color w:val="0000FF"/>
                  <w:u w:val="single"/>
                </w:rPr>
                <w:t>jkylercohn@bkllawfirm.com</w:t>
              </w:r>
            </w:hyperlink>
          </w:p>
          <w:p w:rsidR="00935EDB" w:rsidRPr="00E26BB9" w:rsidP="00E26BB9" w14:paraId="5536AFB4" w14:textId="0179FA57">
            <w:pPr>
              <w:jc w:val="both"/>
            </w:pPr>
            <w:r>
              <w:rPr>
                <w:color w:val="0000FF"/>
                <w:u w:val="single"/>
              </w:rPr>
              <w:t>bojko@carpenterlipps.com</w:t>
            </w:r>
          </w:p>
          <w:p w:rsidR="00935EDB" w:rsidP="00E26BB9" w14:paraId="58A3981E" w14:textId="01FCE4CF">
            <w:pPr>
              <w:jc w:val="both"/>
            </w:pPr>
            <w:hyperlink r:id="rId13" w:history="1">
              <w:r w:rsidRPr="00FD14BC" w:rsidR="00F25F86">
                <w:rPr>
                  <w:rStyle w:val="Hyperlink"/>
                </w:rPr>
                <w:t>paul@carpenterlipps.com</w:t>
              </w:r>
            </w:hyperlink>
          </w:p>
          <w:p w:rsidR="00935EDB" w:rsidRPr="00E26BB9" w:rsidP="00E26BB9" w14:paraId="3CFB3F0C" w14:textId="781855E1">
            <w:pPr>
              <w:jc w:val="both"/>
            </w:pPr>
          </w:p>
        </w:tc>
      </w:tr>
    </w:tbl>
    <w:p w:rsidR="00F658D3" w:rsidRPr="004B2E72" w:rsidP="00B438EA" w14:paraId="52645D7F" w14:textId="77777777">
      <w:pPr>
        <w:pStyle w:val="CommentText"/>
        <w:jc w:val="center"/>
        <w:rPr>
          <w:b/>
          <w:bCs/>
          <w:sz w:val="24"/>
          <w:szCs w:val="24"/>
          <w:u w:val="single"/>
        </w:rPr>
      </w:pPr>
    </w:p>
    <w:sectPr w:rsidSect="003546B3">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296" w14:paraId="735ECC94" w14:textId="77777777">
    <w:pPr>
      <w:pStyle w:val="Footer"/>
      <w:jc w:val="center"/>
    </w:pPr>
  </w:p>
  <w:p w:rsidR="00CF3296" w:rsidRPr="007A324B" w14:paraId="16DB36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8102001"/>
      <w:docPartObj>
        <w:docPartGallery w:val="Page Numbers (Bottom of Page)"/>
        <w:docPartUnique/>
      </w:docPartObj>
    </w:sdtPr>
    <w:sdtEndPr>
      <w:rPr>
        <w:rFonts w:ascii="Times New Roman" w:hAnsi="Times New Roman" w:cs="Times New Roman"/>
        <w:noProof/>
      </w:rPr>
    </w:sdtEndPr>
    <w:sdtContent>
      <w:p w:rsidR="00CF3296" w:rsidRPr="00B2471F" w14:paraId="7C657491" w14:textId="3922189D">
        <w:pPr>
          <w:pStyle w:val="Footer"/>
          <w:jc w:val="center"/>
          <w:rPr>
            <w:rFonts w:ascii="Times New Roman" w:hAnsi="Times New Roman" w:cs="Times New Roman"/>
          </w:rPr>
        </w:pPr>
        <w:r w:rsidRPr="00B2471F">
          <w:rPr>
            <w:rFonts w:ascii="Times New Roman" w:hAnsi="Times New Roman" w:cs="Times New Roman"/>
          </w:rPr>
          <w:fldChar w:fldCharType="begin"/>
        </w:r>
        <w:r w:rsidRPr="00B2471F">
          <w:rPr>
            <w:rFonts w:ascii="Times New Roman" w:hAnsi="Times New Roman" w:cs="Times New Roman"/>
          </w:rPr>
          <w:instrText xml:space="preserve"> PAGE   \* MERGEFORMAT </w:instrText>
        </w:r>
        <w:r w:rsidRPr="00B2471F">
          <w:rPr>
            <w:rFonts w:ascii="Times New Roman" w:hAnsi="Times New Roman" w:cs="Times New Roman"/>
          </w:rPr>
          <w:fldChar w:fldCharType="separate"/>
        </w:r>
        <w:r w:rsidRPr="00B2471F">
          <w:rPr>
            <w:rFonts w:ascii="Times New Roman" w:hAnsi="Times New Roman" w:cs="Times New Roman"/>
            <w:noProof/>
          </w:rPr>
          <w:t>2</w:t>
        </w:r>
        <w:r w:rsidRPr="00B2471F">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87973510"/>
      <w:docPartObj>
        <w:docPartGallery w:val="Page Numbers (Bottom of Page)"/>
        <w:docPartUnique/>
      </w:docPartObj>
    </w:sdtPr>
    <w:sdtEndPr>
      <w:rPr>
        <w:rFonts w:ascii="Times New Roman" w:hAnsi="Times New Roman" w:cs="Times New Roman"/>
        <w:noProof/>
      </w:rPr>
    </w:sdtEndPr>
    <w:sdtContent>
      <w:p w:rsidR="00CF3296" w:rsidRPr="00B2471F" w14:paraId="693B9908" w14:textId="4CE5A162">
        <w:pPr>
          <w:pStyle w:val="Footer"/>
          <w:jc w:val="center"/>
          <w:rPr>
            <w:rFonts w:ascii="Times New Roman" w:hAnsi="Times New Roman" w:cs="Times New Roman"/>
          </w:rPr>
        </w:pPr>
        <w:r w:rsidRPr="00B2471F">
          <w:rPr>
            <w:rFonts w:ascii="Times New Roman" w:hAnsi="Times New Roman" w:cs="Times New Roman"/>
          </w:rPr>
          <w:fldChar w:fldCharType="begin"/>
        </w:r>
        <w:r w:rsidRPr="00B2471F">
          <w:rPr>
            <w:rFonts w:ascii="Times New Roman" w:hAnsi="Times New Roman" w:cs="Times New Roman"/>
          </w:rPr>
          <w:instrText xml:space="preserve"> PAGE   \* MERGEFORMAT </w:instrText>
        </w:r>
        <w:r w:rsidRPr="00B2471F">
          <w:rPr>
            <w:rFonts w:ascii="Times New Roman" w:hAnsi="Times New Roman" w:cs="Times New Roman"/>
          </w:rPr>
          <w:fldChar w:fldCharType="separate"/>
        </w:r>
        <w:r w:rsidRPr="00B2471F">
          <w:rPr>
            <w:rFonts w:ascii="Times New Roman" w:hAnsi="Times New Roman" w:cs="Times New Roman"/>
            <w:noProof/>
          </w:rPr>
          <w:t>2</w:t>
        </w:r>
        <w:r w:rsidRPr="00B2471F">
          <w:rPr>
            <w:rFonts w:ascii="Times New Roman" w:hAnsi="Times New Roman" w:cs="Times New Roman"/>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2514799"/>
      <w:docPartObj>
        <w:docPartGallery w:val="Page Numbers (Bottom of Page)"/>
        <w:docPartUnique/>
      </w:docPartObj>
    </w:sdtPr>
    <w:sdtEndPr>
      <w:rPr>
        <w:rFonts w:ascii="Times New Roman" w:hAnsi="Times New Roman" w:cs="Times New Roman"/>
        <w:noProof/>
      </w:rPr>
    </w:sdtEndPr>
    <w:sdtContent>
      <w:p w:rsidR="00CF3296" w:rsidRPr="001A5EC2" w14:paraId="51059E7A" w14:textId="77777777">
        <w:pPr>
          <w:pStyle w:val="Footer"/>
          <w:jc w:val="center"/>
          <w:rPr>
            <w:rFonts w:ascii="Times New Roman" w:hAnsi="Times New Roman" w:cs="Times New Roman"/>
          </w:rPr>
        </w:pPr>
        <w:r w:rsidRPr="001A5EC2">
          <w:rPr>
            <w:rFonts w:ascii="Times New Roman" w:hAnsi="Times New Roman" w:cs="Times New Roman"/>
          </w:rPr>
          <w:fldChar w:fldCharType="begin"/>
        </w:r>
        <w:r w:rsidRPr="001A5EC2">
          <w:rPr>
            <w:rFonts w:ascii="Times New Roman" w:hAnsi="Times New Roman" w:cs="Times New Roman"/>
          </w:rPr>
          <w:instrText xml:space="preserve"> PAGE   \* MERGEFORMAT </w:instrText>
        </w:r>
        <w:r w:rsidRPr="001A5EC2">
          <w:rPr>
            <w:rFonts w:ascii="Times New Roman" w:hAnsi="Times New Roman" w:cs="Times New Roman"/>
          </w:rPr>
          <w:fldChar w:fldCharType="separate"/>
        </w:r>
        <w:r>
          <w:rPr>
            <w:rFonts w:ascii="Times New Roman" w:hAnsi="Times New Roman" w:cs="Times New Roman"/>
            <w:noProof/>
          </w:rPr>
          <w:t>25</w:t>
        </w:r>
        <w:r w:rsidRPr="001A5EC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0D30" w14:paraId="19CD4E85" w14:textId="77777777">
      <w:r>
        <w:separator/>
      </w:r>
    </w:p>
  </w:footnote>
  <w:footnote w:type="continuationSeparator" w:id="1">
    <w:p w:rsidR="005A0D30" w14:paraId="57321BB5" w14:textId="77777777">
      <w:r>
        <w:continuationSeparator/>
      </w:r>
    </w:p>
  </w:footnote>
  <w:footnote w:id="2">
    <w:p w:rsidR="00CF3296" w:rsidRPr="001F3393" w:rsidP="001F3393" w14:paraId="0FCE938A" w14:textId="77777777">
      <w:pPr>
        <w:pStyle w:val="FootnoteText"/>
        <w:spacing w:after="120"/>
      </w:pPr>
      <w:r w:rsidRPr="001F3393">
        <w:rPr>
          <w:rStyle w:val="FootnoteReference"/>
        </w:rPr>
        <w:footnoteRef/>
      </w:r>
      <w:r w:rsidRPr="001F3393">
        <w:t xml:space="preserve"> Duke Comments at 9-12. </w:t>
      </w:r>
    </w:p>
  </w:footnote>
  <w:footnote w:id="3">
    <w:p w:rsidR="00CF3296" w:rsidRPr="001F3393" w:rsidP="001F3393" w14:paraId="02FECAB6" w14:textId="77777777">
      <w:pPr>
        <w:pStyle w:val="FootnoteText"/>
        <w:spacing w:after="120"/>
      </w:pPr>
      <w:r w:rsidRPr="001F3393">
        <w:rPr>
          <w:rStyle w:val="FootnoteReference"/>
        </w:rPr>
        <w:footnoteRef/>
      </w:r>
      <w:r w:rsidRPr="001F3393">
        <w:t xml:space="preserve"> Staff Report at 5 (July 23, 2020).</w:t>
      </w:r>
    </w:p>
  </w:footnote>
  <w:footnote w:id="4">
    <w:p w:rsidR="00CF3296" w:rsidRPr="001F3393" w:rsidP="001F3393" w14:paraId="03B356BA" w14:textId="77777777">
      <w:pPr>
        <w:pStyle w:val="FootnoteText"/>
        <w:spacing w:after="120"/>
      </w:pPr>
      <w:r w:rsidRPr="001F3393">
        <w:rPr>
          <w:rStyle w:val="FootnoteReference"/>
        </w:rPr>
        <w:footnoteRef/>
      </w:r>
      <w:r w:rsidRPr="001F3393">
        <w:t xml:space="preserve"> </w:t>
      </w:r>
      <w:r w:rsidRPr="001F3393">
        <w:rPr>
          <w:i/>
          <w:iCs/>
        </w:rPr>
        <w:t>Id.</w:t>
      </w:r>
    </w:p>
  </w:footnote>
  <w:footnote w:id="5">
    <w:p w:rsidR="00CF3296" w:rsidRPr="001F3393" w:rsidP="001F3393" w14:paraId="76CDE351" w14:textId="77777777">
      <w:pPr>
        <w:pStyle w:val="FootnoteText"/>
        <w:spacing w:after="120"/>
      </w:pPr>
      <w:r w:rsidRPr="001F3393">
        <w:rPr>
          <w:rStyle w:val="FootnoteReference"/>
        </w:rPr>
        <w:footnoteRef/>
      </w:r>
      <w:r w:rsidRPr="001F3393">
        <w:t xml:space="preserve"> </w:t>
      </w:r>
      <w:r w:rsidRPr="001F3393">
        <w:rPr>
          <w:i/>
          <w:iCs/>
        </w:rPr>
        <w:t>Id</w:t>
      </w:r>
      <w:r w:rsidRPr="001F3393">
        <w:t>. at 11-12.</w:t>
      </w:r>
    </w:p>
  </w:footnote>
  <w:footnote w:id="6">
    <w:p w:rsidR="00CF3296" w:rsidRPr="001F3393" w:rsidP="001F3393" w14:paraId="539684B6" w14:textId="77777777">
      <w:pPr>
        <w:pStyle w:val="FootnoteText"/>
        <w:spacing w:after="120"/>
      </w:pPr>
      <w:r w:rsidRPr="001F3393">
        <w:rPr>
          <w:rStyle w:val="FootnoteReference"/>
        </w:rPr>
        <w:footnoteRef/>
      </w:r>
      <w:r w:rsidRPr="001F3393">
        <w:t xml:space="preserve"> </w:t>
      </w:r>
      <w:r w:rsidRPr="001F3393">
        <w:rPr>
          <w:i/>
          <w:iCs/>
        </w:rPr>
        <w:t>Id.</w:t>
      </w:r>
    </w:p>
  </w:footnote>
  <w:footnote w:id="7">
    <w:p w:rsidR="00CF3296" w:rsidRPr="001F3393" w:rsidP="001F3393" w14:paraId="506E1A1A" w14:textId="77777777">
      <w:pPr>
        <w:pStyle w:val="FootnoteText"/>
        <w:spacing w:after="120"/>
      </w:pPr>
      <w:r w:rsidRPr="001F3393">
        <w:rPr>
          <w:rStyle w:val="FootnoteReference"/>
        </w:rPr>
        <w:footnoteRef/>
      </w:r>
      <w:r w:rsidRPr="001F3393">
        <w:t xml:space="preserve"> Case No. 12-1685-GA-AIR, Opinion &amp; Order at 53-54 (Nov. 13, 2013) (the “Rate Case Order”).</w:t>
      </w:r>
    </w:p>
  </w:footnote>
  <w:footnote w:id="8">
    <w:p w:rsidR="00CF3296" w:rsidRPr="001F3393" w:rsidP="001F3393" w14:paraId="2AEC2513" w14:textId="77777777">
      <w:pPr>
        <w:pStyle w:val="FootnoteText"/>
        <w:spacing w:after="120"/>
      </w:pPr>
      <w:r w:rsidRPr="001F3393">
        <w:rPr>
          <w:rStyle w:val="FootnoteReference"/>
        </w:rPr>
        <w:footnoteRef/>
      </w:r>
      <w:r w:rsidRPr="001F3393">
        <w:t xml:space="preserve"> Duke Comments at 9-10.</w:t>
      </w:r>
    </w:p>
  </w:footnote>
  <w:footnote w:id="9">
    <w:p w:rsidR="00CF3296" w:rsidRPr="001F3393" w:rsidP="001F3393" w14:paraId="40570446" w14:textId="77777777">
      <w:pPr>
        <w:pStyle w:val="FootnoteText"/>
        <w:spacing w:after="120"/>
      </w:pPr>
      <w:r w:rsidRPr="001F3393">
        <w:rPr>
          <w:rStyle w:val="FootnoteReference"/>
        </w:rPr>
        <w:footnoteRef/>
      </w:r>
      <w:r w:rsidRPr="001F3393">
        <w:t xml:space="preserve"> </w:t>
      </w:r>
      <w:r w:rsidRPr="001F3393">
        <w:rPr>
          <w:i/>
          <w:iCs/>
        </w:rPr>
        <w:t>Id.</w:t>
      </w:r>
    </w:p>
  </w:footnote>
  <w:footnote w:id="10">
    <w:p w:rsidR="00CF3296" w:rsidRPr="001F3393" w:rsidP="001F3393" w14:paraId="654BB803" w14:textId="77777777">
      <w:pPr>
        <w:pStyle w:val="FootnoteText"/>
        <w:spacing w:after="120"/>
      </w:pPr>
      <w:r w:rsidRPr="001F3393">
        <w:rPr>
          <w:rStyle w:val="FootnoteReference"/>
        </w:rPr>
        <w:footnoteRef/>
      </w:r>
      <w:r w:rsidRPr="001F3393">
        <w:t xml:space="preserve"> Rate Case Order at 58-59.</w:t>
      </w:r>
    </w:p>
  </w:footnote>
  <w:footnote w:id="11">
    <w:p w:rsidR="00CF3296" w:rsidRPr="001F3393" w:rsidP="001F3393" w14:paraId="24DF28FA" w14:textId="77777777">
      <w:pPr>
        <w:pStyle w:val="FootnoteText"/>
        <w:spacing w:after="120"/>
      </w:pPr>
      <w:r w:rsidRPr="001F3393">
        <w:rPr>
          <w:rStyle w:val="FootnoteReference"/>
        </w:rPr>
        <w:footnoteRef/>
      </w:r>
      <w:r w:rsidRPr="001F3393">
        <w:t xml:space="preserve"> </w:t>
      </w:r>
      <w:r w:rsidRPr="001F3393">
        <w:rPr>
          <w:i/>
          <w:iCs/>
        </w:rPr>
        <w:t>Id.</w:t>
      </w:r>
      <w:r w:rsidRPr="001F3393">
        <w:t xml:space="preserve"> at 58 (emphasis added).</w:t>
      </w:r>
    </w:p>
  </w:footnote>
  <w:footnote w:id="12">
    <w:p w:rsidR="00CF3296" w:rsidRPr="001F3393" w:rsidP="001F3393" w14:paraId="2033C927" w14:textId="77777777">
      <w:pPr>
        <w:pStyle w:val="FootnoteText"/>
        <w:spacing w:after="120"/>
      </w:pPr>
      <w:r w:rsidRPr="001F3393">
        <w:rPr>
          <w:rStyle w:val="FootnoteReference"/>
        </w:rPr>
        <w:footnoteRef/>
      </w:r>
      <w:r w:rsidRPr="001F3393">
        <w:t xml:space="preserve"> </w:t>
      </w:r>
      <w:r w:rsidRPr="001F3393">
        <w:rPr>
          <w:i/>
          <w:iCs/>
        </w:rPr>
        <w:t xml:space="preserve">Id. </w:t>
      </w:r>
      <w:r w:rsidRPr="001F3393">
        <w:t>at 59.</w:t>
      </w:r>
    </w:p>
  </w:footnote>
  <w:footnote w:id="13">
    <w:p w:rsidR="00CF3296" w:rsidRPr="001F3393" w:rsidP="001F3393" w14:paraId="7DB897D5" w14:textId="77777777">
      <w:pPr>
        <w:pStyle w:val="FootnoteText"/>
        <w:spacing w:after="120"/>
      </w:pPr>
      <w:r w:rsidRPr="001F3393">
        <w:rPr>
          <w:rStyle w:val="FootnoteReference"/>
        </w:rPr>
        <w:footnoteRef/>
      </w:r>
      <w:r w:rsidRPr="001F3393">
        <w:t xml:space="preserve"> </w:t>
      </w:r>
      <w:r w:rsidRPr="001F3393">
        <w:rPr>
          <w:i/>
          <w:iCs/>
        </w:rPr>
        <w:t xml:space="preserve">Id. </w:t>
      </w:r>
      <w:r w:rsidRPr="001F3393">
        <w:t>at 54.</w:t>
      </w:r>
    </w:p>
  </w:footnote>
  <w:footnote w:id="14">
    <w:p w:rsidR="00CF3296" w:rsidRPr="001F3393" w:rsidP="001F3393" w14:paraId="4D0AA514" w14:textId="77777777">
      <w:pPr>
        <w:pStyle w:val="FootnoteText"/>
        <w:spacing w:after="120"/>
      </w:pPr>
      <w:r w:rsidRPr="001F3393">
        <w:rPr>
          <w:rStyle w:val="FootnoteReference"/>
        </w:rPr>
        <w:footnoteRef/>
      </w:r>
      <w:r w:rsidRPr="001F3393">
        <w:t xml:space="preserve"> </w:t>
      </w:r>
      <w:r w:rsidRPr="001F3393">
        <w:rPr>
          <w:i/>
          <w:iCs/>
        </w:rPr>
        <w:t>See</w:t>
      </w:r>
      <w:r w:rsidRPr="001F3393">
        <w:t xml:space="preserve"> Case No. 19-174-GA-RDR, Tr. Vol. I at 193 (Bachand) (Duke not using the WOW parcel for distribution operations); </w:t>
      </w:r>
      <w:r w:rsidRPr="001F3393">
        <w:rPr>
          <w:i/>
          <w:iCs/>
        </w:rPr>
        <w:t>see id.</w:t>
      </w:r>
      <w:r w:rsidRPr="001F3393">
        <w:t xml:space="preserve"> Tr. Vol. I at 166 (Bednarcik) (Ohio River not used to render public utility service to customers).</w:t>
      </w:r>
    </w:p>
  </w:footnote>
  <w:footnote w:id="15">
    <w:p w:rsidR="00CF3296" w:rsidRPr="001F3393" w:rsidP="001F3393" w14:paraId="2C6BCA08" w14:textId="77777777">
      <w:pPr>
        <w:pStyle w:val="FootnoteText"/>
        <w:spacing w:after="120"/>
      </w:pPr>
      <w:r w:rsidRPr="001F3393">
        <w:rPr>
          <w:rStyle w:val="FootnoteReference"/>
        </w:rPr>
        <w:footnoteRef/>
      </w:r>
      <w:r w:rsidRPr="001F3393">
        <w:t xml:space="preserve"> Rate Case Order at 60 (emphasis added).</w:t>
      </w:r>
    </w:p>
  </w:footnote>
  <w:footnote w:id="16">
    <w:p w:rsidR="00CF3296" w:rsidRPr="001F3393" w:rsidP="001F3393" w14:paraId="3E325F9C" w14:textId="77777777">
      <w:pPr>
        <w:pStyle w:val="FootnoteText"/>
        <w:spacing w:after="120"/>
      </w:pPr>
      <w:r w:rsidRPr="001F3393">
        <w:rPr>
          <w:rStyle w:val="FootnoteReference"/>
        </w:rPr>
        <w:footnoteRef/>
      </w:r>
      <w:r w:rsidRPr="001F3393">
        <w:t xml:space="preserve"> Duke Comments at 11.</w:t>
      </w:r>
    </w:p>
  </w:footnote>
  <w:footnote w:id="17">
    <w:p w:rsidR="00CF3296" w:rsidRPr="001F3393" w:rsidP="001F3393" w14:paraId="3F21F5ED" w14:textId="77777777">
      <w:pPr>
        <w:pStyle w:val="FootnoteText"/>
        <w:spacing w:after="120"/>
      </w:pPr>
      <w:r w:rsidRPr="001F3393">
        <w:rPr>
          <w:rStyle w:val="FootnoteReference"/>
        </w:rPr>
        <w:footnoteRef/>
      </w:r>
      <w:r w:rsidRPr="001F3393">
        <w:t xml:space="preserve"> </w:t>
      </w:r>
      <w:r w:rsidRPr="001F3393">
        <w:rPr>
          <w:i/>
          <w:iCs/>
        </w:rPr>
        <w:t>Id.</w:t>
      </w:r>
    </w:p>
  </w:footnote>
  <w:footnote w:id="18">
    <w:p w:rsidR="00CF3296" w:rsidRPr="001F3393" w:rsidP="001F3393" w14:paraId="14E45460" w14:textId="77777777">
      <w:pPr>
        <w:pStyle w:val="FootnoteText"/>
        <w:spacing w:after="120"/>
      </w:pPr>
      <w:r w:rsidRPr="001F3393">
        <w:rPr>
          <w:rStyle w:val="FootnoteReference"/>
        </w:rPr>
        <w:footnoteRef/>
      </w:r>
      <w:r w:rsidRPr="001F3393">
        <w:t xml:space="preserve"> </w:t>
      </w:r>
      <w:r w:rsidRPr="001F3393">
        <w:rPr>
          <w:i/>
          <w:iCs/>
        </w:rPr>
        <w:t>Id.</w:t>
      </w:r>
    </w:p>
  </w:footnote>
  <w:footnote w:id="19">
    <w:p w:rsidR="00CF3296" w:rsidRPr="001F3393" w:rsidP="001F3393" w14:paraId="1685A119" w14:textId="77777777">
      <w:pPr>
        <w:pStyle w:val="FootnoteText"/>
        <w:spacing w:after="120"/>
      </w:pPr>
      <w:r w:rsidRPr="001F3393">
        <w:rPr>
          <w:rStyle w:val="FootnoteReference"/>
        </w:rPr>
        <w:footnoteRef/>
      </w:r>
      <w:r w:rsidRPr="001F3393">
        <w:t xml:space="preserve"> Rate Case Order at 60.</w:t>
      </w:r>
    </w:p>
  </w:footnote>
  <w:footnote w:id="20">
    <w:p w:rsidR="00CF3296" w:rsidRPr="001F3393" w:rsidP="001F3393" w14:paraId="579669B2" w14:textId="77777777">
      <w:pPr>
        <w:pStyle w:val="FootnoteText"/>
        <w:spacing w:after="120"/>
      </w:pPr>
      <w:r w:rsidRPr="001F3393">
        <w:rPr>
          <w:rStyle w:val="FootnoteReference"/>
        </w:rPr>
        <w:footnoteRef/>
      </w:r>
      <w:r w:rsidRPr="001F3393">
        <w:t xml:space="preserve"> Duke Comments at 10.</w:t>
      </w:r>
    </w:p>
  </w:footnote>
  <w:footnote w:id="21">
    <w:p w:rsidR="00CF3296" w:rsidRPr="001F3393" w:rsidP="001F3393" w14:paraId="4061C19B" w14:textId="77777777">
      <w:pPr>
        <w:pStyle w:val="FootnoteText"/>
        <w:spacing w:after="120"/>
      </w:pPr>
      <w:r w:rsidRPr="001F3393">
        <w:rPr>
          <w:rStyle w:val="FootnoteReference"/>
        </w:rPr>
        <w:footnoteRef/>
      </w:r>
      <w:r w:rsidRPr="001F3393">
        <w:t xml:space="preserve"> </w:t>
      </w:r>
      <w:r w:rsidRPr="001F3393">
        <w:rPr>
          <w:i/>
          <w:iCs/>
        </w:rPr>
        <w:t>Id.</w:t>
      </w:r>
    </w:p>
  </w:footnote>
  <w:footnote w:id="22">
    <w:p w:rsidR="00CF3296" w:rsidRPr="001F3393" w:rsidP="001F3393" w14:paraId="014D3F63" w14:textId="77777777">
      <w:pPr>
        <w:pStyle w:val="FootnoteText"/>
        <w:spacing w:after="120"/>
      </w:pPr>
      <w:r w:rsidRPr="001F3393">
        <w:rPr>
          <w:rStyle w:val="FootnoteReference"/>
        </w:rPr>
        <w:footnoteRef/>
      </w:r>
      <w:r w:rsidRPr="001F3393">
        <w:t xml:space="preserve"> </w:t>
      </w:r>
      <w:r w:rsidRPr="001F3393">
        <w:rPr>
          <w:i/>
          <w:iCs/>
        </w:rPr>
        <w:t>Id.</w:t>
      </w:r>
      <w:r w:rsidRPr="001F3393">
        <w:t xml:space="preserve"> (quoting the Rate Case Order at 54).</w:t>
      </w:r>
    </w:p>
  </w:footnote>
  <w:footnote w:id="23">
    <w:p w:rsidR="00CF3296" w:rsidRPr="001F3393" w:rsidP="001F3393" w14:paraId="0B8577E8" w14:textId="77777777">
      <w:pPr>
        <w:pStyle w:val="FootnoteText"/>
        <w:spacing w:after="120"/>
      </w:pPr>
      <w:r w:rsidRPr="001F3393">
        <w:rPr>
          <w:rStyle w:val="FootnoteReference"/>
        </w:rPr>
        <w:footnoteRef/>
      </w:r>
      <w:r w:rsidRPr="001F3393">
        <w:t xml:space="preserve"> Supreme Court Opinion ¶ 19.</w:t>
      </w:r>
    </w:p>
  </w:footnote>
  <w:footnote w:id="24">
    <w:p w:rsidR="00CF3296" w:rsidRPr="001F3393" w:rsidP="001F3393" w14:paraId="1A55C8F1" w14:textId="77777777">
      <w:pPr>
        <w:pStyle w:val="FootnoteText"/>
        <w:spacing w:after="120"/>
      </w:pPr>
      <w:r w:rsidRPr="001F3393">
        <w:rPr>
          <w:rStyle w:val="FootnoteReference"/>
        </w:rPr>
        <w:footnoteRef/>
      </w:r>
      <w:r w:rsidRPr="001F3393">
        <w:t xml:space="preserve"> Duke Comments at 10.</w:t>
      </w:r>
    </w:p>
  </w:footnote>
  <w:footnote w:id="25">
    <w:p w:rsidR="00CF3296" w:rsidRPr="001F3393" w:rsidP="001F3393" w14:paraId="680A735E" w14:textId="77777777">
      <w:pPr>
        <w:pStyle w:val="FootnoteText"/>
        <w:spacing w:after="120"/>
      </w:pPr>
      <w:r w:rsidRPr="001F3393">
        <w:rPr>
          <w:rStyle w:val="FootnoteReference"/>
        </w:rPr>
        <w:footnoteRef/>
      </w:r>
      <w:r w:rsidRPr="001F3393">
        <w:t xml:space="preserve"> Supreme Court Opinion ¶¶ 22-25.</w:t>
      </w:r>
    </w:p>
  </w:footnote>
  <w:footnote w:id="26">
    <w:p w:rsidR="00CF3296" w:rsidRPr="001F3393" w:rsidP="001F3393" w14:paraId="73F8CCFA" w14:textId="77777777">
      <w:pPr>
        <w:pStyle w:val="FootnoteText"/>
        <w:spacing w:after="120"/>
      </w:pPr>
      <w:r w:rsidRPr="001F3393">
        <w:rPr>
          <w:rStyle w:val="FootnoteReference"/>
        </w:rPr>
        <w:footnoteRef/>
      </w:r>
      <w:r w:rsidRPr="001F3393">
        <w:t xml:space="preserve"> Rate Case Order at 72.</w:t>
      </w:r>
    </w:p>
  </w:footnote>
  <w:footnote w:id="27">
    <w:p w:rsidR="00CF3296" w:rsidRPr="001F3393" w:rsidP="001F3393" w14:paraId="2ADC83AA" w14:textId="77777777">
      <w:pPr>
        <w:pStyle w:val="FootnoteText"/>
        <w:spacing w:after="120"/>
      </w:pPr>
      <w:r w:rsidRPr="001F3393">
        <w:rPr>
          <w:rStyle w:val="FootnoteReference"/>
        </w:rPr>
        <w:footnoteRef/>
      </w:r>
      <w:r w:rsidRPr="001F3393">
        <w:t xml:space="preserve"> </w:t>
      </w:r>
      <w:r w:rsidRPr="001F3393">
        <w:rPr>
          <w:i/>
          <w:iCs/>
        </w:rPr>
        <w:t>Id.</w:t>
      </w:r>
    </w:p>
  </w:footnote>
  <w:footnote w:id="28">
    <w:p w:rsidR="00CF3296" w:rsidRPr="001F3393" w:rsidP="001F3393" w14:paraId="68B3D983" w14:textId="77777777">
      <w:pPr>
        <w:pStyle w:val="FootnoteText"/>
        <w:spacing w:after="120"/>
      </w:pPr>
      <w:r w:rsidRPr="001F3393">
        <w:rPr>
          <w:rStyle w:val="FootnoteReference"/>
        </w:rPr>
        <w:footnoteRef/>
      </w:r>
      <w:r w:rsidRPr="001F3393">
        <w:t xml:space="preserve"> Case No. 16-1106-GA-AAM.</w:t>
      </w:r>
    </w:p>
  </w:footnote>
  <w:footnote w:id="29">
    <w:p w:rsidR="00CF3296" w:rsidRPr="001F3393" w:rsidP="001F3393" w14:paraId="56AC5EBD" w14:textId="77777777">
      <w:pPr>
        <w:pStyle w:val="FootnoteText"/>
        <w:spacing w:after="120"/>
      </w:pPr>
      <w:r w:rsidRPr="001F3393">
        <w:rPr>
          <w:rStyle w:val="FootnoteReference"/>
        </w:rPr>
        <w:footnoteRef/>
      </w:r>
      <w:r w:rsidRPr="001F3393">
        <w:t xml:space="preserve"> </w:t>
      </w:r>
      <w:r w:rsidRPr="001F3393">
        <w:rPr>
          <w:i/>
          <w:iCs/>
        </w:rPr>
        <w:t>Id.</w:t>
      </w:r>
      <w:r w:rsidRPr="001F3393">
        <w:t>, Finding &amp; Order (Dec. 21, 2016).</w:t>
      </w:r>
    </w:p>
  </w:footnote>
  <w:footnote w:id="30">
    <w:p w:rsidR="00CF3296" w:rsidRPr="001F3393" w:rsidP="001F3393" w14:paraId="2DBB64EF" w14:textId="77777777">
      <w:pPr>
        <w:pStyle w:val="FootnoteText"/>
        <w:spacing w:after="120"/>
      </w:pPr>
      <w:r w:rsidRPr="001F3393">
        <w:rPr>
          <w:rStyle w:val="FootnoteReference"/>
        </w:rPr>
        <w:footnoteRef/>
      </w:r>
      <w:r w:rsidRPr="001F3393">
        <w:t xml:space="preserve"> </w:t>
      </w:r>
      <w:r w:rsidRPr="001F3393">
        <w:rPr>
          <w:i/>
          <w:iCs/>
        </w:rPr>
        <w:t>See, e.g., Elyria Foundry Co. v. PUCO</w:t>
      </w:r>
      <w:r w:rsidRPr="001F3393">
        <w:t>, 114 Ohio St.3d 305, 311 (2007).</w:t>
      </w:r>
    </w:p>
  </w:footnote>
  <w:footnote w:id="31">
    <w:p w:rsidR="00CF3296" w:rsidRPr="001F3393" w:rsidP="001F3393" w14:paraId="091BEA5D" w14:textId="62FB20D8">
      <w:pPr>
        <w:pStyle w:val="FootnoteText"/>
        <w:spacing w:after="120"/>
      </w:pPr>
      <w:r w:rsidRPr="001F3393">
        <w:rPr>
          <w:rStyle w:val="FootnoteReference"/>
        </w:rPr>
        <w:footnoteRef/>
      </w:r>
      <w:r w:rsidRPr="001F3393">
        <w:t xml:space="preserve"> Case No. 16-1106-GA-AAM, Finding &amp; Order ¶ 38 (Dec. 21, 2016).</w:t>
      </w:r>
    </w:p>
  </w:footnote>
  <w:footnote w:id="32">
    <w:p w:rsidR="00CF3296" w:rsidRPr="001F3393" w:rsidP="001F3393" w14:paraId="0EFA947B" w14:textId="77777777">
      <w:pPr>
        <w:pStyle w:val="FootnoteText"/>
        <w:spacing w:after="120"/>
      </w:pPr>
      <w:r w:rsidRPr="001F3393">
        <w:rPr>
          <w:rStyle w:val="FootnoteReference"/>
        </w:rPr>
        <w:footnoteRef/>
      </w:r>
      <w:r w:rsidRPr="001F3393">
        <w:t xml:space="preserve"> Duke Comments at 5.</w:t>
      </w:r>
    </w:p>
  </w:footnote>
  <w:footnote w:id="33">
    <w:p w:rsidR="00CF3296" w:rsidRPr="001F3393" w:rsidP="001F3393" w14:paraId="3E1EE9FB" w14:textId="77777777">
      <w:pPr>
        <w:pStyle w:val="FootnoteText"/>
        <w:spacing w:after="120"/>
      </w:pPr>
      <w:r w:rsidRPr="001F3393">
        <w:rPr>
          <w:rStyle w:val="FootnoteReference"/>
        </w:rPr>
        <w:footnoteRef/>
      </w:r>
      <w:r w:rsidRPr="001F3393">
        <w:t xml:space="preserve"> Deferral Order ¶ 36.</w:t>
      </w:r>
    </w:p>
  </w:footnote>
  <w:footnote w:id="34">
    <w:p w:rsidR="00CF3296" w:rsidRPr="001F3393" w:rsidP="001F3393" w14:paraId="43031DF9" w14:textId="77777777">
      <w:pPr>
        <w:pStyle w:val="FootnoteText"/>
        <w:spacing w:after="120"/>
      </w:pPr>
      <w:r w:rsidRPr="001F3393">
        <w:rPr>
          <w:rStyle w:val="FootnoteReference"/>
        </w:rPr>
        <w:footnoteRef/>
      </w:r>
      <w:r w:rsidRPr="001F3393">
        <w:t xml:space="preserve"> Staff Report and Recommendation at 7.</w:t>
      </w:r>
    </w:p>
  </w:footnote>
  <w:footnote w:id="35">
    <w:p w:rsidR="00CF3296" w:rsidRPr="001F3393" w:rsidP="001F3393" w14:paraId="69A1A07D" w14:textId="77777777">
      <w:pPr>
        <w:pStyle w:val="FootnoteText"/>
        <w:spacing w:after="120"/>
      </w:pPr>
      <w:r w:rsidRPr="001F3393">
        <w:rPr>
          <w:rStyle w:val="FootnoteReference"/>
        </w:rPr>
        <w:footnoteRef/>
      </w:r>
      <w:r w:rsidRPr="001F3393">
        <w:t xml:space="preserve"> Duke Comments at 13.</w:t>
      </w:r>
    </w:p>
  </w:footnote>
  <w:footnote w:id="36">
    <w:p w:rsidR="00CF3296" w:rsidRPr="001F3393" w:rsidP="001F3393" w14:paraId="68829FD6" w14:textId="6A38EF80">
      <w:pPr>
        <w:pStyle w:val="FootnoteText"/>
        <w:spacing w:after="120"/>
      </w:pPr>
      <w:r w:rsidRPr="001F3393">
        <w:rPr>
          <w:rStyle w:val="FootnoteReference"/>
        </w:rPr>
        <w:footnoteRef/>
      </w:r>
      <w:r w:rsidRPr="001F3393">
        <w:t xml:space="preserve"> </w:t>
      </w:r>
      <w:r w:rsidRPr="001F3393">
        <w:rPr>
          <w:i/>
          <w:iCs/>
        </w:rPr>
        <w:t xml:space="preserve">See, e.g., </w:t>
      </w:r>
      <w:r w:rsidRPr="001F3393">
        <w:t>PUCO Staff Report in Case No. 19-174-GA-RDR (July 12, 2019).</w:t>
      </w:r>
    </w:p>
  </w:footnote>
  <w:footnote w:id="37">
    <w:p w:rsidR="00CF3296" w:rsidRPr="001F3393" w:rsidP="001F3393" w14:paraId="09A2A74D" w14:textId="51AA3062">
      <w:pPr>
        <w:pStyle w:val="FootnoteText"/>
        <w:spacing w:after="120"/>
      </w:pPr>
      <w:r w:rsidRPr="001F3393">
        <w:rPr>
          <w:rStyle w:val="FootnoteReference"/>
        </w:rPr>
        <w:footnoteRef/>
      </w:r>
      <w:r w:rsidRPr="001F3393">
        <w:t xml:space="preserve"> </w:t>
      </w:r>
      <w:bookmarkStart w:id="16" w:name="_Hlk52979932"/>
      <w:bookmarkStart w:id="17" w:name="_Hlk52975922"/>
      <w:r w:rsidRPr="001F3393">
        <w:t>Case No. 19-174-GA-RDR, OCC Ex. 21 (Campbell Testimony) at 1</w:t>
      </w:r>
      <w:bookmarkEnd w:id="16"/>
      <w:r w:rsidRPr="001F3393">
        <w:t>.</w:t>
      </w:r>
      <w:bookmarkEnd w:id="17"/>
    </w:p>
  </w:footnote>
  <w:footnote w:id="38">
    <w:p w:rsidR="00CF3296" w:rsidRPr="001F3393" w:rsidP="001F3393" w14:paraId="50A6063D" w14:textId="1613805A">
      <w:pPr>
        <w:pStyle w:val="FootnoteText"/>
        <w:spacing w:after="120"/>
      </w:pPr>
      <w:r w:rsidRPr="001F3393">
        <w:rPr>
          <w:rStyle w:val="FootnoteReference"/>
        </w:rPr>
        <w:footnoteRef/>
      </w:r>
      <w:r w:rsidRPr="001F3393">
        <w:t xml:space="preserve"> </w:t>
      </w:r>
      <w:r w:rsidRPr="001F3393">
        <w:rPr>
          <w:i/>
          <w:iCs/>
        </w:rPr>
        <w:t>Id</w:t>
      </w:r>
      <w:r w:rsidRPr="001F3393">
        <w:t>. at 2</w:t>
      </w:r>
    </w:p>
  </w:footnote>
  <w:footnote w:id="39">
    <w:p w:rsidR="00CF3296" w:rsidRPr="001F3393" w:rsidP="001F3393" w14:paraId="11DC95C8" w14:textId="5C811320">
      <w:pPr>
        <w:pStyle w:val="FootnoteText"/>
        <w:spacing w:after="120"/>
      </w:pPr>
      <w:r w:rsidRPr="001F3393">
        <w:rPr>
          <w:rStyle w:val="FootnoteReference"/>
        </w:rPr>
        <w:footnoteRef/>
      </w:r>
      <w:r w:rsidRPr="001F3393">
        <w:t xml:space="preserve"> Case No. 19-174-GA-RDR, OCC Ex. 21 (Campbell Testimony), Attachment JRC-2.</w:t>
      </w:r>
    </w:p>
  </w:footnote>
  <w:footnote w:id="40">
    <w:p w:rsidR="00CF3296" w:rsidRPr="001F3393" w:rsidP="001F3393" w14:paraId="44B8476B" w14:textId="583315C2">
      <w:pPr>
        <w:pStyle w:val="FootnoteText"/>
        <w:spacing w:after="120"/>
      </w:pPr>
      <w:r w:rsidRPr="001F3393">
        <w:rPr>
          <w:rStyle w:val="FootnoteReference"/>
        </w:rPr>
        <w:footnoteRef/>
      </w:r>
      <w:r w:rsidRPr="001F3393">
        <w:t xml:space="preserve"> </w:t>
      </w:r>
      <w:r w:rsidRPr="001F3393">
        <w:rPr>
          <w:i/>
          <w:iCs/>
        </w:rPr>
        <w:t>See</w:t>
      </w:r>
      <w:r w:rsidRPr="001F3393">
        <w:t xml:space="preserve"> Case No. 19-174-GA-RDR, Duke Ex. 15 (Fiore Testimony) at 7 (describing what it means to be a VAP CP).</w:t>
      </w:r>
    </w:p>
  </w:footnote>
  <w:footnote w:id="41">
    <w:p w:rsidR="00CF3296" w:rsidRPr="001F3393" w:rsidP="001F3393" w14:paraId="69D2CE6F" w14:textId="393EBDC7">
      <w:pPr>
        <w:pStyle w:val="FootnoteText"/>
        <w:spacing w:after="120"/>
      </w:pPr>
      <w:r w:rsidRPr="001F3393">
        <w:rPr>
          <w:rStyle w:val="FootnoteReference"/>
        </w:rPr>
        <w:footnoteRef/>
      </w:r>
      <w:r w:rsidRPr="001F3393">
        <w:t xml:space="preserve"> </w:t>
      </w:r>
      <w:r w:rsidRPr="001F3393">
        <w:rPr>
          <w:i/>
          <w:iCs/>
        </w:rPr>
        <w:t xml:space="preserve">Id. </w:t>
      </w:r>
      <w:r w:rsidRPr="001F3393">
        <w:t>at 15.</w:t>
      </w:r>
    </w:p>
  </w:footnote>
  <w:footnote w:id="42">
    <w:p w:rsidR="00CF3296" w:rsidRPr="001F3393" w:rsidP="001F3393" w14:paraId="600D4E64" w14:textId="7639D9A4">
      <w:pPr>
        <w:pStyle w:val="FootnoteText"/>
        <w:spacing w:after="120"/>
      </w:pPr>
      <w:r w:rsidRPr="001F3393">
        <w:rPr>
          <w:rStyle w:val="FootnoteReference"/>
        </w:rPr>
        <w:footnoteRef/>
      </w:r>
      <w:r w:rsidRPr="001F3393">
        <w:t xml:space="preserve"> Rate Case Order at 67.</w:t>
      </w:r>
    </w:p>
  </w:footnote>
  <w:footnote w:id="43">
    <w:p w:rsidR="00CF3296" w:rsidRPr="001F3393" w:rsidP="001F3393" w14:paraId="589ACE47" w14:textId="77777777">
      <w:pPr>
        <w:pStyle w:val="FootnoteText"/>
        <w:spacing w:after="120"/>
      </w:pPr>
      <w:r w:rsidRPr="001F3393">
        <w:rPr>
          <w:rStyle w:val="FootnoteReference"/>
        </w:rPr>
        <w:footnoteRef/>
      </w:r>
      <w:r w:rsidRPr="001F3393">
        <w:t xml:space="preserve"> Staff Report and Recommendation at 6.</w:t>
      </w:r>
    </w:p>
  </w:footnote>
  <w:footnote w:id="44">
    <w:p w:rsidR="00CF3296" w:rsidRPr="001F3393" w:rsidP="001F3393" w14:paraId="45E85308" w14:textId="77777777">
      <w:pPr>
        <w:pStyle w:val="FootnoteText"/>
        <w:spacing w:after="120"/>
      </w:pPr>
      <w:r w:rsidRPr="001F3393">
        <w:rPr>
          <w:rStyle w:val="FootnoteReference"/>
        </w:rPr>
        <w:footnoteRef/>
      </w:r>
      <w:r w:rsidRPr="001F3393">
        <w:t xml:space="preserve"> </w:t>
      </w:r>
      <w:r w:rsidRPr="001F3393">
        <w:rPr>
          <w:i/>
          <w:iCs/>
        </w:rPr>
        <w:t>Id.</w:t>
      </w:r>
    </w:p>
  </w:footnote>
  <w:footnote w:id="45">
    <w:p w:rsidR="00CF3296" w:rsidRPr="001F3393" w:rsidP="001F3393" w14:paraId="7CC6408E" w14:textId="4D68856A">
      <w:pPr>
        <w:pStyle w:val="FootnoteText"/>
        <w:spacing w:after="120"/>
      </w:pPr>
      <w:r w:rsidRPr="001F3393">
        <w:rPr>
          <w:rStyle w:val="FootnoteReference"/>
        </w:rPr>
        <w:footnoteRef/>
      </w:r>
      <w:r w:rsidRPr="001F3393">
        <w:t xml:space="preserve"> Duke Comments at 14-15 (Aug</w:t>
      </w:r>
      <w:r>
        <w:t>.</w:t>
      </w:r>
      <w:r w:rsidRPr="001F3393">
        <w:t xml:space="preserve"> 21, 2020).</w:t>
      </w:r>
    </w:p>
  </w:footnote>
  <w:footnote w:id="46">
    <w:p w:rsidR="00CF3296" w:rsidRPr="001F3393" w:rsidP="001F3393" w14:paraId="6331C1C9" w14:textId="77777777">
      <w:pPr>
        <w:pStyle w:val="FootnoteText"/>
        <w:spacing w:after="120"/>
      </w:pPr>
      <w:r w:rsidRPr="001F3393">
        <w:rPr>
          <w:rStyle w:val="FootnoteReference"/>
        </w:rPr>
        <w:footnoteRef/>
      </w:r>
      <w:r w:rsidRPr="001F3393">
        <w:t xml:space="preserve"> </w:t>
      </w:r>
      <w:r w:rsidRPr="001F3393">
        <w:rPr>
          <w:i/>
          <w:iCs/>
        </w:rPr>
        <w:t>In re Ohio Power Co.</w:t>
      </w:r>
      <w:r w:rsidRPr="001F3393">
        <w:t xml:space="preserve">, 144 Ohio St.3d 1, 6 (2015) (quoting </w:t>
      </w:r>
      <w:r w:rsidRPr="001F3393">
        <w:rPr>
          <w:i/>
          <w:iCs/>
        </w:rPr>
        <w:t>Office of Consumers’ Counsel v. PUCO</w:t>
      </w:r>
      <w:r w:rsidRPr="001F3393">
        <w:t>, 16 Ohio St.3d 9, 10 (1985)).</w:t>
      </w:r>
    </w:p>
  </w:footnote>
  <w:footnote w:id="47">
    <w:p w:rsidR="00CF3296" w:rsidRPr="001F3393" w:rsidP="001F3393" w14:paraId="06E417BC" w14:textId="77777777">
      <w:pPr>
        <w:pStyle w:val="FootnoteText"/>
        <w:spacing w:after="120"/>
      </w:pPr>
      <w:r w:rsidRPr="001F3393">
        <w:rPr>
          <w:rStyle w:val="FootnoteReference"/>
        </w:rPr>
        <w:footnoteRef/>
      </w:r>
      <w:r w:rsidRPr="001F3393">
        <w:t xml:space="preserve"> </w:t>
      </w:r>
      <w:r w:rsidRPr="001F3393">
        <w:rPr>
          <w:i/>
          <w:iCs/>
        </w:rPr>
        <w:t>Id.</w:t>
      </w:r>
      <w:r w:rsidRPr="001F3393">
        <w:t xml:space="preserve"> (“Res judicata, whether claim preclusion or issue preclusion, applies to administrative proceedings that are of a judicial nature.”). </w:t>
      </w:r>
      <w:r w:rsidRPr="001F3393">
        <w:rPr>
          <w:i/>
          <w:iCs/>
        </w:rPr>
        <w:t>See also In re Application of the Dayton Power &amp; Light Co.,</w:t>
      </w:r>
      <w:r w:rsidRPr="001F3393">
        <w:t xml:space="preserve"> Case No. 08-1094-EL-SSE, Second Finding &amp; Order ¶ 32 (Dec. 18, 2019) (applying the doctrines of res judicata and collateral estoppel).</w:t>
      </w:r>
    </w:p>
  </w:footnote>
  <w:footnote w:id="48">
    <w:p w:rsidR="00CF3296" w:rsidRPr="001F3393" w:rsidP="001F3393" w14:paraId="7CBBF946" w14:textId="09B3CE76">
      <w:pPr>
        <w:spacing w:after="120"/>
        <w:rPr>
          <w:sz w:val="20"/>
        </w:rPr>
      </w:pPr>
      <w:r w:rsidRPr="001F3393">
        <w:rPr>
          <w:rStyle w:val="FootnoteReference"/>
          <w:sz w:val="20"/>
        </w:rPr>
        <w:footnoteRef/>
      </w:r>
      <w:r w:rsidRPr="001F3393">
        <w:rPr>
          <w:sz w:val="20"/>
        </w:rPr>
        <w:t xml:space="preserve"> Rate Case, Opinion &amp; Order at 59 (Nov. 13, 2013) (the “Rate Case Order”). </w:t>
      </w:r>
    </w:p>
  </w:footnote>
  <w:footnote w:id="49">
    <w:p w:rsidR="00CF3296" w:rsidRPr="001F3393" w:rsidP="001F3393" w14:paraId="74907346" w14:textId="77777777">
      <w:pPr>
        <w:pStyle w:val="FootnoteText"/>
        <w:spacing w:after="120"/>
      </w:pPr>
      <w:r w:rsidRPr="001F3393">
        <w:rPr>
          <w:rStyle w:val="FootnoteReference"/>
        </w:rPr>
        <w:footnoteRef/>
      </w:r>
      <w:r w:rsidRPr="001F3393">
        <w:t xml:space="preserve"> </w:t>
      </w:r>
      <w:r w:rsidRPr="001F3393">
        <w:rPr>
          <w:i/>
          <w:iCs/>
        </w:rPr>
        <w:t>Id.</w:t>
      </w:r>
      <w:r w:rsidRPr="001F3393">
        <w:t xml:space="preserve"> at 67.</w:t>
      </w:r>
    </w:p>
  </w:footnote>
  <w:footnote w:id="50">
    <w:p w:rsidR="00CF3296" w:rsidRPr="001F3393" w:rsidP="001F3393" w14:paraId="64A3351F" w14:textId="77777777">
      <w:pPr>
        <w:pStyle w:val="FootnoteText"/>
        <w:spacing w:after="120"/>
      </w:pPr>
      <w:r w:rsidRPr="001F3393">
        <w:rPr>
          <w:rStyle w:val="FootnoteReference"/>
        </w:rPr>
        <w:footnoteRef/>
      </w:r>
      <w:r w:rsidRPr="001F3393">
        <w:t xml:space="preserve"> Staff Report and Recommendation at 6.</w:t>
      </w:r>
    </w:p>
  </w:footnote>
  <w:footnote w:id="51">
    <w:p w:rsidR="00CF3296" w:rsidRPr="001F3393" w:rsidP="001F3393" w14:paraId="6439C74B" w14:textId="77777777">
      <w:pPr>
        <w:pStyle w:val="FootnoteText"/>
        <w:spacing w:after="120"/>
      </w:pPr>
      <w:r w:rsidRPr="001F3393">
        <w:rPr>
          <w:rStyle w:val="FootnoteReference"/>
        </w:rPr>
        <w:footnoteRef/>
      </w:r>
      <w:r w:rsidRPr="001F3393">
        <w:t xml:space="preserve"> </w:t>
      </w:r>
      <w:r w:rsidRPr="001F3393">
        <w:rPr>
          <w:i/>
          <w:iCs/>
        </w:rPr>
        <w:t>Id.</w:t>
      </w:r>
    </w:p>
  </w:footnote>
  <w:footnote w:id="52">
    <w:p w:rsidR="00CF3296" w:rsidRPr="001F3393" w:rsidP="001F3393" w14:paraId="179F6AB4" w14:textId="77777777">
      <w:pPr>
        <w:pStyle w:val="FootnoteText"/>
        <w:spacing w:after="120"/>
      </w:pPr>
      <w:r w:rsidRPr="001F3393">
        <w:rPr>
          <w:rStyle w:val="FootnoteReference"/>
        </w:rPr>
        <w:footnoteRef/>
      </w:r>
      <w:r w:rsidRPr="001F3393">
        <w:t xml:space="preserve"> </w:t>
      </w:r>
      <w:r w:rsidRPr="001F3393">
        <w:rPr>
          <w:i/>
          <w:iCs/>
        </w:rPr>
        <w:t>Id.</w:t>
      </w:r>
    </w:p>
  </w:footnote>
  <w:footnote w:id="53">
    <w:p w:rsidR="00CF3296" w:rsidRPr="001F3393" w:rsidP="001F3393" w14:paraId="59CD48CA" w14:textId="77777777">
      <w:pPr>
        <w:pStyle w:val="FootnoteText"/>
        <w:spacing w:after="120"/>
      </w:pPr>
      <w:r w:rsidRPr="001F3393">
        <w:rPr>
          <w:rStyle w:val="FootnoteReference"/>
        </w:rPr>
        <w:footnoteRef/>
      </w:r>
      <w:r w:rsidRPr="001F3393">
        <w:t xml:space="preserve"> </w:t>
      </w:r>
      <w:r w:rsidRPr="001F3393">
        <w:rPr>
          <w:i/>
          <w:iCs/>
        </w:rPr>
        <w:t>Id.</w:t>
      </w:r>
    </w:p>
  </w:footnote>
  <w:footnote w:id="54">
    <w:p w:rsidR="00CF3296" w:rsidRPr="001F3393" w:rsidP="001F3393" w14:paraId="336E5F93" w14:textId="77777777">
      <w:pPr>
        <w:pStyle w:val="FootnoteText"/>
        <w:spacing w:after="120"/>
      </w:pPr>
      <w:r w:rsidRPr="001F3393">
        <w:rPr>
          <w:rStyle w:val="FootnoteReference"/>
        </w:rPr>
        <w:footnoteRef/>
      </w:r>
      <w:r w:rsidRPr="001F3393">
        <w:t xml:space="preserve"> Duke Comments at 17.</w:t>
      </w:r>
    </w:p>
  </w:footnote>
  <w:footnote w:id="55">
    <w:p w:rsidR="00CF3296" w:rsidRPr="001F3393" w:rsidP="001F3393" w14:paraId="2C555D59" w14:textId="47BBD02E">
      <w:pPr>
        <w:pStyle w:val="FootnoteText"/>
        <w:spacing w:after="120"/>
      </w:pPr>
      <w:r w:rsidRPr="001F3393">
        <w:rPr>
          <w:rStyle w:val="FootnoteReference"/>
        </w:rPr>
        <w:footnoteRef/>
      </w:r>
      <w:r w:rsidRPr="001F3393">
        <w:t xml:space="preserve"> </w:t>
      </w:r>
      <w:r w:rsidRPr="001F3393">
        <w:rPr>
          <w:i/>
          <w:iCs/>
        </w:rPr>
        <w:t xml:space="preserve">Id. </w:t>
      </w:r>
      <w:r w:rsidRPr="001F3393">
        <w:t>at 18.</w:t>
      </w:r>
    </w:p>
  </w:footnote>
  <w:footnote w:id="56">
    <w:p w:rsidR="00CF3296" w:rsidRPr="001F3393" w:rsidP="001F3393" w14:paraId="61EAFC17" w14:textId="77777777">
      <w:pPr>
        <w:pStyle w:val="FootnoteText"/>
        <w:spacing w:after="120"/>
      </w:pPr>
      <w:r w:rsidRPr="001F3393">
        <w:rPr>
          <w:rStyle w:val="FootnoteReference"/>
        </w:rPr>
        <w:footnoteRef/>
      </w:r>
      <w:r w:rsidRPr="001F3393">
        <w:t xml:space="preserve"> </w:t>
      </w:r>
      <w:r w:rsidRPr="001F3393">
        <w:rPr>
          <w:i/>
          <w:iCs/>
        </w:rPr>
        <w:t>Id.</w:t>
      </w:r>
    </w:p>
  </w:footnote>
  <w:footnote w:id="57">
    <w:p w:rsidR="00CF3296" w:rsidRPr="001F3393" w:rsidP="001F3393" w14:paraId="0ED5F99E" w14:textId="77777777">
      <w:pPr>
        <w:pStyle w:val="FootnoteText"/>
        <w:spacing w:after="120"/>
      </w:pPr>
      <w:r w:rsidRPr="001F3393">
        <w:rPr>
          <w:rStyle w:val="FootnoteReference"/>
        </w:rPr>
        <w:footnoteRef/>
      </w:r>
      <w:r w:rsidRPr="001F3393">
        <w:t xml:space="preserve"> </w:t>
      </w:r>
      <w:r w:rsidRPr="001F3393">
        <w:rPr>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A41EA4"/>
    <w:multiLevelType w:val="hybridMultilevel"/>
    <w:tmpl w:val="32901EBC"/>
    <w:lvl w:ilvl="0">
      <w:start w:val="2"/>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2168A1"/>
    <w:multiLevelType w:val="hybridMultilevel"/>
    <w:tmpl w:val="0958D450"/>
    <w:lvl w:ilvl="0">
      <w:start w:val="1"/>
      <w:numFmt w:val="decimal"/>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2B77B78"/>
    <w:multiLevelType w:val="hybridMultilevel"/>
    <w:tmpl w:val="E488B1AA"/>
    <w:lvl w:ilvl="0">
      <w:start w:val="1"/>
      <w:numFmt w:val="decimal"/>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4B1A592C"/>
    <w:multiLevelType w:val="hybridMultilevel"/>
    <w:tmpl w:val="16B0AE62"/>
    <w:lvl w:ilvl="0">
      <w:start w:val="1"/>
      <w:numFmt w:val="decimal"/>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587D0430"/>
    <w:multiLevelType w:val="hybridMultilevel"/>
    <w:tmpl w:val="B5D2C2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5A646792"/>
    <w:multiLevelType w:val="hybridMultilevel"/>
    <w:tmpl w:val="A5C04D2C"/>
    <w:lvl w:ilvl="0">
      <w:start w:val="1"/>
      <w:numFmt w:val="decimal"/>
      <w:pStyle w:val="Heading3"/>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7B66394C"/>
    <w:multiLevelType w:val="hybridMultilevel"/>
    <w:tmpl w:val="D480D0E6"/>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CDF3851"/>
    <w:multiLevelType w:val="hybridMultilevel"/>
    <w:tmpl w:val="CDC478C8"/>
    <w:lvl w:ilvl="0">
      <w:start w:val="1"/>
      <w:numFmt w:val="decimal"/>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4"/>
  </w:num>
  <w:num w:numId="2">
    <w:abstractNumId w:val="0"/>
  </w:num>
  <w:num w:numId="3">
    <w:abstractNumId w:val="6"/>
  </w:num>
  <w:num w:numId="4">
    <w:abstractNumId w:val="3"/>
  </w:num>
  <w:num w:numId="5">
    <w:abstractNumId w:val="7"/>
  </w:num>
  <w:num w:numId="6">
    <w:abstractNumId w:val="1"/>
  </w:num>
  <w:num w:numId="7">
    <w:abstractNumId w:val="1"/>
    <w:lvlOverride w:ilvl="0">
      <w:startOverride w:val="1"/>
    </w:lvlOverride>
  </w:num>
  <w:num w:numId="8">
    <w:abstractNumId w:val="5"/>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57"/>
    <w:rsid w:val="00000C21"/>
    <w:rsid w:val="000016C2"/>
    <w:rsid w:val="00001945"/>
    <w:rsid w:val="00003995"/>
    <w:rsid w:val="00012C98"/>
    <w:rsid w:val="00012F0C"/>
    <w:rsid w:val="00015934"/>
    <w:rsid w:val="00016822"/>
    <w:rsid w:val="00020881"/>
    <w:rsid w:val="000306FC"/>
    <w:rsid w:val="000324F4"/>
    <w:rsid w:val="00036EC1"/>
    <w:rsid w:val="000373C7"/>
    <w:rsid w:val="00037BE6"/>
    <w:rsid w:val="0004055C"/>
    <w:rsid w:val="0004187B"/>
    <w:rsid w:val="000420EE"/>
    <w:rsid w:val="00047DF8"/>
    <w:rsid w:val="000530CD"/>
    <w:rsid w:val="0005717C"/>
    <w:rsid w:val="000607D2"/>
    <w:rsid w:val="00061EE9"/>
    <w:rsid w:val="00062AEE"/>
    <w:rsid w:val="000647DD"/>
    <w:rsid w:val="00064A2D"/>
    <w:rsid w:val="0006654F"/>
    <w:rsid w:val="0007317E"/>
    <w:rsid w:val="00080317"/>
    <w:rsid w:val="000827C9"/>
    <w:rsid w:val="00082E99"/>
    <w:rsid w:val="00084393"/>
    <w:rsid w:val="00084BBC"/>
    <w:rsid w:val="00092F5F"/>
    <w:rsid w:val="0009501A"/>
    <w:rsid w:val="00095025"/>
    <w:rsid w:val="000A0F91"/>
    <w:rsid w:val="000A1544"/>
    <w:rsid w:val="000A188E"/>
    <w:rsid w:val="000A31BC"/>
    <w:rsid w:val="000A6239"/>
    <w:rsid w:val="000A7841"/>
    <w:rsid w:val="000B3258"/>
    <w:rsid w:val="000B3882"/>
    <w:rsid w:val="000B491E"/>
    <w:rsid w:val="000B4987"/>
    <w:rsid w:val="000C4B77"/>
    <w:rsid w:val="000D1239"/>
    <w:rsid w:val="000D3239"/>
    <w:rsid w:val="000D446B"/>
    <w:rsid w:val="000E71E5"/>
    <w:rsid w:val="000F1B7E"/>
    <w:rsid w:val="000F3A9F"/>
    <w:rsid w:val="000F4357"/>
    <w:rsid w:val="000F4D00"/>
    <w:rsid w:val="00103918"/>
    <w:rsid w:val="00104239"/>
    <w:rsid w:val="00104B50"/>
    <w:rsid w:val="001136D0"/>
    <w:rsid w:val="00115AF7"/>
    <w:rsid w:val="001175FF"/>
    <w:rsid w:val="001249E8"/>
    <w:rsid w:val="00130BDA"/>
    <w:rsid w:val="0013417C"/>
    <w:rsid w:val="001374BD"/>
    <w:rsid w:val="00144E06"/>
    <w:rsid w:val="00150451"/>
    <w:rsid w:val="00151BC0"/>
    <w:rsid w:val="00151D11"/>
    <w:rsid w:val="00152A0E"/>
    <w:rsid w:val="00153E9F"/>
    <w:rsid w:val="0016093B"/>
    <w:rsid w:val="00161A1F"/>
    <w:rsid w:val="00166BDA"/>
    <w:rsid w:val="00167574"/>
    <w:rsid w:val="00167C22"/>
    <w:rsid w:val="00171857"/>
    <w:rsid w:val="0017390A"/>
    <w:rsid w:val="00177862"/>
    <w:rsid w:val="001804E2"/>
    <w:rsid w:val="00182262"/>
    <w:rsid w:val="00196464"/>
    <w:rsid w:val="001A1688"/>
    <w:rsid w:val="001A1C03"/>
    <w:rsid w:val="001A2C9D"/>
    <w:rsid w:val="001A374A"/>
    <w:rsid w:val="001A5EC2"/>
    <w:rsid w:val="001A7D26"/>
    <w:rsid w:val="001B0826"/>
    <w:rsid w:val="001B1500"/>
    <w:rsid w:val="001B157D"/>
    <w:rsid w:val="001B24C7"/>
    <w:rsid w:val="001C0260"/>
    <w:rsid w:val="001C05B7"/>
    <w:rsid w:val="001C2054"/>
    <w:rsid w:val="001D011C"/>
    <w:rsid w:val="001D4EBF"/>
    <w:rsid w:val="001D54F2"/>
    <w:rsid w:val="001E376C"/>
    <w:rsid w:val="001E7061"/>
    <w:rsid w:val="001F19BF"/>
    <w:rsid w:val="001F2945"/>
    <w:rsid w:val="001F3393"/>
    <w:rsid w:val="001F547B"/>
    <w:rsid w:val="001F6D4A"/>
    <w:rsid w:val="00203337"/>
    <w:rsid w:val="00207745"/>
    <w:rsid w:val="00213411"/>
    <w:rsid w:val="00213BFF"/>
    <w:rsid w:val="0021617D"/>
    <w:rsid w:val="00221502"/>
    <w:rsid w:val="00222C6F"/>
    <w:rsid w:val="00224C28"/>
    <w:rsid w:val="0022640A"/>
    <w:rsid w:val="00230E11"/>
    <w:rsid w:val="002434AC"/>
    <w:rsid w:val="00243573"/>
    <w:rsid w:val="00245811"/>
    <w:rsid w:val="00246C3B"/>
    <w:rsid w:val="00246CE2"/>
    <w:rsid w:val="00251124"/>
    <w:rsid w:val="00252427"/>
    <w:rsid w:val="00252D89"/>
    <w:rsid w:val="0025648E"/>
    <w:rsid w:val="002712B7"/>
    <w:rsid w:val="00271B94"/>
    <w:rsid w:val="00274996"/>
    <w:rsid w:val="002804A2"/>
    <w:rsid w:val="002822D0"/>
    <w:rsid w:val="00282DE7"/>
    <w:rsid w:val="00285C3D"/>
    <w:rsid w:val="00286159"/>
    <w:rsid w:val="00286EEC"/>
    <w:rsid w:val="0029478F"/>
    <w:rsid w:val="00295460"/>
    <w:rsid w:val="00295BCE"/>
    <w:rsid w:val="002A1F6B"/>
    <w:rsid w:val="002A2B7B"/>
    <w:rsid w:val="002A4671"/>
    <w:rsid w:val="002A6494"/>
    <w:rsid w:val="002A75D0"/>
    <w:rsid w:val="002B395A"/>
    <w:rsid w:val="002B460B"/>
    <w:rsid w:val="002B5591"/>
    <w:rsid w:val="002B63C4"/>
    <w:rsid w:val="002C090F"/>
    <w:rsid w:val="002C0A59"/>
    <w:rsid w:val="002C1A79"/>
    <w:rsid w:val="002C5B02"/>
    <w:rsid w:val="002D2B35"/>
    <w:rsid w:val="002D33C0"/>
    <w:rsid w:val="002D45DE"/>
    <w:rsid w:val="002D4A61"/>
    <w:rsid w:val="002D4DD2"/>
    <w:rsid w:val="002D4E47"/>
    <w:rsid w:val="002D6AC1"/>
    <w:rsid w:val="002D756F"/>
    <w:rsid w:val="002E269B"/>
    <w:rsid w:val="002E6338"/>
    <w:rsid w:val="002E71C4"/>
    <w:rsid w:val="002F1BB2"/>
    <w:rsid w:val="002F24E6"/>
    <w:rsid w:val="00300B65"/>
    <w:rsid w:val="0030283E"/>
    <w:rsid w:val="00303291"/>
    <w:rsid w:val="00306181"/>
    <w:rsid w:val="00306E6B"/>
    <w:rsid w:val="003109CD"/>
    <w:rsid w:val="003131A4"/>
    <w:rsid w:val="003136C4"/>
    <w:rsid w:val="0031558D"/>
    <w:rsid w:val="0031575C"/>
    <w:rsid w:val="00316F14"/>
    <w:rsid w:val="0032098F"/>
    <w:rsid w:val="0032376C"/>
    <w:rsid w:val="003237BA"/>
    <w:rsid w:val="00324BD3"/>
    <w:rsid w:val="00335E8B"/>
    <w:rsid w:val="0033620E"/>
    <w:rsid w:val="003372EB"/>
    <w:rsid w:val="00347FB2"/>
    <w:rsid w:val="0035122D"/>
    <w:rsid w:val="00353AA7"/>
    <w:rsid w:val="00353E1B"/>
    <w:rsid w:val="00353FB7"/>
    <w:rsid w:val="003546B3"/>
    <w:rsid w:val="00355577"/>
    <w:rsid w:val="0036196F"/>
    <w:rsid w:val="00363310"/>
    <w:rsid w:val="00363AC8"/>
    <w:rsid w:val="00363F20"/>
    <w:rsid w:val="00365A81"/>
    <w:rsid w:val="003662E7"/>
    <w:rsid w:val="0037114A"/>
    <w:rsid w:val="00371421"/>
    <w:rsid w:val="00371ABA"/>
    <w:rsid w:val="0037223A"/>
    <w:rsid w:val="003729E0"/>
    <w:rsid w:val="00375362"/>
    <w:rsid w:val="00382620"/>
    <w:rsid w:val="0039135F"/>
    <w:rsid w:val="0039519A"/>
    <w:rsid w:val="00397187"/>
    <w:rsid w:val="003A067C"/>
    <w:rsid w:val="003A1728"/>
    <w:rsid w:val="003B0748"/>
    <w:rsid w:val="003B127A"/>
    <w:rsid w:val="003B182E"/>
    <w:rsid w:val="003B2206"/>
    <w:rsid w:val="003C0369"/>
    <w:rsid w:val="003C263B"/>
    <w:rsid w:val="003C37D4"/>
    <w:rsid w:val="003D39D5"/>
    <w:rsid w:val="003D3CFE"/>
    <w:rsid w:val="003D65B1"/>
    <w:rsid w:val="003D7430"/>
    <w:rsid w:val="003D7F18"/>
    <w:rsid w:val="003E02C7"/>
    <w:rsid w:val="003E0338"/>
    <w:rsid w:val="003E1462"/>
    <w:rsid w:val="003E1739"/>
    <w:rsid w:val="003E2EE2"/>
    <w:rsid w:val="003E66C0"/>
    <w:rsid w:val="003E7620"/>
    <w:rsid w:val="003F1777"/>
    <w:rsid w:val="003F2475"/>
    <w:rsid w:val="003F3477"/>
    <w:rsid w:val="003F5FD4"/>
    <w:rsid w:val="003F653A"/>
    <w:rsid w:val="003F6D30"/>
    <w:rsid w:val="003F7FDE"/>
    <w:rsid w:val="00403DA0"/>
    <w:rsid w:val="0040505A"/>
    <w:rsid w:val="00405B2F"/>
    <w:rsid w:val="00406471"/>
    <w:rsid w:val="00412682"/>
    <w:rsid w:val="00414C96"/>
    <w:rsid w:val="00415CAC"/>
    <w:rsid w:val="004217B2"/>
    <w:rsid w:val="00431597"/>
    <w:rsid w:val="00434A54"/>
    <w:rsid w:val="00436A72"/>
    <w:rsid w:val="00436D80"/>
    <w:rsid w:val="00436DAC"/>
    <w:rsid w:val="00437C97"/>
    <w:rsid w:val="00444BD1"/>
    <w:rsid w:val="004451BD"/>
    <w:rsid w:val="0044633F"/>
    <w:rsid w:val="0044666A"/>
    <w:rsid w:val="004517BB"/>
    <w:rsid w:val="0045505C"/>
    <w:rsid w:val="00457DA1"/>
    <w:rsid w:val="004608D8"/>
    <w:rsid w:val="004610D3"/>
    <w:rsid w:val="00461865"/>
    <w:rsid w:val="00464766"/>
    <w:rsid w:val="0047000B"/>
    <w:rsid w:val="00470945"/>
    <w:rsid w:val="00474424"/>
    <w:rsid w:val="004748D0"/>
    <w:rsid w:val="00477293"/>
    <w:rsid w:val="004776F7"/>
    <w:rsid w:val="0048051E"/>
    <w:rsid w:val="00486434"/>
    <w:rsid w:val="00486ED3"/>
    <w:rsid w:val="004901EC"/>
    <w:rsid w:val="0049352D"/>
    <w:rsid w:val="0049412D"/>
    <w:rsid w:val="0049449A"/>
    <w:rsid w:val="00495EE0"/>
    <w:rsid w:val="0049633E"/>
    <w:rsid w:val="00496D6A"/>
    <w:rsid w:val="00497102"/>
    <w:rsid w:val="004977A8"/>
    <w:rsid w:val="004A54B8"/>
    <w:rsid w:val="004A70F8"/>
    <w:rsid w:val="004A71CC"/>
    <w:rsid w:val="004B0585"/>
    <w:rsid w:val="004B2413"/>
    <w:rsid w:val="004B2E22"/>
    <w:rsid w:val="004B2E72"/>
    <w:rsid w:val="004B5B6F"/>
    <w:rsid w:val="004B68FA"/>
    <w:rsid w:val="004B6962"/>
    <w:rsid w:val="004C1953"/>
    <w:rsid w:val="004C1A34"/>
    <w:rsid w:val="004C23CD"/>
    <w:rsid w:val="004D0398"/>
    <w:rsid w:val="004D283E"/>
    <w:rsid w:val="004D302D"/>
    <w:rsid w:val="004D3225"/>
    <w:rsid w:val="004D32F6"/>
    <w:rsid w:val="004D3C13"/>
    <w:rsid w:val="004D3D78"/>
    <w:rsid w:val="004E05F6"/>
    <w:rsid w:val="004E0DF9"/>
    <w:rsid w:val="004E4181"/>
    <w:rsid w:val="004E5D43"/>
    <w:rsid w:val="004E61CF"/>
    <w:rsid w:val="004E75D8"/>
    <w:rsid w:val="004E7851"/>
    <w:rsid w:val="004F3A9B"/>
    <w:rsid w:val="005005F4"/>
    <w:rsid w:val="005027FB"/>
    <w:rsid w:val="00504987"/>
    <w:rsid w:val="0050539B"/>
    <w:rsid w:val="00505418"/>
    <w:rsid w:val="005056E8"/>
    <w:rsid w:val="00506AE7"/>
    <w:rsid w:val="00510499"/>
    <w:rsid w:val="00510E24"/>
    <w:rsid w:val="005129A4"/>
    <w:rsid w:val="00512F01"/>
    <w:rsid w:val="00513FF1"/>
    <w:rsid w:val="00514BC8"/>
    <w:rsid w:val="005161E1"/>
    <w:rsid w:val="00517314"/>
    <w:rsid w:val="005204B7"/>
    <w:rsid w:val="005216DF"/>
    <w:rsid w:val="0052274B"/>
    <w:rsid w:val="00524F71"/>
    <w:rsid w:val="00525931"/>
    <w:rsid w:val="0052620E"/>
    <w:rsid w:val="005271C5"/>
    <w:rsid w:val="00531CB4"/>
    <w:rsid w:val="0053294C"/>
    <w:rsid w:val="0053294E"/>
    <w:rsid w:val="00534F9D"/>
    <w:rsid w:val="00536B61"/>
    <w:rsid w:val="00544AEA"/>
    <w:rsid w:val="00550FC5"/>
    <w:rsid w:val="005645D0"/>
    <w:rsid w:val="005646B0"/>
    <w:rsid w:val="00564914"/>
    <w:rsid w:val="00565398"/>
    <w:rsid w:val="00565ACF"/>
    <w:rsid w:val="005660CE"/>
    <w:rsid w:val="00566D8E"/>
    <w:rsid w:val="00567708"/>
    <w:rsid w:val="00567800"/>
    <w:rsid w:val="00571A9F"/>
    <w:rsid w:val="0057242C"/>
    <w:rsid w:val="005750AC"/>
    <w:rsid w:val="00575E61"/>
    <w:rsid w:val="00576F5D"/>
    <w:rsid w:val="005801BC"/>
    <w:rsid w:val="00580713"/>
    <w:rsid w:val="0058129A"/>
    <w:rsid w:val="00581C48"/>
    <w:rsid w:val="00582F6F"/>
    <w:rsid w:val="00590F01"/>
    <w:rsid w:val="0059331C"/>
    <w:rsid w:val="00595F10"/>
    <w:rsid w:val="005A0D30"/>
    <w:rsid w:val="005A1347"/>
    <w:rsid w:val="005A4754"/>
    <w:rsid w:val="005A4C5A"/>
    <w:rsid w:val="005B0E27"/>
    <w:rsid w:val="005B14C6"/>
    <w:rsid w:val="005B2903"/>
    <w:rsid w:val="005B4E31"/>
    <w:rsid w:val="005B4E6F"/>
    <w:rsid w:val="005B6253"/>
    <w:rsid w:val="005B6A16"/>
    <w:rsid w:val="005B78CC"/>
    <w:rsid w:val="005B7FA3"/>
    <w:rsid w:val="005C1F33"/>
    <w:rsid w:val="005C3632"/>
    <w:rsid w:val="005C5FD2"/>
    <w:rsid w:val="005C6566"/>
    <w:rsid w:val="005D170E"/>
    <w:rsid w:val="005D226A"/>
    <w:rsid w:val="005D357C"/>
    <w:rsid w:val="005D373E"/>
    <w:rsid w:val="005D45BD"/>
    <w:rsid w:val="005D6994"/>
    <w:rsid w:val="005D6A79"/>
    <w:rsid w:val="005E0828"/>
    <w:rsid w:val="005E1C2D"/>
    <w:rsid w:val="005E206A"/>
    <w:rsid w:val="005E4B02"/>
    <w:rsid w:val="005E4DBD"/>
    <w:rsid w:val="005F0417"/>
    <w:rsid w:val="005F04FF"/>
    <w:rsid w:val="005F166A"/>
    <w:rsid w:val="005F27FE"/>
    <w:rsid w:val="005F3473"/>
    <w:rsid w:val="005F38B9"/>
    <w:rsid w:val="005F4C34"/>
    <w:rsid w:val="005F7A3C"/>
    <w:rsid w:val="00603E89"/>
    <w:rsid w:val="006041A0"/>
    <w:rsid w:val="0060669B"/>
    <w:rsid w:val="00606FB6"/>
    <w:rsid w:val="00612EA0"/>
    <w:rsid w:val="006136B5"/>
    <w:rsid w:val="006153A7"/>
    <w:rsid w:val="00617B14"/>
    <w:rsid w:val="00620787"/>
    <w:rsid w:val="00620B47"/>
    <w:rsid w:val="00624073"/>
    <w:rsid w:val="006240C9"/>
    <w:rsid w:val="00626254"/>
    <w:rsid w:val="00630C66"/>
    <w:rsid w:val="00634D75"/>
    <w:rsid w:val="00641252"/>
    <w:rsid w:val="00641E6B"/>
    <w:rsid w:val="00647DC1"/>
    <w:rsid w:val="00653F38"/>
    <w:rsid w:val="006544D5"/>
    <w:rsid w:val="00655EB2"/>
    <w:rsid w:val="0065749D"/>
    <w:rsid w:val="00662852"/>
    <w:rsid w:val="00662AC8"/>
    <w:rsid w:val="00663431"/>
    <w:rsid w:val="00663773"/>
    <w:rsid w:val="0066707F"/>
    <w:rsid w:val="006746FE"/>
    <w:rsid w:val="00675B1D"/>
    <w:rsid w:val="006801F6"/>
    <w:rsid w:val="006824D9"/>
    <w:rsid w:val="006827D3"/>
    <w:rsid w:val="0068506E"/>
    <w:rsid w:val="00687B25"/>
    <w:rsid w:val="00691128"/>
    <w:rsid w:val="0069163B"/>
    <w:rsid w:val="0069276D"/>
    <w:rsid w:val="00693A0E"/>
    <w:rsid w:val="00694833"/>
    <w:rsid w:val="00694B42"/>
    <w:rsid w:val="00694E04"/>
    <w:rsid w:val="00696C58"/>
    <w:rsid w:val="00696C93"/>
    <w:rsid w:val="006A29C2"/>
    <w:rsid w:val="006A4F62"/>
    <w:rsid w:val="006A7A1C"/>
    <w:rsid w:val="006B0151"/>
    <w:rsid w:val="006B1333"/>
    <w:rsid w:val="006B2321"/>
    <w:rsid w:val="006B31D8"/>
    <w:rsid w:val="006B4573"/>
    <w:rsid w:val="006B5130"/>
    <w:rsid w:val="006C155D"/>
    <w:rsid w:val="006C2011"/>
    <w:rsid w:val="006C714F"/>
    <w:rsid w:val="006D0012"/>
    <w:rsid w:val="006D1513"/>
    <w:rsid w:val="006D193E"/>
    <w:rsid w:val="006E0657"/>
    <w:rsid w:val="006E6BD2"/>
    <w:rsid w:val="006F1B32"/>
    <w:rsid w:val="006F1F4F"/>
    <w:rsid w:val="006F571D"/>
    <w:rsid w:val="006F665D"/>
    <w:rsid w:val="00701C59"/>
    <w:rsid w:val="007049AE"/>
    <w:rsid w:val="00706AF6"/>
    <w:rsid w:val="00707B75"/>
    <w:rsid w:val="00710E80"/>
    <w:rsid w:val="00711832"/>
    <w:rsid w:val="00712AC1"/>
    <w:rsid w:val="0071455E"/>
    <w:rsid w:val="00714B66"/>
    <w:rsid w:val="0072030A"/>
    <w:rsid w:val="007207E3"/>
    <w:rsid w:val="0072462D"/>
    <w:rsid w:val="00731641"/>
    <w:rsid w:val="00732292"/>
    <w:rsid w:val="007328F8"/>
    <w:rsid w:val="0073523E"/>
    <w:rsid w:val="007358FF"/>
    <w:rsid w:val="00737C7C"/>
    <w:rsid w:val="00740545"/>
    <w:rsid w:val="00740795"/>
    <w:rsid w:val="00742263"/>
    <w:rsid w:val="007423B0"/>
    <w:rsid w:val="00746BEB"/>
    <w:rsid w:val="00747411"/>
    <w:rsid w:val="007504DD"/>
    <w:rsid w:val="00754539"/>
    <w:rsid w:val="00757C3D"/>
    <w:rsid w:val="007612FB"/>
    <w:rsid w:val="00761A50"/>
    <w:rsid w:val="00762AAE"/>
    <w:rsid w:val="0076573F"/>
    <w:rsid w:val="007750BB"/>
    <w:rsid w:val="00775C67"/>
    <w:rsid w:val="0077698F"/>
    <w:rsid w:val="007827DF"/>
    <w:rsid w:val="00783A16"/>
    <w:rsid w:val="00787021"/>
    <w:rsid w:val="00792828"/>
    <w:rsid w:val="00796AD7"/>
    <w:rsid w:val="00797CE8"/>
    <w:rsid w:val="007A324B"/>
    <w:rsid w:val="007B4CAB"/>
    <w:rsid w:val="007B72EE"/>
    <w:rsid w:val="007C0971"/>
    <w:rsid w:val="007C1628"/>
    <w:rsid w:val="007C1A66"/>
    <w:rsid w:val="007C1CB6"/>
    <w:rsid w:val="007C2E95"/>
    <w:rsid w:val="007C4EFC"/>
    <w:rsid w:val="007D04F6"/>
    <w:rsid w:val="007D3013"/>
    <w:rsid w:val="007D3031"/>
    <w:rsid w:val="007D48E0"/>
    <w:rsid w:val="007D5EFE"/>
    <w:rsid w:val="007E2B94"/>
    <w:rsid w:val="007E56A9"/>
    <w:rsid w:val="007F0360"/>
    <w:rsid w:val="007F175D"/>
    <w:rsid w:val="007F7B8B"/>
    <w:rsid w:val="0080056D"/>
    <w:rsid w:val="0080436F"/>
    <w:rsid w:val="00806F14"/>
    <w:rsid w:val="00806F3D"/>
    <w:rsid w:val="00812885"/>
    <w:rsid w:val="0081464E"/>
    <w:rsid w:val="00814E2F"/>
    <w:rsid w:val="00820C38"/>
    <w:rsid w:val="008259E7"/>
    <w:rsid w:val="00833986"/>
    <w:rsid w:val="0084067A"/>
    <w:rsid w:val="00842F3E"/>
    <w:rsid w:val="00843032"/>
    <w:rsid w:val="008431F5"/>
    <w:rsid w:val="00847B3D"/>
    <w:rsid w:val="00853CF4"/>
    <w:rsid w:val="0085640D"/>
    <w:rsid w:val="00860401"/>
    <w:rsid w:val="00864438"/>
    <w:rsid w:val="008645A1"/>
    <w:rsid w:val="00866D6C"/>
    <w:rsid w:val="00872CCA"/>
    <w:rsid w:val="0087395F"/>
    <w:rsid w:val="008763F6"/>
    <w:rsid w:val="00891F5F"/>
    <w:rsid w:val="008A51A9"/>
    <w:rsid w:val="008B34EC"/>
    <w:rsid w:val="008C046D"/>
    <w:rsid w:val="008C13AB"/>
    <w:rsid w:val="008C3B94"/>
    <w:rsid w:val="008C3F37"/>
    <w:rsid w:val="008D30B3"/>
    <w:rsid w:val="008D7C95"/>
    <w:rsid w:val="008E6DC2"/>
    <w:rsid w:val="008F4D5A"/>
    <w:rsid w:val="009038BE"/>
    <w:rsid w:val="00903C28"/>
    <w:rsid w:val="009048CA"/>
    <w:rsid w:val="00904F86"/>
    <w:rsid w:val="00910E82"/>
    <w:rsid w:val="00911759"/>
    <w:rsid w:val="00912DB0"/>
    <w:rsid w:val="0091574D"/>
    <w:rsid w:val="00922B82"/>
    <w:rsid w:val="00925AC1"/>
    <w:rsid w:val="00932181"/>
    <w:rsid w:val="009339FE"/>
    <w:rsid w:val="00935EDB"/>
    <w:rsid w:val="00936074"/>
    <w:rsid w:val="00937191"/>
    <w:rsid w:val="00937623"/>
    <w:rsid w:val="00943169"/>
    <w:rsid w:val="00946CF7"/>
    <w:rsid w:val="00952D12"/>
    <w:rsid w:val="00956472"/>
    <w:rsid w:val="00977719"/>
    <w:rsid w:val="009815D7"/>
    <w:rsid w:val="00984C58"/>
    <w:rsid w:val="00984ED5"/>
    <w:rsid w:val="00991FD0"/>
    <w:rsid w:val="00993B71"/>
    <w:rsid w:val="009A3156"/>
    <w:rsid w:val="009A3DFA"/>
    <w:rsid w:val="009A4F3A"/>
    <w:rsid w:val="009A5D1D"/>
    <w:rsid w:val="009A77DE"/>
    <w:rsid w:val="009B1A46"/>
    <w:rsid w:val="009B2394"/>
    <w:rsid w:val="009B29EC"/>
    <w:rsid w:val="009B6044"/>
    <w:rsid w:val="009B7343"/>
    <w:rsid w:val="009C2737"/>
    <w:rsid w:val="009C346B"/>
    <w:rsid w:val="009D1A05"/>
    <w:rsid w:val="009D5456"/>
    <w:rsid w:val="009D5724"/>
    <w:rsid w:val="009D7F71"/>
    <w:rsid w:val="009E0146"/>
    <w:rsid w:val="009F00FA"/>
    <w:rsid w:val="009F07DA"/>
    <w:rsid w:val="009F247D"/>
    <w:rsid w:val="009F2853"/>
    <w:rsid w:val="009F28B5"/>
    <w:rsid w:val="009F2964"/>
    <w:rsid w:val="009F35FD"/>
    <w:rsid w:val="009F546E"/>
    <w:rsid w:val="00A01696"/>
    <w:rsid w:val="00A06820"/>
    <w:rsid w:val="00A117A2"/>
    <w:rsid w:val="00A11FDA"/>
    <w:rsid w:val="00A13B99"/>
    <w:rsid w:val="00A15DAF"/>
    <w:rsid w:val="00A15E60"/>
    <w:rsid w:val="00A17764"/>
    <w:rsid w:val="00A31D8E"/>
    <w:rsid w:val="00A36764"/>
    <w:rsid w:val="00A36EA6"/>
    <w:rsid w:val="00A44D32"/>
    <w:rsid w:val="00A464FE"/>
    <w:rsid w:val="00A47C79"/>
    <w:rsid w:val="00A55C29"/>
    <w:rsid w:val="00A56805"/>
    <w:rsid w:val="00A575BD"/>
    <w:rsid w:val="00A60317"/>
    <w:rsid w:val="00A60F32"/>
    <w:rsid w:val="00A64295"/>
    <w:rsid w:val="00A64AD2"/>
    <w:rsid w:val="00A6769E"/>
    <w:rsid w:val="00A70B90"/>
    <w:rsid w:val="00A73924"/>
    <w:rsid w:val="00A77C36"/>
    <w:rsid w:val="00A80ABF"/>
    <w:rsid w:val="00A80C6B"/>
    <w:rsid w:val="00A80F9F"/>
    <w:rsid w:val="00A81C49"/>
    <w:rsid w:val="00A81C84"/>
    <w:rsid w:val="00A8724E"/>
    <w:rsid w:val="00A9019D"/>
    <w:rsid w:val="00A9216D"/>
    <w:rsid w:val="00A945E9"/>
    <w:rsid w:val="00A95549"/>
    <w:rsid w:val="00A96DB1"/>
    <w:rsid w:val="00AA034C"/>
    <w:rsid w:val="00AA399B"/>
    <w:rsid w:val="00AA5DCF"/>
    <w:rsid w:val="00AA6A24"/>
    <w:rsid w:val="00AB0649"/>
    <w:rsid w:val="00AB2921"/>
    <w:rsid w:val="00AB3AC3"/>
    <w:rsid w:val="00AC15D8"/>
    <w:rsid w:val="00AC19A6"/>
    <w:rsid w:val="00AC1F4E"/>
    <w:rsid w:val="00AC5B92"/>
    <w:rsid w:val="00AC6031"/>
    <w:rsid w:val="00AC758D"/>
    <w:rsid w:val="00AC7F14"/>
    <w:rsid w:val="00AD3F61"/>
    <w:rsid w:val="00AD56A2"/>
    <w:rsid w:val="00AE086F"/>
    <w:rsid w:val="00AE27E6"/>
    <w:rsid w:val="00AF0F08"/>
    <w:rsid w:val="00AF16F6"/>
    <w:rsid w:val="00AF4A2F"/>
    <w:rsid w:val="00AF6EF8"/>
    <w:rsid w:val="00B0229D"/>
    <w:rsid w:val="00B052DA"/>
    <w:rsid w:val="00B07111"/>
    <w:rsid w:val="00B10871"/>
    <w:rsid w:val="00B2471F"/>
    <w:rsid w:val="00B3028B"/>
    <w:rsid w:val="00B30D7F"/>
    <w:rsid w:val="00B3451A"/>
    <w:rsid w:val="00B362AD"/>
    <w:rsid w:val="00B37488"/>
    <w:rsid w:val="00B438EA"/>
    <w:rsid w:val="00B44DF0"/>
    <w:rsid w:val="00B51BA4"/>
    <w:rsid w:val="00B533CA"/>
    <w:rsid w:val="00B54A2D"/>
    <w:rsid w:val="00B55882"/>
    <w:rsid w:val="00B5599C"/>
    <w:rsid w:val="00B619C1"/>
    <w:rsid w:val="00B64556"/>
    <w:rsid w:val="00B667DE"/>
    <w:rsid w:val="00B70844"/>
    <w:rsid w:val="00B7214D"/>
    <w:rsid w:val="00B74499"/>
    <w:rsid w:val="00B7714B"/>
    <w:rsid w:val="00B80570"/>
    <w:rsid w:val="00B83BDD"/>
    <w:rsid w:val="00B8445F"/>
    <w:rsid w:val="00B852D2"/>
    <w:rsid w:val="00B85A22"/>
    <w:rsid w:val="00B86F58"/>
    <w:rsid w:val="00B911CC"/>
    <w:rsid w:val="00B92308"/>
    <w:rsid w:val="00B92391"/>
    <w:rsid w:val="00B97CEC"/>
    <w:rsid w:val="00BA466A"/>
    <w:rsid w:val="00BA4E03"/>
    <w:rsid w:val="00BA6EC5"/>
    <w:rsid w:val="00BB212E"/>
    <w:rsid w:val="00BB22F6"/>
    <w:rsid w:val="00BB48DC"/>
    <w:rsid w:val="00BB7A61"/>
    <w:rsid w:val="00BC1404"/>
    <w:rsid w:val="00BC15B1"/>
    <w:rsid w:val="00BC71BD"/>
    <w:rsid w:val="00BD04F8"/>
    <w:rsid w:val="00BD224E"/>
    <w:rsid w:val="00BD28AF"/>
    <w:rsid w:val="00BD5B63"/>
    <w:rsid w:val="00BD6AD4"/>
    <w:rsid w:val="00BD7660"/>
    <w:rsid w:val="00BD7BD5"/>
    <w:rsid w:val="00BE7914"/>
    <w:rsid w:val="00BF3C7F"/>
    <w:rsid w:val="00BF5F39"/>
    <w:rsid w:val="00C02C16"/>
    <w:rsid w:val="00C04FFB"/>
    <w:rsid w:val="00C10817"/>
    <w:rsid w:val="00C13719"/>
    <w:rsid w:val="00C14528"/>
    <w:rsid w:val="00C17F09"/>
    <w:rsid w:val="00C210DF"/>
    <w:rsid w:val="00C2371A"/>
    <w:rsid w:val="00C23EAA"/>
    <w:rsid w:val="00C27A19"/>
    <w:rsid w:val="00C32CE6"/>
    <w:rsid w:val="00C3373A"/>
    <w:rsid w:val="00C33F4E"/>
    <w:rsid w:val="00C362CF"/>
    <w:rsid w:val="00C36FC8"/>
    <w:rsid w:val="00C43952"/>
    <w:rsid w:val="00C506BE"/>
    <w:rsid w:val="00C50819"/>
    <w:rsid w:val="00C52924"/>
    <w:rsid w:val="00C52CE9"/>
    <w:rsid w:val="00C61988"/>
    <w:rsid w:val="00C6431A"/>
    <w:rsid w:val="00C649C5"/>
    <w:rsid w:val="00C6559C"/>
    <w:rsid w:val="00C66999"/>
    <w:rsid w:val="00C7508C"/>
    <w:rsid w:val="00C77B10"/>
    <w:rsid w:val="00C815DC"/>
    <w:rsid w:val="00C82AB9"/>
    <w:rsid w:val="00C83EEC"/>
    <w:rsid w:val="00C84CD8"/>
    <w:rsid w:val="00C87143"/>
    <w:rsid w:val="00C96110"/>
    <w:rsid w:val="00C971FE"/>
    <w:rsid w:val="00CA04AA"/>
    <w:rsid w:val="00CA4731"/>
    <w:rsid w:val="00CB28E1"/>
    <w:rsid w:val="00CB29DA"/>
    <w:rsid w:val="00CC1740"/>
    <w:rsid w:val="00CC22AB"/>
    <w:rsid w:val="00CC2656"/>
    <w:rsid w:val="00CC4AC6"/>
    <w:rsid w:val="00CC5CFA"/>
    <w:rsid w:val="00CC7647"/>
    <w:rsid w:val="00CD5E0F"/>
    <w:rsid w:val="00CE750A"/>
    <w:rsid w:val="00CF11DF"/>
    <w:rsid w:val="00CF22D1"/>
    <w:rsid w:val="00CF3296"/>
    <w:rsid w:val="00CF7B0F"/>
    <w:rsid w:val="00D058D1"/>
    <w:rsid w:val="00D13958"/>
    <w:rsid w:val="00D15640"/>
    <w:rsid w:val="00D16AC3"/>
    <w:rsid w:val="00D22C97"/>
    <w:rsid w:val="00D23463"/>
    <w:rsid w:val="00D23ABF"/>
    <w:rsid w:val="00D27F55"/>
    <w:rsid w:val="00D32FD4"/>
    <w:rsid w:val="00D33DCC"/>
    <w:rsid w:val="00D34B57"/>
    <w:rsid w:val="00D4346D"/>
    <w:rsid w:val="00D46087"/>
    <w:rsid w:val="00D50271"/>
    <w:rsid w:val="00D51B20"/>
    <w:rsid w:val="00D51D44"/>
    <w:rsid w:val="00D52557"/>
    <w:rsid w:val="00D55570"/>
    <w:rsid w:val="00D557FA"/>
    <w:rsid w:val="00D63691"/>
    <w:rsid w:val="00D63C5B"/>
    <w:rsid w:val="00D65777"/>
    <w:rsid w:val="00D65A85"/>
    <w:rsid w:val="00D700F4"/>
    <w:rsid w:val="00D72D47"/>
    <w:rsid w:val="00D741E3"/>
    <w:rsid w:val="00D805DF"/>
    <w:rsid w:val="00D81A64"/>
    <w:rsid w:val="00D82629"/>
    <w:rsid w:val="00D86E6D"/>
    <w:rsid w:val="00D93573"/>
    <w:rsid w:val="00D96181"/>
    <w:rsid w:val="00D965B6"/>
    <w:rsid w:val="00D968C9"/>
    <w:rsid w:val="00DA41C8"/>
    <w:rsid w:val="00DA7EBC"/>
    <w:rsid w:val="00DC09DE"/>
    <w:rsid w:val="00DC1207"/>
    <w:rsid w:val="00DC3179"/>
    <w:rsid w:val="00DC5526"/>
    <w:rsid w:val="00DD317D"/>
    <w:rsid w:val="00DD3C0D"/>
    <w:rsid w:val="00DD3C2C"/>
    <w:rsid w:val="00DD428E"/>
    <w:rsid w:val="00DD7657"/>
    <w:rsid w:val="00DE3355"/>
    <w:rsid w:val="00DE40A6"/>
    <w:rsid w:val="00DE583F"/>
    <w:rsid w:val="00DF0D70"/>
    <w:rsid w:val="00DF4B1F"/>
    <w:rsid w:val="00DF763C"/>
    <w:rsid w:val="00E0470E"/>
    <w:rsid w:val="00E060E7"/>
    <w:rsid w:val="00E10055"/>
    <w:rsid w:val="00E1100F"/>
    <w:rsid w:val="00E11521"/>
    <w:rsid w:val="00E13468"/>
    <w:rsid w:val="00E14B6F"/>
    <w:rsid w:val="00E22760"/>
    <w:rsid w:val="00E24F07"/>
    <w:rsid w:val="00E25727"/>
    <w:rsid w:val="00E26781"/>
    <w:rsid w:val="00E26BB9"/>
    <w:rsid w:val="00E31CBD"/>
    <w:rsid w:val="00E337BD"/>
    <w:rsid w:val="00E3791C"/>
    <w:rsid w:val="00E402CC"/>
    <w:rsid w:val="00E405E3"/>
    <w:rsid w:val="00E43140"/>
    <w:rsid w:val="00E4712F"/>
    <w:rsid w:val="00E514DA"/>
    <w:rsid w:val="00E61247"/>
    <w:rsid w:val="00E6157C"/>
    <w:rsid w:val="00E61B01"/>
    <w:rsid w:val="00E6552B"/>
    <w:rsid w:val="00E6586D"/>
    <w:rsid w:val="00E66A04"/>
    <w:rsid w:val="00E730EF"/>
    <w:rsid w:val="00E74594"/>
    <w:rsid w:val="00E77777"/>
    <w:rsid w:val="00E77C54"/>
    <w:rsid w:val="00E8468E"/>
    <w:rsid w:val="00E85B4A"/>
    <w:rsid w:val="00E90472"/>
    <w:rsid w:val="00E9211A"/>
    <w:rsid w:val="00E93741"/>
    <w:rsid w:val="00E97250"/>
    <w:rsid w:val="00EA01E4"/>
    <w:rsid w:val="00EA0844"/>
    <w:rsid w:val="00EA0DEF"/>
    <w:rsid w:val="00EA37EF"/>
    <w:rsid w:val="00EA4D14"/>
    <w:rsid w:val="00EB09B8"/>
    <w:rsid w:val="00EB2B6A"/>
    <w:rsid w:val="00EB3F40"/>
    <w:rsid w:val="00EB6CAF"/>
    <w:rsid w:val="00EB7CA4"/>
    <w:rsid w:val="00EC34D6"/>
    <w:rsid w:val="00EC7A57"/>
    <w:rsid w:val="00ED090C"/>
    <w:rsid w:val="00ED0B16"/>
    <w:rsid w:val="00ED454E"/>
    <w:rsid w:val="00ED52C7"/>
    <w:rsid w:val="00ED5384"/>
    <w:rsid w:val="00ED5A32"/>
    <w:rsid w:val="00EE59B0"/>
    <w:rsid w:val="00EE76E5"/>
    <w:rsid w:val="00EF553A"/>
    <w:rsid w:val="00EF697B"/>
    <w:rsid w:val="00F00C10"/>
    <w:rsid w:val="00F01BB1"/>
    <w:rsid w:val="00F05092"/>
    <w:rsid w:val="00F0538B"/>
    <w:rsid w:val="00F07C28"/>
    <w:rsid w:val="00F12421"/>
    <w:rsid w:val="00F20BE0"/>
    <w:rsid w:val="00F218F4"/>
    <w:rsid w:val="00F25F86"/>
    <w:rsid w:val="00F30ECE"/>
    <w:rsid w:val="00F3306A"/>
    <w:rsid w:val="00F337A8"/>
    <w:rsid w:val="00F37775"/>
    <w:rsid w:val="00F37EAD"/>
    <w:rsid w:val="00F4013C"/>
    <w:rsid w:val="00F42A92"/>
    <w:rsid w:val="00F437A0"/>
    <w:rsid w:val="00F43FF8"/>
    <w:rsid w:val="00F441C6"/>
    <w:rsid w:val="00F44CCC"/>
    <w:rsid w:val="00F45260"/>
    <w:rsid w:val="00F452F8"/>
    <w:rsid w:val="00F45D00"/>
    <w:rsid w:val="00F47A29"/>
    <w:rsid w:val="00F502C2"/>
    <w:rsid w:val="00F5087E"/>
    <w:rsid w:val="00F50A26"/>
    <w:rsid w:val="00F521D0"/>
    <w:rsid w:val="00F52CDF"/>
    <w:rsid w:val="00F530A4"/>
    <w:rsid w:val="00F54477"/>
    <w:rsid w:val="00F548D4"/>
    <w:rsid w:val="00F55692"/>
    <w:rsid w:val="00F63CBA"/>
    <w:rsid w:val="00F63ECC"/>
    <w:rsid w:val="00F658D3"/>
    <w:rsid w:val="00F66B10"/>
    <w:rsid w:val="00F66BEB"/>
    <w:rsid w:val="00F8332E"/>
    <w:rsid w:val="00F83FF5"/>
    <w:rsid w:val="00F92551"/>
    <w:rsid w:val="00F92B07"/>
    <w:rsid w:val="00F936DB"/>
    <w:rsid w:val="00F93896"/>
    <w:rsid w:val="00F9418B"/>
    <w:rsid w:val="00F9516D"/>
    <w:rsid w:val="00F9604D"/>
    <w:rsid w:val="00FA34A0"/>
    <w:rsid w:val="00FB4A0C"/>
    <w:rsid w:val="00FB791F"/>
    <w:rsid w:val="00FB7C6B"/>
    <w:rsid w:val="00FC1A18"/>
    <w:rsid w:val="00FC1BD1"/>
    <w:rsid w:val="00FC26B8"/>
    <w:rsid w:val="00FC3D9B"/>
    <w:rsid w:val="00FC6E5A"/>
    <w:rsid w:val="00FD0299"/>
    <w:rsid w:val="00FD14BC"/>
    <w:rsid w:val="00FD2D15"/>
    <w:rsid w:val="00FD506F"/>
    <w:rsid w:val="00FD5B0F"/>
    <w:rsid w:val="00FD7928"/>
    <w:rsid w:val="00FE0CFD"/>
    <w:rsid w:val="00FE4031"/>
    <w:rsid w:val="00FF1574"/>
    <w:rsid w:val="00FF5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1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1C05B7"/>
    <w:pPr>
      <w:keepNext/>
      <w:numPr>
        <w:numId w:val="2"/>
      </w:numPr>
      <w:spacing w:before="240" w:after="240"/>
      <w:ind w:left="72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104B50"/>
    <w:pPr>
      <w:keepNext/>
      <w:keepLines/>
      <w:numPr>
        <w:numId w:val="3"/>
      </w:numPr>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unhideWhenUsed/>
    <w:qFormat/>
    <w:rsid w:val="00103918"/>
    <w:pPr>
      <w:keepNext/>
      <w:keepLines/>
      <w:numPr>
        <w:numId w:val="8"/>
      </w:numPr>
      <w:spacing w:after="240"/>
      <w:ind w:left="2160" w:hanging="720"/>
      <w:outlineLvl w:val="2"/>
    </w:pPr>
    <w:rPr>
      <w:rFonts w:ascii="Times New Roman Bold" w:hAnsi="Times New Roman Bold" w:eastAsiaTheme="majorEastAsia" w:cstheme="majorBidi"/>
      <w:b/>
      <w:bCs/>
    </w:rPr>
  </w:style>
  <w:style w:type="paragraph" w:styleId="Heading4">
    <w:name w:val="heading 4"/>
    <w:basedOn w:val="Normal"/>
    <w:next w:val="Normal"/>
    <w:link w:val="Heading4Char"/>
    <w:uiPriority w:val="9"/>
    <w:unhideWhenUsed/>
    <w:qFormat/>
    <w:rsid w:val="0060669B"/>
    <w:pPr>
      <w:keepNext/>
      <w:keepLines/>
      <w:spacing w:after="240"/>
      <w:ind w:left="2880" w:hanging="720"/>
      <w:outlineLvl w:val="3"/>
    </w:pPr>
    <w:rPr>
      <w:rFonts w:ascii="Times New Roman Bold" w:hAnsi="Times New Roman Bold"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5B7"/>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104B50"/>
    <w:rPr>
      <w:rFonts w:ascii="Times New Roman Bold" w:eastAsia="Times New Roman" w:hAnsi="Times New Roman Bold" w:cs="Times New Roman"/>
      <w:b/>
      <w:sz w:val="24"/>
      <w:szCs w:val="24"/>
    </w:rPr>
  </w:style>
  <w:style w:type="paragraph" w:styleId="ListParagraph">
    <w:name w:val="List Paragraph"/>
    <w:basedOn w:val="Normal"/>
    <w:uiPriority w:val="34"/>
    <w:qFormat/>
    <w:rsid w:val="004776F7"/>
    <w:pPr>
      <w:ind w:left="720"/>
      <w:contextualSpacing/>
    </w:p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4776F7"/>
    <w:rPr>
      <w:sz w:val="20"/>
    </w:rPr>
  </w:style>
  <w:style w:type="character" w:customStyle="1" w:styleId="FootnoteTextChar">
    <w:name w:val="Footnote Text Char"/>
    <w:aliases w:val="Footnote Text Cha Char,Footnote Text Char Char4 Char Char1,Footnote Text Char Char4 Char1 Char Char Char1,Footnote Text Char2 Char,Footnote Text Char4 Char Char1,Footnote Text Char4 Char1 Char Char Char1"/>
    <w:basedOn w:val="DefaultParagraphFont"/>
    <w:link w:val="FootnoteText"/>
    <w:uiPriority w:val="99"/>
    <w:semiHidden/>
    <w:rsid w:val="004776F7"/>
    <w:rPr>
      <w:rFonts w:ascii="Times New Roman" w:eastAsia="Times New Roman" w:hAnsi="Times New Roman" w:cs="Times New Roman"/>
      <w:sz w:val="20"/>
      <w:szCs w:val="20"/>
    </w:rPr>
  </w:style>
  <w:style w:type="character" w:styleId="FootnoteReference">
    <w:name w:val="footnote reference"/>
    <w:aliases w:val="o"/>
    <w:rsid w:val="004776F7"/>
    <w:rPr>
      <w:vertAlign w:val="superscript"/>
    </w:rPr>
  </w:style>
  <w:style w:type="paragraph" w:styleId="HTMLPreformatted">
    <w:name w:val="HTML Preformatted"/>
    <w:aliases w:val=" Char,Char"/>
    <w:basedOn w:val="Normal"/>
    <w:link w:val="HTMLPreformattedChar"/>
    <w:rsid w:val="0047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aliases w:val=" Char Char,Char Char"/>
    <w:basedOn w:val="DefaultParagraphFont"/>
    <w:link w:val="HTMLPreformatted"/>
    <w:rsid w:val="004776F7"/>
    <w:rPr>
      <w:rFonts w:ascii="Courier New" w:eastAsia="Courier New" w:hAnsi="Courier New" w:cs="Courier New"/>
      <w:sz w:val="20"/>
      <w:szCs w:val="20"/>
    </w:rPr>
  </w:style>
  <w:style w:type="character" w:styleId="Hyperlink">
    <w:name w:val="Hyperlink"/>
    <w:uiPriority w:val="99"/>
    <w:rsid w:val="004776F7"/>
    <w:rPr>
      <w:color w:val="0000FF"/>
      <w:u w:val="single"/>
    </w:rPr>
  </w:style>
  <w:style w:type="paragraph" w:styleId="Footer">
    <w:name w:val="footer"/>
    <w:basedOn w:val="Normal"/>
    <w:link w:val="FooterChar"/>
    <w:uiPriority w:val="99"/>
    <w:rsid w:val="004776F7"/>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sid w:val="004776F7"/>
    <w:rPr>
      <w:rFonts w:ascii="Arial" w:eastAsia="Times New Roman" w:hAnsi="Arial" w:cs="Arial"/>
      <w:sz w:val="24"/>
      <w:szCs w:val="24"/>
    </w:rPr>
  </w:style>
  <w:style w:type="paragraph" w:styleId="EndnoteText">
    <w:name w:val="endnote text"/>
    <w:basedOn w:val="Normal"/>
    <w:link w:val="EndnoteTextChar"/>
    <w:semiHidden/>
    <w:rsid w:val="004776F7"/>
    <w:pPr>
      <w:widowControl w:val="0"/>
    </w:pPr>
    <w:rPr>
      <w:rFonts w:ascii="Courier New" w:hAnsi="Courier New"/>
      <w:snapToGrid w:val="0"/>
    </w:rPr>
  </w:style>
  <w:style w:type="character" w:customStyle="1" w:styleId="EndnoteTextChar">
    <w:name w:val="Endnote Text Char"/>
    <w:basedOn w:val="DefaultParagraphFont"/>
    <w:link w:val="EndnoteText"/>
    <w:semiHidden/>
    <w:rsid w:val="004776F7"/>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sid w:val="004776F7"/>
    <w:rPr>
      <w:sz w:val="16"/>
      <w:szCs w:val="16"/>
    </w:rPr>
  </w:style>
  <w:style w:type="paragraph" w:styleId="CommentText">
    <w:name w:val="annotation text"/>
    <w:basedOn w:val="Normal"/>
    <w:link w:val="CommentTextChar"/>
    <w:uiPriority w:val="99"/>
    <w:unhideWhenUsed/>
    <w:rsid w:val="004776F7"/>
    <w:rPr>
      <w:sz w:val="20"/>
    </w:rPr>
  </w:style>
  <w:style w:type="character" w:customStyle="1" w:styleId="CommentTextChar">
    <w:name w:val="Comment Text Char"/>
    <w:basedOn w:val="DefaultParagraphFont"/>
    <w:link w:val="CommentText"/>
    <w:uiPriority w:val="99"/>
    <w:rsid w:val="004776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6F7"/>
    <w:rPr>
      <w:b/>
      <w:bCs/>
    </w:rPr>
  </w:style>
  <w:style w:type="character" w:customStyle="1" w:styleId="CommentSubjectChar">
    <w:name w:val="Comment Subject Char"/>
    <w:basedOn w:val="CommentTextChar"/>
    <w:link w:val="CommentSubject"/>
    <w:uiPriority w:val="99"/>
    <w:semiHidden/>
    <w:rsid w:val="004776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76F7"/>
    <w:rPr>
      <w:rFonts w:ascii="Tahoma" w:hAnsi="Tahoma" w:cs="Tahoma"/>
      <w:sz w:val="16"/>
      <w:szCs w:val="16"/>
    </w:rPr>
  </w:style>
  <w:style w:type="character" w:customStyle="1" w:styleId="BalloonTextChar">
    <w:name w:val="Balloon Text Char"/>
    <w:basedOn w:val="DefaultParagraphFont"/>
    <w:link w:val="BalloonText"/>
    <w:uiPriority w:val="99"/>
    <w:semiHidden/>
    <w:rsid w:val="004776F7"/>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103918"/>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581C48"/>
    <w:pPr>
      <w:tabs>
        <w:tab w:val="decimal" w:leader="dot" w:pos="9360"/>
      </w:tabs>
      <w:spacing w:after="240"/>
      <w:ind w:left="720" w:hanging="720"/>
    </w:pPr>
    <w:rPr>
      <w:caps/>
      <w:noProof/>
    </w:rPr>
  </w:style>
  <w:style w:type="paragraph" w:styleId="TOC2">
    <w:name w:val="toc 2"/>
    <w:basedOn w:val="Normal"/>
    <w:next w:val="Normal"/>
    <w:autoRedefine/>
    <w:uiPriority w:val="39"/>
    <w:unhideWhenUsed/>
    <w:qFormat/>
    <w:rsid w:val="00581C48"/>
    <w:pPr>
      <w:tabs>
        <w:tab w:val="decimal" w:leader="dot" w:pos="936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84427E"/>
    <w:rPr>
      <w:color w:val="605E5C"/>
      <w:shd w:val="clear" w:color="auto" w:fill="E1DFDD"/>
    </w:rPr>
  </w:style>
  <w:style w:type="paragraph" w:styleId="BodyTextIndent3">
    <w:name w:val="Body Text Indent 3"/>
    <w:basedOn w:val="Normal"/>
    <w:link w:val="BodyTextIndent3Char"/>
    <w:uiPriority w:val="99"/>
    <w:semiHidden/>
    <w:unhideWhenUsed/>
    <w:rsid w:val="00115A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5AF7"/>
    <w:rPr>
      <w:rFonts w:ascii="Times New Roman" w:eastAsia="Times New Roman" w:hAnsi="Times New Roman" w:cs="Times New Roman"/>
      <w:sz w:val="16"/>
      <w:szCs w:val="16"/>
    </w:rPr>
  </w:style>
  <w:style w:type="character" w:customStyle="1" w:styleId="FootnoteTextChar1">
    <w:name w:val="Footnote Text Char1"/>
    <w:aliases w:val="Footnote Text Char Char,Footnote Text Char Char4 Char Char,Footnote Text Char Char4 Char1 Char Char Char,Footnote Text Char4 Char Char,Footnote Text Char4 Char1 Char Char Char,Footnote Text Char5 Char1 Char Char Char Char Char Char"/>
    <w:locked/>
    <w:rsid w:val="007750BB"/>
    <w:rPr>
      <w:lang w:val="en-US" w:eastAsia="en-US" w:bidi="ar-SA"/>
    </w:rPr>
  </w:style>
  <w:style w:type="character" w:customStyle="1" w:styleId="Heading4Char">
    <w:name w:val="Heading 4 Char"/>
    <w:basedOn w:val="DefaultParagraphFont"/>
    <w:link w:val="Heading4"/>
    <w:uiPriority w:val="9"/>
    <w:rsid w:val="0060669B"/>
    <w:rPr>
      <w:rFonts w:ascii="Times New Roman Bold" w:hAnsi="Times New Roman Bold" w:eastAsiaTheme="majorEastAsia" w:cstheme="majorBidi"/>
      <w:b/>
      <w:iCs/>
      <w:sz w:val="24"/>
      <w:szCs w:val="20"/>
    </w:rPr>
  </w:style>
  <w:style w:type="paragraph" w:styleId="TOC3">
    <w:name w:val="toc 3"/>
    <w:basedOn w:val="Normal"/>
    <w:next w:val="Normal"/>
    <w:autoRedefine/>
    <w:uiPriority w:val="39"/>
    <w:unhideWhenUsed/>
    <w:rsid w:val="00581C48"/>
    <w:pPr>
      <w:tabs>
        <w:tab w:val="decimal" w:leader="dot" w:pos="9360"/>
      </w:tabs>
      <w:spacing w:after="240"/>
      <w:ind w:left="2160" w:hanging="720"/>
    </w:pPr>
  </w:style>
  <w:style w:type="paragraph" w:styleId="TOC4">
    <w:name w:val="toc 4"/>
    <w:basedOn w:val="Normal"/>
    <w:next w:val="Normal"/>
    <w:autoRedefine/>
    <w:uiPriority w:val="39"/>
    <w:unhideWhenUsed/>
    <w:rsid w:val="00E26781"/>
    <w:pPr>
      <w:tabs>
        <w:tab w:val="left" w:pos="720"/>
        <w:tab w:val="left" w:pos="2880"/>
        <w:tab w:val="decimal" w:leader="dot" w:pos="9360"/>
      </w:tabs>
      <w:spacing w:after="240"/>
      <w:ind w:left="2880" w:hanging="720"/>
    </w:pPr>
  </w:style>
  <w:style w:type="character" w:customStyle="1" w:styleId="UnresolvedMention2">
    <w:name w:val="Unresolved Mention2"/>
    <w:basedOn w:val="DefaultParagraphFont"/>
    <w:uiPriority w:val="99"/>
    <w:semiHidden/>
    <w:unhideWhenUsed/>
    <w:rsid w:val="00510E24"/>
    <w:rPr>
      <w:color w:val="605E5C"/>
      <w:shd w:val="clear" w:color="auto" w:fill="E1DFDD"/>
    </w:rPr>
  </w:style>
  <w:style w:type="paragraph" w:styleId="NormalWeb">
    <w:name w:val="Normal (Web)"/>
    <w:basedOn w:val="Normal"/>
    <w:uiPriority w:val="99"/>
    <w:unhideWhenUsed/>
    <w:rsid w:val="006D0012"/>
    <w:pPr>
      <w:spacing w:before="100" w:beforeAutospacing="1" w:after="100" w:afterAutospacing="1"/>
    </w:pPr>
    <w:rPr>
      <w:szCs w:val="24"/>
    </w:rPr>
  </w:style>
  <w:style w:type="character" w:customStyle="1" w:styleId="UnresolvedMention3">
    <w:name w:val="Unresolved Mention3"/>
    <w:basedOn w:val="DefaultParagraphFont"/>
    <w:uiPriority w:val="99"/>
    <w:rsid w:val="004B2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kurtz@bkllawfirm.com" TargetMode="External" /><Relationship Id="rId11" Type="http://schemas.openxmlformats.org/officeDocument/2006/relationships/hyperlink" Target="mailto:kboehm@bkllawfirm.com" TargetMode="External" /><Relationship Id="rId12" Type="http://schemas.openxmlformats.org/officeDocument/2006/relationships/hyperlink" Target="mailto:jkylercohn@bkllawfirm.com" TargetMode="External" /><Relationship Id="rId13" Type="http://schemas.openxmlformats.org/officeDocument/2006/relationships/hyperlink" Target="mailto:paul@carpenterlipps.com" TargetMode="Externa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A5CA4-1B36-475E-A798-002B587A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5045</Words>
  <Characters>28761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2020-11-09T17:02:39Z</dcterms:created>
  <dcterms:modified xsi:type="dcterms:W3CDTF">2020-11-09T17:02:39Z</dcterms:modified>
</cp:coreProperties>
</file>