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119" w:rsidRPr="000C27F1" w:rsidRDefault="00BB33F2">
      <w:pPr>
        <w:pStyle w:val="Title"/>
        <w:rPr>
          <w:szCs w:val="32"/>
        </w:rPr>
      </w:pPr>
      <w:bookmarkStart w:id="0" w:name="OLE_LINK1"/>
      <w:bookmarkStart w:id="1" w:name="OLE_LINK2"/>
      <w:r w:rsidRPr="000C27F1">
        <w:rPr>
          <w:szCs w:val="32"/>
        </w:rPr>
        <w:t>Before</w:t>
      </w:r>
    </w:p>
    <w:p w:rsidR="00762119" w:rsidRPr="000C27F1" w:rsidRDefault="00BB33F2">
      <w:pPr>
        <w:jc w:val="center"/>
        <w:rPr>
          <w:rFonts w:cs="Arial"/>
          <w:b/>
          <w:smallCaps/>
          <w:sz w:val="32"/>
          <w:szCs w:val="32"/>
        </w:rPr>
      </w:pPr>
      <w:r w:rsidRPr="000C27F1">
        <w:rPr>
          <w:rFonts w:cs="Arial"/>
          <w:b/>
          <w:smallCaps/>
          <w:sz w:val="32"/>
          <w:szCs w:val="32"/>
        </w:rPr>
        <w:t>The Public Utilities Commission of Ohio</w:t>
      </w:r>
    </w:p>
    <w:p w:rsidR="00762119" w:rsidRDefault="00A04B7B">
      <w:pPr>
        <w:autoSpaceDE w:val="0"/>
        <w:autoSpaceDN w:val="0"/>
        <w:adjustRightInd w:val="0"/>
        <w:rPr>
          <w:rFonts w:eastAsiaTheme="minorHAnsi" w:cs="Arial"/>
        </w:rPr>
      </w:pPr>
    </w:p>
    <w:tbl>
      <w:tblPr>
        <w:tblW w:w="0" w:type="auto"/>
        <w:tblLook w:val="04A0" w:firstRow="1" w:lastRow="0" w:firstColumn="1" w:lastColumn="0" w:noHBand="0" w:noVBand="1"/>
      </w:tblPr>
      <w:tblGrid>
        <w:gridCol w:w="4158"/>
        <w:gridCol w:w="626"/>
        <w:gridCol w:w="4576"/>
      </w:tblGrid>
      <w:tr w:rsidR="00B34E66" w:rsidTr="0096068A">
        <w:tc>
          <w:tcPr>
            <w:tcW w:w="4158" w:type="dxa"/>
            <w:hideMark/>
          </w:tcPr>
          <w:p w:rsidR="000C5704" w:rsidRDefault="00BB33F2">
            <w:pPr>
              <w:rPr>
                <w:rFonts w:eastAsia="Calibri"/>
              </w:rPr>
            </w:pPr>
            <w:r>
              <w:rPr>
                <w:rFonts w:eastAsia="Calibri"/>
              </w:rPr>
              <w:t>In the Matter of the Application of Ohio Gas Company for an Increase in Gas Distribution Rates</w:t>
            </w:r>
          </w:p>
        </w:tc>
        <w:tc>
          <w:tcPr>
            <w:tcW w:w="626" w:type="dxa"/>
            <w:hideMark/>
          </w:tcPr>
          <w:p w:rsidR="000C5704" w:rsidRDefault="00BB33F2">
            <w:pPr>
              <w:rPr>
                <w:rFonts w:eastAsia="Calibri"/>
              </w:rPr>
            </w:pPr>
            <w:r>
              <w:rPr>
                <w:rFonts w:eastAsia="Calibri"/>
              </w:rPr>
              <w:t>)</w:t>
            </w:r>
          </w:p>
          <w:p w:rsidR="000C5704" w:rsidRDefault="00BB33F2">
            <w:pPr>
              <w:rPr>
                <w:rFonts w:eastAsia="Calibri"/>
              </w:rPr>
            </w:pPr>
            <w:r>
              <w:rPr>
                <w:rFonts w:eastAsia="Calibri"/>
              </w:rPr>
              <w:t>)</w:t>
            </w:r>
          </w:p>
          <w:p w:rsidR="000C5704" w:rsidRDefault="00BB33F2">
            <w:pPr>
              <w:rPr>
                <w:rFonts w:eastAsia="Calibri"/>
              </w:rPr>
            </w:pPr>
            <w:r>
              <w:rPr>
                <w:rFonts w:eastAsia="Calibri"/>
              </w:rPr>
              <w:t>)</w:t>
            </w:r>
          </w:p>
        </w:tc>
        <w:tc>
          <w:tcPr>
            <w:tcW w:w="4576" w:type="dxa"/>
          </w:tcPr>
          <w:p w:rsidR="000C5704" w:rsidRDefault="00A04B7B">
            <w:pPr>
              <w:rPr>
                <w:rFonts w:eastAsia="Calibri"/>
              </w:rPr>
            </w:pPr>
          </w:p>
          <w:p w:rsidR="000C5704" w:rsidRDefault="00BB33F2">
            <w:pPr>
              <w:rPr>
                <w:rFonts w:eastAsia="Calibri"/>
              </w:rPr>
            </w:pPr>
            <w:r>
              <w:rPr>
                <w:rFonts w:eastAsia="Calibri"/>
              </w:rPr>
              <w:t>Case No. 17-1139-GA-AIR</w:t>
            </w:r>
          </w:p>
        </w:tc>
      </w:tr>
      <w:tr w:rsidR="00B34E66" w:rsidTr="0096068A">
        <w:tc>
          <w:tcPr>
            <w:tcW w:w="4158" w:type="dxa"/>
          </w:tcPr>
          <w:p w:rsidR="000C5704" w:rsidRDefault="00A04B7B">
            <w:pPr>
              <w:rPr>
                <w:rFonts w:eastAsia="Calibri"/>
              </w:rPr>
            </w:pPr>
          </w:p>
        </w:tc>
        <w:tc>
          <w:tcPr>
            <w:tcW w:w="626" w:type="dxa"/>
          </w:tcPr>
          <w:p w:rsidR="000C5704" w:rsidRDefault="00A04B7B">
            <w:pPr>
              <w:rPr>
                <w:rFonts w:eastAsia="Calibri"/>
              </w:rPr>
            </w:pPr>
          </w:p>
        </w:tc>
        <w:tc>
          <w:tcPr>
            <w:tcW w:w="4576" w:type="dxa"/>
          </w:tcPr>
          <w:p w:rsidR="000C5704" w:rsidRDefault="00A04B7B">
            <w:pPr>
              <w:rPr>
                <w:rFonts w:eastAsia="Calibri"/>
              </w:rPr>
            </w:pPr>
          </w:p>
        </w:tc>
      </w:tr>
      <w:tr w:rsidR="00B34E66" w:rsidTr="0096068A">
        <w:tc>
          <w:tcPr>
            <w:tcW w:w="4158" w:type="dxa"/>
            <w:hideMark/>
          </w:tcPr>
          <w:p w:rsidR="000C5704" w:rsidRDefault="00BB33F2">
            <w:pPr>
              <w:rPr>
                <w:rFonts w:eastAsia="Calibri"/>
              </w:rPr>
            </w:pPr>
            <w:r>
              <w:rPr>
                <w:rFonts w:eastAsia="Calibri"/>
              </w:rPr>
              <w:t>In the Matter of the Application of Ohio Gas Company for Tariff Approval</w:t>
            </w:r>
          </w:p>
        </w:tc>
        <w:tc>
          <w:tcPr>
            <w:tcW w:w="626" w:type="dxa"/>
            <w:hideMark/>
          </w:tcPr>
          <w:p w:rsidR="000C5704" w:rsidRDefault="00BB33F2">
            <w:pPr>
              <w:rPr>
                <w:rFonts w:eastAsia="Calibri"/>
              </w:rPr>
            </w:pPr>
            <w:r>
              <w:rPr>
                <w:rFonts w:eastAsia="Calibri"/>
              </w:rPr>
              <w:t>)</w:t>
            </w:r>
          </w:p>
          <w:p w:rsidR="000C5704" w:rsidRDefault="00BB33F2">
            <w:pPr>
              <w:rPr>
                <w:rFonts w:eastAsia="Calibri"/>
              </w:rPr>
            </w:pPr>
            <w:r>
              <w:rPr>
                <w:rFonts w:eastAsia="Calibri"/>
              </w:rPr>
              <w:t>)</w:t>
            </w:r>
          </w:p>
          <w:p w:rsidR="0096068A" w:rsidRDefault="00BB33F2">
            <w:pPr>
              <w:rPr>
                <w:rFonts w:eastAsia="Calibri"/>
              </w:rPr>
            </w:pPr>
            <w:r>
              <w:rPr>
                <w:rFonts w:eastAsia="Calibri"/>
              </w:rPr>
              <w:t>)</w:t>
            </w:r>
          </w:p>
        </w:tc>
        <w:tc>
          <w:tcPr>
            <w:tcW w:w="4576" w:type="dxa"/>
            <w:hideMark/>
          </w:tcPr>
          <w:p w:rsidR="0096068A" w:rsidRDefault="00A04B7B">
            <w:pPr>
              <w:rPr>
                <w:rFonts w:eastAsia="Calibri"/>
              </w:rPr>
            </w:pPr>
          </w:p>
          <w:p w:rsidR="000C5704" w:rsidRDefault="00BB33F2">
            <w:pPr>
              <w:rPr>
                <w:rFonts w:eastAsia="Calibri"/>
              </w:rPr>
            </w:pPr>
            <w:r>
              <w:rPr>
                <w:rFonts w:eastAsia="Calibri"/>
              </w:rPr>
              <w:t>Case No. 17-1140-GA-ATA</w:t>
            </w:r>
          </w:p>
        </w:tc>
      </w:tr>
      <w:tr w:rsidR="00B34E66" w:rsidTr="0096068A">
        <w:tc>
          <w:tcPr>
            <w:tcW w:w="4158" w:type="dxa"/>
          </w:tcPr>
          <w:p w:rsidR="000C5704" w:rsidRDefault="00A04B7B">
            <w:pPr>
              <w:rPr>
                <w:rFonts w:eastAsia="Calibri"/>
              </w:rPr>
            </w:pPr>
          </w:p>
        </w:tc>
        <w:tc>
          <w:tcPr>
            <w:tcW w:w="626" w:type="dxa"/>
          </w:tcPr>
          <w:p w:rsidR="000C5704" w:rsidRDefault="00A04B7B">
            <w:pPr>
              <w:rPr>
                <w:rFonts w:eastAsia="Calibri"/>
              </w:rPr>
            </w:pPr>
          </w:p>
        </w:tc>
        <w:tc>
          <w:tcPr>
            <w:tcW w:w="4576" w:type="dxa"/>
          </w:tcPr>
          <w:p w:rsidR="000C5704" w:rsidRDefault="00A04B7B">
            <w:pPr>
              <w:rPr>
                <w:rFonts w:eastAsia="Calibri"/>
              </w:rPr>
            </w:pPr>
          </w:p>
        </w:tc>
      </w:tr>
      <w:tr w:rsidR="00B34E66" w:rsidTr="0096068A">
        <w:tc>
          <w:tcPr>
            <w:tcW w:w="4158" w:type="dxa"/>
            <w:hideMark/>
          </w:tcPr>
          <w:p w:rsidR="000C5704" w:rsidRDefault="00BB33F2">
            <w:pPr>
              <w:rPr>
                <w:rFonts w:eastAsia="Calibri"/>
              </w:rPr>
            </w:pPr>
            <w:r>
              <w:rPr>
                <w:rFonts w:eastAsia="Calibri"/>
              </w:rPr>
              <w:t>In the Matter of the Application of Ohio Gas Company for Approval of Certain Accounting Authority</w:t>
            </w:r>
          </w:p>
        </w:tc>
        <w:tc>
          <w:tcPr>
            <w:tcW w:w="626" w:type="dxa"/>
            <w:hideMark/>
          </w:tcPr>
          <w:p w:rsidR="000C5704" w:rsidRDefault="00BB33F2">
            <w:pPr>
              <w:rPr>
                <w:rFonts w:eastAsia="Calibri"/>
              </w:rPr>
            </w:pPr>
            <w:r>
              <w:rPr>
                <w:rFonts w:eastAsia="Calibri"/>
              </w:rPr>
              <w:t>)</w:t>
            </w:r>
          </w:p>
          <w:p w:rsidR="000C5704" w:rsidRDefault="00BB33F2">
            <w:pPr>
              <w:rPr>
                <w:rFonts w:eastAsia="Calibri"/>
              </w:rPr>
            </w:pPr>
            <w:r>
              <w:rPr>
                <w:rFonts w:eastAsia="Calibri"/>
              </w:rPr>
              <w:t>)</w:t>
            </w:r>
          </w:p>
          <w:p w:rsidR="000C5704" w:rsidRDefault="00BB33F2">
            <w:pPr>
              <w:rPr>
                <w:rFonts w:eastAsia="Calibri"/>
              </w:rPr>
            </w:pPr>
            <w:r>
              <w:rPr>
                <w:rFonts w:eastAsia="Calibri"/>
              </w:rPr>
              <w:t>)</w:t>
            </w:r>
          </w:p>
        </w:tc>
        <w:tc>
          <w:tcPr>
            <w:tcW w:w="4576" w:type="dxa"/>
          </w:tcPr>
          <w:p w:rsidR="000C5704" w:rsidRDefault="00A04B7B">
            <w:pPr>
              <w:rPr>
                <w:rFonts w:eastAsia="Calibri"/>
              </w:rPr>
            </w:pPr>
          </w:p>
          <w:p w:rsidR="000C5704" w:rsidRDefault="00BB33F2">
            <w:pPr>
              <w:rPr>
                <w:rFonts w:eastAsia="Calibri"/>
              </w:rPr>
            </w:pPr>
            <w:r>
              <w:rPr>
                <w:rFonts w:eastAsia="Calibri"/>
              </w:rPr>
              <w:t>Case No. 17-1141-GA-AAM</w:t>
            </w:r>
          </w:p>
        </w:tc>
      </w:tr>
    </w:tbl>
    <w:p w:rsidR="00762119" w:rsidRDefault="00A04B7B">
      <w:pPr>
        <w:pStyle w:val="BodyText"/>
        <w:tabs>
          <w:tab w:val="left" w:pos="5040"/>
        </w:tabs>
      </w:pPr>
    </w:p>
    <w:p w:rsidR="00762119" w:rsidRPr="000C27F1" w:rsidRDefault="00A04B7B">
      <w:pPr>
        <w:pStyle w:val="BodyText"/>
        <w:tabs>
          <w:tab w:val="left" w:pos="5040"/>
        </w:tabs>
        <w:rPr>
          <w:sz w:val="28"/>
          <w:szCs w:val="28"/>
        </w:rPr>
      </w:pPr>
    </w:p>
    <w:p w:rsidR="00762119" w:rsidRPr="000C27F1" w:rsidRDefault="00A04B7B">
      <w:pPr>
        <w:pStyle w:val="Heading1"/>
        <w:pBdr>
          <w:top w:val="single" w:sz="12" w:space="1" w:color="auto"/>
        </w:pBdr>
        <w:tabs>
          <w:tab w:val="left" w:pos="7320"/>
        </w:tabs>
        <w:ind w:left="0" w:right="0"/>
        <w:jc w:val="center"/>
        <w:rPr>
          <w:rFonts w:ascii="Arial Bold" w:hAnsi="Arial Bold"/>
          <w:smallCaps/>
          <w:szCs w:val="28"/>
        </w:rPr>
      </w:pPr>
    </w:p>
    <w:bookmarkEnd w:id="0"/>
    <w:bookmarkEnd w:id="1"/>
    <w:p w:rsidR="00A21393" w:rsidRPr="000C27F1" w:rsidRDefault="00BB33F2" w:rsidP="00973419">
      <w:pPr>
        <w:jc w:val="center"/>
        <w:rPr>
          <w:rFonts w:ascii="Arial Bold" w:hAnsi="Arial Bold" w:cs="Arial"/>
          <w:b/>
          <w:smallCaps/>
          <w:sz w:val="28"/>
          <w:szCs w:val="28"/>
        </w:rPr>
      </w:pPr>
      <w:r>
        <w:rPr>
          <w:rFonts w:ascii="Arial Bold" w:hAnsi="Arial Bold" w:cs="Arial"/>
          <w:b/>
          <w:smallCaps/>
          <w:sz w:val="32"/>
          <w:szCs w:val="32"/>
        </w:rPr>
        <w:t>Joint</w:t>
      </w:r>
      <w:r w:rsidRPr="000C27F1">
        <w:rPr>
          <w:rFonts w:ascii="Arial Bold" w:hAnsi="Arial Bold" w:cs="Arial"/>
          <w:b/>
          <w:smallCaps/>
          <w:sz w:val="32"/>
          <w:szCs w:val="32"/>
        </w:rPr>
        <w:t xml:space="preserve"> </w:t>
      </w:r>
      <w:r>
        <w:rPr>
          <w:rFonts w:ascii="Arial Bold" w:hAnsi="Arial Bold" w:cs="Arial"/>
          <w:b/>
          <w:smallCaps/>
          <w:sz w:val="32"/>
          <w:szCs w:val="32"/>
        </w:rPr>
        <w:t>Stipulation and Recommendation</w:t>
      </w:r>
    </w:p>
    <w:p w:rsidR="00A21393" w:rsidRPr="00973419" w:rsidRDefault="00A04B7B" w:rsidP="00A21393">
      <w:pPr>
        <w:jc w:val="center"/>
        <w:rPr>
          <w:rFonts w:cs="Arial"/>
          <w:smallCaps/>
          <w:sz w:val="28"/>
          <w:szCs w:val="28"/>
          <w:u w:val="single"/>
        </w:rPr>
      </w:pPr>
    </w:p>
    <w:p w:rsidR="000C27F1" w:rsidRPr="000C27F1" w:rsidRDefault="00A04B7B" w:rsidP="000C27F1">
      <w:pPr>
        <w:pStyle w:val="Heading1"/>
        <w:pBdr>
          <w:top w:val="single" w:sz="12" w:space="1" w:color="auto"/>
        </w:pBdr>
        <w:tabs>
          <w:tab w:val="left" w:pos="7320"/>
        </w:tabs>
        <w:ind w:left="0" w:right="0"/>
        <w:jc w:val="center"/>
        <w:rPr>
          <w:rFonts w:ascii="Arial Bold" w:hAnsi="Arial Bold"/>
          <w:smallCaps/>
          <w:szCs w:val="28"/>
        </w:rPr>
      </w:pPr>
    </w:p>
    <w:p w:rsidR="00A21393" w:rsidRPr="000C27F1" w:rsidRDefault="00A04B7B" w:rsidP="00A21393">
      <w:pPr>
        <w:jc w:val="center"/>
        <w:rPr>
          <w:rFonts w:cs="Arial"/>
          <w:b/>
          <w:smallCaps/>
          <w:sz w:val="28"/>
          <w:szCs w:val="28"/>
          <w:u w:val="single"/>
        </w:rPr>
      </w:pPr>
    </w:p>
    <w:p w:rsidR="00A21393" w:rsidRDefault="00A04B7B" w:rsidP="00A21393">
      <w:pPr>
        <w:tabs>
          <w:tab w:val="left" w:pos="720"/>
          <w:tab w:val="left" w:pos="4320"/>
          <w:tab w:val="right" w:pos="8640"/>
        </w:tabs>
        <w:ind w:left="4320"/>
        <w:rPr>
          <w:rFonts w:eastAsia="Calibri" w:cs="Arial"/>
        </w:rPr>
      </w:pPr>
    </w:p>
    <w:p w:rsidR="00A21393" w:rsidRDefault="00A04B7B" w:rsidP="00A21393">
      <w:pPr>
        <w:tabs>
          <w:tab w:val="left" w:pos="720"/>
          <w:tab w:val="left" w:pos="4320"/>
          <w:tab w:val="right" w:pos="8640"/>
        </w:tabs>
        <w:ind w:left="4320"/>
        <w:rPr>
          <w:rFonts w:eastAsia="Calibri" w:cs="Arial"/>
        </w:rPr>
      </w:pPr>
    </w:p>
    <w:p w:rsidR="00973419" w:rsidRDefault="00A04B7B" w:rsidP="00A21393">
      <w:pPr>
        <w:tabs>
          <w:tab w:val="left" w:pos="720"/>
          <w:tab w:val="left" w:pos="4320"/>
          <w:tab w:val="right" w:pos="8640"/>
        </w:tabs>
        <w:ind w:left="4320"/>
        <w:rPr>
          <w:rFonts w:eastAsia="Calibri" w:cs="Arial"/>
        </w:rPr>
      </w:pPr>
    </w:p>
    <w:p w:rsidR="00973419" w:rsidRDefault="00A04B7B" w:rsidP="00A21393">
      <w:pPr>
        <w:tabs>
          <w:tab w:val="left" w:pos="720"/>
          <w:tab w:val="left" w:pos="4320"/>
          <w:tab w:val="right" w:pos="8640"/>
        </w:tabs>
        <w:ind w:left="4320"/>
        <w:rPr>
          <w:rFonts w:eastAsia="Calibri" w:cs="Arial"/>
        </w:rPr>
      </w:pPr>
    </w:p>
    <w:p w:rsidR="00973419" w:rsidRDefault="00A04B7B"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91320A" w:rsidRDefault="0091320A" w:rsidP="00A21393">
      <w:pPr>
        <w:tabs>
          <w:tab w:val="left" w:pos="720"/>
          <w:tab w:val="left" w:pos="4320"/>
          <w:tab w:val="right" w:pos="8640"/>
        </w:tabs>
        <w:ind w:left="4320"/>
        <w:rPr>
          <w:rFonts w:eastAsia="Calibri" w:cs="Arial"/>
        </w:rPr>
      </w:pPr>
    </w:p>
    <w:p w:rsidR="0077597D" w:rsidRDefault="00A04B7B" w:rsidP="00A21393">
      <w:pPr>
        <w:tabs>
          <w:tab w:val="left" w:pos="720"/>
          <w:tab w:val="left" w:pos="4320"/>
          <w:tab w:val="right" w:pos="8640"/>
        </w:tabs>
        <w:ind w:left="4320"/>
        <w:rPr>
          <w:rFonts w:eastAsia="Calibri" w:cs="Arial"/>
        </w:rPr>
      </w:pPr>
    </w:p>
    <w:p w:rsidR="00973419" w:rsidRDefault="00A04B7B" w:rsidP="00A21393">
      <w:pPr>
        <w:tabs>
          <w:tab w:val="left" w:pos="720"/>
          <w:tab w:val="left" w:pos="4320"/>
          <w:tab w:val="right" w:pos="8640"/>
        </w:tabs>
        <w:ind w:left="4320"/>
        <w:rPr>
          <w:rFonts w:eastAsia="Calibri" w:cs="Arial"/>
        </w:rPr>
      </w:pPr>
    </w:p>
    <w:p w:rsidR="00A21393" w:rsidRDefault="00A04B7B" w:rsidP="00A21393">
      <w:pPr>
        <w:tabs>
          <w:tab w:val="left" w:pos="720"/>
          <w:tab w:val="left" w:pos="4320"/>
          <w:tab w:val="right" w:pos="8640"/>
        </w:tabs>
        <w:ind w:left="4320"/>
        <w:rPr>
          <w:rFonts w:eastAsia="Calibri" w:cs="Arial"/>
        </w:rPr>
      </w:pPr>
    </w:p>
    <w:p w:rsidR="00A21393" w:rsidRPr="00A21393" w:rsidRDefault="00A04B7B" w:rsidP="00A21393">
      <w:pPr>
        <w:tabs>
          <w:tab w:val="left" w:pos="720"/>
          <w:tab w:val="left" w:pos="4320"/>
          <w:tab w:val="right" w:pos="8640"/>
        </w:tabs>
        <w:ind w:left="4320"/>
        <w:rPr>
          <w:rFonts w:eastAsia="Calibri" w:cs="Arial"/>
        </w:rPr>
      </w:pPr>
    </w:p>
    <w:p w:rsidR="00A21393" w:rsidRPr="00A21393" w:rsidRDefault="00A04B7B" w:rsidP="00A21393">
      <w:pPr>
        <w:tabs>
          <w:tab w:val="left" w:pos="-1440"/>
          <w:tab w:val="left" w:pos="-720"/>
          <w:tab w:val="left" w:pos="5040"/>
          <w:tab w:val="center" w:pos="7200"/>
        </w:tabs>
        <w:overflowPunct w:val="0"/>
        <w:autoSpaceDE w:val="0"/>
        <w:autoSpaceDN w:val="0"/>
        <w:adjustRightInd w:val="0"/>
        <w:ind w:left="4230"/>
        <w:rPr>
          <w:rFonts w:eastAsia="Calibri" w:cs="Arial"/>
          <w:b/>
          <w:smallCaps/>
        </w:rPr>
      </w:pPr>
    </w:p>
    <w:p w:rsidR="0091320A" w:rsidRDefault="0091320A" w:rsidP="00A21393">
      <w:pPr>
        <w:pStyle w:val="Title"/>
        <w:tabs>
          <w:tab w:val="left" w:pos="4230"/>
        </w:tabs>
        <w:jc w:val="left"/>
        <w:rPr>
          <w:rFonts w:eastAsia="Calibri"/>
          <w:sz w:val="24"/>
        </w:rPr>
        <w:sectPr w:rsidR="0091320A" w:rsidSect="00D86BC8">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pgNumType w:start="1"/>
          <w:cols w:space="720"/>
          <w:titlePg/>
          <w:docGrid w:linePitch="360"/>
        </w:sectPr>
      </w:pPr>
      <w:r>
        <w:rPr>
          <w:rFonts w:eastAsia="Calibri"/>
          <w:sz w:val="24"/>
        </w:rPr>
        <w:t xml:space="preserve">January </w:t>
      </w:r>
      <w:r w:rsidR="009A0D1B">
        <w:rPr>
          <w:rFonts w:eastAsia="Calibri"/>
          <w:sz w:val="24"/>
        </w:rPr>
        <w:t>2</w:t>
      </w:r>
      <w:r w:rsidR="00DF44F9">
        <w:rPr>
          <w:rFonts w:eastAsia="Calibri"/>
          <w:sz w:val="24"/>
        </w:rPr>
        <w:t>6</w:t>
      </w:r>
      <w:r>
        <w:rPr>
          <w:rFonts w:eastAsia="Calibri"/>
          <w:sz w:val="24"/>
        </w:rPr>
        <w:t>, 20</w:t>
      </w:r>
      <w:r w:rsidR="00BB33F2" w:rsidRPr="00A21393">
        <w:rPr>
          <w:rFonts w:eastAsia="Calibri"/>
          <w:sz w:val="24"/>
        </w:rPr>
        <w:t>1</w:t>
      </w:r>
      <w:r>
        <w:rPr>
          <w:rFonts w:eastAsia="Calibri"/>
          <w:sz w:val="24"/>
        </w:rPr>
        <w:t>8</w:t>
      </w:r>
    </w:p>
    <w:p w:rsidR="00A21393" w:rsidRDefault="00A04B7B" w:rsidP="00A21393">
      <w:pPr>
        <w:pStyle w:val="Title"/>
        <w:tabs>
          <w:tab w:val="left" w:pos="4230"/>
        </w:tabs>
        <w:jc w:val="left"/>
        <w:rPr>
          <w:rFonts w:eastAsia="Calibri"/>
          <w:sz w:val="24"/>
        </w:rPr>
      </w:pPr>
    </w:p>
    <w:p w:rsidR="00762119" w:rsidRDefault="00BB33F2" w:rsidP="00A21393">
      <w:pPr>
        <w:pStyle w:val="Title"/>
        <w:tabs>
          <w:tab w:val="left" w:pos="4320"/>
        </w:tabs>
        <w:rPr>
          <w:sz w:val="28"/>
        </w:rPr>
      </w:pPr>
      <w:r>
        <w:rPr>
          <w:sz w:val="28"/>
        </w:rPr>
        <w:t>Before</w:t>
      </w:r>
    </w:p>
    <w:p w:rsidR="00762119" w:rsidRDefault="00BB33F2">
      <w:pPr>
        <w:jc w:val="center"/>
        <w:rPr>
          <w:rFonts w:cs="Arial"/>
          <w:b/>
          <w:smallCaps/>
          <w:sz w:val="28"/>
        </w:rPr>
      </w:pPr>
      <w:r>
        <w:rPr>
          <w:rFonts w:cs="Arial"/>
          <w:b/>
          <w:smallCaps/>
          <w:sz w:val="28"/>
        </w:rPr>
        <w:t>The Public Utilities Commission of Ohio</w:t>
      </w:r>
    </w:p>
    <w:p w:rsidR="00762119" w:rsidRDefault="00A04B7B">
      <w:pPr>
        <w:autoSpaceDE w:val="0"/>
        <w:autoSpaceDN w:val="0"/>
        <w:adjustRightInd w:val="0"/>
        <w:rPr>
          <w:rFonts w:eastAsiaTheme="minorHAnsi" w:cs="Arial"/>
        </w:rPr>
      </w:pPr>
    </w:p>
    <w:tbl>
      <w:tblPr>
        <w:tblW w:w="0" w:type="auto"/>
        <w:tblLook w:val="04A0" w:firstRow="1" w:lastRow="0" w:firstColumn="1" w:lastColumn="0" w:noHBand="0" w:noVBand="1"/>
      </w:tblPr>
      <w:tblGrid>
        <w:gridCol w:w="4488"/>
        <w:gridCol w:w="296"/>
        <w:gridCol w:w="4576"/>
      </w:tblGrid>
      <w:tr w:rsidR="00B34E66" w:rsidTr="000C5704">
        <w:tc>
          <w:tcPr>
            <w:tcW w:w="4488" w:type="dxa"/>
            <w:hideMark/>
          </w:tcPr>
          <w:p w:rsidR="000C5704" w:rsidRDefault="00BB33F2">
            <w:pPr>
              <w:rPr>
                <w:rFonts w:eastAsia="Calibri"/>
              </w:rPr>
            </w:pPr>
            <w:r>
              <w:rPr>
                <w:rFonts w:eastAsia="Calibri"/>
              </w:rPr>
              <w:t>In the Matter of the Application of Ohio Gas Company for an Increase in Gas Distribution Rates</w:t>
            </w:r>
          </w:p>
        </w:tc>
        <w:tc>
          <w:tcPr>
            <w:tcW w:w="296" w:type="dxa"/>
            <w:hideMark/>
          </w:tcPr>
          <w:p w:rsidR="000C5704" w:rsidRDefault="00BB33F2">
            <w:pPr>
              <w:rPr>
                <w:rFonts w:eastAsia="Calibri"/>
              </w:rPr>
            </w:pPr>
            <w:r>
              <w:rPr>
                <w:rFonts w:eastAsia="Calibri"/>
              </w:rPr>
              <w:t>)</w:t>
            </w:r>
          </w:p>
          <w:p w:rsidR="000C5704" w:rsidRDefault="00BB33F2">
            <w:pPr>
              <w:rPr>
                <w:rFonts w:eastAsia="Calibri"/>
              </w:rPr>
            </w:pPr>
            <w:r>
              <w:rPr>
                <w:rFonts w:eastAsia="Calibri"/>
              </w:rPr>
              <w:t>)</w:t>
            </w:r>
          </w:p>
          <w:p w:rsidR="000C5704" w:rsidRDefault="00BB33F2">
            <w:pPr>
              <w:rPr>
                <w:rFonts w:eastAsia="Calibri"/>
              </w:rPr>
            </w:pPr>
            <w:r>
              <w:rPr>
                <w:rFonts w:eastAsia="Calibri"/>
              </w:rPr>
              <w:t>)</w:t>
            </w:r>
          </w:p>
        </w:tc>
        <w:tc>
          <w:tcPr>
            <w:tcW w:w="4576" w:type="dxa"/>
          </w:tcPr>
          <w:p w:rsidR="000C5704" w:rsidRDefault="00A04B7B">
            <w:pPr>
              <w:rPr>
                <w:rFonts w:eastAsia="Calibri"/>
              </w:rPr>
            </w:pPr>
          </w:p>
          <w:p w:rsidR="000C5704" w:rsidRDefault="00BB33F2">
            <w:pPr>
              <w:rPr>
                <w:rFonts w:eastAsia="Calibri"/>
              </w:rPr>
            </w:pPr>
            <w:r>
              <w:rPr>
                <w:rFonts w:eastAsia="Calibri"/>
              </w:rPr>
              <w:t>Case No. 17-1139-GA-AIR</w:t>
            </w:r>
          </w:p>
        </w:tc>
      </w:tr>
      <w:tr w:rsidR="00B34E66" w:rsidTr="000C5704">
        <w:tc>
          <w:tcPr>
            <w:tcW w:w="4488" w:type="dxa"/>
          </w:tcPr>
          <w:p w:rsidR="000C5704" w:rsidRDefault="00A04B7B">
            <w:pPr>
              <w:rPr>
                <w:rFonts w:eastAsia="Calibri"/>
              </w:rPr>
            </w:pPr>
          </w:p>
        </w:tc>
        <w:tc>
          <w:tcPr>
            <w:tcW w:w="296" w:type="dxa"/>
          </w:tcPr>
          <w:p w:rsidR="000C5704" w:rsidRDefault="00A04B7B">
            <w:pPr>
              <w:rPr>
                <w:rFonts w:eastAsia="Calibri"/>
              </w:rPr>
            </w:pPr>
          </w:p>
        </w:tc>
        <w:tc>
          <w:tcPr>
            <w:tcW w:w="4576" w:type="dxa"/>
          </w:tcPr>
          <w:p w:rsidR="000C5704" w:rsidRDefault="00A04B7B">
            <w:pPr>
              <w:rPr>
                <w:rFonts w:eastAsia="Calibri"/>
              </w:rPr>
            </w:pPr>
          </w:p>
        </w:tc>
      </w:tr>
      <w:tr w:rsidR="00B34E66" w:rsidTr="000C5704">
        <w:tc>
          <w:tcPr>
            <w:tcW w:w="4488" w:type="dxa"/>
            <w:hideMark/>
          </w:tcPr>
          <w:p w:rsidR="000C5704" w:rsidRDefault="00BB33F2">
            <w:pPr>
              <w:rPr>
                <w:rFonts w:eastAsia="Calibri"/>
              </w:rPr>
            </w:pPr>
            <w:r>
              <w:rPr>
                <w:rFonts w:eastAsia="Calibri"/>
              </w:rPr>
              <w:t>In the Matter of the Application of Ohio Gas Company for Tariff Approval</w:t>
            </w:r>
          </w:p>
        </w:tc>
        <w:tc>
          <w:tcPr>
            <w:tcW w:w="296" w:type="dxa"/>
            <w:hideMark/>
          </w:tcPr>
          <w:p w:rsidR="000C5704" w:rsidRDefault="00BB33F2">
            <w:pPr>
              <w:rPr>
                <w:rFonts w:eastAsia="Calibri"/>
              </w:rPr>
            </w:pPr>
            <w:r>
              <w:rPr>
                <w:rFonts w:eastAsia="Calibri"/>
              </w:rPr>
              <w:t>)</w:t>
            </w:r>
          </w:p>
          <w:p w:rsidR="000C5704" w:rsidRDefault="00BB33F2">
            <w:pPr>
              <w:rPr>
                <w:rFonts w:eastAsia="Calibri"/>
              </w:rPr>
            </w:pPr>
            <w:r>
              <w:rPr>
                <w:rFonts w:eastAsia="Calibri"/>
              </w:rPr>
              <w:t>)</w:t>
            </w:r>
          </w:p>
        </w:tc>
        <w:tc>
          <w:tcPr>
            <w:tcW w:w="4576" w:type="dxa"/>
            <w:hideMark/>
          </w:tcPr>
          <w:p w:rsidR="000C5704" w:rsidRDefault="00BB33F2">
            <w:pPr>
              <w:rPr>
                <w:rFonts w:eastAsia="Calibri"/>
              </w:rPr>
            </w:pPr>
            <w:r>
              <w:rPr>
                <w:rFonts w:eastAsia="Calibri"/>
              </w:rPr>
              <w:t>Case No. 17-1140-GA-ATA</w:t>
            </w:r>
          </w:p>
        </w:tc>
      </w:tr>
      <w:tr w:rsidR="00B34E66" w:rsidTr="000C5704">
        <w:tc>
          <w:tcPr>
            <w:tcW w:w="4488" w:type="dxa"/>
          </w:tcPr>
          <w:p w:rsidR="000C5704" w:rsidRDefault="00A04B7B">
            <w:pPr>
              <w:rPr>
                <w:rFonts w:eastAsia="Calibri"/>
              </w:rPr>
            </w:pPr>
          </w:p>
        </w:tc>
        <w:tc>
          <w:tcPr>
            <w:tcW w:w="296" w:type="dxa"/>
          </w:tcPr>
          <w:p w:rsidR="000C5704" w:rsidRDefault="00A04B7B">
            <w:pPr>
              <w:rPr>
                <w:rFonts w:eastAsia="Calibri"/>
              </w:rPr>
            </w:pPr>
          </w:p>
        </w:tc>
        <w:tc>
          <w:tcPr>
            <w:tcW w:w="4576" w:type="dxa"/>
          </w:tcPr>
          <w:p w:rsidR="000C5704" w:rsidRDefault="00A04B7B">
            <w:pPr>
              <w:rPr>
                <w:rFonts w:eastAsia="Calibri"/>
              </w:rPr>
            </w:pPr>
          </w:p>
        </w:tc>
      </w:tr>
      <w:tr w:rsidR="00B34E66" w:rsidTr="000C5704">
        <w:tc>
          <w:tcPr>
            <w:tcW w:w="4488" w:type="dxa"/>
            <w:hideMark/>
          </w:tcPr>
          <w:p w:rsidR="000C5704" w:rsidRDefault="00BB33F2">
            <w:pPr>
              <w:rPr>
                <w:rFonts w:eastAsia="Calibri"/>
              </w:rPr>
            </w:pPr>
            <w:r>
              <w:rPr>
                <w:rFonts w:eastAsia="Calibri"/>
              </w:rPr>
              <w:t>In the Matter of the Application of Ohio Gas Company for Approval of Certain Accounting Authority</w:t>
            </w:r>
          </w:p>
        </w:tc>
        <w:tc>
          <w:tcPr>
            <w:tcW w:w="296" w:type="dxa"/>
            <w:hideMark/>
          </w:tcPr>
          <w:p w:rsidR="000C5704" w:rsidRDefault="00BB33F2">
            <w:pPr>
              <w:rPr>
                <w:rFonts w:eastAsia="Calibri"/>
              </w:rPr>
            </w:pPr>
            <w:r>
              <w:rPr>
                <w:rFonts w:eastAsia="Calibri"/>
              </w:rPr>
              <w:t>)</w:t>
            </w:r>
          </w:p>
          <w:p w:rsidR="000C5704" w:rsidRDefault="00BB33F2">
            <w:pPr>
              <w:rPr>
                <w:rFonts w:eastAsia="Calibri"/>
              </w:rPr>
            </w:pPr>
            <w:r>
              <w:rPr>
                <w:rFonts w:eastAsia="Calibri"/>
              </w:rPr>
              <w:t>)</w:t>
            </w:r>
          </w:p>
          <w:p w:rsidR="000C5704" w:rsidRDefault="00BB33F2">
            <w:pPr>
              <w:rPr>
                <w:rFonts w:eastAsia="Calibri"/>
              </w:rPr>
            </w:pPr>
            <w:r>
              <w:rPr>
                <w:rFonts w:eastAsia="Calibri"/>
              </w:rPr>
              <w:t>)</w:t>
            </w:r>
          </w:p>
        </w:tc>
        <w:tc>
          <w:tcPr>
            <w:tcW w:w="4576" w:type="dxa"/>
          </w:tcPr>
          <w:p w:rsidR="000C5704" w:rsidRDefault="00A04B7B">
            <w:pPr>
              <w:rPr>
                <w:rFonts w:eastAsia="Calibri"/>
              </w:rPr>
            </w:pPr>
          </w:p>
          <w:p w:rsidR="000C5704" w:rsidRDefault="00BB33F2">
            <w:pPr>
              <w:rPr>
                <w:rFonts w:eastAsia="Calibri"/>
              </w:rPr>
            </w:pPr>
            <w:r>
              <w:rPr>
                <w:rFonts w:eastAsia="Calibri"/>
              </w:rPr>
              <w:t>Case No. 17-1141-GA-AAM</w:t>
            </w:r>
          </w:p>
        </w:tc>
      </w:tr>
    </w:tbl>
    <w:p w:rsidR="001D444C" w:rsidRPr="00067ADB" w:rsidRDefault="00A04B7B">
      <w:pPr>
        <w:pStyle w:val="BodyText"/>
        <w:tabs>
          <w:tab w:val="left" w:pos="5040"/>
        </w:tabs>
      </w:pPr>
    </w:p>
    <w:p w:rsidR="00762119" w:rsidRDefault="00A04B7B">
      <w:pPr>
        <w:pStyle w:val="Heading1"/>
        <w:pBdr>
          <w:top w:val="single" w:sz="12" w:space="1" w:color="auto"/>
        </w:pBdr>
        <w:tabs>
          <w:tab w:val="left" w:pos="7320"/>
        </w:tabs>
        <w:ind w:left="0" w:right="0"/>
        <w:jc w:val="center"/>
        <w:rPr>
          <w:rFonts w:ascii="Arial Bold" w:hAnsi="Arial Bold"/>
          <w:smallCaps/>
        </w:rPr>
      </w:pPr>
    </w:p>
    <w:p w:rsidR="00973419" w:rsidRPr="000C27F1" w:rsidRDefault="00BB33F2" w:rsidP="00973419">
      <w:pPr>
        <w:jc w:val="center"/>
        <w:rPr>
          <w:rFonts w:ascii="Arial Bold" w:hAnsi="Arial Bold" w:cs="Arial"/>
          <w:b/>
          <w:smallCaps/>
          <w:sz w:val="28"/>
          <w:szCs w:val="28"/>
        </w:rPr>
      </w:pPr>
      <w:r>
        <w:rPr>
          <w:rFonts w:ascii="Arial Bold" w:hAnsi="Arial Bold" w:cs="Arial"/>
          <w:b/>
          <w:smallCaps/>
          <w:sz w:val="32"/>
          <w:szCs w:val="32"/>
        </w:rPr>
        <w:t>Joint</w:t>
      </w:r>
      <w:r w:rsidRPr="000C27F1">
        <w:rPr>
          <w:rFonts w:ascii="Arial Bold" w:hAnsi="Arial Bold" w:cs="Arial"/>
          <w:b/>
          <w:smallCaps/>
          <w:sz w:val="32"/>
          <w:szCs w:val="32"/>
        </w:rPr>
        <w:t xml:space="preserve"> </w:t>
      </w:r>
      <w:r>
        <w:rPr>
          <w:rFonts w:ascii="Arial Bold" w:hAnsi="Arial Bold" w:cs="Arial"/>
          <w:b/>
          <w:smallCaps/>
          <w:sz w:val="32"/>
          <w:szCs w:val="32"/>
        </w:rPr>
        <w:t>Stipulation and Recommendation</w:t>
      </w:r>
    </w:p>
    <w:p w:rsidR="00762119" w:rsidRDefault="00A04B7B">
      <w:pPr>
        <w:pStyle w:val="Title"/>
        <w:pBdr>
          <w:bottom w:val="single" w:sz="12" w:space="1" w:color="auto"/>
        </w:pBdr>
        <w:rPr>
          <w:sz w:val="28"/>
          <w:u w:val="single"/>
        </w:rPr>
      </w:pPr>
    </w:p>
    <w:p w:rsidR="00762119" w:rsidRPr="00973419" w:rsidRDefault="00A04B7B">
      <w:pPr>
        <w:pStyle w:val="Title"/>
        <w:rPr>
          <w:smallCaps w:val="0"/>
          <w:sz w:val="28"/>
          <w:u w:val="single"/>
        </w:rPr>
      </w:pPr>
    </w:p>
    <w:p w:rsidR="00973419" w:rsidRPr="00C64ED0" w:rsidRDefault="00BB33F2" w:rsidP="009E2825">
      <w:pPr>
        <w:pStyle w:val="Title"/>
        <w:numPr>
          <w:ilvl w:val="0"/>
          <w:numId w:val="1"/>
        </w:numPr>
        <w:ind w:left="720" w:hanging="720"/>
        <w:jc w:val="left"/>
        <w:rPr>
          <w:rFonts w:ascii="Arial Bold" w:hAnsi="Arial Bold"/>
          <w:caps/>
          <w:smallCaps w:val="0"/>
          <w:sz w:val="24"/>
        </w:rPr>
      </w:pPr>
      <w:r w:rsidRPr="00C64ED0">
        <w:rPr>
          <w:rFonts w:ascii="Arial Bold" w:hAnsi="Arial Bold"/>
          <w:caps/>
          <w:smallCaps w:val="0"/>
          <w:sz w:val="24"/>
        </w:rPr>
        <w:t>Background</w:t>
      </w:r>
    </w:p>
    <w:p w:rsidR="00973419" w:rsidRDefault="00A04B7B" w:rsidP="00973419">
      <w:pPr>
        <w:pStyle w:val="Title"/>
        <w:jc w:val="left"/>
        <w:rPr>
          <w:b w:val="0"/>
          <w:smallCaps w:val="0"/>
          <w:sz w:val="24"/>
        </w:rPr>
      </w:pPr>
    </w:p>
    <w:p w:rsidR="00C64ED0" w:rsidRPr="00AB1407" w:rsidRDefault="00BB33F2" w:rsidP="009E2825">
      <w:pPr>
        <w:pStyle w:val="ListParagraph"/>
        <w:numPr>
          <w:ilvl w:val="0"/>
          <w:numId w:val="3"/>
        </w:numPr>
        <w:spacing w:line="480" w:lineRule="auto"/>
        <w:ind w:left="0" w:firstLine="720"/>
        <w:jc w:val="both"/>
        <w:rPr>
          <w:b/>
          <w:smallCaps/>
        </w:rPr>
      </w:pPr>
      <w:r>
        <w:t>Rule 4901-1-30, Ohio Administrative Code (“OAC”), provides that any two or more parties to a proceeding may enter into a written or oral stipulation concerning the issues presented in such proceeding.  Pursuant to Rule 4901-1-10 (C) OAC, the Staff of the Public Utilities Commission of Ohio (“Staff”) is considered a party for the purpose of entering into a stipulation under Rule 4901-1-30 OAC.</w:t>
      </w:r>
    </w:p>
    <w:p w:rsidR="00CF33DD" w:rsidRPr="00AB1407" w:rsidRDefault="00BB33F2" w:rsidP="009E2825">
      <w:pPr>
        <w:pStyle w:val="ListParagraph"/>
        <w:numPr>
          <w:ilvl w:val="0"/>
          <w:numId w:val="3"/>
        </w:numPr>
        <w:spacing w:line="480" w:lineRule="auto"/>
        <w:ind w:left="0" w:firstLine="720"/>
        <w:jc w:val="both"/>
      </w:pPr>
      <w:r>
        <w:t>The purpose of this document is to set forth the understanding of the Ohio Gas Company (“Ohio Gas”), the Office of the Ohio Consumers’ Counsel (“OCC”), and the Staff (collectively, “Parties”), and to resolve all issues raised in this proceeding.</w:t>
      </w:r>
    </w:p>
    <w:p w:rsidR="00CF33DD" w:rsidRPr="00CF33DD" w:rsidRDefault="00BB33F2" w:rsidP="009E2825">
      <w:pPr>
        <w:pStyle w:val="Title"/>
        <w:numPr>
          <w:ilvl w:val="0"/>
          <w:numId w:val="1"/>
        </w:numPr>
        <w:spacing w:line="480" w:lineRule="auto"/>
        <w:ind w:left="720" w:hanging="720"/>
        <w:jc w:val="left"/>
        <w:rPr>
          <w:rFonts w:ascii="Arial Bold" w:hAnsi="Arial Bold"/>
          <w:caps/>
          <w:smallCaps w:val="0"/>
          <w:sz w:val="24"/>
        </w:rPr>
      </w:pPr>
      <w:r w:rsidRPr="00CF33DD">
        <w:rPr>
          <w:rFonts w:ascii="Arial Bold" w:hAnsi="Arial Bold"/>
          <w:caps/>
          <w:smallCaps w:val="0"/>
          <w:sz w:val="24"/>
        </w:rPr>
        <w:t>General Matters</w:t>
      </w:r>
    </w:p>
    <w:p w:rsidR="00C64ED0" w:rsidRPr="00AB1407" w:rsidRDefault="00BB33F2" w:rsidP="009E2825">
      <w:pPr>
        <w:pStyle w:val="ListParagraph"/>
        <w:numPr>
          <w:ilvl w:val="0"/>
          <w:numId w:val="4"/>
        </w:numPr>
        <w:spacing w:line="480" w:lineRule="auto"/>
        <w:ind w:left="0" w:firstLine="720"/>
        <w:jc w:val="both"/>
      </w:pPr>
      <w:r>
        <w:t xml:space="preserve">It is understood by the Parties that this Stipulation and Recommendation (“Stipulation”) is not binding upon the Commission.  However, the agreement contained herein is supported by information provided herewith, is based upon the Parties’ desire </w:t>
      </w:r>
      <w:r>
        <w:lastRenderedPageBreak/>
        <w:t xml:space="preserve">to arrive at a reasoned and reasonable result considering the law, facts and circumstances and, accordingly, should be given careful consideration by the Commission. </w:t>
      </w:r>
    </w:p>
    <w:p w:rsidR="004A15D7" w:rsidRPr="00AB1407" w:rsidRDefault="00BB33F2" w:rsidP="009E2825">
      <w:pPr>
        <w:pStyle w:val="ListParagraph"/>
        <w:numPr>
          <w:ilvl w:val="0"/>
          <w:numId w:val="4"/>
        </w:numPr>
        <w:spacing w:line="480" w:lineRule="auto"/>
        <w:ind w:left="0" w:firstLine="720"/>
        <w:jc w:val="both"/>
      </w:pPr>
      <w:r>
        <w:t xml:space="preserve">This Stipulation is submitted for purposes of this case only and should not be understood to necessarily reflect the positions which the Parties would have taken if all the issues in the proceeding would have been litigated.  Like most Stipulations and Recommendations reviewed by the Commission, the willingness of the Parties to jointly sponsor this document is predicated on the reasonableness of the Stipulation taken as a whole.  The fact that this document is being offered by OCC, Staff, and Ohio Gas should not be construed as necessarily indicating agreement on theory or concepts. </w:t>
      </w:r>
    </w:p>
    <w:p w:rsidR="002610DB" w:rsidRDefault="00BB33F2" w:rsidP="009E2825">
      <w:pPr>
        <w:pStyle w:val="ListParagraph"/>
        <w:numPr>
          <w:ilvl w:val="0"/>
          <w:numId w:val="4"/>
        </w:numPr>
        <w:spacing w:line="480" w:lineRule="auto"/>
        <w:ind w:left="0" w:firstLine="720"/>
        <w:jc w:val="both"/>
      </w:pPr>
      <w:r>
        <w:t xml:space="preserve">The Parties believe that this Stipulation represents a reasonable compromise of varying interests. </w:t>
      </w:r>
      <w:r w:rsidR="00AB1407">
        <w:t xml:space="preserve"> </w:t>
      </w:r>
      <w:r>
        <w:t xml:space="preserve">This Stipulation is expressly conditioned upon adoption in its entirety by the Commission without material modification. </w:t>
      </w:r>
      <w:r w:rsidR="00AB1407">
        <w:t xml:space="preserve"> </w:t>
      </w:r>
      <w:r>
        <w:t xml:space="preserve">Each party has a right in its sole discretion to determine whether the Commission’s approval of this Stipulation constitutes a “material modification” thereof. </w:t>
      </w:r>
      <w:r w:rsidR="00AB1407">
        <w:t xml:space="preserve"> </w:t>
      </w:r>
      <w:r>
        <w:t xml:space="preserve">Should the Commission reject or materially modify all or any part of this Stipulation, the Parties shall have the right, within thirty (30) days of issuance of the Commission’s order, to file an application for rehearing or to terminate and withdraw from the Stipulation by filing a notice with the Commission in this proceeding, including service to all the Parties. </w:t>
      </w:r>
      <w:r w:rsidR="00AB1407">
        <w:t xml:space="preserve"> </w:t>
      </w:r>
      <w:r>
        <w:t xml:space="preserve">The Parties agree that they will not oppose or argue against any other Party’s application for rehearing that seeks to uphold the original unmodified Stipulation. </w:t>
      </w:r>
      <w:r w:rsidR="00AB1407">
        <w:t xml:space="preserve"> </w:t>
      </w:r>
      <w:r>
        <w:t xml:space="preserve">Upon the Commission’s issuance of any entry on rehearing that does not adopt the Stipulation without material modification, any party may terminate and withdraw from the Stipulation by filing a notice with the Commission within </w:t>
      </w:r>
      <w:r>
        <w:lastRenderedPageBreak/>
        <w:t>thirty (30) days of the Commission’s entry on rehearing.</w:t>
      </w:r>
      <w:r w:rsidR="00AB1407">
        <w:t xml:space="preserve"> </w:t>
      </w:r>
      <w:r>
        <w:t xml:space="preserve"> Upon notice of termination or withdrawal by any party, pursuant to the above provisions, the Stipulation shall immediately become null and void. </w:t>
      </w:r>
      <w:r w:rsidR="00AB1407">
        <w:t xml:space="preserve"> </w:t>
      </w:r>
      <w:r>
        <w:t>In such event, this proceeding shall go forward at the procedural point at which this Stipulation was filed, and the parties will be afforded the opportunity to present evidence through witnesses, cross-examine all witnesses, present rebuttal testimony, and brief all issues which shall be decided based upon the record as if this Stipulation had never been executed.</w:t>
      </w:r>
      <w:r w:rsidR="00AB1407">
        <w:t xml:space="preserve"> </w:t>
      </w:r>
      <w:r>
        <w:t xml:space="preserve"> </w:t>
      </w:r>
      <w:r w:rsidRPr="00CC4987">
        <w:t>In particular, no Party will be precluded from filing testimony in support of its objections to the Staff Report filed November 22, 2017.</w:t>
      </w:r>
    </w:p>
    <w:p w:rsidR="004A15D7" w:rsidRPr="00AB1407" w:rsidRDefault="00BB33F2" w:rsidP="009E2825">
      <w:pPr>
        <w:pStyle w:val="ListParagraph"/>
        <w:numPr>
          <w:ilvl w:val="0"/>
          <w:numId w:val="4"/>
        </w:numPr>
        <w:spacing w:line="480" w:lineRule="auto"/>
        <w:ind w:left="0" w:firstLine="720"/>
        <w:jc w:val="both"/>
      </w:pPr>
      <w:r>
        <w:t xml:space="preserve">Except for enforcement purposes, neither this Stipulation nor the information and data contained herein, nor the Commission Order approving the Stipulation shall be cited as precedent in any future proceedings for or against any Signatory Party, or the Commission itself. </w:t>
      </w:r>
    </w:p>
    <w:p w:rsidR="002866BB" w:rsidRDefault="00BB33F2" w:rsidP="009E2825">
      <w:pPr>
        <w:pStyle w:val="ListParagraph"/>
        <w:numPr>
          <w:ilvl w:val="0"/>
          <w:numId w:val="4"/>
        </w:numPr>
        <w:spacing w:line="480" w:lineRule="auto"/>
        <w:ind w:left="0" w:firstLine="720"/>
        <w:jc w:val="both"/>
        <w:rPr>
          <w:b/>
          <w:smallCaps/>
        </w:rPr>
      </w:pPr>
      <w:r>
        <w:t xml:space="preserve">In order to resolve all the issues in this proceeding, the agreement set forth below is offered for the Commission’s consideration. </w:t>
      </w:r>
    </w:p>
    <w:p w:rsidR="002866BB" w:rsidRDefault="00BB33F2" w:rsidP="009E2825">
      <w:pPr>
        <w:pStyle w:val="Title"/>
        <w:keepNext/>
        <w:numPr>
          <w:ilvl w:val="0"/>
          <w:numId w:val="1"/>
        </w:numPr>
        <w:spacing w:after="240"/>
        <w:ind w:left="720" w:hanging="720"/>
        <w:jc w:val="both"/>
        <w:rPr>
          <w:rFonts w:ascii="Arial Bold" w:hAnsi="Arial Bold"/>
          <w:caps/>
          <w:smallCaps w:val="0"/>
          <w:sz w:val="24"/>
        </w:rPr>
      </w:pPr>
      <w:r w:rsidRPr="002866BB">
        <w:rPr>
          <w:rFonts w:ascii="Arial Bold" w:hAnsi="Arial Bold"/>
          <w:caps/>
          <w:smallCaps w:val="0"/>
          <w:sz w:val="24"/>
        </w:rPr>
        <w:t>Authorized Revenue Determination</w:t>
      </w:r>
      <w:r>
        <w:rPr>
          <w:rFonts w:ascii="Arial Bold" w:hAnsi="Arial Bold"/>
          <w:caps/>
          <w:smallCaps w:val="0"/>
          <w:sz w:val="24"/>
        </w:rPr>
        <w:t>, rate adjustments</w:t>
      </w:r>
      <w:r w:rsidR="00FA1461">
        <w:rPr>
          <w:rFonts w:ascii="Arial Bold" w:hAnsi="Arial Bold"/>
          <w:caps/>
          <w:smallCaps w:val="0"/>
          <w:sz w:val="24"/>
        </w:rPr>
        <w:t>,</w:t>
      </w:r>
      <w:r w:rsidRPr="002866BB">
        <w:rPr>
          <w:rFonts w:ascii="Arial Bold" w:hAnsi="Arial Bold"/>
          <w:caps/>
          <w:smallCaps w:val="0"/>
          <w:sz w:val="24"/>
        </w:rPr>
        <w:t xml:space="preserve"> </w:t>
      </w:r>
      <w:r>
        <w:rPr>
          <w:rFonts w:ascii="Arial Bold" w:hAnsi="Arial Bold"/>
          <w:caps/>
          <w:smallCaps w:val="0"/>
          <w:sz w:val="24"/>
        </w:rPr>
        <w:t>tariff revisions</w:t>
      </w:r>
      <w:r w:rsidR="00FA1461">
        <w:rPr>
          <w:rFonts w:ascii="Arial Bold" w:hAnsi="Arial Bold"/>
          <w:caps/>
          <w:smallCaps w:val="0"/>
          <w:sz w:val="24"/>
        </w:rPr>
        <w:t xml:space="preserve">, and </w:t>
      </w:r>
      <w:r w:rsidR="00FA1461" w:rsidRPr="00E80E23">
        <w:rPr>
          <w:rFonts w:ascii="Arial Bold" w:hAnsi="Arial Bold"/>
          <w:caps/>
          <w:smallCaps w:val="0"/>
          <w:sz w:val="24"/>
        </w:rPr>
        <w:t>accounting adjustments</w:t>
      </w:r>
    </w:p>
    <w:p w:rsidR="002866BB" w:rsidRPr="001A2FEB" w:rsidRDefault="00BB33F2" w:rsidP="009E2825">
      <w:pPr>
        <w:pStyle w:val="ListParagraph"/>
        <w:numPr>
          <w:ilvl w:val="0"/>
          <w:numId w:val="5"/>
        </w:numPr>
        <w:spacing w:line="480" w:lineRule="auto"/>
        <w:ind w:left="0" w:firstLine="720"/>
        <w:jc w:val="both"/>
      </w:pPr>
      <w:r>
        <w:t xml:space="preserve">The Parties agree that the schedules attached hereto as Appendix A, being revised schedules to the Staff Report of Investigation, contain the appropriate information to determine the gross revenue and the revenue increase which Ohio Gas should have the opportunity to collect as a result of this proceeding. </w:t>
      </w:r>
    </w:p>
    <w:p w:rsidR="002866BB" w:rsidRPr="0063765A" w:rsidRDefault="00BB33F2" w:rsidP="009E2825">
      <w:pPr>
        <w:pStyle w:val="ListParagraph"/>
        <w:numPr>
          <w:ilvl w:val="0"/>
          <w:numId w:val="5"/>
        </w:numPr>
        <w:spacing w:line="480" w:lineRule="auto"/>
        <w:ind w:left="0" w:firstLine="720"/>
        <w:jc w:val="both"/>
        <w:rPr>
          <w:b/>
          <w:caps/>
          <w:smallCaps/>
        </w:rPr>
      </w:pPr>
      <w:r w:rsidRPr="001A2FEB">
        <w:t>The Parties agree that a revenue increase of $2,419,587, to be collected from customers through the non-gas cost recovery portion of Ohio Gas’s total rate, is at the midpoint of the range produced by the upper and lower limits of the Staff’s rate of</w:t>
      </w:r>
      <w:r>
        <w:t xml:space="preserve"> </w:t>
      </w:r>
      <w:r>
        <w:lastRenderedPageBreak/>
        <w:t>return recommendation in its Staff Report</w:t>
      </w:r>
      <w:r w:rsidR="000E1421">
        <w:t>, as adjusted in the schedules attached as Appendix A,</w:t>
      </w:r>
      <w:r>
        <w:t xml:space="preserve"> and is the amount of increase which should be authorized in this proceeding.</w:t>
      </w:r>
      <w:r>
        <w:rPr>
          <w:rStyle w:val="FootnoteReference"/>
        </w:rPr>
        <w:footnoteReference w:id="1"/>
      </w:r>
      <w:r>
        <w:t xml:space="preserve"> </w:t>
      </w:r>
    </w:p>
    <w:p w:rsidR="0063765A" w:rsidRPr="00854B4A" w:rsidRDefault="00BB33F2" w:rsidP="009E2825">
      <w:pPr>
        <w:pStyle w:val="ListParagraph"/>
        <w:numPr>
          <w:ilvl w:val="0"/>
          <w:numId w:val="5"/>
        </w:numPr>
        <w:spacing w:line="480" w:lineRule="auto"/>
        <w:ind w:left="0" w:firstLine="720"/>
        <w:jc w:val="both"/>
        <w:rPr>
          <w:b/>
          <w:caps/>
          <w:smallCaps/>
        </w:rPr>
      </w:pPr>
      <w:r>
        <w:t>The Parties agree that the agreed to increase should be collected from customers by increasing Ohio Gas’s customer charge without any increase in the usage sensitive portion of Ohio Gas’s rates.</w:t>
      </w:r>
    </w:p>
    <w:p w:rsidR="00854B4A" w:rsidRPr="00854B4A" w:rsidRDefault="00BB33F2" w:rsidP="009E2825">
      <w:pPr>
        <w:pStyle w:val="ListParagraph"/>
        <w:numPr>
          <w:ilvl w:val="0"/>
          <w:numId w:val="5"/>
        </w:numPr>
        <w:spacing w:line="480" w:lineRule="auto"/>
        <w:ind w:left="0" w:firstLine="720"/>
        <w:jc w:val="both"/>
        <w:rPr>
          <w:b/>
          <w:caps/>
          <w:smallCaps/>
        </w:rPr>
      </w:pPr>
      <w:r>
        <w:t xml:space="preserve">The Parties agree that the tariff sheet attached hereto as Appendix B is expected to permit Ohio Gas the opportunity to collect from its customers no more than the agreed to increase plus current non-gas cost revenue, is reasonable, and should be approved. </w:t>
      </w:r>
    </w:p>
    <w:p w:rsidR="00854B4A" w:rsidRPr="00854B4A" w:rsidRDefault="00BB33F2" w:rsidP="009E2825">
      <w:pPr>
        <w:pStyle w:val="ListParagraph"/>
        <w:numPr>
          <w:ilvl w:val="0"/>
          <w:numId w:val="5"/>
        </w:numPr>
        <w:spacing w:line="480" w:lineRule="auto"/>
        <w:ind w:left="0" w:firstLine="720"/>
        <w:jc w:val="both"/>
        <w:rPr>
          <w:b/>
          <w:caps/>
          <w:smallCaps/>
        </w:rPr>
      </w:pPr>
      <w:r>
        <w:t xml:space="preserve">The Parties agree that the customer notice contained in Appendix </w:t>
      </w:r>
      <w:r w:rsidRPr="0026188D">
        <w:t>C</w:t>
      </w:r>
      <w:r>
        <w:t xml:space="preserve"> attached hereto is reasonable and should be approved in order to permit Ohio Gas to properly notify its customers of the rate increase agreed to herein.</w:t>
      </w:r>
    </w:p>
    <w:p w:rsidR="00854B4A" w:rsidRPr="00EE4F9D" w:rsidRDefault="00BB33F2" w:rsidP="009E2825">
      <w:pPr>
        <w:pStyle w:val="ListParagraph"/>
        <w:numPr>
          <w:ilvl w:val="0"/>
          <w:numId w:val="5"/>
        </w:numPr>
        <w:spacing w:line="480" w:lineRule="auto"/>
        <w:ind w:left="0" w:firstLine="720"/>
        <w:jc w:val="both"/>
        <w:rPr>
          <w:b/>
          <w:caps/>
          <w:smallCaps/>
        </w:rPr>
      </w:pPr>
      <w:r>
        <w:t xml:space="preserve">The Parties </w:t>
      </w:r>
      <w:r w:rsidRPr="00D8155B">
        <w:t xml:space="preserve">recommend that the Commission timely approve this Stipulation in order for the rates and charges contained on the tariff sheet attached hereto (Appendix B) to become effective for all service rendered on </w:t>
      </w:r>
      <w:r>
        <w:t>and</w:t>
      </w:r>
      <w:r w:rsidRPr="00D8155B">
        <w:t xml:space="preserve"> after March 1, 2018.</w:t>
      </w:r>
    </w:p>
    <w:p w:rsidR="00517A47" w:rsidRDefault="00BB33F2" w:rsidP="009E2825">
      <w:pPr>
        <w:pStyle w:val="ListParagraph"/>
        <w:numPr>
          <w:ilvl w:val="0"/>
          <w:numId w:val="5"/>
        </w:numPr>
        <w:spacing w:line="480" w:lineRule="auto"/>
        <w:ind w:left="0" w:firstLine="720"/>
        <w:jc w:val="both"/>
        <w:rPr>
          <w:b/>
          <w:caps/>
          <w:smallCaps/>
        </w:rPr>
      </w:pPr>
      <w:bookmarkStart w:id="2" w:name="_Hlk503344242"/>
      <w:bookmarkStart w:id="3" w:name="_Hlk502321810"/>
      <w:r>
        <w:t xml:space="preserve">The Parties are aware that the Commission is seeking comments regarding changes in federal tax law that became effective on January 1, 2018 in a separate proceeding, PUCO Case No. 18-0047-AU-COI.  This Stipulation is intended to address the recently enacted changes to federal corporate income taxes and represents a compromise of several issues raised by those changes.  </w:t>
      </w:r>
      <w:r w:rsidRPr="000C55CA">
        <w:t xml:space="preserve">To that end, the tariff proposed in this Stipulation incorporates a reduction in the federal income tax rate from 34% to 21%.  Incorporation of the lower tax rate reduces the revenue requirement increase from </w:t>
      </w:r>
      <w:r w:rsidRPr="000C55CA">
        <w:lastRenderedPageBreak/>
        <w:t>$3,048,566 to $2,419</w:t>
      </w:r>
      <w:r>
        <w:t>,</w:t>
      </w:r>
      <w:r w:rsidRPr="000C55CA">
        <w:t>587.</w:t>
      </w:r>
      <w:r>
        <w:t xml:space="preserve">  As part of the resolution of the issues related to the changes in federal tax law, Ohio Gas understands that the Commission may order Ohio Gas to file a request to adjust rates in PUCO Case No. 18-0047-AU-COI or another case.  To the extent that that order would permit Ohio Gas to seek to increase rates, Ohio Gas agrees to waive its opportunity to request such an increase.  To the extent that that order would require Ohio Gas to reduce its rates, Ohio Gas agrees to make an application to effect that change, but may do so under protest.  Further, it</w:t>
      </w:r>
      <w:r>
        <w:rPr>
          <w:caps/>
        </w:rPr>
        <w:t xml:space="preserve"> </w:t>
      </w:r>
      <w:r>
        <w:t>is</w:t>
      </w:r>
      <w:r>
        <w:rPr>
          <w:caps/>
        </w:rPr>
        <w:t xml:space="preserve"> </w:t>
      </w:r>
      <w:r>
        <w:t>agreed</w:t>
      </w:r>
      <w:r>
        <w:rPr>
          <w:caps/>
        </w:rPr>
        <w:t xml:space="preserve"> </w:t>
      </w:r>
      <w:r>
        <w:t>and recommended that no Party</w:t>
      </w:r>
      <w:r>
        <w:rPr>
          <w:caps/>
        </w:rPr>
        <w:t xml:space="preserve"> </w:t>
      </w:r>
      <w:r>
        <w:t>waives</w:t>
      </w:r>
      <w:r>
        <w:rPr>
          <w:caps/>
        </w:rPr>
        <w:t xml:space="preserve"> </w:t>
      </w:r>
      <w:r>
        <w:t>any</w:t>
      </w:r>
      <w:r>
        <w:rPr>
          <w:caps/>
        </w:rPr>
        <w:t xml:space="preserve"> </w:t>
      </w:r>
      <w:r>
        <w:t>legal</w:t>
      </w:r>
      <w:r>
        <w:rPr>
          <w:caps/>
        </w:rPr>
        <w:t xml:space="preserve">, </w:t>
      </w:r>
      <w:r>
        <w:t>administrative</w:t>
      </w:r>
      <w:r>
        <w:rPr>
          <w:caps/>
        </w:rPr>
        <w:t xml:space="preserve">, </w:t>
      </w:r>
      <w:r>
        <w:t>judicial</w:t>
      </w:r>
      <w:r>
        <w:rPr>
          <w:caps/>
        </w:rPr>
        <w:t xml:space="preserve">, </w:t>
      </w:r>
      <w:r>
        <w:t>or</w:t>
      </w:r>
      <w:r>
        <w:rPr>
          <w:caps/>
        </w:rPr>
        <w:t xml:space="preserve"> </w:t>
      </w:r>
      <w:r>
        <w:t>appellate</w:t>
      </w:r>
      <w:r>
        <w:rPr>
          <w:caps/>
        </w:rPr>
        <w:t xml:space="preserve"> </w:t>
      </w:r>
      <w:r>
        <w:t>rights</w:t>
      </w:r>
      <w:r>
        <w:rPr>
          <w:caps/>
        </w:rPr>
        <w:t xml:space="preserve"> </w:t>
      </w:r>
      <w:r>
        <w:t>to</w:t>
      </w:r>
      <w:r>
        <w:rPr>
          <w:caps/>
        </w:rPr>
        <w:t xml:space="preserve"> </w:t>
      </w:r>
      <w:r>
        <w:t>challenge or support</w:t>
      </w:r>
      <w:r>
        <w:rPr>
          <w:caps/>
        </w:rPr>
        <w:t xml:space="preserve"> </w:t>
      </w:r>
      <w:r>
        <w:t>any change in the rates of Ohio Gas if such a change is in addition to the rates set out in this Stipulation</w:t>
      </w:r>
      <w:r>
        <w:rPr>
          <w:caps/>
        </w:rPr>
        <w:t xml:space="preserve">.  </w:t>
      </w:r>
      <w:r>
        <w:t>Further, it is agreed and recommended that the Commission find that the settlement of issues related to the changes in federal income tax rates</w:t>
      </w:r>
      <w:r>
        <w:rPr>
          <w:caps/>
        </w:rPr>
        <w:t xml:space="preserve"> </w:t>
      </w:r>
      <w:r>
        <w:t>in this Stipulation is not intended to serve as a precedent or indicate the position of any Party regarding any other proceeding concerning the implementation of changes in federal income tax rates effective on January 1, 2018 and affecting a public utility other than Ohio Gas that is subject to regulation of its rates by the Commission.</w:t>
      </w:r>
      <w:bookmarkEnd w:id="2"/>
    </w:p>
    <w:bookmarkEnd w:id="3"/>
    <w:p w:rsidR="00685B91" w:rsidRPr="00854B4A" w:rsidRDefault="00BB33F2" w:rsidP="009E2825">
      <w:pPr>
        <w:pStyle w:val="ListParagraph"/>
        <w:numPr>
          <w:ilvl w:val="0"/>
          <w:numId w:val="5"/>
        </w:numPr>
        <w:spacing w:line="480" w:lineRule="auto"/>
        <w:ind w:left="0" w:firstLine="720"/>
        <w:jc w:val="both"/>
        <w:rPr>
          <w:b/>
          <w:caps/>
          <w:smallCaps/>
        </w:rPr>
      </w:pPr>
      <w:r>
        <w:t>The Parties agree that the Commission should approve the terms and conditions of service set out in Appendix B as PUCO No. 2.  The effective date shall be upon approval of the Application and Stipulation and the filing of a tariff in compliance with the orders of the Commission.</w:t>
      </w:r>
    </w:p>
    <w:p w:rsidR="002610DB" w:rsidRPr="00915D01" w:rsidRDefault="00BB33F2" w:rsidP="009E2825">
      <w:pPr>
        <w:pStyle w:val="ListParagraph"/>
        <w:numPr>
          <w:ilvl w:val="0"/>
          <w:numId w:val="5"/>
        </w:numPr>
        <w:spacing w:line="480" w:lineRule="auto"/>
        <w:ind w:left="0" w:firstLine="720"/>
        <w:jc w:val="both"/>
        <w:rPr>
          <w:b/>
          <w:smallCaps/>
        </w:rPr>
      </w:pPr>
      <w:r>
        <w:t>The Parties agree that the following exhibits should be admitted into the record:</w:t>
      </w:r>
    </w:p>
    <w:p w:rsidR="00915D01" w:rsidRDefault="00BB33F2" w:rsidP="009E2825">
      <w:pPr>
        <w:pStyle w:val="Title"/>
        <w:numPr>
          <w:ilvl w:val="0"/>
          <w:numId w:val="2"/>
        </w:numPr>
        <w:spacing w:line="480" w:lineRule="auto"/>
        <w:jc w:val="both"/>
        <w:rPr>
          <w:b w:val="0"/>
          <w:smallCaps w:val="0"/>
          <w:sz w:val="24"/>
        </w:rPr>
      </w:pPr>
      <w:r>
        <w:rPr>
          <w:b w:val="0"/>
          <w:smallCaps w:val="0"/>
          <w:sz w:val="24"/>
        </w:rPr>
        <w:t xml:space="preserve">Joint Exhibit 1: </w:t>
      </w:r>
      <w:r w:rsidR="00686212">
        <w:rPr>
          <w:b w:val="0"/>
          <w:smallCaps w:val="0"/>
          <w:sz w:val="24"/>
        </w:rPr>
        <w:t xml:space="preserve"> </w:t>
      </w:r>
      <w:r>
        <w:rPr>
          <w:b w:val="0"/>
          <w:smallCaps w:val="0"/>
          <w:sz w:val="24"/>
        </w:rPr>
        <w:t>Stipulation and Recommendation</w:t>
      </w:r>
    </w:p>
    <w:p w:rsidR="00915D01" w:rsidRDefault="00BB33F2" w:rsidP="009E2825">
      <w:pPr>
        <w:pStyle w:val="ListParagraph"/>
        <w:numPr>
          <w:ilvl w:val="0"/>
          <w:numId w:val="2"/>
        </w:numPr>
        <w:spacing w:line="480" w:lineRule="auto"/>
        <w:jc w:val="both"/>
      </w:pPr>
      <w:r>
        <w:lastRenderedPageBreak/>
        <w:t>Company Exhibit 1:  The Company’s Application (the application and supporting schedules) filed in this proceeding on May 31, 2017.</w:t>
      </w:r>
    </w:p>
    <w:p w:rsidR="00915D01" w:rsidRDefault="00BB33F2" w:rsidP="009E2825">
      <w:pPr>
        <w:pStyle w:val="ListParagraph"/>
        <w:numPr>
          <w:ilvl w:val="0"/>
          <w:numId w:val="2"/>
        </w:numPr>
        <w:spacing w:line="480" w:lineRule="auto"/>
        <w:jc w:val="both"/>
      </w:pPr>
      <w:r>
        <w:t xml:space="preserve">Company Exhibit 2:  The Testimony of Company Witness Bowser in Support of the Application filed in this proceeding on May 31, 2017. </w:t>
      </w:r>
    </w:p>
    <w:p w:rsidR="00915D01" w:rsidRDefault="00BB33F2" w:rsidP="009E2825">
      <w:pPr>
        <w:pStyle w:val="ListParagraph"/>
        <w:numPr>
          <w:ilvl w:val="0"/>
          <w:numId w:val="2"/>
        </w:numPr>
        <w:spacing w:line="480" w:lineRule="auto"/>
        <w:jc w:val="both"/>
      </w:pPr>
      <w:r>
        <w:t xml:space="preserve">Company Exhibit 3:  The Testimony of Company Witness Watkins in Support of the Application filed in this proceeding on May 31, 2017. </w:t>
      </w:r>
    </w:p>
    <w:p w:rsidR="00915D01" w:rsidRDefault="00BB33F2" w:rsidP="009E2825">
      <w:pPr>
        <w:pStyle w:val="ListParagraph"/>
        <w:numPr>
          <w:ilvl w:val="0"/>
          <w:numId w:val="2"/>
        </w:numPr>
        <w:spacing w:line="480" w:lineRule="auto"/>
        <w:jc w:val="both"/>
      </w:pPr>
      <w:r>
        <w:t xml:space="preserve">Company Exhibit 4:  The Testimony of Company Witness Berg in Support of the Application filed in this proceeding on May 31, 2017. </w:t>
      </w:r>
    </w:p>
    <w:p w:rsidR="00915D01" w:rsidRDefault="00BB33F2" w:rsidP="009E2825">
      <w:pPr>
        <w:pStyle w:val="ListParagraph"/>
        <w:numPr>
          <w:ilvl w:val="0"/>
          <w:numId w:val="2"/>
        </w:numPr>
        <w:spacing w:line="480" w:lineRule="auto"/>
        <w:jc w:val="both"/>
      </w:pPr>
      <w:r>
        <w:t>Company Exhibit 5:  The Company’s Compliance Filing filed in this proceeding on July 17, 2017.</w:t>
      </w:r>
    </w:p>
    <w:p w:rsidR="00915D01" w:rsidRDefault="00BB33F2" w:rsidP="009E2825">
      <w:pPr>
        <w:pStyle w:val="ListParagraph"/>
        <w:numPr>
          <w:ilvl w:val="0"/>
          <w:numId w:val="2"/>
        </w:numPr>
        <w:spacing w:line="480" w:lineRule="auto"/>
        <w:jc w:val="both"/>
      </w:pPr>
      <w:r>
        <w:t>Company Exhibit 6:  The Company’s Proof of Publication of its Application filed in this proceeding on August 29, 2017.</w:t>
      </w:r>
    </w:p>
    <w:p w:rsidR="00915D01" w:rsidRDefault="00BB33F2" w:rsidP="009E2825">
      <w:pPr>
        <w:pStyle w:val="ListParagraph"/>
        <w:numPr>
          <w:ilvl w:val="0"/>
          <w:numId w:val="2"/>
        </w:numPr>
        <w:spacing w:line="480" w:lineRule="auto"/>
        <w:jc w:val="both"/>
      </w:pPr>
      <w:r>
        <w:t>Company Exhibit 7:  The Company’s Proof of Publication of Local Public Hearing filed in this proceeding on January 9, 2018.</w:t>
      </w:r>
    </w:p>
    <w:p w:rsidR="00915D01" w:rsidRDefault="00BB33F2" w:rsidP="009E2825">
      <w:pPr>
        <w:pStyle w:val="ListParagraph"/>
        <w:numPr>
          <w:ilvl w:val="0"/>
          <w:numId w:val="2"/>
        </w:numPr>
        <w:spacing w:line="480" w:lineRule="auto"/>
        <w:jc w:val="both"/>
      </w:pPr>
      <w:r>
        <w:t>OCC Exhibit 1: OCC’s Objections to the Staff Report of Investigation filed December 22, 2017.</w:t>
      </w:r>
    </w:p>
    <w:p w:rsidR="005F5007" w:rsidRDefault="00BB33F2" w:rsidP="009E2825">
      <w:pPr>
        <w:pStyle w:val="ListParagraph"/>
        <w:numPr>
          <w:ilvl w:val="0"/>
          <w:numId w:val="2"/>
        </w:numPr>
        <w:spacing w:line="480" w:lineRule="auto"/>
        <w:jc w:val="both"/>
      </w:pPr>
      <w:r>
        <w:t>Staff Exhibit 1: Staff Report of Investigation filed November 22, 2017.</w:t>
      </w:r>
    </w:p>
    <w:p w:rsidR="00854B4A" w:rsidRPr="007B3F19" w:rsidRDefault="00BB33F2" w:rsidP="009E2825">
      <w:pPr>
        <w:pStyle w:val="ListParagraph"/>
        <w:numPr>
          <w:ilvl w:val="0"/>
          <w:numId w:val="5"/>
        </w:numPr>
        <w:spacing w:line="480" w:lineRule="auto"/>
        <w:ind w:left="0" w:firstLine="720"/>
        <w:jc w:val="both"/>
        <w:rPr>
          <w:b/>
          <w:caps/>
          <w:smallCaps/>
        </w:rPr>
      </w:pPr>
      <w:r>
        <w:t>The Parties agree that no party is prohibited from filing and presenting testimony in support of this Stipulation.</w:t>
      </w:r>
    </w:p>
    <w:p w:rsidR="007B3F19" w:rsidRPr="00475408" w:rsidRDefault="00BB33F2" w:rsidP="009E2825">
      <w:pPr>
        <w:pStyle w:val="ListParagraph"/>
        <w:numPr>
          <w:ilvl w:val="0"/>
          <w:numId w:val="5"/>
        </w:numPr>
        <w:spacing w:line="480" w:lineRule="auto"/>
        <w:ind w:left="0" w:firstLine="720"/>
        <w:jc w:val="both"/>
        <w:rPr>
          <w:b/>
          <w:caps/>
          <w:smallCaps/>
        </w:rPr>
      </w:pPr>
      <w:r>
        <w:t>The Parties agree that notice of Ohio Gas’s rate increase application has been properly published and all the procedural requirements necessary to permit the Commission to authorize the increase agreed to herein have been satisfied.</w:t>
      </w:r>
    </w:p>
    <w:p w:rsidR="00475408" w:rsidRDefault="00BB33F2" w:rsidP="009E2825">
      <w:pPr>
        <w:pStyle w:val="ListParagraph"/>
        <w:numPr>
          <w:ilvl w:val="0"/>
          <w:numId w:val="5"/>
        </w:numPr>
        <w:spacing w:line="480" w:lineRule="auto"/>
        <w:ind w:left="0" w:firstLine="720"/>
        <w:jc w:val="both"/>
        <w:rPr>
          <w:b/>
          <w:caps/>
          <w:smallCaps/>
        </w:rPr>
      </w:pPr>
      <w:r>
        <w:rPr>
          <w:caps/>
        </w:rPr>
        <w:lastRenderedPageBreak/>
        <w:t>t</w:t>
      </w:r>
      <w:r>
        <w:t>he</w:t>
      </w:r>
      <w:r>
        <w:rPr>
          <w:caps/>
        </w:rPr>
        <w:t xml:space="preserve"> </w:t>
      </w:r>
      <w:r>
        <w:t>Parties</w:t>
      </w:r>
      <w:r>
        <w:rPr>
          <w:caps/>
        </w:rPr>
        <w:t xml:space="preserve"> </w:t>
      </w:r>
      <w:r>
        <w:t>agree</w:t>
      </w:r>
      <w:r>
        <w:rPr>
          <w:caps/>
        </w:rPr>
        <w:t xml:space="preserve"> </w:t>
      </w:r>
      <w:r>
        <w:t>that</w:t>
      </w:r>
      <w:r>
        <w:rPr>
          <w:caps/>
        </w:rPr>
        <w:t xml:space="preserve"> O</w:t>
      </w:r>
      <w:r>
        <w:t>hio</w:t>
      </w:r>
      <w:r>
        <w:rPr>
          <w:caps/>
        </w:rPr>
        <w:t xml:space="preserve"> </w:t>
      </w:r>
      <w:r>
        <w:t>Gas</w:t>
      </w:r>
      <w:r>
        <w:rPr>
          <w:caps/>
        </w:rPr>
        <w:t xml:space="preserve"> </w:t>
      </w:r>
      <w:r>
        <w:t>should</w:t>
      </w:r>
      <w:r>
        <w:rPr>
          <w:caps/>
        </w:rPr>
        <w:t xml:space="preserve"> </w:t>
      </w:r>
      <w:r>
        <w:t>include</w:t>
      </w:r>
      <w:r>
        <w:rPr>
          <w:caps/>
        </w:rPr>
        <w:t xml:space="preserve"> </w:t>
      </w:r>
      <w:r>
        <w:t>the</w:t>
      </w:r>
      <w:r>
        <w:rPr>
          <w:caps/>
        </w:rPr>
        <w:t xml:space="preserve"> </w:t>
      </w:r>
      <w:r>
        <w:t>customer</w:t>
      </w:r>
      <w:r>
        <w:rPr>
          <w:caps/>
        </w:rPr>
        <w:t xml:space="preserve"> </w:t>
      </w:r>
      <w:r>
        <w:t>notice,</w:t>
      </w:r>
      <w:r>
        <w:rPr>
          <w:caps/>
        </w:rPr>
        <w:t xml:space="preserve"> </w:t>
      </w:r>
      <w:r>
        <w:t>attached</w:t>
      </w:r>
      <w:r>
        <w:rPr>
          <w:caps/>
        </w:rPr>
        <w:t xml:space="preserve"> </w:t>
      </w:r>
      <w:r>
        <w:t>as</w:t>
      </w:r>
      <w:r>
        <w:rPr>
          <w:caps/>
        </w:rPr>
        <w:t xml:space="preserve"> </w:t>
      </w:r>
      <w:r>
        <w:t>Appendix C, with the first utility</w:t>
      </w:r>
      <w:r>
        <w:rPr>
          <w:caps/>
        </w:rPr>
        <w:t xml:space="preserve"> </w:t>
      </w:r>
      <w:r>
        <w:t>bill that each customer receives</w:t>
      </w:r>
      <w:r>
        <w:rPr>
          <w:caps/>
        </w:rPr>
        <w:t xml:space="preserve"> </w:t>
      </w:r>
      <w:r>
        <w:t>after the</w:t>
      </w:r>
      <w:r>
        <w:rPr>
          <w:caps/>
        </w:rPr>
        <w:t xml:space="preserve"> </w:t>
      </w:r>
      <w:r>
        <w:t>rates</w:t>
      </w:r>
      <w:r>
        <w:rPr>
          <w:caps/>
        </w:rPr>
        <w:t xml:space="preserve"> </w:t>
      </w:r>
      <w:r>
        <w:t>approved</w:t>
      </w:r>
      <w:r>
        <w:rPr>
          <w:caps/>
        </w:rPr>
        <w:t xml:space="preserve"> </w:t>
      </w:r>
      <w:r>
        <w:t>in</w:t>
      </w:r>
      <w:r>
        <w:rPr>
          <w:caps/>
        </w:rPr>
        <w:t xml:space="preserve"> </w:t>
      </w:r>
      <w:r>
        <w:t>this</w:t>
      </w:r>
      <w:r>
        <w:rPr>
          <w:caps/>
        </w:rPr>
        <w:t xml:space="preserve"> </w:t>
      </w:r>
      <w:r>
        <w:t>proceeding</w:t>
      </w:r>
      <w:r>
        <w:rPr>
          <w:caps/>
        </w:rPr>
        <w:t xml:space="preserve"> </w:t>
      </w:r>
      <w:r>
        <w:t>are</w:t>
      </w:r>
      <w:r>
        <w:rPr>
          <w:caps/>
        </w:rPr>
        <w:t xml:space="preserve"> </w:t>
      </w:r>
      <w:r>
        <w:t>in</w:t>
      </w:r>
      <w:r>
        <w:rPr>
          <w:caps/>
        </w:rPr>
        <w:t xml:space="preserve"> </w:t>
      </w:r>
      <w:r>
        <w:t>effect</w:t>
      </w:r>
      <w:r>
        <w:rPr>
          <w:caps/>
        </w:rPr>
        <w:t>.</w:t>
      </w:r>
    </w:p>
    <w:p w:rsidR="00BD083C" w:rsidRPr="00BD083C" w:rsidRDefault="00BB33F2" w:rsidP="009E2825">
      <w:pPr>
        <w:pStyle w:val="ListParagraph"/>
        <w:numPr>
          <w:ilvl w:val="0"/>
          <w:numId w:val="5"/>
        </w:numPr>
        <w:spacing w:line="480" w:lineRule="auto"/>
        <w:ind w:left="0" w:firstLine="720"/>
        <w:jc w:val="both"/>
        <w:rPr>
          <w:b/>
          <w:caps/>
          <w:smallCaps/>
        </w:rPr>
      </w:pPr>
      <w:r>
        <w:t>The Parties agree that adjustments to depreciation accrual reserves contained in Appendix D attached hereto should be approved by the Commission for Ohio Gas’s use until otherwise ordered.</w:t>
      </w:r>
    </w:p>
    <w:p w:rsidR="00C64ED0" w:rsidRDefault="00BB33F2" w:rsidP="00BD083C">
      <w:pPr>
        <w:spacing w:before="240"/>
        <w:rPr>
          <w:b/>
          <w:smallCaps/>
          <w:u w:val="single"/>
        </w:rPr>
      </w:pPr>
      <w:r>
        <w:rPr>
          <w:u w:val="single"/>
        </w:rPr>
        <w:tab/>
      </w:r>
      <w:r>
        <w:rPr>
          <w:u w:val="single"/>
        </w:rPr>
        <w:tab/>
      </w:r>
      <w:r>
        <w:rPr>
          <w:u w:val="single"/>
        </w:rPr>
        <w:tab/>
      </w:r>
      <w:r>
        <w:rPr>
          <w:u w:val="single"/>
        </w:rPr>
        <w:tab/>
      </w:r>
      <w:r>
        <w:rPr>
          <w:u w:val="single"/>
        </w:rPr>
        <w:tab/>
      </w:r>
    </w:p>
    <w:p w:rsidR="008151E4" w:rsidRPr="008151E4" w:rsidRDefault="00BB33F2" w:rsidP="00973419">
      <w:pPr>
        <w:pStyle w:val="Title"/>
        <w:jc w:val="left"/>
        <w:rPr>
          <w:b w:val="0"/>
          <w:smallCaps w:val="0"/>
          <w:sz w:val="24"/>
        </w:rPr>
      </w:pPr>
      <w:r w:rsidRPr="008151E4">
        <w:rPr>
          <w:b w:val="0"/>
          <w:smallCaps w:val="0"/>
          <w:sz w:val="24"/>
        </w:rPr>
        <w:t xml:space="preserve">On behalf of the Staff of the </w:t>
      </w:r>
    </w:p>
    <w:p w:rsidR="008151E4" w:rsidRPr="008151E4" w:rsidRDefault="00BB33F2" w:rsidP="00973419">
      <w:pPr>
        <w:pStyle w:val="Title"/>
        <w:jc w:val="left"/>
        <w:rPr>
          <w:b w:val="0"/>
          <w:smallCaps w:val="0"/>
          <w:sz w:val="24"/>
        </w:rPr>
      </w:pPr>
      <w:r w:rsidRPr="008151E4">
        <w:rPr>
          <w:b w:val="0"/>
          <w:smallCaps w:val="0"/>
          <w:sz w:val="24"/>
        </w:rPr>
        <w:t>Public Utilities Commission of Ohio</w:t>
      </w:r>
    </w:p>
    <w:p w:rsidR="00C64ED0" w:rsidRPr="00973419" w:rsidRDefault="00A04B7B" w:rsidP="00973419">
      <w:pPr>
        <w:pStyle w:val="Title"/>
        <w:jc w:val="left"/>
        <w:rPr>
          <w:b w:val="0"/>
          <w:smallCaps w:val="0"/>
          <w:sz w:val="24"/>
        </w:rPr>
      </w:pPr>
    </w:p>
    <w:p w:rsidR="008151E4" w:rsidRDefault="00BB33F2" w:rsidP="008151E4">
      <w:pPr>
        <w:pStyle w:val="Title"/>
        <w:jc w:val="left"/>
        <w:rPr>
          <w:b w:val="0"/>
          <w:smallCaps w:val="0"/>
          <w:sz w:val="24"/>
          <w:u w:val="single"/>
        </w:rPr>
      </w:pP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p>
    <w:p w:rsidR="00A56A46" w:rsidRDefault="00BB33F2" w:rsidP="008151E4">
      <w:pPr>
        <w:pStyle w:val="Title"/>
        <w:jc w:val="left"/>
        <w:rPr>
          <w:b w:val="0"/>
          <w:smallCaps w:val="0"/>
          <w:sz w:val="24"/>
        </w:rPr>
      </w:pPr>
      <w:r w:rsidRPr="008151E4">
        <w:rPr>
          <w:b w:val="0"/>
          <w:smallCaps w:val="0"/>
          <w:sz w:val="24"/>
        </w:rPr>
        <w:t xml:space="preserve">On behalf of </w:t>
      </w:r>
      <w:r>
        <w:rPr>
          <w:b w:val="0"/>
          <w:smallCaps w:val="0"/>
          <w:sz w:val="24"/>
        </w:rPr>
        <w:t>Ohio Gas Company</w:t>
      </w:r>
    </w:p>
    <w:p w:rsidR="00144FBF" w:rsidRDefault="00A04B7B" w:rsidP="008151E4">
      <w:pPr>
        <w:pStyle w:val="Title"/>
        <w:jc w:val="left"/>
        <w:rPr>
          <w:b w:val="0"/>
          <w:smallCaps w:val="0"/>
          <w:sz w:val="24"/>
        </w:rPr>
      </w:pPr>
    </w:p>
    <w:p w:rsidR="00686212" w:rsidRDefault="00686212" w:rsidP="00686212">
      <w:pPr>
        <w:pStyle w:val="Title"/>
        <w:jc w:val="left"/>
        <w:rPr>
          <w:b w:val="0"/>
          <w:smallCaps w:val="0"/>
          <w:sz w:val="24"/>
          <w:u w:val="single"/>
        </w:rPr>
      </w:pP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r>
        <w:rPr>
          <w:b w:val="0"/>
          <w:smallCaps w:val="0"/>
          <w:sz w:val="24"/>
          <w:u w:val="single"/>
        </w:rPr>
        <w:tab/>
      </w:r>
    </w:p>
    <w:p w:rsidR="009E2825" w:rsidRDefault="00BB33F2" w:rsidP="008151E4">
      <w:pPr>
        <w:pStyle w:val="Title"/>
        <w:jc w:val="left"/>
        <w:rPr>
          <w:b w:val="0"/>
          <w:smallCaps w:val="0"/>
          <w:sz w:val="24"/>
        </w:rPr>
      </w:pPr>
      <w:r>
        <w:rPr>
          <w:b w:val="0"/>
          <w:smallCaps w:val="0"/>
          <w:sz w:val="24"/>
        </w:rPr>
        <w:t xml:space="preserve">On behalf of the Office of the </w:t>
      </w:r>
    </w:p>
    <w:p w:rsidR="00144FBF" w:rsidRDefault="00BB33F2" w:rsidP="008151E4">
      <w:pPr>
        <w:pStyle w:val="Title"/>
        <w:jc w:val="left"/>
        <w:rPr>
          <w:b w:val="0"/>
          <w:smallCaps w:val="0"/>
          <w:sz w:val="24"/>
        </w:rPr>
      </w:pPr>
      <w:r>
        <w:rPr>
          <w:b w:val="0"/>
          <w:smallCaps w:val="0"/>
          <w:sz w:val="24"/>
        </w:rPr>
        <w:t>Ohio Consumers’ Counsel</w:t>
      </w:r>
    </w:p>
    <w:p w:rsidR="0002016A" w:rsidRDefault="00A04B7B" w:rsidP="00A56A46">
      <w:pPr>
        <w:spacing w:after="200" w:line="276" w:lineRule="auto"/>
        <w:jc w:val="center"/>
        <w:rPr>
          <w:b/>
          <w:smallCaps/>
        </w:rPr>
        <w:sectPr w:rsidR="0002016A" w:rsidSect="0091320A">
          <w:pgSz w:w="12240" w:h="15840" w:code="1"/>
          <w:pgMar w:top="1440" w:right="1440" w:bottom="1440" w:left="1440" w:header="720" w:footer="720" w:gutter="0"/>
          <w:pgNumType w:start="1"/>
          <w:cols w:space="720"/>
          <w:titlePg/>
          <w:docGrid w:linePitch="360"/>
        </w:sectPr>
      </w:pPr>
    </w:p>
    <w:p w:rsidR="00A93522" w:rsidRDefault="00A93522" w:rsidP="00A93522">
      <w:pPr>
        <w:tabs>
          <w:tab w:val="left" w:pos="2160"/>
          <w:tab w:val="left" w:pos="2280"/>
        </w:tabs>
        <w:jc w:val="center"/>
        <w:rPr>
          <w:rFonts w:ascii="Arial Bold" w:hAnsi="Arial Bold" w:cs="Arial"/>
          <w:b/>
          <w:smallCaps/>
          <w:sz w:val="28"/>
          <w:u w:val="single"/>
        </w:rPr>
      </w:pPr>
      <w:bookmarkStart w:id="4" w:name="_GoBack"/>
      <w:bookmarkEnd w:id="4"/>
      <w:r>
        <w:rPr>
          <w:rFonts w:ascii="Arial Bold" w:hAnsi="Arial Bold" w:cs="Arial"/>
          <w:b/>
          <w:smallCaps/>
          <w:sz w:val="28"/>
          <w:u w:val="single"/>
        </w:rPr>
        <w:lastRenderedPageBreak/>
        <w:t>Certificate of Service</w:t>
      </w:r>
    </w:p>
    <w:p w:rsidR="00A93522" w:rsidRDefault="00A93522" w:rsidP="00A93522">
      <w:pPr>
        <w:rPr>
          <w:rFonts w:cs="Arial"/>
        </w:rPr>
      </w:pPr>
    </w:p>
    <w:p w:rsidR="00A93522" w:rsidRDefault="00A93522" w:rsidP="00A93522">
      <w:pPr>
        <w:spacing w:line="480" w:lineRule="auto"/>
        <w:ind w:firstLine="720"/>
        <w:jc w:val="both"/>
        <w:rPr>
          <w:rFonts w:cs="Arial"/>
        </w:rPr>
      </w:pPr>
      <w:r>
        <w:rPr>
          <w:rFonts w:cs="Arial"/>
        </w:rPr>
        <w:t xml:space="preserve">In accordance with Rule 4901-1-05, Ohio Administrative Code, the PUCO’s e-filing system will electronically serve notice of the filing of this document upon the following parties.  In addition, I hereby certify that a service copy of the foregoing </w:t>
      </w:r>
      <w:r>
        <w:rPr>
          <w:rFonts w:cs="Arial"/>
          <w:i/>
        </w:rPr>
        <w:t>Joint Stipulation and Recommendation</w:t>
      </w:r>
      <w:r>
        <w:rPr>
          <w:rFonts w:cs="Arial"/>
        </w:rPr>
        <w:t>, was sent by, or on behalf of, the undersigned counsel for Ohio Gas to the following parties of record on January 2</w:t>
      </w:r>
      <w:r w:rsidR="00DF44F9">
        <w:rPr>
          <w:rFonts w:cs="Arial"/>
        </w:rPr>
        <w:t>6</w:t>
      </w:r>
      <w:r>
        <w:rPr>
          <w:rFonts w:cs="Arial"/>
        </w:rPr>
        <w:t xml:space="preserve">, 2018, </w:t>
      </w:r>
      <w:r>
        <w:rPr>
          <w:rFonts w:cs="Arial"/>
          <w:i/>
        </w:rPr>
        <w:t>via</w:t>
      </w:r>
      <w:r>
        <w:rPr>
          <w:rFonts w:cs="Arial"/>
        </w:rPr>
        <w:t xml:space="preserve"> electronic transmission.</w:t>
      </w:r>
    </w:p>
    <w:p w:rsidR="00A93522" w:rsidRDefault="00A93522" w:rsidP="00A93522">
      <w:pPr>
        <w:tabs>
          <w:tab w:val="center" w:pos="7200"/>
          <w:tab w:val="right" w:pos="9360"/>
        </w:tabs>
        <w:ind w:left="5040"/>
        <w:rPr>
          <w:rFonts w:cs="Arial"/>
          <w:i/>
          <w:u w:val="single"/>
        </w:rPr>
      </w:pPr>
      <w:r>
        <w:rPr>
          <w:rFonts w:cs="Arial"/>
          <w:i/>
          <w:u w:val="single"/>
        </w:rPr>
        <w:t>/s/ Frank P. Darr</w:t>
      </w:r>
      <w:r>
        <w:rPr>
          <w:rFonts w:cs="Arial"/>
          <w:i/>
          <w:u w:val="single"/>
        </w:rPr>
        <w:tab/>
      </w:r>
      <w:r>
        <w:rPr>
          <w:rFonts w:cs="Arial"/>
          <w:i/>
          <w:u w:val="single"/>
        </w:rPr>
        <w:tab/>
      </w:r>
    </w:p>
    <w:p w:rsidR="00A93522" w:rsidRDefault="00A93522" w:rsidP="00A93522">
      <w:pPr>
        <w:tabs>
          <w:tab w:val="center" w:pos="7200"/>
          <w:tab w:val="right" w:pos="9360"/>
        </w:tabs>
        <w:ind w:left="5760"/>
        <w:rPr>
          <w:rFonts w:cs="Arial"/>
        </w:rPr>
        <w:sectPr w:rsidR="00A93522" w:rsidSect="0002016A">
          <w:headerReference w:type="even" r:id="rId13"/>
          <w:headerReference w:type="default" r:id="rId14"/>
          <w:footerReference w:type="default" r:id="rId15"/>
          <w:headerReference w:type="first" r:id="rId16"/>
          <w:pgSz w:w="12240" w:h="15840" w:code="1"/>
          <w:pgMar w:top="1440" w:right="1440" w:bottom="1440" w:left="1440" w:header="720" w:footer="720" w:gutter="0"/>
          <w:cols w:space="720"/>
          <w:titlePg/>
          <w:docGrid w:linePitch="360"/>
        </w:sectPr>
      </w:pPr>
      <w:r>
        <w:rPr>
          <w:rFonts w:cs="Arial"/>
        </w:rPr>
        <w:tab/>
        <w:t>Frank P. Darr</w:t>
      </w:r>
    </w:p>
    <w:p w:rsidR="00A93522" w:rsidRDefault="00A93522" w:rsidP="00A93522">
      <w:pPr>
        <w:tabs>
          <w:tab w:val="left" w:pos="2160"/>
          <w:tab w:val="left" w:pos="2280"/>
        </w:tabs>
        <w:rPr>
          <w:rFonts w:cs="Arial"/>
        </w:rPr>
      </w:pPr>
    </w:p>
    <w:p w:rsidR="00A93522" w:rsidRDefault="00A93522" w:rsidP="00A93522">
      <w:pPr>
        <w:tabs>
          <w:tab w:val="left" w:pos="2160"/>
          <w:tab w:val="left" w:pos="2280"/>
        </w:tabs>
        <w:rPr>
          <w:rFonts w:cs="Arial"/>
          <w:sz w:val="22"/>
          <w:szCs w:val="22"/>
        </w:rPr>
        <w:sectPr w:rsidR="00A93522" w:rsidSect="00A93522">
          <w:type w:val="continuous"/>
          <w:pgSz w:w="12240" w:h="15840" w:code="1"/>
          <w:pgMar w:top="1440" w:right="1440" w:bottom="1440" w:left="1440" w:header="720" w:footer="720" w:gutter="0"/>
          <w:cols w:space="720"/>
          <w:titlePg/>
          <w:docGrid w:linePitch="360"/>
        </w:sectPr>
      </w:pPr>
    </w:p>
    <w:p w:rsidR="00A93522" w:rsidRDefault="00A93522" w:rsidP="00A93522">
      <w:pPr>
        <w:tabs>
          <w:tab w:val="left" w:pos="2160"/>
          <w:tab w:val="left" w:pos="2280"/>
        </w:tabs>
        <w:rPr>
          <w:rFonts w:cs="Arial"/>
          <w:sz w:val="22"/>
          <w:szCs w:val="22"/>
        </w:rPr>
      </w:pPr>
      <w:r>
        <w:rPr>
          <w:rFonts w:cs="Arial"/>
          <w:sz w:val="22"/>
          <w:szCs w:val="22"/>
        </w:rPr>
        <w:t>Kevin F. Moore (Reg. No. 0089228)</w:t>
      </w:r>
    </w:p>
    <w:p w:rsidR="00A93522" w:rsidRDefault="00A93522" w:rsidP="00A93522">
      <w:pPr>
        <w:tabs>
          <w:tab w:val="left" w:pos="2160"/>
          <w:tab w:val="left" w:pos="2280"/>
        </w:tabs>
        <w:rPr>
          <w:rFonts w:cs="Arial"/>
          <w:sz w:val="22"/>
          <w:szCs w:val="22"/>
        </w:rPr>
      </w:pPr>
      <w:r>
        <w:rPr>
          <w:rFonts w:cs="Arial"/>
          <w:sz w:val="22"/>
          <w:szCs w:val="22"/>
        </w:rPr>
        <w:t>(Counsel of Record)</w:t>
      </w:r>
    </w:p>
    <w:p w:rsidR="00A93522" w:rsidRDefault="00A93522" w:rsidP="00A93522">
      <w:pPr>
        <w:tabs>
          <w:tab w:val="left" w:pos="2160"/>
          <w:tab w:val="left" w:pos="2280"/>
        </w:tabs>
        <w:rPr>
          <w:rFonts w:cs="Arial"/>
          <w:sz w:val="22"/>
          <w:szCs w:val="22"/>
        </w:rPr>
      </w:pPr>
      <w:r>
        <w:rPr>
          <w:rFonts w:cs="Arial"/>
          <w:sz w:val="22"/>
          <w:szCs w:val="22"/>
        </w:rPr>
        <w:t>Assistant Consumers’ Counsel</w:t>
      </w:r>
    </w:p>
    <w:p w:rsidR="00A93522" w:rsidRDefault="00A93522" w:rsidP="00A93522">
      <w:pPr>
        <w:tabs>
          <w:tab w:val="left" w:pos="2160"/>
          <w:tab w:val="left" w:pos="2280"/>
        </w:tabs>
        <w:rPr>
          <w:rFonts w:cs="Arial"/>
          <w:sz w:val="22"/>
          <w:szCs w:val="22"/>
        </w:rPr>
      </w:pPr>
      <w:r>
        <w:rPr>
          <w:rFonts w:cs="Arial"/>
          <w:sz w:val="22"/>
          <w:szCs w:val="22"/>
        </w:rPr>
        <w:t>Office of the Ohio Consumers’ Counsel</w:t>
      </w:r>
    </w:p>
    <w:p w:rsidR="00A93522" w:rsidRDefault="00A93522" w:rsidP="00A93522">
      <w:pPr>
        <w:tabs>
          <w:tab w:val="left" w:pos="2160"/>
          <w:tab w:val="left" w:pos="2280"/>
        </w:tabs>
        <w:rPr>
          <w:rFonts w:cs="Arial"/>
          <w:sz w:val="22"/>
          <w:szCs w:val="22"/>
        </w:rPr>
      </w:pPr>
      <w:r>
        <w:rPr>
          <w:rFonts w:cs="Arial"/>
          <w:sz w:val="22"/>
          <w:szCs w:val="22"/>
        </w:rPr>
        <w:t>65 East State Street, 7</w:t>
      </w:r>
      <w:r>
        <w:rPr>
          <w:rFonts w:cs="Arial"/>
          <w:sz w:val="22"/>
          <w:szCs w:val="22"/>
          <w:vertAlign w:val="superscript"/>
        </w:rPr>
        <w:t>th</w:t>
      </w:r>
      <w:r>
        <w:rPr>
          <w:rFonts w:cs="Arial"/>
          <w:sz w:val="22"/>
          <w:szCs w:val="22"/>
        </w:rPr>
        <w:t xml:space="preserve"> Floor</w:t>
      </w:r>
    </w:p>
    <w:p w:rsidR="00A93522" w:rsidRDefault="00A93522" w:rsidP="00A93522">
      <w:pPr>
        <w:tabs>
          <w:tab w:val="left" w:pos="2160"/>
          <w:tab w:val="left" w:pos="2280"/>
        </w:tabs>
        <w:rPr>
          <w:rFonts w:cs="Arial"/>
          <w:sz w:val="22"/>
          <w:szCs w:val="22"/>
        </w:rPr>
      </w:pPr>
      <w:r>
        <w:rPr>
          <w:rFonts w:cs="Arial"/>
          <w:sz w:val="22"/>
          <w:szCs w:val="22"/>
        </w:rPr>
        <w:t>Columbus, OH  43215-4203</w:t>
      </w:r>
    </w:p>
    <w:p w:rsidR="00A93522" w:rsidRDefault="00A93522" w:rsidP="00A93522">
      <w:pPr>
        <w:tabs>
          <w:tab w:val="left" w:pos="2160"/>
          <w:tab w:val="left" w:pos="2280"/>
        </w:tabs>
        <w:rPr>
          <w:rFonts w:cs="Arial"/>
          <w:sz w:val="22"/>
          <w:szCs w:val="22"/>
        </w:rPr>
      </w:pPr>
      <w:r>
        <w:rPr>
          <w:rFonts w:cs="Arial"/>
          <w:sz w:val="22"/>
          <w:szCs w:val="22"/>
        </w:rPr>
        <w:t>Kevin.moore@occ.ohio.gov</w:t>
      </w:r>
    </w:p>
    <w:p w:rsidR="00A93522" w:rsidRDefault="00A93522" w:rsidP="00A93522">
      <w:pPr>
        <w:tabs>
          <w:tab w:val="left" w:pos="2160"/>
          <w:tab w:val="left" w:pos="2280"/>
        </w:tabs>
        <w:rPr>
          <w:rFonts w:cs="Arial"/>
          <w:sz w:val="22"/>
          <w:szCs w:val="22"/>
        </w:rPr>
      </w:pPr>
    </w:p>
    <w:p w:rsidR="00A93522" w:rsidRDefault="00A93522" w:rsidP="00A93522">
      <w:pPr>
        <w:tabs>
          <w:tab w:val="left" w:pos="2160"/>
          <w:tab w:val="left" w:pos="2280"/>
        </w:tabs>
        <w:rPr>
          <w:rFonts w:ascii="Arial Bold" w:hAnsi="Arial Bold" w:cs="Arial"/>
          <w:b/>
          <w:smallCaps/>
          <w:sz w:val="22"/>
          <w:szCs w:val="22"/>
        </w:rPr>
      </w:pPr>
      <w:r>
        <w:rPr>
          <w:rFonts w:ascii="Arial Bold" w:hAnsi="Arial Bold" w:cs="Arial"/>
          <w:b/>
          <w:smallCaps/>
          <w:sz w:val="22"/>
          <w:szCs w:val="22"/>
        </w:rPr>
        <w:t>On Behalf of the Office of the Ohio Consumers’ Counsel</w:t>
      </w:r>
    </w:p>
    <w:p w:rsidR="00A93522" w:rsidRDefault="00A93522" w:rsidP="00A93522">
      <w:pPr>
        <w:tabs>
          <w:tab w:val="left" w:pos="2160"/>
          <w:tab w:val="left" w:pos="2280"/>
        </w:tabs>
        <w:rPr>
          <w:rFonts w:cs="Arial"/>
          <w:sz w:val="22"/>
          <w:szCs w:val="22"/>
        </w:rPr>
      </w:pPr>
    </w:p>
    <w:p w:rsidR="00A93522" w:rsidRDefault="00A93522" w:rsidP="00A93522">
      <w:pPr>
        <w:tabs>
          <w:tab w:val="left" w:pos="2160"/>
          <w:tab w:val="left" w:pos="2280"/>
        </w:tabs>
        <w:rPr>
          <w:rFonts w:cs="Arial"/>
          <w:sz w:val="22"/>
          <w:szCs w:val="22"/>
        </w:rPr>
      </w:pPr>
      <w:r>
        <w:rPr>
          <w:rFonts w:cs="Arial"/>
          <w:sz w:val="22"/>
          <w:szCs w:val="22"/>
        </w:rPr>
        <w:t>Jodi Bair (Reg. No. 0062921)</w:t>
      </w:r>
    </w:p>
    <w:p w:rsidR="00A93522" w:rsidRDefault="00A93522" w:rsidP="00A93522">
      <w:pPr>
        <w:tabs>
          <w:tab w:val="left" w:pos="2160"/>
          <w:tab w:val="left" w:pos="2280"/>
        </w:tabs>
        <w:rPr>
          <w:rFonts w:cs="Arial"/>
          <w:sz w:val="22"/>
          <w:szCs w:val="22"/>
        </w:rPr>
      </w:pPr>
      <w:r>
        <w:rPr>
          <w:rFonts w:cs="Arial"/>
          <w:sz w:val="22"/>
          <w:szCs w:val="22"/>
        </w:rPr>
        <w:t>Robert Eubanks (Reg. No. 0073386)</w:t>
      </w:r>
    </w:p>
    <w:p w:rsidR="00A93522" w:rsidRDefault="00A93522" w:rsidP="00A93522">
      <w:pPr>
        <w:tabs>
          <w:tab w:val="left" w:pos="2160"/>
          <w:tab w:val="left" w:pos="2280"/>
        </w:tabs>
        <w:rPr>
          <w:rFonts w:cs="Arial"/>
          <w:sz w:val="22"/>
          <w:szCs w:val="22"/>
        </w:rPr>
      </w:pPr>
      <w:r>
        <w:rPr>
          <w:rFonts w:cs="Arial"/>
          <w:sz w:val="22"/>
          <w:szCs w:val="22"/>
        </w:rPr>
        <w:t>Assistant Attorneys General</w:t>
      </w:r>
    </w:p>
    <w:p w:rsidR="00A93522" w:rsidRDefault="00A93522" w:rsidP="00A93522">
      <w:pPr>
        <w:tabs>
          <w:tab w:val="left" w:pos="2160"/>
          <w:tab w:val="left" w:pos="2280"/>
        </w:tabs>
        <w:rPr>
          <w:rFonts w:cs="Arial"/>
          <w:sz w:val="22"/>
          <w:szCs w:val="22"/>
        </w:rPr>
      </w:pPr>
      <w:r>
        <w:rPr>
          <w:rFonts w:cs="Arial"/>
          <w:sz w:val="22"/>
          <w:szCs w:val="22"/>
        </w:rPr>
        <w:t>Office of the Ohio Attorney General</w:t>
      </w:r>
    </w:p>
    <w:p w:rsidR="00A93522" w:rsidRDefault="00A93522" w:rsidP="00A93522">
      <w:pPr>
        <w:tabs>
          <w:tab w:val="left" w:pos="2160"/>
          <w:tab w:val="left" w:pos="2280"/>
        </w:tabs>
        <w:rPr>
          <w:rFonts w:cs="Arial"/>
          <w:sz w:val="22"/>
          <w:szCs w:val="22"/>
        </w:rPr>
      </w:pPr>
      <w:r>
        <w:rPr>
          <w:rFonts w:cs="Arial"/>
          <w:sz w:val="22"/>
          <w:szCs w:val="22"/>
        </w:rPr>
        <w:t>30 East Broad Street, 16</w:t>
      </w:r>
      <w:r>
        <w:rPr>
          <w:rFonts w:cs="Arial"/>
          <w:sz w:val="22"/>
          <w:szCs w:val="22"/>
          <w:vertAlign w:val="superscript"/>
        </w:rPr>
        <w:t>th</w:t>
      </w:r>
      <w:r>
        <w:rPr>
          <w:rFonts w:cs="Arial"/>
          <w:sz w:val="22"/>
          <w:szCs w:val="22"/>
        </w:rPr>
        <w:t xml:space="preserve"> Floor</w:t>
      </w:r>
    </w:p>
    <w:p w:rsidR="00A93522" w:rsidRDefault="00A93522" w:rsidP="00A93522">
      <w:pPr>
        <w:tabs>
          <w:tab w:val="left" w:pos="2160"/>
          <w:tab w:val="left" w:pos="2280"/>
        </w:tabs>
        <w:rPr>
          <w:rFonts w:cs="Arial"/>
          <w:sz w:val="22"/>
          <w:szCs w:val="22"/>
        </w:rPr>
      </w:pPr>
      <w:r>
        <w:rPr>
          <w:rFonts w:cs="Arial"/>
          <w:sz w:val="22"/>
          <w:szCs w:val="22"/>
        </w:rPr>
        <w:t>Columbus, OH  43215</w:t>
      </w:r>
    </w:p>
    <w:p w:rsidR="00A93522" w:rsidRDefault="00A93522" w:rsidP="00A93522">
      <w:pPr>
        <w:tabs>
          <w:tab w:val="left" w:pos="2160"/>
          <w:tab w:val="left" w:pos="2280"/>
        </w:tabs>
        <w:rPr>
          <w:rFonts w:cs="Arial"/>
          <w:sz w:val="22"/>
          <w:szCs w:val="22"/>
        </w:rPr>
      </w:pPr>
      <w:r>
        <w:rPr>
          <w:rFonts w:cs="Arial"/>
          <w:sz w:val="22"/>
          <w:szCs w:val="22"/>
        </w:rPr>
        <w:t>jodi.bair@ohioattorneygeneral.gov</w:t>
      </w:r>
    </w:p>
    <w:p w:rsidR="00A93522" w:rsidRDefault="00A93522" w:rsidP="00A93522">
      <w:pPr>
        <w:tabs>
          <w:tab w:val="left" w:pos="2160"/>
          <w:tab w:val="left" w:pos="2280"/>
        </w:tabs>
        <w:rPr>
          <w:rFonts w:cs="Arial"/>
          <w:sz w:val="22"/>
          <w:szCs w:val="22"/>
        </w:rPr>
      </w:pPr>
      <w:r>
        <w:rPr>
          <w:rFonts w:cs="Arial"/>
          <w:sz w:val="22"/>
          <w:szCs w:val="22"/>
        </w:rPr>
        <w:t>Robert.eubanks@ohioattorneygeneral.gov</w:t>
      </w:r>
    </w:p>
    <w:p w:rsidR="00A93522" w:rsidRDefault="00A93522" w:rsidP="00A93522">
      <w:pPr>
        <w:tabs>
          <w:tab w:val="left" w:pos="2160"/>
          <w:tab w:val="left" w:pos="2280"/>
        </w:tabs>
        <w:rPr>
          <w:rFonts w:cs="Arial"/>
          <w:sz w:val="22"/>
          <w:szCs w:val="22"/>
        </w:rPr>
      </w:pPr>
    </w:p>
    <w:p w:rsidR="00A93522" w:rsidRDefault="00A93522" w:rsidP="00A93522">
      <w:pPr>
        <w:tabs>
          <w:tab w:val="left" w:pos="2160"/>
          <w:tab w:val="left" w:pos="2280"/>
        </w:tabs>
        <w:rPr>
          <w:rFonts w:ascii="Arial Bold" w:hAnsi="Arial Bold" w:cs="Arial"/>
          <w:b/>
          <w:smallCaps/>
          <w:sz w:val="22"/>
          <w:szCs w:val="22"/>
        </w:rPr>
      </w:pPr>
      <w:r>
        <w:rPr>
          <w:rFonts w:ascii="Arial Bold" w:hAnsi="Arial Bold" w:cs="Arial"/>
          <w:b/>
          <w:smallCaps/>
          <w:sz w:val="22"/>
          <w:szCs w:val="22"/>
        </w:rPr>
        <w:t>On Behalf of the Staff of the Public Utilities Commission of Ohio</w:t>
      </w:r>
    </w:p>
    <w:p w:rsidR="00A93522" w:rsidRPr="00A93522" w:rsidRDefault="00A93522" w:rsidP="00A93522">
      <w:pPr>
        <w:rPr>
          <w:rFonts w:ascii="Arial Bold" w:hAnsi="Arial Bold" w:cs="Arial"/>
        </w:rPr>
      </w:pPr>
      <w:r>
        <w:rPr>
          <w:rFonts w:ascii="Arial Bold" w:hAnsi="Arial Bold" w:cs="Arial"/>
        </w:rPr>
        <w:br w:type="column"/>
      </w:r>
      <w:r>
        <w:rPr>
          <w:rFonts w:cs="Arial"/>
          <w:sz w:val="22"/>
          <w:szCs w:val="22"/>
        </w:rPr>
        <w:t>Sarah Parrot</w:t>
      </w:r>
    </w:p>
    <w:p w:rsidR="00A93522" w:rsidRDefault="00A93522" w:rsidP="00A93522">
      <w:pPr>
        <w:tabs>
          <w:tab w:val="left" w:pos="2160"/>
          <w:tab w:val="left" w:pos="2280"/>
        </w:tabs>
        <w:rPr>
          <w:rFonts w:cs="Arial"/>
          <w:sz w:val="22"/>
          <w:szCs w:val="22"/>
        </w:rPr>
      </w:pPr>
      <w:r>
        <w:rPr>
          <w:rFonts w:cs="Arial"/>
          <w:sz w:val="22"/>
          <w:szCs w:val="22"/>
        </w:rPr>
        <w:t>Patricia Schabo</w:t>
      </w:r>
    </w:p>
    <w:p w:rsidR="00A93522" w:rsidRDefault="00A93522" w:rsidP="00A93522">
      <w:pPr>
        <w:tabs>
          <w:tab w:val="left" w:pos="2160"/>
          <w:tab w:val="left" w:pos="2280"/>
        </w:tabs>
        <w:rPr>
          <w:rFonts w:cs="Arial"/>
          <w:sz w:val="22"/>
          <w:szCs w:val="22"/>
        </w:rPr>
      </w:pPr>
      <w:r>
        <w:rPr>
          <w:rFonts w:cs="Arial"/>
          <w:sz w:val="22"/>
          <w:szCs w:val="22"/>
        </w:rPr>
        <w:t>Legal Department</w:t>
      </w:r>
    </w:p>
    <w:p w:rsidR="00A93522" w:rsidRDefault="00A93522" w:rsidP="00A93522">
      <w:pPr>
        <w:tabs>
          <w:tab w:val="left" w:pos="2160"/>
          <w:tab w:val="left" w:pos="2280"/>
        </w:tabs>
        <w:rPr>
          <w:rFonts w:cs="Arial"/>
          <w:sz w:val="22"/>
          <w:szCs w:val="22"/>
        </w:rPr>
      </w:pPr>
      <w:r>
        <w:rPr>
          <w:rFonts w:cs="Arial"/>
          <w:sz w:val="22"/>
          <w:szCs w:val="22"/>
        </w:rPr>
        <w:t>Public Utilities Commission of Ohio</w:t>
      </w:r>
    </w:p>
    <w:p w:rsidR="00A93522" w:rsidRDefault="00A93522" w:rsidP="00A93522">
      <w:pPr>
        <w:tabs>
          <w:tab w:val="left" w:pos="2160"/>
          <w:tab w:val="left" w:pos="2280"/>
        </w:tabs>
        <w:rPr>
          <w:rFonts w:cs="Arial"/>
          <w:sz w:val="22"/>
          <w:szCs w:val="22"/>
        </w:rPr>
      </w:pPr>
      <w:r>
        <w:rPr>
          <w:rFonts w:cs="Arial"/>
          <w:sz w:val="22"/>
          <w:szCs w:val="22"/>
        </w:rPr>
        <w:t>180 East Broad Street, 12</w:t>
      </w:r>
      <w:r>
        <w:rPr>
          <w:rFonts w:cs="Arial"/>
          <w:sz w:val="22"/>
          <w:szCs w:val="22"/>
          <w:vertAlign w:val="superscript"/>
        </w:rPr>
        <w:t>th</w:t>
      </w:r>
      <w:r>
        <w:rPr>
          <w:rFonts w:cs="Arial"/>
          <w:sz w:val="22"/>
          <w:szCs w:val="22"/>
        </w:rPr>
        <w:t xml:space="preserve"> Floor</w:t>
      </w:r>
    </w:p>
    <w:p w:rsidR="00A93522" w:rsidRDefault="00A93522" w:rsidP="00A93522">
      <w:pPr>
        <w:tabs>
          <w:tab w:val="left" w:pos="2160"/>
          <w:tab w:val="left" w:pos="2280"/>
        </w:tabs>
        <w:rPr>
          <w:rFonts w:cs="Arial"/>
          <w:sz w:val="22"/>
          <w:szCs w:val="22"/>
        </w:rPr>
      </w:pPr>
      <w:r>
        <w:rPr>
          <w:rFonts w:cs="Arial"/>
          <w:sz w:val="22"/>
          <w:szCs w:val="22"/>
        </w:rPr>
        <w:t>Columbus, OH  43215</w:t>
      </w:r>
    </w:p>
    <w:p w:rsidR="00A93522" w:rsidRDefault="00A93522" w:rsidP="00A93522">
      <w:pPr>
        <w:tabs>
          <w:tab w:val="left" w:pos="2160"/>
          <w:tab w:val="left" w:pos="2280"/>
        </w:tabs>
        <w:rPr>
          <w:rFonts w:cs="Arial"/>
          <w:sz w:val="22"/>
          <w:szCs w:val="22"/>
        </w:rPr>
      </w:pPr>
      <w:r>
        <w:rPr>
          <w:rFonts w:cs="Arial"/>
          <w:sz w:val="22"/>
          <w:szCs w:val="22"/>
        </w:rPr>
        <w:t>sarah.parrot@puc.state.oh.us</w:t>
      </w:r>
    </w:p>
    <w:p w:rsidR="00A93522" w:rsidRDefault="00A93522" w:rsidP="00A93522">
      <w:pPr>
        <w:rPr>
          <w:rFonts w:cs="Arial"/>
          <w:color w:val="000000"/>
          <w:sz w:val="22"/>
          <w:szCs w:val="22"/>
        </w:rPr>
      </w:pPr>
      <w:r>
        <w:rPr>
          <w:rFonts w:cs="Arial"/>
          <w:color w:val="000000"/>
          <w:sz w:val="22"/>
          <w:szCs w:val="22"/>
        </w:rPr>
        <w:t>Patricia.schabo@puc.state.oh.us</w:t>
      </w:r>
    </w:p>
    <w:p w:rsidR="00A93522" w:rsidRDefault="00A93522" w:rsidP="00A93522">
      <w:pPr>
        <w:tabs>
          <w:tab w:val="left" w:pos="2160"/>
          <w:tab w:val="left" w:pos="2280"/>
        </w:tabs>
        <w:rPr>
          <w:rFonts w:ascii="Arial Bold" w:hAnsi="Arial Bold" w:cs="Arial"/>
          <w:b/>
          <w:smallCaps/>
          <w:sz w:val="22"/>
          <w:szCs w:val="22"/>
        </w:rPr>
      </w:pPr>
    </w:p>
    <w:p w:rsidR="00A93522" w:rsidRDefault="00A93522" w:rsidP="00A93522">
      <w:pPr>
        <w:tabs>
          <w:tab w:val="left" w:pos="2160"/>
          <w:tab w:val="left" w:pos="2280"/>
        </w:tabs>
        <w:rPr>
          <w:rFonts w:ascii="Arial Bold" w:hAnsi="Arial Bold" w:cs="Arial"/>
          <w:b/>
          <w:smallCaps/>
          <w:sz w:val="22"/>
          <w:szCs w:val="22"/>
        </w:rPr>
      </w:pPr>
      <w:r>
        <w:rPr>
          <w:rFonts w:ascii="Arial Bold" w:hAnsi="Arial Bold" w:cs="Arial"/>
          <w:b/>
          <w:smallCaps/>
          <w:sz w:val="22"/>
          <w:szCs w:val="22"/>
        </w:rPr>
        <w:t>Attorney Examiners</w:t>
      </w:r>
    </w:p>
    <w:p w:rsidR="004B7D45" w:rsidRPr="00777EBA" w:rsidRDefault="00A04B7B" w:rsidP="00777EBA">
      <w:pPr>
        <w:jc w:val="center"/>
        <w:rPr>
          <w:rFonts w:ascii="Arial Bold" w:hAnsi="Arial Bold" w:cs="Arial"/>
        </w:rPr>
      </w:pPr>
    </w:p>
    <w:sectPr w:rsidR="004B7D45" w:rsidRPr="00777EBA" w:rsidSect="00A93522">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A99" w:rsidRDefault="00BB33F2">
      <w:r>
        <w:separator/>
      </w:r>
    </w:p>
  </w:endnote>
  <w:endnote w:type="continuationSeparator" w:id="0">
    <w:p w:rsidR="00957A99" w:rsidRDefault="00BB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B" w:rsidRDefault="00A04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47" w:rsidRPr="00A93522" w:rsidRDefault="009E2825" w:rsidP="00A93522">
    <w:pPr>
      <w:pStyle w:val="Footer"/>
      <w:tabs>
        <w:tab w:val="clear" w:pos="4320"/>
        <w:tab w:val="center" w:pos="4680"/>
      </w:tabs>
    </w:pPr>
    <w:r w:rsidRPr="00A93522">
      <w:rPr>
        <w:noProof/>
        <w:sz w:val="16"/>
      </w:rPr>
      <w:tab/>
    </w:r>
    <w:r w:rsidR="00BB33F2" w:rsidRPr="00A93522">
      <w:fldChar w:fldCharType="begin"/>
    </w:r>
    <w:r w:rsidR="00BB33F2" w:rsidRPr="00A93522">
      <w:instrText xml:space="preserve"> PAGE   \* MERGEFORMAT </w:instrText>
    </w:r>
    <w:r w:rsidR="00BB33F2" w:rsidRPr="00A93522">
      <w:fldChar w:fldCharType="separate"/>
    </w:r>
    <w:r w:rsidR="00A04B7B">
      <w:rPr>
        <w:noProof/>
      </w:rPr>
      <w:t>2</w:t>
    </w:r>
    <w:r w:rsidR="00BB33F2" w:rsidRPr="00A9352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47" w:rsidRPr="00A93522" w:rsidRDefault="009E2825" w:rsidP="00A93522">
    <w:pPr>
      <w:pStyle w:val="Footer"/>
    </w:pPr>
    <w:r w:rsidRPr="00A93522">
      <w:rPr>
        <w:noProof/>
        <w:sz w:val="16"/>
      </w:rPr>
      <w:tab/>
    </w:r>
    <w:r w:rsidR="00BB33F2" w:rsidRPr="00A93522">
      <w:rPr>
        <w:noProof/>
        <w:sz w:val="16"/>
      </w:rPr>
      <w:t xml:space="preserve"> </w:t>
    </w:r>
    <w:r w:rsidR="00BB33F2" w:rsidRPr="00A93522">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47" w:rsidRPr="00A93522" w:rsidRDefault="009E2825" w:rsidP="00A93522">
    <w:pPr>
      <w:pStyle w:val="Footer"/>
      <w:tabs>
        <w:tab w:val="clear" w:pos="4320"/>
        <w:tab w:val="center" w:pos="4680"/>
      </w:tabs>
    </w:pPr>
    <w:r w:rsidRPr="00A93522">
      <w:rPr>
        <w:noProof/>
        <w:sz w:val="16"/>
      </w:rPr>
      <w:tab/>
    </w:r>
    <w:r w:rsidR="00BB33F2" w:rsidRPr="00A93522">
      <w:rPr>
        <w:noProof/>
        <w:sz w:val="16"/>
      </w:rPr>
      <w:t xml:space="preserve"> </w:t>
    </w:r>
    <w:r w:rsidR="00BB33F2" w:rsidRPr="00A9352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99E" w:rsidRDefault="00BB33F2">
      <w:pPr>
        <w:rPr>
          <w:noProof/>
        </w:rPr>
      </w:pPr>
      <w:r>
        <w:rPr>
          <w:noProof/>
        </w:rPr>
        <w:separator/>
      </w:r>
    </w:p>
  </w:footnote>
  <w:footnote w:type="continuationSeparator" w:id="0">
    <w:p w:rsidR="003A299E" w:rsidRDefault="00BB33F2">
      <w:r>
        <w:continuationSeparator/>
      </w:r>
    </w:p>
  </w:footnote>
  <w:footnote w:id="1">
    <w:p w:rsidR="003536F3" w:rsidRDefault="00BB33F2">
      <w:pPr>
        <w:pStyle w:val="FootnoteText"/>
      </w:pPr>
      <w:r>
        <w:rPr>
          <w:rStyle w:val="FootnoteReference"/>
        </w:rPr>
        <w:footnoteRef/>
      </w:r>
      <w:r>
        <w:t xml:space="preserve"> This agreed revenue increase of $2,419,587 is based upon a return on equity of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B" w:rsidRDefault="00A04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B" w:rsidRDefault="00A04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B7B" w:rsidRDefault="00A04B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47" w:rsidRDefault="00A04B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47" w:rsidRDefault="00A04B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A47" w:rsidRPr="0002016A" w:rsidRDefault="00A04B7B" w:rsidP="00020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548"/>
    <w:multiLevelType w:val="hybridMultilevel"/>
    <w:tmpl w:val="8410BC36"/>
    <w:lvl w:ilvl="0" w:tplc="D2A6AA30">
      <w:start w:val="1"/>
      <w:numFmt w:val="bullet"/>
      <w:lvlText w:val=""/>
      <w:lvlJc w:val="left"/>
      <w:pPr>
        <w:ind w:left="1440" w:hanging="360"/>
      </w:pPr>
      <w:rPr>
        <w:rFonts w:ascii="Symbol" w:hAnsi="Symbol" w:hint="default"/>
      </w:rPr>
    </w:lvl>
    <w:lvl w:ilvl="1" w:tplc="6D76E08C" w:tentative="1">
      <w:start w:val="1"/>
      <w:numFmt w:val="bullet"/>
      <w:lvlText w:val="o"/>
      <w:lvlJc w:val="left"/>
      <w:pPr>
        <w:ind w:left="2160" w:hanging="360"/>
      </w:pPr>
      <w:rPr>
        <w:rFonts w:ascii="Courier New" w:hAnsi="Courier New" w:cs="Courier New" w:hint="default"/>
      </w:rPr>
    </w:lvl>
    <w:lvl w:ilvl="2" w:tplc="14AEA3A0" w:tentative="1">
      <w:start w:val="1"/>
      <w:numFmt w:val="bullet"/>
      <w:lvlText w:val=""/>
      <w:lvlJc w:val="left"/>
      <w:pPr>
        <w:ind w:left="2880" w:hanging="360"/>
      </w:pPr>
      <w:rPr>
        <w:rFonts w:ascii="Wingdings" w:hAnsi="Wingdings" w:hint="default"/>
      </w:rPr>
    </w:lvl>
    <w:lvl w:ilvl="3" w:tplc="9D4CEBE2" w:tentative="1">
      <w:start w:val="1"/>
      <w:numFmt w:val="bullet"/>
      <w:lvlText w:val=""/>
      <w:lvlJc w:val="left"/>
      <w:pPr>
        <w:ind w:left="3600" w:hanging="360"/>
      </w:pPr>
      <w:rPr>
        <w:rFonts w:ascii="Symbol" w:hAnsi="Symbol" w:hint="default"/>
      </w:rPr>
    </w:lvl>
    <w:lvl w:ilvl="4" w:tplc="BE3ED38A" w:tentative="1">
      <w:start w:val="1"/>
      <w:numFmt w:val="bullet"/>
      <w:lvlText w:val="o"/>
      <w:lvlJc w:val="left"/>
      <w:pPr>
        <w:ind w:left="4320" w:hanging="360"/>
      </w:pPr>
      <w:rPr>
        <w:rFonts w:ascii="Courier New" w:hAnsi="Courier New" w:cs="Courier New" w:hint="default"/>
      </w:rPr>
    </w:lvl>
    <w:lvl w:ilvl="5" w:tplc="DD828756" w:tentative="1">
      <w:start w:val="1"/>
      <w:numFmt w:val="bullet"/>
      <w:lvlText w:val=""/>
      <w:lvlJc w:val="left"/>
      <w:pPr>
        <w:ind w:left="5040" w:hanging="360"/>
      </w:pPr>
      <w:rPr>
        <w:rFonts w:ascii="Wingdings" w:hAnsi="Wingdings" w:hint="default"/>
      </w:rPr>
    </w:lvl>
    <w:lvl w:ilvl="6" w:tplc="796CCA50" w:tentative="1">
      <w:start w:val="1"/>
      <w:numFmt w:val="bullet"/>
      <w:lvlText w:val=""/>
      <w:lvlJc w:val="left"/>
      <w:pPr>
        <w:ind w:left="5760" w:hanging="360"/>
      </w:pPr>
      <w:rPr>
        <w:rFonts w:ascii="Symbol" w:hAnsi="Symbol" w:hint="default"/>
      </w:rPr>
    </w:lvl>
    <w:lvl w:ilvl="7" w:tplc="1BCA5F14" w:tentative="1">
      <w:start w:val="1"/>
      <w:numFmt w:val="bullet"/>
      <w:lvlText w:val="o"/>
      <w:lvlJc w:val="left"/>
      <w:pPr>
        <w:ind w:left="6480" w:hanging="360"/>
      </w:pPr>
      <w:rPr>
        <w:rFonts w:ascii="Courier New" w:hAnsi="Courier New" w:cs="Courier New" w:hint="default"/>
      </w:rPr>
    </w:lvl>
    <w:lvl w:ilvl="8" w:tplc="1BF61DD4" w:tentative="1">
      <w:start w:val="1"/>
      <w:numFmt w:val="bullet"/>
      <w:lvlText w:val=""/>
      <w:lvlJc w:val="left"/>
      <w:pPr>
        <w:ind w:left="7200" w:hanging="360"/>
      </w:pPr>
      <w:rPr>
        <w:rFonts w:ascii="Wingdings" w:hAnsi="Wingdings" w:hint="default"/>
      </w:rPr>
    </w:lvl>
  </w:abstractNum>
  <w:abstractNum w:abstractNumId="1" w15:restartNumberingAfterBreak="0">
    <w:nsid w:val="15EF1C41"/>
    <w:multiLevelType w:val="hybridMultilevel"/>
    <w:tmpl w:val="912A7E64"/>
    <w:lvl w:ilvl="0" w:tplc="3F0C2FF4">
      <w:start w:val="1"/>
      <w:numFmt w:val="upperRoman"/>
      <w:lvlText w:val="%1."/>
      <w:lvlJc w:val="left"/>
      <w:pPr>
        <w:ind w:left="360" w:hanging="360"/>
      </w:pPr>
      <w:rPr>
        <w:rFonts w:hint="default"/>
      </w:rPr>
    </w:lvl>
    <w:lvl w:ilvl="1" w:tplc="F2CC4690" w:tentative="1">
      <w:start w:val="1"/>
      <w:numFmt w:val="lowerLetter"/>
      <w:lvlText w:val="%2."/>
      <w:lvlJc w:val="left"/>
      <w:pPr>
        <w:ind w:left="2164" w:hanging="360"/>
      </w:pPr>
    </w:lvl>
    <w:lvl w:ilvl="2" w:tplc="7C321982" w:tentative="1">
      <w:start w:val="1"/>
      <w:numFmt w:val="lowerRoman"/>
      <w:lvlText w:val="%3."/>
      <w:lvlJc w:val="right"/>
      <w:pPr>
        <w:ind w:left="2884" w:hanging="180"/>
      </w:pPr>
    </w:lvl>
    <w:lvl w:ilvl="3" w:tplc="E2B49A6C" w:tentative="1">
      <w:start w:val="1"/>
      <w:numFmt w:val="decimal"/>
      <w:lvlText w:val="%4."/>
      <w:lvlJc w:val="left"/>
      <w:pPr>
        <w:ind w:left="3604" w:hanging="360"/>
      </w:pPr>
    </w:lvl>
    <w:lvl w:ilvl="4" w:tplc="B57CC852" w:tentative="1">
      <w:start w:val="1"/>
      <w:numFmt w:val="lowerLetter"/>
      <w:lvlText w:val="%5."/>
      <w:lvlJc w:val="left"/>
      <w:pPr>
        <w:ind w:left="4324" w:hanging="360"/>
      </w:pPr>
    </w:lvl>
    <w:lvl w:ilvl="5" w:tplc="8AD23B84" w:tentative="1">
      <w:start w:val="1"/>
      <w:numFmt w:val="lowerRoman"/>
      <w:lvlText w:val="%6."/>
      <w:lvlJc w:val="right"/>
      <w:pPr>
        <w:ind w:left="5044" w:hanging="180"/>
      </w:pPr>
    </w:lvl>
    <w:lvl w:ilvl="6" w:tplc="A0C899AA" w:tentative="1">
      <w:start w:val="1"/>
      <w:numFmt w:val="decimal"/>
      <w:lvlText w:val="%7."/>
      <w:lvlJc w:val="left"/>
      <w:pPr>
        <w:ind w:left="5764" w:hanging="360"/>
      </w:pPr>
    </w:lvl>
    <w:lvl w:ilvl="7" w:tplc="73DE81FA" w:tentative="1">
      <w:start w:val="1"/>
      <w:numFmt w:val="lowerLetter"/>
      <w:lvlText w:val="%8."/>
      <w:lvlJc w:val="left"/>
      <w:pPr>
        <w:ind w:left="6484" w:hanging="360"/>
      </w:pPr>
    </w:lvl>
    <w:lvl w:ilvl="8" w:tplc="DEA0305C" w:tentative="1">
      <w:start w:val="1"/>
      <w:numFmt w:val="lowerRoman"/>
      <w:lvlText w:val="%9."/>
      <w:lvlJc w:val="right"/>
      <w:pPr>
        <w:ind w:left="7204" w:hanging="180"/>
      </w:pPr>
    </w:lvl>
  </w:abstractNum>
  <w:abstractNum w:abstractNumId="2" w15:restartNumberingAfterBreak="0">
    <w:nsid w:val="199801B8"/>
    <w:multiLevelType w:val="hybridMultilevel"/>
    <w:tmpl w:val="9EBC17EE"/>
    <w:lvl w:ilvl="0" w:tplc="445E264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D38CF"/>
    <w:multiLevelType w:val="hybridMultilevel"/>
    <w:tmpl w:val="9EBC17EE"/>
    <w:lvl w:ilvl="0" w:tplc="445E264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3F0081"/>
    <w:multiLevelType w:val="hybridMultilevel"/>
    <w:tmpl w:val="9EBC17EE"/>
    <w:lvl w:ilvl="0" w:tplc="445E2646">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removePersonalInformatio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E66"/>
    <w:rsid w:val="000E1421"/>
    <w:rsid w:val="001A2FEB"/>
    <w:rsid w:val="002723D3"/>
    <w:rsid w:val="003542B3"/>
    <w:rsid w:val="003A5F1D"/>
    <w:rsid w:val="003E6739"/>
    <w:rsid w:val="005A46EE"/>
    <w:rsid w:val="00686212"/>
    <w:rsid w:val="00756A95"/>
    <w:rsid w:val="00783FCB"/>
    <w:rsid w:val="007E4764"/>
    <w:rsid w:val="0089201E"/>
    <w:rsid w:val="0091320A"/>
    <w:rsid w:val="00957A99"/>
    <w:rsid w:val="009A0D1B"/>
    <w:rsid w:val="009C76CC"/>
    <w:rsid w:val="009E2825"/>
    <w:rsid w:val="00A04B7B"/>
    <w:rsid w:val="00A93522"/>
    <w:rsid w:val="00AB1407"/>
    <w:rsid w:val="00B34E66"/>
    <w:rsid w:val="00BB33F2"/>
    <w:rsid w:val="00DF44F9"/>
    <w:rsid w:val="00E80E23"/>
    <w:rsid w:val="00FA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E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pPr>
      <w:keepNext/>
      <w:ind w:left="2160" w:right="2160"/>
      <w:outlineLvl w:val="0"/>
    </w:pPr>
    <w:rPr>
      <w:rFonts w:cs="Arial"/>
      <w:b/>
      <w:sz w:val="28"/>
    </w:rPr>
  </w:style>
  <w:style w:type="paragraph" w:styleId="Heading2">
    <w:name w:val="heading 2"/>
    <w:basedOn w:val="Normal"/>
    <w:next w:val="Normal"/>
    <w:link w:val="Heading2Char"/>
    <w:uiPriority w:val="9"/>
    <w:unhideWhenUsed/>
    <w:qFormat/>
    <w:rsid w:val="00CA3FD2"/>
    <w:pPr>
      <w:jc w:val="both"/>
      <w:outlineLvl w:val="1"/>
    </w:pPr>
    <w:rPr>
      <w:rFonts w:cs="Arial"/>
      <w:b/>
      <w:caps/>
    </w:rPr>
  </w:style>
  <w:style w:type="paragraph" w:styleId="Heading3">
    <w:name w:val="heading 3"/>
    <w:basedOn w:val="Normal"/>
    <w:next w:val="Normal"/>
    <w:link w:val="Heading3Char"/>
    <w:uiPriority w:val="9"/>
    <w:unhideWhenUsed/>
    <w:qFormat/>
    <w:rsid w:val="00CA3FD2"/>
    <w:pPr>
      <w:ind w:left="1440" w:right="720" w:hanging="720"/>
      <w:jc w:val="both"/>
      <w:outlineLvl w:val="2"/>
    </w:pPr>
    <w:rPr>
      <w:rFonts w:eastAsiaTheme="minorHAnsi" w:cs="Arial"/>
    </w:rPr>
  </w:style>
  <w:style w:type="paragraph" w:styleId="Heading4">
    <w:name w:val="heading 4"/>
    <w:basedOn w:val="Normal"/>
    <w:next w:val="Normal"/>
    <w:link w:val="Heading4Char"/>
    <w:uiPriority w:val="9"/>
    <w:qFormat/>
    <w:pPr>
      <w:keepNext/>
      <w:jc w:val="both"/>
      <w:outlineLvl w:val="3"/>
    </w:pPr>
    <w:rPr>
      <w:rFonts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Times New Roman" w:hAnsi="Arial" w:cs="Arial"/>
      <w:b/>
      <w:sz w:val="28"/>
      <w:szCs w:val="24"/>
    </w:rPr>
  </w:style>
  <w:style w:type="character" w:customStyle="1" w:styleId="Heading4Char">
    <w:name w:val="Heading 4 Char"/>
    <w:basedOn w:val="DefaultParagraphFont"/>
    <w:link w:val="Heading4"/>
    <w:uiPriority w:val="9"/>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character" w:styleId="CommentReference">
    <w:name w:val="annotation reference"/>
    <w:basedOn w:val="DefaultParagraphFont"/>
    <w:uiPriority w:val="99"/>
    <w:semiHidden/>
    <w:unhideWhenUsed/>
    <w:rsid w:val="006E6167"/>
    <w:rPr>
      <w:sz w:val="16"/>
      <w:szCs w:val="16"/>
    </w:rPr>
  </w:style>
  <w:style w:type="paragraph" w:styleId="CommentText">
    <w:name w:val="annotation text"/>
    <w:basedOn w:val="Normal"/>
    <w:link w:val="CommentTextChar"/>
    <w:uiPriority w:val="99"/>
    <w:semiHidden/>
    <w:unhideWhenUsed/>
    <w:rsid w:val="006E6167"/>
    <w:rPr>
      <w:sz w:val="20"/>
      <w:szCs w:val="20"/>
    </w:rPr>
  </w:style>
  <w:style w:type="character" w:customStyle="1" w:styleId="CommentTextChar">
    <w:name w:val="Comment Text Char"/>
    <w:basedOn w:val="DefaultParagraphFont"/>
    <w:link w:val="CommentText"/>
    <w:uiPriority w:val="99"/>
    <w:semiHidden/>
    <w:rsid w:val="006E6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167"/>
    <w:rPr>
      <w:b/>
      <w:bCs/>
    </w:rPr>
  </w:style>
  <w:style w:type="character" w:customStyle="1" w:styleId="CommentSubjectChar">
    <w:name w:val="Comment Subject Char"/>
    <w:basedOn w:val="CommentTextChar"/>
    <w:link w:val="CommentSubject"/>
    <w:uiPriority w:val="99"/>
    <w:semiHidden/>
    <w:rsid w:val="006E6167"/>
    <w:rPr>
      <w:rFonts w:ascii="Times New Roman" w:eastAsia="Times New Roman" w:hAnsi="Times New Roman" w:cs="Times New Roman"/>
      <w:b/>
      <w:bCs/>
      <w:sz w:val="20"/>
      <w:szCs w:val="20"/>
    </w:rPr>
  </w:style>
  <w:style w:type="paragraph" w:styleId="ListParagraph">
    <w:name w:val="List Paragraph"/>
    <w:basedOn w:val="Normal"/>
    <w:uiPriority w:val="34"/>
    <w:qFormat/>
    <w:rsid w:val="00A21393"/>
    <w:pPr>
      <w:ind w:left="720"/>
      <w:contextualSpacing/>
    </w:pPr>
    <w:rPr>
      <w:rFonts w:eastAsiaTheme="minorHAnsi" w:cstheme="minorBidi"/>
    </w:rPr>
  </w:style>
  <w:style w:type="character" w:customStyle="1" w:styleId="UnresolvedMention1">
    <w:name w:val="Unresolved Mention1"/>
    <w:basedOn w:val="DefaultParagraphFont"/>
    <w:uiPriority w:val="99"/>
    <w:semiHidden/>
    <w:unhideWhenUsed/>
    <w:rsid w:val="002C423D"/>
    <w:rPr>
      <w:color w:val="808080"/>
      <w:shd w:val="clear" w:color="auto" w:fill="E6E6E6"/>
    </w:rPr>
  </w:style>
  <w:style w:type="character" w:customStyle="1" w:styleId="Heading2Char">
    <w:name w:val="Heading 2 Char"/>
    <w:basedOn w:val="DefaultParagraphFont"/>
    <w:link w:val="Heading2"/>
    <w:uiPriority w:val="9"/>
    <w:rsid w:val="00CA3FD2"/>
    <w:rPr>
      <w:rFonts w:ascii="Arial" w:eastAsia="Times New Roman" w:hAnsi="Arial" w:cs="Arial"/>
      <w:b/>
      <w:caps/>
      <w:sz w:val="24"/>
      <w:szCs w:val="24"/>
    </w:rPr>
  </w:style>
  <w:style w:type="character" w:customStyle="1" w:styleId="Heading3Char">
    <w:name w:val="Heading 3 Char"/>
    <w:basedOn w:val="DefaultParagraphFont"/>
    <w:link w:val="Heading3"/>
    <w:uiPriority w:val="9"/>
    <w:rsid w:val="00CA3FD2"/>
    <w:rPr>
      <w:rFonts w:ascii="Arial" w:hAnsi="Arial" w:cs="Arial"/>
      <w:sz w:val="24"/>
      <w:szCs w:val="24"/>
    </w:rPr>
  </w:style>
  <w:style w:type="paragraph" w:styleId="NormalWeb">
    <w:name w:val="Normal (Web)"/>
    <w:basedOn w:val="Normal"/>
    <w:uiPriority w:val="99"/>
    <w:semiHidden/>
    <w:unhideWhenUsed/>
    <w:rsid w:val="00CA3FD2"/>
    <w:pPr>
      <w:spacing w:before="100" w:beforeAutospacing="1" w:after="100" w:afterAutospacing="1"/>
    </w:pPr>
    <w:rPr>
      <w:rFonts w:ascii="Times New Roman" w:hAnsi="Times New Roman"/>
    </w:rPr>
  </w:style>
  <w:style w:type="paragraph" w:customStyle="1" w:styleId="1Regparagraph">
    <w:name w:val="1Reg paragraph"/>
    <w:basedOn w:val="Normal"/>
    <w:link w:val="1RegparagraphChar"/>
    <w:qFormat/>
    <w:rsid w:val="00CA3FD2"/>
    <w:pPr>
      <w:jc w:val="both"/>
    </w:pPr>
    <w:rPr>
      <w:rFonts w:cs="Arial"/>
    </w:rPr>
  </w:style>
  <w:style w:type="character" w:customStyle="1" w:styleId="1RegparagraphChar">
    <w:name w:val="1Reg paragraph Char"/>
    <w:basedOn w:val="DefaultParagraphFont"/>
    <w:link w:val="1Regparagraph"/>
    <w:rsid w:val="00CA3FD2"/>
    <w:rPr>
      <w:rFonts w:ascii="Arial" w:eastAsia="Times New Roman" w:hAnsi="Arial" w:cs="Arial"/>
      <w:sz w:val="24"/>
      <w:szCs w:val="24"/>
    </w:rPr>
  </w:style>
  <w:style w:type="paragraph" w:styleId="Revision">
    <w:name w:val="Revision"/>
    <w:hidden/>
    <w:uiPriority w:val="99"/>
    <w:semiHidden/>
    <w:rsid w:val="00CA3FD2"/>
    <w:pPr>
      <w:spacing w:after="0" w:line="240" w:lineRule="auto"/>
    </w:pPr>
    <w:rPr>
      <w:rFonts w:ascii="Arial" w:hAnsi="Arial" w:cs="Arial"/>
      <w:sz w:val="24"/>
      <w:szCs w:val="24"/>
    </w:rPr>
  </w:style>
  <w:style w:type="paragraph" w:customStyle="1" w:styleId="percentimbalance">
    <w:name w:val="percentimbalance"/>
    <w:basedOn w:val="Normal"/>
    <w:link w:val="percentimbalanceChar"/>
    <w:qFormat/>
    <w:rsid w:val="00CA3FD2"/>
    <w:pPr>
      <w:tabs>
        <w:tab w:val="center" w:pos="3600"/>
        <w:tab w:val="left" w:pos="6120"/>
      </w:tabs>
    </w:pPr>
    <w:rPr>
      <w:rFonts w:eastAsiaTheme="minorHAnsi" w:cs="Arial"/>
    </w:rPr>
  </w:style>
  <w:style w:type="character" w:customStyle="1" w:styleId="percentimbalanceChar">
    <w:name w:val="percentimbalance Char"/>
    <w:basedOn w:val="DefaultParagraphFont"/>
    <w:link w:val="percentimbalance"/>
    <w:rsid w:val="00CA3FD2"/>
    <w:rPr>
      <w:rFonts w:ascii="Arial" w:hAnsi="Arial" w:cs="Arial"/>
      <w:sz w:val="24"/>
      <w:szCs w:val="24"/>
    </w:rPr>
  </w:style>
  <w:style w:type="paragraph" w:styleId="FootnoteText">
    <w:name w:val="footnote text"/>
    <w:basedOn w:val="Normal"/>
    <w:link w:val="FootnoteTextChar"/>
    <w:uiPriority w:val="99"/>
    <w:semiHidden/>
    <w:unhideWhenUsed/>
    <w:rsid w:val="003536F3"/>
    <w:rPr>
      <w:sz w:val="20"/>
      <w:szCs w:val="20"/>
    </w:rPr>
  </w:style>
  <w:style w:type="character" w:customStyle="1" w:styleId="FootnoteTextChar">
    <w:name w:val="Footnote Text Char"/>
    <w:basedOn w:val="DefaultParagraphFont"/>
    <w:link w:val="FootnoteText"/>
    <w:uiPriority w:val="99"/>
    <w:semiHidden/>
    <w:rsid w:val="003536F3"/>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353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1943</Words>
  <Characters>10242</Characters>
  <Application>Microsoft Office Word</Application>
  <DocSecurity>0</DocSecurity>
  <PresentationFormat/>
  <Lines>330</Lines>
  <Paragraphs>126</Paragraphs>
  <ScaleCrop>false</ScaleCrop>
  <HeadingPairs>
    <vt:vector size="2" baseType="variant">
      <vt:variant>
        <vt:lpstr>Title</vt:lpstr>
      </vt:variant>
      <vt:variant>
        <vt:i4>1</vt:i4>
      </vt:variant>
    </vt:vector>
  </HeadingPairs>
  <TitlesOfParts>
    <vt:vector size="1" baseType="lpstr">
      <vt:lpstr>Final Stipulation and Recommendation 1-26-18 (C0108007-1).DOCX</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cp:lastModifiedBy/>
  <cp:revision>1</cp:revision>
  <dcterms:created xsi:type="dcterms:W3CDTF">2018-01-26T18:19:00Z</dcterms:created>
  <dcterms:modified xsi:type="dcterms:W3CDTF">2018-01-26T18:19:00Z</dcterms:modified>
</cp:coreProperties>
</file>