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D120B" w:rsidRPr="000B1CB4" w:rsidP="00ED120B" w14:paraId="2595852B" w14:textId="77777777">
      <w:pPr>
        <w:pStyle w:val="HTMLPreformatted"/>
        <w:jc w:val="center"/>
        <w:rPr>
          <w:rFonts w:ascii="Times New Roman" w:hAnsi="Times New Roman" w:cs="Times New Roman"/>
          <w:b/>
          <w:bCs/>
          <w:sz w:val="24"/>
          <w:szCs w:val="24"/>
        </w:rPr>
      </w:pPr>
      <w:r w:rsidRPr="000B1CB4">
        <w:rPr>
          <w:rFonts w:ascii="Times New Roman" w:hAnsi="Times New Roman" w:cs="Times New Roman"/>
          <w:b/>
          <w:bCs/>
          <w:sz w:val="24"/>
          <w:szCs w:val="24"/>
        </w:rPr>
        <w:t>BEFORE</w:t>
      </w:r>
    </w:p>
    <w:p w:rsidR="00ED120B" w:rsidRPr="000B1CB4" w:rsidP="00ED120B" w14:paraId="742277AB" w14:textId="77777777">
      <w:pPr>
        <w:pStyle w:val="HTMLPreformatted"/>
        <w:jc w:val="center"/>
        <w:rPr>
          <w:rFonts w:ascii="Times New Roman" w:hAnsi="Times New Roman" w:cs="Times New Roman"/>
          <w:sz w:val="24"/>
          <w:szCs w:val="24"/>
        </w:rPr>
      </w:pPr>
      <w:r w:rsidRPr="000B1CB4">
        <w:rPr>
          <w:rFonts w:ascii="Times New Roman" w:hAnsi="Times New Roman" w:cs="Times New Roman"/>
          <w:b/>
          <w:bCs/>
          <w:sz w:val="24"/>
          <w:szCs w:val="24"/>
        </w:rPr>
        <w:t>THE PUBLIC UTILITIES COMMISSION OF OHIO</w:t>
      </w:r>
    </w:p>
    <w:p w:rsidR="00ED120B" w:rsidRPr="000B1CB4" w:rsidP="00ED120B" w14:paraId="6955CC09"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30648621" w14:textId="77777777" w:rsidTr="00FE0412">
        <w:tblPrEx>
          <w:tblW w:w="8730" w:type="dxa"/>
          <w:tblLook w:val="01E0"/>
        </w:tblPrEx>
        <w:trPr>
          <w:trHeight w:val="807"/>
        </w:trPr>
        <w:tc>
          <w:tcPr>
            <w:tcW w:w="4230" w:type="dxa"/>
            <w:shd w:val="clear" w:color="auto" w:fill="auto"/>
          </w:tcPr>
          <w:p w:rsidR="00ED120B" w:rsidRPr="000B1CB4" w:rsidP="00FE0412" w14:paraId="1B816B49"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 the Matter of the Commission’s </w:t>
            </w:r>
          </w:p>
          <w:p w:rsidR="00ED120B" w:rsidRPr="000B1CB4" w:rsidP="00FE0412" w14:paraId="4EFD8637"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Investigation of RPA Energy, Inc.’s Compliance with the Ohio Administrative Code and Potential Remedial Actions for Non-Compliance</w:t>
            </w:r>
          </w:p>
          <w:p w:rsidR="00ED120B" w:rsidRPr="000B1CB4" w:rsidP="00FE0412" w14:paraId="6F12DCBF" w14:textId="77777777">
            <w:pPr>
              <w:pStyle w:val="HTMLPreformatted"/>
              <w:rPr>
                <w:rFonts w:ascii="Times New Roman" w:hAnsi="Times New Roman" w:cs="Times New Roman"/>
                <w:sz w:val="24"/>
                <w:szCs w:val="24"/>
              </w:rPr>
            </w:pPr>
          </w:p>
        </w:tc>
        <w:tc>
          <w:tcPr>
            <w:tcW w:w="468" w:type="dxa"/>
            <w:shd w:val="clear" w:color="auto" w:fill="auto"/>
          </w:tcPr>
          <w:p w:rsidR="00ED120B" w:rsidRPr="000B1CB4" w:rsidP="00FE0412" w14:paraId="41AB7363"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69767B4C"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016506C1"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1BC0BC0F"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4BFB49CA"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024AB486" w14:textId="77777777">
            <w:pPr>
              <w:pStyle w:val="HTMLPreformatted"/>
              <w:rPr>
                <w:rFonts w:ascii="Times New Roman" w:hAnsi="Times New Roman" w:cs="Times New Roman"/>
                <w:sz w:val="24"/>
                <w:szCs w:val="24"/>
              </w:rPr>
            </w:pPr>
          </w:p>
        </w:tc>
        <w:tc>
          <w:tcPr>
            <w:tcW w:w="4032" w:type="dxa"/>
            <w:shd w:val="clear" w:color="auto" w:fill="auto"/>
          </w:tcPr>
          <w:p w:rsidR="00ED120B" w:rsidRPr="000B1CB4" w:rsidP="00FE0412" w14:paraId="06FC244B" w14:textId="77777777">
            <w:pPr>
              <w:pStyle w:val="HTMLPreformatted"/>
              <w:rPr>
                <w:rFonts w:ascii="Times New Roman" w:hAnsi="Times New Roman" w:cs="Times New Roman"/>
                <w:sz w:val="24"/>
                <w:szCs w:val="24"/>
              </w:rPr>
            </w:pPr>
          </w:p>
          <w:p w:rsidR="00ED120B" w:rsidRPr="000B1CB4" w:rsidP="00FE0412" w14:paraId="1208F9CA" w14:textId="77777777">
            <w:pPr>
              <w:pStyle w:val="HTMLPreformatted"/>
              <w:rPr>
                <w:rFonts w:ascii="Times New Roman" w:hAnsi="Times New Roman" w:cs="Times New Roman"/>
                <w:sz w:val="24"/>
                <w:szCs w:val="24"/>
              </w:rPr>
            </w:pPr>
          </w:p>
          <w:p w:rsidR="00ED120B" w:rsidRPr="000B1CB4" w:rsidP="00FE0412" w14:paraId="7D6368C0"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Case No. 22-441-GE-COI</w:t>
            </w:r>
          </w:p>
          <w:p w:rsidR="00ED120B" w:rsidRPr="000B1CB4" w:rsidP="00FE0412" w14:paraId="69B68F69" w14:textId="77777777">
            <w:pPr>
              <w:pStyle w:val="HTMLPreformatted"/>
              <w:rPr>
                <w:rFonts w:ascii="Times New Roman" w:hAnsi="Times New Roman" w:cs="Times New Roman"/>
                <w:sz w:val="24"/>
                <w:szCs w:val="24"/>
              </w:rPr>
            </w:pPr>
          </w:p>
          <w:p w:rsidR="00ED120B" w:rsidRPr="000B1CB4" w:rsidP="00FE0412" w14:paraId="1BA8A8E8" w14:textId="77777777">
            <w:pPr>
              <w:pStyle w:val="HTMLPreformatted"/>
              <w:rPr>
                <w:rFonts w:ascii="Times New Roman" w:hAnsi="Times New Roman" w:cs="Times New Roman"/>
                <w:sz w:val="24"/>
                <w:szCs w:val="24"/>
              </w:rPr>
            </w:pPr>
          </w:p>
        </w:tc>
      </w:tr>
    </w:tbl>
    <w:p w:rsidR="00ED120B" w:rsidRPr="000B1CB4" w:rsidP="00ED120B" w14:paraId="1B7A5C29" w14:textId="77777777">
      <w:pPr>
        <w:pStyle w:val="HTMLPreformatted"/>
        <w:pBdr>
          <w:top w:val="single" w:sz="12" w:space="1" w:color="auto"/>
        </w:pBdr>
        <w:rPr>
          <w:rFonts w:ascii="Times New Roman" w:hAnsi="Times New Roman" w:cs="Times New Roman"/>
          <w:sz w:val="24"/>
          <w:szCs w:val="24"/>
        </w:rPr>
      </w:pPr>
    </w:p>
    <w:p w:rsidR="00ED120B" w:rsidRPr="000B1CB4" w:rsidP="00ED120B" w14:paraId="402E3EE7" w14:textId="77777777">
      <w:pPr>
        <w:jc w:val="center"/>
        <w:rPr>
          <w:b/>
          <w:bCs/>
          <w:szCs w:val="24"/>
        </w:rPr>
      </w:pPr>
      <w:r w:rsidRPr="000B1CB4">
        <w:rPr>
          <w:b/>
          <w:bCs/>
          <w:szCs w:val="24"/>
        </w:rPr>
        <w:t xml:space="preserve">REPLY TO GREEN CHOICE’S MEMORANDUM CONTRA </w:t>
      </w:r>
    </w:p>
    <w:p w:rsidR="00ED120B" w:rsidRPr="000B1CB4" w:rsidP="00ED120B" w14:paraId="492FEBA0" w14:textId="77777777">
      <w:pPr>
        <w:jc w:val="center"/>
        <w:rPr>
          <w:b/>
          <w:bCs/>
          <w:szCs w:val="24"/>
        </w:rPr>
      </w:pPr>
      <w:r w:rsidRPr="000B1CB4">
        <w:rPr>
          <w:b/>
          <w:bCs/>
          <w:szCs w:val="24"/>
        </w:rPr>
        <w:t>OCC’S MOTION TO INTERVENE TO PROTECT CONSUMERS</w:t>
      </w:r>
    </w:p>
    <w:p w:rsidR="00ED120B" w:rsidRPr="000B1CB4" w:rsidP="00ED120B" w14:paraId="4E6F2C72" w14:textId="77777777">
      <w:pPr>
        <w:jc w:val="center"/>
        <w:rPr>
          <w:b/>
          <w:bCs/>
          <w:szCs w:val="24"/>
        </w:rPr>
      </w:pPr>
      <w:r w:rsidRPr="000B1CB4">
        <w:rPr>
          <w:b/>
          <w:bCs/>
          <w:szCs w:val="24"/>
        </w:rPr>
        <w:t>BY</w:t>
      </w:r>
    </w:p>
    <w:p w:rsidR="00ED120B" w:rsidRPr="000B1CB4" w:rsidP="00ED120B" w14:paraId="1A08EAA8" w14:textId="77777777">
      <w:pPr>
        <w:jc w:val="center"/>
        <w:rPr>
          <w:b/>
          <w:bCs/>
          <w:szCs w:val="24"/>
        </w:rPr>
      </w:pPr>
      <w:r w:rsidRPr="000B1CB4">
        <w:rPr>
          <w:b/>
          <w:bCs/>
          <w:szCs w:val="24"/>
        </w:rPr>
        <w:t>OFFICE OF THE OHIO CONSUMERS’ COUNSEL</w:t>
      </w:r>
    </w:p>
    <w:p w:rsidR="00ED120B" w:rsidRPr="000B1CB4" w:rsidP="00ED120B" w14:paraId="631EEF51" w14:textId="77777777">
      <w:pPr>
        <w:pBdr>
          <w:bottom w:val="single" w:sz="12" w:space="1" w:color="auto"/>
        </w:pBdr>
        <w:tabs>
          <w:tab w:val="left" w:pos="4320"/>
        </w:tabs>
        <w:rPr>
          <w:szCs w:val="24"/>
        </w:rPr>
      </w:pPr>
    </w:p>
    <w:p w:rsidR="00ED120B" w:rsidRPr="000B1CB4" w14:paraId="7EBFD6CE" w14:textId="5362591C">
      <w:pPr>
        <w:pStyle w:val="HTMLPreformatted"/>
        <w:jc w:val="center"/>
        <w:rPr>
          <w:rFonts w:ascii="Times New Roman" w:hAnsi="Times New Roman" w:cs="Times New Roman"/>
          <w:b/>
          <w:bCs/>
          <w:sz w:val="24"/>
          <w:szCs w:val="24"/>
        </w:rPr>
      </w:pPr>
    </w:p>
    <w:p w:rsidR="004629B7" w:rsidRPr="000B1CB4" w14:paraId="7F015CF6" w14:textId="77777777">
      <w:pPr>
        <w:pStyle w:val="HTMLPreformatted"/>
        <w:jc w:val="center"/>
        <w:rPr>
          <w:rFonts w:ascii="Times New Roman" w:hAnsi="Times New Roman" w:cs="Times New Roman"/>
          <w:b/>
          <w:bCs/>
          <w:sz w:val="24"/>
          <w:szCs w:val="24"/>
        </w:rPr>
      </w:pPr>
    </w:p>
    <w:p w:rsidR="004629B7" w:rsidRPr="000B1CB4" w:rsidP="004629B7" w14:paraId="1C18792C" w14:textId="77777777">
      <w:pPr>
        <w:rPr>
          <w:szCs w:val="24"/>
        </w:rPr>
      </w:pPr>
      <w:r w:rsidRPr="000B1CB4">
        <w:rPr>
          <w:szCs w:val="24"/>
        </w:rPr>
        <w:tab/>
      </w:r>
      <w:r w:rsidRPr="000B1CB4">
        <w:rPr>
          <w:szCs w:val="24"/>
        </w:rPr>
        <w:tab/>
      </w:r>
      <w:r w:rsidRPr="000B1CB4">
        <w:rPr>
          <w:szCs w:val="24"/>
        </w:rPr>
        <w:tab/>
      </w:r>
      <w:r w:rsidRPr="000B1CB4">
        <w:rPr>
          <w:szCs w:val="24"/>
        </w:rPr>
        <w:tab/>
      </w:r>
      <w:r w:rsidRPr="000B1CB4">
        <w:rPr>
          <w:szCs w:val="24"/>
        </w:rPr>
        <w:tab/>
      </w:r>
      <w:r w:rsidRPr="000B1CB4">
        <w:rPr>
          <w:szCs w:val="24"/>
        </w:rPr>
        <w:tab/>
        <w:t>Bruce Weston (0016973)</w:t>
      </w:r>
    </w:p>
    <w:p w:rsidR="004629B7" w:rsidRPr="000B1CB4" w:rsidP="004629B7" w14:paraId="71ED5091" w14:textId="77777777">
      <w:pPr>
        <w:tabs>
          <w:tab w:val="left" w:pos="4320"/>
        </w:tabs>
        <w:ind w:left="4320" w:hanging="450"/>
        <w:rPr>
          <w:szCs w:val="24"/>
        </w:rPr>
      </w:pPr>
      <w:r w:rsidRPr="000B1CB4">
        <w:rPr>
          <w:szCs w:val="24"/>
        </w:rPr>
        <w:tab/>
        <w:t>Ohio Consumers’ Counsel</w:t>
      </w:r>
    </w:p>
    <w:p w:rsidR="004629B7" w:rsidRPr="000B1CB4" w:rsidP="004629B7" w14:paraId="74E03616" w14:textId="21F46995">
      <w:pPr>
        <w:tabs>
          <w:tab w:val="left" w:pos="4320"/>
        </w:tabs>
        <w:rPr>
          <w:i/>
          <w:iCs/>
          <w:szCs w:val="24"/>
          <w:u w:val="single"/>
        </w:rPr>
      </w:pPr>
    </w:p>
    <w:p w:rsidR="004629B7" w:rsidRPr="000B1CB4" w:rsidP="004629B7" w14:paraId="5887E95E" w14:textId="77777777">
      <w:pPr>
        <w:tabs>
          <w:tab w:val="left" w:pos="4320"/>
        </w:tabs>
        <w:ind w:left="4320"/>
        <w:rPr>
          <w:szCs w:val="24"/>
        </w:rPr>
      </w:pPr>
      <w:r w:rsidRPr="000B1CB4">
        <w:rPr>
          <w:szCs w:val="24"/>
        </w:rPr>
        <w:t>Angela D. O’Brien (0097579)</w:t>
      </w:r>
    </w:p>
    <w:p w:rsidR="004629B7" w:rsidRPr="000B1CB4" w:rsidP="004629B7" w14:paraId="7110B341" w14:textId="77777777">
      <w:pPr>
        <w:tabs>
          <w:tab w:val="left" w:pos="4320"/>
        </w:tabs>
        <w:ind w:left="4320"/>
        <w:rPr>
          <w:szCs w:val="24"/>
        </w:rPr>
      </w:pPr>
      <w:r w:rsidRPr="000B1CB4">
        <w:rPr>
          <w:szCs w:val="24"/>
        </w:rPr>
        <w:t>Counsel of Record</w:t>
      </w:r>
    </w:p>
    <w:p w:rsidR="004629B7" w:rsidRPr="000B1CB4" w:rsidP="004629B7" w14:paraId="28B9CB56" w14:textId="77777777">
      <w:pPr>
        <w:tabs>
          <w:tab w:val="left" w:pos="3870"/>
          <w:tab w:val="left" w:pos="4320"/>
        </w:tabs>
        <w:ind w:left="4320"/>
        <w:rPr>
          <w:szCs w:val="24"/>
        </w:rPr>
      </w:pPr>
      <w:r w:rsidRPr="000B1CB4">
        <w:rPr>
          <w:szCs w:val="24"/>
        </w:rPr>
        <w:t>Ambrosia Wilson (0096598)</w:t>
      </w:r>
    </w:p>
    <w:p w:rsidR="004629B7" w:rsidRPr="000B1CB4" w:rsidP="004629B7" w14:paraId="7ABA6C7E" w14:textId="77777777">
      <w:pPr>
        <w:tabs>
          <w:tab w:val="left" w:pos="3870"/>
          <w:tab w:val="left" w:pos="4320"/>
        </w:tabs>
        <w:ind w:left="4320"/>
        <w:rPr>
          <w:szCs w:val="24"/>
        </w:rPr>
      </w:pPr>
      <w:r w:rsidRPr="000B1CB4">
        <w:rPr>
          <w:szCs w:val="24"/>
        </w:rPr>
        <w:t>Assistant Consumers’ Counsel</w:t>
      </w:r>
    </w:p>
    <w:p w:rsidR="004629B7" w:rsidRPr="000B1CB4" w:rsidP="004629B7" w14:paraId="5CE11E33" w14:textId="77777777">
      <w:pPr>
        <w:tabs>
          <w:tab w:val="left" w:pos="3870"/>
          <w:tab w:val="left" w:pos="4320"/>
        </w:tabs>
        <w:ind w:left="4320"/>
        <w:rPr>
          <w:szCs w:val="24"/>
        </w:rPr>
      </w:pPr>
    </w:p>
    <w:p w:rsidR="004629B7" w:rsidRPr="000B1CB4" w:rsidP="004629B7" w14:paraId="43507141" w14:textId="77777777">
      <w:pPr>
        <w:ind w:left="4320"/>
        <w:rPr>
          <w:b/>
          <w:bCs/>
          <w:szCs w:val="24"/>
        </w:rPr>
      </w:pPr>
      <w:r w:rsidRPr="000B1CB4">
        <w:rPr>
          <w:b/>
          <w:bCs/>
          <w:szCs w:val="24"/>
        </w:rPr>
        <w:t>Office of the Ohio Consumers' Counsel</w:t>
      </w:r>
    </w:p>
    <w:p w:rsidR="004629B7" w:rsidRPr="000B1CB4" w:rsidP="004629B7" w14:paraId="0015A595" w14:textId="77777777">
      <w:pPr>
        <w:ind w:left="4320"/>
        <w:rPr>
          <w:szCs w:val="24"/>
        </w:rPr>
      </w:pPr>
      <w:r w:rsidRPr="000B1CB4">
        <w:rPr>
          <w:szCs w:val="24"/>
        </w:rPr>
        <w:t>65 East State Street, Suite 700</w:t>
      </w:r>
    </w:p>
    <w:p w:rsidR="004629B7" w:rsidRPr="000B1CB4" w:rsidP="004629B7" w14:paraId="597DE5DF" w14:textId="77777777">
      <w:pPr>
        <w:ind w:left="4320"/>
        <w:rPr>
          <w:szCs w:val="24"/>
        </w:rPr>
      </w:pPr>
      <w:r w:rsidRPr="000B1CB4">
        <w:rPr>
          <w:szCs w:val="24"/>
        </w:rPr>
        <w:t>Columbus, Ohio 43215</w:t>
      </w:r>
    </w:p>
    <w:p w:rsidR="004629B7" w:rsidRPr="000B1CB4" w:rsidP="004629B7" w14:paraId="4DE88450" w14:textId="77777777">
      <w:pPr>
        <w:autoSpaceDE w:val="0"/>
        <w:autoSpaceDN w:val="0"/>
        <w:adjustRightInd w:val="0"/>
        <w:ind w:left="4320"/>
        <w:rPr>
          <w:szCs w:val="24"/>
        </w:rPr>
      </w:pPr>
      <w:r w:rsidRPr="000B1CB4">
        <w:rPr>
          <w:szCs w:val="24"/>
        </w:rPr>
        <w:t>Telephone: [O’Brien]: (614) 466-9531</w:t>
      </w:r>
    </w:p>
    <w:p w:rsidR="004629B7" w:rsidRPr="000B1CB4" w:rsidP="004629B7" w14:paraId="6C28D28B" w14:textId="77777777">
      <w:pPr>
        <w:pStyle w:val="ListParagraph"/>
        <w:autoSpaceDE w:val="0"/>
        <w:autoSpaceDN w:val="0"/>
        <w:adjustRightInd w:val="0"/>
        <w:ind w:left="3600" w:firstLine="720"/>
      </w:pPr>
      <w:r w:rsidRPr="000B1CB4">
        <w:t>Telephone [Wilson]: (614) 466-1292</w:t>
      </w:r>
    </w:p>
    <w:p w:rsidR="004629B7" w:rsidRPr="000B1CB4" w:rsidP="004629B7" w14:paraId="75220465" w14:textId="77777777">
      <w:pPr>
        <w:ind w:left="4320"/>
        <w:rPr>
          <w:szCs w:val="24"/>
        </w:rPr>
      </w:pPr>
      <w:hyperlink r:id="rId6" w:history="1">
        <w:r w:rsidRPr="000B1CB4">
          <w:rPr>
            <w:rStyle w:val="Hyperlink"/>
            <w:szCs w:val="24"/>
          </w:rPr>
          <w:t>angela.obrien@occ.ohio.gov</w:t>
        </w:r>
      </w:hyperlink>
    </w:p>
    <w:p w:rsidR="004629B7" w:rsidRPr="000B1CB4" w:rsidP="004629B7" w14:paraId="350F9818" w14:textId="77777777">
      <w:pPr>
        <w:pStyle w:val="ListParagraph"/>
        <w:autoSpaceDE w:val="0"/>
        <w:autoSpaceDN w:val="0"/>
        <w:adjustRightInd w:val="0"/>
        <w:ind w:left="3600" w:firstLine="720"/>
        <w:rPr>
          <w:rStyle w:val="Hyperlink"/>
        </w:rPr>
      </w:pPr>
      <w:hyperlink r:id="rId7" w:history="1">
        <w:r w:rsidRPr="000B1CB4">
          <w:rPr>
            <w:rStyle w:val="Hyperlink"/>
          </w:rPr>
          <w:t>ambrosia.wilson@occ.ohio.gov</w:t>
        </w:r>
      </w:hyperlink>
      <w:r w:rsidRPr="000B1CB4">
        <w:tab/>
      </w:r>
    </w:p>
    <w:p w:rsidR="004629B7" w:rsidRPr="000B1CB4" w:rsidP="004629B7" w14:paraId="324A9EDF" w14:textId="66E3B1B9">
      <w:pPr>
        <w:ind w:left="4320" w:hanging="4320"/>
        <w:rPr>
          <w:szCs w:val="24"/>
        </w:rPr>
      </w:pPr>
      <w:r w:rsidRPr="000B1CB4">
        <w:rPr>
          <w:szCs w:val="24"/>
        </w:rPr>
        <w:t>May 17, 2022</w:t>
      </w:r>
      <w:r w:rsidRPr="000B1CB4">
        <w:rPr>
          <w:szCs w:val="24"/>
        </w:rPr>
        <w:tab/>
      </w:r>
      <w:r w:rsidRPr="000B1CB4">
        <w:rPr>
          <w:szCs w:val="24"/>
        </w:rPr>
        <w:t>(willing to accept service by e-mail)</w:t>
      </w:r>
    </w:p>
    <w:p w:rsidR="00700A8A" w:rsidRPr="000B1CB4" w:rsidP="00700A8A" w14:paraId="51E5461B" w14:textId="77777777">
      <w:pPr>
        <w:rPr>
          <w:szCs w:val="24"/>
        </w:rPr>
      </w:pPr>
    </w:p>
    <w:p w:rsidR="00700A8A" w:rsidRPr="000B1CB4" w:rsidP="00700A8A" w14:paraId="3FC7A428" w14:textId="1B62577F">
      <w:pPr>
        <w:tabs>
          <w:tab w:val="left" w:pos="1630"/>
        </w:tabs>
        <w:rPr>
          <w:rFonts w:eastAsia="Courier New"/>
          <w:b/>
          <w:bCs/>
          <w:szCs w:val="24"/>
        </w:rPr>
      </w:pPr>
    </w:p>
    <w:p w:rsidR="00D12276" w:rsidRPr="000B1CB4" w:rsidP="00700A8A" w14:paraId="3F158238" w14:textId="77777777">
      <w:pPr>
        <w:tabs>
          <w:tab w:val="left" w:pos="1630"/>
        </w:tabs>
        <w:rPr>
          <w:szCs w:val="24"/>
        </w:rPr>
        <w:sectPr w:rsidSect="00DB56AA">
          <w:footerReference w:type="default" r:id="rId8"/>
          <w:footerReference w:type="first" r:id="rId9"/>
          <w:pgSz w:w="12240" w:h="15840"/>
          <w:pgMar w:top="1440" w:right="1800" w:bottom="1440" w:left="1800" w:header="720" w:footer="720" w:gutter="0"/>
          <w:cols w:space="720"/>
          <w:titlePg/>
          <w:docGrid w:linePitch="65"/>
        </w:sectPr>
      </w:pPr>
      <w:r w:rsidRPr="000B1CB4">
        <w:rPr>
          <w:szCs w:val="24"/>
        </w:rPr>
        <w:tab/>
      </w:r>
    </w:p>
    <w:p w:rsidR="00BA685C" w:rsidRPr="000B1CB4" w:rsidP="00BA685C" w14:paraId="2135DC30" w14:textId="77777777">
      <w:pPr>
        <w:jc w:val="center"/>
        <w:rPr>
          <w:b/>
          <w:caps/>
          <w:szCs w:val="24"/>
          <w:u w:val="single"/>
          <w:lang w:eastAsia="ja-JP"/>
        </w:rPr>
      </w:pPr>
      <w:r w:rsidRPr="000B1CB4">
        <w:rPr>
          <w:b/>
          <w:caps/>
          <w:szCs w:val="24"/>
          <w:u w:val="single"/>
          <w:lang w:eastAsia="ja-JP"/>
        </w:rPr>
        <w:t>TABLE OF CONTENTS</w:t>
      </w:r>
    </w:p>
    <w:p w:rsidR="00BA685C" w:rsidRPr="000B1CB4" w:rsidP="00BA685C" w14:paraId="2A4CDB41" w14:textId="77777777">
      <w:pPr>
        <w:jc w:val="right"/>
        <w:rPr>
          <w:b/>
          <w:caps/>
          <w:szCs w:val="24"/>
          <w:lang w:eastAsia="ja-JP"/>
        </w:rPr>
      </w:pPr>
      <w:r w:rsidRPr="000B1CB4">
        <w:rPr>
          <w:b/>
          <w:caps/>
          <w:szCs w:val="24"/>
          <w:lang w:eastAsia="ja-JP"/>
        </w:rPr>
        <w:t>PAGE</w:t>
      </w:r>
    </w:p>
    <w:p w:rsidR="00BA685C" w:rsidRPr="000B1CB4" w:rsidP="00BA685C" w14:paraId="618420D5" w14:textId="77777777">
      <w:pPr>
        <w:rPr>
          <w:szCs w:val="24"/>
        </w:rPr>
      </w:pPr>
    </w:p>
    <w:p w:rsidR="00B4213D" w:rsidRPr="000B1CB4" w14:paraId="7E56239B" w14:textId="0A5AC15C">
      <w:pPr>
        <w:pStyle w:val="TOC1"/>
        <w:rPr>
          <w:rFonts w:eastAsiaTheme="minorEastAsia"/>
          <w:noProof/>
          <w:szCs w:val="24"/>
        </w:rPr>
      </w:pPr>
      <w:r w:rsidRPr="000B1CB4">
        <w:rPr>
          <w:szCs w:val="24"/>
        </w:rPr>
        <w:fldChar w:fldCharType="begin"/>
      </w:r>
      <w:r w:rsidRPr="000B1CB4">
        <w:rPr>
          <w:szCs w:val="24"/>
        </w:rPr>
        <w:instrText xml:space="preserve"> TOC \o "1-3" \h \z \u </w:instrText>
      </w:r>
      <w:r w:rsidRPr="000B1CB4">
        <w:rPr>
          <w:szCs w:val="24"/>
        </w:rPr>
        <w:fldChar w:fldCharType="separate"/>
      </w:r>
      <w:hyperlink w:anchor="_Toc103677690" w:history="1">
        <w:r w:rsidRPr="000B1CB4">
          <w:rPr>
            <w:rStyle w:val="Hyperlink"/>
            <w:noProof/>
            <w:szCs w:val="24"/>
          </w:rPr>
          <w:t>I.</w:t>
        </w:r>
        <w:r w:rsidRPr="000B1CB4">
          <w:rPr>
            <w:rFonts w:eastAsiaTheme="minorEastAsia"/>
            <w:noProof/>
            <w:szCs w:val="24"/>
          </w:rPr>
          <w:tab/>
        </w:r>
        <w:r w:rsidRPr="000B1CB4">
          <w:rPr>
            <w:rStyle w:val="Hyperlink"/>
            <w:noProof/>
            <w:szCs w:val="24"/>
          </w:rPr>
          <w:t>INTRODUCTION</w:t>
        </w:r>
        <w:r w:rsidRPr="000B1CB4">
          <w:rPr>
            <w:noProof/>
            <w:webHidden/>
            <w:szCs w:val="24"/>
          </w:rPr>
          <w:tab/>
        </w:r>
        <w:r w:rsidRPr="000B1CB4">
          <w:rPr>
            <w:noProof/>
            <w:webHidden/>
            <w:szCs w:val="24"/>
          </w:rPr>
          <w:fldChar w:fldCharType="begin"/>
        </w:r>
        <w:r w:rsidRPr="000B1CB4">
          <w:rPr>
            <w:noProof/>
            <w:webHidden/>
            <w:szCs w:val="24"/>
          </w:rPr>
          <w:instrText xml:space="preserve"> PAGEREF _Toc103677690 \h </w:instrText>
        </w:r>
        <w:r w:rsidRPr="000B1CB4">
          <w:rPr>
            <w:noProof/>
            <w:webHidden/>
            <w:szCs w:val="24"/>
          </w:rPr>
          <w:fldChar w:fldCharType="separate"/>
        </w:r>
        <w:r w:rsidRPr="000B1CB4">
          <w:rPr>
            <w:noProof/>
            <w:webHidden/>
            <w:szCs w:val="24"/>
          </w:rPr>
          <w:t>1</w:t>
        </w:r>
        <w:r w:rsidRPr="000B1CB4">
          <w:rPr>
            <w:noProof/>
            <w:webHidden/>
            <w:szCs w:val="24"/>
          </w:rPr>
          <w:fldChar w:fldCharType="end"/>
        </w:r>
      </w:hyperlink>
    </w:p>
    <w:p w:rsidR="00B4213D" w:rsidRPr="000B1CB4" w14:paraId="49A0DDCE" w14:textId="7664D10C">
      <w:pPr>
        <w:pStyle w:val="TOC1"/>
        <w:rPr>
          <w:rFonts w:eastAsiaTheme="minorEastAsia"/>
          <w:noProof/>
          <w:szCs w:val="24"/>
        </w:rPr>
      </w:pPr>
      <w:hyperlink w:anchor="_Toc103677691" w:history="1">
        <w:r w:rsidRPr="000B1CB4">
          <w:rPr>
            <w:rStyle w:val="Hyperlink"/>
            <w:noProof/>
            <w:szCs w:val="24"/>
          </w:rPr>
          <w:t xml:space="preserve">II. </w:t>
        </w:r>
        <w:r w:rsidRPr="000B1CB4">
          <w:rPr>
            <w:rFonts w:eastAsiaTheme="minorEastAsia"/>
            <w:noProof/>
            <w:szCs w:val="24"/>
          </w:rPr>
          <w:tab/>
        </w:r>
        <w:r w:rsidRPr="000B1CB4">
          <w:rPr>
            <w:rStyle w:val="Hyperlink"/>
            <w:noProof/>
            <w:szCs w:val="24"/>
          </w:rPr>
          <w:t>ARGUMENT</w:t>
        </w:r>
        <w:r w:rsidRPr="000B1CB4">
          <w:rPr>
            <w:noProof/>
            <w:webHidden/>
            <w:szCs w:val="24"/>
          </w:rPr>
          <w:tab/>
        </w:r>
        <w:r w:rsidRPr="000B1CB4">
          <w:rPr>
            <w:noProof/>
            <w:webHidden/>
            <w:szCs w:val="24"/>
          </w:rPr>
          <w:fldChar w:fldCharType="begin"/>
        </w:r>
        <w:r w:rsidRPr="000B1CB4">
          <w:rPr>
            <w:noProof/>
            <w:webHidden/>
            <w:szCs w:val="24"/>
          </w:rPr>
          <w:instrText xml:space="preserve"> PAGEREF _Toc103677691 \h </w:instrText>
        </w:r>
        <w:r w:rsidRPr="000B1CB4">
          <w:rPr>
            <w:noProof/>
            <w:webHidden/>
            <w:szCs w:val="24"/>
          </w:rPr>
          <w:fldChar w:fldCharType="separate"/>
        </w:r>
        <w:r w:rsidRPr="000B1CB4">
          <w:rPr>
            <w:noProof/>
            <w:webHidden/>
            <w:szCs w:val="24"/>
          </w:rPr>
          <w:t>2</w:t>
        </w:r>
        <w:r w:rsidRPr="000B1CB4">
          <w:rPr>
            <w:noProof/>
            <w:webHidden/>
            <w:szCs w:val="24"/>
          </w:rPr>
          <w:fldChar w:fldCharType="end"/>
        </w:r>
      </w:hyperlink>
    </w:p>
    <w:p w:rsidR="00B4213D" w:rsidRPr="000B1CB4" w14:paraId="3B6A0246" w14:textId="159F1424">
      <w:pPr>
        <w:pStyle w:val="TOC2"/>
        <w:tabs>
          <w:tab w:val="left" w:pos="1440"/>
          <w:tab w:val="right" w:leader="dot" w:pos="8630"/>
        </w:tabs>
        <w:rPr>
          <w:rFonts w:eastAsiaTheme="minorEastAsia"/>
          <w:noProof/>
          <w:szCs w:val="24"/>
        </w:rPr>
      </w:pPr>
      <w:hyperlink w:anchor="_Toc103677692" w:history="1">
        <w:r w:rsidRPr="000B1CB4">
          <w:rPr>
            <w:rStyle w:val="Hyperlink"/>
            <w:noProof/>
            <w:szCs w:val="24"/>
          </w:rPr>
          <w:t>A.</w:t>
        </w:r>
        <w:r w:rsidRPr="000B1CB4">
          <w:rPr>
            <w:rFonts w:eastAsiaTheme="minorEastAsia"/>
            <w:noProof/>
            <w:szCs w:val="24"/>
          </w:rPr>
          <w:tab/>
        </w:r>
        <w:r w:rsidRPr="000B1CB4">
          <w:rPr>
            <w:rStyle w:val="Hyperlink"/>
            <w:noProof/>
            <w:szCs w:val="24"/>
          </w:rPr>
          <w:t xml:space="preserve">Green Choice’s claim that OCC has no legal authority to </w:t>
        </w:r>
        <w:r w:rsidRPr="000B1CB4">
          <w:rPr>
            <w:rStyle w:val="Hyperlink"/>
            <w:noProof/>
            <w:szCs w:val="24"/>
          </w:rPr>
          <w:br/>
          <w:t xml:space="preserve">intervene in this proceeding to protect consumers has no merit. </w:t>
        </w:r>
        <w:r w:rsidRPr="000B1CB4">
          <w:rPr>
            <w:rStyle w:val="Hyperlink"/>
            <w:noProof/>
            <w:szCs w:val="24"/>
          </w:rPr>
          <w:br/>
          <w:t xml:space="preserve">The law gives OCC the authority to protect Ohio consumers </w:t>
        </w:r>
        <w:r w:rsidRPr="000B1CB4">
          <w:rPr>
            <w:rStyle w:val="Hyperlink"/>
            <w:noProof/>
            <w:szCs w:val="24"/>
          </w:rPr>
          <w:br/>
          <w:t xml:space="preserve">from Green Choice. The PUCO has previously granted OCC’s intervention to protect consumers in PUCO investigations of </w:t>
        </w:r>
        <w:r w:rsidRPr="000B1CB4">
          <w:rPr>
            <w:rStyle w:val="Hyperlink"/>
            <w:noProof/>
            <w:szCs w:val="24"/>
          </w:rPr>
          <w:br/>
          <w:t>marketers, even where the marketer opposed OCC’s intervention.</w:t>
        </w:r>
        <w:r w:rsidRPr="000B1CB4">
          <w:rPr>
            <w:noProof/>
            <w:webHidden/>
            <w:szCs w:val="24"/>
          </w:rPr>
          <w:tab/>
        </w:r>
        <w:r w:rsidRPr="000B1CB4">
          <w:rPr>
            <w:noProof/>
            <w:webHidden/>
            <w:szCs w:val="24"/>
          </w:rPr>
          <w:fldChar w:fldCharType="begin"/>
        </w:r>
        <w:r w:rsidRPr="000B1CB4">
          <w:rPr>
            <w:noProof/>
            <w:webHidden/>
            <w:szCs w:val="24"/>
          </w:rPr>
          <w:instrText xml:space="preserve"> PAGEREF _Toc103677692 \h </w:instrText>
        </w:r>
        <w:r w:rsidRPr="000B1CB4">
          <w:rPr>
            <w:noProof/>
            <w:webHidden/>
            <w:szCs w:val="24"/>
          </w:rPr>
          <w:fldChar w:fldCharType="separate"/>
        </w:r>
        <w:r w:rsidRPr="000B1CB4">
          <w:rPr>
            <w:noProof/>
            <w:webHidden/>
            <w:szCs w:val="24"/>
          </w:rPr>
          <w:t>2</w:t>
        </w:r>
        <w:r w:rsidRPr="000B1CB4">
          <w:rPr>
            <w:noProof/>
            <w:webHidden/>
            <w:szCs w:val="24"/>
          </w:rPr>
          <w:fldChar w:fldCharType="end"/>
        </w:r>
      </w:hyperlink>
    </w:p>
    <w:p w:rsidR="00B4213D" w:rsidRPr="000B1CB4" w14:paraId="6CE61A7C" w14:textId="12D46D6A">
      <w:pPr>
        <w:pStyle w:val="TOC2"/>
        <w:tabs>
          <w:tab w:val="left" w:pos="1440"/>
          <w:tab w:val="right" w:leader="dot" w:pos="8630"/>
        </w:tabs>
        <w:rPr>
          <w:rFonts w:eastAsiaTheme="minorEastAsia"/>
          <w:noProof/>
          <w:szCs w:val="24"/>
        </w:rPr>
      </w:pPr>
      <w:hyperlink w:anchor="_Toc103677693" w:history="1">
        <w:r w:rsidRPr="000B1CB4">
          <w:rPr>
            <w:rStyle w:val="Hyperlink"/>
            <w:noProof/>
            <w:szCs w:val="24"/>
          </w:rPr>
          <w:t>B.</w:t>
        </w:r>
        <w:r w:rsidRPr="000B1CB4">
          <w:rPr>
            <w:rFonts w:eastAsiaTheme="minorEastAsia"/>
            <w:noProof/>
            <w:szCs w:val="24"/>
          </w:rPr>
          <w:tab/>
        </w:r>
        <w:r w:rsidRPr="000B1CB4">
          <w:rPr>
            <w:rStyle w:val="Hyperlink"/>
            <w:noProof/>
            <w:szCs w:val="24"/>
          </w:rPr>
          <w:t xml:space="preserve">OCC satisfies the standards for intervention in this proceeding </w:t>
        </w:r>
        <w:r w:rsidRPr="000B1CB4">
          <w:rPr>
            <w:rStyle w:val="Hyperlink"/>
            <w:noProof/>
            <w:szCs w:val="24"/>
          </w:rPr>
          <w:br/>
          <w:t>and should be allowed to participate to protect consumers.</w:t>
        </w:r>
        <w:r w:rsidRPr="000B1CB4">
          <w:rPr>
            <w:noProof/>
            <w:webHidden/>
            <w:szCs w:val="24"/>
          </w:rPr>
          <w:tab/>
        </w:r>
        <w:r w:rsidRPr="000B1CB4">
          <w:rPr>
            <w:noProof/>
            <w:webHidden/>
            <w:szCs w:val="24"/>
          </w:rPr>
          <w:fldChar w:fldCharType="begin"/>
        </w:r>
        <w:r w:rsidRPr="000B1CB4">
          <w:rPr>
            <w:noProof/>
            <w:webHidden/>
            <w:szCs w:val="24"/>
          </w:rPr>
          <w:instrText xml:space="preserve"> PAGEREF _Toc103677693 \h </w:instrText>
        </w:r>
        <w:r w:rsidRPr="000B1CB4">
          <w:rPr>
            <w:noProof/>
            <w:webHidden/>
            <w:szCs w:val="24"/>
          </w:rPr>
          <w:fldChar w:fldCharType="separate"/>
        </w:r>
        <w:r w:rsidRPr="000B1CB4">
          <w:rPr>
            <w:noProof/>
            <w:webHidden/>
            <w:szCs w:val="24"/>
          </w:rPr>
          <w:t>5</w:t>
        </w:r>
        <w:r w:rsidRPr="000B1CB4">
          <w:rPr>
            <w:noProof/>
            <w:webHidden/>
            <w:szCs w:val="24"/>
          </w:rPr>
          <w:fldChar w:fldCharType="end"/>
        </w:r>
      </w:hyperlink>
    </w:p>
    <w:p w:rsidR="00B4213D" w:rsidRPr="000B1CB4" w14:paraId="5292E5D5" w14:textId="21E7E275">
      <w:pPr>
        <w:pStyle w:val="TOC1"/>
        <w:rPr>
          <w:rFonts w:eastAsiaTheme="minorEastAsia"/>
          <w:noProof/>
          <w:szCs w:val="24"/>
        </w:rPr>
      </w:pPr>
      <w:hyperlink w:anchor="_Toc103677694" w:history="1">
        <w:r w:rsidRPr="000B1CB4">
          <w:rPr>
            <w:rStyle w:val="Hyperlink"/>
            <w:noProof/>
            <w:szCs w:val="24"/>
          </w:rPr>
          <w:t>III.</w:t>
        </w:r>
        <w:r w:rsidRPr="000B1CB4">
          <w:rPr>
            <w:rFonts w:eastAsiaTheme="minorEastAsia"/>
            <w:noProof/>
            <w:szCs w:val="24"/>
          </w:rPr>
          <w:tab/>
        </w:r>
        <w:r w:rsidRPr="000B1CB4">
          <w:rPr>
            <w:rStyle w:val="Hyperlink"/>
            <w:noProof/>
            <w:szCs w:val="24"/>
          </w:rPr>
          <w:t>CONCLUSION</w:t>
        </w:r>
        <w:r w:rsidRPr="000B1CB4">
          <w:rPr>
            <w:noProof/>
            <w:webHidden/>
            <w:szCs w:val="24"/>
          </w:rPr>
          <w:tab/>
        </w:r>
        <w:r w:rsidRPr="000B1CB4">
          <w:rPr>
            <w:noProof/>
            <w:webHidden/>
            <w:szCs w:val="24"/>
          </w:rPr>
          <w:fldChar w:fldCharType="begin"/>
        </w:r>
        <w:r w:rsidRPr="000B1CB4">
          <w:rPr>
            <w:noProof/>
            <w:webHidden/>
            <w:szCs w:val="24"/>
          </w:rPr>
          <w:instrText xml:space="preserve"> PAGEREF _Toc103677694 \h </w:instrText>
        </w:r>
        <w:r w:rsidRPr="000B1CB4">
          <w:rPr>
            <w:noProof/>
            <w:webHidden/>
            <w:szCs w:val="24"/>
          </w:rPr>
          <w:fldChar w:fldCharType="separate"/>
        </w:r>
        <w:r w:rsidRPr="000B1CB4">
          <w:rPr>
            <w:noProof/>
            <w:webHidden/>
            <w:szCs w:val="24"/>
          </w:rPr>
          <w:t>9</w:t>
        </w:r>
        <w:r w:rsidRPr="000B1CB4">
          <w:rPr>
            <w:noProof/>
            <w:webHidden/>
            <w:szCs w:val="24"/>
          </w:rPr>
          <w:fldChar w:fldCharType="end"/>
        </w:r>
      </w:hyperlink>
    </w:p>
    <w:p w:rsidR="00700A8A" w:rsidRPr="000B1CB4" w:rsidP="00BA685C" w14:paraId="68F1F6CA" w14:textId="6887EDAD">
      <w:pPr>
        <w:tabs>
          <w:tab w:val="left" w:pos="1630"/>
        </w:tabs>
        <w:rPr>
          <w:szCs w:val="24"/>
        </w:rPr>
        <w:sectPr w:rsidSect="003E0E94">
          <w:footerReference w:type="first" r:id="rId10"/>
          <w:pgSz w:w="12240" w:h="15840"/>
          <w:pgMar w:top="1440" w:right="1800" w:bottom="1440" w:left="1800" w:header="720" w:footer="720" w:gutter="0"/>
          <w:pgNumType w:fmt="lowerRoman" w:start="1"/>
          <w:cols w:space="720"/>
          <w:titlePg/>
          <w:docGrid w:linePitch="65"/>
        </w:sectPr>
      </w:pPr>
      <w:r w:rsidRPr="000B1CB4">
        <w:rPr>
          <w:szCs w:val="24"/>
        </w:rPr>
        <w:fldChar w:fldCharType="end"/>
      </w:r>
    </w:p>
    <w:p w:rsidR="00B52F65" w:rsidRPr="000B1CB4" w14:paraId="2174E089" w14:textId="68C976B0">
      <w:pPr>
        <w:pStyle w:val="HTMLPreformatted"/>
        <w:jc w:val="center"/>
        <w:rPr>
          <w:rFonts w:ascii="Times New Roman" w:hAnsi="Times New Roman" w:cs="Times New Roman"/>
          <w:b/>
          <w:bCs/>
          <w:sz w:val="24"/>
          <w:szCs w:val="24"/>
        </w:rPr>
      </w:pPr>
      <w:r w:rsidRPr="000B1CB4">
        <w:rPr>
          <w:rFonts w:ascii="Times New Roman" w:hAnsi="Times New Roman" w:cs="Times New Roman"/>
          <w:b/>
          <w:bCs/>
          <w:sz w:val="24"/>
          <w:szCs w:val="24"/>
        </w:rPr>
        <w:t>BEFORE</w:t>
      </w:r>
    </w:p>
    <w:p w:rsidR="00B52F65" w:rsidRPr="000B1CB4" w14:paraId="1BD69D0C" w14:textId="77777777">
      <w:pPr>
        <w:pStyle w:val="HTMLPreformatted"/>
        <w:jc w:val="center"/>
        <w:rPr>
          <w:rFonts w:ascii="Times New Roman" w:hAnsi="Times New Roman" w:cs="Times New Roman"/>
          <w:sz w:val="24"/>
          <w:szCs w:val="24"/>
        </w:rPr>
      </w:pPr>
      <w:r w:rsidRPr="000B1CB4">
        <w:rPr>
          <w:rFonts w:ascii="Times New Roman" w:hAnsi="Times New Roman" w:cs="Times New Roman"/>
          <w:b/>
          <w:bCs/>
          <w:sz w:val="24"/>
          <w:szCs w:val="24"/>
        </w:rPr>
        <w:t>THE PUBLIC UTILITIES COMMISSION OF OHIO</w:t>
      </w:r>
    </w:p>
    <w:p w:rsidR="00B52F65" w:rsidRPr="000B1CB4" w14:paraId="13538E75"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49E4A012" w14:textId="77777777" w:rsidTr="00A46FA3">
        <w:tblPrEx>
          <w:tblW w:w="8730" w:type="dxa"/>
          <w:tblLook w:val="01E0"/>
        </w:tblPrEx>
        <w:trPr>
          <w:trHeight w:val="807"/>
        </w:trPr>
        <w:tc>
          <w:tcPr>
            <w:tcW w:w="4230" w:type="dxa"/>
            <w:shd w:val="clear" w:color="auto" w:fill="auto"/>
          </w:tcPr>
          <w:p w:rsidR="0060598B" w:rsidRPr="000B1CB4" w:rsidP="0060598B" w14:paraId="5F40D936" w14:textId="6835DF20">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 the Matter of the Commission’s </w:t>
            </w:r>
          </w:p>
          <w:p w:rsidR="00C926BE" w:rsidRPr="000B1CB4" w:rsidP="0060598B" w14:paraId="75BDC502" w14:textId="141239D4">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Investigation of RPA Energy, Inc.’s Compliance with the Ohio Administrative Code </w:t>
            </w:r>
            <w:r w:rsidRPr="000B1CB4" w:rsidR="00FE302C">
              <w:rPr>
                <w:rFonts w:ascii="Times New Roman" w:hAnsi="Times New Roman" w:cs="Times New Roman"/>
                <w:sz w:val="24"/>
                <w:szCs w:val="24"/>
              </w:rPr>
              <w:t>and Potential Remedial Actions for Non-Compliance</w:t>
            </w:r>
          </w:p>
          <w:p w:rsidR="00C926BE" w:rsidRPr="000B1CB4" w:rsidP="0060598B" w14:paraId="42BC00B2" w14:textId="152FA104">
            <w:pPr>
              <w:pStyle w:val="HTMLPreformatted"/>
              <w:rPr>
                <w:rFonts w:ascii="Times New Roman" w:hAnsi="Times New Roman" w:cs="Times New Roman"/>
                <w:sz w:val="24"/>
                <w:szCs w:val="24"/>
              </w:rPr>
            </w:pPr>
          </w:p>
        </w:tc>
        <w:tc>
          <w:tcPr>
            <w:tcW w:w="468" w:type="dxa"/>
            <w:shd w:val="clear" w:color="auto" w:fill="auto"/>
          </w:tcPr>
          <w:p w:rsidR="00B52F65" w:rsidRPr="000B1CB4" w14:paraId="417396FD"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B52F65" w:rsidRPr="000B1CB4" w14:paraId="0A743816"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B52F65" w:rsidRPr="000B1CB4" w14:paraId="2798651B"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B52F65" w:rsidRPr="000B1CB4" w14:paraId="21E3B54A"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C83423" w:rsidRPr="000B1CB4" w14:paraId="47B6094D"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C83423" w:rsidRPr="000B1CB4" w14:paraId="1C6B90BB" w14:textId="5FC61B5C">
            <w:pPr>
              <w:pStyle w:val="HTMLPreformatted"/>
              <w:rPr>
                <w:rFonts w:ascii="Times New Roman" w:hAnsi="Times New Roman" w:cs="Times New Roman"/>
                <w:sz w:val="24"/>
                <w:szCs w:val="24"/>
              </w:rPr>
            </w:pPr>
          </w:p>
        </w:tc>
        <w:tc>
          <w:tcPr>
            <w:tcW w:w="4032" w:type="dxa"/>
            <w:shd w:val="clear" w:color="auto" w:fill="auto"/>
          </w:tcPr>
          <w:p w:rsidR="00B52F65" w:rsidRPr="000B1CB4" w14:paraId="659C1A31" w14:textId="77777777">
            <w:pPr>
              <w:pStyle w:val="HTMLPreformatted"/>
              <w:rPr>
                <w:rFonts w:ascii="Times New Roman" w:hAnsi="Times New Roman" w:cs="Times New Roman"/>
                <w:sz w:val="24"/>
                <w:szCs w:val="24"/>
              </w:rPr>
            </w:pPr>
          </w:p>
          <w:p w:rsidR="00B52F65" w:rsidRPr="000B1CB4" w:rsidP="00C83423" w14:paraId="1AF93408" w14:textId="77777777">
            <w:pPr>
              <w:pStyle w:val="HTMLPreformatted"/>
              <w:rPr>
                <w:rFonts w:ascii="Times New Roman" w:hAnsi="Times New Roman" w:cs="Times New Roman"/>
                <w:sz w:val="24"/>
                <w:szCs w:val="24"/>
              </w:rPr>
            </w:pPr>
          </w:p>
          <w:p w:rsidR="00C83423" w:rsidRPr="000B1CB4" w:rsidP="00C83423" w14:paraId="79226C2D" w14:textId="1F63A5C8">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Case No. </w:t>
            </w:r>
            <w:r w:rsidRPr="000B1CB4" w:rsidR="00F55F19">
              <w:rPr>
                <w:rFonts w:ascii="Times New Roman" w:hAnsi="Times New Roman" w:cs="Times New Roman"/>
                <w:sz w:val="24"/>
                <w:szCs w:val="24"/>
              </w:rPr>
              <w:t>22</w:t>
            </w:r>
            <w:r w:rsidRPr="000B1CB4">
              <w:rPr>
                <w:rFonts w:ascii="Times New Roman" w:hAnsi="Times New Roman" w:cs="Times New Roman"/>
                <w:sz w:val="24"/>
                <w:szCs w:val="24"/>
              </w:rPr>
              <w:t>-</w:t>
            </w:r>
            <w:r w:rsidRPr="000B1CB4" w:rsidR="00F55F19">
              <w:rPr>
                <w:rFonts w:ascii="Times New Roman" w:hAnsi="Times New Roman" w:cs="Times New Roman"/>
                <w:sz w:val="24"/>
                <w:szCs w:val="24"/>
              </w:rPr>
              <w:t>44</w:t>
            </w:r>
            <w:r w:rsidRPr="000B1CB4" w:rsidR="00BD68D3">
              <w:rPr>
                <w:rFonts w:ascii="Times New Roman" w:hAnsi="Times New Roman" w:cs="Times New Roman"/>
                <w:sz w:val="24"/>
                <w:szCs w:val="24"/>
              </w:rPr>
              <w:t>1</w:t>
            </w:r>
            <w:r w:rsidRPr="000B1CB4">
              <w:rPr>
                <w:rFonts w:ascii="Times New Roman" w:hAnsi="Times New Roman" w:cs="Times New Roman"/>
                <w:sz w:val="24"/>
                <w:szCs w:val="24"/>
              </w:rPr>
              <w:t>-GE-COI</w:t>
            </w:r>
          </w:p>
          <w:p w:rsidR="00C83423" w:rsidRPr="000B1CB4" w:rsidP="00C83423" w14:paraId="389D033E" w14:textId="149624FB">
            <w:pPr>
              <w:pStyle w:val="HTMLPreformatted"/>
              <w:rPr>
                <w:rFonts w:ascii="Times New Roman" w:hAnsi="Times New Roman" w:cs="Times New Roman"/>
                <w:sz w:val="24"/>
                <w:szCs w:val="24"/>
              </w:rPr>
            </w:pPr>
          </w:p>
          <w:p w:rsidR="00C83423" w:rsidRPr="000B1CB4" w:rsidP="00C83423" w14:paraId="603E1CD2" w14:textId="654DEA4D">
            <w:pPr>
              <w:pStyle w:val="HTMLPreformatted"/>
              <w:rPr>
                <w:rFonts w:ascii="Times New Roman" w:hAnsi="Times New Roman" w:cs="Times New Roman"/>
                <w:sz w:val="24"/>
                <w:szCs w:val="24"/>
              </w:rPr>
            </w:pPr>
          </w:p>
        </w:tc>
      </w:tr>
    </w:tbl>
    <w:p w:rsidR="00B52F65" w:rsidRPr="000B1CB4" w14:paraId="62DDAF13" w14:textId="77777777">
      <w:pPr>
        <w:pStyle w:val="HTMLPreformatted"/>
        <w:pBdr>
          <w:top w:val="single" w:sz="12" w:space="1" w:color="auto"/>
        </w:pBdr>
        <w:rPr>
          <w:rFonts w:ascii="Times New Roman" w:hAnsi="Times New Roman" w:cs="Times New Roman"/>
          <w:sz w:val="24"/>
          <w:szCs w:val="24"/>
        </w:rPr>
      </w:pPr>
    </w:p>
    <w:p w:rsidR="00FE302C" w:rsidRPr="000B1CB4" w:rsidP="0034156F" w14:paraId="648171FC" w14:textId="77777777">
      <w:pPr>
        <w:jc w:val="center"/>
        <w:rPr>
          <w:b/>
          <w:bCs/>
          <w:szCs w:val="24"/>
        </w:rPr>
      </w:pPr>
      <w:r w:rsidRPr="000B1CB4">
        <w:rPr>
          <w:b/>
          <w:bCs/>
          <w:szCs w:val="24"/>
        </w:rPr>
        <w:t>REPLY</w:t>
      </w:r>
      <w:r w:rsidRPr="000B1CB4" w:rsidR="00D33FB3">
        <w:rPr>
          <w:b/>
          <w:bCs/>
          <w:szCs w:val="24"/>
        </w:rPr>
        <w:t xml:space="preserve"> </w:t>
      </w:r>
      <w:r w:rsidRPr="000B1CB4" w:rsidR="00786590">
        <w:rPr>
          <w:b/>
          <w:bCs/>
          <w:szCs w:val="24"/>
        </w:rPr>
        <w:t xml:space="preserve">TO </w:t>
      </w:r>
      <w:r w:rsidRPr="000B1CB4">
        <w:rPr>
          <w:b/>
          <w:bCs/>
          <w:szCs w:val="24"/>
        </w:rPr>
        <w:t>GREEN CHOICE</w:t>
      </w:r>
      <w:r w:rsidRPr="000B1CB4" w:rsidR="00C83423">
        <w:rPr>
          <w:b/>
          <w:bCs/>
          <w:szCs w:val="24"/>
        </w:rPr>
        <w:t>’S</w:t>
      </w:r>
      <w:r w:rsidRPr="000B1CB4" w:rsidR="00786590">
        <w:rPr>
          <w:b/>
          <w:bCs/>
          <w:szCs w:val="24"/>
        </w:rPr>
        <w:t xml:space="preserve"> MEMO</w:t>
      </w:r>
      <w:r w:rsidRPr="000B1CB4" w:rsidR="00962A84">
        <w:rPr>
          <w:b/>
          <w:bCs/>
          <w:szCs w:val="24"/>
        </w:rPr>
        <w:t>RANDUM</w:t>
      </w:r>
      <w:r w:rsidRPr="000B1CB4" w:rsidR="00786590">
        <w:rPr>
          <w:b/>
          <w:bCs/>
          <w:szCs w:val="24"/>
        </w:rPr>
        <w:t xml:space="preserve"> CONTRA </w:t>
      </w:r>
    </w:p>
    <w:p w:rsidR="0034156F" w:rsidRPr="000B1CB4" w:rsidP="0034156F" w14:paraId="503D5674" w14:textId="7250A337">
      <w:pPr>
        <w:jc w:val="center"/>
        <w:rPr>
          <w:b/>
          <w:bCs/>
          <w:szCs w:val="24"/>
        </w:rPr>
      </w:pPr>
      <w:r w:rsidRPr="000B1CB4">
        <w:rPr>
          <w:b/>
          <w:bCs/>
          <w:szCs w:val="24"/>
        </w:rPr>
        <w:t>OCC’S MOTION TO INTERVENE</w:t>
      </w:r>
      <w:r w:rsidRPr="000B1CB4" w:rsidR="00FE302C">
        <w:rPr>
          <w:b/>
          <w:bCs/>
          <w:szCs w:val="24"/>
        </w:rPr>
        <w:t xml:space="preserve"> TO PROTECT CONSUMERS</w:t>
      </w:r>
    </w:p>
    <w:p w:rsidR="0034156F" w:rsidRPr="000B1CB4" w:rsidP="0034156F" w14:paraId="5C2A8478" w14:textId="77777777">
      <w:pPr>
        <w:jc w:val="center"/>
        <w:rPr>
          <w:b/>
          <w:bCs/>
          <w:szCs w:val="24"/>
        </w:rPr>
      </w:pPr>
      <w:r w:rsidRPr="000B1CB4">
        <w:rPr>
          <w:b/>
          <w:bCs/>
          <w:szCs w:val="24"/>
        </w:rPr>
        <w:t>BY</w:t>
      </w:r>
    </w:p>
    <w:p w:rsidR="0034156F" w:rsidRPr="000B1CB4" w:rsidP="0034156F" w14:paraId="6628D1BF" w14:textId="56C1BDA3">
      <w:pPr>
        <w:jc w:val="center"/>
        <w:rPr>
          <w:b/>
          <w:bCs/>
          <w:szCs w:val="24"/>
        </w:rPr>
      </w:pPr>
      <w:r w:rsidRPr="000B1CB4">
        <w:rPr>
          <w:b/>
          <w:bCs/>
          <w:szCs w:val="24"/>
        </w:rPr>
        <w:t>OFFICE OF THE OHIO CONSUMERS’ COUNSEL</w:t>
      </w:r>
    </w:p>
    <w:p w:rsidR="00B52F65" w:rsidRPr="000B1CB4" w14:paraId="4AEA3A0B" w14:textId="77777777">
      <w:pPr>
        <w:pBdr>
          <w:bottom w:val="single" w:sz="12" w:space="1" w:color="auto"/>
        </w:pBdr>
        <w:tabs>
          <w:tab w:val="left" w:pos="4320"/>
        </w:tabs>
        <w:rPr>
          <w:szCs w:val="24"/>
        </w:rPr>
      </w:pPr>
    </w:p>
    <w:p w:rsidR="0060598B" w:rsidRPr="000B1CB4" w:rsidP="00D971A3" w14:paraId="15933385" w14:textId="77777777">
      <w:pPr>
        <w:pStyle w:val="BodyTextIndent3"/>
        <w:widowControl w:val="0"/>
        <w:spacing w:line="240" w:lineRule="auto"/>
        <w:ind w:right="-312" w:firstLine="0"/>
        <w:rPr>
          <w:szCs w:val="24"/>
        </w:rPr>
      </w:pPr>
    </w:p>
    <w:p w:rsidR="00FD35F6" w:rsidRPr="000B1CB4" w:rsidP="00DD02C2" w14:paraId="39CFA1C6" w14:textId="1EFB2413">
      <w:pPr>
        <w:pStyle w:val="Heading1"/>
        <w:numPr>
          <w:ilvl w:val="0"/>
          <w:numId w:val="15"/>
        </w:numPr>
        <w:ind w:left="720"/>
      </w:pPr>
      <w:bookmarkStart w:id="0" w:name="_Toc30075653"/>
      <w:bookmarkStart w:id="1" w:name="_Toc103677690"/>
      <w:r w:rsidRPr="000B1CB4">
        <w:t>INTRODUCTION</w:t>
      </w:r>
      <w:bookmarkEnd w:id="0"/>
      <w:bookmarkEnd w:id="1"/>
    </w:p>
    <w:p w:rsidR="00026747" w:rsidRPr="000B1CB4" w:rsidP="00026747" w14:paraId="2DD276C5" w14:textId="2DE55A9C">
      <w:pPr>
        <w:pStyle w:val="BodyTextIndent3"/>
        <w:widowControl w:val="0"/>
        <w:spacing w:line="480" w:lineRule="auto"/>
        <w:rPr>
          <w:szCs w:val="24"/>
        </w:rPr>
      </w:pPr>
      <w:r w:rsidRPr="000B1CB4">
        <w:rPr>
          <w:szCs w:val="24"/>
        </w:rPr>
        <w:t>RPA Energy</w:t>
      </w:r>
      <w:r w:rsidRPr="000B1CB4" w:rsidR="00AD2A61">
        <w:rPr>
          <w:szCs w:val="24"/>
        </w:rPr>
        <w:t>,</w:t>
      </w:r>
      <w:r w:rsidRPr="000B1CB4" w:rsidR="00674C43">
        <w:rPr>
          <w:szCs w:val="24"/>
        </w:rPr>
        <w:t xml:space="preserve"> </w:t>
      </w:r>
      <w:r w:rsidRPr="000B1CB4" w:rsidR="00AD2A61">
        <w:rPr>
          <w:szCs w:val="24"/>
        </w:rPr>
        <w:t xml:space="preserve">Inc. d/b/a Green Choice Energy </w:t>
      </w:r>
      <w:r w:rsidRPr="000B1CB4">
        <w:rPr>
          <w:szCs w:val="24"/>
        </w:rPr>
        <w:t>(“Green Choice</w:t>
      </w:r>
      <w:r w:rsidRPr="000B1CB4" w:rsidR="00AD2A61">
        <w:rPr>
          <w:szCs w:val="24"/>
        </w:rPr>
        <w:t>”)</w:t>
      </w:r>
      <w:r w:rsidRPr="000B1CB4" w:rsidR="00241D43">
        <w:rPr>
          <w:szCs w:val="24"/>
        </w:rPr>
        <w:t xml:space="preserve"> has been accused by the PUCO Staff of deceiving Ohioans. If true, Green Choice is a </w:t>
      </w:r>
      <w:r w:rsidRPr="000B1CB4" w:rsidR="00241D43">
        <w:rPr>
          <w:i/>
          <w:iCs/>
          <w:szCs w:val="24"/>
        </w:rPr>
        <w:t>bad choice</w:t>
      </w:r>
      <w:r w:rsidRPr="000B1CB4" w:rsidR="00241D43">
        <w:rPr>
          <w:szCs w:val="24"/>
        </w:rPr>
        <w:t xml:space="preserve"> for Ohioans’ energy needs</w:t>
      </w:r>
      <w:r w:rsidRPr="000B1CB4" w:rsidR="00A256A1">
        <w:rPr>
          <w:szCs w:val="24"/>
        </w:rPr>
        <w:t xml:space="preserve"> and for the PUCO to allow to continue operating in Ohio</w:t>
      </w:r>
      <w:r w:rsidRPr="000B1CB4" w:rsidR="00241D43">
        <w:rPr>
          <w:szCs w:val="24"/>
        </w:rPr>
        <w:t>. To give consumers another data point about</w:t>
      </w:r>
      <w:r w:rsidRPr="000B1CB4" w:rsidR="009A187B">
        <w:rPr>
          <w:szCs w:val="24"/>
        </w:rPr>
        <w:t xml:space="preserve"> a Green Choice bad attitude toward consumer protection</w:t>
      </w:r>
      <w:r w:rsidRPr="000B1CB4" w:rsidR="00241D43">
        <w:rPr>
          <w:szCs w:val="24"/>
        </w:rPr>
        <w:t>,</w:t>
      </w:r>
      <w:r w:rsidRPr="000B1CB4" w:rsidR="009A187B">
        <w:rPr>
          <w:szCs w:val="24"/>
        </w:rPr>
        <w:t xml:space="preserve"> it wants to deny Ohioans their state voice, the Ohio Consumers’ Counsel, in this investigation.</w:t>
      </w:r>
      <w:r>
        <w:rPr>
          <w:rStyle w:val="FootnoteReference"/>
          <w:szCs w:val="24"/>
        </w:rPr>
        <w:footnoteReference w:id="2"/>
      </w:r>
      <w:r w:rsidRPr="000B1CB4" w:rsidR="00241D43">
        <w:rPr>
          <w:szCs w:val="24"/>
        </w:rPr>
        <w:t xml:space="preserve"> </w:t>
      </w:r>
      <w:r w:rsidRPr="000B1CB4">
        <w:rPr>
          <w:szCs w:val="24"/>
        </w:rPr>
        <w:t>Green Choice’s opposition to OCC’s intervention has no merit. The PUCO should grant OCC intervention to protect consumers.</w:t>
      </w:r>
    </w:p>
    <w:p w:rsidR="00CF439F" w:rsidRPr="000B1CB4" w:rsidP="00FE302C" w14:paraId="37A24027" w14:textId="77777777">
      <w:pPr>
        <w:pStyle w:val="BodyTextIndent3"/>
        <w:widowControl w:val="0"/>
        <w:spacing w:line="480" w:lineRule="auto"/>
        <w:rPr>
          <w:szCs w:val="24"/>
        </w:rPr>
      </w:pPr>
      <w:r w:rsidRPr="000B1CB4">
        <w:rPr>
          <w:szCs w:val="24"/>
        </w:rPr>
        <w:t>Green Choice is accused</w:t>
      </w:r>
      <w:r w:rsidRPr="000B1CB4" w:rsidR="00241D43">
        <w:rPr>
          <w:szCs w:val="24"/>
        </w:rPr>
        <w:t xml:space="preserve"> of “spoofing”</w:t>
      </w:r>
      <w:r>
        <w:rPr>
          <w:rStyle w:val="FootnoteReference"/>
          <w:szCs w:val="24"/>
        </w:rPr>
        <w:footnoteReference w:id="3"/>
      </w:r>
      <w:r w:rsidRPr="000B1CB4">
        <w:rPr>
          <w:szCs w:val="24"/>
        </w:rPr>
        <w:t xml:space="preserve"> </w:t>
      </w:r>
      <w:r w:rsidRPr="000B1CB4" w:rsidR="00241D43">
        <w:rPr>
          <w:szCs w:val="24"/>
        </w:rPr>
        <w:t>(faking) Caller ID so people think someone other than Green Choice is calling them.</w:t>
      </w:r>
      <w:r w:rsidRPr="000B1CB4">
        <w:rPr>
          <w:szCs w:val="24"/>
        </w:rPr>
        <w:t xml:space="preserve"> The PUCO Staff wrote that Green Choice even tried this on a call to a PUCO Staffer.</w:t>
      </w:r>
      <w:r>
        <w:rPr>
          <w:rStyle w:val="FootnoteReference"/>
          <w:szCs w:val="24"/>
        </w:rPr>
        <w:footnoteReference w:id="4"/>
      </w:r>
      <w:r w:rsidRPr="000B1CB4" w:rsidR="00241D43">
        <w:rPr>
          <w:szCs w:val="24"/>
        </w:rPr>
        <w:t xml:space="preserve"> OCC’s stated position on spoofing by </w:t>
      </w:r>
    </w:p>
    <w:p w:rsidR="00CF439F" w:rsidRPr="000B1CB4" w14:paraId="6EE248A8" w14:textId="77777777">
      <w:pPr>
        <w:rPr>
          <w:szCs w:val="24"/>
        </w:rPr>
      </w:pPr>
      <w:r w:rsidRPr="000B1CB4">
        <w:rPr>
          <w:szCs w:val="24"/>
        </w:rPr>
        <w:br w:type="page"/>
      </w:r>
    </w:p>
    <w:p w:rsidR="000412B5" w:rsidRPr="000B1CB4" w:rsidP="00CF439F" w14:paraId="482EFE92" w14:textId="6683F1DB">
      <w:pPr>
        <w:pStyle w:val="BodyTextIndent3"/>
        <w:widowControl w:val="0"/>
        <w:spacing w:line="480" w:lineRule="auto"/>
        <w:ind w:firstLine="0"/>
        <w:rPr>
          <w:szCs w:val="24"/>
        </w:rPr>
      </w:pPr>
      <w:r w:rsidRPr="000B1CB4">
        <w:rPr>
          <w:szCs w:val="24"/>
        </w:rPr>
        <w:t xml:space="preserve">marketers is that it should be </w:t>
      </w:r>
      <w:r w:rsidRPr="000B1CB4">
        <w:rPr>
          <w:i/>
          <w:iCs/>
          <w:szCs w:val="24"/>
        </w:rPr>
        <w:t>one and do</w:t>
      </w:r>
      <w:r w:rsidRPr="000B1CB4" w:rsidR="009A187B">
        <w:rPr>
          <w:i/>
          <w:iCs/>
          <w:szCs w:val="24"/>
        </w:rPr>
        <w:t>ne</w:t>
      </w:r>
      <w:r w:rsidRPr="000B1CB4" w:rsidR="009A187B">
        <w:rPr>
          <w:szCs w:val="24"/>
        </w:rPr>
        <w:t>. That</w:t>
      </w:r>
      <w:r w:rsidRPr="000B1CB4">
        <w:rPr>
          <w:szCs w:val="24"/>
        </w:rPr>
        <w:t xml:space="preserve"> </w:t>
      </w:r>
      <w:r w:rsidRPr="000B1CB4" w:rsidR="009A187B">
        <w:rPr>
          <w:szCs w:val="24"/>
        </w:rPr>
        <w:t>means Green Choice (if found to be using Caller ID to fake out Ohio consumers) should be kicked out of the state.</w:t>
      </w:r>
      <w:r w:rsidRPr="000B1CB4" w:rsidR="00ED120B">
        <w:rPr>
          <w:szCs w:val="24"/>
        </w:rPr>
        <w:t xml:space="preserve"> </w:t>
      </w:r>
    </w:p>
    <w:p w:rsidR="000412B5" w:rsidRPr="000B1CB4" w:rsidP="005961A7" w14:paraId="34EC4BD0" w14:textId="3E4698C0">
      <w:pPr>
        <w:pStyle w:val="BodyTextIndent3"/>
        <w:widowControl w:val="0"/>
        <w:spacing w:line="480" w:lineRule="auto"/>
        <w:rPr>
          <w:szCs w:val="24"/>
        </w:rPr>
      </w:pPr>
      <w:r w:rsidRPr="000B1CB4">
        <w:rPr>
          <w:szCs w:val="24"/>
        </w:rPr>
        <w:t>Green Choice</w:t>
      </w:r>
      <w:r w:rsidRPr="000B1CB4" w:rsidR="00162330">
        <w:rPr>
          <w:szCs w:val="24"/>
        </w:rPr>
        <w:t xml:space="preserve"> </w:t>
      </w:r>
      <w:r w:rsidRPr="000B1CB4" w:rsidR="003A4904">
        <w:rPr>
          <w:szCs w:val="24"/>
        </w:rPr>
        <w:t>misrepresents OCC’s authority</w:t>
      </w:r>
      <w:r w:rsidRPr="000B1CB4">
        <w:rPr>
          <w:szCs w:val="24"/>
        </w:rPr>
        <w:t xml:space="preserve"> </w:t>
      </w:r>
      <w:r w:rsidRPr="000B1CB4" w:rsidR="003A4904">
        <w:rPr>
          <w:szCs w:val="24"/>
        </w:rPr>
        <w:t xml:space="preserve">under Ohio law to intervene </w:t>
      </w:r>
      <w:r w:rsidRPr="000B1CB4" w:rsidR="00DF05A6">
        <w:rPr>
          <w:szCs w:val="24"/>
        </w:rPr>
        <w:t>in investigation cases to</w:t>
      </w:r>
      <w:r w:rsidRPr="000B1CB4" w:rsidR="003A4904">
        <w:rPr>
          <w:szCs w:val="24"/>
        </w:rPr>
        <w:t xml:space="preserve"> protect consumers.</w:t>
      </w:r>
      <w:r w:rsidRPr="000B1CB4" w:rsidR="003A05EC">
        <w:rPr>
          <w:szCs w:val="24"/>
        </w:rPr>
        <w:t xml:space="preserve"> </w:t>
      </w:r>
      <w:r w:rsidRPr="000B1CB4" w:rsidR="00FD4C16">
        <w:rPr>
          <w:szCs w:val="24"/>
        </w:rPr>
        <w:t>Green Choice</w:t>
      </w:r>
      <w:r w:rsidRPr="000B1CB4" w:rsidR="00A1590F">
        <w:rPr>
          <w:szCs w:val="24"/>
        </w:rPr>
        <w:t xml:space="preserve"> </w:t>
      </w:r>
      <w:r w:rsidRPr="000B1CB4" w:rsidR="00FD4C16">
        <w:rPr>
          <w:szCs w:val="24"/>
        </w:rPr>
        <w:t>i</w:t>
      </w:r>
      <w:r w:rsidRPr="000B1CB4" w:rsidR="00C01F43">
        <w:rPr>
          <w:szCs w:val="24"/>
        </w:rPr>
        <w:t>gnore</w:t>
      </w:r>
      <w:r w:rsidRPr="000B1CB4" w:rsidR="00FD4C16">
        <w:rPr>
          <w:szCs w:val="24"/>
        </w:rPr>
        <w:t>s</w:t>
      </w:r>
      <w:r w:rsidRPr="000B1CB4" w:rsidR="00C01F43">
        <w:rPr>
          <w:szCs w:val="24"/>
        </w:rPr>
        <w:t xml:space="preserve"> controlling Supreme Court of Ohio precedent</w:t>
      </w:r>
      <w:r>
        <w:rPr>
          <w:rStyle w:val="FootnoteReference"/>
          <w:szCs w:val="24"/>
        </w:rPr>
        <w:footnoteReference w:id="5"/>
      </w:r>
      <w:r w:rsidRPr="000B1CB4" w:rsidR="00C01F43">
        <w:rPr>
          <w:szCs w:val="24"/>
        </w:rPr>
        <w:t xml:space="preserve"> </w:t>
      </w:r>
      <w:r w:rsidRPr="000B1CB4" w:rsidR="00D6368F">
        <w:rPr>
          <w:szCs w:val="24"/>
        </w:rPr>
        <w:t>regarding intervention</w:t>
      </w:r>
      <w:r w:rsidRPr="000B1CB4" w:rsidR="009355FB">
        <w:rPr>
          <w:szCs w:val="24"/>
        </w:rPr>
        <w:t>s generally and OCC</w:t>
      </w:r>
      <w:r w:rsidRPr="000B1CB4" w:rsidR="0091218E">
        <w:rPr>
          <w:szCs w:val="24"/>
        </w:rPr>
        <w:t>’s</w:t>
      </w:r>
      <w:r w:rsidRPr="000B1CB4" w:rsidR="009355FB">
        <w:rPr>
          <w:szCs w:val="24"/>
        </w:rPr>
        <w:t xml:space="preserve"> intervention</w:t>
      </w:r>
      <w:r w:rsidRPr="000B1CB4">
        <w:rPr>
          <w:szCs w:val="24"/>
        </w:rPr>
        <w:t>s</w:t>
      </w:r>
      <w:r w:rsidRPr="000B1CB4" w:rsidR="009355FB">
        <w:rPr>
          <w:szCs w:val="24"/>
        </w:rPr>
        <w:t xml:space="preserve"> specifically</w:t>
      </w:r>
      <w:r w:rsidRPr="000B1CB4" w:rsidR="00D6368F">
        <w:rPr>
          <w:szCs w:val="24"/>
        </w:rPr>
        <w:t>.</w:t>
      </w:r>
      <w:r w:rsidRPr="000B1CB4" w:rsidR="00C01F43">
        <w:rPr>
          <w:szCs w:val="24"/>
        </w:rPr>
        <w:t xml:space="preserve"> </w:t>
      </w:r>
      <w:r w:rsidRPr="000B1CB4" w:rsidR="001004E4">
        <w:rPr>
          <w:szCs w:val="24"/>
        </w:rPr>
        <w:t>Green Choice ignores</w:t>
      </w:r>
      <w:r w:rsidRPr="000B1CB4" w:rsidR="000D0DD6">
        <w:rPr>
          <w:szCs w:val="24"/>
        </w:rPr>
        <w:t xml:space="preserve"> </w:t>
      </w:r>
      <w:r w:rsidRPr="000B1CB4" w:rsidR="00162330">
        <w:rPr>
          <w:szCs w:val="24"/>
        </w:rPr>
        <w:t xml:space="preserve">precedent </w:t>
      </w:r>
      <w:r w:rsidRPr="000B1CB4" w:rsidR="000D0DD6">
        <w:rPr>
          <w:szCs w:val="24"/>
        </w:rPr>
        <w:t>where the PUCO granted</w:t>
      </w:r>
      <w:r w:rsidRPr="000B1CB4" w:rsidR="0034729F">
        <w:rPr>
          <w:szCs w:val="24"/>
        </w:rPr>
        <w:t xml:space="preserve"> OCC</w:t>
      </w:r>
      <w:r w:rsidRPr="000B1CB4" w:rsidR="000D0DD6">
        <w:rPr>
          <w:szCs w:val="24"/>
        </w:rPr>
        <w:t xml:space="preserve"> </w:t>
      </w:r>
      <w:r w:rsidRPr="000B1CB4" w:rsidR="0034729F">
        <w:rPr>
          <w:szCs w:val="24"/>
        </w:rPr>
        <w:t>interventio</w:t>
      </w:r>
      <w:r w:rsidRPr="000B1CB4" w:rsidR="000D0DD6">
        <w:rPr>
          <w:szCs w:val="24"/>
        </w:rPr>
        <w:t>n</w:t>
      </w:r>
      <w:r w:rsidRPr="000B1CB4">
        <w:rPr>
          <w:szCs w:val="24"/>
        </w:rPr>
        <w:t>s</w:t>
      </w:r>
      <w:r w:rsidRPr="000B1CB4" w:rsidR="000D0DD6">
        <w:rPr>
          <w:szCs w:val="24"/>
        </w:rPr>
        <w:t xml:space="preserve"> and </w:t>
      </w:r>
      <w:r w:rsidRPr="000B1CB4" w:rsidR="0034729F">
        <w:rPr>
          <w:szCs w:val="24"/>
        </w:rPr>
        <w:t>rejected the same arguments</w:t>
      </w:r>
      <w:r w:rsidRPr="000B1CB4" w:rsidR="00026747">
        <w:rPr>
          <w:szCs w:val="24"/>
        </w:rPr>
        <w:t xml:space="preserve"> by others</w:t>
      </w:r>
      <w:r w:rsidRPr="000B1CB4" w:rsidR="0034729F">
        <w:rPr>
          <w:szCs w:val="24"/>
        </w:rPr>
        <w:t xml:space="preserve"> </w:t>
      </w:r>
      <w:r w:rsidRPr="000B1CB4" w:rsidR="001C4D30">
        <w:rPr>
          <w:szCs w:val="24"/>
        </w:rPr>
        <w:t xml:space="preserve">that </w:t>
      </w:r>
      <w:r w:rsidRPr="000B1CB4" w:rsidR="0034729F">
        <w:rPr>
          <w:szCs w:val="24"/>
        </w:rPr>
        <w:t>Green Choice makes in its memorandum contra</w:t>
      </w:r>
      <w:r w:rsidRPr="000B1CB4" w:rsidR="001004E4">
        <w:rPr>
          <w:szCs w:val="24"/>
        </w:rPr>
        <w:t>.</w:t>
      </w:r>
      <w:r>
        <w:rPr>
          <w:rStyle w:val="FootnoteReference"/>
          <w:szCs w:val="24"/>
        </w:rPr>
        <w:footnoteReference w:id="6"/>
      </w:r>
      <w:r w:rsidRPr="000B1CB4" w:rsidR="001004E4">
        <w:rPr>
          <w:szCs w:val="24"/>
        </w:rPr>
        <w:t xml:space="preserve"> </w:t>
      </w:r>
    </w:p>
    <w:p w:rsidR="005F1B61" w:rsidRPr="000B1CB4" w:rsidP="005961A7" w14:paraId="20A11C6E" w14:textId="46747A35">
      <w:pPr>
        <w:pStyle w:val="BodyTextIndent3"/>
        <w:widowControl w:val="0"/>
        <w:spacing w:line="480" w:lineRule="auto"/>
        <w:rPr>
          <w:szCs w:val="24"/>
        </w:rPr>
      </w:pPr>
      <w:r w:rsidRPr="000B1CB4">
        <w:rPr>
          <w:szCs w:val="24"/>
        </w:rPr>
        <w:t>There</w:t>
      </w:r>
      <w:r w:rsidRPr="000B1CB4" w:rsidR="001C4D30">
        <w:rPr>
          <w:szCs w:val="24"/>
        </w:rPr>
        <w:t xml:space="preserve"> </w:t>
      </w:r>
      <w:r w:rsidRPr="000B1CB4" w:rsidR="000412B5">
        <w:rPr>
          <w:szCs w:val="24"/>
        </w:rPr>
        <w:t xml:space="preserve">is </w:t>
      </w:r>
      <w:r w:rsidRPr="000B1CB4">
        <w:rPr>
          <w:szCs w:val="24"/>
        </w:rPr>
        <w:t>no basis for</w:t>
      </w:r>
      <w:r w:rsidRPr="000B1CB4" w:rsidR="00C23EC2">
        <w:rPr>
          <w:szCs w:val="24"/>
        </w:rPr>
        <w:t xml:space="preserve"> denying residential consumers the opportunity to be heard through OCC in this investigation of</w:t>
      </w:r>
      <w:r w:rsidRPr="000B1CB4">
        <w:rPr>
          <w:szCs w:val="24"/>
        </w:rPr>
        <w:t xml:space="preserve"> Green Choice</w:t>
      </w:r>
      <w:r w:rsidRPr="000B1CB4" w:rsidR="00B21A21">
        <w:rPr>
          <w:szCs w:val="24"/>
        </w:rPr>
        <w:t>. OCC satisfies the standards for intervention</w:t>
      </w:r>
      <w:r w:rsidRPr="000B1CB4" w:rsidR="00E275EF">
        <w:rPr>
          <w:szCs w:val="24"/>
        </w:rPr>
        <w:t>. The</w:t>
      </w:r>
      <w:r w:rsidRPr="000B1CB4" w:rsidR="00B21A21">
        <w:rPr>
          <w:szCs w:val="24"/>
        </w:rPr>
        <w:t xml:space="preserve"> PUCO should grant OCC’s motion to intervene.</w:t>
      </w:r>
      <w:r w:rsidRPr="000B1CB4" w:rsidR="00ED120B">
        <w:rPr>
          <w:szCs w:val="24"/>
        </w:rPr>
        <w:t xml:space="preserve"> </w:t>
      </w:r>
    </w:p>
    <w:p w:rsidR="0060598B" w:rsidRPr="000B1CB4" w:rsidP="0060598B" w14:paraId="7B1F8325" w14:textId="77777777">
      <w:pPr>
        <w:pStyle w:val="BodyTextIndent3"/>
        <w:widowControl w:val="0"/>
        <w:spacing w:line="240" w:lineRule="auto"/>
        <w:ind w:right="-312"/>
        <w:rPr>
          <w:szCs w:val="24"/>
        </w:rPr>
      </w:pPr>
    </w:p>
    <w:p w:rsidR="00CD75C5" w:rsidRPr="000B1CB4" w:rsidP="00DD02C2" w14:paraId="24E2638F" w14:textId="45591F2D">
      <w:pPr>
        <w:pStyle w:val="Heading1"/>
      </w:pPr>
      <w:bookmarkStart w:id="2" w:name="_Toc24990819"/>
      <w:bookmarkStart w:id="3" w:name="_Toc25220735"/>
      <w:bookmarkStart w:id="4" w:name="_Toc30075654"/>
      <w:bookmarkStart w:id="5" w:name="_Toc103677691"/>
      <w:r w:rsidRPr="000B1CB4">
        <w:t>I</w:t>
      </w:r>
      <w:r w:rsidRPr="000B1CB4" w:rsidR="00413A2B">
        <w:t>I</w:t>
      </w:r>
      <w:r w:rsidRPr="000B1CB4">
        <w:t xml:space="preserve">. </w:t>
      </w:r>
      <w:r w:rsidRPr="000B1CB4">
        <w:tab/>
      </w:r>
      <w:r w:rsidRPr="000B1CB4" w:rsidR="00137B4D">
        <w:t>ARGUMENT</w:t>
      </w:r>
      <w:bookmarkEnd w:id="2"/>
      <w:bookmarkEnd w:id="3"/>
      <w:bookmarkEnd w:id="4"/>
      <w:bookmarkEnd w:id="5"/>
    </w:p>
    <w:p w:rsidR="007212A9" w:rsidRPr="000B1CB4" w:rsidP="00E275EF" w14:paraId="0AE15AEE" w14:textId="437F4A90">
      <w:pPr>
        <w:pStyle w:val="Heading2"/>
        <w:rPr>
          <w:szCs w:val="24"/>
        </w:rPr>
      </w:pPr>
      <w:bookmarkStart w:id="6" w:name="_Toc30075655"/>
      <w:bookmarkStart w:id="7" w:name="_Toc103677692"/>
      <w:r w:rsidRPr="000B1CB4">
        <w:rPr>
          <w:szCs w:val="24"/>
        </w:rPr>
        <w:t>A.</w:t>
      </w:r>
      <w:r w:rsidRPr="000B1CB4">
        <w:rPr>
          <w:szCs w:val="24"/>
        </w:rPr>
        <w:tab/>
      </w:r>
      <w:r w:rsidRPr="000B1CB4" w:rsidR="0088688C">
        <w:rPr>
          <w:szCs w:val="24"/>
        </w:rPr>
        <w:t xml:space="preserve">Green Choice’s claim that OCC has no legal authority to intervene in this proceeding to protect consumers has no merit. </w:t>
      </w:r>
      <w:r w:rsidRPr="000B1CB4" w:rsidR="006D20C5">
        <w:rPr>
          <w:szCs w:val="24"/>
        </w:rPr>
        <w:t>The</w:t>
      </w:r>
      <w:r w:rsidRPr="000B1CB4" w:rsidR="00F919BD">
        <w:rPr>
          <w:szCs w:val="24"/>
        </w:rPr>
        <w:t xml:space="preserve"> law gives OCC the authority to protect Ohio consumers from Green Choice. The</w:t>
      </w:r>
      <w:r w:rsidRPr="000B1CB4" w:rsidR="006D20C5">
        <w:rPr>
          <w:szCs w:val="24"/>
        </w:rPr>
        <w:t xml:space="preserve"> PUCO has previously </w:t>
      </w:r>
      <w:r w:rsidRPr="000B1CB4" w:rsidR="00F919BD">
        <w:rPr>
          <w:szCs w:val="24"/>
        </w:rPr>
        <w:t xml:space="preserve">granted </w:t>
      </w:r>
      <w:r w:rsidRPr="000B1CB4" w:rsidR="006D20C5">
        <w:rPr>
          <w:szCs w:val="24"/>
        </w:rPr>
        <w:t>OCC</w:t>
      </w:r>
      <w:r w:rsidRPr="000B1CB4" w:rsidR="00F919BD">
        <w:rPr>
          <w:szCs w:val="24"/>
        </w:rPr>
        <w:t>’s</w:t>
      </w:r>
      <w:r w:rsidRPr="000B1CB4" w:rsidR="006D20C5">
        <w:rPr>
          <w:szCs w:val="24"/>
        </w:rPr>
        <w:t xml:space="preserve"> interven</w:t>
      </w:r>
      <w:r w:rsidRPr="000B1CB4" w:rsidR="00F919BD">
        <w:rPr>
          <w:szCs w:val="24"/>
        </w:rPr>
        <w:t>tion</w:t>
      </w:r>
      <w:r w:rsidRPr="000B1CB4" w:rsidR="006D20C5">
        <w:rPr>
          <w:szCs w:val="24"/>
        </w:rPr>
        <w:t xml:space="preserve"> to protect consumers</w:t>
      </w:r>
      <w:r w:rsidRPr="000B1CB4" w:rsidR="00A90ACA">
        <w:rPr>
          <w:szCs w:val="24"/>
        </w:rPr>
        <w:t xml:space="preserve"> in PUCO investigations</w:t>
      </w:r>
      <w:r w:rsidRPr="000B1CB4" w:rsidR="00F919BD">
        <w:rPr>
          <w:szCs w:val="24"/>
        </w:rPr>
        <w:t xml:space="preserve"> </w:t>
      </w:r>
      <w:r w:rsidRPr="000B1CB4" w:rsidR="002B3086">
        <w:rPr>
          <w:szCs w:val="24"/>
        </w:rPr>
        <w:t>of</w:t>
      </w:r>
      <w:r w:rsidRPr="000B1CB4" w:rsidR="00F919BD">
        <w:rPr>
          <w:szCs w:val="24"/>
        </w:rPr>
        <w:t xml:space="preserve"> marketers</w:t>
      </w:r>
      <w:r w:rsidRPr="000B1CB4" w:rsidR="00A90ACA">
        <w:rPr>
          <w:szCs w:val="24"/>
        </w:rPr>
        <w:t>, even where the marketer opposed OCC’s intervention</w:t>
      </w:r>
      <w:r w:rsidRPr="000B1CB4" w:rsidR="00685CF7">
        <w:rPr>
          <w:szCs w:val="24"/>
        </w:rPr>
        <w:t>.</w:t>
      </w:r>
      <w:bookmarkEnd w:id="6"/>
      <w:bookmarkEnd w:id="7"/>
    </w:p>
    <w:p w:rsidR="004E2A2C" w:rsidRPr="000B1CB4" w:rsidP="004E2A2C" w14:paraId="33C9FFEC" w14:textId="5D4A8B7A">
      <w:pPr>
        <w:pStyle w:val="BodyTextIndent3"/>
        <w:widowControl w:val="0"/>
        <w:spacing w:line="480" w:lineRule="auto"/>
        <w:rPr>
          <w:szCs w:val="24"/>
        </w:rPr>
      </w:pPr>
      <w:r w:rsidRPr="000B1CB4">
        <w:rPr>
          <w:szCs w:val="24"/>
        </w:rPr>
        <w:t>The PUCO’s Entry initiating this investigation into Green Choice’s deceptive and misleading marketing practices set a procedural schedule requesting motions to intervene by May 18, 2022.</w:t>
      </w:r>
      <w:r>
        <w:rPr>
          <w:rStyle w:val="FootnoteReference"/>
          <w:szCs w:val="24"/>
        </w:rPr>
        <w:footnoteReference w:id="7"/>
      </w:r>
      <w:r w:rsidRPr="000B1CB4">
        <w:rPr>
          <w:szCs w:val="24"/>
        </w:rPr>
        <w:t xml:space="preserve"> In accordance with the PUCO’s directive, OCC filed its motion to intervene </w:t>
      </w:r>
      <w:r w:rsidRPr="000B1CB4" w:rsidR="00521DD9">
        <w:rPr>
          <w:szCs w:val="24"/>
        </w:rPr>
        <w:t xml:space="preserve">(ahead of time) </w:t>
      </w:r>
      <w:r w:rsidRPr="000B1CB4">
        <w:rPr>
          <w:szCs w:val="24"/>
        </w:rPr>
        <w:t xml:space="preserve">on April 27, 2022. Despite the PUCO’s Entry, Green Choice </w:t>
      </w:r>
      <w:r w:rsidRPr="000B1CB4" w:rsidR="0099227B">
        <w:rPr>
          <w:szCs w:val="24"/>
        </w:rPr>
        <w:t xml:space="preserve">wrongly </w:t>
      </w:r>
      <w:r w:rsidRPr="000B1CB4" w:rsidR="00521DD9">
        <w:rPr>
          <w:szCs w:val="24"/>
        </w:rPr>
        <w:t>asserts</w:t>
      </w:r>
      <w:r w:rsidRPr="000B1CB4">
        <w:rPr>
          <w:szCs w:val="24"/>
        </w:rPr>
        <w:t xml:space="preserve"> that OCC has no authority to intervene and that “[r]esidential consumers do not have a legally protectable interest in the outcome” of this investigation.</w:t>
      </w:r>
      <w:r>
        <w:rPr>
          <w:rStyle w:val="FootnoteReference"/>
          <w:szCs w:val="24"/>
        </w:rPr>
        <w:footnoteReference w:id="8"/>
      </w:r>
      <w:r w:rsidRPr="000B1CB4" w:rsidR="00F21E5E">
        <w:rPr>
          <w:szCs w:val="24"/>
        </w:rPr>
        <w:t xml:space="preserve"> </w:t>
      </w:r>
    </w:p>
    <w:p w:rsidR="000412B5" w:rsidRPr="000B1CB4" w:rsidP="003A2BAC" w14:paraId="52256501" w14:textId="68F5666C">
      <w:pPr>
        <w:pStyle w:val="BodyTextIndent3"/>
        <w:spacing w:line="480" w:lineRule="auto"/>
        <w:rPr>
          <w:szCs w:val="24"/>
        </w:rPr>
      </w:pPr>
      <w:r w:rsidRPr="000B1CB4">
        <w:rPr>
          <w:szCs w:val="24"/>
        </w:rPr>
        <w:t>Gree</w:t>
      </w:r>
      <w:r w:rsidRPr="000B1CB4" w:rsidR="00441D30">
        <w:rPr>
          <w:szCs w:val="24"/>
        </w:rPr>
        <w:t>n Choice c</w:t>
      </w:r>
      <w:r w:rsidRPr="000B1CB4" w:rsidR="00246BF3">
        <w:rPr>
          <w:szCs w:val="24"/>
        </w:rPr>
        <w:t>laims that</w:t>
      </w:r>
      <w:r w:rsidRPr="000B1CB4" w:rsidR="00C258C5">
        <w:rPr>
          <w:szCs w:val="24"/>
        </w:rPr>
        <w:t xml:space="preserve"> </w:t>
      </w:r>
      <w:r w:rsidRPr="000B1CB4" w:rsidR="00246BF3">
        <w:rPr>
          <w:szCs w:val="24"/>
        </w:rPr>
        <w:t xml:space="preserve">OCC should be denied intervention because </w:t>
      </w:r>
      <w:r w:rsidRPr="000B1CB4" w:rsidR="00C258C5">
        <w:rPr>
          <w:szCs w:val="24"/>
        </w:rPr>
        <w:t>OCC’s</w:t>
      </w:r>
      <w:r w:rsidRPr="000B1CB4" w:rsidR="004E2A2C">
        <w:rPr>
          <w:szCs w:val="24"/>
        </w:rPr>
        <w:t xml:space="preserve"> “powers and duties”</w:t>
      </w:r>
      <w:r w:rsidRPr="000B1CB4" w:rsidR="00C258C5">
        <w:rPr>
          <w:szCs w:val="24"/>
        </w:rPr>
        <w:t xml:space="preserve"> with respect to intervention are limited to those set forth in R.C. 4911.02</w:t>
      </w:r>
      <w:r w:rsidRPr="000B1CB4" w:rsidR="00DD2181">
        <w:rPr>
          <w:szCs w:val="24"/>
        </w:rPr>
        <w:t>.</w:t>
      </w:r>
      <w:r>
        <w:rPr>
          <w:rStyle w:val="FootnoteReference"/>
          <w:szCs w:val="24"/>
        </w:rPr>
        <w:footnoteReference w:id="9"/>
      </w:r>
      <w:r w:rsidRPr="000B1CB4" w:rsidR="00DD2181">
        <w:rPr>
          <w:szCs w:val="24"/>
        </w:rPr>
        <w:t xml:space="preserve"> Green Choice asserts that the law does not</w:t>
      </w:r>
      <w:r w:rsidRPr="000B1CB4" w:rsidR="0099227B">
        <w:rPr>
          <w:szCs w:val="24"/>
        </w:rPr>
        <w:t xml:space="preserve"> </w:t>
      </w:r>
      <w:r w:rsidRPr="000B1CB4" w:rsidR="00C258C5">
        <w:rPr>
          <w:szCs w:val="24"/>
        </w:rPr>
        <w:t>expressly include</w:t>
      </w:r>
      <w:r w:rsidRPr="000B1CB4" w:rsidR="00DD2181">
        <w:rPr>
          <w:szCs w:val="24"/>
        </w:rPr>
        <w:t xml:space="preserve"> OCC’s</w:t>
      </w:r>
      <w:r w:rsidRPr="000B1CB4" w:rsidR="00C258C5">
        <w:rPr>
          <w:szCs w:val="24"/>
        </w:rPr>
        <w:t xml:space="preserve"> intervention in enforcement proceedings</w:t>
      </w:r>
      <w:r w:rsidRPr="000B1CB4" w:rsidR="004E2A2C">
        <w:rPr>
          <w:szCs w:val="24"/>
        </w:rPr>
        <w:t xml:space="preserve"> concerning the services and charges of electric and natural gas marketers</w:t>
      </w:r>
      <w:r w:rsidRPr="000B1CB4" w:rsidR="00C258C5">
        <w:rPr>
          <w:szCs w:val="24"/>
        </w:rPr>
        <w:t>.</w:t>
      </w:r>
      <w:r>
        <w:rPr>
          <w:rStyle w:val="FootnoteReference"/>
          <w:szCs w:val="24"/>
        </w:rPr>
        <w:footnoteReference w:id="10"/>
      </w:r>
      <w:r w:rsidRPr="000B1CB4" w:rsidR="00C258C5">
        <w:rPr>
          <w:szCs w:val="24"/>
        </w:rPr>
        <w:t xml:space="preserve"> </w:t>
      </w:r>
      <w:r w:rsidRPr="000B1CB4" w:rsidR="00DD2181">
        <w:rPr>
          <w:szCs w:val="24"/>
        </w:rPr>
        <w:t>Green Choice is the wrong choice for decision-making about OCC’s authority.</w:t>
      </w:r>
    </w:p>
    <w:p w:rsidR="00DD2181" w:rsidRPr="000B1CB4" w:rsidP="003A2BAC" w14:paraId="2E0488FC" w14:textId="2D4C1A72">
      <w:pPr>
        <w:pStyle w:val="BodyTextIndent3"/>
        <w:spacing w:line="480" w:lineRule="auto"/>
        <w:rPr>
          <w:szCs w:val="24"/>
        </w:rPr>
      </w:pPr>
      <w:r w:rsidRPr="000B1CB4">
        <w:rPr>
          <w:szCs w:val="24"/>
        </w:rPr>
        <w:t xml:space="preserve">The General Assembly wrote into R.C. 4911.02(B)(2) that the Consumers’ Counsel has rights to protect consumers </w:t>
      </w:r>
      <w:r w:rsidRPr="000B1CB4">
        <w:rPr>
          <w:i/>
          <w:iCs/>
          <w:szCs w:val="24"/>
        </w:rPr>
        <w:t>“Without limitation because of enumeration….”</w:t>
      </w:r>
      <w:r w:rsidRPr="000B1CB4">
        <w:rPr>
          <w:szCs w:val="24"/>
        </w:rPr>
        <w:t xml:space="preserve"> (Emphasis added.) Green Choice ignores those most important words and then claims OCC cannot intervene in an enforcement action because it is not enumerated in the law. That makes no sense. Even what is enumerated in the law, such as R.C. 4911.02(B)(2)(b), allows OCC to intervene. But again, the law has no “limitation because of enumeration.” And the PUCO has found that [t]his language conveys the intent of the legislature that the provisions of Section 4911.02 should be construed </w:t>
      </w:r>
      <w:r w:rsidRPr="000B1CB4">
        <w:rPr>
          <w:i/>
          <w:iCs/>
          <w:szCs w:val="24"/>
        </w:rPr>
        <w:t>as broadly as possible</w:t>
      </w:r>
      <w:r w:rsidRPr="000B1CB4">
        <w:rPr>
          <w:szCs w:val="24"/>
        </w:rPr>
        <w:t>.”</w:t>
      </w:r>
      <w:r>
        <w:rPr>
          <w:rStyle w:val="FootnoteReference"/>
          <w:szCs w:val="24"/>
        </w:rPr>
        <w:footnoteReference w:id="11"/>
      </w:r>
    </w:p>
    <w:p w:rsidR="00EE2ACE" w:rsidRPr="000B1CB4" w:rsidP="003A2BAC" w14:paraId="120C2F6E" w14:textId="519A3056">
      <w:pPr>
        <w:pStyle w:val="BodyTextIndent3"/>
        <w:spacing w:line="480" w:lineRule="auto"/>
        <w:rPr>
          <w:szCs w:val="24"/>
        </w:rPr>
      </w:pPr>
      <w:r w:rsidRPr="000B1CB4">
        <w:rPr>
          <w:szCs w:val="24"/>
        </w:rPr>
        <w:t>The PUCO rejected t</w:t>
      </w:r>
      <w:r w:rsidRPr="000B1CB4" w:rsidR="006E6802">
        <w:rPr>
          <w:szCs w:val="24"/>
        </w:rPr>
        <w:t>his</w:t>
      </w:r>
      <w:r w:rsidRPr="000B1CB4" w:rsidR="00BA0F80">
        <w:rPr>
          <w:szCs w:val="24"/>
        </w:rPr>
        <w:t xml:space="preserve"> same</w:t>
      </w:r>
      <w:r w:rsidRPr="000B1CB4">
        <w:rPr>
          <w:szCs w:val="24"/>
        </w:rPr>
        <w:t xml:space="preserve"> argument </w:t>
      </w:r>
      <w:r w:rsidRPr="000B1CB4" w:rsidR="009C4CD3">
        <w:rPr>
          <w:szCs w:val="24"/>
        </w:rPr>
        <w:t xml:space="preserve">in the PALMco 2 Investigation when </w:t>
      </w:r>
      <w:r w:rsidRPr="000B1CB4" w:rsidR="00BA0F80">
        <w:rPr>
          <w:szCs w:val="24"/>
        </w:rPr>
        <w:t xml:space="preserve">marketer </w:t>
      </w:r>
      <w:r w:rsidRPr="000B1CB4" w:rsidR="009C4CD3">
        <w:rPr>
          <w:szCs w:val="24"/>
        </w:rPr>
        <w:t>PALMco</w:t>
      </w:r>
      <w:r w:rsidRPr="000B1CB4" w:rsidR="000F0B9D">
        <w:rPr>
          <w:szCs w:val="24"/>
        </w:rPr>
        <w:t xml:space="preserve"> </w:t>
      </w:r>
      <w:r w:rsidRPr="000B1CB4" w:rsidR="009C4CD3">
        <w:rPr>
          <w:szCs w:val="24"/>
        </w:rPr>
        <w:t xml:space="preserve">opposed OCC’s intervention in that </w:t>
      </w:r>
      <w:r w:rsidRPr="000B1CB4" w:rsidR="00895DC9">
        <w:rPr>
          <w:szCs w:val="24"/>
        </w:rPr>
        <w:t xml:space="preserve">PUCO initiated </w:t>
      </w:r>
      <w:r w:rsidRPr="000B1CB4" w:rsidR="009C4CD3">
        <w:rPr>
          <w:szCs w:val="24"/>
        </w:rPr>
        <w:t>enforcement proceeding</w:t>
      </w:r>
      <w:r w:rsidRPr="000B1CB4" w:rsidR="008C237A">
        <w:rPr>
          <w:szCs w:val="24"/>
        </w:rPr>
        <w:t>.</w:t>
      </w:r>
      <w:r>
        <w:rPr>
          <w:rStyle w:val="FootnoteReference"/>
          <w:szCs w:val="24"/>
        </w:rPr>
        <w:footnoteReference w:id="12"/>
      </w:r>
      <w:r w:rsidRPr="000B1CB4" w:rsidR="008C237A">
        <w:rPr>
          <w:szCs w:val="24"/>
        </w:rPr>
        <w:t xml:space="preserve"> The PUCO granted OCC’s intervention</w:t>
      </w:r>
      <w:r w:rsidRPr="000B1CB4" w:rsidR="00BA0F80">
        <w:rPr>
          <w:szCs w:val="24"/>
        </w:rPr>
        <w:t xml:space="preserve"> in PALMco 2</w:t>
      </w:r>
      <w:r w:rsidRPr="000B1CB4" w:rsidR="008C237A">
        <w:rPr>
          <w:szCs w:val="24"/>
        </w:rPr>
        <w:t xml:space="preserve"> stating: “Upon consideration of OCC’s motion to intervene in this proceeding, the attorney examiner finds that OCC’s motion is supported by statute, the Commission’s intervention rule, and prior Commission precedent, and should be granted.”</w:t>
      </w:r>
      <w:r>
        <w:rPr>
          <w:rStyle w:val="FootnoteReference"/>
          <w:szCs w:val="24"/>
        </w:rPr>
        <w:footnoteReference w:id="13"/>
      </w:r>
      <w:r w:rsidRPr="000B1CB4" w:rsidR="008C237A">
        <w:rPr>
          <w:szCs w:val="24"/>
        </w:rPr>
        <w:t xml:space="preserve"> </w:t>
      </w:r>
    </w:p>
    <w:p w:rsidR="003A2BAC" w:rsidRPr="000B1CB4" w:rsidP="003A2BAC" w14:paraId="06501147" w14:textId="6857E342">
      <w:pPr>
        <w:pStyle w:val="BodyTextIndent3"/>
        <w:spacing w:line="480" w:lineRule="auto"/>
        <w:rPr>
          <w:szCs w:val="24"/>
        </w:rPr>
      </w:pPr>
      <w:r w:rsidRPr="000B1CB4">
        <w:rPr>
          <w:szCs w:val="24"/>
        </w:rPr>
        <w:t xml:space="preserve">The PUCO </w:t>
      </w:r>
      <w:r w:rsidRPr="000B1CB4" w:rsidR="00BA0F80">
        <w:rPr>
          <w:szCs w:val="24"/>
        </w:rPr>
        <w:t xml:space="preserve">also </w:t>
      </w:r>
      <w:r w:rsidRPr="000B1CB4">
        <w:rPr>
          <w:szCs w:val="24"/>
        </w:rPr>
        <w:t xml:space="preserve">rejected similar arguments by marketer </w:t>
      </w:r>
      <w:r w:rsidRPr="000B1CB4" w:rsidR="00BA0F80">
        <w:rPr>
          <w:szCs w:val="24"/>
        </w:rPr>
        <w:t xml:space="preserve">SFE </w:t>
      </w:r>
      <w:r w:rsidRPr="000B1CB4">
        <w:rPr>
          <w:szCs w:val="24"/>
        </w:rPr>
        <w:t xml:space="preserve">in the SFE Investigation when it opposed OCC’s </w:t>
      </w:r>
      <w:r w:rsidRPr="000B1CB4" w:rsidR="00AF3C91">
        <w:rPr>
          <w:szCs w:val="24"/>
        </w:rPr>
        <w:t xml:space="preserve">motion to </w:t>
      </w:r>
      <w:r w:rsidRPr="000B1CB4">
        <w:rPr>
          <w:szCs w:val="24"/>
        </w:rPr>
        <w:t>interven</w:t>
      </w:r>
      <w:r w:rsidRPr="000B1CB4" w:rsidR="00AF3C91">
        <w:rPr>
          <w:szCs w:val="24"/>
        </w:rPr>
        <w:t>e</w:t>
      </w:r>
      <w:r w:rsidRPr="000B1CB4">
        <w:rPr>
          <w:szCs w:val="24"/>
        </w:rPr>
        <w:t xml:space="preserve"> in that case.</w:t>
      </w:r>
      <w:r>
        <w:rPr>
          <w:rStyle w:val="FootnoteReference"/>
          <w:szCs w:val="24"/>
        </w:rPr>
        <w:footnoteReference w:id="14"/>
      </w:r>
      <w:r w:rsidRPr="000B1CB4" w:rsidR="00952E38">
        <w:rPr>
          <w:szCs w:val="24"/>
        </w:rPr>
        <w:t xml:space="preserve"> </w:t>
      </w:r>
      <w:r w:rsidRPr="000B1CB4" w:rsidR="00E90C03">
        <w:rPr>
          <w:szCs w:val="24"/>
        </w:rPr>
        <w:t xml:space="preserve">There, </w:t>
      </w:r>
      <w:r w:rsidRPr="000B1CB4" w:rsidR="00AF3C91">
        <w:rPr>
          <w:szCs w:val="24"/>
        </w:rPr>
        <w:t>not only did the</w:t>
      </w:r>
      <w:r w:rsidRPr="000B1CB4" w:rsidR="00E90C03">
        <w:rPr>
          <w:szCs w:val="24"/>
        </w:rPr>
        <w:t xml:space="preserve"> PUCO grant OCC’s motion to intervene</w:t>
      </w:r>
      <w:r w:rsidRPr="000B1CB4" w:rsidR="00AF3C91">
        <w:rPr>
          <w:szCs w:val="24"/>
        </w:rPr>
        <w:t xml:space="preserve">, it also </w:t>
      </w:r>
      <w:r w:rsidRPr="000B1CB4" w:rsidR="00E90C03">
        <w:rPr>
          <w:szCs w:val="24"/>
        </w:rPr>
        <w:t>denied SFE’s request to limit OCC’s participation</w:t>
      </w:r>
      <w:r w:rsidRPr="000B1CB4" w:rsidR="004677E5">
        <w:rPr>
          <w:szCs w:val="24"/>
        </w:rPr>
        <w:t xml:space="preserve"> in discovery</w:t>
      </w:r>
      <w:r w:rsidRPr="000B1CB4" w:rsidR="00E90C03">
        <w:rPr>
          <w:szCs w:val="24"/>
        </w:rPr>
        <w:t>.</w:t>
      </w:r>
      <w:r>
        <w:rPr>
          <w:rStyle w:val="FootnoteReference"/>
          <w:szCs w:val="24"/>
        </w:rPr>
        <w:footnoteReference w:id="15"/>
      </w:r>
    </w:p>
    <w:p w:rsidR="00EE2ACE" w:rsidRPr="000B1CB4" w:rsidP="003A2BAC" w14:paraId="74CAFE07" w14:textId="33B5760D">
      <w:pPr>
        <w:pStyle w:val="BodyTextIndent3"/>
        <w:spacing w:line="480" w:lineRule="auto"/>
        <w:rPr>
          <w:szCs w:val="24"/>
        </w:rPr>
      </w:pPr>
      <w:r w:rsidRPr="000B1CB4">
        <w:rPr>
          <w:szCs w:val="24"/>
        </w:rPr>
        <w:t>Green Choice argues that OCC should be denied intervention because residential consumers’ interests are</w:t>
      </w:r>
      <w:r w:rsidRPr="000B1CB4">
        <w:rPr>
          <w:szCs w:val="24"/>
        </w:rPr>
        <w:t xml:space="preserve"> already</w:t>
      </w:r>
      <w:r w:rsidRPr="000B1CB4">
        <w:rPr>
          <w:szCs w:val="24"/>
        </w:rPr>
        <w:t xml:space="preserve"> adequately represented by the PUCO Staff.</w:t>
      </w:r>
      <w:r>
        <w:rPr>
          <w:rStyle w:val="FootnoteReference"/>
          <w:szCs w:val="24"/>
        </w:rPr>
        <w:footnoteReference w:id="16"/>
      </w:r>
      <w:r w:rsidRPr="000B1CB4" w:rsidR="006E6802">
        <w:rPr>
          <w:szCs w:val="24"/>
        </w:rPr>
        <w:t xml:space="preserve"> </w:t>
      </w:r>
      <w:r w:rsidRPr="000B1CB4">
        <w:rPr>
          <w:szCs w:val="24"/>
        </w:rPr>
        <w:t>But t</w:t>
      </w:r>
      <w:r w:rsidRPr="000B1CB4" w:rsidR="006E6802">
        <w:rPr>
          <w:szCs w:val="24"/>
        </w:rPr>
        <w:t>he PUCO previously rejected that argument in the PALMco 2 and SFE Investigations as well.</w:t>
      </w:r>
      <w:r>
        <w:rPr>
          <w:rStyle w:val="FootnoteReference"/>
          <w:szCs w:val="24"/>
        </w:rPr>
        <w:footnoteReference w:id="17"/>
      </w:r>
      <w:r w:rsidRPr="000B1CB4" w:rsidR="006E6802">
        <w:rPr>
          <w:szCs w:val="24"/>
        </w:rPr>
        <w:t xml:space="preserve"> </w:t>
      </w:r>
      <w:r w:rsidRPr="000B1CB4" w:rsidR="003A2BAC">
        <w:rPr>
          <w:szCs w:val="24"/>
        </w:rPr>
        <w:t>The PUCO Staff consider</w:t>
      </w:r>
      <w:r w:rsidRPr="000B1CB4" w:rsidR="00DD2181">
        <w:rPr>
          <w:szCs w:val="24"/>
        </w:rPr>
        <w:t>s</w:t>
      </w:r>
      <w:r w:rsidRPr="000B1CB4" w:rsidR="003A2BAC">
        <w:rPr>
          <w:szCs w:val="24"/>
        </w:rPr>
        <w:t xml:space="preserve"> the interests of</w:t>
      </w:r>
      <w:r w:rsidRPr="000B1CB4" w:rsidR="00FC5E15">
        <w:rPr>
          <w:szCs w:val="24"/>
        </w:rPr>
        <w:t xml:space="preserve"> all</w:t>
      </w:r>
      <w:r w:rsidRPr="000B1CB4" w:rsidR="003A2BAC">
        <w:rPr>
          <w:szCs w:val="24"/>
        </w:rPr>
        <w:t xml:space="preserve"> consumers </w:t>
      </w:r>
      <w:r w:rsidRPr="000B1CB4" w:rsidR="003A2BAC">
        <w:rPr>
          <w:i/>
          <w:iCs/>
          <w:szCs w:val="24"/>
        </w:rPr>
        <w:t xml:space="preserve">and </w:t>
      </w:r>
      <w:r w:rsidRPr="000B1CB4" w:rsidR="003A2BAC">
        <w:rPr>
          <w:szCs w:val="24"/>
        </w:rPr>
        <w:t xml:space="preserve">marketers in this PUCO investigation. </w:t>
      </w:r>
      <w:r w:rsidRPr="000B1CB4" w:rsidR="00DD2181">
        <w:rPr>
          <w:szCs w:val="24"/>
        </w:rPr>
        <w:t>Only</w:t>
      </w:r>
      <w:r w:rsidRPr="000B1CB4" w:rsidR="003A2BAC">
        <w:rPr>
          <w:szCs w:val="24"/>
        </w:rPr>
        <w:t xml:space="preserve"> OCC</w:t>
      </w:r>
      <w:r w:rsidRPr="000B1CB4">
        <w:rPr>
          <w:szCs w:val="24"/>
        </w:rPr>
        <w:t xml:space="preserve">, as the statutory representative of Ohio’s residential utility consumers, </w:t>
      </w:r>
      <w:r w:rsidRPr="000B1CB4" w:rsidR="003A2BAC">
        <w:rPr>
          <w:szCs w:val="24"/>
        </w:rPr>
        <w:t xml:space="preserve">is in the unique position of representing the interests of the residential consumers harmed by Green Choice. </w:t>
      </w:r>
    </w:p>
    <w:p w:rsidR="00E67DCE" w:rsidRPr="000B1CB4" w:rsidP="008926FA" w14:paraId="027FF304" w14:textId="570F6A53">
      <w:pPr>
        <w:pStyle w:val="BodyTextIndent3"/>
        <w:spacing w:line="480" w:lineRule="auto"/>
        <w:rPr>
          <w:szCs w:val="24"/>
        </w:rPr>
      </w:pPr>
    </w:p>
    <w:p w:rsidR="005A19C2" w:rsidRPr="000B1CB4" w:rsidP="00CF1DA3" w14:paraId="6D7F1226" w14:textId="76414E89">
      <w:pPr>
        <w:pStyle w:val="BodyTextIndent3"/>
        <w:spacing w:line="480" w:lineRule="auto"/>
        <w:rPr>
          <w:szCs w:val="24"/>
        </w:rPr>
      </w:pPr>
      <w:r w:rsidRPr="000B1CB4">
        <w:rPr>
          <w:szCs w:val="24"/>
        </w:rPr>
        <w:t>In the</w:t>
      </w:r>
      <w:r w:rsidRPr="000B1CB4">
        <w:rPr>
          <w:i/>
          <w:iCs/>
          <w:szCs w:val="24"/>
        </w:rPr>
        <w:t xml:space="preserve"> Matter of the Complaint of Jeffrey Pitzer v. Duke Energy Ohio, Inc.</w:t>
      </w:r>
      <w:r w:rsidRPr="000B1CB4">
        <w:rPr>
          <w:szCs w:val="24"/>
        </w:rPr>
        <w:t xml:space="preserve">, Case No. 15-298-GE-CSS, </w:t>
      </w:r>
      <w:r w:rsidRPr="000B1CB4" w:rsidR="00E70F0F">
        <w:rPr>
          <w:szCs w:val="24"/>
        </w:rPr>
        <w:t xml:space="preserve">an investigation into a utility’s misdeeds, </w:t>
      </w:r>
      <w:r w:rsidRPr="000B1CB4">
        <w:rPr>
          <w:szCs w:val="24"/>
        </w:rPr>
        <w:t xml:space="preserve">the PUCO granted OCC’s </w:t>
      </w:r>
      <w:r w:rsidRPr="000B1CB4" w:rsidR="00687B8B">
        <w:rPr>
          <w:szCs w:val="24"/>
        </w:rPr>
        <w:t>m</w:t>
      </w:r>
      <w:r w:rsidRPr="000B1CB4">
        <w:rPr>
          <w:szCs w:val="24"/>
        </w:rPr>
        <w:t xml:space="preserve">otion to </w:t>
      </w:r>
      <w:r w:rsidRPr="000B1CB4" w:rsidR="00687B8B">
        <w:rPr>
          <w:szCs w:val="24"/>
        </w:rPr>
        <w:t>i</w:t>
      </w:r>
      <w:r w:rsidRPr="000B1CB4">
        <w:rPr>
          <w:szCs w:val="24"/>
        </w:rPr>
        <w:t>ntervene over Duke</w:t>
      </w:r>
      <w:r w:rsidRPr="000B1CB4" w:rsidR="0024468E">
        <w:rPr>
          <w:szCs w:val="24"/>
        </w:rPr>
        <w:t>’s</w:t>
      </w:r>
      <w:r w:rsidRPr="000B1CB4">
        <w:rPr>
          <w:szCs w:val="24"/>
        </w:rPr>
        <w:t xml:space="preserve"> opposition</w:t>
      </w:r>
      <w:r w:rsidRPr="000B1CB4" w:rsidR="00E70F0F">
        <w:rPr>
          <w:szCs w:val="24"/>
        </w:rPr>
        <w:t xml:space="preserve">. The PUCO </w:t>
      </w:r>
      <w:r w:rsidRPr="000B1CB4">
        <w:rPr>
          <w:szCs w:val="24"/>
        </w:rPr>
        <w:t>reject</w:t>
      </w:r>
      <w:r w:rsidRPr="000B1CB4" w:rsidR="00E70F0F">
        <w:rPr>
          <w:szCs w:val="24"/>
        </w:rPr>
        <w:t>ed</w:t>
      </w:r>
      <w:r w:rsidRPr="000B1CB4">
        <w:rPr>
          <w:szCs w:val="24"/>
        </w:rPr>
        <w:t xml:space="preserve"> Duke’s argument that OCC was precluded from intervening in matters not specifically </w:t>
      </w:r>
      <w:r w:rsidRPr="000B1CB4" w:rsidR="00E70F0F">
        <w:rPr>
          <w:szCs w:val="24"/>
        </w:rPr>
        <w:t xml:space="preserve">enumerated </w:t>
      </w:r>
      <w:r w:rsidRPr="000B1CB4">
        <w:rPr>
          <w:szCs w:val="24"/>
        </w:rPr>
        <w:t>in R.C. 4911.02.</w:t>
      </w:r>
      <w:r>
        <w:rPr>
          <w:rStyle w:val="FootnoteReference"/>
          <w:szCs w:val="24"/>
        </w:rPr>
        <w:footnoteReference w:id="18"/>
      </w:r>
      <w:r w:rsidRPr="000B1CB4" w:rsidR="00E72AE7">
        <w:rPr>
          <w:szCs w:val="24"/>
        </w:rPr>
        <w:t xml:space="preserve"> </w:t>
      </w:r>
      <w:r w:rsidRPr="000B1CB4" w:rsidR="000354AA">
        <w:rPr>
          <w:szCs w:val="24"/>
        </w:rPr>
        <w:t xml:space="preserve">Green Choice ignores this precedent as well. </w:t>
      </w:r>
      <w:r w:rsidRPr="000B1CB4" w:rsidR="00E72AE7">
        <w:rPr>
          <w:szCs w:val="24"/>
        </w:rPr>
        <w:t xml:space="preserve">OCC has authority </w:t>
      </w:r>
      <w:r w:rsidRPr="000B1CB4" w:rsidR="000354AA">
        <w:rPr>
          <w:szCs w:val="24"/>
        </w:rPr>
        <w:t xml:space="preserve">under Ohio law </w:t>
      </w:r>
      <w:r w:rsidRPr="000B1CB4" w:rsidR="00E72AE7">
        <w:rPr>
          <w:szCs w:val="24"/>
        </w:rPr>
        <w:t xml:space="preserve">to </w:t>
      </w:r>
      <w:r w:rsidRPr="000B1CB4" w:rsidR="000354AA">
        <w:rPr>
          <w:szCs w:val="24"/>
        </w:rPr>
        <w:t xml:space="preserve">intervene </w:t>
      </w:r>
      <w:r w:rsidRPr="000B1CB4" w:rsidR="00E72AE7">
        <w:rPr>
          <w:szCs w:val="24"/>
        </w:rPr>
        <w:t>in this case to represent the interests of residential utility consumers.</w:t>
      </w:r>
      <w:r>
        <w:rPr>
          <w:rStyle w:val="FootnoteReference"/>
          <w:szCs w:val="24"/>
        </w:rPr>
        <w:footnoteReference w:id="19"/>
      </w:r>
      <w:r w:rsidRPr="000B1CB4" w:rsidR="00ED120B">
        <w:rPr>
          <w:szCs w:val="24"/>
        </w:rPr>
        <w:t xml:space="preserve"> </w:t>
      </w:r>
    </w:p>
    <w:p w:rsidR="00FC6BF3" w:rsidRPr="000B1CB4" w:rsidP="00CA021D" w14:paraId="4E6EE1F6" w14:textId="5C9CB309">
      <w:pPr>
        <w:pStyle w:val="BodyTextIndent3"/>
        <w:spacing w:line="480" w:lineRule="auto"/>
        <w:ind w:firstLine="0"/>
        <w:rPr>
          <w:szCs w:val="24"/>
        </w:rPr>
      </w:pPr>
      <w:r w:rsidRPr="000B1CB4">
        <w:rPr>
          <w:szCs w:val="24"/>
        </w:rPr>
        <w:tab/>
      </w:r>
      <w:r w:rsidRPr="000B1CB4" w:rsidR="0010516C">
        <w:rPr>
          <w:szCs w:val="24"/>
        </w:rPr>
        <w:t>Green Choice</w:t>
      </w:r>
      <w:r w:rsidRPr="000B1CB4">
        <w:rPr>
          <w:szCs w:val="24"/>
        </w:rPr>
        <w:t>’s c</w:t>
      </w:r>
      <w:r w:rsidRPr="000B1CB4" w:rsidR="0010516C">
        <w:rPr>
          <w:szCs w:val="24"/>
        </w:rPr>
        <w:t xml:space="preserve">laim that </w:t>
      </w:r>
      <w:r w:rsidRPr="000B1CB4">
        <w:rPr>
          <w:szCs w:val="24"/>
        </w:rPr>
        <w:t>OCC</w:t>
      </w:r>
      <w:r w:rsidRPr="000B1CB4" w:rsidR="0010516C">
        <w:rPr>
          <w:szCs w:val="24"/>
        </w:rPr>
        <w:t xml:space="preserve"> ha</w:t>
      </w:r>
      <w:r w:rsidRPr="000B1CB4">
        <w:rPr>
          <w:szCs w:val="24"/>
        </w:rPr>
        <w:t>s</w:t>
      </w:r>
      <w:r w:rsidRPr="000B1CB4" w:rsidR="0010516C">
        <w:rPr>
          <w:szCs w:val="24"/>
        </w:rPr>
        <w:t xml:space="preserve"> no</w:t>
      </w:r>
      <w:r w:rsidRPr="000B1CB4">
        <w:rPr>
          <w:szCs w:val="24"/>
        </w:rPr>
        <w:t xml:space="preserve"> authority to intervene </w:t>
      </w:r>
      <w:r w:rsidRPr="000B1CB4" w:rsidR="0010516C">
        <w:rPr>
          <w:szCs w:val="24"/>
        </w:rPr>
        <w:t xml:space="preserve">in “an enforcement proceeding” </w:t>
      </w:r>
      <w:r w:rsidRPr="000B1CB4">
        <w:rPr>
          <w:szCs w:val="24"/>
        </w:rPr>
        <w:t xml:space="preserve">also ignores the plain language of R.C. 4903.221, which provides “[a]ny other person who may be adversely affected by a public utilities commission </w:t>
      </w:r>
      <w:r w:rsidRPr="000B1CB4">
        <w:rPr>
          <w:i/>
          <w:iCs/>
          <w:szCs w:val="24"/>
        </w:rPr>
        <w:t>proceeding</w:t>
      </w:r>
      <w:r w:rsidRPr="000B1CB4">
        <w:rPr>
          <w:szCs w:val="24"/>
        </w:rPr>
        <w:t xml:space="preserve"> may intervene in such </w:t>
      </w:r>
      <w:r w:rsidRPr="000B1CB4">
        <w:rPr>
          <w:i/>
          <w:iCs/>
          <w:szCs w:val="24"/>
        </w:rPr>
        <w:t>proceeding</w:t>
      </w:r>
      <w:r w:rsidRPr="000B1CB4">
        <w:rPr>
          <w:szCs w:val="24"/>
        </w:rPr>
        <w:t xml:space="preserve"> [].” (</w:t>
      </w:r>
      <w:r w:rsidRPr="000B1CB4" w:rsidR="000354AA">
        <w:rPr>
          <w:szCs w:val="24"/>
        </w:rPr>
        <w:t>E</w:t>
      </w:r>
      <w:r w:rsidRPr="000B1CB4">
        <w:rPr>
          <w:szCs w:val="24"/>
        </w:rPr>
        <w:t xml:space="preserve">mphasis added). </w:t>
      </w:r>
      <w:r w:rsidRPr="000B1CB4" w:rsidR="00577C6E">
        <w:rPr>
          <w:szCs w:val="24"/>
        </w:rPr>
        <w:t xml:space="preserve">R.C. 4903.221 </w:t>
      </w:r>
      <w:r w:rsidRPr="000B1CB4" w:rsidR="0010516C">
        <w:rPr>
          <w:szCs w:val="24"/>
        </w:rPr>
        <w:t xml:space="preserve">makes </w:t>
      </w:r>
      <w:r w:rsidRPr="000B1CB4" w:rsidR="00CA021D">
        <w:rPr>
          <w:szCs w:val="24"/>
        </w:rPr>
        <w:t xml:space="preserve">no distinction between an enforcement or </w:t>
      </w:r>
      <w:r w:rsidRPr="000B1CB4" w:rsidR="000354AA">
        <w:rPr>
          <w:szCs w:val="24"/>
        </w:rPr>
        <w:t xml:space="preserve">any </w:t>
      </w:r>
      <w:r w:rsidRPr="000B1CB4" w:rsidR="00CA021D">
        <w:rPr>
          <w:szCs w:val="24"/>
        </w:rPr>
        <w:t>other type of PUCO proceeding.</w:t>
      </w:r>
      <w:r w:rsidRPr="000B1CB4" w:rsidR="00A25065">
        <w:rPr>
          <w:szCs w:val="24"/>
        </w:rPr>
        <w:t xml:space="preserve"> </w:t>
      </w:r>
      <w:r w:rsidRPr="000B1CB4" w:rsidR="000354AA">
        <w:rPr>
          <w:szCs w:val="24"/>
        </w:rPr>
        <w:t xml:space="preserve">OCC regularly </w:t>
      </w:r>
      <w:r w:rsidRPr="000B1CB4">
        <w:rPr>
          <w:szCs w:val="24"/>
        </w:rPr>
        <w:t>intervene</w:t>
      </w:r>
      <w:r w:rsidRPr="000B1CB4" w:rsidR="000354AA">
        <w:rPr>
          <w:szCs w:val="24"/>
        </w:rPr>
        <w:t>s</w:t>
      </w:r>
      <w:r w:rsidRPr="000B1CB4">
        <w:rPr>
          <w:szCs w:val="24"/>
        </w:rPr>
        <w:t xml:space="preserve"> in proceedings concerning </w:t>
      </w:r>
      <w:r w:rsidRPr="000B1CB4" w:rsidR="00E30BFC">
        <w:rPr>
          <w:szCs w:val="24"/>
        </w:rPr>
        <w:t>bad acts</w:t>
      </w:r>
      <w:r w:rsidRPr="000B1CB4">
        <w:rPr>
          <w:szCs w:val="24"/>
        </w:rPr>
        <w:t xml:space="preserve"> like</w:t>
      </w:r>
      <w:r w:rsidRPr="000B1CB4" w:rsidR="00E30BFC">
        <w:rPr>
          <w:szCs w:val="24"/>
        </w:rPr>
        <w:t xml:space="preserve"> what the Staff alleges about</w:t>
      </w:r>
      <w:r w:rsidRPr="000B1CB4">
        <w:rPr>
          <w:szCs w:val="24"/>
        </w:rPr>
        <w:t xml:space="preserve"> Green Choice. And </w:t>
      </w:r>
      <w:r w:rsidRPr="000B1CB4" w:rsidR="00CA021D">
        <w:rPr>
          <w:szCs w:val="24"/>
        </w:rPr>
        <w:t xml:space="preserve">the </w:t>
      </w:r>
      <w:r w:rsidRPr="000B1CB4">
        <w:rPr>
          <w:szCs w:val="24"/>
        </w:rPr>
        <w:t>PUCO has granted OCC intervention</w:t>
      </w:r>
      <w:r w:rsidRPr="000B1CB4" w:rsidR="00CA021D">
        <w:rPr>
          <w:szCs w:val="24"/>
        </w:rPr>
        <w:t>,</w:t>
      </w:r>
      <w:r w:rsidRPr="000B1CB4">
        <w:rPr>
          <w:szCs w:val="24"/>
        </w:rPr>
        <w:t xml:space="preserve"> even when the marketer has</w:t>
      </w:r>
      <w:r w:rsidRPr="000B1CB4" w:rsidR="000354AA">
        <w:rPr>
          <w:szCs w:val="24"/>
        </w:rPr>
        <w:t xml:space="preserve"> opposed</w:t>
      </w:r>
      <w:r w:rsidRPr="000B1CB4">
        <w:rPr>
          <w:szCs w:val="24"/>
        </w:rPr>
        <w:t xml:space="preserve"> OCC’s participation.</w:t>
      </w:r>
      <w:r>
        <w:rPr>
          <w:rStyle w:val="FootnoteReference"/>
          <w:szCs w:val="24"/>
        </w:rPr>
        <w:footnoteReference w:id="20"/>
      </w:r>
      <w:r w:rsidRPr="000B1CB4" w:rsidR="00CA021D">
        <w:rPr>
          <w:szCs w:val="24"/>
        </w:rPr>
        <w:t xml:space="preserve"> The PUCO should grant OCC’s motion to intervene</w:t>
      </w:r>
      <w:r w:rsidRPr="000B1CB4" w:rsidR="000354AA">
        <w:rPr>
          <w:szCs w:val="24"/>
        </w:rPr>
        <w:t xml:space="preserve"> here</w:t>
      </w:r>
      <w:r w:rsidRPr="000B1CB4" w:rsidR="00CA021D">
        <w:rPr>
          <w:szCs w:val="24"/>
        </w:rPr>
        <w:t>.</w:t>
      </w:r>
      <w:r w:rsidRPr="000B1CB4">
        <w:rPr>
          <w:szCs w:val="24"/>
        </w:rPr>
        <w:t xml:space="preserve"> </w:t>
      </w:r>
    </w:p>
    <w:p w:rsidR="00B9438A" w:rsidRPr="000B1CB4" w:rsidP="00E275EF" w14:paraId="27F42C36" w14:textId="5A9789B7">
      <w:pPr>
        <w:pStyle w:val="Heading2"/>
        <w:rPr>
          <w:szCs w:val="24"/>
        </w:rPr>
      </w:pPr>
      <w:bookmarkStart w:id="8" w:name="_Toc30075657"/>
      <w:bookmarkStart w:id="9" w:name="_Toc103677693"/>
      <w:r w:rsidRPr="000B1CB4">
        <w:rPr>
          <w:szCs w:val="24"/>
        </w:rPr>
        <w:t>B</w:t>
      </w:r>
      <w:r w:rsidRPr="000B1CB4" w:rsidR="00C258C5">
        <w:rPr>
          <w:szCs w:val="24"/>
        </w:rPr>
        <w:t>.</w:t>
      </w:r>
      <w:r w:rsidRPr="000B1CB4" w:rsidR="00C258C5">
        <w:rPr>
          <w:szCs w:val="24"/>
        </w:rPr>
        <w:tab/>
      </w:r>
      <w:r w:rsidRPr="000B1CB4" w:rsidR="00F43C31">
        <w:rPr>
          <w:szCs w:val="24"/>
        </w:rPr>
        <w:t>OCC satisfies the standards for intervention in this proceeding</w:t>
      </w:r>
      <w:r w:rsidRPr="000B1CB4" w:rsidR="000A469D">
        <w:rPr>
          <w:szCs w:val="24"/>
        </w:rPr>
        <w:t xml:space="preserve"> and should be allowed to participate to protect consumers</w:t>
      </w:r>
      <w:r w:rsidRPr="000B1CB4" w:rsidR="00F43C31">
        <w:rPr>
          <w:szCs w:val="24"/>
        </w:rPr>
        <w:t>.</w:t>
      </w:r>
      <w:bookmarkEnd w:id="8"/>
      <w:bookmarkEnd w:id="9"/>
      <w:r w:rsidRPr="000B1CB4" w:rsidR="006A3710">
        <w:rPr>
          <w:szCs w:val="24"/>
        </w:rPr>
        <w:t xml:space="preserve"> </w:t>
      </w:r>
    </w:p>
    <w:p w:rsidR="00274EB5" w:rsidRPr="000B1CB4" w:rsidP="00CA021D" w14:paraId="2DEAA297" w14:textId="2EA3151B">
      <w:pPr>
        <w:pStyle w:val="BodyTextIndent3"/>
        <w:widowControl w:val="0"/>
        <w:spacing w:line="480" w:lineRule="auto"/>
        <w:rPr>
          <w:szCs w:val="24"/>
        </w:rPr>
      </w:pPr>
      <w:r w:rsidRPr="000B1CB4">
        <w:rPr>
          <w:szCs w:val="24"/>
        </w:rPr>
        <w:t>Green Choice argues</w:t>
      </w:r>
      <w:r w:rsidRPr="000B1CB4" w:rsidR="00CA021D">
        <w:rPr>
          <w:szCs w:val="24"/>
        </w:rPr>
        <w:t xml:space="preserve"> separately</w:t>
      </w:r>
      <w:r w:rsidRPr="000B1CB4">
        <w:rPr>
          <w:szCs w:val="24"/>
        </w:rPr>
        <w:t xml:space="preserve"> that</w:t>
      </w:r>
      <w:r w:rsidRPr="000B1CB4" w:rsidR="00CA021D">
        <w:rPr>
          <w:szCs w:val="24"/>
        </w:rPr>
        <w:t xml:space="preserve"> </w:t>
      </w:r>
      <w:r w:rsidRPr="000B1CB4">
        <w:rPr>
          <w:szCs w:val="24"/>
        </w:rPr>
        <w:t xml:space="preserve">OCC does not demonstrate that it satisfies the intervention standards of R.C. 4903.221 </w:t>
      </w:r>
      <w:r w:rsidRPr="000B1CB4" w:rsidR="00CA021D">
        <w:rPr>
          <w:szCs w:val="24"/>
        </w:rPr>
        <w:t>and</w:t>
      </w:r>
      <w:r w:rsidRPr="000B1CB4">
        <w:rPr>
          <w:szCs w:val="24"/>
        </w:rPr>
        <w:t xml:space="preserve"> O.A.C. 4901-1-11. </w:t>
      </w:r>
      <w:r w:rsidRPr="000B1CB4" w:rsidR="008331FF">
        <w:rPr>
          <w:szCs w:val="24"/>
        </w:rPr>
        <w:t xml:space="preserve">Green Choice argues that </w:t>
      </w:r>
      <w:r w:rsidRPr="000B1CB4" w:rsidR="006E6654">
        <w:rPr>
          <w:szCs w:val="24"/>
        </w:rPr>
        <w:t>OCC’s intervention will prejudice the existing parties and cause delay.</w:t>
      </w:r>
      <w:r>
        <w:rPr>
          <w:rStyle w:val="FootnoteReference"/>
          <w:szCs w:val="24"/>
        </w:rPr>
        <w:footnoteReference w:id="21"/>
      </w:r>
      <w:r w:rsidRPr="000B1CB4" w:rsidR="006E6654">
        <w:rPr>
          <w:szCs w:val="24"/>
        </w:rPr>
        <w:t xml:space="preserve"> </w:t>
      </w:r>
      <w:r w:rsidRPr="000B1CB4" w:rsidR="00E30BFC">
        <w:rPr>
          <w:szCs w:val="24"/>
        </w:rPr>
        <w:t xml:space="preserve">What Green Choice describes as prejudice and delay is what in America is known as </w:t>
      </w:r>
      <w:r w:rsidRPr="000B1CB4" w:rsidR="00E30BFC">
        <w:rPr>
          <w:i/>
          <w:iCs/>
          <w:szCs w:val="24"/>
        </w:rPr>
        <w:t>due process</w:t>
      </w:r>
      <w:r w:rsidRPr="000B1CB4" w:rsidR="00E30BFC">
        <w:rPr>
          <w:szCs w:val="24"/>
        </w:rPr>
        <w:t>. The Staff has accused Green Choice of deception that should be terminal for its certificate to operate in Ohio.</w:t>
      </w:r>
      <w:r w:rsidRPr="000B1CB4" w:rsidR="00841F00">
        <w:rPr>
          <w:szCs w:val="24"/>
        </w:rPr>
        <w:t xml:space="preserve"> Green Choice tries to play the victim but it’s bad job of acting.</w:t>
      </w:r>
      <w:r w:rsidRPr="000B1CB4" w:rsidR="00ED120B">
        <w:rPr>
          <w:szCs w:val="24"/>
        </w:rPr>
        <w:t xml:space="preserve"> </w:t>
      </w:r>
    </w:p>
    <w:p w:rsidR="00BA629D" w:rsidRPr="000B1CB4" w:rsidP="00CA021D" w14:paraId="003FA390" w14:textId="09D19AFA">
      <w:pPr>
        <w:pStyle w:val="BodyTextIndent3"/>
        <w:widowControl w:val="0"/>
        <w:spacing w:line="480" w:lineRule="auto"/>
        <w:rPr>
          <w:szCs w:val="24"/>
        </w:rPr>
      </w:pPr>
      <w:r w:rsidRPr="000B1CB4">
        <w:rPr>
          <w:szCs w:val="24"/>
        </w:rPr>
        <w:t>Moreover</w:t>
      </w:r>
      <w:r w:rsidRPr="000B1CB4" w:rsidR="000354AA">
        <w:rPr>
          <w:szCs w:val="24"/>
        </w:rPr>
        <w:t xml:space="preserve">, the </w:t>
      </w:r>
      <w:r w:rsidRPr="000B1CB4" w:rsidR="006E6654">
        <w:rPr>
          <w:szCs w:val="24"/>
        </w:rPr>
        <w:t>PUCO rejected similar arguments in the PALMco 2 and SFE Investigations</w:t>
      </w:r>
      <w:r w:rsidRPr="000B1CB4" w:rsidR="00274EB5">
        <w:rPr>
          <w:szCs w:val="24"/>
        </w:rPr>
        <w:t>.</w:t>
      </w:r>
      <w:r>
        <w:rPr>
          <w:rStyle w:val="FootnoteReference"/>
          <w:szCs w:val="24"/>
        </w:rPr>
        <w:footnoteReference w:id="22"/>
      </w:r>
      <w:r w:rsidRPr="000B1CB4" w:rsidR="006E6654">
        <w:rPr>
          <w:szCs w:val="24"/>
        </w:rPr>
        <w:t xml:space="preserve"> </w:t>
      </w:r>
      <w:r w:rsidRPr="000B1CB4" w:rsidR="00274EB5">
        <w:rPr>
          <w:szCs w:val="24"/>
        </w:rPr>
        <w:t>A</w:t>
      </w:r>
      <w:r w:rsidRPr="000B1CB4" w:rsidR="006E6654">
        <w:rPr>
          <w:szCs w:val="24"/>
        </w:rPr>
        <w:t xml:space="preserve">nd it should reject Green Choice’s arguments </w:t>
      </w:r>
      <w:r w:rsidRPr="000B1CB4" w:rsidR="000354AA">
        <w:rPr>
          <w:szCs w:val="24"/>
        </w:rPr>
        <w:t>too</w:t>
      </w:r>
      <w:r w:rsidRPr="000B1CB4" w:rsidR="006E6654">
        <w:rPr>
          <w:szCs w:val="24"/>
        </w:rPr>
        <w:t>.</w:t>
      </w:r>
    </w:p>
    <w:p w:rsidR="00BE4041" w:rsidRPr="000B1CB4" w:rsidP="00BE4041" w14:paraId="4FDCB290" w14:textId="21AE01A9">
      <w:pPr>
        <w:pStyle w:val="BodyTextIndent3"/>
        <w:widowControl w:val="0"/>
        <w:spacing w:line="480" w:lineRule="auto"/>
        <w:rPr>
          <w:szCs w:val="24"/>
        </w:rPr>
      </w:pPr>
      <w:r w:rsidRPr="000B1CB4">
        <w:rPr>
          <w:szCs w:val="24"/>
        </w:rPr>
        <w:t>Intervention in PUC</w:t>
      </w:r>
      <w:r w:rsidRPr="000B1CB4" w:rsidR="0020533C">
        <w:rPr>
          <w:szCs w:val="24"/>
        </w:rPr>
        <w:t xml:space="preserve">O proceedings is governed by </w:t>
      </w:r>
      <w:r w:rsidRPr="000B1CB4">
        <w:rPr>
          <w:szCs w:val="24"/>
        </w:rPr>
        <w:t xml:space="preserve">R.C. 4903.221. That statute expressly states that “[a]ny other person who may be adversely affected by a public utilities commission proceeding may intervene in such proceeding, provided []” that the motion to intervene is timely filed in accordance with R.C. 4903.221(A) and that the PUCO considers the criteria set forth in R.C. 4903.221(B). The Supreme Court of Ohio has held that “intervention ought to be </w:t>
      </w:r>
      <w:r w:rsidRPr="000B1CB4">
        <w:rPr>
          <w:bCs/>
          <w:i/>
          <w:iCs/>
          <w:szCs w:val="24"/>
        </w:rPr>
        <w:t>liberally allowed</w:t>
      </w:r>
      <w:r w:rsidRPr="000B1CB4">
        <w:rPr>
          <w:szCs w:val="24"/>
        </w:rPr>
        <w:t xml:space="preserve"> so that the positions of all persons with a real and substantial interest in the proceedings can be considered by the PUCO.”</w:t>
      </w:r>
      <w:r>
        <w:rPr>
          <w:rStyle w:val="FootnoteReference"/>
          <w:szCs w:val="24"/>
        </w:rPr>
        <w:footnoteReference w:id="23"/>
      </w:r>
      <w:r w:rsidRPr="000B1CB4">
        <w:rPr>
          <w:szCs w:val="24"/>
        </w:rPr>
        <w:t xml:space="preserve"> In the “absence of some evidence in the record calling those claims into doubt or showing that intervention would unduly prolong or delay the proceedings, intervention should [be] granted.”</w:t>
      </w:r>
      <w:r>
        <w:rPr>
          <w:rStyle w:val="FootnoteReference"/>
          <w:szCs w:val="24"/>
        </w:rPr>
        <w:footnoteReference w:id="24"/>
      </w:r>
      <w:r w:rsidRPr="000B1CB4" w:rsidR="00ED120B">
        <w:rPr>
          <w:szCs w:val="24"/>
        </w:rPr>
        <w:t xml:space="preserve"> </w:t>
      </w:r>
    </w:p>
    <w:p w:rsidR="00C35C7E" w:rsidRPr="000B1CB4" w:rsidP="0015682E" w14:paraId="6203FCE8" w14:textId="1F7C1AA7">
      <w:pPr>
        <w:pStyle w:val="BodyTextIndent3"/>
        <w:spacing w:line="480" w:lineRule="auto"/>
        <w:rPr>
          <w:szCs w:val="24"/>
        </w:rPr>
      </w:pPr>
      <w:r w:rsidRPr="000B1CB4">
        <w:rPr>
          <w:szCs w:val="24"/>
        </w:rPr>
        <w:t>OCC’s motion to intervene demonstrates that it meets the criteria set forth in R.C. 4903.221 and the precedent established by the Supreme Court of Ohio for intervention. After investigating 35 consumer contacts regarding Green Choice, the PUCO Staff “identified a pattern of misleading and deceptive practices in both [Green Choice’s] door-to-door and telephonic sales practices.”</w:t>
      </w:r>
      <w:r>
        <w:rPr>
          <w:rStyle w:val="FootnoteReference"/>
          <w:szCs w:val="24"/>
        </w:rPr>
        <w:footnoteReference w:id="25"/>
      </w:r>
      <w:r w:rsidRPr="000B1CB4">
        <w:rPr>
          <w:szCs w:val="24"/>
        </w:rPr>
        <w:t xml:space="preserve"> Particularly egregious practices by Green Choice include but are not limited to: spoofing (tricking consumers by using fake Caller ID information); manipulating third party verification calls to misrepresent proper customer consent; initialing (signing) written contracts for the consumer when there was no consent; and misrepresenting itself to consumers as the public utility.</w:t>
      </w:r>
      <w:r>
        <w:rPr>
          <w:rStyle w:val="FootnoteReference"/>
          <w:szCs w:val="24"/>
        </w:rPr>
        <w:footnoteReference w:id="26"/>
      </w:r>
      <w:r w:rsidRPr="000B1CB4">
        <w:rPr>
          <w:szCs w:val="24"/>
        </w:rPr>
        <w:t xml:space="preserve"> The PUCO Staff also found that Green Choice resumed door-to-door marketing during the coronavirus pandemic without notifying the PUCO in violation of the PUCO’s orders in Case No. 20-591-AU-UNC.</w:t>
      </w:r>
      <w:r>
        <w:rPr>
          <w:rStyle w:val="FootnoteReference"/>
          <w:szCs w:val="24"/>
        </w:rPr>
        <w:footnoteReference w:id="27"/>
      </w:r>
      <w:r w:rsidRPr="000B1CB4">
        <w:rPr>
          <w:szCs w:val="24"/>
        </w:rPr>
        <w:t xml:space="preserve"> </w:t>
      </w:r>
      <w:r w:rsidRPr="000B1CB4" w:rsidR="00406DF4">
        <w:rPr>
          <w:szCs w:val="24"/>
        </w:rPr>
        <w:t>T</w:t>
      </w:r>
      <w:r w:rsidRPr="000B1CB4">
        <w:rPr>
          <w:szCs w:val="24"/>
        </w:rPr>
        <w:t>here can no doubt that Ohio’s residential consumers “may be adversely affected</w:t>
      </w:r>
      <w:r w:rsidRPr="000B1CB4" w:rsidR="00CA021D">
        <w:rPr>
          <w:szCs w:val="24"/>
        </w:rPr>
        <w:t>”</w:t>
      </w:r>
      <w:r w:rsidRPr="000B1CB4" w:rsidR="00406DF4">
        <w:rPr>
          <w:szCs w:val="24"/>
        </w:rPr>
        <w:t xml:space="preserve"> if they are not allowed to be heard through OCC in this investigation.</w:t>
      </w:r>
      <w:r w:rsidRPr="000B1CB4" w:rsidR="00841F00">
        <w:rPr>
          <w:szCs w:val="24"/>
        </w:rPr>
        <w:t xml:space="preserve"> In reality, it seems consumers would be adversely affected if the PUCO fails to kick Green Choice out of Ohio.</w:t>
      </w:r>
    </w:p>
    <w:p w:rsidR="00D66B1F" w:rsidRPr="000B1CB4" w:rsidP="001B409B" w14:paraId="07ADFA09" w14:textId="6D8E32CD">
      <w:pPr>
        <w:pStyle w:val="BodyTextIndent3"/>
        <w:spacing w:line="480" w:lineRule="auto"/>
        <w:rPr>
          <w:szCs w:val="24"/>
        </w:rPr>
      </w:pPr>
      <w:r w:rsidRPr="000B1CB4">
        <w:rPr>
          <w:szCs w:val="24"/>
        </w:rPr>
        <w:t xml:space="preserve">Green Choice </w:t>
      </w:r>
      <w:r w:rsidRPr="000B1CB4" w:rsidR="00C258C5">
        <w:rPr>
          <w:szCs w:val="24"/>
        </w:rPr>
        <w:t>claims that OCC’s intervention in this case wou</w:t>
      </w:r>
      <w:r w:rsidRPr="000B1CB4">
        <w:rPr>
          <w:szCs w:val="24"/>
        </w:rPr>
        <w:t>ld prejudice the existing parties and</w:t>
      </w:r>
      <w:r w:rsidRPr="000B1CB4" w:rsidR="00C258C5">
        <w:rPr>
          <w:szCs w:val="24"/>
        </w:rPr>
        <w:t xml:space="preserve"> </w:t>
      </w:r>
      <w:r w:rsidRPr="000B1CB4" w:rsidR="00C0712A">
        <w:rPr>
          <w:szCs w:val="24"/>
        </w:rPr>
        <w:t>unduly prolong or delay the proceedings.</w:t>
      </w:r>
      <w:r>
        <w:rPr>
          <w:rStyle w:val="FootnoteReference"/>
          <w:szCs w:val="24"/>
        </w:rPr>
        <w:footnoteReference w:id="28"/>
      </w:r>
      <w:r w:rsidRPr="000B1CB4" w:rsidR="00C0712A">
        <w:rPr>
          <w:szCs w:val="24"/>
        </w:rPr>
        <w:t xml:space="preserve"> That argument should also be rejected. </w:t>
      </w:r>
      <w:r w:rsidRPr="000B1CB4">
        <w:rPr>
          <w:szCs w:val="24"/>
        </w:rPr>
        <w:t xml:space="preserve">The PUCO previously granted Green Choice the </w:t>
      </w:r>
      <w:r w:rsidRPr="000B1CB4">
        <w:rPr>
          <w:i/>
          <w:iCs/>
          <w:szCs w:val="24"/>
        </w:rPr>
        <w:t xml:space="preserve">privilege </w:t>
      </w:r>
      <w:r w:rsidRPr="000B1CB4">
        <w:rPr>
          <w:szCs w:val="24"/>
        </w:rPr>
        <w:t>of marketing energy to Ohio consumers. And i</w:t>
      </w:r>
      <w:r w:rsidRPr="000B1CB4" w:rsidR="00C0712A">
        <w:rPr>
          <w:szCs w:val="24"/>
        </w:rPr>
        <w:t>t</w:t>
      </w:r>
      <w:r w:rsidRPr="000B1CB4" w:rsidR="00F16104">
        <w:rPr>
          <w:szCs w:val="24"/>
        </w:rPr>
        <w:t xml:space="preserve"> is</w:t>
      </w:r>
      <w:r w:rsidRPr="000B1CB4">
        <w:rPr>
          <w:szCs w:val="24"/>
        </w:rPr>
        <w:t xml:space="preserve"> Green Choice’s</w:t>
      </w:r>
      <w:r w:rsidRPr="000B1CB4">
        <w:rPr>
          <w:szCs w:val="24"/>
        </w:rPr>
        <w:t xml:space="preserve"> alleged</w:t>
      </w:r>
      <w:r w:rsidRPr="000B1CB4" w:rsidR="00F16104">
        <w:rPr>
          <w:szCs w:val="24"/>
        </w:rPr>
        <w:t xml:space="preserve"> </w:t>
      </w:r>
      <w:r w:rsidRPr="000B1CB4" w:rsidR="004D241F">
        <w:rPr>
          <w:szCs w:val="24"/>
        </w:rPr>
        <w:t xml:space="preserve">“pervasive” and abusive </w:t>
      </w:r>
      <w:r w:rsidRPr="000B1CB4" w:rsidR="00F16104">
        <w:rPr>
          <w:szCs w:val="24"/>
        </w:rPr>
        <w:t>conduct that prompted</w:t>
      </w:r>
      <w:r w:rsidRPr="000B1CB4" w:rsidR="001B409B">
        <w:rPr>
          <w:szCs w:val="24"/>
        </w:rPr>
        <w:t xml:space="preserve"> the</w:t>
      </w:r>
      <w:r w:rsidRPr="000B1CB4" w:rsidR="00F16104">
        <w:rPr>
          <w:szCs w:val="24"/>
        </w:rPr>
        <w:t xml:space="preserve"> PUCO Staff</w:t>
      </w:r>
      <w:r w:rsidRPr="000B1CB4" w:rsidR="00F7671D">
        <w:rPr>
          <w:szCs w:val="24"/>
        </w:rPr>
        <w:t xml:space="preserve"> to request </w:t>
      </w:r>
      <w:r w:rsidRPr="000B1CB4" w:rsidR="00406DF4">
        <w:rPr>
          <w:szCs w:val="24"/>
        </w:rPr>
        <w:t xml:space="preserve">a </w:t>
      </w:r>
      <w:r w:rsidRPr="000B1CB4" w:rsidR="00F7671D">
        <w:rPr>
          <w:szCs w:val="24"/>
        </w:rPr>
        <w:t xml:space="preserve">PUCO investigation into Green Choice’s </w:t>
      </w:r>
      <w:r w:rsidRPr="000B1CB4">
        <w:rPr>
          <w:szCs w:val="24"/>
        </w:rPr>
        <w:t xml:space="preserve">mistreatment </w:t>
      </w:r>
      <w:r w:rsidRPr="000B1CB4" w:rsidR="00F7671D">
        <w:rPr>
          <w:szCs w:val="24"/>
        </w:rPr>
        <w:t>of consumers</w:t>
      </w:r>
      <w:r w:rsidRPr="000B1CB4" w:rsidR="00C0712A">
        <w:rPr>
          <w:szCs w:val="24"/>
        </w:rPr>
        <w:t>.</w:t>
      </w:r>
      <w:r>
        <w:rPr>
          <w:rStyle w:val="FootnoteReference"/>
          <w:szCs w:val="24"/>
        </w:rPr>
        <w:footnoteReference w:id="29"/>
      </w:r>
      <w:r w:rsidRPr="000B1CB4" w:rsidR="00F16104">
        <w:rPr>
          <w:szCs w:val="24"/>
        </w:rPr>
        <w:t xml:space="preserve"> </w:t>
      </w:r>
    </w:p>
    <w:p w:rsidR="000524E0" w:rsidRPr="000B1CB4" w:rsidP="001B409B" w14:paraId="1A7749C4" w14:textId="36C78FA4">
      <w:pPr>
        <w:pStyle w:val="BodyTextIndent3"/>
        <w:spacing w:line="480" w:lineRule="auto"/>
        <w:rPr>
          <w:szCs w:val="24"/>
        </w:rPr>
      </w:pPr>
      <w:r w:rsidRPr="000B1CB4">
        <w:rPr>
          <w:szCs w:val="24"/>
        </w:rPr>
        <w:t>Indeed, d</w:t>
      </w:r>
      <w:r w:rsidRPr="000B1CB4" w:rsidR="00F7671D">
        <w:rPr>
          <w:szCs w:val="24"/>
        </w:rPr>
        <w:t>espite what Green Choice represents as “a lengthy Staff investigation [that] preceded the commencement of this action</w:t>
      </w:r>
      <w:r w:rsidRPr="000B1CB4" w:rsidR="004D241F">
        <w:rPr>
          <w:szCs w:val="24"/>
        </w:rPr>
        <w:t>,”</w:t>
      </w:r>
      <w:r>
        <w:rPr>
          <w:rStyle w:val="FootnoteReference"/>
          <w:szCs w:val="24"/>
        </w:rPr>
        <w:footnoteReference w:id="30"/>
      </w:r>
      <w:r w:rsidRPr="000B1CB4" w:rsidR="004D241F">
        <w:rPr>
          <w:szCs w:val="24"/>
        </w:rPr>
        <w:t xml:space="preserve"> the PUCO Staff</w:t>
      </w:r>
      <w:r w:rsidRPr="000B1CB4">
        <w:rPr>
          <w:szCs w:val="24"/>
        </w:rPr>
        <w:t xml:space="preserve"> </w:t>
      </w:r>
      <w:r w:rsidRPr="000B1CB4">
        <w:rPr>
          <w:i/>
          <w:iCs/>
          <w:szCs w:val="24"/>
        </w:rPr>
        <w:t>still</w:t>
      </w:r>
      <w:r w:rsidRPr="000B1CB4" w:rsidR="004D241F">
        <w:rPr>
          <w:szCs w:val="24"/>
        </w:rPr>
        <w:t xml:space="preserve"> “continues to receive contacts from [Green Choice’s]</w:t>
      </w:r>
      <w:r w:rsidRPr="000B1CB4" w:rsidR="007F40A0">
        <w:rPr>
          <w:szCs w:val="24"/>
        </w:rPr>
        <w:t xml:space="preserve"> customers.”</w:t>
      </w:r>
      <w:r>
        <w:rPr>
          <w:rStyle w:val="FootnoteReference"/>
          <w:szCs w:val="24"/>
        </w:rPr>
        <w:footnoteReference w:id="31"/>
      </w:r>
      <w:r w:rsidRPr="000B1CB4" w:rsidR="00532D71">
        <w:rPr>
          <w:szCs w:val="24"/>
        </w:rPr>
        <w:t xml:space="preserve"> Green Choice </w:t>
      </w:r>
      <w:r w:rsidRPr="000B1CB4" w:rsidR="00D66B1F">
        <w:rPr>
          <w:szCs w:val="24"/>
        </w:rPr>
        <w:t>has no basis in law or reason to</w:t>
      </w:r>
      <w:r w:rsidRPr="000B1CB4" w:rsidR="00532D71">
        <w:rPr>
          <w:szCs w:val="24"/>
        </w:rPr>
        <w:t xml:space="preserve"> complain </w:t>
      </w:r>
      <w:r w:rsidRPr="000B1CB4">
        <w:rPr>
          <w:szCs w:val="24"/>
        </w:rPr>
        <w:t>about</w:t>
      </w:r>
      <w:r w:rsidRPr="000B1CB4" w:rsidR="00532D71">
        <w:rPr>
          <w:szCs w:val="24"/>
        </w:rPr>
        <w:t xml:space="preserve"> OCC</w:t>
      </w:r>
      <w:r w:rsidRPr="000B1CB4">
        <w:rPr>
          <w:szCs w:val="24"/>
        </w:rPr>
        <w:t>’s motion to</w:t>
      </w:r>
      <w:r w:rsidRPr="000B1CB4" w:rsidR="00532D71">
        <w:rPr>
          <w:szCs w:val="24"/>
        </w:rPr>
        <w:t xml:space="preserve"> intervene to give </w:t>
      </w:r>
      <w:r w:rsidRPr="000B1CB4">
        <w:rPr>
          <w:szCs w:val="24"/>
        </w:rPr>
        <w:t xml:space="preserve">residential </w:t>
      </w:r>
      <w:r w:rsidRPr="000B1CB4" w:rsidR="00873C35">
        <w:rPr>
          <w:szCs w:val="24"/>
        </w:rPr>
        <w:t xml:space="preserve">consumers </w:t>
      </w:r>
      <w:r w:rsidRPr="000B1CB4">
        <w:rPr>
          <w:szCs w:val="24"/>
        </w:rPr>
        <w:t>a</w:t>
      </w:r>
      <w:r w:rsidRPr="000B1CB4" w:rsidR="00873C35">
        <w:rPr>
          <w:szCs w:val="24"/>
        </w:rPr>
        <w:t xml:space="preserve"> voice in this investigation.</w:t>
      </w:r>
    </w:p>
    <w:p w:rsidR="009954CB" w:rsidRPr="000B1CB4" w:rsidP="00873C35" w14:paraId="5A4F23EA" w14:textId="29263D1E">
      <w:pPr>
        <w:pStyle w:val="BodyTextIndent3"/>
        <w:spacing w:line="480" w:lineRule="auto"/>
        <w:rPr>
          <w:szCs w:val="24"/>
        </w:rPr>
      </w:pPr>
      <w:r w:rsidRPr="000B1CB4">
        <w:rPr>
          <w:szCs w:val="24"/>
        </w:rPr>
        <w:t>Green Choice’s claims that OCC’s intervention</w:t>
      </w:r>
      <w:r w:rsidRPr="000B1CB4" w:rsidR="00C258C5">
        <w:rPr>
          <w:szCs w:val="24"/>
        </w:rPr>
        <w:t xml:space="preserve"> will unduly prolong the proceedings are </w:t>
      </w:r>
      <w:r w:rsidRPr="000B1CB4">
        <w:rPr>
          <w:szCs w:val="24"/>
        </w:rPr>
        <w:t xml:space="preserve">also </w:t>
      </w:r>
      <w:r w:rsidRPr="000B1CB4" w:rsidR="00C258C5">
        <w:rPr>
          <w:szCs w:val="24"/>
        </w:rPr>
        <w:t xml:space="preserve">unjustified. </w:t>
      </w:r>
      <w:r w:rsidRPr="000B1CB4" w:rsidR="00AD06BE">
        <w:rPr>
          <w:szCs w:val="24"/>
        </w:rPr>
        <w:t>I</w:t>
      </w:r>
      <w:r w:rsidRPr="000B1CB4" w:rsidR="000524E0">
        <w:rPr>
          <w:szCs w:val="24"/>
        </w:rPr>
        <w:t>f</w:t>
      </w:r>
      <w:r w:rsidRPr="000B1CB4" w:rsidR="00690646">
        <w:rPr>
          <w:szCs w:val="24"/>
        </w:rPr>
        <w:t xml:space="preserve"> this case does not get resolved as </w:t>
      </w:r>
      <w:r w:rsidRPr="000B1CB4" w:rsidR="00231BA4">
        <w:rPr>
          <w:szCs w:val="24"/>
        </w:rPr>
        <w:t>quickly</w:t>
      </w:r>
      <w:r w:rsidRPr="000B1CB4" w:rsidR="00690646">
        <w:rPr>
          <w:szCs w:val="24"/>
        </w:rPr>
        <w:t xml:space="preserve"> as</w:t>
      </w:r>
      <w:r w:rsidRPr="000B1CB4" w:rsidR="00231BA4">
        <w:rPr>
          <w:szCs w:val="24"/>
        </w:rPr>
        <w:t xml:space="preserve"> </w:t>
      </w:r>
      <w:r w:rsidRPr="000B1CB4">
        <w:rPr>
          <w:szCs w:val="24"/>
        </w:rPr>
        <w:t>Green Choice</w:t>
      </w:r>
      <w:r w:rsidRPr="000B1CB4" w:rsidR="00231BA4">
        <w:rPr>
          <w:szCs w:val="24"/>
        </w:rPr>
        <w:t xml:space="preserve"> would like</w:t>
      </w:r>
      <w:r w:rsidRPr="000B1CB4" w:rsidR="00690646">
        <w:rPr>
          <w:szCs w:val="24"/>
        </w:rPr>
        <w:t xml:space="preserve">, that is not an </w:t>
      </w:r>
      <w:r w:rsidRPr="000B1CB4" w:rsidR="00690646">
        <w:rPr>
          <w:i/>
          <w:iCs/>
          <w:szCs w:val="24"/>
        </w:rPr>
        <w:t>undue</w:t>
      </w:r>
      <w:r w:rsidRPr="000B1CB4" w:rsidR="00690646">
        <w:rPr>
          <w:szCs w:val="24"/>
        </w:rPr>
        <w:t xml:space="preserve"> delay</w:t>
      </w:r>
      <w:r w:rsidRPr="000B1CB4" w:rsidR="002622B5">
        <w:rPr>
          <w:szCs w:val="24"/>
        </w:rPr>
        <w:t>.</w:t>
      </w:r>
      <w:r w:rsidRPr="000B1CB4" w:rsidR="00D66B1F">
        <w:rPr>
          <w:szCs w:val="24"/>
        </w:rPr>
        <w:t xml:space="preserve"> That is due process.</w:t>
      </w:r>
      <w:r w:rsidRPr="000B1CB4" w:rsidR="00690646">
        <w:rPr>
          <w:szCs w:val="24"/>
        </w:rPr>
        <w:t xml:space="preserve"> </w:t>
      </w:r>
      <w:r w:rsidRPr="000B1CB4" w:rsidR="00822AAC">
        <w:rPr>
          <w:szCs w:val="24"/>
        </w:rPr>
        <w:t>A</w:t>
      </w:r>
      <w:r w:rsidRPr="000B1CB4" w:rsidR="00C0712A">
        <w:rPr>
          <w:szCs w:val="24"/>
        </w:rPr>
        <w:t xml:space="preserve">s OCC explained in its </w:t>
      </w:r>
      <w:r w:rsidRPr="000B1CB4" w:rsidR="003F44AC">
        <w:rPr>
          <w:szCs w:val="24"/>
        </w:rPr>
        <w:t>m</w:t>
      </w:r>
      <w:r w:rsidRPr="000B1CB4" w:rsidR="00C0712A">
        <w:rPr>
          <w:szCs w:val="24"/>
        </w:rPr>
        <w:t xml:space="preserve">otion to </w:t>
      </w:r>
      <w:r w:rsidRPr="000B1CB4" w:rsidR="003F44AC">
        <w:rPr>
          <w:szCs w:val="24"/>
        </w:rPr>
        <w:t>i</w:t>
      </w:r>
      <w:r w:rsidRPr="000B1CB4" w:rsidR="00C0712A">
        <w:rPr>
          <w:szCs w:val="24"/>
        </w:rPr>
        <w:t>ntervene, OCC’s longstanding expertise and experience in PUCO proceedings</w:t>
      </w:r>
      <w:r w:rsidRPr="000B1CB4">
        <w:rPr>
          <w:szCs w:val="24"/>
        </w:rPr>
        <w:t>, and marketer investigations specifically,</w:t>
      </w:r>
      <w:r w:rsidRPr="000B1CB4" w:rsidR="00C0712A">
        <w:rPr>
          <w:szCs w:val="24"/>
        </w:rPr>
        <w:t xml:space="preserve"> will duly allow for the efficient processing of the case with consideration of the public interest.</w:t>
      </w:r>
    </w:p>
    <w:p w:rsidR="00D015D0" w:rsidRPr="000B1CB4" w:rsidP="0049214A" w14:paraId="18AF0AF6" w14:textId="77777777">
      <w:pPr>
        <w:pStyle w:val="BodyTextIndent3"/>
        <w:spacing w:line="480" w:lineRule="auto"/>
        <w:rPr>
          <w:szCs w:val="24"/>
        </w:rPr>
      </w:pPr>
      <w:r w:rsidRPr="000B1CB4">
        <w:rPr>
          <w:szCs w:val="24"/>
        </w:rPr>
        <w:t xml:space="preserve">Finally, </w:t>
      </w:r>
      <w:r w:rsidRPr="000B1CB4" w:rsidR="000526F0">
        <w:rPr>
          <w:szCs w:val="24"/>
        </w:rPr>
        <w:t>Green Choice</w:t>
      </w:r>
      <w:r w:rsidRPr="000B1CB4" w:rsidR="00822AAC">
        <w:rPr>
          <w:szCs w:val="24"/>
        </w:rPr>
        <w:t xml:space="preserve"> disputes that OCC will</w:t>
      </w:r>
      <w:r w:rsidRPr="000B1CB4">
        <w:rPr>
          <w:szCs w:val="24"/>
        </w:rPr>
        <w:t xml:space="preserve"> significantly contribute to the full development and equitable resolution of the factual issues</w:t>
      </w:r>
      <w:r w:rsidRPr="000B1CB4" w:rsidR="00822AAC">
        <w:rPr>
          <w:szCs w:val="24"/>
        </w:rPr>
        <w:t xml:space="preserve"> in this case</w:t>
      </w:r>
      <w:r w:rsidRPr="000B1CB4">
        <w:rPr>
          <w:szCs w:val="24"/>
        </w:rPr>
        <w:t>.</w:t>
      </w:r>
      <w:r>
        <w:rPr>
          <w:rStyle w:val="FootnoteReference"/>
          <w:szCs w:val="24"/>
        </w:rPr>
        <w:footnoteReference w:id="32"/>
      </w:r>
      <w:r w:rsidRPr="000B1CB4" w:rsidR="007C26AC">
        <w:rPr>
          <w:szCs w:val="24"/>
        </w:rPr>
        <w:t xml:space="preserve"> Green Choice’s arguments should be rejected.</w:t>
      </w:r>
      <w:r w:rsidRPr="000B1CB4" w:rsidR="00822AAC">
        <w:rPr>
          <w:szCs w:val="24"/>
        </w:rPr>
        <w:t xml:space="preserve"> </w:t>
      </w:r>
      <w:r w:rsidRPr="000B1CB4" w:rsidR="007C26AC">
        <w:rPr>
          <w:szCs w:val="24"/>
        </w:rPr>
        <w:t xml:space="preserve">Green Choice states that it has been “going back-and-forth [with PUCO Staff] over matters addressed in the notice of probable noncompliance for </w:t>
      </w:r>
      <w:r w:rsidRPr="000B1CB4" w:rsidR="007C26AC">
        <w:rPr>
          <w:b/>
          <w:bCs/>
          <w:i/>
          <w:iCs/>
          <w:szCs w:val="24"/>
        </w:rPr>
        <w:t>well over a year</w:t>
      </w:r>
      <w:r w:rsidRPr="000B1CB4" w:rsidR="007C26AC">
        <w:rPr>
          <w:szCs w:val="24"/>
        </w:rPr>
        <w:t>.”</w:t>
      </w:r>
      <w:r>
        <w:rPr>
          <w:rStyle w:val="FootnoteReference"/>
          <w:szCs w:val="24"/>
        </w:rPr>
        <w:footnoteReference w:id="33"/>
      </w:r>
      <w:r w:rsidRPr="000B1CB4" w:rsidR="005A284D">
        <w:rPr>
          <w:szCs w:val="24"/>
        </w:rPr>
        <w:t xml:space="preserve"> </w:t>
      </w:r>
      <w:r w:rsidRPr="000B1CB4">
        <w:rPr>
          <w:szCs w:val="24"/>
        </w:rPr>
        <w:t xml:space="preserve">If so, what a sad turn of events for consumers that Green Choice has been allowed to continue operating during that time, if the allegations are true. </w:t>
      </w:r>
    </w:p>
    <w:p w:rsidR="001C2403" w:rsidRPr="000B1CB4" w:rsidP="0049214A" w14:paraId="08669DA1" w14:textId="4662E20E">
      <w:pPr>
        <w:pStyle w:val="BodyTextIndent3"/>
        <w:spacing w:line="480" w:lineRule="auto"/>
        <w:rPr>
          <w:szCs w:val="24"/>
        </w:rPr>
      </w:pPr>
      <w:r w:rsidRPr="000B1CB4">
        <w:rPr>
          <w:szCs w:val="24"/>
        </w:rPr>
        <w:t xml:space="preserve">The </w:t>
      </w:r>
      <w:r w:rsidRPr="000B1CB4" w:rsidR="00822AAC">
        <w:rPr>
          <w:szCs w:val="24"/>
        </w:rPr>
        <w:t>PUCO Staff</w:t>
      </w:r>
      <w:r w:rsidRPr="000B1CB4" w:rsidR="00C258C5">
        <w:rPr>
          <w:szCs w:val="24"/>
        </w:rPr>
        <w:t>’s</w:t>
      </w:r>
      <w:r w:rsidRPr="000B1CB4" w:rsidR="00822AAC">
        <w:rPr>
          <w:szCs w:val="24"/>
        </w:rPr>
        <w:t xml:space="preserve"> </w:t>
      </w:r>
      <w:r w:rsidRPr="000B1CB4" w:rsidR="00DC7ADF">
        <w:rPr>
          <w:szCs w:val="24"/>
        </w:rPr>
        <w:t xml:space="preserve">efforts thus far to </w:t>
      </w:r>
      <w:r w:rsidRPr="000B1CB4" w:rsidR="007A7029">
        <w:rPr>
          <w:szCs w:val="24"/>
        </w:rPr>
        <w:t>investigat</w:t>
      </w:r>
      <w:r w:rsidRPr="000B1CB4" w:rsidR="00DC7ADF">
        <w:rPr>
          <w:szCs w:val="24"/>
        </w:rPr>
        <w:t>e</w:t>
      </w:r>
      <w:r w:rsidRPr="000B1CB4" w:rsidR="00D015D0">
        <w:rPr>
          <w:szCs w:val="24"/>
        </w:rPr>
        <w:t xml:space="preserve"> its allegations of</w:t>
      </w:r>
      <w:r w:rsidRPr="000B1CB4">
        <w:rPr>
          <w:szCs w:val="24"/>
        </w:rPr>
        <w:t xml:space="preserve"> Green Choice’s abuse</w:t>
      </w:r>
      <w:r w:rsidRPr="000B1CB4" w:rsidR="005A284D">
        <w:rPr>
          <w:szCs w:val="24"/>
        </w:rPr>
        <w:t xml:space="preserve"> of consumers</w:t>
      </w:r>
      <w:r w:rsidRPr="000B1CB4">
        <w:rPr>
          <w:szCs w:val="24"/>
        </w:rPr>
        <w:t xml:space="preserve"> ha</w:t>
      </w:r>
      <w:r w:rsidRPr="000B1CB4" w:rsidR="00AD06BE">
        <w:rPr>
          <w:szCs w:val="24"/>
        </w:rPr>
        <w:t>ve</w:t>
      </w:r>
      <w:r w:rsidRPr="000B1CB4">
        <w:rPr>
          <w:szCs w:val="24"/>
        </w:rPr>
        <w:t xml:space="preserve"> been </w:t>
      </w:r>
      <w:r w:rsidRPr="000B1CB4" w:rsidR="00A709F3">
        <w:rPr>
          <w:szCs w:val="24"/>
        </w:rPr>
        <w:t>commendable</w:t>
      </w:r>
      <w:r w:rsidRPr="000B1CB4" w:rsidR="00D015D0">
        <w:rPr>
          <w:szCs w:val="24"/>
        </w:rPr>
        <w:t>.</w:t>
      </w:r>
      <w:r w:rsidRPr="000B1CB4">
        <w:rPr>
          <w:szCs w:val="24"/>
        </w:rPr>
        <w:t xml:space="preserve"> </w:t>
      </w:r>
      <w:r w:rsidRPr="000B1CB4" w:rsidR="00D015D0">
        <w:rPr>
          <w:szCs w:val="24"/>
        </w:rPr>
        <w:t xml:space="preserve">Now </w:t>
      </w:r>
      <w:r w:rsidRPr="000B1CB4">
        <w:rPr>
          <w:szCs w:val="24"/>
        </w:rPr>
        <w:t>the PUCO Staff determined that it was necessary for the PUCO to initiate an investigation to resolve the matter. The PUCO did just that in its April 20 Entry, which invited motions to intervene, and set a date for</w:t>
      </w:r>
      <w:r w:rsidRPr="000B1CB4" w:rsidR="004E6536">
        <w:rPr>
          <w:szCs w:val="24"/>
        </w:rPr>
        <w:t xml:space="preserve"> testimony and</w:t>
      </w:r>
      <w:r w:rsidRPr="000B1CB4">
        <w:rPr>
          <w:szCs w:val="24"/>
        </w:rPr>
        <w:t xml:space="preserve"> an evidentiary hearing</w:t>
      </w:r>
      <w:r w:rsidRPr="000B1CB4" w:rsidR="00AF4F13">
        <w:rPr>
          <w:szCs w:val="24"/>
        </w:rPr>
        <w:t>. OCC’s intervention and participation in this investigation will help fully develop and resolve the factual issues. OCC’s motion to intervene should be granted.</w:t>
      </w:r>
    </w:p>
    <w:p w:rsidR="0098629F" w:rsidRPr="000B1CB4" w:rsidP="0098629F" w14:paraId="578109A3" w14:textId="77777777">
      <w:pPr>
        <w:pStyle w:val="BodyTextIndent3"/>
        <w:widowControl w:val="0"/>
        <w:spacing w:line="240" w:lineRule="auto"/>
        <w:ind w:right="-24"/>
        <w:rPr>
          <w:szCs w:val="24"/>
        </w:rPr>
      </w:pPr>
    </w:p>
    <w:p w:rsidR="00BB5292" w:rsidRPr="000B1CB4" w:rsidP="00DD02C2" w14:paraId="4F5D8D4D" w14:textId="6FAB93EA">
      <w:pPr>
        <w:pStyle w:val="Heading1"/>
      </w:pPr>
      <w:bookmarkStart w:id="10" w:name="_Toc30075659"/>
      <w:bookmarkStart w:id="11" w:name="_Toc103677694"/>
      <w:r w:rsidRPr="000B1CB4">
        <w:t>I</w:t>
      </w:r>
      <w:r w:rsidRPr="000B1CB4" w:rsidR="0092611D">
        <w:t>II</w:t>
      </w:r>
      <w:r w:rsidRPr="000B1CB4" w:rsidR="00F25517">
        <w:t>.</w:t>
      </w:r>
      <w:r w:rsidRPr="000B1CB4" w:rsidR="00F25517">
        <w:tab/>
        <w:t>CONCLUSION</w:t>
      </w:r>
      <w:bookmarkEnd w:id="10"/>
      <w:bookmarkEnd w:id="11"/>
    </w:p>
    <w:p w:rsidR="0013499B" w:rsidRPr="000B1CB4" w:rsidP="0013499B" w14:paraId="2E7EBF5A" w14:textId="77777777">
      <w:pPr>
        <w:spacing w:line="480" w:lineRule="auto"/>
        <w:ind w:firstLine="720"/>
        <w:rPr>
          <w:szCs w:val="24"/>
        </w:rPr>
      </w:pPr>
      <w:r w:rsidRPr="000B1CB4">
        <w:rPr>
          <w:szCs w:val="24"/>
        </w:rPr>
        <w:t xml:space="preserve">Green Choice’s arguments opposing OCC’s intervention are </w:t>
      </w:r>
      <w:r w:rsidRPr="000B1CB4" w:rsidR="00D015D0">
        <w:rPr>
          <w:szCs w:val="24"/>
        </w:rPr>
        <w:t>wrong</w:t>
      </w:r>
      <w:r w:rsidRPr="000B1CB4">
        <w:rPr>
          <w:szCs w:val="24"/>
        </w:rPr>
        <w:t xml:space="preserve"> and should be rejected. </w:t>
      </w:r>
      <w:r w:rsidRPr="000B1CB4" w:rsidR="00C258C5">
        <w:rPr>
          <w:szCs w:val="24"/>
        </w:rPr>
        <w:t xml:space="preserve">OCC’s </w:t>
      </w:r>
      <w:r w:rsidRPr="000B1CB4" w:rsidR="003F44AC">
        <w:rPr>
          <w:szCs w:val="24"/>
        </w:rPr>
        <w:t>m</w:t>
      </w:r>
      <w:r w:rsidRPr="000B1CB4" w:rsidR="00C258C5">
        <w:rPr>
          <w:szCs w:val="24"/>
        </w:rPr>
        <w:t xml:space="preserve">otion to </w:t>
      </w:r>
      <w:r w:rsidRPr="000B1CB4" w:rsidR="003F44AC">
        <w:rPr>
          <w:szCs w:val="24"/>
        </w:rPr>
        <w:t>i</w:t>
      </w:r>
      <w:r w:rsidRPr="000B1CB4" w:rsidR="00C258C5">
        <w:rPr>
          <w:szCs w:val="24"/>
        </w:rPr>
        <w:t xml:space="preserve">ntervene should be granted. </w:t>
      </w:r>
      <w:r w:rsidRPr="000B1CB4" w:rsidR="00362EB8">
        <w:rPr>
          <w:szCs w:val="24"/>
        </w:rPr>
        <w:t>OCC meets the criteria set forth in R.C. 4903.221, Ohio Adm. Code 4901-1-11, and the precedent established by the Supreme Court of Ohio for intervention</w:t>
      </w:r>
      <w:r w:rsidRPr="000B1CB4" w:rsidR="002B3605">
        <w:rPr>
          <w:szCs w:val="24"/>
        </w:rPr>
        <w:t>.</w:t>
      </w:r>
      <w:r w:rsidRPr="000B1CB4" w:rsidR="00AF4F13">
        <w:rPr>
          <w:szCs w:val="24"/>
        </w:rPr>
        <w:t xml:space="preserve"> Granting OCC intervention would also be consistent with the PUCO’s</w:t>
      </w:r>
      <w:r w:rsidRPr="000B1CB4">
        <w:rPr>
          <w:szCs w:val="24"/>
        </w:rPr>
        <w:t xml:space="preserve"> prior</w:t>
      </w:r>
      <w:r w:rsidRPr="000B1CB4" w:rsidR="00AF4F13">
        <w:rPr>
          <w:szCs w:val="24"/>
        </w:rPr>
        <w:t xml:space="preserve"> </w:t>
      </w:r>
      <w:r w:rsidRPr="000B1CB4" w:rsidR="00E249A4">
        <w:rPr>
          <w:szCs w:val="24"/>
        </w:rPr>
        <w:t>decisions</w:t>
      </w:r>
      <w:r w:rsidRPr="000B1CB4" w:rsidR="00AF4F13">
        <w:rPr>
          <w:szCs w:val="24"/>
        </w:rPr>
        <w:t xml:space="preserve"> </w:t>
      </w:r>
      <w:r w:rsidRPr="000B1CB4" w:rsidR="00E249A4">
        <w:rPr>
          <w:szCs w:val="24"/>
        </w:rPr>
        <w:t>granting OCC’s intervention</w:t>
      </w:r>
      <w:r w:rsidRPr="000B1CB4">
        <w:rPr>
          <w:szCs w:val="24"/>
        </w:rPr>
        <w:t xml:space="preserve"> in PUCO investigations regarding marketers</w:t>
      </w:r>
      <w:r w:rsidRPr="000B1CB4" w:rsidR="00E249A4">
        <w:rPr>
          <w:szCs w:val="24"/>
        </w:rPr>
        <w:t>.</w:t>
      </w:r>
      <w:r w:rsidRPr="000B1CB4" w:rsidR="002B3605">
        <w:rPr>
          <w:szCs w:val="24"/>
        </w:rPr>
        <w:t xml:space="preserve"> </w:t>
      </w:r>
      <w:r w:rsidRPr="000B1CB4" w:rsidR="00AF4F13">
        <w:rPr>
          <w:szCs w:val="24"/>
        </w:rPr>
        <w:t>OCC’s</w:t>
      </w:r>
      <w:r w:rsidRPr="000B1CB4" w:rsidR="002B3605">
        <w:rPr>
          <w:szCs w:val="24"/>
        </w:rPr>
        <w:t xml:space="preserve"> intervention should be granted </w:t>
      </w:r>
      <w:r w:rsidRPr="000B1CB4" w:rsidR="00AF4F13">
        <w:rPr>
          <w:szCs w:val="24"/>
        </w:rPr>
        <w:t>to give a voice to</w:t>
      </w:r>
      <w:r w:rsidRPr="000B1CB4" w:rsidR="002B3605">
        <w:rPr>
          <w:szCs w:val="24"/>
        </w:rPr>
        <w:t xml:space="preserve"> Ohio consumers – including those that </w:t>
      </w:r>
      <w:r w:rsidRPr="000B1CB4" w:rsidR="00AF4F13">
        <w:rPr>
          <w:szCs w:val="24"/>
        </w:rPr>
        <w:t xml:space="preserve">Green Choice </w:t>
      </w:r>
      <w:r w:rsidRPr="000B1CB4" w:rsidR="00D015D0">
        <w:rPr>
          <w:szCs w:val="24"/>
        </w:rPr>
        <w:t xml:space="preserve">is alleged to have </w:t>
      </w:r>
      <w:r w:rsidRPr="000B1CB4" w:rsidR="00AF4F13">
        <w:rPr>
          <w:szCs w:val="24"/>
        </w:rPr>
        <w:t>abused</w:t>
      </w:r>
      <w:r w:rsidRPr="000B1CB4" w:rsidR="002B3605">
        <w:rPr>
          <w:szCs w:val="24"/>
        </w:rPr>
        <w:t>, among others</w:t>
      </w:r>
      <w:r w:rsidRPr="000B1CB4" w:rsidR="00D60C2A">
        <w:rPr>
          <w:szCs w:val="24"/>
        </w:rPr>
        <w:t xml:space="preserve">. </w:t>
      </w:r>
    </w:p>
    <w:p w:rsidR="0013499B" w:rsidRPr="000B1CB4" w:rsidP="0013499B" w14:paraId="7E6AF98A" w14:textId="77777777">
      <w:pPr>
        <w:pStyle w:val="BodyTextIndent3"/>
        <w:widowControl w:val="0"/>
        <w:spacing w:line="480" w:lineRule="auto"/>
        <w:ind w:left="3600" w:right="-312"/>
        <w:rPr>
          <w:szCs w:val="24"/>
        </w:rPr>
      </w:pPr>
      <w:r w:rsidRPr="000B1CB4">
        <w:rPr>
          <w:szCs w:val="24"/>
        </w:rPr>
        <w:t>Respectfully submitted,</w:t>
      </w:r>
    </w:p>
    <w:p w:rsidR="0013499B" w:rsidRPr="000B1CB4" w:rsidP="0013499B" w14:paraId="68F41A0B" w14:textId="77777777">
      <w:pPr>
        <w:rPr>
          <w:szCs w:val="24"/>
        </w:rPr>
      </w:pPr>
      <w:r w:rsidRPr="000B1CB4">
        <w:rPr>
          <w:szCs w:val="24"/>
        </w:rPr>
        <w:tab/>
      </w:r>
      <w:r w:rsidRPr="000B1CB4">
        <w:rPr>
          <w:szCs w:val="24"/>
        </w:rPr>
        <w:tab/>
      </w:r>
      <w:r w:rsidRPr="000B1CB4">
        <w:rPr>
          <w:szCs w:val="24"/>
        </w:rPr>
        <w:tab/>
      </w:r>
      <w:r w:rsidRPr="000B1CB4">
        <w:rPr>
          <w:szCs w:val="24"/>
        </w:rPr>
        <w:tab/>
      </w:r>
      <w:r w:rsidRPr="000B1CB4">
        <w:rPr>
          <w:szCs w:val="24"/>
        </w:rPr>
        <w:tab/>
      </w:r>
      <w:r w:rsidRPr="000B1CB4">
        <w:rPr>
          <w:szCs w:val="24"/>
        </w:rPr>
        <w:tab/>
        <w:t>Bruce Weston (0016973)</w:t>
      </w:r>
    </w:p>
    <w:p w:rsidR="0013499B" w:rsidRPr="000B1CB4" w:rsidP="0013499B" w14:paraId="7797FC06" w14:textId="77777777">
      <w:pPr>
        <w:tabs>
          <w:tab w:val="left" w:pos="4320"/>
        </w:tabs>
        <w:ind w:left="4320" w:hanging="450"/>
        <w:rPr>
          <w:szCs w:val="24"/>
        </w:rPr>
      </w:pPr>
      <w:r w:rsidRPr="000B1CB4">
        <w:rPr>
          <w:szCs w:val="24"/>
        </w:rPr>
        <w:tab/>
        <w:t>Ohio Consumers’ Counsel</w:t>
      </w:r>
    </w:p>
    <w:p w:rsidR="0013499B" w:rsidRPr="000B1CB4" w:rsidP="0013499B" w14:paraId="1CAC5ED4" w14:textId="77777777">
      <w:pPr>
        <w:tabs>
          <w:tab w:val="left" w:pos="4320"/>
        </w:tabs>
        <w:ind w:left="4320"/>
        <w:rPr>
          <w:szCs w:val="24"/>
        </w:rPr>
      </w:pPr>
    </w:p>
    <w:p w:rsidR="0013499B" w:rsidRPr="000B1CB4" w:rsidP="0013499B" w14:paraId="1BBEAD2E" w14:textId="77777777">
      <w:pPr>
        <w:tabs>
          <w:tab w:val="left" w:pos="4320"/>
        </w:tabs>
        <w:ind w:left="4320"/>
        <w:rPr>
          <w:i/>
          <w:iCs/>
          <w:szCs w:val="24"/>
          <w:u w:val="single"/>
        </w:rPr>
      </w:pPr>
      <w:r w:rsidRPr="000B1CB4">
        <w:rPr>
          <w:i/>
          <w:iCs/>
          <w:szCs w:val="24"/>
          <w:u w:val="single"/>
        </w:rPr>
        <w:t>/s/ Angela D. O’Brien</w:t>
      </w:r>
      <w:r w:rsidRPr="000B1CB4">
        <w:rPr>
          <w:i/>
          <w:iCs/>
          <w:szCs w:val="24"/>
          <w:u w:val="single"/>
        </w:rPr>
        <w:tab/>
      </w:r>
      <w:r w:rsidRPr="000B1CB4">
        <w:rPr>
          <w:i/>
          <w:iCs/>
          <w:szCs w:val="24"/>
          <w:u w:val="single"/>
        </w:rPr>
        <w:tab/>
      </w:r>
    </w:p>
    <w:p w:rsidR="0013499B" w:rsidRPr="000B1CB4" w:rsidP="0013499B" w14:paraId="7D068018" w14:textId="77777777">
      <w:pPr>
        <w:tabs>
          <w:tab w:val="left" w:pos="4320"/>
        </w:tabs>
        <w:ind w:left="4320"/>
        <w:rPr>
          <w:szCs w:val="24"/>
        </w:rPr>
      </w:pPr>
      <w:r w:rsidRPr="000B1CB4">
        <w:rPr>
          <w:szCs w:val="24"/>
        </w:rPr>
        <w:t>Angela D. O’Brien (0097579)</w:t>
      </w:r>
    </w:p>
    <w:p w:rsidR="0013499B" w:rsidRPr="000B1CB4" w:rsidP="0013499B" w14:paraId="7D6D165F" w14:textId="77777777">
      <w:pPr>
        <w:tabs>
          <w:tab w:val="left" w:pos="4320"/>
        </w:tabs>
        <w:ind w:left="4320"/>
        <w:rPr>
          <w:szCs w:val="24"/>
        </w:rPr>
      </w:pPr>
      <w:r w:rsidRPr="000B1CB4">
        <w:rPr>
          <w:szCs w:val="24"/>
        </w:rPr>
        <w:t>Counsel of Record</w:t>
      </w:r>
    </w:p>
    <w:p w:rsidR="0013499B" w:rsidRPr="000B1CB4" w:rsidP="0013499B" w14:paraId="5D002BE0" w14:textId="77777777">
      <w:pPr>
        <w:tabs>
          <w:tab w:val="left" w:pos="3870"/>
          <w:tab w:val="left" w:pos="4320"/>
        </w:tabs>
        <w:ind w:left="4320"/>
        <w:rPr>
          <w:szCs w:val="24"/>
        </w:rPr>
      </w:pPr>
      <w:r w:rsidRPr="000B1CB4">
        <w:rPr>
          <w:szCs w:val="24"/>
        </w:rPr>
        <w:t>Ambrosia Wilson (0096598)</w:t>
      </w:r>
    </w:p>
    <w:p w:rsidR="0013499B" w:rsidRPr="000B1CB4" w:rsidP="0013499B" w14:paraId="6AA029D5" w14:textId="77777777">
      <w:pPr>
        <w:tabs>
          <w:tab w:val="left" w:pos="3870"/>
          <w:tab w:val="left" w:pos="4320"/>
        </w:tabs>
        <w:ind w:left="4320"/>
        <w:rPr>
          <w:szCs w:val="24"/>
        </w:rPr>
      </w:pPr>
      <w:r w:rsidRPr="000B1CB4">
        <w:rPr>
          <w:szCs w:val="24"/>
        </w:rPr>
        <w:t>Assistant Consumers’ Counsel</w:t>
      </w:r>
    </w:p>
    <w:p w:rsidR="0013499B" w:rsidRPr="000B1CB4" w:rsidP="0013499B" w14:paraId="1D71BB14" w14:textId="77777777">
      <w:pPr>
        <w:tabs>
          <w:tab w:val="left" w:pos="3870"/>
          <w:tab w:val="left" w:pos="4320"/>
        </w:tabs>
        <w:ind w:left="4320"/>
        <w:rPr>
          <w:szCs w:val="24"/>
        </w:rPr>
      </w:pPr>
    </w:p>
    <w:p w:rsidR="0013499B" w:rsidRPr="000B1CB4" w:rsidP="0013499B" w14:paraId="2F22BAEB" w14:textId="77777777">
      <w:pPr>
        <w:ind w:left="4320"/>
        <w:rPr>
          <w:b/>
          <w:bCs/>
          <w:szCs w:val="24"/>
        </w:rPr>
      </w:pPr>
      <w:r w:rsidRPr="000B1CB4">
        <w:rPr>
          <w:b/>
          <w:bCs/>
          <w:szCs w:val="24"/>
        </w:rPr>
        <w:t>Office of the Ohio Consumers' Counsel</w:t>
      </w:r>
    </w:p>
    <w:p w:rsidR="0013499B" w:rsidRPr="000B1CB4" w:rsidP="0013499B" w14:paraId="62699C3D" w14:textId="77777777">
      <w:pPr>
        <w:ind w:left="4320"/>
        <w:rPr>
          <w:szCs w:val="24"/>
        </w:rPr>
      </w:pPr>
      <w:r w:rsidRPr="000B1CB4">
        <w:rPr>
          <w:szCs w:val="24"/>
        </w:rPr>
        <w:t>65 East State Street, Suite 700</w:t>
      </w:r>
    </w:p>
    <w:p w:rsidR="0013499B" w:rsidRPr="000B1CB4" w:rsidP="0013499B" w14:paraId="089BCC52" w14:textId="77777777">
      <w:pPr>
        <w:ind w:left="4320"/>
        <w:rPr>
          <w:szCs w:val="24"/>
        </w:rPr>
      </w:pPr>
      <w:r w:rsidRPr="000B1CB4">
        <w:rPr>
          <w:szCs w:val="24"/>
        </w:rPr>
        <w:t>Columbus, Ohio 43215</w:t>
      </w:r>
    </w:p>
    <w:p w:rsidR="0013499B" w:rsidRPr="000B1CB4" w:rsidP="0013499B" w14:paraId="5BFA1870" w14:textId="77777777">
      <w:pPr>
        <w:autoSpaceDE w:val="0"/>
        <w:autoSpaceDN w:val="0"/>
        <w:adjustRightInd w:val="0"/>
        <w:ind w:left="4320"/>
        <w:rPr>
          <w:szCs w:val="24"/>
        </w:rPr>
      </w:pPr>
      <w:r w:rsidRPr="000B1CB4">
        <w:rPr>
          <w:szCs w:val="24"/>
        </w:rPr>
        <w:t>Telephone: [O’Brien]: (614) 466-9531</w:t>
      </w:r>
    </w:p>
    <w:p w:rsidR="0013499B" w:rsidRPr="000B1CB4" w:rsidP="0013499B" w14:paraId="248878CD" w14:textId="77777777">
      <w:pPr>
        <w:pStyle w:val="ListParagraph"/>
        <w:autoSpaceDE w:val="0"/>
        <w:autoSpaceDN w:val="0"/>
        <w:adjustRightInd w:val="0"/>
        <w:ind w:left="3600" w:firstLine="720"/>
      </w:pPr>
      <w:r w:rsidRPr="000B1CB4">
        <w:t>Telephone [Wilson]: (614) 466-1292</w:t>
      </w:r>
    </w:p>
    <w:p w:rsidR="0013499B" w:rsidRPr="000B1CB4" w:rsidP="0013499B" w14:paraId="228F0A78" w14:textId="77777777">
      <w:pPr>
        <w:ind w:left="4320"/>
        <w:rPr>
          <w:szCs w:val="24"/>
        </w:rPr>
      </w:pPr>
      <w:hyperlink r:id="rId6" w:history="1">
        <w:r w:rsidRPr="000B1CB4">
          <w:rPr>
            <w:rStyle w:val="Hyperlink"/>
            <w:szCs w:val="24"/>
          </w:rPr>
          <w:t>angela.obrien@occ.ohio.gov</w:t>
        </w:r>
      </w:hyperlink>
    </w:p>
    <w:p w:rsidR="0013499B" w:rsidRPr="000B1CB4" w:rsidP="0013499B" w14:paraId="649167B2" w14:textId="77777777">
      <w:pPr>
        <w:pStyle w:val="ListParagraph"/>
        <w:autoSpaceDE w:val="0"/>
        <w:autoSpaceDN w:val="0"/>
        <w:adjustRightInd w:val="0"/>
        <w:ind w:left="3600" w:firstLine="720"/>
        <w:rPr>
          <w:rStyle w:val="Hyperlink"/>
        </w:rPr>
      </w:pPr>
      <w:hyperlink r:id="rId7" w:history="1">
        <w:r w:rsidRPr="000B1CB4">
          <w:rPr>
            <w:rStyle w:val="Hyperlink"/>
          </w:rPr>
          <w:t>ambrosia.wilson@occ.ohio.gov</w:t>
        </w:r>
      </w:hyperlink>
      <w:r w:rsidRPr="000B1CB4">
        <w:tab/>
      </w:r>
    </w:p>
    <w:p w:rsidR="0013499B" w:rsidRPr="000B1CB4" w:rsidP="0013499B" w14:paraId="39440A28" w14:textId="77777777">
      <w:pPr>
        <w:ind w:left="4320" w:hanging="4320"/>
        <w:rPr>
          <w:szCs w:val="24"/>
        </w:rPr>
      </w:pPr>
      <w:r w:rsidRPr="000B1CB4">
        <w:rPr>
          <w:szCs w:val="24"/>
        </w:rPr>
        <w:tab/>
        <w:t>(willing to accept service by e-mail)</w:t>
      </w:r>
    </w:p>
    <w:p w:rsidR="00731B26" w:rsidRPr="000B1CB4" w:rsidP="00646111" w14:paraId="473F5430" w14:textId="77777777">
      <w:pPr>
        <w:rPr>
          <w:szCs w:val="24"/>
        </w:rPr>
      </w:pPr>
    </w:p>
    <w:p w:rsidR="00B52F65" w:rsidRPr="000B1CB4" w:rsidP="00B52F65" w14:paraId="0C0AFF5A" w14:textId="77777777">
      <w:pPr>
        <w:rPr>
          <w:szCs w:val="24"/>
        </w:rPr>
      </w:pPr>
    </w:p>
    <w:p w:rsidR="0089543E" w:rsidRPr="000B1CB4" w14:paraId="291C783E" w14:textId="77777777">
      <w:pPr>
        <w:rPr>
          <w:szCs w:val="24"/>
        </w:rPr>
      </w:pPr>
      <w:r w:rsidRPr="000B1CB4">
        <w:rPr>
          <w:szCs w:val="24"/>
        </w:rPr>
        <w:br w:type="page"/>
      </w:r>
    </w:p>
    <w:p w:rsidR="00B52F65" w:rsidRPr="000B1CB4" w:rsidP="00F90B18" w14:paraId="1ABEA909" w14:textId="0190BFD8">
      <w:pPr>
        <w:jc w:val="center"/>
        <w:rPr>
          <w:b/>
          <w:bCs/>
          <w:szCs w:val="24"/>
          <w:u w:val="single"/>
        </w:rPr>
      </w:pPr>
      <w:r w:rsidRPr="000B1CB4">
        <w:rPr>
          <w:b/>
          <w:bCs/>
          <w:szCs w:val="24"/>
          <w:u w:val="single"/>
        </w:rPr>
        <w:t>CERTIFICATE OF SERVICE</w:t>
      </w:r>
    </w:p>
    <w:p w:rsidR="00731B26" w:rsidRPr="000B1CB4" w:rsidP="00731B26" w14:paraId="725B071C" w14:textId="77777777">
      <w:pPr>
        <w:jc w:val="center"/>
        <w:rPr>
          <w:szCs w:val="24"/>
        </w:rPr>
      </w:pPr>
    </w:p>
    <w:p w:rsidR="00B52F65" w:rsidRPr="000B1CB4" w:rsidP="0013499B" w14:paraId="5E837E0F" w14:textId="38F1F50A">
      <w:pPr>
        <w:spacing w:line="480" w:lineRule="auto"/>
        <w:ind w:firstLine="720"/>
        <w:rPr>
          <w:i/>
          <w:iCs/>
          <w:szCs w:val="24"/>
        </w:rPr>
      </w:pPr>
      <w:r w:rsidRPr="000B1CB4">
        <w:rPr>
          <w:szCs w:val="24"/>
        </w:rPr>
        <w:t>I hereby certify that a copy of this</w:t>
      </w:r>
      <w:r w:rsidRPr="000B1CB4" w:rsidR="00731B26">
        <w:rPr>
          <w:szCs w:val="24"/>
        </w:rPr>
        <w:t xml:space="preserve"> </w:t>
      </w:r>
      <w:r w:rsidRPr="000B1CB4" w:rsidR="00DE0CA9">
        <w:rPr>
          <w:szCs w:val="24"/>
        </w:rPr>
        <w:t>Reply</w:t>
      </w:r>
      <w:r w:rsidRPr="000B1CB4" w:rsidR="0081674B">
        <w:rPr>
          <w:szCs w:val="24"/>
        </w:rPr>
        <w:t xml:space="preserve"> </w:t>
      </w:r>
      <w:r w:rsidRPr="000B1CB4">
        <w:rPr>
          <w:szCs w:val="24"/>
        </w:rPr>
        <w:t xml:space="preserve">was served on the persons stated below via electronic transmission, this </w:t>
      </w:r>
      <w:r w:rsidRPr="000B1CB4" w:rsidR="00E249A4">
        <w:rPr>
          <w:szCs w:val="24"/>
        </w:rPr>
        <w:t>17</w:t>
      </w:r>
      <w:r w:rsidRPr="000B1CB4" w:rsidR="00E249A4">
        <w:rPr>
          <w:szCs w:val="24"/>
          <w:vertAlign w:val="superscript"/>
        </w:rPr>
        <w:t>th</w:t>
      </w:r>
      <w:r w:rsidRPr="000B1CB4" w:rsidR="00D107F1">
        <w:rPr>
          <w:szCs w:val="24"/>
        </w:rPr>
        <w:t xml:space="preserve"> </w:t>
      </w:r>
      <w:r w:rsidRPr="000B1CB4">
        <w:rPr>
          <w:szCs w:val="24"/>
        </w:rPr>
        <w:t>day of</w:t>
      </w:r>
      <w:r w:rsidRPr="000B1CB4" w:rsidR="00A10E45">
        <w:rPr>
          <w:szCs w:val="24"/>
        </w:rPr>
        <w:t xml:space="preserve"> </w:t>
      </w:r>
      <w:r w:rsidRPr="000B1CB4" w:rsidR="00E249A4">
        <w:rPr>
          <w:szCs w:val="24"/>
        </w:rPr>
        <w:t>May</w:t>
      </w:r>
      <w:r w:rsidRPr="000B1CB4">
        <w:rPr>
          <w:szCs w:val="24"/>
        </w:rPr>
        <w:t xml:space="preserve"> 20</w:t>
      </w:r>
      <w:r w:rsidRPr="000B1CB4" w:rsidR="00805F1D">
        <w:rPr>
          <w:szCs w:val="24"/>
        </w:rPr>
        <w:t>2</w:t>
      </w:r>
      <w:r w:rsidRPr="000B1CB4" w:rsidR="00E249A4">
        <w:rPr>
          <w:szCs w:val="24"/>
        </w:rPr>
        <w:t>2</w:t>
      </w:r>
      <w:r w:rsidRPr="000B1CB4">
        <w:rPr>
          <w:szCs w:val="24"/>
        </w:rPr>
        <w:t>.</w:t>
      </w:r>
    </w:p>
    <w:p w:rsidR="00B52F65" w:rsidRPr="000B1CB4" w14:paraId="7587DED6" w14:textId="43D04FCC">
      <w:pPr>
        <w:tabs>
          <w:tab w:val="left" w:pos="4320"/>
        </w:tabs>
        <w:rPr>
          <w:i/>
          <w:szCs w:val="24"/>
          <w:u w:val="single"/>
        </w:rPr>
      </w:pPr>
      <w:r w:rsidRPr="000B1CB4">
        <w:rPr>
          <w:szCs w:val="24"/>
        </w:rPr>
        <w:tab/>
      </w:r>
      <w:r w:rsidRPr="000B1CB4">
        <w:rPr>
          <w:i/>
          <w:iCs/>
          <w:szCs w:val="24"/>
          <w:u w:val="single"/>
        </w:rPr>
        <w:t>/s/</w:t>
      </w:r>
      <w:r w:rsidRPr="000B1CB4">
        <w:rPr>
          <w:szCs w:val="24"/>
          <w:u w:val="single"/>
        </w:rPr>
        <w:t xml:space="preserve"> </w:t>
      </w:r>
      <w:r w:rsidRPr="000B1CB4">
        <w:rPr>
          <w:i/>
          <w:szCs w:val="24"/>
          <w:u w:val="single"/>
        </w:rPr>
        <w:t xml:space="preserve">Angela </w:t>
      </w:r>
      <w:r w:rsidRPr="000B1CB4" w:rsidR="00B559AA">
        <w:rPr>
          <w:i/>
          <w:szCs w:val="24"/>
          <w:u w:val="single"/>
        </w:rPr>
        <w:t xml:space="preserve">D. </w:t>
      </w:r>
      <w:r w:rsidRPr="000B1CB4">
        <w:rPr>
          <w:i/>
          <w:szCs w:val="24"/>
          <w:u w:val="single"/>
        </w:rPr>
        <w:t>O’Brien</w:t>
      </w:r>
      <w:r w:rsidRPr="000B1CB4">
        <w:rPr>
          <w:i/>
          <w:szCs w:val="24"/>
          <w:u w:val="single"/>
        </w:rPr>
        <w:tab/>
      </w:r>
      <w:r w:rsidRPr="000B1CB4">
        <w:rPr>
          <w:i/>
          <w:szCs w:val="24"/>
          <w:u w:val="single"/>
        </w:rPr>
        <w:tab/>
      </w:r>
    </w:p>
    <w:p w:rsidR="00B52F65" w:rsidRPr="000B1CB4" w14:paraId="787CAC54" w14:textId="3A950C4F">
      <w:pPr>
        <w:tabs>
          <w:tab w:val="left" w:pos="4320"/>
        </w:tabs>
        <w:rPr>
          <w:szCs w:val="24"/>
        </w:rPr>
      </w:pPr>
      <w:r w:rsidRPr="000B1CB4">
        <w:rPr>
          <w:szCs w:val="24"/>
        </w:rPr>
        <w:tab/>
        <w:t xml:space="preserve">Angela </w:t>
      </w:r>
      <w:r w:rsidRPr="000B1CB4" w:rsidR="00B559AA">
        <w:rPr>
          <w:szCs w:val="24"/>
        </w:rPr>
        <w:t xml:space="preserve">D. </w:t>
      </w:r>
      <w:r w:rsidRPr="000B1CB4">
        <w:rPr>
          <w:szCs w:val="24"/>
        </w:rPr>
        <w:t>O’Brien</w:t>
      </w:r>
    </w:p>
    <w:p w:rsidR="00B52F65" w:rsidRPr="000B1CB4" w14:paraId="61EC04A1" w14:textId="64DEC6E3">
      <w:pPr>
        <w:tabs>
          <w:tab w:val="left" w:pos="4320"/>
        </w:tabs>
        <w:rPr>
          <w:szCs w:val="24"/>
        </w:rPr>
      </w:pPr>
      <w:r w:rsidRPr="000B1CB4">
        <w:rPr>
          <w:szCs w:val="24"/>
        </w:rPr>
        <w:tab/>
        <w:t>Assistant Consumers’ Counsel</w:t>
      </w:r>
    </w:p>
    <w:p w:rsidR="00B52F65" w:rsidRPr="000B1CB4" w14:paraId="367A86E8" w14:textId="77777777">
      <w:pPr>
        <w:pStyle w:val="CommentSubject"/>
        <w:rPr>
          <w:szCs w:val="24"/>
        </w:rPr>
      </w:pPr>
    </w:p>
    <w:p w:rsidR="005B331B" w:rsidRPr="000B1CB4" w:rsidP="0060598B" w14:paraId="4865252F" w14:textId="182D5AFF">
      <w:pPr>
        <w:rPr>
          <w:szCs w:val="24"/>
        </w:rPr>
      </w:pPr>
      <w:r w:rsidRPr="000B1CB4">
        <w:rPr>
          <w:szCs w:val="24"/>
        </w:rPr>
        <w:t>The PUCO’s e-filing system will electronically serve notice of the filing of this document on the following parties:</w:t>
      </w:r>
    </w:p>
    <w:p w:rsidR="00DE0CA9" w:rsidRPr="000B1CB4" w:rsidP="0060598B" w14:paraId="1F08B9F0" w14:textId="53DAA0DE">
      <w:pPr>
        <w:rPr>
          <w:szCs w:val="24"/>
        </w:rPr>
      </w:pPr>
    </w:p>
    <w:p w:rsidR="00DE0CA9" w:rsidRPr="000B1CB4" w:rsidP="00DE0CA9" w14:paraId="72ABCC9D" w14:textId="77777777">
      <w:pPr>
        <w:pStyle w:val="CommentText"/>
        <w:jc w:val="center"/>
        <w:rPr>
          <w:b/>
          <w:u w:val="single"/>
        </w:rPr>
      </w:pPr>
      <w:r w:rsidRPr="000B1CB4">
        <w:rPr>
          <w:b/>
          <w:u w:val="single"/>
        </w:rPr>
        <w:t>SERVICE LIST</w:t>
      </w:r>
    </w:p>
    <w:p w:rsidR="00DE0CA9" w:rsidRPr="000B1CB4" w:rsidP="00D30944" w14:paraId="73B0C641" w14:textId="77777777">
      <w:pPr>
        <w:pStyle w:val="CommentText"/>
        <w:rPr>
          <w:b/>
          <w:u w:val="single"/>
        </w:rPr>
      </w:pPr>
    </w:p>
    <w:tbl>
      <w:tblPr>
        <w:tblW w:w="0" w:type="auto"/>
        <w:tblLook w:val="01E0"/>
      </w:tblPr>
      <w:tblGrid>
        <w:gridCol w:w="4290"/>
        <w:gridCol w:w="4350"/>
      </w:tblGrid>
      <w:tr w14:paraId="2F85F0D7" w14:textId="77777777" w:rsidTr="00FE0412">
        <w:tblPrEx>
          <w:tblW w:w="0" w:type="auto"/>
          <w:tblLook w:val="01E0"/>
        </w:tblPrEx>
        <w:tc>
          <w:tcPr>
            <w:tcW w:w="4290" w:type="dxa"/>
            <w:shd w:val="clear" w:color="auto" w:fill="auto"/>
          </w:tcPr>
          <w:p w:rsidR="00D30944" w:rsidRPr="000B1CB4" w:rsidP="00FE0412" w14:paraId="7ADDD96A" w14:textId="7923877D">
            <w:pPr>
              <w:autoSpaceDE w:val="0"/>
              <w:autoSpaceDN w:val="0"/>
              <w:adjustRightInd w:val="0"/>
              <w:rPr>
                <w:bCs/>
                <w:szCs w:val="24"/>
              </w:rPr>
            </w:pPr>
            <w:hyperlink r:id="rId11" w:history="1">
              <w:r w:rsidRPr="000B1CB4" w:rsidR="009E62CC">
                <w:rPr>
                  <w:rStyle w:val="Hyperlink"/>
                  <w:szCs w:val="24"/>
                </w:rPr>
                <w:t>j</w:t>
              </w:r>
              <w:r w:rsidRPr="000B1CB4" w:rsidR="009E62CC">
                <w:rPr>
                  <w:rStyle w:val="Hyperlink"/>
                  <w:bCs/>
                  <w:szCs w:val="24"/>
                </w:rPr>
                <w:t>ohn.jones@ohioAGO.gov</w:t>
              </w:r>
            </w:hyperlink>
          </w:p>
          <w:p w:rsidR="00731F02" w:rsidRPr="000B1CB4" w:rsidP="00731F02" w14:paraId="4640F484" w14:textId="77777777">
            <w:pPr>
              <w:rPr>
                <w:szCs w:val="24"/>
              </w:rPr>
            </w:pPr>
          </w:p>
          <w:p w:rsidR="00731F02" w:rsidRPr="000B1CB4" w:rsidP="00731F02" w14:paraId="1E16B597" w14:textId="735CB2B6">
            <w:pPr>
              <w:rPr>
                <w:szCs w:val="24"/>
              </w:rPr>
            </w:pPr>
            <w:r w:rsidRPr="000B1CB4">
              <w:rPr>
                <w:szCs w:val="24"/>
              </w:rPr>
              <w:t>Attorney Examiner:</w:t>
            </w:r>
          </w:p>
          <w:p w:rsidR="00731F02" w:rsidRPr="000B1CB4" w:rsidP="00731F02" w14:paraId="684111E2" w14:textId="77777777">
            <w:pPr>
              <w:rPr>
                <w:szCs w:val="24"/>
              </w:rPr>
            </w:pPr>
            <w:hyperlink r:id="rId12" w:history="1">
              <w:r w:rsidRPr="000B1CB4">
                <w:rPr>
                  <w:rStyle w:val="Hyperlink"/>
                  <w:szCs w:val="24"/>
                </w:rPr>
                <w:t>jesse.davis@puco.ohio.gov</w:t>
              </w:r>
            </w:hyperlink>
          </w:p>
          <w:p w:rsidR="00D30944" w:rsidRPr="000B1CB4" w:rsidP="00FE0412" w14:paraId="2BEAA1D5" w14:textId="77777777">
            <w:pPr>
              <w:autoSpaceDE w:val="0"/>
              <w:autoSpaceDN w:val="0"/>
              <w:adjustRightInd w:val="0"/>
              <w:rPr>
                <w:bCs/>
                <w:szCs w:val="24"/>
              </w:rPr>
            </w:pPr>
          </w:p>
        </w:tc>
        <w:tc>
          <w:tcPr>
            <w:tcW w:w="4350" w:type="dxa"/>
            <w:shd w:val="clear" w:color="auto" w:fill="auto"/>
          </w:tcPr>
          <w:p w:rsidR="00D30944" w:rsidRPr="000B1CB4" w:rsidP="00FE0412" w14:paraId="634F38A0" w14:textId="57DA7C07">
            <w:pPr>
              <w:pStyle w:val="BodyText"/>
              <w:rPr>
                <w:rStyle w:val="Hyperlink"/>
                <w:bCs/>
                <w:szCs w:val="24"/>
              </w:rPr>
            </w:pPr>
            <w:hyperlink r:id="rId13" w:history="1">
              <w:r w:rsidRPr="000B1CB4">
                <w:rPr>
                  <w:rStyle w:val="Hyperlink"/>
                  <w:bCs/>
                  <w:szCs w:val="24"/>
                </w:rPr>
                <w:t>btrombino@uerus.com</w:t>
              </w:r>
            </w:hyperlink>
          </w:p>
          <w:p w:rsidR="00731F02" w:rsidRPr="000B1CB4" w:rsidP="00FE0412" w14:paraId="73D50449" w14:textId="394E32C3">
            <w:pPr>
              <w:pStyle w:val="BodyText"/>
              <w:rPr>
                <w:bCs/>
                <w:szCs w:val="24"/>
              </w:rPr>
            </w:pPr>
            <w:hyperlink r:id="rId14" w:history="1">
              <w:r w:rsidRPr="000B1CB4">
                <w:rPr>
                  <w:rStyle w:val="Hyperlink"/>
                  <w:bCs/>
                  <w:szCs w:val="24"/>
                </w:rPr>
                <w:t>whitt@whitt-sturtevant.com</w:t>
              </w:r>
            </w:hyperlink>
          </w:p>
          <w:p w:rsidR="00D30944" w:rsidRPr="000B1CB4" w:rsidP="00FE0412" w14:paraId="1327BEEF" w14:textId="7630DE09">
            <w:pPr>
              <w:pStyle w:val="BodyText"/>
              <w:rPr>
                <w:bCs/>
                <w:szCs w:val="24"/>
              </w:rPr>
            </w:pPr>
            <w:hyperlink r:id="rId15" w:history="1">
              <w:r w:rsidRPr="000B1CB4" w:rsidR="00731F02">
                <w:rPr>
                  <w:rStyle w:val="Hyperlink"/>
                  <w:bCs/>
                  <w:szCs w:val="24"/>
                </w:rPr>
                <w:t>fykes@whitt-sturtevant.com</w:t>
              </w:r>
            </w:hyperlink>
          </w:p>
          <w:p w:rsidR="00731F02" w:rsidRPr="000B1CB4" w:rsidP="00FE0412" w14:paraId="713C4091" w14:textId="0B6DECF2">
            <w:pPr>
              <w:pStyle w:val="BodyText"/>
              <w:rPr>
                <w:bCs/>
                <w:szCs w:val="24"/>
              </w:rPr>
            </w:pPr>
          </w:p>
        </w:tc>
      </w:tr>
      <w:tr w14:paraId="07AA455D" w14:textId="77777777" w:rsidTr="00FE0412">
        <w:tblPrEx>
          <w:tblW w:w="0" w:type="auto"/>
          <w:tblLook w:val="01E0"/>
        </w:tblPrEx>
        <w:tc>
          <w:tcPr>
            <w:tcW w:w="4290" w:type="dxa"/>
            <w:shd w:val="clear" w:color="auto" w:fill="auto"/>
          </w:tcPr>
          <w:p w:rsidR="00D30944" w:rsidRPr="000B1CB4" w:rsidP="00731F02" w14:paraId="779258B6" w14:textId="77777777">
            <w:pPr>
              <w:rPr>
                <w:szCs w:val="24"/>
              </w:rPr>
            </w:pPr>
          </w:p>
        </w:tc>
        <w:tc>
          <w:tcPr>
            <w:tcW w:w="4350" w:type="dxa"/>
            <w:shd w:val="clear" w:color="auto" w:fill="auto"/>
          </w:tcPr>
          <w:p w:rsidR="00D30944" w:rsidRPr="000B1CB4" w:rsidP="00FE0412" w14:paraId="44623C26" w14:textId="77777777">
            <w:pPr>
              <w:rPr>
                <w:bCs/>
                <w:szCs w:val="24"/>
              </w:rPr>
            </w:pPr>
          </w:p>
        </w:tc>
      </w:tr>
    </w:tbl>
    <w:p w:rsidR="00B52F65" w:rsidRPr="000B1CB4" w:rsidP="00731F02" w14:paraId="25C5C5C0" w14:textId="77777777">
      <w:pPr>
        <w:pStyle w:val="CommentText"/>
        <w:rPr>
          <w:b/>
          <w:u w:val="single"/>
        </w:rPr>
      </w:pPr>
    </w:p>
    <w:p w:rsidR="00B52F65" w:rsidRPr="000B1CB4" w14:paraId="2F401E4F" w14:textId="77777777">
      <w:pPr>
        <w:pStyle w:val="CommentText"/>
        <w:jc w:val="center"/>
        <w:rPr>
          <w:b/>
          <w:u w:val="single"/>
        </w:rPr>
      </w:pPr>
    </w:p>
    <w:sectPr w:rsidSect="00510045">
      <w:headerReference w:type="first" r:id="rId16"/>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041750"/>
      <w:docPartObj>
        <w:docPartGallery w:val="Page Numbers (Bottom of Page)"/>
        <w:docPartUnique/>
      </w:docPartObj>
    </w:sdtPr>
    <w:sdtEndPr>
      <w:rPr>
        <w:noProof/>
        <w:sz w:val="24"/>
        <w:szCs w:val="24"/>
      </w:rPr>
    </w:sdtEndPr>
    <w:sdtContent>
      <w:p w:rsidR="00920F0C" w:rsidRPr="006C0815" w14:paraId="2DC244E3" w14:textId="7BAD1CD4">
        <w:pPr>
          <w:pStyle w:val="Footer"/>
          <w:jc w:val="center"/>
          <w:rPr>
            <w:sz w:val="24"/>
            <w:szCs w:val="24"/>
          </w:rPr>
        </w:pPr>
        <w:r w:rsidRPr="006C0815">
          <w:rPr>
            <w:sz w:val="24"/>
            <w:szCs w:val="24"/>
          </w:rPr>
          <w:fldChar w:fldCharType="begin"/>
        </w:r>
        <w:r w:rsidRPr="006C0815">
          <w:rPr>
            <w:sz w:val="24"/>
            <w:szCs w:val="24"/>
          </w:rPr>
          <w:instrText xml:space="preserve"> PAGE   \* MERGEFORMAT </w:instrText>
        </w:r>
        <w:r w:rsidRPr="006C0815">
          <w:rPr>
            <w:sz w:val="24"/>
            <w:szCs w:val="24"/>
          </w:rPr>
          <w:fldChar w:fldCharType="separate"/>
        </w:r>
        <w:r w:rsidRPr="006C0815">
          <w:rPr>
            <w:noProof/>
            <w:sz w:val="24"/>
            <w:szCs w:val="24"/>
          </w:rPr>
          <w:t>2</w:t>
        </w:r>
        <w:r w:rsidRPr="006C081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F0C" w14:paraId="14D10EF6" w14:textId="00C2985E">
    <w:pPr>
      <w:pStyle w:val="Footer"/>
      <w:jc w:val="center"/>
    </w:pPr>
  </w:p>
  <w:p w:rsidR="00920F0C" w14:paraId="72E9F7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3758948"/>
      <w:docPartObj>
        <w:docPartGallery w:val="Page Numbers (Bottom of Page)"/>
        <w:docPartUnique/>
      </w:docPartObj>
    </w:sdtPr>
    <w:sdtEndPr>
      <w:rPr>
        <w:noProof/>
        <w:sz w:val="24"/>
        <w:szCs w:val="24"/>
      </w:rPr>
    </w:sdtEndPr>
    <w:sdtContent>
      <w:p w:rsidR="003E0E94" w:rsidRPr="003E0E94" w14:paraId="326EBAC9" w14:textId="131F30AC">
        <w:pPr>
          <w:pStyle w:val="Footer"/>
          <w:jc w:val="center"/>
          <w:rPr>
            <w:sz w:val="24"/>
            <w:szCs w:val="24"/>
          </w:rPr>
        </w:pPr>
        <w:r w:rsidRPr="003E0E94">
          <w:rPr>
            <w:sz w:val="24"/>
            <w:szCs w:val="24"/>
          </w:rPr>
          <w:fldChar w:fldCharType="begin"/>
        </w:r>
        <w:r w:rsidRPr="003E0E94">
          <w:rPr>
            <w:sz w:val="24"/>
            <w:szCs w:val="24"/>
          </w:rPr>
          <w:instrText xml:space="preserve"> PAGE   \* MERGEFORMAT </w:instrText>
        </w:r>
        <w:r w:rsidRPr="003E0E94">
          <w:rPr>
            <w:sz w:val="24"/>
            <w:szCs w:val="24"/>
          </w:rPr>
          <w:fldChar w:fldCharType="separate"/>
        </w:r>
        <w:r w:rsidRPr="003E0E94">
          <w:rPr>
            <w:noProof/>
            <w:sz w:val="24"/>
            <w:szCs w:val="24"/>
          </w:rPr>
          <w:t>2</w:t>
        </w:r>
        <w:r w:rsidRPr="003E0E94">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9218632"/>
      <w:docPartObj>
        <w:docPartGallery w:val="Page Numbers (Bottom of Page)"/>
        <w:docPartUnique/>
      </w:docPartObj>
    </w:sdtPr>
    <w:sdtEndPr>
      <w:rPr>
        <w:noProof/>
        <w:sz w:val="24"/>
        <w:szCs w:val="24"/>
      </w:rPr>
    </w:sdtEndPr>
    <w:sdtContent>
      <w:p w:rsidR="00510045" w:rsidRPr="003E0E94" w14:paraId="1B20CC99" w14:textId="77777777">
        <w:pPr>
          <w:pStyle w:val="Footer"/>
          <w:jc w:val="center"/>
          <w:rPr>
            <w:sz w:val="24"/>
            <w:szCs w:val="24"/>
          </w:rPr>
        </w:pPr>
        <w:r w:rsidRPr="003E0E94">
          <w:rPr>
            <w:sz w:val="24"/>
            <w:szCs w:val="24"/>
          </w:rPr>
          <w:fldChar w:fldCharType="begin"/>
        </w:r>
        <w:r w:rsidRPr="003E0E94">
          <w:rPr>
            <w:sz w:val="24"/>
            <w:szCs w:val="24"/>
          </w:rPr>
          <w:instrText xml:space="preserve"> PAGE   \* MERGEFORMAT </w:instrText>
        </w:r>
        <w:r w:rsidRPr="003E0E94">
          <w:rPr>
            <w:sz w:val="24"/>
            <w:szCs w:val="24"/>
          </w:rPr>
          <w:fldChar w:fldCharType="separate"/>
        </w:r>
        <w:r w:rsidRPr="003E0E94">
          <w:rPr>
            <w:noProof/>
            <w:sz w:val="24"/>
            <w:szCs w:val="24"/>
          </w:rPr>
          <w:t>2</w:t>
        </w:r>
        <w:r w:rsidRPr="003E0E9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1682" w14:paraId="26168DE3" w14:textId="77777777">
      <w:r>
        <w:separator/>
      </w:r>
    </w:p>
  </w:footnote>
  <w:footnote w:type="continuationSeparator" w:id="1">
    <w:p w:rsidR="00031682" w14:paraId="2CC91C26" w14:textId="77777777">
      <w:r>
        <w:continuationSeparator/>
      </w:r>
    </w:p>
  </w:footnote>
  <w:footnote w:id="2">
    <w:p w:rsidR="008E4DEF" w:rsidRPr="001D535F" w:rsidP="001D535F" w14:paraId="7459FFEE" w14:textId="65DA41DC">
      <w:pPr>
        <w:pStyle w:val="FootnoteText"/>
        <w:spacing w:after="120"/>
      </w:pPr>
      <w:r w:rsidRPr="001D535F">
        <w:rPr>
          <w:rStyle w:val="FootnoteReference"/>
        </w:rPr>
        <w:footnoteRef/>
      </w:r>
      <w:r w:rsidRPr="001D535F">
        <w:t xml:space="preserve"> Green Choice’s Memorandum Contra Office of Consumers’ Counsel’s Motion to Intervene (May 10, 2022).</w:t>
      </w:r>
    </w:p>
  </w:footnote>
  <w:footnote w:id="3">
    <w:p w:rsidR="009A187B" w:rsidRPr="001D535F" w:rsidP="001D535F" w14:paraId="075BB030" w14:textId="011D74AF">
      <w:pPr>
        <w:pStyle w:val="FootnoteText"/>
        <w:spacing w:after="120"/>
      </w:pPr>
      <w:r w:rsidRPr="001D535F">
        <w:rPr>
          <w:rStyle w:val="FootnoteReference"/>
        </w:rPr>
        <w:footnoteRef/>
      </w:r>
      <w:r w:rsidRPr="001D535F">
        <w:t xml:space="preserve"> PUCO Staff Letter (April 18, 2022) (“PUCO Staff Letter”), at 2.</w:t>
      </w:r>
    </w:p>
  </w:footnote>
  <w:footnote w:id="4">
    <w:p w:rsidR="009A187B" w:rsidRPr="001D535F" w:rsidP="001D535F" w14:paraId="0189C11F" w14:textId="6212164B">
      <w:pPr>
        <w:pStyle w:val="FootnoteText"/>
        <w:spacing w:after="120"/>
      </w:pPr>
      <w:r w:rsidRPr="001D535F">
        <w:rPr>
          <w:rStyle w:val="FootnoteReference"/>
        </w:rPr>
        <w:footnoteRef/>
      </w:r>
      <w:r w:rsidRPr="001D535F">
        <w:t xml:space="preserve"> PUCO Staff Letter, at 2.</w:t>
      </w:r>
    </w:p>
  </w:footnote>
  <w:footnote w:id="5">
    <w:p w:rsidR="004172B8" w:rsidRPr="001D535F" w:rsidP="001D535F" w14:paraId="471B3419" w14:textId="6515168A">
      <w:pPr>
        <w:pStyle w:val="FootnoteText"/>
        <w:spacing w:after="120"/>
      </w:pPr>
      <w:r w:rsidRPr="001D535F">
        <w:rPr>
          <w:rStyle w:val="FootnoteReference"/>
        </w:rPr>
        <w:footnoteRef/>
      </w:r>
      <w:r w:rsidRPr="001D535F">
        <w:t xml:space="preserve"> </w:t>
      </w:r>
      <w:r w:rsidRPr="001D535F" w:rsidR="005F1BA0">
        <w:rPr>
          <w:i/>
        </w:rPr>
        <w:t>Ohio Consumers’ Counsel v. Pub. Util. Comm</w:t>
      </w:r>
      <w:r w:rsidRPr="001D535F" w:rsidR="005F1BA0">
        <w:t>., 111 Ohio St.3d 384, 388 (2006)</w:t>
      </w:r>
      <w:r w:rsidRPr="001D535F">
        <w:t>.</w:t>
      </w:r>
    </w:p>
  </w:footnote>
  <w:footnote w:id="6">
    <w:p w:rsidR="001004E4" w:rsidRPr="001D535F" w:rsidP="001D535F" w14:paraId="0F25D268" w14:textId="3D7A461A">
      <w:pPr>
        <w:pStyle w:val="FootnoteText"/>
        <w:spacing w:after="120"/>
      </w:pPr>
      <w:r w:rsidRPr="001D535F">
        <w:rPr>
          <w:rStyle w:val="FootnoteReference"/>
        </w:rPr>
        <w:footnoteRef/>
      </w:r>
      <w:r w:rsidRPr="001D535F">
        <w:t xml:space="preserve"> </w:t>
      </w:r>
      <w:r w:rsidRPr="001D535F" w:rsidR="00204DCE">
        <w:rPr>
          <w:i/>
          <w:iCs/>
        </w:rPr>
        <w:t>See In the Matter of the Commission’s Investigation Into SFE Energy Ohio, Inc. and Statewise Energy Ohio, LLC’s Compliance with the Ohio Revised Code and Ohio Administrative Code and Potential Remedial Action</w:t>
      </w:r>
      <w:r w:rsidRPr="001D535F" w:rsidR="00204DCE">
        <w:t>, Case No. 20-1216-GE-COI (“SFE Investigation”), Entry (Sept</w:t>
      </w:r>
      <w:r w:rsidR="005C64EE">
        <w:t>ember</w:t>
      </w:r>
      <w:r w:rsidRPr="001D535F" w:rsidR="00204DCE">
        <w:t xml:space="preserve"> 28, 2020), at ¶¶ 11, 13; and </w:t>
      </w:r>
      <w:r w:rsidRPr="001D535F">
        <w:rPr>
          <w:i/>
          <w:iCs/>
        </w:rPr>
        <w:t>In the Matter of Commission’s Investigation Into PALMco Power OH, LLC dba Indra Energy and PALMco Energy OH, LLC dba Indra Energy’s Compliance with the Ohio Administrative Code and Potential Remedial Actions for Non-Compliance</w:t>
      </w:r>
      <w:r w:rsidRPr="001D535F">
        <w:t>, Case No. 19-2153-GE-COI, (“PALMco 2</w:t>
      </w:r>
      <w:r w:rsidRPr="001D535F" w:rsidR="00204DCE">
        <w:t xml:space="preserve"> Investigation</w:t>
      </w:r>
      <w:r w:rsidRPr="001D535F">
        <w:t>”), Entry (April 6, 2020), at ¶¶ 10, 19.</w:t>
      </w:r>
    </w:p>
  </w:footnote>
  <w:footnote w:id="7">
    <w:p w:rsidR="008E4DEF" w:rsidRPr="001D535F" w:rsidP="001D535F" w14:paraId="2B67CB42" w14:textId="4D8E88E4">
      <w:pPr>
        <w:pStyle w:val="FootnoteText"/>
        <w:spacing w:after="120"/>
      </w:pPr>
      <w:r w:rsidRPr="001D535F">
        <w:rPr>
          <w:rStyle w:val="FootnoteReference"/>
        </w:rPr>
        <w:footnoteRef/>
      </w:r>
      <w:r w:rsidRPr="001D535F">
        <w:t xml:space="preserve"> April 20 Entry, at ¶ 10.</w:t>
      </w:r>
    </w:p>
  </w:footnote>
  <w:footnote w:id="8">
    <w:p w:rsidR="00EE2ACE" w:rsidRPr="001D535F" w:rsidP="001D535F" w14:paraId="702A4371" w14:textId="70267342">
      <w:pPr>
        <w:pStyle w:val="FootnoteText"/>
        <w:spacing w:after="120"/>
      </w:pPr>
      <w:r w:rsidRPr="001D535F">
        <w:rPr>
          <w:rStyle w:val="FootnoteReference"/>
        </w:rPr>
        <w:footnoteRef/>
      </w:r>
      <w:r w:rsidRPr="001D535F">
        <w:t xml:space="preserve"> Green Choice Memo</w:t>
      </w:r>
      <w:r w:rsidRPr="001D535F" w:rsidR="00FC6BF3">
        <w:t>randum</w:t>
      </w:r>
      <w:r w:rsidRPr="001D535F">
        <w:t xml:space="preserve"> Contra, at 1.</w:t>
      </w:r>
    </w:p>
  </w:footnote>
  <w:footnote w:id="9">
    <w:p w:rsidR="00AD10C4" w:rsidRPr="001D535F" w:rsidP="001D535F" w14:paraId="0A0EEE43" w14:textId="0E20A26A">
      <w:pPr>
        <w:pStyle w:val="FootnoteText"/>
        <w:spacing w:after="120"/>
      </w:pPr>
      <w:r w:rsidRPr="001D535F">
        <w:rPr>
          <w:rStyle w:val="FootnoteReference"/>
        </w:rPr>
        <w:footnoteRef/>
      </w:r>
      <w:r w:rsidRPr="001D535F">
        <w:t xml:space="preserve"> Green Choice Memorandum Contra, at 4.</w:t>
      </w:r>
    </w:p>
  </w:footnote>
  <w:footnote w:id="10">
    <w:p w:rsidR="001017FF" w:rsidRPr="001D535F" w:rsidP="001D535F" w14:paraId="3626FF93" w14:textId="26FCA244">
      <w:pPr>
        <w:pStyle w:val="FootnoteText"/>
        <w:spacing w:after="120"/>
      </w:pPr>
      <w:r w:rsidRPr="001D535F">
        <w:rPr>
          <w:rStyle w:val="FootnoteReference"/>
        </w:rPr>
        <w:footnoteRef/>
      </w:r>
      <w:r w:rsidRPr="001D535F">
        <w:t xml:space="preserve"> </w:t>
      </w:r>
      <w:r w:rsidRPr="001D535F" w:rsidR="004E2A2C">
        <w:t>Green Choice</w:t>
      </w:r>
      <w:r w:rsidRPr="001D535F">
        <w:t xml:space="preserve"> Memo</w:t>
      </w:r>
      <w:r w:rsidRPr="001D535F" w:rsidR="004E2A2C">
        <w:t>randum</w:t>
      </w:r>
      <w:r w:rsidRPr="001D535F">
        <w:t xml:space="preserve"> Contra</w:t>
      </w:r>
      <w:r w:rsidRPr="001D535F" w:rsidR="006E6D5D">
        <w:t>,</w:t>
      </w:r>
      <w:r w:rsidRPr="001D535F">
        <w:t xml:space="preserve"> at </w:t>
      </w:r>
      <w:r w:rsidRPr="001D535F" w:rsidR="009C4CD3">
        <w:t>3-6</w:t>
      </w:r>
      <w:r w:rsidRPr="001D535F">
        <w:t>.</w:t>
      </w:r>
    </w:p>
  </w:footnote>
  <w:footnote w:id="11">
    <w:p w:rsidR="00DD2181" w:rsidRPr="001D535F" w:rsidP="001D535F" w14:paraId="5D120C96" w14:textId="16E037A1">
      <w:pPr>
        <w:pStyle w:val="FootnoteText"/>
        <w:spacing w:after="120"/>
      </w:pPr>
      <w:r w:rsidRPr="001D535F">
        <w:rPr>
          <w:rStyle w:val="FootnoteReference"/>
        </w:rPr>
        <w:footnoteRef/>
      </w:r>
      <w:r w:rsidRPr="001D535F">
        <w:t xml:space="preserve"> </w:t>
      </w:r>
      <w:r w:rsidRPr="001D535F">
        <w:rPr>
          <w:i/>
          <w:iCs/>
        </w:rPr>
        <w:t>In the Matter of the Complaint of the Office of Consumers’ Counsel on Behalf of the Residents of Copley Village Condominium Association I and Copley Village Condominium Association II v. Ohio Edison Company</w:t>
      </w:r>
      <w:r w:rsidRPr="001D535F">
        <w:t>, Case No. 89-1031-EL-CSS, 1989 Ohio PUC LEXIS 1100, *5 (emphasis added).</w:t>
      </w:r>
    </w:p>
  </w:footnote>
  <w:footnote w:id="12">
    <w:p w:rsidR="008C237A" w:rsidRPr="001D535F" w:rsidP="001D535F" w14:paraId="602C9C90" w14:textId="03EB4E7F">
      <w:pPr>
        <w:pStyle w:val="FootnoteText"/>
        <w:spacing w:after="120"/>
      </w:pPr>
      <w:r w:rsidRPr="001D535F">
        <w:rPr>
          <w:rStyle w:val="FootnoteReference"/>
        </w:rPr>
        <w:footnoteRef/>
      </w:r>
      <w:r w:rsidRPr="001D535F">
        <w:t xml:space="preserve"> </w:t>
      </w:r>
      <w:r w:rsidRPr="001D535F" w:rsidR="007856B5">
        <w:rPr>
          <w:i/>
          <w:iCs/>
        </w:rPr>
        <w:t xml:space="preserve">See </w:t>
      </w:r>
      <w:r w:rsidRPr="001D535F" w:rsidR="007856B5">
        <w:t>PALMco 2 Investigation, PALMco Memorandum Contra Office of the Ohio Consumers’ Counsel’s Motion to Intervene (Jan</w:t>
      </w:r>
      <w:r w:rsidR="005C64EE">
        <w:t>uary</w:t>
      </w:r>
      <w:r w:rsidRPr="001D535F" w:rsidR="007856B5">
        <w:t xml:space="preserve"> 13, 2020), at 5-6.</w:t>
      </w:r>
    </w:p>
  </w:footnote>
  <w:footnote w:id="13">
    <w:p w:rsidR="00EE2ACE" w:rsidRPr="001D535F" w:rsidP="001D535F" w14:paraId="25E85674" w14:textId="43054486">
      <w:pPr>
        <w:pStyle w:val="FootnoteText"/>
        <w:spacing w:after="120"/>
      </w:pPr>
      <w:r w:rsidRPr="001D535F">
        <w:rPr>
          <w:rStyle w:val="FootnoteReference"/>
        </w:rPr>
        <w:footnoteRef/>
      </w:r>
      <w:r w:rsidRPr="001D535F">
        <w:t xml:space="preserve"> PALMco 2 Investigation, Entry (April 6, 2020), at ¶ 19.</w:t>
      </w:r>
    </w:p>
  </w:footnote>
  <w:footnote w:id="14">
    <w:p w:rsidR="00EE2ACE" w:rsidRPr="001D535F" w:rsidP="001D535F" w14:paraId="6128056C" w14:textId="251BF9E4">
      <w:pPr>
        <w:pStyle w:val="FootnoteText"/>
        <w:spacing w:after="120"/>
      </w:pPr>
      <w:r w:rsidRPr="001D535F">
        <w:rPr>
          <w:rStyle w:val="FootnoteReference"/>
        </w:rPr>
        <w:footnoteRef/>
      </w:r>
      <w:r w:rsidRPr="001D535F">
        <w:t xml:space="preserve"> </w:t>
      </w:r>
      <w:r w:rsidRPr="001D535F" w:rsidR="00DB1434">
        <w:t xml:space="preserve">SFE Investigation, </w:t>
      </w:r>
      <w:r w:rsidRPr="001D535F" w:rsidR="00486815">
        <w:t>Entry (Sept</w:t>
      </w:r>
      <w:r w:rsidR="005C64EE">
        <w:t>ember</w:t>
      </w:r>
      <w:r w:rsidRPr="001D535F" w:rsidR="00486815">
        <w:t xml:space="preserve"> 28, 2020), at ¶</w:t>
      </w:r>
      <w:r w:rsidRPr="001D535F" w:rsidR="008926FA">
        <w:t xml:space="preserve"> 13.</w:t>
      </w:r>
    </w:p>
  </w:footnote>
  <w:footnote w:id="15">
    <w:p w:rsidR="006F27E7" w:rsidRPr="001D535F" w:rsidP="001D535F" w14:paraId="7E6E0D96" w14:textId="19B5C37D">
      <w:pPr>
        <w:pStyle w:val="FootnoteText"/>
        <w:spacing w:after="120"/>
        <w:rPr>
          <w:i/>
          <w:iCs/>
        </w:rPr>
      </w:pPr>
      <w:r w:rsidRPr="001D535F">
        <w:rPr>
          <w:rStyle w:val="FootnoteReference"/>
        </w:rPr>
        <w:footnoteRef/>
      </w:r>
      <w:r w:rsidRPr="001D535F">
        <w:t xml:space="preserve"> </w:t>
      </w:r>
      <w:r w:rsidRPr="001D535F" w:rsidR="00EE2ACE">
        <w:rPr>
          <w:i/>
          <w:iCs/>
        </w:rPr>
        <w:t>Id.</w:t>
      </w:r>
    </w:p>
  </w:footnote>
  <w:footnote w:id="16">
    <w:p w:rsidR="00E72AE7" w:rsidRPr="001D535F" w:rsidP="001D535F" w14:paraId="0CA2AB39" w14:textId="6D195146">
      <w:pPr>
        <w:pStyle w:val="FootnoteText"/>
        <w:spacing w:after="120"/>
      </w:pPr>
      <w:r w:rsidRPr="001D535F">
        <w:rPr>
          <w:rStyle w:val="FootnoteReference"/>
        </w:rPr>
        <w:footnoteRef/>
      </w:r>
      <w:r w:rsidRPr="001D535F">
        <w:t xml:space="preserve"> Green Choice Memorandum Contra, at 6-7.</w:t>
      </w:r>
    </w:p>
  </w:footnote>
  <w:footnote w:id="17">
    <w:p w:rsidR="00E72AE7" w:rsidRPr="001D535F" w:rsidP="001D535F" w14:paraId="32837F69" w14:textId="7F4FD37A">
      <w:pPr>
        <w:pStyle w:val="FootnoteText"/>
        <w:spacing w:after="120"/>
      </w:pPr>
      <w:r w:rsidRPr="001D535F">
        <w:rPr>
          <w:rStyle w:val="FootnoteReference"/>
        </w:rPr>
        <w:footnoteRef/>
      </w:r>
      <w:r w:rsidRPr="001D535F">
        <w:t xml:space="preserve"> </w:t>
      </w:r>
      <w:r w:rsidRPr="001D535F">
        <w:rPr>
          <w:i/>
          <w:iCs/>
        </w:rPr>
        <w:t xml:space="preserve">See </w:t>
      </w:r>
      <w:r w:rsidRPr="005C64EE">
        <w:rPr>
          <w:i/>
          <w:iCs/>
        </w:rPr>
        <w:t>supra</w:t>
      </w:r>
      <w:r w:rsidRPr="001D535F">
        <w:t xml:space="preserve"> note </w:t>
      </w:r>
      <w:r w:rsidRPr="001D535F" w:rsidR="004677E5">
        <w:t>5</w:t>
      </w:r>
      <w:r w:rsidRPr="001D535F">
        <w:t xml:space="preserve">. </w:t>
      </w:r>
    </w:p>
  </w:footnote>
  <w:footnote w:id="18">
    <w:p w:rsidR="00E67DCE" w:rsidRPr="001D535F" w:rsidP="001D535F" w14:paraId="2C9B532E" w14:textId="51AF0077">
      <w:pPr>
        <w:pStyle w:val="FootnoteText"/>
        <w:spacing w:after="120"/>
      </w:pPr>
      <w:r w:rsidRPr="001D535F">
        <w:rPr>
          <w:rStyle w:val="FootnoteReference"/>
        </w:rPr>
        <w:footnoteRef/>
      </w:r>
      <w:r w:rsidRPr="001D535F">
        <w:t xml:space="preserve"> </w:t>
      </w:r>
      <w:r w:rsidRPr="001D535F">
        <w:rPr>
          <w:i/>
          <w:iCs/>
        </w:rPr>
        <w:t>See In the Matter of the Complaint of Jeffrey Pitzer v. Duke Energy Ohio, Inc.</w:t>
      </w:r>
      <w:r w:rsidRPr="001D535F">
        <w:t>, Case No. 15-298-GE-CSS, Entry (July 10, 2015)</w:t>
      </w:r>
      <w:r w:rsidRPr="001D535F" w:rsidR="00C158A5">
        <w:t>.</w:t>
      </w:r>
    </w:p>
  </w:footnote>
  <w:footnote w:id="19">
    <w:p w:rsidR="00E72AE7" w:rsidRPr="001D535F" w:rsidP="001D535F" w14:paraId="57AA31D0" w14:textId="77777777">
      <w:pPr>
        <w:pStyle w:val="FootnoteText"/>
        <w:spacing w:after="120"/>
      </w:pPr>
      <w:r w:rsidRPr="001D535F">
        <w:rPr>
          <w:rStyle w:val="FootnoteReference"/>
        </w:rPr>
        <w:footnoteRef/>
      </w:r>
      <w:r w:rsidRPr="001D535F">
        <w:t xml:space="preserve"> R.C. 4911.02(B).</w:t>
      </w:r>
    </w:p>
  </w:footnote>
  <w:footnote w:id="20">
    <w:p w:rsidR="004677E5" w:rsidRPr="001D535F" w:rsidP="001D535F" w14:paraId="43E354F7" w14:textId="3470E2A3">
      <w:pPr>
        <w:pStyle w:val="FootnoteText"/>
        <w:spacing w:after="120"/>
      </w:pPr>
      <w:r w:rsidRPr="001D535F">
        <w:rPr>
          <w:rStyle w:val="FootnoteReference"/>
        </w:rPr>
        <w:footnoteRef/>
      </w:r>
      <w:r w:rsidRPr="001D535F">
        <w:t xml:space="preserve"> </w:t>
      </w:r>
      <w:r w:rsidRPr="001D535F">
        <w:rPr>
          <w:i/>
          <w:iCs/>
        </w:rPr>
        <w:t xml:space="preserve">See supra </w:t>
      </w:r>
      <w:r w:rsidRPr="001D535F">
        <w:t xml:space="preserve">note </w:t>
      </w:r>
      <w:r w:rsidRPr="001D535F">
        <w:t>5</w:t>
      </w:r>
      <w:r w:rsidRPr="001D535F">
        <w:t>.</w:t>
      </w:r>
    </w:p>
  </w:footnote>
  <w:footnote w:id="21">
    <w:p w:rsidR="006E6654" w:rsidRPr="001D535F" w:rsidP="001D535F" w14:paraId="6B709F2E" w14:textId="69B34FAB">
      <w:pPr>
        <w:pStyle w:val="FootnoteText"/>
        <w:spacing w:after="120"/>
      </w:pPr>
      <w:r w:rsidRPr="001D535F">
        <w:rPr>
          <w:rStyle w:val="FootnoteReference"/>
        </w:rPr>
        <w:footnoteRef/>
      </w:r>
      <w:r w:rsidRPr="001D535F">
        <w:t xml:space="preserve"> Green Choice Memorandum Contra, at 8-10.</w:t>
      </w:r>
    </w:p>
  </w:footnote>
  <w:footnote w:id="22">
    <w:p w:rsidR="00406DF4" w:rsidRPr="001D535F" w:rsidP="001D535F" w14:paraId="72133B2E" w14:textId="1F0445C4">
      <w:pPr>
        <w:pStyle w:val="FootnoteText"/>
        <w:spacing w:after="120"/>
      </w:pPr>
      <w:r w:rsidRPr="001D535F">
        <w:rPr>
          <w:rStyle w:val="FootnoteReference"/>
        </w:rPr>
        <w:footnoteRef/>
      </w:r>
      <w:r w:rsidRPr="001D535F">
        <w:t xml:space="preserve"> </w:t>
      </w:r>
      <w:r w:rsidRPr="001D535F">
        <w:rPr>
          <w:i/>
          <w:iCs/>
        </w:rPr>
        <w:t xml:space="preserve">See supra </w:t>
      </w:r>
      <w:r w:rsidRPr="001D535F">
        <w:t xml:space="preserve">note </w:t>
      </w:r>
      <w:r w:rsidRPr="001D535F" w:rsidR="004677E5">
        <w:t>5</w:t>
      </w:r>
      <w:r w:rsidRPr="001D535F">
        <w:t>.</w:t>
      </w:r>
    </w:p>
  </w:footnote>
  <w:footnote w:id="23">
    <w:p w:rsidR="00BE4041" w:rsidRPr="001D535F" w:rsidP="001D535F" w14:paraId="04DF5EBD" w14:textId="77777777">
      <w:pPr>
        <w:pStyle w:val="FootnoteText"/>
        <w:spacing w:after="120"/>
      </w:pPr>
      <w:r w:rsidRPr="001D535F">
        <w:rPr>
          <w:rStyle w:val="FootnoteReference"/>
        </w:rPr>
        <w:footnoteRef/>
      </w:r>
      <w:r w:rsidRPr="001D535F">
        <w:t xml:space="preserve"> </w:t>
      </w:r>
      <w:r w:rsidRPr="001D535F">
        <w:rPr>
          <w:i/>
        </w:rPr>
        <w:t>Ohio Consumers’ Counsel v. Pub. Util. Comm</w:t>
      </w:r>
      <w:r w:rsidRPr="001D535F">
        <w:t xml:space="preserve">., 111 Ohio St.3d 384, 388 (2006) (emphasis added). </w:t>
      </w:r>
    </w:p>
  </w:footnote>
  <w:footnote w:id="24">
    <w:p w:rsidR="00BE4041" w:rsidRPr="001D535F" w:rsidP="001D535F" w14:paraId="08423BE0" w14:textId="77777777">
      <w:pPr>
        <w:pStyle w:val="FootnoteText"/>
        <w:spacing w:after="120"/>
        <w:rPr>
          <w:iCs/>
        </w:rPr>
      </w:pPr>
      <w:r w:rsidRPr="001D535F">
        <w:rPr>
          <w:rStyle w:val="FootnoteReference"/>
        </w:rPr>
        <w:footnoteRef/>
      </w:r>
      <w:r w:rsidRPr="001D535F">
        <w:t xml:space="preserve"> </w:t>
      </w:r>
      <w:r w:rsidRPr="001D535F">
        <w:rPr>
          <w:i/>
        </w:rPr>
        <w:t>Id</w:t>
      </w:r>
      <w:r w:rsidRPr="001D535F">
        <w:t>.</w:t>
      </w:r>
      <w:r w:rsidRPr="001D535F">
        <w:rPr>
          <w:iCs/>
        </w:rPr>
        <w:t xml:space="preserve"> Green Choice claims that OCC’s intervention would unduly prolong and delay the proceedings in this case. Below, OCC explains why Green Choice’s argument should be rejected. </w:t>
      </w:r>
    </w:p>
  </w:footnote>
  <w:footnote w:id="25">
    <w:p w:rsidR="00873C35" w:rsidRPr="001D535F" w:rsidP="001D535F" w14:paraId="6356CBC8" w14:textId="01F5203C">
      <w:pPr>
        <w:pStyle w:val="FootnoteText"/>
        <w:spacing w:after="120"/>
      </w:pPr>
      <w:r w:rsidRPr="001D535F">
        <w:rPr>
          <w:rStyle w:val="FootnoteReference"/>
        </w:rPr>
        <w:footnoteRef/>
      </w:r>
      <w:r w:rsidRPr="001D535F">
        <w:t xml:space="preserve"> PUCO Letter, at 2.</w:t>
      </w:r>
    </w:p>
  </w:footnote>
  <w:footnote w:id="26">
    <w:p w:rsidR="00154249" w:rsidRPr="001D535F" w:rsidP="001D535F" w14:paraId="61D7B878" w14:textId="33E261D5">
      <w:pPr>
        <w:pStyle w:val="FootnoteText"/>
        <w:spacing w:after="120"/>
      </w:pPr>
      <w:r w:rsidRPr="001D535F">
        <w:rPr>
          <w:rStyle w:val="FootnoteReference"/>
        </w:rPr>
        <w:footnoteRef/>
      </w:r>
      <w:r w:rsidRPr="001D535F">
        <w:t xml:space="preserve"> </w:t>
      </w:r>
      <w:r w:rsidRPr="001D535F">
        <w:rPr>
          <w:i/>
          <w:iCs/>
        </w:rPr>
        <w:t>Id.</w:t>
      </w:r>
      <w:r w:rsidRPr="001D535F">
        <w:t xml:space="preserve"> at Attachment A.</w:t>
      </w:r>
    </w:p>
  </w:footnote>
  <w:footnote w:id="27">
    <w:p w:rsidR="00154249" w:rsidRPr="001D535F" w:rsidP="001D535F" w14:paraId="69F1E148" w14:textId="0ECFFF87">
      <w:pPr>
        <w:pStyle w:val="FootnoteText"/>
        <w:spacing w:after="120"/>
        <w:rPr>
          <w:i/>
          <w:iCs/>
        </w:rPr>
      </w:pPr>
      <w:r w:rsidRPr="001D535F">
        <w:rPr>
          <w:rStyle w:val="FootnoteReference"/>
        </w:rPr>
        <w:footnoteRef/>
      </w:r>
      <w:r w:rsidRPr="001D535F">
        <w:t xml:space="preserve"> </w:t>
      </w:r>
      <w:r w:rsidRPr="001D535F">
        <w:rPr>
          <w:i/>
          <w:iCs/>
        </w:rPr>
        <w:t>Id.</w:t>
      </w:r>
    </w:p>
  </w:footnote>
  <w:footnote w:id="28">
    <w:p w:rsidR="00C0712A" w:rsidRPr="001D535F" w:rsidP="001D535F" w14:paraId="6D3C6BBF" w14:textId="64249A12">
      <w:pPr>
        <w:pStyle w:val="FootnoteText"/>
        <w:spacing w:after="120"/>
      </w:pPr>
      <w:r w:rsidRPr="001D535F">
        <w:rPr>
          <w:rStyle w:val="FootnoteReference"/>
        </w:rPr>
        <w:footnoteRef/>
      </w:r>
      <w:r w:rsidRPr="001D535F">
        <w:t xml:space="preserve"> </w:t>
      </w:r>
      <w:r w:rsidRPr="001D535F" w:rsidR="007B0422">
        <w:t>Green Choice</w:t>
      </w:r>
      <w:r w:rsidRPr="001D535F">
        <w:t xml:space="preserve"> Memo</w:t>
      </w:r>
      <w:r w:rsidRPr="001D535F" w:rsidR="007B0422">
        <w:t>randum</w:t>
      </w:r>
      <w:r w:rsidRPr="001D535F">
        <w:t xml:space="preserve"> Contra</w:t>
      </w:r>
      <w:r w:rsidRPr="001D535F" w:rsidR="006E6D5D">
        <w:t>,</w:t>
      </w:r>
      <w:r w:rsidRPr="001D535F">
        <w:t xml:space="preserve"> at </w:t>
      </w:r>
      <w:r w:rsidRPr="001D535F" w:rsidR="007B0422">
        <w:t>8-10</w:t>
      </w:r>
      <w:r w:rsidRPr="001D535F">
        <w:t>.</w:t>
      </w:r>
    </w:p>
  </w:footnote>
  <w:footnote w:id="29">
    <w:p w:rsidR="00154249" w:rsidRPr="001D535F" w:rsidP="001D535F" w14:paraId="19EA3B4E" w14:textId="5C8A8BAC">
      <w:pPr>
        <w:pStyle w:val="FootnoteText"/>
        <w:spacing w:after="120"/>
      </w:pPr>
      <w:r w:rsidRPr="001D535F">
        <w:rPr>
          <w:rStyle w:val="FootnoteReference"/>
        </w:rPr>
        <w:footnoteRef/>
      </w:r>
      <w:r w:rsidRPr="001D535F">
        <w:t xml:space="preserve"> </w:t>
      </w:r>
      <w:r w:rsidRPr="001D535F" w:rsidR="008E72C7">
        <w:t>PUCO Staff Letter, at 2.</w:t>
      </w:r>
    </w:p>
  </w:footnote>
  <w:footnote w:id="30">
    <w:p w:rsidR="006F27E7" w:rsidRPr="001D535F" w:rsidP="001D535F" w14:paraId="49F69417" w14:textId="4A1D3713">
      <w:pPr>
        <w:pStyle w:val="FootnoteText"/>
        <w:spacing w:after="120"/>
      </w:pPr>
      <w:r w:rsidRPr="001D535F">
        <w:rPr>
          <w:rStyle w:val="FootnoteReference"/>
        </w:rPr>
        <w:footnoteRef/>
      </w:r>
      <w:r w:rsidRPr="001D535F">
        <w:t xml:space="preserve"> </w:t>
      </w:r>
      <w:r w:rsidRPr="001D535F" w:rsidR="007F40A0">
        <w:t>Green Choice Memorandum Contra,</w:t>
      </w:r>
      <w:r w:rsidRPr="001D535F">
        <w:t xml:space="preserve"> at 8.</w:t>
      </w:r>
    </w:p>
  </w:footnote>
  <w:footnote w:id="31">
    <w:p w:rsidR="00DC7ADF" w:rsidRPr="001D535F" w:rsidP="001D535F" w14:paraId="5790ADC6" w14:textId="5DD6BBD4">
      <w:pPr>
        <w:pStyle w:val="FootnoteText"/>
        <w:spacing w:after="120"/>
      </w:pPr>
      <w:r w:rsidRPr="001D535F">
        <w:rPr>
          <w:rStyle w:val="FootnoteReference"/>
        </w:rPr>
        <w:footnoteRef/>
      </w:r>
      <w:r w:rsidRPr="001D535F">
        <w:t xml:space="preserve"> PUCO Staff Letter, at 2.</w:t>
      </w:r>
    </w:p>
  </w:footnote>
  <w:footnote w:id="32">
    <w:p w:rsidR="006F27E7" w:rsidRPr="001D535F" w:rsidP="001D535F" w14:paraId="65541DC4" w14:textId="11F08B63">
      <w:pPr>
        <w:pStyle w:val="FootnoteText"/>
        <w:spacing w:after="120"/>
      </w:pPr>
      <w:r w:rsidRPr="001D535F">
        <w:rPr>
          <w:rStyle w:val="FootnoteReference"/>
        </w:rPr>
        <w:footnoteRef/>
      </w:r>
      <w:r w:rsidRPr="001D535F">
        <w:t xml:space="preserve"> Green Choice Memorandum Contra, at 10.</w:t>
      </w:r>
    </w:p>
  </w:footnote>
  <w:footnote w:id="33">
    <w:p w:rsidR="0007088F" w:rsidRPr="001D535F" w:rsidP="001D535F" w14:paraId="0A232141" w14:textId="38A279C4">
      <w:pPr>
        <w:pStyle w:val="FootnoteText"/>
        <w:spacing w:after="120"/>
      </w:pPr>
      <w:r w:rsidRPr="001D535F">
        <w:rPr>
          <w:rStyle w:val="FootnoteReference"/>
        </w:rPr>
        <w:footnoteRef/>
      </w:r>
      <w:r w:rsidRPr="001D535F">
        <w:t xml:space="preserve"> </w:t>
      </w:r>
      <w:r w:rsidRPr="001D535F">
        <w:rPr>
          <w:i/>
          <w:iCs/>
        </w:rPr>
        <w:t>Id.</w:t>
      </w:r>
      <w:r w:rsidRPr="001D535F">
        <w:t xml:space="preserv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05" w14:paraId="294DD9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805C31"/>
    <w:multiLevelType w:val="hybridMultilevel"/>
    <w:tmpl w:val="4874126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FF0C59"/>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4F4496"/>
    <w:multiLevelType w:val="hybridMultilevel"/>
    <w:tmpl w:val="32E6EAA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794F198A"/>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11"/>
  </w:num>
  <w:num w:numId="5">
    <w:abstractNumId w:val="1"/>
  </w:num>
  <w:num w:numId="6">
    <w:abstractNumId w:val="13"/>
  </w:num>
  <w:num w:numId="7">
    <w:abstractNumId w:val="3"/>
  </w:num>
  <w:num w:numId="8">
    <w:abstractNumId w:val="10"/>
  </w:num>
  <w:num w:numId="9">
    <w:abstractNumId w:val="5"/>
  </w:num>
  <w:num w:numId="10">
    <w:abstractNumId w:val="0"/>
  </w:num>
  <w:num w:numId="11">
    <w:abstractNumId w:val="7"/>
  </w:num>
  <w:num w:numId="12">
    <w:abstractNumId w:val="2"/>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110D"/>
    <w:rsid w:val="000039FF"/>
    <w:rsid w:val="00016647"/>
    <w:rsid w:val="000202BF"/>
    <w:rsid w:val="00022148"/>
    <w:rsid w:val="00026747"/>
    <w:rsid w:val="00027501"/>
    <w:rsid w:val="00031682"/>
    <w:rsid w:val="00034CD8"/>
    <w:rsid w:val="000354AA"/>
    <w:rsid w:val="000412B5"/>
    <w:rsid w:val="00050A9D"/>
    <w:rsid w:val="00051C12"/>
    <w:rsid w:val="000524E0"/>
    <w:rsid w:val="000526F0"/>
    <w:rsid w:val="000578A2"/>
    <w:rsid w:val="000635F2"/>
    <w:rsid w:val="0006609A"/>
    <w:rsid w:val="00066CF9"/>
    <w:rsid w:val="000671F2"/>
    <w:rsid w:val="0007088F"/>
    <w:rsid w:val="00091197"/>
    <w:rsid w:val="00091BC7"/>
    <w:rsid w:val="000925F8"/>
    <w:rsid w:val="000A0D13"/>
    <w:rsid w:val="000A2D44"/>
    <w:rsid w:val="000A3B40"/>
    <w:rsid w:val="000A3CAF"/>
    <w:rsid w:val="000A4150"/>
    <w:rsid w:val="000A469D"/>
    <w:rsid w:val="000B1BB1"/>
    <w:rsid w:val="000B1CB4"/>
    <w:rsid w:val="000B5816"/>
    <w:rsid w:val="000B7ED7"/>
    <w:rsid w:val="000C49E0"/>
    <w:rsid w:val="000D0DD6"/>
    <w:rsid w:val="000D4523"/>
    <w:rsid w:val="000E3CF4"/>
    <w:rsid w:val="000E6C64"/>
    <w:rsid w:val="000F0366"/>
    <w:rsid w:val="000F0B9D"/>
    <w:rsid w:val="000F389B"/>
    <w:rsid w:val="000F5572"/>
    <w:rsid w:val="001004E4"/>
    <w:rsid w:val="001017FF"/>
    <w:rsid w:val="0010516C"/>
    <w:rsid w:val="00106466"/>
    <w:rsid w:val="00106709"/>
    <w:rsid w:val="00106AD8"/>
    <w:rsid w:val="001077B5"/>
    <w:rsid w:val="00107DE7"/>
    <w:rsid w:val="00110037"/>
    <w:rsid w:val="001101EE"/>
    <w:rsid w:val="00114114"/>
    <w:rsid w:val="001151B9"/>
    <w:rsid w:val="001233CD"/>
    <w:rsid w:val="001239CE"/>
    <w:rsid w:val="00124E2D"/>
    <w:rsid w:val="00131AF0"/>
    <w:rsid w:val="00131EDB"/>
    <w:rsid w:val="00134990"/>
    <w:rsid w:val="0013499B"/>
    <w:rsid w:val="00137B4D"/>
    <w:rsid w:val="001467EE"/>
    <w:rsid w:val="00151C2D"/>
    <w:rsid w:val="00154249"/>
    <w:rsid w:val="00155A3A"/>
    <w:rsid w:val="0015682E"/>
    <w:rsid w:val="00160EA7"/>
    <w:rsid w:val="00162330"/>
    <w:rsid w:val="00162941"/>
    <w:rsid w:val="00163C30"/>
    <w:rsid w:val="00165BE8"/>
    <w:rsid w:val="00170460"/>
    <w:rsid w:val="00174D12"/>
    <w:rsid w:val="001836F7"/>
    <w:rsid w:val="0018576C"/>
    <w:rsid w:val="00187364"/>
    <w:rsid w:val="001941E0"/>
    <w:rsid w:val="001948AF"/>
    <w:rsid w:val="001974F7"/>
    <w:rsid w:val="001A32B9"/>
    <w:rsid w:val="001A5616"/>
    <w:rsid w:val="001A7091"/>
    <w:rsid w:val="001A7452"/>
    <w:rsid w:val="001B2ADD"/>
    <w:rsid w:val="001B409B"/>
    <w:rsid w:val="001C2403"/>
    <w:rsid w:val="001C4D30"/>
    <w:rsid w:val="001C5EA5"/>
    <w:rsid w:val="001D3793"/>
    <w:rsid w:val="001D535F"/>
    <w:rsid w:val="001E73A3"/>
    <w:rsid w:val="001F372C"/>
    <w:rsid w:val="001F6EC4"/>
    <w:rsid w:val="00204DCE"/>
    <w:rsid w:val="0020516E"/>
    <w:rsid w:val="0020533C"/>
    <w:rsid w:val="00206E19"/>
    <w:rsid w:val="00210D25"/>
    <w:rsid w:val="00216EDE"/>
    <w:rsid w:val="00220694"/>
    <w:rsid w:val="00225741"/>
    <w:rsid w:val="00231BA4"/>
    <w:rsid w:val="00234F55"/>
    <w:rsid w:val="00240621"/>
    <w:rsid w:val="00241D43"/>
    <w:rsid w:val="002422D0"/>
    <w:rsid w:val="0024468E"/>
    <w:rsid w:val="00246BF3"/>
    <w:rsid w:val="00247F58"/>
    <w:rsid w:val="00260432"/>
    <w:rsid w:val="002622B5"/>
    <w:rsid w:val="00262528"/>
    <w:rsid w:val="00263991"/>
    <w:rsid w:val="00272A47"/>
    <w:rsid w:val="00273017"/>
    <w:rsid w:val="00274DC4"/>
    <w:rsid w:val="00274EB5"/>
    <w:rsid w:val="002750A5"/>
    <w:rsid w:val="00276DF1"/>
    <w:rsid w:val="002803A7"/>
    <w:rsid w:val="0029380D"/>
    <w:rsid w:val="00294557"/>
    <w:rsid w:val="00295113"/>
    <w:rsid w:val="002957C4"/>
    <w:rsid w:val="002A2129"/>
    <w:rsid w:val="002A4452"/>
    <w:rsid w:val="002A715F"/>
    <w:rsid w:val="002B08BF"/>
    <w:rsid w:val="002B3086"/>
    <w:rsid w:val="002B3605"/>
    <w:rsid w:val="002C1C0A"/>
    <w:rsid w:val="002C2434"/>
    <w:rsid w:val="002C40AA"/>
    <w:rsid w:val="002C4F13"/>
    <w:rsid w:val="002D185D"/>
    <w:rsid w:val="002E1127"/>
    <w:rsid w:val="002E17C2"/>
    <w:rsid w:val="002E4553"/>
    <w:rsid w:val="002E5927"/>
    <w:rsid w:val="002F3162"/>
    <w:rsid w:val="002F59DA"/>
    <w:rsid w:val="002F5E90"/>
    <w:rsid w:val="0030206E"/>
    <w:rsid w:val="0030616B"/>
    <w:rsid w:val="003122E4"/>
    <w:rsid w:val="003346CD"/>
    <w:rsid w:val="00337645"/>
    <w:rsid w:val="00337FD0"/>
    <w:rsid w:val="00340F51"/>
    <w:rsid w:val="0034156F"/>
    <w:rsid w:val="00344050"/>
    <w:rsid w:val="00344F44"/>
    <w:rsid w:val="0034729F"/>
    <w:rsid w:val="0035237D"/>
    <w:rsid w:val="00362EB8"/>
    <w:rsid w:val="00365412"/>
    <w:rsid w:val="003833FB"/>
    <w:rsid w:val="003837A6"/>
    <w:rsid w:val="00391638"/>
    <w:rsid w:val="00397CD8"/>
    <w:rsid w:val="00397F54"/>
    <w:rsid w:val="003A05EC"/>
    <w:rsid w:val="003A2BAC"/>
    <w:rsid w:val="003A42F4"/>
    <w:rsid w:val="003A4904"/>
    <w:rsid w:val="003B1A4B"/>
    <w:rsid w:val="003C67FD"/>
    <w:rsid w:val="003D715D"/>
    <w:rsid w:val="003E0E94"/>
    <w:rsid w:val="003E2634"/>
    <w:rsid w:val="003F1EB8"/>
    <w:rsid w:val="003F44AC"/>
    <w:rsid w:val="003F4844"/>
    <w:rsid w:val="003F7530"/>
    <w:rsid w:val="00400B5C"/>
    <w:rsid w:val="00406DF4"/>
    <w:rsid w:val="00413A2B"/>
    <w:rsid w:val="0041483E"/>
    <w:rsid w:val="00415B1A"/>
    <w:rsid w:val="004172B8"/>
    <w:rsid w:val="00417BBC"/>
    <w:rsid w:val="00424A92"/>
    <w:rsid w:val="004308A8"/>
    <w:rsid w:val="004317F7"/>
    <w:rsid w:val="00435C69"/>
    <w:rsid w:val="00441D30"/>
    <w:rsid w:val="00447972"/>
    <w:rsid w:val="004535A2"/>
    <w:rsid w:val="0045416D"/>
    <w:rsid w:val="00457D1C"/>
    <w:rsid w:val="004603BD"/>
    <w:rsid w:val="004629B7"/>
    <w:rsid w:val="00463BF8"/>
    <w:rsid w:val="00465BC4"/>
    <w:rsid w:val="004677E5"/>
    <w:rsid w:val="004719C4"/>
    <w:rsid w:val="00473351"/>
    <w:rsid w:val="004829D6"/>
    <w:rsid w:val="00483D93"/>
    <w:rsid w:val="00484B09"/>
    <w:rsid w:val="00486815"/>
    <w:rsid w:val="0049109A"/>
    <w:rsid w:val="0049214A"/>
    <w:rsid w:val="004A22C8"/>
    <w:rsid w:val="004A3D04"/>
    <w:rsid w:val="004A62F4"/>
    <w:rsid w:val="004A66B6"/>
    <w:rsid w:val="004A6984"/>
    <w:rsid w:val="004A6EE2"/>
    <w:rsid w:val="004B1662"/>
    <w:rsid w:val="004B17F3"/>
    <w:rsid w:val="004B69AE"/>
    <w:rsid w:val="004B7901"/>
    <w:rsid w:val="004C070C"/>
    <w:rsid w:val="004C0B58"/>
    <w:rsid w:val="004C1B77"/>
    <w:rsid w:val="004D241F"/>
    <w:rsid w:val="004D44AF"/>
    <w:rsid w:val="004D4C9B"/>
    <w:rsid w:val="004E1D79"/>
    <w:rsid w:val="004E2A2C"/>
    <w:rsid w:val="004E44F4"/>
    <w:rsid w:val="004E6536"/>
    <w:rsid w:val="004E7041"/>
    <w:rsid w:val="004E7DFC"/>
    <w:rsid w:val="004F646B"/>
    <w:rsid w:val="004F73E5"/>
    <w:rsid w:val="00500B79"/>
    <w:rsid w:val="00501550"/>
    <w:rsid w:val="00501992"/>
    <w:rsid w:val="00503056"/>
    <w:rsid w:val="00510045"/>
    <w:rsid w:val="00511807"/>
    <w:rsid w:val="00511FA9"/>
    <w:rsid w:val="005152CF"/>
    <w:rsid w:val="00521DD9"/>
    <w:rsid w:val="00526FC5"/>
    <w:rsid w:val="00532D71"/>
    <w:rsid w:val="005356D7"/>
    <w:rsid w:val="00543D32"/>
    <w:rsid w:val="00544F0C"/>
    <w:rsid w:val="0054563D"/>
    <w:rsid w:val="00545D3C"/>
    <w:rsid w:val="00553AEB"/>
    <w:rsid w:val="005547C6"/>
    <w:rsid w:val="0056206C"/>
    <w:rsid w:val="005637DC"/>
    <w:rsid w:val="00566CF1"/>
    <w:rsid w:val="00575526"/>
    <w:rsid w:val="00577318"/>
    <w:rsid w:val="00577C6E"/>
    <w:rsid w:val="00586ED4"/>
    <w:rsid w:val="0059231F"/>
    <w:rsid w:val="0059283C"/>
    <w:rsid w:val="00593F41"/>
    <w:rsid w:val="00594E90"/>
    <w:rsid w:val="005961A7"/>
    <w:rsid w:val="005A19C2"/>
    <w:rsid w:val="005A284D"/>
    <w:rsid w:val="005A4C7E"/>
    <w:rsid w:val="005A6DBC"/>
    <w:rsid w:val="005B331B"/>
    <w:rsid w:val="005B6B86"/>
    <w:rsid w:val="005C407E"/>
    <w:rsid w:val="005C5C98"/>
    <w:rsid w:val="005C64EE"/>
    <w:rsid w:val="005D3F48"/>
    <w:rsid w:val="005D4737"/>
    <w:rsid w:val="005F1B61"/>
    <w:rsid w:val="005F1BA0"/>
    <w:rsid w:val="005F2298"/>
    <w:rsid w:val="00603277"/>
    <w:rsid w:val="0060598B"/>
    <w:rsid w:val="00606D17"/>
    <w:rsid w:val="00611649"/>
    <w:rsid w:val="00613568"/>
    <w:rsid w:val="00614222"/>
    <w:rsid w:val="00614F1F"/>
    <w:rsid w:val="00615CAC"/>
    <w:rsid w:val="00615F55"/>
    <w:rsid w:val="00623BD0"/>
    <w:rsid w:val="006309C5"/>
    <w:rsid w:val="006357DA"/>
    <w:rsid w:val="006416B6"/>
    <w:rsid w:val="00641FA9"/>
    <w:rsid w:val="00642405"/>
    <w:rsid w:val="0064320C"/>
    <w:rsid w:val="006453F7"/>
    <w:rsid w:val="00646111"/>
    <w:rsid w:val="006511C0"/>
    <w:rsid w:val="0065689A"/>
    <w:rsid w:val="006629C4"/>
    <w:rsid w:val="00665C0A"/>
    <w:rsid w:val="006672FD"/>
    <w:rsid w:val="00667D30"/>
    <w:rsid w:val="00670895"/>
    <w:rsid w:val="00674C43"/>
    <w:rsid w:val="00677B52"/>
    <w:rsid w:val="00683224"/>
    <w:rsid w:val="006859F7"/>
    <w:rsid w:val="00685CF7"/>
    <w:rsid w:val="00687B8B"/>
    <w:rsid w:val="00690646"/>
    <w:rsid w:val="006917C6"/>
    <w:rsid w:val="00694B2A"/>
    <w:rsid w:val="006960C6"/>
    <w:rsid w:val="00697A2E"/>
    <w:rsid w:val="006A1716"/>
    <w:rsid w:val="006A3710"/>
    <w:rsid w:val="006A37D6"/>
    <w:rsid w:val="006B3314"/>
    <w:rsid w:val="006B3CF6"/>
    <w:rsid w:val="006B450E"/>
    <w:rsid w:val="006B764D"/>
    <w:rsid w:val="006C0815"/>
    <w:rsid w:val="006C2ACB"/>
    <w:rsid w:val="006D20C5"/>
    <w:rsid w:val="006D3179"/>
    <w:rsid w:val="006D3E00"/>
    <w:rsid w:val="006D4759"/>
    <w:rsid w:val="006D5580"/>
    <w:rsid w:val="006E569F"/>
    <w:rsid w:val="006E6654"/>
    <w:rsid w:val="006E6802"/>
    <w:rsid w:val="006E6D5D"/>
    <w:rsid w:val="006F27E7"/>
    <w:rsid w:val="006F29E2"/>
    <w:rsid w:val="006F4807"/>
    <w:rsid w:val="006F5202"/>
    <w:rsid w:val="00700A8A"/>
    <w:rsid w:val="00700FB1"/>
    <w:rsid w:val="0070178C"/>
    <w:rsid w:val="007115BE"/>
    <w:rsid w:val="00711BAE"/>
    <w:rsid w:val="007133F8"/>
    <w:rsid w:val="00716257"/>
    <w:rsid w:val="007212A9"/>
    <w:rsid w:val="00721F9A"/>
    <w:rsid w:val="00727FF6"/>
    <w:rsid w:val="00731B26"/>
    <w:rsid w:val="00731F02"/>
    <w:rsid w:val="007320F8"/>
    <w:rsid w:val="0073422D"/>
    <w:rsid w:val="0073453E"/>
    <w:rsid w:val="00736802"/>
    <w:rsid w:val="007528C2"/>
    <w:rsid w:val="0076595D"/>
    <w:rsid w:val="00766074"/>
    <w:rsid w:val="00775A93"/>
    <w:rsid w:val="0077658D"/>
    <w:rsid w:val="00782AB2"/>
    <w:rsid w:val="00785146"/>
    <w:rsid w:val="007856B5"/>
    <w:rsid w:val="00786590"/>
    <w:rsid w:val="00791135"/>
    <w:rsid w:val="007912E0"/>
    <w:rsid w:val="00791807"/>
    <w:rsid w:val="007A6127"/>
    <w:rsid w:val="007A7029"/>
    <w:rsid w:val="007A7105"/>
    <w:rsid w:val="007B0422"/>
    <w:rsid w:val="007B068C"/>
    <w:rsid w:val="007B142D"/>
    <w:rsid w:val="007B390B"/>
    <w:rsid w:val="007B3AF6"/>
    <w:rsid w:val="007B77D3"/>
    <w:rsid w:val="007C14AA"/>
    <w:rsid w:val="007C26AC"/>
    <w:rsid w:val="007C560A"/>
    <w:rsid w:val="007D295A"/>
    <w:rsid w:val="007D543C"/>
    <w:rsid w:val="007D5AE5"/>
    <w:rsid w:val="007E2879"/>
    <w:rsid w:val="007E4AE3"/>
    <w:rsid w:val="007F08CC"/>
    <w:rsid w:val="007F2CC1"/>
    <w:rsid w:val="007F40A0"/>
    <w:rsid w:val="007F48D4"/>
    <w:rsid w:val="008001E5"/>
    <w:rsid w:val="00804E49"/>
    <w:rsid w:val="00805AD1"/>
    <w:rsid w:val="00805F1D"/>
    <w:rsid w:val="0080746E"/>
    <w:rsid w:val="00807AD7"/>
    <w:rsid w:val="00810BAE"/>
    <w:rsid w:val="00812AC8"/>
    <w:rsid w:val="00813CC3"/>
    <w:rsid w:val="00814057"/>
    <w:rsid w:val="008141BB"/>
    <w:rsid w:val="008148F4"/>
    <w:rsid w:val="0081674B"/>
    <w:rsid w:val="00820F8F"/>
    <w:rsid w:val="00822497"/>
    <w:rsid w:val="00822AAC"/>
    <w:rsid w:val="00823B23"/>
    <w:rsid w:val="0082794D"/>
    <w:rsid w:val="008310ED"/>
    <w:rsid w:val="00832191"/>
    <w:rsid w:val="0083259F"/>
    <w:rsid w:val="008331FF"/>
    <w:rsid w:val="0083591F"/>
    <w:rsid w:val="00837DD4"/>
    <w:rsid w:val="00841F00"/>
    <w:rsid w:val="0084727C"/>
    <w:rsid w:val="00851376"/>
    <w:rsid w:val="00854068"/>
    <w:rsid w:val="00861214"/>
    <w:rsid w:val="0086369F"/>
    <w:rsid w:val="0086417B"/>
    <w:rsid w:val="00864D76"/>
    <w:rsid w:val="00865ACA"/>
    <w:rsid w:val="008673F7"/>
    <w:rsid w:val="00873C35"/>
    <w:rsid w:val="00883E8D"/>
    <w:rsid w:val="0088688C"/>
    <w:rsid w:val="00887AF3"/>
    <w:rsid w:val="008904E7"/>
    <w:rsid w:val="00891815"/>
    <w:rsid w:val="008926FA"/>
    <w:rsid w:val="0089369B"/>
    <w:rsid w:val="00894375"/>
    <w:rsid w:val="0089543E"/>
    <w:rsid w:val="00895DC9"/>
    <w:rsid w:val="00897771"/>
    <w:rsid w:val="008A0C72"/>
    <w:rsid w:val="008A4135"/>
    <w:rsid w:val="008A5565"/>
    <w:rsid w:val="008A66E7"/>
    <w:rsid w:val="008B68AF"/>
    <w:rsid w:val="008C237A"/>
    <w:rsid w:val="008C52F2"/>
    <w:rsid w:val="008C6A81"/>
    <w:rsid w:val="008D33BD"/>
    <w:rsid w:val="008D5052"/>
    <w:rsid w:val="008E047C"/>
    <w:rsid w:val="008E0F30"/>
    <w:rsid w:val="008E2005"/>
    <w:rsid w:val="008E4DEF"/>
    <w:rsid w:val="008E72C7"/>
    <w:rsid w:val="008F18E5"/>
    <w:rsid w:val="008F3F7B"/>
    <w:rsid w:val="008F6A9C"/>
    <w:rsid w:val="008F7E3B"/>
    <w:rsid w:val="00901A32"/>
    <w:rsid w:val="00903CA0"/>
    <w:rsid w:val="00910CC9"/>
    <w:rsid w:val="0091218E"/>
    <w:rsid w:val="0091434C"/>
    <w:rsid w:val="009151CC"/>
    <w:rsid w:val="009178AF"/>
    <w:rsid w:val="00920F0C"/>
    <w:rsid w:val="0092611D"/>
    <w:rsid w:val="00926762"/>
    <w:rsid w:val="00926856"/>
    <w:rsid w:val="009271FF"/>
    <w:rsid w:val="009355FB"/>
    <w:rsid w:val="00936654"/>
    <w:rsid w:val="00940257"/>
    <w:rsid w:val="0094339C"/>
    <w:rsid w:val="00946C0A"/>
    <w:rsid w:val="009472C8"/>
    <w:rsid w:val="00950F66"/>
    <w:rsid w:val="0095154B"/>
    <w:rsid w:val="00952D50"/>
    <w:rsid w:val="00952E38"/>
    <w:rsid w:val="00954C39"/>
    <w:rsid w:val="00962A84"/>
    <w:rsid w:val="009679FE"/>
    <w:rsid w:val="00972433"/>
    <w:rsid w:val="00973CAE"/>
    <w:rsid w:val="00975160"/>
    <w:rsid w:val="00984313"/>
    <w:rsid w:val="00984CE1"/>
    <w:rsid w:val="0098629F"/>
    <w:rsid w:val="0099227B"/>
    <w:rsid w:val="0099289D"/>
    <w:rsid w:val="009954CB"/>
    <w:rsid w:val="009A187B"/>
    <w:rsid w:val="009A21A2"/>
    <w:rsid w:val="009A4FA3"/>
    <w:rsid w:val="009B4E2A"/>
    <w:rsid w:val="009B54A0"/>
    <w:rsid w:val="009C4CD3"/>
    <w:rsid w:val="009C7F6C"/>
    <w:rsid w:val="009D084F"/>
    <w:rsid w:val="009D274E"/>
    <w:rsid w:val="009D2D53"/>
    <w:rsid w:val="009E015E"/>
    <w:rsid w:val="009E09EC"/>
    <w:rsid w:val="009E62CC"/>
    <w:rsid w:val="00A001C4"/>
    <w:rsid w:val="00A044B5"/>
    <w:rsid w:val="00A1018F"/>
    <w:rsid w:val="00A10D8D"/>
    <w:rsid w:val="00A10E45"/>
    <w:rsid w:val="00A157AA"/>
    <w:rsid w:val="00A1590F"/>
    <w:rsid w:val="00A15EEC"/>
    <w:rsid w:val="00A1707B"/>
    <w:rsid w:val="00A23E08"/>
    <w:rsid w:val="00A25065"/>
    <w:rsid w:val="00A256A1"/>
    <w:rsid w:val="00A26629"/>
    <w:rsid w:val="00A267FA"/>
    <w:rsid w:val="00A269C0"/>
    <w:rsid w:val="00A31B5F"/>
    <w:rsid w:val="00A359A7"/>
    <w:rsid w:val="00A46FA3"/>
    <w:rsid w:val="00A53528"/>
    <w:rsid w:val="00A53900"/>
    <w:rsid w:val="00A567AB"/>
    <w:rsid w:val="00A571F3"/>
    <w:rsid w:val="00A64A19"/>
    <w:rsid w:val="00A65C52"/>
    <w:rsid w:val="00A706F6"/>
    <w:rsid w:val="00A709F3"/>
    <w:rsid w:val="00A734D6"/>
    <w:rsid w:val="00A7519A"/>
    <w:rsid w:val="00A76714"/>
    <w:rsid w:val="00A85684"/>
    <w:rsid w:val="00A90ACA"/>
    <w:rsid w:val="00A94909"/>
    <w:rsid w:val="00A94F44"/>
    <w:rsid w:val="00AA31FB"/>
    <w:rsid w:val="00AA7BFC"/>
    <w:rsid w:val="00AB4CFB"/>
    <w:rsid w:val="00AC4753"/>
    <w:rsid w:val="00AC5D23"/>
    <w:rsid w:val="00AC71FF"/>
    <w:rsid w:val="00AD06BE"/>
    <w:rsid w:val="00AD10C4"/>
    <w:rsid w:val="00AD2A61"/>
    <w:rsid w:val="00AD45A5"/>
    <w:rsid w:val="00AE551A"/>
    <w:rsid w:val="00AF1EB7"/>
    <w:rsid w:val="00AF2BFD"/>
    <w:rsid w:val="00AF2D1E"/>
    <w:rsid w:val="00AF3C91"/>
    <w:rsid w:val="00AF4ED6"/>
    <w:rsid w:val="00AF4F13"/>
    <w:rsid w:val="00B01B51"/>
    <w:rsid w:val="00B05B8A"/>
    <w:rsid w:val="00B12DCB"/>
    <w:rsid w:val="00B14A80"/>
    <w:rsid w:val="00B160ED"/>
    <w:rsid w:val="00B21A21"/>
    <w:rsid w:val="00B379B2"/>
    <w:rsid w:val="00B4213D"/>
    <w:rsid w:val="00B42956"/>
    <w:rsid w:val="00B42E26"/>
    <w:rsid w:val="00B44311"/>
    <w:rsid w:val="00B44F6F"/>
    <w:rsid w:val="00B52F65"/>
    <w:rsid w:val="00B530FD"/>
    <w:rsid w:val="00B559AA"/>
    <w:rsid w:val="00B610EB"/>
    <w:rsid w:val="00B6528E"/>
    <w:rsid w:val="00B65A3A"/>
    <w:rsid w:val="00B65FA1"/>
    <w:rsid w:val="00B66E58"/>
    <w:rsid w:val="00B720BD"/>
    <w:rsid w:val="00B8388D"/>
    <w:rsid w:val="00B84B6A"/>
    <w:rsid w:val="00B86E90"/>
    <w:rsid w:val="00B87DBE"/>
    <w:rsid w:val="00B9438A"/>
    <w:rsid w:val="00B958B3"/>
    <w:rsid w:val="00BA0F80"/>
    <w:rsid w:val="00BA36C1"/>
    <w:rsid w:val="00BA4A41"/>
    <w:rsid w:val="00BA4DC1"/>
    <w:rsid w:val="00BA629D"/>
    <w:rsid w:val="00BA685C"/>
    <w:rsid w:val="00BB5292"/>
    <w:rsid w:val="00BB6F7A"/>
    <w:rsid w:val="00BC300C"/>
    <w:rsid w:val="00BC5A8B"/>
    <w:rsid w:val="00BC5B2C"/>
    <w:rsid w:val="00BC7D43"/>
    <w:rsid w:val="00BD68D3"/>
    <w:rsid w:val="00BD6A6D"/>
    <w:rsid w:val="00BE3175"/>
    <w:rsid w:val="00BE4041"/>
    <w:rsid w:val="00BE7BD8"/>
    <w:rsid w:val="00BF33A8"/>
    <w:rsid w:val="00BF3703"/>
    <w:rsid w:val="00BF75C4"/>
    <w:rsid w:val="00C00484"/>
    <w:rsid w:val="00C004D0"/>
    <w:rsid w:val="00C01F43"/>
    <w:rsid w:val="00C0712A"/>
    <w:rsid w:val="00C12096"/>
    <w:rsid w:val="00C141A9"/>
    <w:rsid w:val="00C158A5"/>
    <w:rsid w:val="00C20A2A"/>
    <w:rsid w:val="00C22045"/>
    <w:rsid w:val="00C23EC2"/>
    <w:rsid w:val="00C258C5"/>
    <w:rsid w:val="00C34ADB"/>
    <w:rsid w:val="00C35C7E"/>
    <w:rsid w:val="00C417D8"/>
    <w:rsid w:val="00C50C5C"/>
    <w:rsid w:val="00C50CDA"/>
    <w:rsid w:val="00C5249B"/>
    <w:rsid w:val="00C616A6"/>
    <w:rsid w:val="00C635CD"/>
    <w:rsid w:val="00C65EDA"/>
    <w:rsid w:val="00C82B81"/>
    <w:rsid w:val="00C83423"/>
    <w:rsid w:val="00C8566B"/>
    <w:rsid w:val="00C870BA"/>
    <w:rsid w:val="00C87E9D"/>
    <w:rsid w:val="00C9264C"/>
    <w:rsid w:val="00C926BE"/>
    <w:rsid w:val="00C948CC"/>
    <w:rsid w:val="00C94C4B"/>
    <w:rsid w:val="00C95C1A"/>
    <w:rsid w:val="00CA021D"/>
    <w:rsid w:val="00CA57EB"/>
    <w:rsid w:val="00CA6231"/>
    <w:rsid w:val="00CA6832"/>
    <w:rsid w:val="00CA705B"/>
    <w:rsid w:val="00CB0190"/>
    <w:rsid w:val="00CB0BD5"/>
    <w:rsid w:val="00CB2035"/>
    <w:rsid w:val="00CC0863"/>
    <w:rsid w:val="00CC1C0B"/>
    <w:rsid w:val="00CC1D7D"/>
    <w:rsid w:val="00CD75C5"/>
    <w:rsid w:val="00CE436B"/>
    <w:rsid w:val="00CE4DD0"/>
    <w:rsid w:val="00CE7CA5"/>
    <w:rsid w:val="00CF1DA3"/>
    <w:rsid w:val="00CF1F9F"/>
    <w:rsid w:val="00CF439F"/>
    <w:rsid w:val="00D015D0"/>
    <w:rsid w:val="00D03BB2"/>
    <w:rsid w:val="00D107F1"/>
    <w:rsid w:val="00D12276"/>
    <w:rsid w:val="00D124EB"/>
    <w:rsid w:val="00D25518"/>
    <w:rsid w:val="00D30944"/>
    <w:rsid w:val="00D30B26"/>
    <w:rsid w:val="00D3334C"/>
    <w:rsid w:val="00D33FB3"/>
    <w:rsid w:val="00D40CF0"/>
    <w:rsid w:val="00D41CB6"/>
    <w:rsid w:val="00D43A89"/>
    <w:rsid w:val="00D45F25"/>
    <w:rsid w:val="00D50ABF"/>
    <w:rsid w:val="00D53D56"/>
    <w:rsid w:val="00D55AE1"/>
    <w:rsid w:val="00D57EC3"/>
    <w:rsid w:val="00D60C2A"/>
    <w:rsid w:val="00D632C5"/>
    <w:rsid w:val="00D6368F"/>
    <w:rsid w:val="00D66B1F"/>
    <w:rsid w:val="00D676C0"/>
    <w:rsid w:val="00D730F0"/>
    <w:rsid w:val="00D750C9"/>
    <w:rsid w:val="00D75E84"/>
    <w:rsid w:val="00D812AD"/>
    <w:rsid w:val="00D81FCA"/>
    <w:rsid w:val="00D83A49"/>
    <w:rsid w:val="00D8459E"/>
    <w:rsid w:val="00D86024"/>
    <w:rsid w:val="00D87DDD"/>
    <w:rsid w:val="00D907E6"/>
    <w:rsid w:val="00D90FA2"/>
    <w:rsid w:val="00D91BA9"/>
    <w:rsid w:val="00D93FD7"/>
    <w:rsid w:val="00D9444E"/>
    <w:rsid w:val="00D971A3"/>
    <w:rsid w:val="00DA3795"/>
    <w:rsid w:val="00DB1434"/>
    <w:rsid w:val="00DB1705"/>
    <w:rsid w:val="00DB184A"/>
    <w:rsid w:val="00DB2B65"/>
    <w:rsid w:val="00DB3016"/>
    <w:rsid w:val="00DB56AA"/>
    <w:rsid w:val="00DB5F23"/>
    <w:rsid w:val="00DB6309"/>
    <w:rsid w:val="00DC19F4"/>
    <w:rsid w:val="00DC6D4F"/>
    <w:rsid w:val="00DC7ADF"/>
    <w:rsid w:val="00DD02C2"/>
    <w:rsid w:val="00DD1844"/>
    <w:rsid w:val="00DD2181"/>
    <w:rsid w:val="00DE0CA9"/>
    <w:rsid w:val="00DE1752"/>
    <w:rsid w:val="00DF05A6"/>
    <w:rsid w:val="00E04020"/>
    <w:rsid w:val="00E05A23"/>
    <w:rsid w:val="00E062C7"/>
    <w:rsid w:val="00E06BA8"/>
    <w:rsid w:val="00E12E79"/>
    <w:rsid w:val="00E17410"/>
    <w:rsid w:val="00E2159F"/>
    <w:rsid w:val="00E249A4"/>
    <w:rsid w:val="00E275EF"/>
    <w:rsid w:val="00E27AA1"/>
    <w:rsid w:val="00E30BFC"/>
    <w:rsid w:val="00E30D7C"/>
    <w:rsid w:val="00E30EE1"/>
    <w:rsid w:val="00E310BE"/>
    <w:rsid w:val="00E37730"/>
    <w:rsid w:val="00E44A9D"/>
    <w:rsid w:val="00E45012"/>
    <w:rsid w:val="00E46092"/>
    <w:rsid w:val="00E523E3"/>
    <w:rsid w:val="00E56741"/>
    <w:rsid w:val="00E56A22"/>
    <w:rsid w:val="00E6143F"/>
    <w:rsid w:val="00E6570A"/>
    <w:rsid w:val="00E66563"/>
    <w:rsid w:val="00E677AC"/>
    <w:rsid w:val="00E67DCE"/>
    <w:rsid w:val="00E70DD9"/>
    <w:rsid w:val="00E70F0F"/>
    <w:rsid w:val="00E72AE7"/>
    <w:rsid w:val="00E770D5"/>
    <w:rsid w:val="00E80050"/>
    <w:rsid w:val="00E801AD"/>
    <w:rsid w:val="00E81D7C"/>
    <w:rsid w:val="00E83D81"/>
    <w:rsid w:val="00E87065"/>
    <w:rsid w:val="00E87E9F"/>
    <w:rsid w:val="00E90864"/>
    <w:rsid w:val="00E90C03"/>
    <w:rsid w:val="00E91CFF"/>
    <w:rsid w:val="00E94024"/>
    <w:rsid w:val="00E94132"/>
    <w:rsid w:val="00E97B5E"/>
    <w:rsid w:val="00EB1762"/>
    <w:rsid w:val="00EB201B"/>
    <w:rsid w:val="00EB5DBE"/>
    <w:rsid w:val="00EC666F"/>
    <w:rsid w:val="00ED120B"/>
    <w:rsid w:val="00ED2A94"/>
    <w:rsid w:val="00ED3348"/>
    <w:rsid w:val="00ED3B89"/>
    <w:rsid w:val="00ED5996"/>
    <w:rsid w:val="00ED5E6B"/>
    <w:rsid w:val="00EE2ACE"/>
    <w:rsid w:val="00EE569C"/>
    <w:rsid w:val="00EF0788"/>
    <w:rsid w:val="00EF21E7"/>
    <w:rsid w:val="00F00D8C"/>
    <w:rsid w:val="00F011FA"/>
    <w:rsid w:val="00F02AFA"/>
    <w:rsid w:val="00F10AC4"/>
    <w:rsid w:val="00F14EEF"/>
    <w:rsid w:val="00F15073"/>
    <w:rsid w:val="00F16104"/>
    <w:rsid w:val="00F1618B"/>
    <w:rsid w:val="00F21E5E"/>
    <w:rsid w:val="00F22F03"/>
    <w:rsid w:val="00F25517"/>
    <w:rsid w:val="00F2572A"/>
    <w:rsid w:val="00F26293"/>
    <w:rsid w:val="00F363B6"/>
    <w:rsid w:val="00F43C31"/>
    <w:rsid w:val="00F441D6"/>
    <w:rsid w:val="00F44221"/>
    <w:rsid w:val="00F472C0"/>
    <w:rsid w:val="00F50D0C"/>
    <w:rsid w:val="00F51E58"/>
    <w:rsid w:val="00F546E6"/>
    <w:rsid w:val="00F55C88"/>
    <w:rsid w:val="00F55F19"/>
    <w:rsid w:val="00F71EC7"/>
    <w:rsid w:val="00F7671D"/>
    <w:rsid w:val="00F82A93"/>
    <w:rsid w:val="00F83AF2"/>
    <w:rsid w:val="00F84EA6"/>
    <w:rsid w:val="00F87F0B"/>
    <w:rsid w:val="00F90B18"/>
    <w:rsid w:val="00F90D4B"/>
    <w:rsid w:val="00F919BD"/>
    <w:rsid w:val="00F95497"/>
    <w:rsid w:val="00FA01A4"/>
    <w:rsid w:val="00FA05CA"/>
    <w:rsid w:val="00FB24E3"/>
    <w:rsid w:val="00FB4AE9"/>
    <w:rsid w:val="00FC12A1"/>
    <w:rsid w:val="00FC554D"/>
    <w:rsid w:val="00FC5E15"/>
    <w:rsid w:val="00FC6BF3"/>
    <w:rsid w:val="00FD0DAE"/>
    <w:rsid w:val="00FD22D2"/>
    <w:rsid w:val="00FD2EE5"/>
    <w:rsid w:val="00FD35F6"/>
    <w:rsid w:val="00FD466F"/>
    <w:rsid w:val="00FD4C16"/>
    <w:rsid w:val="00FD573C"/>
    <w:rsid w:val="00FD7B83"/>
    <w:rsid w:val="00FE0412"/>
    <w:rsid w:val="00FE0569"/>
    <w:rsid w:val="00FE1341"/>
    <w:rsid w:val="00FE26E6"/>
    <w:rsid w:val="00FE302C"/>
    <w:rsid w:val="00FE3472"/>
    <w:rsid w:val="00FE69C2"/>
    <w:rsid w:val="00FF3586"/>
    <w:rsid w:val="00FF65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C"/>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autoRedefine/>
    <w:qFormat/>
    <w:rsid w:val="00E275EF"/>
    <w:pPr>
      <w:keepNext/>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qFormat/>
    <w:rsid w:val="00DD02C2"/>
    <w:pPr>
      <w:spacing w:after="240"/>
      <w:ind w:left="1440" w:hanging="72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E275EF"/>
    <w:rPr>
      <w:b/>
      <w:sz w:val="24"/>
    </w:rPr>
  </w:style>
  <w:style w:type="character" w:customStyle="1" w:styleId="UnresolvedMention3">
    <w:name w:val="Unresolved Mention3"/>
    <w:basedOn w:val="DefaultParagraphFont"/>
    <w:rsid w:val="00D60C2A"/>
    <w:rPr>
      <w:color w:val="605E5C"/>
      <w:shd w:val="clear" w:color="auto" w:fill="E1DFDD"/>
    </w:rPr>
  </w:style>
  <w:style w:type="paragraph" w:styleId="TOC3">
    <w:name w:val="toc 3"/>
    <w:basedOn w:val="Normal"/>
    <w:next w:val="Normal"/>
    <w:autoRedefine/>
    <w:semiHidden/>
    <w:unhideWhenUsed/>
    <w:qFormat/>
    <w:rsid w:val="00DD02C2"/>
    <w:pPr>
      <w:spacing w:after="240"/>
      <w:ind w:left="2160" w:hanging="720"/>
    </w:pPr>
  </w:style>
  <w:style w:type="character" w:customStyle="1" w:styleId="CommentTextChar">
    <w:name w:val="Comment Text Char"/>
    <w:basedOn w:val="DefaultParagraphFont"/>
    <w:link w:val="CommentText"/>
    <w:semiHidden/>
    <w:rsid w:val="00DE0CA9"/>
    <w:rPr>
      <w:sz w:val="24"/>
      <w:szCs w:val="24"/>
    </w:rPr>
  </w:style>
  <w:style w:type="character" w:customStyle="1" w:styleId="BodyTextIndent3Char">
    <w:name w:val="Body Text Indent 3 Char"/>
    <w:basedOn w:val="DefaultParagraphFont"/>
    <w:link w:val="BodyTextIndent3"/>
    <w:rsid w:val="004C1B77"/>
    <w:rPr>
      <w:sz w:val="24"/>
    </w:rPr>
  </w:style>
  <w:style w:type="character" w:customStyle="1" w:styleId="UnresolvedMention">
    <w:name w:val="Unresolved Mention"/>
    <w:basedOn w:val="DefaultParagraphFont"/>
    <w:rsid w:val="00E249A4"/>
    <w:rPr>
      <w:color w:val="605E5C"/>
      <w:shd w:val="clear" w:color="auto" w:fill="E1DFDD"/>
    </w:rPr>
  </w:style>
  <w:style w:type="paragraph" w:styleId="Revision">
    <w:name w:val="Revision"/>
    <w:hidden/>
    <w:uiPriority w:val="99"/>
    <w:semiHidden/>
    <w:rsid w:val="00674C43"/>
    <w:rPr>
      <w:sz w:val="24"/>
    </w:rPr>
  </w:style>
  <w:style w:type="character" w:customStyle="1" w:styleId="BodyTextChar">
    <w:name w:val="Body Text Char"/>
    <w:basedOn w:val="DefaultParagraphFont"/>
    <w:link w:val="BodyText"/>
    <w:rsid w:val="00D309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ohn.jones@ohioAGO.gov" TargetMode="External" /><Relationship Id="rId12" Type="http://schemas.openxmlformats.org/officeDocument/2006/relationships/hyperlink" Target="mailto:jesse.davis@puco.ohio.gov" TargetMode="External" /><Relationship Id="rId13" Type="http://schemas.openxmlformats.org/officeDocument/2006/relationships/hyperlink" Target="mailto:btrombino@uerus.com" TargetMode="External" /><Relationship Id="rId14" Type="http://schemas.openxmlformats.org/officeDocument/2006/relationships/hyperlink" Target="mailto:whitt@whitt-sturtevant.com" TargetMode="External" /><Relationship Id="rId15" Type="http://schemas.openxmlformats.org/officeDocument/2006/relationships/hyperlink" Target="mailto:fykes@whitt-sturtevant.com" TargetMode="External" /><Relationship Id="rId16" Type="http://schemas.openxmlformats.org/officeDocument/2006/relationships/header" Target="header1.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669E-EA4C-48E8-96B0-A811F4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2022-05-17T18:14:38Z</dcterms:created>
  <dcterms:modified xsi:type="dcterms:W3CDTF">2022-05-17T18:14:38Z</dcterms:modified>
</cp:coreProperties>
</file>