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C4821" w:rsidRPr="0009183C" w:rsidP="005C4821">
      <w:pPr>
        <w:pStyle w:val="HTMLPreformatted"/>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 </w:t>
      </w:r>
      <w:r w:rsidRPr="0009183C">
        <w:rPr>
          <w:rFonts w:ascii="Times New Roman" w:hAnsi="Times New Roman" w:cs="Times New Roman"/>
          <w:b/>
          <w:bCs/>
          <w:sz w:val="24"/>
          <w:szCs w:val="24"/>
        </w:rPr>
        <w:t>BEFORE</w:t>
      </w:r>
    </w:p>
    <w:p w:rsidR="005C4821" w:rsidP="005C4821">
      <w:pPr>
        <w:pStyle w:val="HTMLPreformatted"/>
        <w:jc w:val="center"/>
        <w:rPr>
          <w:rFonts w:ascii="Times New Roman" w:hAnsi="Times New Roman" w:cs="Times New Roman"/>
          <w:b/>
          <w:bCs/>
          <w:sz w:val="24"/>
          <w:szCs w:val="24"/>
        </w:rPr>
      </w:pPr>
      <w:r w:rsidRPr="0009183C">
        <w:rPr>
          <w:rFonts w:ascii="Times New Roman" w:hAnsi="Times New Roman" w:cs="Times New Roman"/>
          <w:b/>
          <w:bCs/>
          <w:sz w:val="24"/>
          <w:szCs w:val="24"/>
        </w:rPr>
        <w:t>THE PUBLIC UTILITIES COMMISSION OF OHIO</w:t>
      </w:r>
    </w:p>
    <w:p w:rsidR="00342E9A" w:rsidP="005C4821">
      <w:pPr>
        <w:pStyle w:val="HTMLPreformatted"/>
        <w:jc w:val="center"/>
        <w:rPr>
          <w:rFonts w:ascii="Times New Roman" w:hAnsi="Times New Roman" w:cs="Times New Roman"/>
          <w:b/>
          <w:bCs/>
          <w:sz w:val="24"/>
          <w:szCs w:val="24"/>
        </w:rPr>
      </w:pPr>
    </w:p>
    <w:tbl>
      <w:tblPr>
        <w:tblW w:w="9998" w:type="dxa"/>
        <w:tblInd w:w="0" w:type="dxa"/>
        <w:tblCellMar>
          <w:top w:w="0" w:type="dxa"/>
          <w:left w:w="108" w:type="dxa"/>
          <w:bottom w:w="0" w:type="dxa"/>
          <w:right w:w="108" w:type="dxa"/>
        </w:tblCellMar>
        <w:tblLook w:val="01E0"/>
      </w:tblPr>
      <w:tblGrid>
        <w:gridCol w:w="5238"/>
        <w:gridCol w:w="360"/>
        <w:gridCol w:w="4400"/>
      </w:tblGrid>
      <w:tr w:rsidTr="005B7313">
        <w:tblPrEx>
          <w:tblW w:w="9998" w:type="dxa"/>
          <w:tblInd w:w="0" w:type="dxa"/>
          <w:tblCellMar>
            <w:top w:w="0" w:type="dxa"/>
            <w:left w:w="108" w:type="dxa"/>
            <w:bottom w:w="0" w:type="dxa"/>
            <w:right w:w="108" w:type="dxa"/>
          </w:tblCellMar>
          <w:tblLook w:val="01E0"/>
        </w:tblPrEx>
        <w:trPr>
          <w:trHeight w:val="807"/>
        </w:trPr>
        <w:tc>
          <w:tcPr>
            <w:tcW w:w="5238" w:type="dxa"/>
            <w:shd w:val="clear" w:color="auto" w:fill="auto"/>
          </w:tcPr>
          <w:p w:rsidR="00342E9A" w:rsidRPr="00A044B5" w:rsidP="005C482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Review of The Ohio Edison Company, The Cleveland Electric Illuminating Company, and The Toledo Edison Company’s Compliance with R.C. 4928.17 and the Ohio Adm. Code Chapter 4901:1-37.</w:t>
            </w:r>
          </w:p>
        </w:tc>
        <w:tc>
          <w:tcPr>
            <w:tcW w:w="360" w:type="dxa"/>
            <w:shd w:val="clear" w:color="auto" w:fill="auto"/>
          </w:tcPr>
          <w:p w:rsidR="00342E9A" w:rsidRPr="00A044B5" w:rsidP="005C482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342E9A" w:rsidRPr="00A044B5" w:rsidP="005C482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342E9A" w:rsidRPr="00A044B5" w:rsidP="005C482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342E9A" w:rsidP="005C482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342E9A" w:rsidRPr="00A044B5" w:rsidP="00342E9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tc>
        <w:tc>
          <w:tcPr>
            <w:tcW w:w="4400" w:type="dxa"/>
            <w:shd w:val="clear" w:color="auto" w:fill="auto"/>
          </w:tcPr>
          <w:p w:rsidR="00342E9A" w:rsidRPr="00A044B5" w:rsidP="005C482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p>
          <w:p w:rsidR="00342E9A" w:rsidRPr="00A044B5" w:rsidP="005C482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 xml:space="preserve">Case No. </w:t>
            </w:r>
            <w:r>
              <w:rPr>
                <w:rFonts w:ascii="Times New Roman" w:eastAsia="Courier New" w:hAnsi="Times New Roman" w:cs="Courier New"/>
                <w:sz w:val="24"/>
                <w:szCs w:val="20"/>
                <w:lang w:val="en-US" w:eastAsia="en-US" w:bidi="ar-SA"/>
              </w:rPr>
              <w:t>17-974-EL-UNC</w:t>
            </w:r>
          </w:p>
          <w:p w:rsidR="00342E9A" w:rsidRPr="00A044B5" w:rsidP="005C482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p>
          <w:p w:rsidR="00342E9A" w:rsidRPr="00A044B5" w:rsidP="005C482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p>
        </w:tc>
      </w:tr>
    </w:tbl>
    <w:p w:rsidR="005C4821" w:rsidRPr="0009183C" w:rsidP="005C4821">
      <w:pPr>
        <w:pStyle w:val="HTMLPreformatted"/>
        <w:pBdr>
          <w:bottom w:val="single" w:sz="12" w:space="1" w:color="auto"/>
        </w:pBdr>
        <w:rPr>
          <w:rFonts w:ascii="Times New Roman" w:hAnsi="Times New Roman" w:cs="Times New Roman"/>
          <w:b/>
          <w:bCs/>
          <w:sz w:val="24"/>
          <w:szCs w:val="24"/>
        </w:rPr>
      </w:pPr>
    </w:p>
    <w:p w:rsidR="005C4821" w:rsidP="005C4821">
      <w:pPr>
        <w:pStyle w:val="HTMLPreformatted"/>
        <w:rPr>
          <w:rFonts w:ascii="Times New Roman" w:hAnsi="Times New Roman" w:cs="Times New Roman"/>
          <w:b/>
          <w:bCs/>
          <w:i/>
          <w:sz w:val="24"/>
          <w:szCs w:val="24"/>
        </w:rPr>
      </w:pPr>
    </w:p>
    <w:p w:rsidR="005C4821" w:rsidRPr="0009183C" w:rsidP="005C4821">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NOTICE </w:t>
      </w:r>
      <w:r w:rsidR="007D1D0D">
        <w:rPr>
          <w:rFonts w:ascii="Times New Roman" w:hAnsi="Times New Roman" w:cs="Times New Roman"/>
          <w:b/>
          <w:bCs/>
          <w:sz w:val="24"/>
          <w:szCs w:val="24"/>
        </w:rPr>
        <w:t xml:space="preserve">OF WITHDRAWAL OF </w:t>
      </w:r>
      <w:r w:rsidR="001F71DE">
        <w:rPr>
          <w:rFonts w:ascii="Times New Roman" w:hAnsi="Times New Roman" w:cs="Times New Roman"/>
          <w:b/>
          <w:bCs/>
          <w:sz w:val="24"/>
          <w:szCs w:val="24"/>
        </w:rPr>
        <w:br/>
      </w:r>
      <w:r w:rsidRPr="0009183C" w:rsidR="001F71DE">
        <w:rPr>
          <w:rFonts w:ascii="Times New Roman" w:hAnsi="Times New Roman" w:cs="Times New Roman"/>
          <w:b/>
          <w:bCs/>
          <w:sz w:val="24"/>
          <w:szCs w:val="24"/>
        </w:rPr>
        <w:t xml:space="preserve">MOTION TO COMPEL </w:t>
      </w:r>
    </w:p>
    <w:p w:rsidR="005C4821" w:rsidRPr="0009183C" w:rsidP="005C4821">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 xml:space="preserve">BY </w:t>
      </w:r>
    </w:p>
    <w:p w:rsidR="005C4821" w:rsidRPr="0009183C" w:rsidP="005C4821">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THE OFFICE OF THE OHIO CONSUMERS</w:t>
      </w:r>
      <w:r>
        <w:rPr>
          <w:rFonts w:ascii="Times New Roman" w:hAnsi="Times New Roman" w:cs="Times New Roman"/>
          <w:b/>
          <w:bCs/>
          <w:sz w:val="24"/>
          <w:szCs w:val="24"/>
        </w:rPr>
        <w:t>'</w:t>
      </w:r>
      <w:r w:rsidRPr="0009183C">
        <w:rPr>
          <w:rFonts w:ascii="Times New Roman" w:hAnsi="Times New Roman" w:cs="Times New Roman"/>
          <w:b/>
          <w:bCs/>
          <w:sz w:val="24"/>
          <w:szCs w:val="24"/>
        </w:rPr>
        <w:t xml:space="preserve"> COUNSEL</w:t>
      </w:r>
    </w:p>
    <w:p w:rsidR="005C4821" w:rsidRPr="0009183C" w:rsidP="005C4821">
      <w:pPr>
        <w:pStyle w:val="HTMLPreformatted"/>
        <w:pBdr>
          <w:bottom w:val="single" w:sz="12" w:space="1" w:color="auto"/>
        </w:pBdr>
        <w:jc w:val="center"/>
        <w:rPr>
          <w:rFonts w:ascii="Times New Roman" w:hAnsi="Times New Roman" w:cs="Times New Roman"/>
          <w:b/>
          <w:bCs/>
          <w:sz w:val="24"/>
          <w:szCs w:val="24"/>
        </w:rPr>
      </w:pPr>
    </w:p>
    <w:p w:rsidR="00A65873" w:rsidP="00A65873">
      <w:pPr>
        <w:spacing w:after="0" w:line="240" w:lineRule="auto"/>
        <w:ind w:firstLine="720"/>
        <w:rPr>
          <w:rFonts w:eastAsia="Times New Roman"/>
          <w:szCs w:val="24"/>
        </w:rPr>
      </w:pPr>
    </w:p>
    <w:p w:rsidR="00EC5340" w:rsidP="00F76701">
      <w:pPr>
        <w:spacing w:after="0" w:line="480" w:lineRule="auto"/>
        <w:ind w:firstLine="720"/>
        <w:rPr>
          <w:rFonts w:eastAsia="Times New Roman"/>
          <w:szCs w:val="24"/>
        </w:rPr>
      </w:pPr>
      <w:r>
        <w:rPr>
          <w:rFonts w:eastAsia="Times New Roman"/>
          <w:szCs w:val="24"/>
        </w:rPr>
        <w:t>The Ohio Consumers’ Counsel</w:t>
      </w:r>
      <w:r w:rsidRPr="00EC5340">
        <w:rPr>
          <w:rFonts w:eastAsia="Times New Roman"/>
          <w:szCs w:val="24"/>
        </w:rPr>
        <w:t xml:space="preserve"> </w:t>
      </w:r>
      <w:r>
        <w:rPr>
          <w:rFonts w:eastAsia="Times New Roman"/>
          <w:szCs w:val="24"/>
        </w:rPr>
        <w:t xml:space="preserve">(“OCC”) </w:t>
      </w:r>
      <w:r w:rsidRPr="00EC5340">
        <w:rPr>
          <w:rFonts w:eastAsia="Times New Roman"/>
          <w:szCs w:val="24"/>
        </w:rPr>
        <w:t xml:space="preserve">notifies the PUCO </w:t>
      </w:r>
      <w:r>
        <w:rPr>
          <w:rFonts w:eastAsia="Times New Roman"/>
          <w:szCs w:val="24"/>
        </w:rPr>
        <w:t xml:space="preserve">and the parties </w:t>
      </w:r>
      <w:r w:rsidRPr="00EC5340">
        <w:rPr>
          <w:rFonts w:eastAsia="Times New Roman"/>
          <w:szCs w:val="24"/>
        </w:rPr>
        <w:t>that</w:t>
      </w:r>
      <w:r>
        <w:rPr>
          <w:rFonts w:eastAsia="Times New Roman"/>
          <w:szCs w:val="24"/>
        </w:rPr>
        <w:t>, effective today,</w:t>
      </w:r>
      <w:r w:rsidRPr="00EC5340">
        <w:rPr>
          <w:rFonts w:eastAsia="Times New Roman"/>
          <w:szCs w:val="24"/>
        </w:rPr>
        <w:t xml:space="preserve"> it is withdrawing </w:t>
      </w:r>
      <w:r w:rsidR="0058129B">
        <w:rPr>
          <w:rFonts w:eastAsia="Times New Roman"/>
          <w:szCs w:val="24"/>
        </w:rPr>
        <w:t>its</w:t>
      </w:r>
      <w:r w:rsidRPr="00EC5340">
        <w:rPr>
          <w:rFonts w:eastAsia="Times New Roman"/>
          <w:szCs w:val="24"/>
        </w:rPr>
        <w:t xml:space="preserve"> motion </w:t>
      </w:r>
      <w:r>
        <w:rPr>
          <w:rFonts w:eastAsia="Times New Roman"/>
          <w:szCs w:val="24"/>
        </w:rPr>
        <w:t xml:space="preserve">for the PUCO to </w:t>
      </w:r>
      <w:r w:rsidRPr="00EC5340">
        <w:rPr>
          <w:rFonts w:eastAsia="Times New Roman"/>
          <w:szCs w:val="24"/>
        </w:rPr>
        <w:t xml:space="preserve">compel </w:t>
      </w:r>
      <w:r>
        <w:rPr>
          <w:rFonts w:eastAsia="Times New Roman"/>
          <w:szCs w:val="24"/>
        </w:rPr>
        <w:t xml:space="preserve">FirstEnergy to respond to OCC’s </w:t>
      </w:r>
      <w:r w:rsidRPr="00EC5340">
        <w:rPr>
          <w:rFonts w:eastAsia="Times New Roman"/>
          <w:szCs w:val="24"/>
        </w:rPr>
        <w:t>discovery</w:t>
      </w:r>
      <w:r w:rsidR="002F2A0D">
        <w:rPr>
          <w:rFonts w:eastAsia="Times New Roman"/>
          <w:szCs w:val="24"/>
        </w:rPr>
        <w:t xml:space="preserve"> (about the PUCO audit of FirstEnergy)</w:t>
      </w:r>
      <w:r>
        <w:rPr>
          <w:rFonts w:eastAsia="Times New Roman"/>
          <w:szCs w:val="24"/>
        </w:rPr>
        <w:t>.</w:t>
      </w:r>
      <w:r w:rsidRPr="00EC5340">
        <w:rPr>
          <w:rFonts w:eastAsia="Times New Roman"/>
          <w:szCs w:val="24"/>
        </w:rPr>
        <w:t xml:space="preserve"> </w:t>
      </w:r>
      <w:r w:rsidR="002F2A0D">
        <w:rPr>
          <w:rFonts w:eastAsia="Times New Roman"/>
          <w:szCs w:val="24"/>
        </w:rPr>
        <w:t>R</w:t>
      </w:r>
      <w:r w:rsidR="006E744C">
        <w:rPr>
          <w:rFonts w:eastAsia="Times New Roman"/>
          <w:szCs w:val="24"/>
        </w:rPr>
        <w:t xml:space="preserve">ecently FirstEnergy responded to </w:t>
      </w:r>
      <w:r w:rsidR="00D654E2">
        <w:rPr>
          <w:rFonts w:eastAsia="Times New Roman"/>
          <w:szCs w:val="24"/>
        </w:rPr>
        <w:t xml:space="preserve">the </w:t>
      </w:r>
      <w:r w:rsidR="006E744C">
        <w:rPr>
          <w:rFonts w:eastAsia="Times New Roman"/>
          <w:szCs w:val="24"/>
        </w:rPr>
        <w:t xml:space="preserve">OCC’s </w:t>
      </w:r>
      <w:r w:rsidR="00A37F0F">
        <w:rPr>
          <w:rFonts w:eastAsia="Times New Roman"/>
          <w:szCs w:val="24"/>
        </w:rPr>
        <w:t>first (and only) set of discovery by</w:t>
      </w:r>
      <w:r w:rsidR="006E744C">
        <w:rPr>
          <w:rFonts w:eastAsia="Times New Roman"/>
          <w:szCs w:val="24"/>
        </w:rPr>
        <w:t xml:space="preserve"> sending</w:t>
      </w:r>
      <w:r w:rsidRPr="00EC5340" w:rsidR="006E744C">
        <w:rPr>
          <w:rFonts w:eastAsia="Times New Roman"/>
          <w:szCs w:val="24"/>
        </w:rPr>
        <w:t xml:space="preserve"> </w:t>
      </w:r>
      <w:r w:rsidR="006E744C">
        <w:rPr>
          <w:rFonts w:eastAsia="Times New Roman"/>
          <w:szCs w:val="24"/>
        </w:rPr>
        <w:t>the</w:t>
      </w:r>
      <w:r w:rsidR="00A37F0F">
        <w:rPr>
          <w:rFonts w:eastAsia="Times New Roman"/>
          <w:szCs w:val="24"/>
        </w:rPr>
        <w:t xml:space="preserve"> </w:t>
      </w:r>
      <w:r w:rsidRPr="00EC5340" w:rsidR="006E744C">
        <w:rPr>
          <w:rFonts w:eastAsia="Times New Roman"/>
          <w:szCs w:val="24"/>
        </w:rPr>
        <w:t>majority of</w:t>
      </w:r>
      <w:r w:rsidR="006E744C">
        <w:rPr>
          <w:rFonts w:eastAsia="Times New Roman"/>
          <w:szCs w:val="24"/>
        </w:rPr>
        <w:t xml:space="preserve"> the requested responses.</w:t>
      </w:r>
      <w:r w:rsidRPr="00EC5340" w:rsidR="006E744C">
        <w:rPr>
          <w:rFonts w:eastAsia="Times New Roman"/>
          <w:szCs w:val="24"/>
        </w:rPr>
        <w:t xml:space="preserve"> </w:t>
      </w:r>
      <w:r w:rsidR="00A37F0F">
        <w:rPr>
          <w:rFonts w:eastAsia="Times New Roman"/>
          <w:szCs w:val="24"/>
        </w:rPr>
        <w:t>This</w:t>
      </w:r>
      <w:r w:rsidR="006E744C">
        <w:rPr>
          <w:rFonts w:eastAsia="Times New Roman"/>
          <w:szCs w:val="24"/>
        </w:rPr>
        <w:t xml:space="preserve"> was e</w:t>
      </w:r>
      <w:r w:rsidRPr="00EC5340">
        <w:rPr>
          <w:rFonts w:eastAsia="Times New Roman"/>
          <w:szCs w:val="24"/>
        </w:rPr>
        <w:t xml:space="preserve">ight months after the </w:t>
      </w:r>
      <w:r>
        <w:rPr>
          <w:rFonts w:eastAsia="Times New Roman"/>
          <w:szCs w:val="24"/>
        </w:rPr>
        <w:t xml:space="preserve">Consumers’ Counsel </w:t>
      </w:r>
      <w:r w:rsidR="00E56C32">
        <w:rPr>
          <w:rFonts w:eastAsia="Times New Roman"/>
          <w:szCs w:val="24"/>
        </w:rPr>
        <w:t>sent</w:t>
      </w:r>
      <w:r>
        <w:rPr>
          <w:rFonts w:eastAsia="Times New Roman"/>
          <w:szCs w:val="24"/>
        </w:rPr>
        <w:t xml:space="preserve"> </w:t>
      </w:r>
      <w:r w:rsidR="00A37F0F">
        <w:rPr>
          <w:rFonts w:eastAsia="Times New Roman"/>
          <w:szCs w:val="24"/>
        </w:rPr>
        <w:t xml:space="preserve">the nine requests for </w:t>
      </w:r>
      <w:r w:rsidRPr="00EC5340">
        <w:rPr>
          <w:rFonts w:eastAsia="Times New Roman"/>
          <w:szCs w:val="24"/>
        </w:rPr>
        <w:t xml:space="preserve">discovery </w:t>
      </w:r>
      <w:r w:rsidR="00A37F0F">
        <w:rPr>
          <w:rFonts w:eastAsia="Times New Roman"/>
          <w:szCs w:val="24"/>
        </w:rPr>
        <w:t xml:space="preserve">(contained in the first set) </w:t>
      </w:r>
      <w:r w:rsidR="00E56C32">
        <w:rPr>
          <w:rFonts w:eastAsia="Times New Roman"/>
          <w:szCs w:val="24"/>
        </w:rPr>
        <w:t xml:space="preserve">to FirstEnergy </w:t>
      </w:r>
      <w:r w:rsidR="00A37F0F">
        <w:rPr>
          <w:rFonts w:eastAsia="Times New Roman"/>
          <w:szCs w:val="24"/>
        </w:rPr>
        <w:t>to</w:t>
      </w:r>
      <w:r>
        <w:rPr>
          <w:rFonts w:eastAsia="Times New Roman"/>
          <w:szCs w:val="24"/>
        </w:rPr>
        <w:t xml:space="preserve"> obtain information for consumer protection</w:t>
      </w:r>
      <w:r w:rsidR="002F2A0D">
        <w:rPr>
          <w:rFonts w:eastAsia="Times New Roman"/>
          <w:szCs w:val="24"/>
        </w:rPr>
        <w:t xml:space="preserve"> regarding the PUCO audit of FirstEnergy. That’s about</w:t>
      </w:r>
      <w:r>
        <w:rPr>
          <w:rFonts w:eastAsia="Times New Roman"/>
          <w:szCs w:val="24"/>
        </w:rPr>
        <w:t xml:space="preserve"> seven months later than the PUCO’s rule </w:t>
      </w:r>
      <w:r w:rsidR="006E744C">
        <w:rPr>
          <w:rFonts w:eastAsia="Times New Roman"/>
          <w:szCs w:val="24"/>
        </w:rPr>
        <w:t xml:space="preserve">allows </w:t>
      </w:r>
      <w:r>
        <w:rPr>
          <w:rFonts w:eastAsia="Times New Roman"/>
          <w:szCs w:val="24"/>
        </w:rPr>
        <w:t>for responses</w:t>
      </w:r>
      <w:r w:rsidR="002F2A0D">
        <w:rPr>
          <w:rFonts w:eastAsia="Times New Roman"/>
          <w:szCs w:val="24"/>
        </w:rPr>
        <w:t xml:space="preserve"> </w:t>
      </w:r>
      <w:r w:rsidR="006E744C">
        <w:rPr>
          <w:rFonts w:eastAsia="Times New Roman"/>
          <w:szCs w:val="24"/>
        </w:rPr>
        <w:t>-- "</w:t>
      </w:r>
      <w:r>
        <w:rPr>
          <w:rFonts w:eastAsia="Times New Roman"/>
          <w:szCs w:val="24"/>
        </w:rPr>
        <w:t>within twenty days</w:t>
      </w:r>
      <w:r w:rsidR="002F2A0D">
        <w:rPr>
          <w:rFonts w:eastAsia="Times New Roman"/>
          <w:szCs w:val="24"/>
        </w:rPr>
        <w:t>.</w:t>
      </w:r>
      <w:r w:rsidR="006E744C">
        <w:rPr>
          <w:rFonts w:eastAsia="Times New Roman"/>
          <w:szCs w:val="24"/>
        </w:rPr>
        <w:t>”</w:t>
      </w:r>
      <w:r>
        <w:rPr>
          <w:rStyle w:val="FootnoteReference"/>
          <w:rFonts w:eastAsia="Times New Roman"/>
          <w:szCs w:val="24"/>
        </w:rPr>
        <w:footnoteReference w:id="2"/>
      </w:r>
    </w:p>
    <w:p w:rsidR="00F345BC" w:rsidP="00F76701">
      <w:pPr>
        <w:spacing w:after="0" w:line="480" w:lineRule="auto"/>
        <w:ind w:firstLine="720"/>
        <w:rPr>
          <w:rFonts w:eastAsia="Times New Roman"/>
          <w:szCs w:val="24"/>
        </w:rPr>
        <w:sectPr w:rsidSect="00447CFD">
          <w:headerReference w:type="even" r:id="rId5"/>
          <w:headerReference w:type="default" r:id="rId6"/>
          <w:footerReference w:type="even" r:id="rId7"/>
          <w:footerReference w:type="default" r:id="rId8"/>
          <w:headerReference w:type="first" r:id="rId9"/>
          <w:footerReference w:type="first" r:id="rId10"/>
          <w:pgSz w:w="12240" w:h="15840"/>
          <w:pgMar w:top="1350" w:right="1800" w:bottom="1440" w:left="1800" w:header="720" w:footer="720" w:gutter="0"/>
          <w:pgNumType w:start="1"/>
          <w:cols w:space="720"/>
          <w:docGrid w:linePitch="360"/>
        </w:sectPr>
      </w:pPr>
      <w:r>
        <w:rPr>
          <w:rFonts w:eastAsia="Times New Roman"/>
          <w:szCs w:val="24"/>
        </w:rPr>
        <w:t>The issue in this case, FirstEnergy’s c</w:t>
      </w:r>
      <w:r w:rsidR="00F76701">
        <w:rPr>
          <w:rFonts w:eastAsia="Times New Roman"/>
          <w:szCs w:val="24"/>
        </w:rPr>
        <w:t>orporate separation</w:t>
      </w:r>
      <w:r>
        <w:rPr>
          <w:rFonts w:eastAsia="Times New Roman"/>
          <w:szCs w:val="24"/>
        </w:rPr>
        <w:t xml:space="preserve"> between its competitive and monopoly businesses,</w:t>
      </w:r>
      <w:r w:rsidR="00F76701">
        <w:rPr>
          <w:rFonts w:eastAsia="Times New Roman"/>
          <w:szCs w:val="24"/>
        </w:rPr>
        <w:t xml:space="preserve"> is important to customers</w:t>
      </w:r>
      <w:r>
        <w:rPr>
          <w:rFonts w:eastAsia="Times New Roman"/>
          <w:szCs w:val="24"/>
        </w:rPr>
        <w:t>.</w:t>
      </w:r>
      <w:r w:rsidR="00F76701">
        <w:rPr>
          <w:rFonts w:eastAsia="Times New Roman"/>
          <w:szCs w:val="24"/>
        </w:rPr>
        <w:t xml:space="preserve"> </w:t>
      </w:r>
      <w:r>
        <w:rPr>
          <w:rFonts w:eastAsia="Times New Roman"/>
          <w:szCs w:val="24"/>
        </w:rPr>
        <w:t>A</w:t>
      </w:r>
      <w:r w:rsidR="00F76701">
        <w:rPr>
          <w:rFonts w:eastAsia="Times New Roman"/>
          <w:szCs w:val="24"/>
        </w:rPr>
        <w:t>s noted by the PUCO Staff, there is the potential for utilities to use competitive information unfairly, which could have a direct impact on the market and be detrimental to marketers and consumers.</w:t>
      </w:r>
      <w:r>
        <w:rPr>
          <w:rStyle w:val="FootnoteReference"/>
          <w:rFonts w:eastAsia="Times New Roman"/>
          <w:szCs w:val="24"/>
        </w:rPr>
        <w:footnoteReference w:id="3"/>
      </w:r>
      <w:r w:rsidR="00F76701">
        <w:rPr>
          <w:rFonts w:eastAsia="Times New Roman"/>
          <w:szCs w:val="24"/>
        </w:rPr>
        <w:t xml:space="preserve">  </w:t>
      </w:r>
    </w:p>
    <w:p w:rsidR="009811F4" w:rsidP="00122A3C">
      <w:pPr>
        <w:spacing w:after="0" w:line="480" w:lineRule="auto"/>
        <w:ind w:firstLine="720"/>
      </w:pPr>
      <w:r>
        <w:t>It has been nearly</w:t>
      </w:r>
      <w:r w:rsidR="00EC5340">
        <w:t xml:space="preserve"> forty </w:t>
      </w:r>
      <w:r>
        <w:t>years since</w:t>
      </w:r>
      <w:r w:rsidR="00EC5340">
        <w:t xml:space="preserve"> the PUCO promulgated the </w:t>
      </w:r>
      <w:r w:rsidR="001023EE">
        <w:t>current form of its rules of practice</w:t>
      </w:r>
      <w:r>
        <w:t>.</w:t>
      </w:r>
      <w:r w:rsidR="001023EE">
        <w:t xml:space="preserve"> </w:t>
      </w:r>
      <w:r>
        <w:t xml:space="preserve">But </w:t>
      </w:r>
      <w:r w:rsidR="001023EE">
        <w:t xml:space="preserve">there </w:t>
      </w:r>
      <w:r>
        <w:t xml:space="preserve">can </w:t>
      </w:r>
      <w:r w:rsidR="001023EE">
        <w:t>still be too much delay in obtaining information from public utilities.</w:t>
      </w:r>
      <w:r>
        <w:rPr>
          <w:rStyle w:val="FootnoteReference"/>
        </w:rPr>
        <w:footnoteReference w:id="4"/>
      </w:r>
      <w:r w:rsidR="001023EE">
        <w:t xml:space="preserve"> </w:t>
      </w:r>
      <w:r w:rsidR="00E56C32">
        <w:t>This problem needs to be solved, in the interest of a fair process for consumers in cases about utility rates and service</w:t>
      </w:r>
      <w:r w:rsidR="00BD72C4">
        <w:t>.</w:t>
      </w:r>
    </w:p>
    <w:p w:rsidR="00342E9A" w:rsidRPr="0010475C" w:rsidP="00447CFD">
      <w:pPr>
        <w:widowControl w:val="0"/>
        <w:spacing w:after="0" w:line="240" w:lineRule="auto"/>
        <w:ind w:left="2880" w:right="-672" w:firstLine="720"/>
        <w:rPr>
          <w:szCs w:val="24"/>
        </w:rPr>
      </w:pPr>
      <w:r w:rsidRPr="0010475C">
        <w:rPr>
          <w:szCs w:val="24"/>
        </w:rPr>
        <w:t>Respectfully submitted,</w:t>
      </w:r>
    </w:p>
    <w:p w:rsidR="00342E9A" w:rsidRPr="009F75E8" w:rsidP="00342E9A">
      <w:pPr>
        <w:widowControl w:val="0"/>
        <w:spacing w:after="0" w:line="240" w:lineRule="auto"/>
        <w:ind w:left="3600" w:right="-672" w:firstLine="720"/>
        <w:rPr>
          <w:sz w:val="18"/>
          <w:szCs w:val="24"/>
        </w:rPr>
      </w:pPr>
    </w:p>
    <w:p w:rsidR="00447CFD" w:rsidRPr="0010475C" w:rsidP="00447CFD">
      <w:pPr>
        <w:spacing w:after="0" w:line="240" w:lineRule="auto"/>
        <w:ind w:left="3600"/>
        <w:rPr>
          <w:szCs w:val="24"/>
        </w:rPr>
      </w:pPr>
      <w:r>
        <w:rPr>
          <w:szCs w:val="24"/>
        </w:rPr>
        <w:t xml:space="preserve">Bruce Weston </w:t>
      </w:r>
      <w:r w:rsidRPr="0010475C">
        <w:rPr>
          <w:szCs w:val="24"/>
        </w:rPr>
        <w:t>(0016973)</w:t>
      </w:r>
    </w:p>
    <w:p w:rsidR="00447CFD" w:rsidRPr="0010475C" w:rsidP="00447CFD">
      <w:pPr>
        <w:spacing w:after="0" w:line="240" w:lineRule="auto"/>
        <w:ind w:left="2880" w:firstLine="720"/>
        <w:rPr>
          <w:szCs w:val="24"/>
        </w:rPr>
      </w:pPr>
      <w:r w:rsidRPr="0010475C">
        <w:rPr>
          <w:szCs w:val="24"/>
        </w:rPr>
        <w:t>Ohio Consumers’ Counsel</w:t>
      </w:r>
    </w:p>
    <w:p w:rsidR="00F345BC" w:rsidP="00F345BC">
      <w:pPr>
        <w:spacing w:after="0" w:line="240" w:lineRule="auto"/>
        <w:rPr>
          <w:szCs w:val="24"/>
        </w:rPr>
      </w:pPr>
      <w:r>
        <w:rPr>
          <w:szCs w:val="24"/>
        </w:rPr>
        <w:tab/>
      </w:r>
      <w:r>
        <w:rPr>
          <w:szCs w:val="24"/>
        </w:rPr>
        <w:tab/>
      </w:r>
      <w:r>
        <w:rPr>
          <w:szCs w:val="24"/>
        </w:rPr>
        <w:tab/>
      </w:r>
      <w:r>
        <w:rPr>
          <w:szCs w:val="24"/>
        </w:rPr>
        <w:tab/>
      </w:r>
      <w:r>
        <w:rPr>
          <w:szCs w:val="24"/>
        </w:rPr>
        <w:tab/>
      </w:r>
    </w:p>
    <w:p w:rsidR="00F345BC" w:rsidRPr="00F345BC" w:rsidP="00F345BC">
      <w:pPr>
        <w:spacing w:after="0" w:line="240" w:lineRule="auto"/>
        <w:rPr>
          <w:i/>
          <w:szCs w:val="24"/>
          <w:u w:val="single"/>
        </w:rPr>
      </w:pPr>
      <w:r>
        <w:rPr>
          <w:szCs w:val="24"/>
        </w:rPr>
        <w:tab/>
      </w:r>
      <w:r>
        <w:rPr>
          <w:szCs w:val="24"/>
        </w:rPr>
        <w:tab/>
      </w:r>
      <w:r>
        <w:rPr>
          <w:szCs w:val="24"/>
        </w:rPr>
        <w:tab/>
      </w:r>
      <w:r>
        <w:rPr>
          <w:szCs w:val="24"/>
        </w:rPr>
        <w:tab/>
      </w:r>
      <w:r>
        <w:rPr>
          <w:szCs w:val="24"/>
        </w:rPr>
        <w:tab/>
      </w:r>
      <w:r>
        <w:rPr>
          <w:i/>
          <w:szCs w:val="24"/>
          <w:u w:val="single"/>
        </w:rPr>
        <w:t>/s/ Maureen R. Willis</w:t>
      </w:r>
    </w:p>
    <w:p w:rsidR="00447CFD" w:rsidP="00447CFD">
      <w:pPr>
        <w:spacing w:after="0" w:line="240" w:lineRule="auto"/>
        <w:ind w:firstLine="3600"/>
        <w:rPr>
          <w:szCs w:val="24"/>
        </w:rPr>
      </w:pPr>
      <w:r>
        <w:rPr>
          <w:szCs w:val="24"/>
        </w:rPr>
        <w:t>Maureen R. Willis (0020847)</w:t>
      </w:r>
    </w:p>
    <w:p w:rsidR="00447CFD" w:rsidP="00447CFD">
      <w:pPr>
        <w:spacing w:after="0" w:line="240" w:lineRule="auto"/>
        <w:ind w:firstLine="3600"/>
        <w:rPr>
          <w:szCs w:val="24"/>
        </w:rPr>
      </w:pPr>
      <w:r>
        <w:rPr>
          <w:szCs w:val="24"/>
        </w:rPr>
        <w:t>Counsel of Record</w:t>
      </w:r>
    </w:p>
    <w:p w:rsidR="00447CFD" w:rsidP="00447CFD">
      <w:pPr>
        <w:spacing w:after="0" w:line="240" w:lineRule="auto"/>
        <w:ind w:firstLine="3600"/>
        <w:rPr>
          <w:szCs w:val="24"/>
        </w:rPr>
      </w:pPr>
      <w:r>
        <w:rPr>
          <w:szCs w:val="24"/>
        </w:rPr>
        <w:t>Senior Counsel</w:t>
      </w:r>
    </w:p>
    <w:p w:rsidR="00447CFD" w:rsidP="00447CFD">
      <w:pPr>
        <w:spacing w:after="0" w:line="240" w:lineRule="auto"/>
        <w:ind w:firstLine="3600"/>
        <w:rPr>
          <w:szCs w:val="24"/>
        </w:rPr>
      </w:pPr>
      <w:r>
        <w:rPr>
          <w:szCs w:val="24"/>
        </w:rPr>
        <w:t>Bryce A. McKenney (0088203)</w:t>
      </w:r>
    </w:p>
    <w:p w:rsidR="00447CFD" w:rsidP="00447CFD">
      <w:pPr>
        <w:spacing w:after="0" w:line="240" w:lineRule="auto"/>
        <w:ind w:firstLine="3600"/>
        <w:rPr>
          <w:szCs w:val="24"/>
        </w:rPr>
      </w:pPr>
      <w:r>
        <w:rPr>
          <w:szCs w:val="24"/>
        </w:rPr>
        <w:t>Assistant Consumers’ Counsel</w:t>
      </w:r>
    </w:p>
    <w:p w:rsidR="00447CFD" w:rsidRPr="0010475C" w:rsidP="00447CFD">
      <w:pPr>
        <w:spacing w:after="0" w:line="240" w:lineRule="auto"/>
        <w:ind w:firstLine="3600"/>
        <w:rPr>
          <w:szCs w:val="24"/>
        </w:rPr>
      </w:pPr>
    </w:p>
    <w:p w:rsidR="00447CFD" w:rsidRPr="0010475C" w:rsidP="00447CFD">
      <w:pPr>
        <w:spacing w:after="0" w:line="240" w:lineRule="auto"/>
        <w:ind w:firstLine="3600"/>
        <w:rPr>
          <w:b/>
          <w:szCs w:val="24"/>
        </w:rPr>
      </w:pPr>
      <w:r w:rsidRPr="0010475C">
        <w:rPr>
          <w:b/>
          <w:szCs w:val="24"/>
        </w:rPr>
        <w:t>Office of the Ohio Consumers’ Counsel</w:t>
      </w:r>
    </w:p>
    <w:p w:rsidR="00447CFD" w:rsidP="00447CFD">
      <w:pPr>
        <w:spacing w:after="0" w:line="240" w:lineRule="auto"/>
        <w:ind w:firstLine="3600"/>
        <w:rPr>
          <w:szCs w:val="24"/>
        </w:rPr>
      </w:pPr>
      <w:r>
        <w:rPr>
          <w:szCs w:val="24"/>
        </w:rPr>
        <w:t>65 East State Street, 7</w:t>
      </w:r>
      <w:r w:rsidRPr="00A02067">
        <w:rPr>
          <w:szCs w:val="24"/>
          <w:vertAlign w:val="superscript"/>
        </w:rPr>
        <w:t>th</w:t>
      </w:r>
      <w:r>
        <w:rPr>
          <w:szCs w:val="24"/>
        </w:rPr>
        <w:t xml:space="preserve"> Floor</w:t>
      </w:r>
    </w:p>
    <w:p w:rsidR="00447CFD" w:rsidP="00447CFD">
      <w:pPr>
        <w:spacing w:after="0" w:line="240" w:lineRule="auto"/>
        <w:ind w:firstLine="3600"/>
        <w:rPr>
          <w:szCs w:val="24"/>
        </w:rPr>
      </w:pPr>
      <w:r w:rsidRPr="0010475C">
        <w:rPr>
          <w:szCs w:val="24"/>
        </w:rPr>
        <w:t>Columbus, Ohio 43215</w:t>
      </w:r>
      <w:r>
        <w:rPr>
          <w:szCs w:val="24"/>
        </w:rPr>
        <w:t>-4213</w:t>
      </w:r>
    </w:p>
    <w:p w:rsidR="00447CFD" w:rsidP="00447CFD">
      <w:pPr>
        <w:spacing w:after="0" w:line="240" w:lineRule="auto"/>
        <w:ind w:firstLine="3600"/>
        <w:rPr>
          <w:szCs w:val="24"/>
        </w:rPr>
      </w:pPr>
      <w:r>
        <w:rPr>
          <w:szCs w:val="24"/>
        </w:rPr>
        <w:t>Telephone:  Willis Direct – 614-466-9567</w:t>
      </w:r>
    </w:p>
    <w:p w:rsidR="00447CFD" w:rsidP="00447CFD">
      <w:pPr>
        <w:spacing w:after="0" w:line="240" w:lineRule="auto"/>
        <w:ind w:firstLine="3600"/>
        <w:rPr>
          <w:szCs w:val="24"/>
        </w:rPr>
      </w:pPr>
      <w:r>
        <w:rPr>
          <w:szCs w:val="24"/>
        </w:rPr>
        <w:t>Telephone:  McKenney Direct – 614-</w:t>
      </w:r>
      <w:r w:rsidR="00F345BC">
        <w:rPr>
          <w:szCs w:val="24"/>
        </w:rPr>
        <w:t>466-</w:t>
      </w:r>
      <w:r>
        <w:rPr>
          <w:szCs w:val="24"/>
        </w:rPr>
        <w:t>9585</w:t>
      </w:r>
    </w:p>
    <w:p w:rsidR="00447CFD" w:rsidP="00447CFD">
      <w:pPr>
        <w:spacing w:after="0" w:line="240" w:lineRule="auto"/>
        <w:ind w:firstLine="3600"/>
        <w:rPr>
          <w:rStyle w:val="Hyperlink"/>
          <w:color w:val="auto"/>
          <w:szCs w:val="24"/>
          <w:u w:val="none"/>
        </w:rPr>
      </w:pPr>
      <w:r>
        <w:fldChar w:fldCharType="begin"/>
      </w:r>
      <w:r>
        <w:instrText xml:space="preserve"> HYPERLINK "mailto:Maureen.willis@occ.ohio.gov" </w:instrText>
      </w:r>
      <w:r>
        <w:fldChar w:fldCharType="separate"/>
      </w:r>
      <w:r w:rsidRPr="00447CFD">
        <w:rPr>
          <w:rStyle w:val="Hyperlink"/>
          <w:color w:val="auto"/>
          <w:szCs w:val="24"/>
          <w:u w:val="none"/>
        </w:rPr>
        <w:t>Maureen.willis@occ.ohio.gov</w:t>
      </w:r>
      <w:r>
        <w:fldChar w:fldCharType="end"/>
      </w:r>
    </w:p>
    <w:p w:rsidR="00447CFD" w:rsidP="00447CFD">
      <w:pPr>
        <w:spacing w:after="0" w:line="240" w:lineRule="auto"/>
        <w:ind w:firstLine="3600"/>
        <w:rPr>
          <w:szCs w:val="24"/>
        </w:rPr>
      </w:pPr>
      <w:r>
        <w:fldChar w:fldCharType="begin"/>
      </w:r>
      <w:r>
        <w:instrText xml:space="preserve"> HYPERLINK "mailto:Bryce.mckenney@occ.ohio.gov" </w:instrText>
      </w:r>
      <w:r>
        <w:fldChar w:fldCharType="separate"/>
      </w:r>
      <w:r w:rsidRPr="00447CFD">
        <w:rPr>
          <w:rStyle w:val="Hyperlink"/>
          <w:color w:val="auto"/>
          <w:szCs w:val="24"/>
          <w:u w:val="none"/>
        </w:rPr>
        <w:t>Bryce.mckenney@occ.ohio.gov</w:t>
      </w:r>
      <w:r>
        <w:fldChar w:fldCharType="end"/>
      </w:r>
      <w:r w:rsidRPr="00447CFD">
        <w:rPr>
          <w:szCs w:val="24"/>
        </w:rPr>
        <w:t xml:space="preserve"> </w:t>
      </w:r>
    </w:p>
    <w:p w:rsidR="00447CFD" w:rsidP="00447CFD">
      <w:pPr>
        <w:spacing w:after="0" w:line="240" w:lineRule="auto"/>
        <w:ind w:firstLine="3600"/>
        <w:rPr>
          <w:szCs w:val="24"/>
        </w:rPr>
        <w:sectPr w:rsidSect="00F345BC">
          <w:headerReference w:type="default" r:id="rId11"/>
          <w:footerReference w:type="default" r:id="rId12"/>
          <w:pgSz w:w="12240" w:h="15840"/>
          <w:pgMar w:top="1350" w:right="1800" w:bottom="1440" w:left="1800" w:header="720" w:footer="720" w:gutter="0"/>
          <w:pgNumType w:start="2"/>
          <w:cols w:space="720"/>
          <w:docGrid w:linePitch="360"/>
        </w:sectPr>
      </w:pPr>
      <w:r w:rsidRPr="0010475C">
        <w:rPr>
          <w:szCs w:val="24"/>
        </w:rPr>
        <w:t>(</w:t>
      </w:r>
      <w:r>
        <w:rPr>
          <w:szCs w:val="24"/>
        </w:rPr>
        <w:t xml:space="preserve">Will </w:t>
      </w:r>
      <w:r w:rsidRPr="0010475C">
        <w:rPr>
          <w:szCs w:val="24"/>
        </w:rPr>
        <w:t>accept service via email)</w:t>
      </w:r>
    </w:p>
    <w:p w:rsidR="00342E9A" w:rsidRPr="0009183C" w:rsidP="00342E9A">
      <w:pPr>
        <w:spacing w:after="0" w:line="480" w:lineRule="auto"/>
        <w:ind w:firstLine="720"/>
        <w:jc w:val="center"/>
        <w:rPr>
          <w:rFonts w:eastAsiaTheme="minorEastAsia" w:cs="Times New Roman"/>
          <w:b/>
          <w:szCs w:val="24"/>
          <w:u w:val="single"/>
        </w:rPr>
      </w:pPr>
      <w:r w:rsidRPr="0009183C">
        <w:rPr>
          <w:rFonts w:eastAsiaTheme="minorEastAsia" w:cs="Times New Roman"/>
          <w:b/>
          <w:szCs w:val="24"/>
          <w:u w:val="single"/>
        </w:rPr>
        <w:t>CERTIFICATE OF SERVICE</w:t>
      </w:r>
    </w:p>
    <w:p w:rsidR="00342E9A" w:rsidP="00342E9A">
      <w:pPr>
        <w:spacing w:after="0" w:line="480" w:lineRule="auto"/>
        <w:ind w:firstLine="720"/>
        <w:rPr>
          <w:rFonts w:eastAsiaTheme="minorEastAsia" w:cs="Times New Roman"/>
          <w:szCs w:val="24"/>
        </w:rPr>
      </w:pPr>
      <w:r w:rsidRPr="0009183C">
        <w:rPr>
          <w:rFonts w:eastAsiaTheme="minorEastAsia" w:cs="Times New Roman"/>
          <w:szCs w:val="24"/>
        </w:rPr>
        <w:t xml:space="preserve">I hereby certify that a copy of this </w:t>
      </w:r>
      <w:r w:rsidR="007E1D85">
        <w:rPr>
          <w:rFonts w:eastAsiaTheme="minorEastAsia" w:cs="Times New Roman"/>
          <w:szCs w:val="24"/>
        </w:rPr>
        <w:t xml:space="preserve">Notice </w:t>
      </w:r>
      <w:r w:rsidRPr="0009183C">
        <w:rPr>
          <w:rFonts w:eastAsiaTheme="minorEastAsia" w:cs="Times New Roman"/>
          <w:szCs w:val="24"/>
        </w:rPr>
        <w:t xml:space="preserve">was served on the persons stated below via electronic transmission, this </w:t>
      </w:r>
      <w:r w:rsidR="007E1D85">
        <w:rPr>
          <w:rFonts w:eastAsiaTheme="minorEastAsia" w:cs="Times New Roman"/>
          <w:szCs w:val="24"/>
        </w:rPr>
        <w:t>9</w:t>
      </w:r>
      <w:r>
        <w:rPr>
          <w:rFonts w:eastAsiaTheme="minorEastAsia" w:cs="Times New Roman"/>
          <w:szCs w:val="24"/>
        </w:rPr>
        <w:t>th</w:t>
      </w:r>
      <w:r w:rsidRPr="0009183C">
        <w:rPr>
          <w:rFonts w:eastAsiaTheme="minorEastAsia" w:cs="Times New Roman"/>
          <w:szCs w:val="24"/>
        </w:rPr>
        <w:t xml:space="preserve"> day of </w:t>
      </w:r>
      <w:r>
        <w:rPr>
          <w:rFonts w:eastAsiaTheme="minorEastAsia" w:cs="Times New Roman"/>
          <w:szCs w:val="24"/>
        </w:rPr>
        <w:t>October 2018</w:t>
      </w:r>
      <w:r w:rsidRPr="0009183C">
        <w:rPr>
          <w:rFonts w:eastAsiaTheme="minorEastAsia" w:cs="Times New Roman"/>
          <w:szCs w:val="24"/>
        </w:rPr>
        <w:t>.</w:t>
      </w:r>
    </w:p>
    <w:p w:rsidR="00342E9A" w:rsidP="00342E9A">
      <w:pPr>
        <w:spacing w:after="0" w:line="480" w:lineRule="auto"/>
        <w:ind w:firstLine="720"/>
        <w:rPr>
          <w:rFonts w:eastAsiaTheme="minorEastAsia" w:cs="Times New Roman"/>
          <w:szCs w:val="24"/>
        </w:rPr>
      </w:pPr>
    </w:p>
    <w:p w:rsidR="00342E9A" w:rsidP="00342E9A">
      <w:pPr>
        <w:tabs>
          <w:tab w:val="left" w:pos="4320"/>
        </w:tabs>
        <w:spacing w:after="0" w:line="240" w:lineRule="auto"/>
        <w:rPr>
          <w:i/>
          <w:szCs w:val="24"/>
          <w:u w:val="single"/>
        </w:rPr>
      </w:pPr>
      <w:r>
        <w:rPr>
          <w:i/>
          <w:szCs w:val="24"/>
        </w:rPr>
        <w:tab/>
      </w:r>
      <w:r>
        <w:rPr>
          <w:i/>
          <w:szCs w:val="24"/>
          <w:u w:val="single"/>
        </w:rPr>
        <w:t>/s/ Maureen R. Willis__</w:t>
      </w:r>
    </w:p>
    <w:p w:rsidR="00342E9A" w:rsidP="00342E9A">
      <w:pPr>
        <w:tabs>
          <w:tab w:val="left" w:pos="4320"/>
        </w:tabs>
        <w:spacing w:after="0" w:line="240" w:lineRule="auto"/>
        <w:rPr>
          <w:szCs w:val="24"/>
        </w:rPr>
      </w:pPr>
      <w:r>
        <w:rPr>
          <w:szCs w:val="24"/>
        </w:rPr>
        <w:tab/>
        <w:t>Maureen R. Willis</w:t>
      </w:r>
    </w:p>
    <w:p w:rsidR="00342E9A" w:rsidP="00342E9A">
      <w:pPr>
        <w:tabs>
          <w:tab w:val="left" w:pos="4320"/>
        </w:tabs>
        <w:spacing w:after="0" w:line="240" w:lineRule="auto"/>
        <w:rPr>
          <w:szCs w:val="24"/>
        </w:rPr>
      </w:pPr>
      <w:r>
        <w:rPr>
          <w:szCs w:val="24"/>
        </w:rPr>
        <w:tab/>
        <w:t>Senior Counsel</w:t>
      </w:r>
    </w:p>
    <w:p w:rsidR="00342E9A" w:rsidP="00342E9A">
      <w:pPr>
        <w:tabs>
          <w:tab w:val="left" w:pos="4320"/>
        </w:tabs>
        <w:spacing w:after="0" w:line="240" w:lineRule="auto"/>
        <w:rPr>
          <w:b/>
          <w:szCs w:val="24"/>
          <w:u w:val="single"/>
        </w:rPr>
      </w:pPr>
      <w:r>
        <w:rPr>
          <w:szCs w:val="24"/>
        </w:rPr>
        <w:tab/>
      </w:r>
    </w:p>
    <w:p w:rsidR="00342E9A" w:rsidP="00342E9A">
      <w:pPr>
        <w:pStyle w:val="CommentText"/>
        <w:jc w:val="center"/>
        <w:rPr>
          <w:b/>
          <w:u w:val="single"/>
        </w:rPr>
      </w:pPr>
    </w:p>
    <w:p w:rsidR="00F345BC" w:rsidRPr="00EB0BC4" w:rsidP="00F345BC">
      <w:pPr>
        <w:pStyle w:val="CommentText"/>
        <w:jc w:val="center"/>
        <w:rPr>
          <w:b/>
          <w:u w:val="single"/>
        </w:rPr>
      </w:pPr>
      <w:r w:rsidRPr="00EB0BC4">
        <w:rPr>
          <w:b/>
          <w:u w:val="single"/>
        </w:rPr>
        <w:t>SERVICE LIST</w:t>
      </w:r>
    </w:p>
    <w:p w:rsidR="00F345BC" w:rsidRPr="00EB0BC4" w:rsidP="00F345BC">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4"/>
        <w:gridCol w:w="4216"/>
      </w:tblGrid>
      <w:tr w:rsidTr="00A01310">
        <w:tblPrEx>
          <w:tblW w:w="0" w:type="auto"/>
          <w:tblInd w:w="0" w:type="dxa"/>
          <w:tblCellMar>
            <w:top w:w="0" w:type="dxa"/>
            <w:left w:w="108" w:type="dxa"/>
            <w:bottom w:w="0" w:type="dxa"/>
            <w:right w:w="108" w:type="dxa"/>
          </w:tblCellMar>
          <w:tblLook w:val="04A0"/>
        </w:tblPrEx>
        <w:tc>
          <w:tcPr>
            <w:tcW w:w="4428" w:type="dxa"/>
          </w:tcPr>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bCs/>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"mailto:Thomas.lindgren@ohioattorneygeneral.gov" </w:instrText>
            </w:r>
            <w:r>
              <w:fldChar w:fldCharType="separate"/>
            </w:r>
            <w:r w:rsidRPr="00EB0BC4">
              <w:rPr>
                <w:rStyle w:val="Hyperlink"/>
                <w:rFonts w:ascii="Times New Roman" w:hAnsi="Times New Roman" w:eastAsiaTheme="minorHAnsi" w:cs="Times New Roman"/>
                <w:bCs/>
                <w:color w:val="0000FF"/>
                <w:sz w:val="24"/>
                <w:szCs w:val="24"/>
                <w:u w:val="single"/>
                <w:lang w:val="en-US" w:eastAsia="en-US" w:bidi="ar-SA"/>
              </w:rPr>
              <w:t>Thomas.lindgren@ohioattorneygeneral.gov</w:t>
            </w:r>
            <w:r>
              <w:fldChar w:fldCharType="end"/>
            </w: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"mailto:joliker@igsenergy.com" </w:instrText>
            </w:r>
            <w:r>
              <w:fldChar w:fldCharType="separate"/>
            </w:r>
            <w:r w:rsidRPr="00EB0BC4">
              <w:rPr>
                <w:rStyle w:val="Hyperlink"/>
                <w:rFonts w:ascii="Times New Roman" w:hAnsi="Times New Roman" w:eastAsiaTheme="minorHAnsi" w:cs="Times New Roman"/>
                <w:color w:val="0000FF"/>
                <w:sz w:val="24"/>
                <w:szCs w:val="24"/>
                <w:u w:val="single"/>
                <w:lang w:val="en-US" w:eastAsia="en-US" w:bidi="ar-SA"/>
              </w:rPr>
              <w:t>joliker@igsenergy.com</w:t>
            </w:r>
            <w:r>
              <w:fldChar w:fldCharType="end"/>
            </w: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"mailto:Mnugent@igsenergy.com" </w:instrText>
            </w:r>
            <w:r>
              <w:fldChar w:fldCharType="separate"/>
            </w:r>
            <w:r w:rsidRPr="00EB0BC4">
              <w:rPr>
                <w:rStyle w:val="Hyperlink"/>
                <w:rFonts w:ascii="Times New Roman" w:hAnsi="Times New Roman" w:eastAsiaTheme="minorHAnsi" w:cs="Times New Roman"/>
                <w:color w:val="0000FF"/>
                <w:sz w:val="24"/>
                <w:szCs w:val="24"/>
                <w:u w:val="single"/>
                <w:lang w:val="en-US" w:eastAsia="en-US" w:bidi="ar-SA"/>
              </w:rPr>
              <w:t>Mnugent@igsenergy.com</w:t>
            </w:r>
            <w:r>
              <w:fldChar w:fldCharType="end"/>
            </w: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EB0BC4">
              <w:rPr>
                <w:rFonts w:ascii="Times New Roman" w:hAnsi="Times New Roman" w:eastAsiaTheme="minorHAnsi" w:cs="Times New Roman"/>
                <w:sz w:val="24"/>
                <w:szCs w:val="24"/>
                <w:lang w:val="en-US" w:eastAsia="en-US" w:bidi="ar-SA"/>
              </w:rPr>
              <w:t>Attorney Examiners:</w:t>
            </w: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"mailto:Megan.addison@puc.state.oh.us" </w:instrText>
            </w:r>
            <w:r>
              <w:fldChar w:fldCharType="separate"/>
            </w:r>
            <w:r w:rsidRPr="00EB0BC4">
              <w:rPr>
                <w:rStyle w:val="Hyperlink"/>
                <w:rFonts w:ascii="Times New Roman" w:hAnsi="Times New Roman" w:eastAsiaTheme="minorHAnsi" w:cs="Times New Roman"/>
                <w:color w:val="0000FF"/>
                <w:sz w:val="24"/>
                <w:szCs w:val="24"/>
                <w:u w:val="single"/>
                <w:lang w:val="en-US" w:eastAsia="en-US" w:bidi="ar-SA"/>
              </w:rPr>
              <w:t>Megan.addison@puc.state.oh.us</w:t>
            </w:r>
            <w:r>
              <w:fldChar w:fldCharType="end"/>
            </w: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"mailto:Gregory.price@puc.state.oh.us" </w:instrText>
            </w:r>
            <w:r>
              <w:fldChar w:fldCharType="separate"/>
            </w:r>
            <w:r w:rsidRPr="00EB0BC4">
              <w:rPr>
                <w:rStyle w:val="Hyperlink"/>
                <w:rFonts w:ascii="Times New Roman" w:hAnsi="Times New Roman" w:eastAsiaTheme="minorHAnsi" w:cs="Times New Roman"/>
                <w:color w:val="0000FF"/>
                <w:sz w:val="24"/>
                <w:szCs w:val="24"/>
                <w:u w:val="single"/>
                <w:lang w:val="en-US" w:eastAsia="en-US" w:bidi="ar-SA"/>
              </w:rPr>
              <w:t>Gregory.price@puc.state.oh.us</w:t>
            </w:r>
            <w:r>
              <w:fldChar w:fldCharType="end"/>
            </w: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bCs/>
                <w:sz w:val="24"/>
                <w:szCs w:val="24"/>
                <w:lang w:val="en-US" w:eastAsia="en-US" w:bidi="ar-SA"/>
              </w:rPr>
            </w:pPr>
          </w:p>
          <w:p w:rsidR="00F345BC" w:rsidRPr="00EB0BC4" w:rsidP="00A01310">
            <w:pPr>
              <w:autoSpaceDE w:val="0"/>
              <w:autoSpaceDN w:val="0"/>
              <w:adjustRightInd w:val="0"/>
              <w:spacing w:after="0" w:line="240" w:lineRule="auto"/>
              <w:rPr>
                <w:rStyle w:val="DefaultParagraphFont"/>
                <w:rFonts w:ascii="Times New Roman" w:hAnsi="Times New Roman" w:eastAsiaTheme="minorHAnsi" w:cs="Times New Roman"/>
                <w:bCs/>
                <w:sz w:val="24"/>
                <w:szCs w:val="24"/>
                <w:lang w:val="en-US" w:eastAsia="en-US" w:bidi="ar-SA"/>
              </w:rPr>
            </w:pPr>
          </w:p>
        </w:tc>
        <w:tc>
          <w:tcPr>
            <w:tcW w:w="4428" w:type="dxa"/>
          </w:tcPr>
          <w:p w:rsidR="00F345BC" w:rsidRPr="00EB0BC4" w:rsidP="00A01310">
            <w:pPr>
              <w:pStyle w:val="BodyText"/>
              <w:spacing w:after="0" w:line="240" w:lineRule="auto"/>
              <w:ind w:left="612"/>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"mailto:scasto@firstenergycorp.com" </w:instrText>
            </w:r>
            <w:r>
              <w:fldChar w:fldCharType="separate"/>
            </w:r>
            <w:r w:rsidRPr="00EB0BC4">
              <w:rPr>
                <w:rStyle w:val="Hyperlink"/>
                <w:rFonts w:ascii="Times New Roman" w:eastAsia="Times New Roman" w:hAnsi="Times New Roman" w:cs="Times New Roman"/>
                <w:color w:val="0000FF"/>
                <w:sz w:val="24"/>
                <w:szCs w:val="24"/>
                <w:u w:val="single"/>
                <w:lang w:val="en-US" w:eastAsia="en-US" w:bidi="ar-SA"/>
              </w:rPr>
              <w:t>scasto@firstenergycorp.com</w:t>
            </w:r>
            <w:r>
              <w:fldChar w:fldCharType="end"/>
            </w:r>
          </w:p>
          <w:p w:rsidR="00F345BC" w:rsidRPr="00EB0BC4" w:rsidP="00A01310">
            <w:pPr>
              <w:pStyle w:val="BodyText"/>
              <w:spacing w:after="0" w:line="240" w:lineRule="auto"/>
              <w:ind w:left="612"/>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"mailto:dakutik@jonesday.com" </w:instrText>
            </w:r>
            <w:r>
              <w:fldChar w:fldCharType="separate"/>
            </w:r>
            <w:r w:rsidRPr="00EB0BC4">
              <w:rPr>
                <w:rStyle w:val="Hyperlink"/>
                <w:rFonts w:ascii="Times New Roman" w:eastAsia="Times New Roman" w:hAnsi="Times New Roman" w:cs="Times New Roman"/>
                <w:color w:val="0000FF"/>
                <w:sz w:val="24"/>
                <w:szCs w:val="24"/>
                <w:u w:val="single"/>
                <w:lang w:val="en-US" w:eastAsia="en-US" w:bidi="ar-SA"/>
              </w:rPr>
              <w:t>dakutik@jonesday.com</w:t>
            </w:r>
            <w:r>
              <w:fldChar w:fldCharType="end"/>
            </w:r>
          </w:p>
          <w:p w:rsidR="00F345BC" w:rsidRPr="00EB0BC4" w:rsidP="00A01310">
            <w:pPr>
              <w:pStyle w:val="BodyText"/>
              <w:spacing w:after="0" w:line="240" w:lineRule="auto"/>
              <w:ind w:left="612"/>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"mailto:radoringo@jonesday.com" </w:instrText>
            </w:r>
            <w:r>
              <w:fldChar w:fldCharType="separate"/>
            </w:r>
            <w:r w:rsidRPr="00EB0BC4">
              <w:rPr>
                <w:rStyle w:val="Hyperlink"/>
                <w:rFonts w:ascii="Times New Roman" w:eastAsia="Times New Roman" w:hAnsi="Times New Roman" w:cs="Times New Roman"/>
                <w:color w:val="0000FF"/>
                <w:sz w:val="24"/>
                <w:szCs w:val="24"/>
                <w:u w:val="single"/>
                <w:lang w:val="en-US" w:eastAsia="en-US" w:bidi="ar-SA"/>
              </w:rPr>
              <w:t>radoringo@jonesday.com</w:t>
            </w:r>
            <w:r>
              <w:fldChar w:fldCharType="end"/>
            </w:r>
          </w:p>
          <w:p w:rsidR="00F345BC" w:rsidRPr="00EB0BC4" w:rsidP="00A01310">
            <w:pPr>
              <w:pStyle w:val="BodyText"/>
              <w:spacing w:after="0" w:line="240" w:lineRule="auto"/>
              <w:ind w:left="612"/>
              <w:rPr>
                <w:rStyle w:val="DefaultParagraphFont"/>
                <w:rFonts w:ascii="Times New Roman" w:eastAsia="Times New Roman" w:hAnsi="Times New Roman" w:cs="Times New Roman"/>
                <w:sz w:val="24"/>
                <w:szCs w:val="24"/>
                <w:lang w:val="en-US" w:eastAsia="en-US" w:bidi="ar-SA"/>
              </w:rPr>
            </w:pPr>
          </w:p>
          <w:p w:rsidR="00F345BC" w:rsidRPr="00EB0BC4" w:rsidP="00A01310">
            <w:pPr>
              <w:pStyle w:val="BodyText"/>
              <w:spacing w:after="0" w:line="240" w:lineRule="auto"/>
              <w:rPr>
                <w:rStyle w:val="DefaultParagraphFont"/>
                <w:rFonts w:ascii="Times New Roman" w:eastAsia="Times New Roman" w:hAnsi="Times New Roman" w:cs="Times New Roman"/>
                <w:sz w:val="24"/>
                <w:szCs w:val="24"/>
                <w:lang w:val="en-US" w:eastAsia="en-US" w:bidi="ar-SA"/>
              </w:rPr>
            </w:pPr>
          </w:p>
        </w:tc>
      </w:tr>
    </w:tbl>
    <w:p w:rsidR="005C4821" w:rsidRPr="00BF2F08" w:rsidP="00F345BC">
      <w:pPr>
        <w:pStyle w:val="CommentText"/>
        <w:jc w:val="center"/>
        <w:rPr>
          <w:rFonts w:eastAsiaTheme="minorEastAsia"/>
          <w:b/>
        </w:rPr>
      </w:pPr>
    </w:p>
    <w:sectPr w:rsidSect="005E1806">
      <w:footerReference w:type="default" r:id="rId13"/>
      <w:pgSz w:w="12240" w:h="15840"/>
      <w:pgMar w:top="135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5BC">
    <w:pPr>
      <w:pStyle w:val="Footer"/>
      <w:jc w:val="center"/>
    </w:pPr>
  </w:p>
  <w:p w:rsidR="00447CF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1900002"/>
      <w:docPartObj>
        <w:docPartGallery w:val="Page Numbers (Bottom of Page)"/>
        <w:docPartUnique/>
      </w:docPartObj>
    </w:sdtPr>
    <w:sdtEndPr>
      <w:rPr>
        <w:noProof/>
      </w:rPr>
    </w:sdtEndPr>
    <w:sdtContent>
      <w:p w:rsidR="00F345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345BC">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CF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5AFD" w:rsidP="005C4821">
      <w:pPr>
        <w:spacing w:after="0" w:line="240" w:lineRule="auto"/>
      </w:pPr>
      <w:r>
        <w:separator/>
      </w:r>
    </w:p>
  </w:footnote>
  <w:footnote w:type="continuationSeparator" w:id="1">
    <w:p w:rsidR="00455AFD" w:rsidP="005C4821">
      <w:pPr>
        <w:spacing w:after="0" w:line="240" w:lineRule="auto"/>
      </w:pPr>
      <w:r>
        <w:continuationSeparator/>
      </w:r>
    </w:p>
  </w:footnote>
  <w:footnote w:id="2">
    <w:p w:rsidR="006E744C" w:rsidRPr="00F345BC" w:rsidP="00F345BC">
      <w:pPr>
        <w:pStyle w:val="FootnoteText"/>
        <w:spacing w:after="120"/>
        <w:rPr>
          <w:rFonts w:ascii="Times New Roman" w:hAnsi="Times New Roman" w:cs="Times New Roman"/>
        </w:rPr>
      </w:pPr>
      <w:r w:rsidRPr="00F345BC">
        <w:rPr>
          <w:rStyle w:val="FootnoteReference"/>
          <w:rFonts w:ascii="Times New Roman" w:hAnsi="Times New Roman" w:cs="Times New Roman"/>
        </w:rPr>
        <w:footnoteRef/>
      </w:r>
      <w:r w:rsidRPr="00F345BC">
        <w:rPr>
          <w:rFonts w:ascii="Times New Roman" w:hAnsi="Times New Roman" w:cs="Times New Roman"/>
        </w:rPr>
        <w:t xml:space="preserve"> Ohio Adm. Code 4901-1-19.</w:t>
      </w:r>
    </w:p>
  </w:footnote>
  <w:footnote w:id="3">
    <w:p w:rsidR="00F76701" w:rsidRPr="00F345BC" w:rsidP="00F345BC">
      <w:pPr>
        <w:pStyle w:val="FootnoteText"/>
        <w:spacing w:after="120"/>
        <w:rPr>
          <w:rFonts w:ascii="Times New Roman" w:hAnsi="Times New Roman" w:cs="Times New Roman"/>
        </w:rPr>
      </w:pPr>
      <w:r w:rsidRPr="00F345BC">
        <w:rPr>
          <w:rStyle w:val="FootnoteReference"/>
          <w:rFonts w:ascii="Times New Roman" w:hAnsi="Times New Roman" w:cs="Times New Roman"/>
        </w:rPr>
        <w:footnoteRef/>
      </w:r>
      <w:r w:rsidRPr="00F345BC">
        <w:rPr>
          <w:rFonts w:ascii="Times New Roman" w:hAnsi="Times New Roman" w:cs="Times New Roman"/>
        </w:rPr>
        <w:t xml:space="preserve"> </w:t>
      </w:r>
      <w:r w:rsidRPr="00F345BC">
        <w:rPr>
          <w:rFonts w:ascii="Times New Roman" w:hAnsi="Times New Roman" w:cs="Times New Roman"/>
          <w:i/>
        </w:rPr>
        <w:t>Id.,</w:t>
      </w:r>
      <w:r w:rsidRPr="00F345BC">
        <w:rPr>
          <w:rFonts w:ascii="Times New Roman" w:hAnsi="Times New Roman" w:cs="Times New Roman"/>
        </w:rPr>
        <w:t xml:space="preserve"> PUCO Staff Report at 12 (Jan. 16, 2014).  </w:t>
      </w:r>
    </w:p>
  </w:footnote>
  <w:footnote w:id="4">
    <w:p w:rsidR="001023EE" w:rsidRPr="00F345BC">
      <w:pPr>
        <w:pStyle w:val="FootnoteText"/>
        <w:rPr>
          <w:rFonts w:ascii="Times New Roman" w:hAnsi="Times New Roman" w:cs="Times New Roman"/>
        </w:rPr>
      </w:pPr>
      <w:r w:rsidRPr="00F345BC">
        <w:rPr>
          <w:rStyle w:val="FootnoteReference"/>
          <w:rFonts w:ascii="Times New Roman" w:hAnsi="Times New Roman" w:cs="Times New Roman"/>
        </w:rPr>
        <w:footnoteRef/>
      </w:r>
      <w:r w:rsidRPr="00F345BC">
        <w:rPr>
          <w:rFonts w:ascii="Times New Roman" w:hAnsi="Times New Roman" w:cs="Times New Roman"/>
        </w:rPr>
        <w:t xml:space="preserve"> </w:t>
      </w:r>
      <w:r w:rsidRPr="00F345BC" w:rsidR="00753770">
        <w:rPr>
          <w:rFonts w:ascii="Times New Roman" w:hAnsi="Times New Roman" w:cs="Times New Roman"/>
          <w:i/>
        </w:rPr>
        <w:t>OCC v. PUCO</w:t>
      </w:r>
      <w:r w:rsidRPr="00F345BC" w:rsidR="00753770">
        <w:rPr>
          <w:rFonts w:ascii="Times New Roman" w:hAnsi="Times New Roman" w:cs="Times New Roman"/>
        </w:rPr>
        <w:t>, 111 Ohio St.3d 300, 2006-Ohio-5789 (</w:t>
      </w:r>
      <w:r w:rsidRPr="00F345BC" w:rsidR="00350678">
        <w:rPr>
          <w:rFonts w:ascii="Times New Roman" w:hAnsi="Times New Roman" w:cs="Times New Roman"/>
        </w:rPr>
        <w:t>T</w:t>
      </w:r>
      <w:r w:rsidRPr="00F345BC" w:rsidR="00753770">
        <w:rPr>
          <w:rFonts w:ascii="Times New Roman" w:hAnsi="Times New Roman" w:cs="Times New Roman"/>
        </w:rPr>
        <w:t>he Court ruled that the PUCO erred in denying discovery of side agreements which OCC had moved to compel</w:t>
      </w:r>
      <w:r w:rsidRPr="00F345BC" w:rsidR="00350678">
        <w:rPr>
          <w:rFonts w:ascii="Times New Roman" w:hAnsi="Times New Roman" w:cs="Times New Roman"/>
        </w:rPr>
        <w:t xml:space="preserve">. OCC moved to compel on May 20, 2004, but was not </w:t>
      </w:r>
      <w:r w:rsidRPr="00F345BC" w:rsidR="003F17F8">
        <w:rPr>
          <w:rFonts w:ascii="Times New Roman" w:hAnsi="Times New Roman" w:cs="Times New Roman"/>
        </w:rPr>
        <w:t>provided a response</w:t>
      </w:r>
      <w:r w:rsidRPr="00F345BC" w:rsidR="00350678">
        <w:rPr>
          <w:rFonts w:ascii="Times New Roman" w:hAnsi="Times New Roman" w:cs="Times New Roman"/>
        </w:rPr>
        <w:t xml:space="preserve"> until the Supreme Court issued its decision on November 22, 2006</w:t>
      </w:r>
      <w:r w:rsidRPr="00F345BC" w:rsidR="00753770">
        <w:rPr>
          <w:rFonts w:ascii="Times New Roman" w:hAnsi="Times New Roman" w:cs="Times New Roman"/>
        </w:rPr>
        <w:t xml:space="preserve">); </w:t>
      </w:r>
      <w:r w:rsidRPr="00F345BC" w:rsidR="00753770">
        <w:rPr>
          <w:rFonts w:ascii="Times New Roman" w:hAnsi="Times New Roman" w:cs="Times New Roman"/>
          <w:i/>
        </w:rPr>
        <w:t>See</w:t>
      </w:r>
      <w:r w:rsidRPr="00F345BC" w:rsidR="00753770">
        <w:rPr>
          <w:rFonts w:ascii="Times New Roman" w:hAnsi="Times New Roman" w:cs="Times New Roman"/>
        </w:rPr>
        <w:t xml:space="preserve"> </w:t>
      </w:r>
      <w:r w:rsidRPr="00F345BC" w:rsidR="006E744C">
        <w:rPr>
          <w:rFonts w:ascii="Times New Roman" w:hAnsi="Times New Roman" w:cs="Times New Roman"/>
          <w:i/>
        </w:rPr>
        <w:t xml:space="preserve">OCC v. Duke Energy Ohio, </w:t>
      </w:r>
      <w:r w:rsidRPr="00F345BC">
        <w:rPr>
          <w:rFonts w:ascii="Times New Roman" w:hAnsi="Times New Roman" w:cs="Times New Roman"/>
        </w:rPr>
        <w:t xml:space="preserve">Case </w:t>
      </w:r>
      <w:r w:rsidRPr="00F345BC" w:rsidR="006E744C">
        <w:rPr>
          <w:rFonts w:ascii="Times New Roman" w:hAnsi="Times New Roman" w:cs="Times New Roman"/>
        </w:rPr>
        <w:t>No. 15-1588-GE</w:t>
      </w:r>
      <w:r w:rsidRPr="00F345BC" w:rsidR="00C10561">
        <w:rPr>
          <w:rFonts w:ascii="Times New Roman" w:hAnsi="Times New Roman" w:cs="Times New Roman"/>
        </w:rPr>
        <w:t>-</w:t>
      </w:r>
      <w:r w:rsidRPr="00F345BC" w:rsidR="006E744C">
        <w:rPr>
          <w:rFonts w:ascii="Times New Roman" w:hAnsi="Times New Roman" w:cs="Times New Roman"/>
        </w:rPr>
        <w:t>CSS, Entry at footnote 2 (October 11, 2017)</w:t>
      </w:r>
      <w:r w:rsidRPr="00F345BC" w:rsidR="00C10561">
        <w:rPr>
          <w:rFonts w:ascii="Times New Roman" w:hAnsi="Times New Roman" w:cs="Times New Roman"/>
        </w:rPr>
        <w:t xml:space="preserve">; </w:t>
      </w:r>
      <w:r w:rsidRPr="00F345BC" w:rsidR="00A37F0F">
        <w:rPr>
          <w:rFonts w:ascii="Times New Roman" w:hAnsi="Times New Roman" w:cs="Times New Roman"/>
          <w:i/>
        </w:rPr>
        <w:t>See also,</w:t>
      </w:r>
      <w:r w:rsidRPr="00F345BC" w:rsidR="00753770">
        <w:rPr>
          <w:rFonts w:ascii="Times New Roman" w:hAnsi="Times New Roman" w:cs="Times New Roman"/>
        </w:rPr>
        <w:t xml:space="preserve"> </w:t>
      </w:r>
      <w:r w:rsidRPr="00F345BC" w:rsidR="00C10561">
        <w:rPr>
          <w:rFonts w:ascii="Times New Roman" w:hAnsi="Times New Roman" w:cs="Times New Roman"/>
          <w:i/>
        </w:rPr>
        <w:t>In re Amendment of Ohio Adm. Code 4901-1-24 Regarding Motions for Protective Orders</w:t>
      </w:r>
      <w:r w:rsidRPr="00F345BC" w:rsidR="00C10561">
        <w:rPr>
          <w:rFonts w:ascii="Times New Roman" w:hAnsi="Times New Roman" w:cs="Times New Roman"/>
        </w:rPr>
        <w:t xml:space="preserve">, Case No. 18-322-AU-ORD, Comments </w:t>
      </w:r>
      <w:r w:rsidRPr="00F345BC" w:rsidR="00094C3D">
        <w:rPr>
          <w:rFonts w:ascii="Times New Roman" w:hAnsi="Times New Roman" w:cs="Times New Roman"/>
        </w:rPr>
        <w:t xml:space="preserve">by OCC </w:t>
      </w:r>
      <w:r w:rsidRPr="00F345BC" w:rsidR="00C10561">
        <w:rPr>
          <w:rFonts w:ascii="Times New Roman" w:hAnsi="Times New Roman" w:cs="Times New Roman"/>
        </w:rPr>
        <w:t>(Mar. 16, 2018) at 3-6</w:t>
      </w:r>
      <w:r w:rsidRPr="00F345BC" w:rsidR="00D654E2">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2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2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5B7313"/>
    <w:pPr>
      <w:keepNext/>
      <w:keepLines/>
      <w:spacing w:after="240" w:line="240" w:lineRule="auto"/>
      <w:ind w:left="720" w:hanging="720"/>
      <w:outlineLvl w:val="0"/>
    </w:pPr>
    <w:rPr>
      <w:rFonts w:ascii="Times New Roman Bold" w:hAnsi="Times New Roman Bold" w:eastAsiaTheme="majorEastAsia" w:cstheme="majorBidi"/>
      <w:b/>
      <w:bCs/>
      <w:szCs w:val="28"/>
    </w:rPr>
  </w:style>
  <w:style w:type="paragraph" w:styleId="Heading2">
    <w:name w:val="heading 2"/>
    <w:basedOn w:val="Normal"/>
    <w:next w:val="Normal"/>
    <w:link w:val="Heading2Char"/>
    <w:autoRedefine/>
    <w:uiPriority w:val="9"/>
    <w:unhideWhenUsed/>
    <w:qFormat/>
    <w:rsid w:val="00A65873"/>
    <w:pPr>
      <w:spacing w:after="240" w:line="240" w:lineRule="auto"/>
      <w:ind w:left="144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0E56E0"/>
    <w:pPr>
      <w:keepNext/>
      <w:tabs>
        <w:tab w:val="left" w:pos="720"/>
        <w:tab w:val="left" w:pos="1440"/>
      </w:tabs>
      <w:spacing w:after="240" w:line="240" w:lineRule="auto"/>
      <w:ind w:left="2160" w:right="720" w:hanging="720"/>
      <w:outlineLvl w:val="2"/>
    </w:pPr>
    <w:rPr>
      <w:rFonts w:ascii="Times New Roman Bold" w:hAnsi="Times New Roman Bold" w:eastAsiaTheme="majorEastAsia" w:cstheme="majorBidi"/>
      <w:b/>
      <w:bCs/>
      <w:szCs w:val="20"/>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6E0"/>
    <w:rPr>
      <w:rFonts w:ascii="Times New Roman Bold" w:hAnsi="Times New Roman Bold" w:eastAsiaTheme="majorEastAsia" w:cstheme="majorBidi"/>
      <w:b/>
      <w:bCs/>
      <w:sz w:val="24"/>
      <w:szCs w:val="20"/>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F040C"/>
    <w:rPr>
      <w:rFonts w:ascii="Courier New" w:eastAsia="Courier New" w:hAnsi="Courier New" w:cs="Courier New"/>
      <w:sz w:val="20"/>
      <w:szCs w:val="20"/>
    </w:rPr>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rsid w:val="00076C62"/>
    <w:pPr>
      <w:spacing w:after="0" w:line="240" w:lineRule="auto"/>
    </w:pPr>
    <w:rPr>
      <w:rFonts w:asciiTheme="minorHAnsi" w:hAnsiTheme="minorHAnsi"/>
      <w:sz w:val="20"/>
      <w:szCs w:val="20"/>
    </w:rPr>
  </w:style>
  <w:style w:type="character" w:customStyle="1" w:styleId="FootnoteTextChar">
    <w:name w:val="Footnote Text Char"/>
    <w:aliases w:val="Footnote Text Char Char Char,Footnote Text Char Char Char Char Char,Footnote Text Char Char Char1 Char,Footnote Text Char Char1 Char,Footnote Text Char1 Char Char Char,Footnote Text Char1 Char1 Char,Footnote Text Char2 Char,fn Char"/>
    <w:basedOn w:val="DefaultParagraphFont"/>
    <w:link w:val="FootnoteText"/>
    <w:uiPriority w:val="99"/>
    <w:rsid w:val="00076C62"/>
    <w:rPr>
      <w:sz w:val="20"/>
      <w:szCs w:val="20"/>
    </w:rPr>
  </w:style>
  <w:style w:type="character" w:styleId="FootnoteReference">
    <w:name w:val="footnote reference"/>
    <w:aliases w:val="(NECG) Footnote Reference,Appel note de bas de p,Style 12,Style 124,Style 13,Style 3,fr,o"/>
    <w:basedOn w:val="DefaultParagraphFont"/>
    <w:uiPriority w:val="99"/>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5B7313"/>
    <w:rPr>
      <w:rFonts w:ascii="Times New Roman Bold" w:hAnsi="Times New Roman Bold" w:eastAsiaTheme="majorEastAsia" w:cstheme="majorBidi"/>
      <w:b/>
      <w:bCs/>
      <w:sz w:val="24"/>
      <w:szCs w:val="28"/>
    </w:rPr>
  </w:style>
  <w:style w:type="character" w:customStyle="1" w:styleId="Heading2Char">
    <w:name w:val="Heading 2 Char"/>
    <w:basedOn w:val="DefaultParagraphFont"/>
    <w:link w:val="Heading2"/>
    <w:uiPriority w:val="9"/>
    <w:rsid w:val="00A65873"/>
    <w:rPr>
      <w:rFonts w:ascii="Times New Roman" w:hAnsi="Times New Roman" w:eastAsiaTheme="majorEastAsia" w:cstheme="majorBidi"/>
      <w:b/>
      <w:bCs/>
      <w:sz w:val="24"/>
      <w:szCs w:val="26"/>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1B706D"/>
    <w:pPr>
      <w:tabs>
        <w:tab w:val="left" w:pos="720"/>
        <w:tab w:val="decimal" w:leader="dot" w:pos="8640"/>
      </w:tabs>
      <w:spacing w:after="240" w:line="240" w:lineRule="auto"/>
      <w:ind w:left="720" w:hanging="720"/>
      <w:outlineLvl w:val="0"/>
    </w:pPr>
  </w:style>
  <w:style w:type="paragraph" w:styleId="TOC2">
    <w:name w:val="toc 2"/>
    <w:basedOn w:val="Normal"/>
    <w:next w:val="Normal"/>
    <w:autoRedefine/>
    <w:uiPriority w:val="39"/>
    <w:unhideWhenUsed/>
    <w:rsid w:val="00AA4EEE"/>
    <w:pPr>
      <w:tabs>
        <w:tab w:val="left" w:pos="720"/>
        <w:tab w:val="decimal" w:leader="dot" w:pos="8640"/>
      </w:tabs>
      <w:spacing w:after="240" w:line="240" w:lineRule="auto"/>
      <w:ind w:left="1440" w:hanging="720"/>
      <w:outlineLvl w:val="1"/>
    </w:pPr>
  </w:style>
  <w:style w:type="paragraph" w:styleId="TOC3">
    <w:name w:val="toc 3"/>
    <w:basedOn w:val="Normal"/>
    <w:next w:val="Normal"/>
    <w:autoRedefine/>
    <w:uiPriority w:val="39"/>
    <w:unhideWhenUsed/>
    <w:rsid w:val="00F17368"/>
    <w:pPr>
      <w:tabs>
        <w:tab w:val="decimal" w:leader="dot" w:pos="864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paragraph" w:styleId="BodyText">
    <w:name w:val="Body Text"/>
    <w:basedOn w:val="Normal"/>
    <w:link w:val="BodyTextChar"/>
    <w:rsid w:val="00342E9A"/>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342E9A"/>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rsid w:val="00447C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Withdrawal of Motion to Compel.DOCX</vt:lpstr>
    </vt:vector>
  </TitlesOfParts>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2018-10-09T20:04:55Z</dcterms:created>
  <dcterms:modified xsi:type="dcterms:W3CDTF">2018-10-09T20:04:55Z</dcterms:modified>
</cp:coreProperties>
</file>