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F4" w:rsidRDefault="001001F4" w:rsidP="001001F4">
      <w:pPr>
        <w:spacing w:after="0"/>
        <w:jc w:val="center"/>
        <w:rPr>
          <w:b/>
        </w:rPr>
      </w:pPr>
      <w:r>
        <w:rPr>
          <w:b/>
        </w:rPr>
        <w:t>BEFORE</w:t>
      </w:r>
    </w:p>
    <w:p w:rsidR="001001F4" w:rsidRDefault="001001F4" w:rsidP="001001F4">
      <w:pPr>
        <w:spacing w:after="0" w:line="480" w:lineRule="auto"/>
        <w:jc w:val="center"/>
        <w:rPr>
          <w:b/>
        </w:rPr>
      </w:pPr>
      <w:r>
        <w:rPr>
          <w:b/>
        </w:rPr>
        <w:t>THE PUBLIC UTILITIES COMMISSION OF OHIO</w:t>
      </w:r>
    </w:p>
    <w:p w:rsidR="001001F4" w:rsidRDefault="001001F4" w:rsidP="001001F4">
      <w:pPr>
        <w:spacing w:after="0"/>
        <w:jc w:val="center"/>
        <w:rPr>
          <w:b/>
        </w:rPr>
      </w:pPr>
    </w:p>
    <w:tbl>
      <w:tblPr>
        <w:tblW w:w="0" w:type="auto"/>
        <w:tblLook w:val="04A0" w:firstRow="1" w:lastRow="0" w:firstColumn="1" w:lastColumn="0" w:noHBand="0" w:noVBand="1"/>
      </w:tblPr>
      <w:tblGrid>
        <w:gridCol w:w="4655"/>
        <w:gridCol w:w="877"/>
        <w:gridCol w:w="4044"/>
      </w:tblGrid>
      <w:tr w:rsidR="001001F4" w:rsidTr="00C70C03">
        <w:tc>
          <w:tcPr>
            <w:tcW w:w="4655" w:type="dxa"/>
          </w:tcPr>
          <w:p w:rsidR="001001F4" w:rsidRDefault="001001F4" w:rsidP="00C70C03">
            <w:pPr>
              <w:spacing w:after="0"/>
            </w:pPr>
            <w:r>
              <w:t xml:space="preserve">In the Matter of the Application of Interstate Gas Supply, Inc. for a Waiver of Rules </w:t>
            </w:r>
            <w:r w:rsidRPr="00BC6412">
              <w:t>4901:1-10-29(D)(6)(b)</w:t>
            </w:r>
            <w:r>
              <w:t xml:space="preserve"> and 4901:1-21-06(D)(1)(h) of the Ohio Administrative Code.</w:t>
            </w:r>
          </w:p>
        </w:tc>
        <w:tc>
          <w:tcPr>
            <w:tcW w:w="877" w:type="dxa"/>
          </w:tcPr>
          <w:p w:rsidR="001001F4" w:rsidRDefault="001001F4" w:rsidP="00C70C03">
            <w:pPr>
              <w:spacing w:after="0"/>
            </w:pPr>
            <w:r>
              <w:t>)</w:t>
            </w:r>
          </w:p>
          <w:p w:rsidR="001001F4" w:rsidRDefault="001001F4" w:rsidP="00C70C03">
            <w:pPr>
              <w:spacing w:after="0"/>
            </w:pPr>
            <w:r>
              <w:t>)</w:t>
            </w:r>
          </w:p>
          <w:p w:rsidR="001001F4" w:rsidRDefault="001001F4" w:rsidP="00C70C03">
            <w:pPr>
              <w:spacing w:after="0"/>
            </w:pPr>
            <w:r>
              <w:t>)</w:t>
            </w:r>
          </w:p>
          <w:p w:rsidR="001001F4" w:rsidRDefault="001001F4" w:rsidP="00C70C03">
            <w:pPr>
              <w:spacing w:after="0"/>
            </w:pPr>
            <w:r>
              <w:t>)</w:t>
            </w:r>
          </w:p>
        </w:tc>
        <w:tc>
          <w:tcPr>
            <w:tcW w:w="4044" w:type="dxa"/>
          </w:tcPr>
          <w:p w:rsidR="001001F4" w:rsidRDefault="001001F4" w:rsidP="00C70C03">
            <w:pPr>
              <w:spacing w:after="0"/>
            </w:pPr>
            <w:r>
              <w:t>Case No. 14-1740-EL-WVR</w:t>
            </w:r>
          </w:p>
          <w:p w:rsidR="001001F4" w:rsidRDefault="001001F4" w:rsidP="00C70C03">
            <w:pPr>
              <w:spacing w:after="0"/>
            </w:pPr>
          </w:p>
          <w:p w:rsidR="001001F4" w:rsidRDefault="001001F4" w:rsidP="00C70C03">
            <w:pPr>
              <w:spacing w:after="0"/>
            </w:pPr>
            <w:r>
              <w:t>Case No. 14-1741-GA-WVR</w:t>
            </w:r>
          </w:p>
        </w:tc>
      </w:tr>
    </w:tbl>
    <w:p w:rsidR="001001F4" w:rsidRDefault="001001F4" w:rsidP="001001F4">
      <w:pPr>
        <w:pBdr>
          <w:bottom w:val="single" w:sz="12" w:space="1" w:color="auto"/>
        </w:pBdr>
        <w:spacing w:after="0"/>
      </w:pPr>
    </w:p>
    <w:p w:rsidR="001001F4" w:rsidRDefault="001001F4" w:rsidP="001001F4">
      <w:pPr>
        <w:spacing w:after="0"/>
        <w:jc w:val="center"/>
        <w:rPr>
          <w:b/>
        </w:rPr>
      </w:pPr>
    </w:p>
    <w:p w:rsidR="001001F4" w:rsidRPr="004D297F" w:rsidRDefault="006D6389" w:rsidP="001001F4">
      <w:pPr>
        <w:spacing w:after="0"/>
        <w:jc w:val="center"/>
        <w:rPr>
          <w:b/>
        </w:rPr>
      </w:pPr>
      <w:r>
        <w:rPr>
          <w:b/>
        </w:rPr>
        <w:t xml:space="preserve">MEMORANDUM CONTRA THE OFFICE OF THE OHIO CONSUMERS’ COUNSEL APPLICATION FOR REHEARING </w:t>
      </w:r>
    </w:p>
    <w:p w:rsidR="001001F4" w:rsidRDefault="001001F4" w:rsidP="001001F4">
      <w:pPr>
        <w:pBdr>
          <w:bottom w:val="single" w:sz="12" w:space="1" w:color="auto"/>
        </w:pBdr>
        <w:spacing w:after="0"/>
        <w:jc w:val="center"/>
        <w:rPr>
          <w:b/>
        </w:rPr>
      </w:pPr>
    </w:p>
    <w:p w:rsidR="001001F4" w:rsidRDefault="001001F4" w:rsidP="00602078">
      <w:pPr>
        <w:spacing w:after="0" w:line="480" w:lineRule="auto"/>
        <w:rPr>
          <w:b/>
        </w:rPr>
      </w:pPr>
    </w:p>
    <w:p w:rsidR="00602078" w:rsidRPr="00602078" w:rsidRDefault="00292548" w:rsidP="00602078">
      <w:pPr>
        <w:pStyle w:val="ListParagraph"/>
        <w:numPr>
          <w:ilvl w:val="0"/>
          <w:numId w:val="3"/>
        </w:numPr>
        <w:spacing w:after="0" w:line="480" w:lineRule="auto"/>
        <w:rPr>
          <w:b/>
        </w:rPr>
      </w:pPr>
      <w:r>
        <w:rPr>
          <w:b/>
        </w:rPr>
        <w:t>INTRODUCTION</w:t>
      </w:r>
    </w:p>
    <w:p w:rsidR="00D04B4B" w:rsidRDefault="00D04B4B" w:rsidP="00602078">
      <w:pPr>
        <w:spacing w:after="0" w:line="480" w:lineRule="auto"/>
        <w:ind w:firstLine="720"/>
        <w:jc w:val="both"/>
      </w:pPr>
      <w:r>
        <w:t>I</w:t>
      </w:r>
      <w:r w:rsidR="00602078">
        <w:t>nterstate Gas Supply, Inc. (“IGS”) provides competitive retail electric</w:t>
      </w:r>
      <w:r w:rsidR="001C648D">
        <w:t xml:space="preserve"> service (“CRES”)</w:t>
      </w:r>
      <w:r w:rsidR="00602078">
        <w:t xml:space="preserve"> and natural gas</w:t>
      </w:r>
      <w:r w:rsidR="001C648D">
        <w:t xml:space="preserve"> service (“CRNG”)</w:t>
      </w:r>
      <w:r w:rsidR="00602078">
        <w:t xml:space="preserve"> to customers throughout Ohio.  In an effort to improve the customer experience, IGS</w:t>
      </w:r>
      <w:r>
        <w:t xml:space="preserve"> has developed a process for customer enrollment that utilizes IGS employee Home Energy Consultants (“HEC”) equipped with sophisticated technology that enables customer enrollment at the home of the customer (“HEC Enrollment”). </w:t>
      </w:r>
      <w:r w:rsidR="00602078">
        <w:t>Based upon this new approach to customer enrollment, IGS requested and received a waiver of the Commission’s rules with respect to Third Party Verification (“TPV”)</w:t>
      </w:r>
      <w:r w:rsidR="009937A2">
        <w:t xml:space="preserve"> set forth in Ohio Administrative Code (“OAC”) </w:t>
      </w:r>
      <w:r w:rsidR="009937A2" w:rsidRPr="009937A2">
        <w:t>4901:1-29-06(D)(6)(b) and 4901:1-21-06(D)(1)(h)</w:t>
      </w:r>
      <w:r w:rsidR="009937A2">
        <w:t xml:space="preserve"> (“TPV Rules”)</w:t>
      </w:r>
      <w:r w:rsidR="00602078" w:rsidRPr="009937A2">
        <w:t>.</w:t>
      </w:r>
      <w:r w:rsidR="00602078" w:rsidRPr="009937A2">
        <w:rPr>
          <w:rStyle w:val="FootnoteReference"/>
        </w:rPr>
        <w:footnoteReference w:id="1"/>
      </w:r>
      <w:r w:rsidR="009937A2">
        <w:t xml:space="preserve"> The waiver of the TPV Rules is applicable only to IGS</w:t>
      </w:r>
      <w:r w:rsidR="00EF786F">
        <w:t xml:space="preserve"> and</w:t>
      </w:r>
      <w:r w:rsidR="009937A2">
        <w:t xml:space="preserve"> only</w:t>
      </w:r>
      <w:r w:rsidR="00EF786F">
        <w:t xml:space="preserve"> to</w:t>
      </w:r>
      <w:r w:rsidR="009937A2">
        <w:t xml:space="preserve"> the specific HEC Enrollment process outlined by IGS in its Application</w:t>
      </w:r>
      <w:r w:rsidR="00EF786F">
        <w:t xml:space="preserve"> for Waiver</w:t>
      </w:r>
      <w:r w:rsidR="009937A2">
        <w:t>.</w:t>
      </w:r>
      <w:r w:rsidR="009937A2">
        <w:rPr>
          <w:rStyle w:val="FootnoteReference"/>
        </w:rPr>
        <w:footnoteReference w:id="2"/>
      </w:r>
      <w:r w:rsidR="009937A2">
        <w:t xml:space="preserve"> </w:t>
      </w:r>
      <w:r w:rsidR="00602078" w:rsidRPr="009937A2">
        <w:t xml:space="preserve">  </w:t>
      </w:r>
    </w:p>
    <w:p w:rsidR="00163361" w:rsidRDefault="007C25AE" w:rsidP="00602078">
      <w:pPr>
        <w:spacing w:after="0" w:line="480" w:lineRule="auto"/>
        <w:jc w:val="both"/>
      </w:pPr>
      <w:r>
        <w:tab/>
        <w:t>The Office of the Ohio Consumers’ Counsel</w:t>
      </w:r>
      <w:r w:rsidR="006D6389">
        <w:t xml:space="preserve"> (“OCC”)</w:t>
      </w:r>
      <w:r>
        <w:t xml:space="preserve"> filed an Application for Rehearing on December 22, 2014.</w:t>
      </w:r>
      <w:r w:rsidR="00CA0E30">
        <w:t xml:space="preserve">  Initially, it should be noted that OCC </w:t>
      </w:r>
      <w:r w:rsidR="00163361">
        <w:t xml:space="preserve">has not requested the Commission deny IGS’ waiver request, and generally appears to be supportive of IGS’ enhanced HEC </w:t>
      </w:r>
      <w:r w:rsidR="00163361">
        <w:lastRenderedPageBreak/>
        <w:t>enrollment process.</w:t>
      </w:r>
      <w:r w:rsidR="00163361">
        <w:rPr>
          <w:rStyle w:val="FootnoteReference"/>
        </w:rPr>
        <w:footnoteReference w:id="3"/>
      </w:r>
      <w:r w:rsidR="00CA0E30">
        <w:t xml:space="preserve"> </w:t>
      </w:r>
      <w:r w:rsidR="00163361">
        <w:t xml:space="preserve"> </w:t>
      </w:r>
      <w:r w:rsidR="00CA0E30">
        <w:t>However, in its Application for Rehearing</w:t>
      </w:r>
      <w:r>
        <w:t xml:space="preserve"> </w:t>
      </w:r>
      <w:r w:rsidR="00292548">
        <w:t xml:space="preserve">OCC raises two assignments of err. </w:t>
      </w:r>
    </w:p>
    <w:p w:rsidR="00D04B4B" w:rsidRDefault="00163361" w:rsidP="00602078">
      <w:pPr>
        <w:spacing w:after="0" w:line="480" w:lineRule="auto"/>
        <w:jc w:val="both"/>
      </w:pPr>
      <w:r>
        <w:tab/>
      </w:r>
      <w:r w:rsidR="00292548">
        <w:t>First, OCC claims</w:t>
      </w:r>
      <w:r w:rsidR="007C25AE">
        <w:t xml:space="preserve"> that the</w:t>
      </w:r>
      <w:r w:rsidR="00087977">
        <w:t xml:space="preserve"> Commission’s Finding and O</w:t>
      </w:r>
      <w:r w:rsidR="007C25AE">
        <w:t>rder is u</w:t>
      </w:r>
      <w:r w:rsidR="00236146">
        <w:t xml:space="preserve">nlawful because it granted IGS </w:t>
      </w:r>
      <w:r w:rsidR="00087977">
        <w:t xml:space="preserve">a </w:t>
      </w:r>
      <w:r w:rsidR="007C25AE">
        <w:t>waiver without identi</w:t>
      </w:r>
      <w:r w:rsidR="00292548">
        <w:t>fying good cause for doing so.  Second, OCC c</w:t>
      </w:r>
      <w:r w:rsidR="001001F4">
        <w:t>laims t</w:t>
      </w:r>
      <w:r w:rsidR="00087977">
        <w:t>hat the Commission erred by making the waiver permanent</w:t>
      </w:r>
      <w:r w:rsidR="001001F4">
        <w:t xml:space="preserve"> and</w:t>
      </w:r>
      <w:r w:rsidR="00EF786F">
        <w:t xml:space="preserve"> by not</w:t>
      </w:r>
      <w:r w:rsidR="001001F4">
        <w:t xml:space="preserve"> adopting other consumer protections recommend by OCC.  Specifically OCC recommend that the Commission</w:t>
      </w:r>
      <w:r w:rsidR="00292548">
        <w:t xml:space="preserve"> reevaluate the waiver after one year based upon extensive monthly feedback.  During this period of time, OCC argues that IGS should be prohibited from charging cancelation fees to any customer added through an HEC Enrollment. As discussed below, IGS urges the Commission to deny OCC’s Application for Rehearing and affirm that good cause exists to waive the </w:t>
      </w:r>
      <w:r w:rsidR="006B275B">
        <w:t>requirements for a third-party verification se</w:t>
      </w:r>
      <w:r w:rsidR="00EF786F">
        <w:t>t forth in</w:t>
      </w:r>
      <w:r w:rsidR="006B275B">
        <w:t xml:space="preserve"> </w:t>
      </w:r>
      <w:r w:rsidR="00EF786F">
        <w:t>the TPV Rules.</w:t>
      </w:r>
    </w:p>
    <w:p w:rsidR="00292548" w:rsidRPr="006B275B" w:rsidRDefault="006B275B" w:rsidP="00602078">
      <w:pPr>
        <w:pStyle w:val="ListParagraph"/>
        <w:numPr>
          <w:ilvl w:val="0"/>
          <w:numId w:val="3"/>
        </w:numPr>
        <w:spacing w:after="0" w:line="480" w:lineRule="auto"/>
        <w:jc w:val="both"/>
        <w:rPr>
          <w:b/>
        </w:rPr>
      </w:pPr>
      <w:r w:rsidRPr="006B275B">
        <w:rPr>
          <w:b/>
        </w:rPr>
        <w:t>ARGUMENT</w:t>
      </w:r>
      <w:r w:rsidR="00292548">
        <w:tab/>
      </w:r>
    </w:p>
    <w:p w:rsidR="006B275B" w:rsidRPr="006B275B" w:rsidRDefault="006B275B" w:rsidP="00602078">
      <w:pPr>
        <w:pStyle w:val="ListParagraph"/>
        <w:numPr>
          <w:ilvl w:val="0"/>
          <w:numId w:val="4"/>
        </w:numPr>
        <w:spacing w:after="0" w:line="480" w:lineRule="auto"/>
        <w:jc w:val="both"/>
        <w:rPr>
          <w:b/>
        </w:rPr>
      </w:pPr>
      <w:r>
        <w:rPr>
          <w:b/>
        </w:rPr>
        <w:t>The Commission should explicitly find good cause exists for a waiver</w:t>
      </w:r>
    </w:p>
    <w:p w:rsidR="006B275B" w:rsidRDefault="001001F4" w:rsidP="00602078">
      <w:pPr>
        <w:spacing w:after="0" w:line="480" w:lineRule="auto"/>
        <w:ind w:firstLine="720"/>
        <w:jc w:val="both"/>
      </w:pPr>
      <w:r>
        <w:t xml:space="preserve">The Commission did not err in </w:t>
      </w:r>
      <w:r w:rsidR="001C648D">
        <w:t>not finding</w:t>
      </w:r>
      <w:r>
        <w:t xml:space="preserve"> good cause</w:t>
      </w:r>
      <w:r w:rsidR="00EF786F">
        <w:t xml:space="preserve"> in its Finding and Order</w:t>
      </w:r>
      <w:r>
        <w:t xml:space="preserve"> as good cause does exist to grant IGS’ waiver application. That said, </w:t>
      </w:r>
      <w:r w:rsidR="006B275B">
        <w:t xml:space="preserve">IGS urges the Commission to explicitly identify good cause for granting IGS a waiver in its Entry on Rehearing.  There are several reasons that the Commission may </w:t>
      </w:r>
      <w:r w:rsidR="008921C2">
        <w:t>identify</w:t>
      </w:r>
      <w:r w:rsidR="007F67B5">
        <w:t xml:space="preserve"> good cause</w:t>
      </w:r>
      <w:r w:rsidR="008921C2">
        <w:t xml:space="preserve"> for granting the waiver</w:t>
      </w:r>
      <w:r w:rsidR="006B275B">
        <w:t xml:space="preserve">.  </w:t>
      </w:r>
    </w:p>
    <w:p w:rsidR="00292548" w:rsidRDefault="006B275B" w:rsidP="00602078">
      <w:pPr>
        <w:spacing w:after="0" w:line="480" w:lineRule="auto"/>
        <w:ind w:firstLine="720"/>
        <w:jc w:val="both"/>
      </w:pPr>
      <w:r>
        <w:t xml:space="preserve">Initially, an HEC Enrollment is </w:t>
      </w:r>
      <w:r w:rsidR="000C26ED">
        <w:t xml:space="preserve">very different to a traditional door-to-door sale.  </w:t>
      </w:r>
      <w:r w:rsidR="00292548">
        <w:t xml:space="preserve">Traditionally door-to-door sales are conducted by independent contracted sales agents being compensated with a </w:t>
      </w:r>
      <w:r w:rsidR="00292548" w:rsidRPr="00BA4703">
        <w:rPr>
          <w:i/>
        </w:rPr>
        <w:t>fee for sale</w:t>
      </w:r>
      <w:r w:rsidR="00292548">
        <w:t xml:space="preserve">, </w:t>
      </w:r>
      <w:r w:rsidR="00292548" w:rsidRPr="00BA4703">
        <w:rPr>
          <w:i/>
        </w:rPr>
        <w:t>with little, if any, compensation from base pay</w:t>
      </w:r>
      <w:r w:rsidR="00292548">
        <w:t xml:space="preserve">.  Often these agents proceed randomly through a neighborhood trying to solicit sales from residences.  A </w:t>
      </w:r>
      <w:r w:rsidR="00292548">
        <w:lastRenderedPageBreak/>
        <w:t xml:space="preserve">traditional door-to-door sale is almost always a singular experience and there is no further contact with the customer after the sale.  In this situation, the consumer protections provided by the TPVs are </w:t>
      </w:r>
      <w:r w:rsidR="00387E10">
        <w:t>appropriate and advisable to assure customer intent.</w:t>
      </w:r>
      <w:r w:rsidR="00087977">
        <w:rPr>
          <w:rStyle w:val="FootnoteReference"/>
        </w:rPr>
        <w:footnoteReference w:id="4"/>
      </w:r>
    </w:p>
    <w:p w:rsidR="001001F4" w:rsidRDefault="000C26ED" w:rsidP="008921C2">
      <w:pPr>
        <w:spacing w:after="0" w:line="480" w:lineRule="auto"/>
        <w:jc w:val="both"/>
        <w:rPr>
          <w:i/>
        </w:rPr>
      </w:pPr>
      <w:r>
        <w:tab/>
        <w:t xml:space="preserve">In contrast, </w:t>
      </w:r>
      <w:r w:rsidR="006B275B">
        <w:t>HEC Enrollment</w:t>
      </w:r>
      <w:r>
        <w:t>s are</w:t>
      </w:r>
      <w:r w:rsidR="006B275B">
        <w:t xml:space="preserve"> facilitated </w:t>
      </w:r>
      <w:r w:rsidR="00EF786F">
        <w:t>through IGS employees</w:t>
      </w:r>
      <w:r w:rsidR="006B275B">
        <w:t xml:space="preserve"> that are compensated primarily with base pay (including benefits) and sales commission only represents a small portion of the HEC total compensation.</w:t>
      </w:r>
      <w:r>
        <w:t xml:space="preserve">  In these circumstance</w:t>
      </w:r>
      <w:r w:rsidR="00EF786F">
        <w:t>s</w:t>
      </w:r>
      <w:r>
        <w:t>, the need</w:t>
      </w:r>
      <w:r w:rsidR="008921C2">
        <w:t xml:space="preserve"> for TPV is diminished.  </w:t>
      </w:r>
      <w:r w:rsidR="00BA4703">
        <w:t xml:space="preserve">Moreover, the HEC Enrollment is not equivalent to </w:t>
      </w:r>
      <w:r w:rsidR="00D04B4B">
        <w:t>a traditional door-to-door sale contemplated by the Commission’</w:t>
      </w:r>
      <w:r>
        <w:t>s rules because it utilizes sophisticated technology that enables customer enrollment at the home of the customer.</w:t>
      </w:r>
      <w:r w:rsidR="0030310F" w:rsidRPr="0030310F">
        <w:rPr>
          <w:rStyle w:val="FootnoteReference"/>
        </w:rPr>
        <w:t xml:space="preserve"> </w:t>
      </w:r>
      <w:r w:rsidR="0030310F">
        <w:rPr>
          <w:rStyle w:val="FootnoteReference"/>
        </w:rPr>
        <w:footnoteReference w:id="5"/>
      </w:r>
      <w:r>
        <w:t xml:space="preserve">  Thus, </w:t>
      </w:r>
      <w:r w:rsidR="0030310F">
        <w:t xml:space="preserve">as described in the IGS Waiver Application </w:t>
      </w:r>
      <w:r>
        <w:t>the HEC Enrollment</w:t>
      </w:r>
      <w:r w:rsidR="008921C2">
        <w:t xml:space="preserve"> </w:t>
      </w:r>
      <w:r>
        <w:t>provides additional safeguards that do not exist in traditional door-to-door enrollments</w:t>
      </w:r>
      <w:r w:rsidR="008921C2">
        <w:t>.  In fact, an HEC Enrollment provide</w:t>
      </w:r>
      <w:r w:rsidR="00163361">
        <w:t>s</w:t>
      </w:r>
      <w:r w:rsidR="008921C2">
        <w:t xml:space="preserve"> safeguards</w:t>
      </w:r>
      <w:r>
        <w:t xml:space="preserve"> </w:t>
      </w:r>
      <w:r w:rsidR="008921C2">
        <w:rPr>
          <w:i/>
        </w:rPr>
        <w:t xml:space="preserve">in excess TPV </w:t>
      </w:r>
      <w:r w:rsidR="008921C2">
        <w:t>because IGS will contain granular information regarding the time of each enrollment, solicitation, and prompt delivery of terms and conditions of executed contracts via email delivery</w:t>
      </w:r>
      <w:r>
        <w:t>.</w:t>
      </w:r>
      <w:r>
        <w:rPr>
          <w:i/>
        </w:rPr>
        <w:t xml:space="preserve">  </w:t>
      </w:r>
    </w:p>
    <w:p w:rsidR="008921C2" w:rsidRDefault="001001F4" w:rsidP="008921C2">
      <w:pPr>
        <w:spacing w:after="0" w:line="480" w:lineRule="auto"/>
        <w:jc w:val="both"/>
      </w:pPr>
      <w:r>
        <w:rPr>
          <w:i/>
        </w:rPr>
        <w:tab/>
      </w:r>
      <w:r w:rsidR="00CA0E30">
        <w:t>The HEC</w:t>
      </w:r>
      <w:r w:rsidR="00FA52A4">
        <w:t xml:space="preserve"> E</w:t>
      </w:r>
      <w:r w:rsidR="00CA0E30">
        <w:t>nrollment process significantly benefits customers by</w:t>
      </w:r>
      <w:r>
        <w:t xml:space="preserve"> </w:t>
      </w:r>
      <w:r w:rsidR="00CA0E30">
        <w:t xml:space="preserve">providing them with a better and </w:t>
      </w:r>
      <w:r w:rsidR="007F67B5">
        <w:t>more</w:t>
      </w:r>
      <w:r w:rsidR="00CA0E30">
        <w:t xml:space="preserve"> customer</w:t>
      </w:r>
      <w:r w:rsidR="00387E10">
        <w:t>-friendly</w:t>
      </w:r>
      <w:r w:rsidR="00CA0E30">
        <w:t xml:space="preserve"> enrollment experience.  Further, the Commission’s </w:t>
      </w:r>
      <w:r w:rsidR="00FA52A4">
        <w:t>waiver of the TPV Rules for the limited circumstances described in IGS’ Application</w:t>
      </w:r>
      <w:r w:rsidR="00CA0E30">
        <w:t xml:space="preserve"> will enhance the HEC </w:t>
      </w:r>
      <w:r w:rsidR="00234AE4">
        <w:t>E</w:t>
      </w:r>
      <w:r w:rsidR="00CA0E30">
        <w:t xml:space="preserve">nrollment process while maintaining </w:t>
      </w:r>
      <w:r w:rsidR="00163361">
        <w:t xml:space="preserve">strong </w:t>
      </w:r>
      <w:r w:rsidR="00CA0E30">
        <w:t>consumer protection.</w:t>
      </w:r>
      <w:r w:rsidR="00163361">
        <w:t xml:space="preserve"> IGS indicated in its Application for Waiver that customers that otherwise have had a positive enrollment experience </w:t>
      </w:r>
      <w:r w:rsidR="00EF786F">
        <w:t xml:space="preserve">with HECs </w:t>
      </w:r>
      <w:r w:rsidR="00163361">
        <w:t>often express frustration with TPVs.</w:t>
      </w:r>
      <w:r w:rsidR="00163361">
        <w:rPr>
          <w:rStyle w:val="FootnoteReference"/>
        </w:rPr>
        <w:footnoteReference w:id="6"/>
      </w:r>
      <w:r w:rsidR="00CA0E30">
        <w:t xml:space="preserve">  Finally the waiver of the TPV requirement will provide incentive for others in the industry to raise their door-to-door enrollment standards.  For </w:t>
      </w:r>
      <w:r w:rsidR="00CA0E30">
        <w:lastRenderedPageBreak/>
        <w:t>all of these reasons good cause does exist fo</w:t>
      </w:r>
      <w:r w:rsidR="00FA52A4">
        <w:t>r granting a waiver of the TPV R</w:t>
      </w:r>
      <w:r w:rsidR="00CA0E30">
        <w:t xml:space="preserve">ules, and the Commission should affirm this when denying OCC’s Application for Rehearing. </w:t>
      </w:r>
    </w:p>
    <w:p w:rsidR="008921C2" w:rsidRPr="00EF786F" w:rsidRDefault="008921C2" w:rsidP="00EF786F">
      <w:pPr>
        <w:pStyle w:val="ListParagraph"/>
        <w:numPr>
          <w:ilvl w:val="0"/>
          <w:numId w:val="4"/>
        </w:numPr>
        <w:spacing w:after="0"/>
        <w:jc w:val="both"/>
        <w:rPr>
          <w:b/>
        </w:rPr>
      </w:pPr>
      <w:r w:rsidRPr="00EF786F">
        <w:rPr>
          <w:b/>
        </w:rPr>
        <w:t>The waiver</w:t>
      </w:r>
      <w:r w:rsidR="00EF786F" w:rsidRPr="00EF786F">
        <w:rPr>
          <w:b/>
        </w:rPr>
        <w:t xml:space="preserve"> of the TPV Rules</w:t>
      </w:r>
      <w:r w:rsidRPr="00EF786F">
        <w:rPr>
          <w:b/>
        </w:rPr>
        <w:t xml:space="preserve"> is not permanent</w:t>
      </w:r>
      <w:r w:rsidR="00EF786F" w:rsidRPr="00EF786F">
        <w:rPr>
          <w:b/>
        </w:rPr>
        <w:t xml:space="preserve"> and sufficient protections are already in place </w:t>
      </w:r>
    </w:p>
    <w:p w:rsidR="00EF786F" w:rsidRPr="00EF786F" w:rsidRDefault="00EF786F" w:rsidP="00EF786F">
      <w:pPr>
        <w:pStyle w:val="ListParagraph"/>
        <w:spacing w:after="0"/>
        <w:ind w:left="1080"/>
        <w:jc w:val="both"/>
        <w:rPr>
          <w:b/>
        </w:rPr>
      </w:pPr>
    </w:p>
    <w:p w:rsidR="00EF786F" w:rsidRDefault="00EF786F" w:rsidP="00EF786F">
      <w:pPr>
        <w:spacing w:after="0"/>
        <w:jc w:val="both"/>
        <w:rPr>
          <w:b/>
        </w:rPr>
      </w:pPr>
    </w:p>
    <w:p w:rsidR="009F5B55" w:rsidRDefault="008921C2" w:rsidP="000B0F2A">
      <w:pPr>
        <w:spacing w:after="0" w:line="480" w:lineRule="auto"/>
        <w:jc w:val="both"/>
      </w:pPr>
      <w:r>
        <w:tab/>
      </w:r>
      <w:r w:rsidR="000B0F2A">
        <w:t xml:space="preserve">In </w:t>
      </w:r>
      <w:r>
        <w:t>OCC</w:t>
      </w:r>
      <w:r w:rsidR="000B0F2A">
        <w:t>’s</w:t>
      </w:r>
      <w:r w:rsidR="00CA0E30">
        <w:t xml:space="preserve"> second</w:t>
      </w:r>
      <w:r w:rsidR="000B0F2A">
        <w:t xml:space="preserve"> assignment of err OCC</w:t>
      </w:r>
      <w:r>
        <w:t xml:space="preserve"> claims that the Commission</w:t>
      </w:r>
      <w:r w:rsidR="000B0F2A">
        <w:t xml:space="preserve"> </w:t>
      </w:r>
      <w:r w:rsidR="001C648D">
        <w:t>err</w:t>
      </w:r>
      <w:r w:rsidR="000B0F2A">
        <w:t>ed by providing</w:t>
      </w:r>
      <w:r>
        <w:t xml:space="preserve"> IGS with a permanent wa</w:t>
      </w:r>
      <w:r w:rsidR="00236146">
        <w:t>iver</w:t>
      </w:r>
      <w:r w:rsidR="000B0F2A">
        <w:t xml:space="preserve"> and OCC also urges the Commission to adopt additional consumer protection measures</w:t>
      </w:r>
      <w:r w:rsidR="00236146">
        <w:t>.</w:t>
      </w:r>
      <w:r>
        <w:t xml:space="preserve"> </w:t>
      </w:r>
      <w:r w:rsidR="00236146">
        <w:t xml:space="preserve"> </w:t>
      </w:r>
      <w:r w:rsidR="000B0F2A">
        <w:t xml:space="preserve">However, the Commission did not grant IGS a permanent waiver as claimed by OCC. In the Finding and Order in this proceeding the Commission stated that “the waivers granted are limited to the purpose of this case only and do not impact </w:t>
      </w:r>
      <w:r w:rsidR="00236146">
        <w:t xml:space="preserve">the Commission's ability to reconsider this issue </w:t>
      </w:r>
      <w:r w:rsidR="00236146" w:rsidRPr="00236146">
        <w:rPr>
          <w:i/>
        </w:rPr>
        <w:t>in any future proceeding</w:t>
      </w:r>
      <w:r w:rsidR="000B0F2A">
        <w:t xml:space="preserve"> (emphasis added).</w:t>
      </w:r>
      <w:r w:rsidR="00236146">
        <w:t>”</w:t>
      </w:r>
      <w:r w:rsidR="000B0F2A">
        <w:rPr>
          <w:rStyle w:val="FootnoteReference"/>
        </w:rPr>
        <w:footnoteReference w:id="7"/>
      </w:r>
      <w:r w:rsidR="00236146">
        <w:t xml:space="preserve">  Thus, the Commission</w:t>
      </w:r>
      <w:r w:rsidR="000B0F2A">
        <w:t xml:space="preserve"> </w:t>
      </w:r>
      <w:r w:rsidR="00DD3EBB">
        <w:t>indicated that it</w:t>
      </w:r>
      <w:r w:rsidR="000B0F2A">
        <w:t xml:space="preserve"> will</w:t>
      </w:r>
      <w:r w:rsidR="001C648D">
        <w:t xml:space="preserve"> </w:t>
      </w:r>
      <w:r w:rsidR="000B0F2A">
        <w:t xml:space="preserve">continue to </w:t>
      </w:r>
      <w:r w:rsidR="00FA52A4">
        <w:t>evaluate its waiver of the TPV R</w:t>
      </w:r>
      <w:r w:rsidR="000B0F2A">
        <w:t xml:space="preserve">ules on an ongoing basis and </w:t>
      </w:r>
      <w:r w:rsidR="0060354B">
        <w:t>the Commission has retained</w:t>
      </w:r>
      <w:r w:rsidR="000B0F2A">
        <w:t xml:space="preserve"> the right at any time to rescind the waiver</w:t>
      </w:r>
      <w:r w:rsidR="00236146">
        <w:t>.</w:t>
      </w:r>
    </w:p>
    <w:p w:rsidR="00DD3EBB" w:rsidRDefault="00236146" w:rsidP="00236146">
      <w:pPr>
        <w:spacing w:after="0" w:line="480" w:lineRule="auto"/>
        <w:jc w:val="both"/>
      </w:pPr>
      <w:r>
        <w:tab/>
      </w:r>
      <w:r w:rsidR="0060354B">
        <w:t>With respect to the additional consumer protection recommended, while IGS appreciates OCC’s desire to protect consumers, the consumer protections recommend</w:t>
      </w:r>
      <w:r w:rsidR="00387E10">
        <w:t>ed</w:t>
      </w:r>
      <w:r w:rsidR="0060354B">
        <w:t xml:space="preserve"> by OCC are not necessary and would create an additional burden on IGS and customers.  </w:t>
      </w:r>
    </w:p>
    <w:p w:rsidR="00236146" w:rsidRDefault="00DD3EBB" w:rsidP="00236146">
      <w:pPr>
        <w:spacing w:after="0" w:line="480" w:lineRule="auto"/>
        <w:jc w:val="both"/>
      </w:pPr>
      <w:r>
        <w:tab/>
      </w:r>
      <w:r w:rsidR="0060354B">
        <w:t>First</w:t>
      </w:r>
      <w:r w:rsidR="0093188E">
        <w:t>,</w:t>
      </w:r>
      <w:r w:rsidR="0060354B">
        <w:t xml:space="preserve"> OCC recommends that IGS not be allowed to charge cancel fees on its products enrolled with HECs.  Initially it should be noted that</w:t>
      </w:r>
      <w:r>
        <w:t xml:space="preserve"> IGS rarely charges cancel fees</w:t>
      </w:r>
      <w:r w:rsidR="0060354B">
        <w:t xml:space="preserve"> on any of its residential commodity products.</w:t>
      </w:r>
      <w:r w:rsidR="0060354B">
        <w:rPr>
          <w:rStyle w:val="FootnoteReference"/>
        </w:rPr>
        <w:footnoteReference w:id="8"/>
      </w:r>
      <w:r>
        <w:t xml:space="preserve"> However, it would unduly prejudice IGS by prohibiting it from charging cancel fees for HEC enrolled products in the future.  As products become more sophisticated and are bundled with other non-commodity products and services, there may be a need for IGS to charge cancel fees in the future.  Thus, restricting IGS from charging cancel fees </w:t>
      </w:r>
      <w:r>
        <w:lastRenderedPageBreak/>
        <w:t>for customers that are enrolled by HEC</w:t>
      </w:r>
      <w:r w:rsidR="0093188E">
        <w:t>s</w:t>
      </w:r>
      <w:r>
        <w:t xml:space="preserve"> will unnecessarily limit the products IGS may be able to offer customers. Further, per Ohio rules, customers already have the right to rescind any enrollment by a CRES and CRNG provider, without cancel fee, within seven days of enrollment.</w:t>
      </w:r>
      <w:r>
        <w:rPr>
          <w:rStyle w:val="FootnoteReference"/>
        </w:rPr>
        <w:footnoteReference w:id="9"/>
      </w:r>
      <w:r>
        <w:t xml:space="preserve">  Thus, there are already sufficient consum</w:t>
      </w:r>
      <w:r w:rsidR="00EF786F">
        <w:t>er protections in place</w:t>
      </w:r>
      <w:r>
        <w:t xml:space="preserve"> without restricting IGS’ ability to charge cancel fees.</w:t>
      </w:r>
    </w:p>
    <w:p w:rsidR="0093188E" w:rsidRDefault="0093188E" w:rsidP="00236146">
      <w:pPr>
        <w:spacing w:after="0" w:line="480" w:lineRule="auto"/>
        <w:jc w:val="both"/>
      </w:pPr>
      <w:r>
        <w:tab/>
        <w:t>Second, OCC recommends that the PUCO review the complaint data to determine if the absence of a TPV will negatively affects IGS customers.</w:t>
      </w:r>
      <w:r>
        <w:rPr>
          <w:rStyle w:val="FootnoteReference"/>
        </w:rPr>
        <w:footnoteReference w:id="10"/>
      </w:r>
      <w:r>
        <w:t xml:space="preserve"> However, it is IGS’ understanding that Commission Staff is already reviewing the complaint data of IGS and </w:t>
      </w:r>
      <w:r w:rsidR="00BF4734">
        <w:t xml:space="preserve">other </w:t>
      </w:r>
      <w:r>
        <w:t>CRES</w:t>
      </w:r>
      <w:r w:rsidR="00BF4734">
        <w:t xml:space="preserve"> and CRNG</w:t>
      </w:r>
      <w:r>
        <w:t xml:space="preserve"> providers</w:t>
      </w:r>
      <w:r w:rsidR="00087977">
        <w:t xml:space="preserve"> on an ongoing basis</w:t>
      </w:r>
      <w:r>
        <w:t>.  And Staff already has the ability at any time to notify IGS and the Commission if there appears to be a level of customer complaints</w:t>
      </w:r>
      <w:r w:rsidR="009177EC">
        <w:t xml:space="preserve"> which Staff infers may indicate enrollment issues</w:t>
      </w:r>
      <w:r>
        <w:t>.  This coupled with the Commissions clear indication that it reserves the right at any-time to rescind IGS’ waiver, gives IGS a strong incentive to ensure the HEC</w:t>
      </w:r>
      <w:r w:rsidR="00BF4734">
        <w:t xml:space="preserve"> Enrollment</w:t>
      </w:r>
      <w:r>
        <w:t xml:space="preserve"> process is effectuated in a manner consistent with the representation IGS made in its Waiver Application.  Thus, the Commission did not err by not including OCC’s recommended additional consumer protection, as the consumer protection OCC requests is already in place.</w:t>
      </w:r>
    </w:p>
    <w:p w:rsidR="0093188E" w:rsidRDefault="00ED5E25" w:rsidP="00236146">
      <w:pPr>
        <w:spacing w:after="0" w:line="480" w:lineRule="auto"/>
        <w:jc w:val="both"/>
      </w:pPr>
      <w:r>
        <w:tab/>
        <w:t xml:space="preserve">Finally, OCC recommends that IGS be required to report monthly to the PUCO Staff and to the OCC on the feedback it receives from customers that enroll through the HEC </w:t>
      </w:r>
      <w:r w:rsidR="00012222">
        <w:t>E</w:t>
      </w:r>
      <w:r>
        <w:t xml:space="preserve">nrollment processes.  </w:t>
      </w:r>
      <w:r w:rsidR="001C648D">
        <w:t>While IGS is</w:t>
      </w:r>
      <w:r>
        <w:t xml:space="preserve"> happy to have informal conversations with OCC and Staff regarding the status of IGS’ </w:t>
      </w:r>
      <w:r w:rsidR="00BD231C">
        <w:t xml:space="preserve">HEC </w:t>
      </w:r>
      <w:r>
        <w:t xml:space="preserve">enrollment initiative, monthly reporting would be unduly burdensome on IGS and Staff.  As noted above Staff is already aware of any complaints that it receives from customers about IGS.  If complaints </w:t>
      </w:r>
      <w:r w:rsidR="009177EC">
        <w:t>we</w:t>
      </w:r>
      <w:r w:rsidR="007F67B5">
        <w:t>re to become</w:t>
      </w:r>
      <w:r>
        <w:t xml:space="preserve"> excessive</w:t>
      </w:r>
      <w:r w:rsidR="009177EC">
        <w:t>,</w:t>
      </w:r>
      <w:r>
        <w:t xml:space="preserve"> Staff and the Commission </w:t>
      </w:r>
      <w:r w:rsidR="00BD231C">
        <w:t>have</w:t>
      </w:r>
      <w:r>
        <w:t xml:space="preserve"> the ability at any time to take disciplinary action against IGS, including rescinding IGS’ waiver.  </w:t>
      </w:r>
      <w:r>
        <w:lastRenderedPageBreak/>
        <w:t>Further, formal reporting may require IGS to disclose confidential information that IGS does not wish to be in the hands of its competitors. Since both OCC and Staff are subject to freedom of information (FOIA) request</w:t>
      </w:r>
      <w:r w:rsidR="00BD231C">
        <w:t>, monthly formal reporting would put IGS at undue risk of having its confidential information disclosed to competitors.</w:t>
      </w:r>
    </w:p>
    <w:p w:rsidR="00BD231C" w:rsidRDefault="00BD231C" w:rsidP="00236146">
      <w:pPr>
        <w:spacing w:after="0" w:line="480" w:lineRule="auto"/>
        <w:jc w:val="both"/>
      </w:pPr>
      <w:r>
        <w:tab/>
        <w:t xml:space="preserve">In sum, IGS can commit to continuing its dialog with OCC </w:t>
      </w:r>
      <w:r w:rsidR="009177EC">
        <w:t>to discuss</w:t>
      </w:r>
      <w:r>
        <w:t xml:space="preserve"> any reasonable </w:t>
      </w:r>
      <w:r w:rsidR="009177EC">
        <w:t xml:space="preserve">questions or </w:t>
      </w:r>
      <w:r>
        <w:t xml:space="preserve">concerns OCC may have with its HEC enrollment process.  That said, the issues raised by OCC </w:t>
      </w:r>
      <w:r w:rsidR="009937A2">
        <w:t>in its second assignment of err</w:t>
      </w:r>
      <w:r>
        <w:t xml:space="preserve"> do no amount to an err of</w:t>
      </w:r>
      <w:r w:rsidR="001C648D">
        <w:t xml:space="preserve"> the Commission.  Thus</w:t>
      </w:r>
      <w:r>
        <w:t>, OCC’</w:t>
      </w:r>
      <w:r w:rsidR="001C648D">
        <w:t>s second assignment of err</w:t>
      </w:r>
      <w:r>
        <w:t xml:space="preserve"> must be denied.</w:t>
      </w:r>
    </w:p>
    <w:p w:rsidR="009937A2" w:rsidRPr="009937A2" w:rsidRDefault="009937A2" w:rsidP="009937A2">
      <w:pPr>
        <w:pStyle w:val="ListParagraph"/>
        <w:numPr>
          <w:ilvl w:val="0"/>
          <w:numId w:val="3"/>
        </w:numPr>
        <w:spacing w:after="0" w:line="480" w:lineRule="auto"/>
        <w:jc w:val="both"/>
        <w:rPr>
          <w:b/>
        </w:rPr>
      </w:pPr>
      <w:r w:rsidRPr="009937A2">
        <w:rPr>
          <w:b/>
        </w:rPr>
        <w:t>CONCLUSION</w:t>
      </w:r>
    </w:p>
    <w:p w:rsidR="001C648D" w:rsidRDefault="009937A2" w:rsidP="009937A2">
      <w:pPr>
        <w:spacing w:after="0" w:line="480" w:lineRule="auto"/>
        <w:jc w:val="both"/>
      </w:pPr>
      <w:r>
        <w:tab/>
        <w:t>IGS appreciates OCC’s general support of IGS’ efforts to improve the customer enrollment experience for customers.  However</w:t>
      </w:r>
      <w:r w:rsidR="00087977">
        <w:t>, the waiver of the TPV R</w:t>
      </w:r>
      <w:r>
        <w:t>ules granted by the Commission is an essential part of ensuring that custom</w:t>
      </w:r>
      <w:r w:rsidR="00087977">
        <w:t>ers have the best possible HEC E</w:t>
      </w:r>
      <w:r>
        <w:t>nrollment process.  Further, the Commission’</w:t>
      </w:r>
      <w:r w:rsidR="00087977">
        <w:t xml:space="preserve">s decision to waive the TPV Rules </w:t>
      </w:r>
      <w:r>
        <w:t xml:space="preserve">for the specific and limited circumstances described in IGS’ </w:t>
      </w:r>
      <w:r w:rsidR="00087977">
        <w:t>Wa</w:t>
      </w:r>
      <w:bookmarkStart w:id="0" w:name="_GoBack"/>
      <w:bookmarkEnd w:id="0"/>
      <w:r w:rsidR="00087977">
        <w:t xml:space="preserve">iver </w:t>
      </w:r>
      <w:r>
        <w:t>Application is an important step in raising the standards for door-to-door enrollment</w:t>
      </w:r>
      <w:r w:rsidR="001C648D">
        <w:t xml:space="preserve"> throughout Ohio</w:t>
      </w:r>
      <w:r>
        <w:t>.  For these reasons, 1) the Commissi</w:t>
      </w:r>
      <w:r w:rsidR="00087977">
        <w:t>on did not err by granting a waiver of the TPV R</w:t>
      </w:r>
      <w:r>
        <w:t>ules</w:t>
      </w:r>
      <w:r w:rsidR="009177EC">
        <w:t>,</w:t>
      </w:r>
      <w:r>
        <w:t xml:space="preserve"> 2) good cause </w:t>
      </w:r>
      <w:r w:rsidR="001C648D">
        <w:t>does exist</w:t>
      </w:r>
      <w:r w:rsidR="00087977">
        <w:t xml:space="preserve"> for granting a waiver of the TPV R</w:t>
      </w:r>
      <w:r>
        <w:t>ules (which the Commission should</w:t>
      </w:r>
      <w:r w:rsidR="00FA52A4">
        <w:t xml:space="preserve"> expressly</w:t>
      </w:r>
      <w:r>
        <w:t xml:space="preserve"> confirm in its finding denying OCC’s Application for Rehearing)</w:t>
      </w:r>
      <w:r w:rsidR="009177EC">
        <w:t>,</w:t>
      </w:r>
      <w:r>
        <w:t xml:space="preserve"> and 3) the restrictions and addition</w:t>
      </w:r>
      <w:r w:rsidR="001C648D">
        <w:t>al</w:t>
      </w:r>
      <w:r>
        <w:t xml:space="preserve"> consumer protections recommended by OCC</w:t>
      </w:r>
      <w:r w:rsidR="001C648D">
        <w:t xml:space="preserve"> in its Application for Rehearing</w:t>
      </w:r>
      <w:r>
        <w:t xml:space="preserve"> are </w:t>
      </w:r>
      <w:r w:rsidR="001C648D">
        <w:t>unnecessary</w:t>
      </w:r>
      <w:r>
        <w:t xml:space="preserve"> and would be an undue burden on IGS.  </w:t>
      </w:r>
      <w:r w:rsidR="001C648D">
        <w:t xml:space="preserve">For these reasons the Commission </w:t>
      </w:r>
      <w:r w:rsidR="00087977">
        <w:t xml:space="preserve">should deny </w:t>
      </w:r>
      <w:r w:rsidR="001C648D">
        <w:t>OCC’s Applicat</w:t>
      </w:r>
      <w:r w:rsidR="00087977">
        <w:t>ion for Rehearing</w:t>
      </w:r>
      <w:r w:rsidR="001C648D">
        <w:t>.</w:t>
      </w:r>
    </w:p>
    <w:p w:rsidR="001C648D" w:rsidRPr="00CC178D" w:rsidRDefault="001C648D" w:rsidP="001C648D">
      <w:pPr>
        <w:spacing w:after="0" w:line="480" w:lineRule="auto"/>
        <w:ind w:left="4320" w:firstLine="720"/>
      </w:pPr>
      <w:r w:rsidRPr="00CC178D">
        <w:t>Respectfully Submitted,</w:t>
      </w:r>
    </w:p>
    <w:p w:rsidR="001C648D" w:rsidRDefault="001C648D" w:rsidP="001C648D">
      <w:pPr>
        <w:spacing w:after="0"/>
        <w:ind w:left="5040"/>
        <w:rPr>
          <w:rFonts w:ascii="Arial" w:hAnsi="Arial" w:cs="Arial"/>
          <w:u w:val="single"/>
        </w:rPr>
      </w:pPr>
    </w:p>
    <w:p w:rsidR="001C648D" w:rsidRPr="00CC178D" w:rsidRDefault="001C648D" w:rsidP="001C648D">
      <w:pPr>
        <w:spacing w:after="0"/>
        <w:ind w:left="5040"/>
        <w:jc w:val="both"/>
        <w:rPr>
          <w:rFonts w:eastAsia="Arial"/>
          <w:u w:val="single"/>
        </w:rPr>
      </w:pPr>
      <w:r w:rsidRPr="00CC178D">
        <w:rPr>
          <w:rFonts w:eastAsia="Arial"/>
          <w:i/>
          <w:u w:val="single"/>
        </w:rPr>
        <w:t xml:space="preserve">/s/ </w:t>
      </w:r>
      <w:r w:rsidRPr="00CC178D">
        <w:rPr>
          <w:rFonts w:eastAsia="Arial"/>
          <w:u w:val="single"/>
        </w:rPr>
        <w:t>Matthew White</w:t>
      </w:r>
      <w:r w:rsidRPr="00CC178D">
        <w:rPr>
          <w:rFonts w:eastAsia="Arial"/>
          <w:u w:val="single"/>
        </w:rPr>
        <w:tab/>
      </w:r>
      <w:r w:rsidRPr="00CC178D">
        <w:rPr>
          <w:rFonts w:eastAsia="Arial"/>
          <w:u w:val="single"/>
        </w:rPr>
        <w:tab/>
      </w:r>
    </w:p>
    <w:p w:rsidR="001C648D" w:rsidRPr="00CC178D" w:rsidRDefault="001C648D" w:rsidP="001C648D">
      <w:pPr>
        <w:pStyle w:val="NoSpacing"/>
        <w:ind w:left="5040"/>
      </w:pPr>
      <w:r w:rsidRPr="00CC178D">
        <w:lastRenderedPageBreak/>
        <w:t>Matthew White (0082859)</w:t>
      </w:r>
    </w:p>
    <w:p w:rsidR="001C648D" w:rsidRPr="00CC178D" w:rsidRDefault="001C648D" w:rsidP="001C648D">
      <w:pPr>
        <w:pStyle w:val="NoSpacing"/>
        <w:ind w:left="5040"/>
      </w:pPr>
      <w:r w:rsidRPr="00CC178D">
        <w:t>Counsel of Record</w:t>
      </w:r>
    </w:p>
    <w:p w:rsidR="001C648D" w:rsidRDefault="001C648D" w:rsidP="001C648D">
      <w:pPr>
        <w:pStyle w:val="NoSpacing"/>
        <w:ind w:left="5040"/>
      </w:pPr>
      <w:r w:rsidRPr="00CC178D">
        <w:t xml:space="preserve">Email: </w:t>
      </w:r>
      <w:hyperlink r:id="rId9" w:history="1">
        <w:r w:rsidRPr="00513936">
          <w:rPr>
            <w:rStyle w:val="Hyperlink"/>
          </w:rPr>
          <w:t>mswhite@igsenergy.com</w:t>
        </w:r>
      </w:hyperlink>
    </w:p>
    <w:p w:rsidR="001C648D" w:rsidRDefault="001C648D" w:rsidP="001C648D">
      <w:pPr>
        <w:pStyle w:val="NoSpacing"/>
        <w:ind w:left="5040"/>
      </w:pPr>
      <w:r>
        <w:t xml:space="preserve">Joseph Oliker (0086088) </w:t>
      </w:r>
    </w:p>
    <w:p w:rsidR="001C648D" w:rsidRPr="00CC178D" w:rsidRDefault="001C648D" w:rsidP="001C648D">
      <w:pPr>
        <w:pStyle w:val="NoSpacing"/>
        <w:ind w:left="5040"/>
      </w:pPr>
      <w:r>
        <w:t>Email: joliker@igsenergy.com</w:t>
      </w:r>
    </w:p>
    <w:p w:rsidR="001C648D" w:rsidRPr="00CC178D" w:rsidRDefault="001C648D" w:rsidP="001C648D">
      <w:pPr>
        <w:pStyle w:val="NoSpacing"/>
        <w:ind w:left="5040"/>
      </w:pPr>
      <w:r w:rsidRPr="00CC178D">
        <w:t>Interstate Gas Supply, Inc.</w:t>
      </w:r>
    </w:p>
    <w:p w:rsidR="001C648D" w:rsidRPr="00CC178D" w:rsidRDefault="001C648D" w:rsidP="001C648D">
      <w:pPr>
        <w:pStyle w:val="NoSpacing"/>
        <w:ind w:left="5040"/>
      </w:pPr>
      <w:r w:rsidRPr="00CC178D">
        <w:t>6100 Emerald Parkway</w:t>
      </w:r>
    </w:p>
    <w:p w:rsidR="001C648D" w:rsidRPr="00CC178D" w:rsidRDefault="001C648D" w:rsidP="001C648D">
      <w:pPr>
        <w:pStyle w:val="NoSpacing"/>
        <w:ind w:left="5040"/>
      </w:pPr>
      <w:r w:rsidRPr="00CC178D">
        <w:t>Dublin, Ohio 43016</w:t>
      </w:r>
    </w:p>
    <w:p w:rsidR="001C648D" w:rsidRPr="00CC178D" w:rsidRDefault="001C648D" w:rsidP="001C648D">
      <w:pPr>
        <w:pStyle w:val="NoSpacing"/>
        <w:ind w:left="5040"/>
      </w:pPr>
      <w:r w:rsidRPr="00CC178D">
        <w:t>Telephone:</w:t>
      </w:r>
      <w:r w:rsidRPr="00CC178D">
        <w:tab/>
        <w:t>(614) 659-5000</w:t>
      </w:r>
    </w:p>
    <w:p w:rsidR="001C648D" w:rsidRPr="00CC178D" w:rsidRDefault="001C648D" w:rsidP="001C648D">
      <w:pPr>
        <w:pStyle w:val="NoSpacing"/>
        <w:ind w:left="5040"/>
      </w:pPr>
      <w:r w:rsidRPr="00CC178D">
        <w:t>Facsimile:</w:t>
      </w:r>
      <w:r w:rsidRPr="00CC178D">
        <w:tab/>
        <w:t>(614) 659-5073</w:t>
      </w:r>
    </w:p>
    <w:p w:rsidR="00012222" w:rsidRDefault="00012222" w:rsidP="00036CC7">
      <w:pPr>
        <w:jc w:val="center"/>
        <w:rPr>
          <w:b/>
          <w:bCs/>
          <w:u w:val="single"/>
        </w:rPr>
      </w:pPr>
    </w:p>
    <w:p w:rsidR="00012222" w:rsidRDefault="00012222" w:rsidP="00036CC7">
      <w:pPr>
        <w:jc w:val="center"/>
        <w:rPr>
          <w:b/>
          <w:bCs/>
          <w:u w:val="single"/>
        </w:rPr>
      </w:pPr>
    </w:p>
    <w:p w:rsidR="00012222" w:rsidRDefault="0030310F" w:rsidP="000305FB">
      <w:pPr>
        <w:spacing w:after="200" w:line="276" w:lineRule="auto"/>
        <w:rPr>
          <w:b/>
          <w:bCs/>
          <w:u w:val="single"/>
        </w:rPr>
      </w:pPr>
      <w:r>
        <w:rPr>
          <w:b/>
          <w:bCs/>
          <w:u w:val="single"/>
        </w:rPr>
        <w:br w:type="page"/>
      </w:r>
    </w:p>
    <w:p w:rsidR="00036CC7" w:rsidRDefault="00036CC7" w:rsidP="00036CC7">
      <w:pPr>
        <w:jc w:val="center"/>
        <w:rPr>
          <w:b/>
          <w:bCs/>
          <w:u w:val="single"/>
        </w:rPr>
      </w:pPr>
      <w:r>
        <w:rPr>
          <w:b/>
          <w:bCs/>
          <w:u w:val="single"/>
        </w:rPr>
        <w:lastRenderedPageBreak/>
        <w:t>CERTIFICATE OF SERVICE</w:t>
      </w:r>
    </w:p>
    <w:p w:rsidR="00036CC7" w:rsidRDefault="00036CC7" w:rsidP="00036CC7">
      <w:pPr>
        <w:spacing w:line="480" w:lineRule="atLeast"/>
      </w:pPr>
      <w:r>
        <w:tab/>
        <w:t xml:space="preserve">I hereby certify that a copy of this Application for Rehearing was served on the persons stated below </w:t>
      </w:r>
      <w:r w:rsidRPr="000722D5">
        <w:t>via</w:t>
      </w:r>
      <w:r>
        <w:t xml:space="preserve"> electronic transmission, this 2nd day of January 2014.</w:t>
      </w:r>
    </w:p>
    <w:p w:rsidR="00036CC7" w:rsidRPr="007F67B5" w:rsidRDefault="00036CC7" w:rsidP="007F67B5">
      <w:pPr>
        <w:autoSpaceDE w:val="0"/>
        <w:autoSpaceDN w:val="0"/>
        <w:adjustRightInd w:val="0"/>
        <w:ind w:left="4320"/>
        <w:rPr>
          <w:i/>
        </w:rPr>
      </w:pPr>
      <w:r>
        <w:rPr>
          <w:i/>
          <w:u w:val="single"/>
        </w:rPr>
        <w:t>/s/ Matthew White                           </w:t>
      </w:r>
    </w:p>
    <w:p w:rsidR="00036CC7" w:rsidRDefault="00036CC7" w:rsidP="00036CC7">
      <w:pPr>
        <w:pStyle w:val="CommentText"/>
      </w:pPr>
    </w:p>
    <w:p w:rsidR="00036CC7" w:rsidRDefault="00036CC7" w:rsidP="00036CC7">
      <w:pPr>
        <w:pStyle w:val="CommentText"/>
        <w:jc w:val="center"/>
        <w:rPr>
          <w:b/>
          <w:u w:val="single"/>
        </w:rPr>
      </w:pPr>
      <w:r>
        <w:rPr>
          <w:b/>
          <w:u w:val="single"/>
        </w:rPr>
        <w:t>SERVICE LIST</w:t>
      </w:r>
    </w:p>
    <w:p w:rsidR="00036CC7" w:rsidRDefault="00036CC7" w:rsidP="00036CC7">
      <w:pPr>
        <w:pStyle w:val="BodyText"/>
        <w:rPr>
          <w:b/>
          <w:bCs/>
        </w:rPr>
      </w:pPr>
    </w:p>
    <w:tbl>
      <w:tblPr>
        <w:tblW w:w="0" w:type="auto"/>
        <w:tblLook w:val="01E0" w:firstRow="1" w:lastRow="1" w:firstColumn="1" w:lastColumn="1" w:noHBand="0" w:noVBand="0"/>
      </w:tblPr>
      <w:tblGrid>
        <w:gridCol w:w="4428"/>
        <w:gridCol w:w="4428"/>
      </w:tblGrid>
      <w:tr w:rsidR="00036CC7" w:rsidRPr="00A044B5" w:rsidTr="00EF4CBF">
        <w:tc>
          <w:tcPr>
            <w:tcW w:w="4428" w:type="dxa"/>
            <w:shd w:val="clear" w:color="auto" w:fill="auto"/>
          </w:tcPr>
          <w:p w:rsidR="00036CC7" w:rsidRPr="00A044B5" w:rsidRDefault="00036CC7" w:rsidP="00EF4CBF">
            <w:pPr>
              <w:autoSpaceDE w:val="0"/>
              <w:autoSpaceDN w:val="0"/>
              <w:adjustRightInd w:val="0"/>
              <w:rPr>
                <w:bCs/>
              </w:rPr>
            </w:pPr>
          </w:p>
        </w:tc>
        <w:tc>
          <w:tcPr>
            <w:tcW w:w="4428" w:type="dxa"/>
            <w:shd w:val="clear" w:color="auto" w:fill="auto"/>
          </w:tcPr>
          <w:p w:rsidR="00036CC7" w:rsidRPr="00A044B5" w:rsidRDefault="00036CC7" w:rsidP="00EF4CBF">
            <w:pPr>
              <w:pStyle w:val="BodyText"/>
              <w:rPr>
                <w:bCs/>
              </w:rPr>
            </w:pPr>
          </w:p>
        </w:tc>
      </w:tr>
      <w:tr w:rsidR="00036CC7" w:rsidRPr="00A044B5" w:rsidTr="00EF4CBF">
        <w:tc>
          <w:tcPr>
            <w:tcW w:w="4428" w:type="dxa"/>
            <w:shd w:val="clear" w:color="auto" w:fill="auto"/>
          </w:tcPr>
          <w:p w:rsidR="00036CC7" w:rsidRPr="00A044B5" w:rsidRDefault="00036CC7" w:rsidP="00EF4CBF"/>
        </w:tc>
        <w:tc>
          <w:tcPr>
            <w:tcW w:w="4428" w:type="dxa"/>
            <w:shd w:val="clear" w:color="auto" w:fill="auto"/>
          </w:tcPr>
          <w:p w:rsidR="00036CC7" w:rsidRPr="00A044B5" w:rsidRDefault="00036CC7" w:rsidP="00EF4CBF">
            <w:pPr>
              <w:rPr>
                <w:bCs/>
              </w:rPr>
            </w:pPr>
          </w:p>
        </w:tc>
      </w:tr>
      <w:tr w:rsidR="00036CC7" w:rsidRPr="00A044B5" w:rsidTr="00EF4CBF">
        <w:tc>
          <w:tcPr>
            <w:tcW w:w="4428" w:type="dxa"/>
            <w:shd w:val="clear" w:color="auto" w:fill="auto"/>
          </w:tcPr>
          <w:p w:rsidR="00036CC7" w:rsidRDefault="00036CC7" w:rsidP="00012222">
            <w:pPr>
              <w:autoSpaceDE w:val="0"/>
              <w:autoSpaceDN w:val="0"/>
              <w:adjustRightInd w:val="0"/>
              <w:rPr>
                <w:bCs/>
              </w:rPr>
            </w:pPr>
            <w:r>
              <w:rPr>
                <w:bCs/>
              </w:rPr>
              <w:t>William Wright</w:t>
            </w:r>
          </w:p>
          <w:p w:rsidR="00036CC7" w:rsidRDefault="00036CC7">
            <w:pPr>
              <w:autoSpaceDE w:val="0"/>
              <w:autoSpaceDN w:val="0"/>
              <w:adjustRightInd w:val="0"/>
              <w:rPr>
                <w:bCs/>
              </w:rPr>
            </w:pPr>
            <w:r>
              <w:rPr>
                <w:bCs/>
              </w:rPr>
              <w:t>Chief, Public Utilities Section</w:t>
            </w:r>
          </w:p>
          <w:p w:rsidR="00036CC7" w:rsidRDefault="00036CC7">
            <w:pPr>
              <w:autoSpaceDE w:val="0"/>
              <w:autoSpaceDN w:val="0"/>
              <w:adjustRightInd w:val="0"/>
              <w:rPr>
                <w:bCs/>
              </w:rPr>
            </w:pPr>
            <w:r>
              <w:rPr>
                <w:bCs/>
              </w:rPr>
              <w:t>Public Utilities Commission of Ohio</w:t>
            </w:r>
          </w:p>
          <w:p w:rsidR="00036CC7" w:rsidRDefault="00036CC7">
            <w:pPr>
              <w:autoSpaceDE w:val="0"/>
              <w:autoSpaceDN w:val="0"/>
              <w:adjustRightInd w:val="0"/>
              <w:rPr>
                <w:bCs/>
              </w:rPr>
            </w:pPr>
            <w:r>
              <w:rPr>
                <w:bCs/>
              </w:rPr>
              <w:t>180 East Broad Street, 6</w:t>
            </w:r>
            <w:r w:rsidRPr="007B2482">
              <w:rPr>
                <w:bCs/>
                <w:vertAlign w:val="superscript"/>
              </w:rPr>
              <w:t>th</w:t>
            </w:r>
            <w:r>
              <w:rPr>
                <w:bCs/>
              </w:rPr>
              <w:t xml:space="preserve"> Floor</w:t>
            </w:r>
          </w:p>
          <w:p w:rsidR="00036CC7" w:rsidRDefault="00036CC7">
            <w:pPr>
              <w:autoSpaceDE w:val="0"/>
              <w:autoSpaceDN w:val="0"/>
              <w:adjustRightInd w:val="0"/>
              <w:rPr>
                <w:bCs/>
              </w:rPr>
            </w:pPr>
            <w:r>
              <w:rPr>
                <w:bCs/>
              </w:rPr>
              <w:t>Columbus, Ohio  43215</w:t>
            </w:r>
          </w:p>
          <w:p w:rsidR="00036CC7" w:rsidRDefault="00036CC7">
            <w:pPr>
              <w:autoSpaceDE w:val="0"/>
              <w:autoSpaceDN w:val="0"/>
              <w:adjustRightInd w:val="0"/>
              <w:rPr>
                <w:bCs/>
              </w:rPr>
            </w:pPr>
            <w:r w:rsidRPr="00412177">
              <w:rPr>
                <w:bCs/>
              </w:rPr>
              <w:t>William.wright@puc.state.oh.us</w:t>
            </w:r>
          </w:p>
          <w:p w:rsidR="00036CC7" w:rsidRDefault="00036CC7" w:rsidP="00EF4CBF">
            <w:pPr>
              <w:autoSpaceDE w:val="0"/>
              <w:autoSpaceDN w:val="0"/>
              <w:adjustRightInd w:val="0"/>
              <w:rPr>
                <w:bCs/>
              </w:rPr>
            </w:pPr>
          </w:p>
          <w:p w:rsidR="00012222" w:rsidRDefault="00012222" w:rsidP="00EF4CBF">
            <w:pPr>
              <w:autoSpaceDE w:val="0"/>
              <w:autoSpaceDN w:val="0"/>
              <w:adjustRightInd w:val="0"/>
              <w:rPr>
                <w:bCs/>
              </w:rPr>
            </w:pPr>
            <w:r>
              <w:rPr>
                <w:bCs/>
              </w:rPr>
              <w:t>Terry Etter</w:t>
            </w:r>
          </w:p>
          <w:p w:rsidR="00012222" w:rsidRDefault="00012222" w:rsidP="00EF4CBF">
            <w:pPr>
              <w:autoSpaceDE w:val="0"/>
              <w:autoSpaceDN w:val="0"/>
              <w:adjustRightInd w:val="0"/>
              <w:rPr>
                <w:bCs/>
              </w:rPr>
            </w:pPr>
            <w:r>
              <w:rPr>
                <w:bCs/>
              </w:rPr>
              <w:t>Kevin Moore</w:t>
            </w:r>
          </w:p>
          <w:p w:rsidR="00012222" w:rsidRDefault="00012222" w:rsidP="00EF4CBF">
            <w:pPr>
              <w:autoSpaceDE w:val="0"/>
              <w:autoSpaceDN w:val="0"/>
              <w:adjustRightInd w:val="0"/>
              <w:rPr>
                <w:bCs/>
              </w:rPr>
            </w:pPr>
            <w:r>
              <w:rPr>
                <w:bCs/>
              </w:rPr>
              <w:t>Office of the Ohio Consumers’ Counsel</w:t>
            </w:r>
          </w:p>
          <w:p w:rsidR="00012222" w:rsidRDefault="00012222" w:rsidP="00EF4CBF">
            <w:pPr>
              <w:autoSpaceDE w:val="0"/>
              <w:autoSpaceDN w:val="0"/>
              <w:adjustRightInd w:val="0"/>
              <w:rPr>
                <w:bCs/>
              </w:rPr>
            </w:pPr>
            <w:hyperlink r:id="rId10" w:history="1">
              <w:r w:rsidRPr="000B486E">
                <w:rPr>
                  <w:rStyle w:val="Hyperlink"/>
                  <w:bCs/>
                </w:rPr>
                <w:t>terry.etter@occ.ohio.gov</w:t>
              </w:r>
            </w:hyperlink>
          </w:p>
          <w:p w:rsidR="00012222" w:rsidRPr="00A044B5" w:rsidRDefault="00012222" w:rsidP="00EF4CBF">
            <w:pPr>
              <w:autoSpaceDE w:val="0"/>
              <w:autoSpaceDN w:val="0"/>
              <w:adjustRightInd w:val="0"/>
              <w:rPr>
                <w:bCs/>
              </w:rPr>
            </w:pPr>
            <w:hyperlink r:id="rId11" w:history="1">
              <w:r w:rsidRPr="000B486E">
                <w:rPr>
                  <w:rStyle w:val="Hyperlink"/>
                  <w:bCs/>
                </w:rPr>
                <w:t>kevin.moore@occ.ohio.gov</w:t>
              </w:r>
            </w:hyperlink>
          </w:p>
        </w:tc>
        <w:tc>
          <w:tcPr>
            <w:tcW w:w="4428" w:type="dxa"/>
            <w:shd w:val="clear" w:color="auto" w:fill="auto"/>
          </w:tcPr>
          <w:p w:rsidR="00036CC7" w:rsidRDefault="00036CC7" w:rsidP="00EF4CBF">
            <w:pPr>
              <w:pStyle w:val="BodyText"/>
              <w:rPr>
                <w:bCs/>
              </w:rPr>
            </w:pPr>
          </w:p>
          <w:p w:rsidR="00036CC7" w:rsidRPr="00A044B5" w:rsidRDefault="00036CC7" w:rsidP="00EF4CBF">
            <w:pPr>
              <w:pStyle w:val="BodyText"/>
              <w:rPr>
                <w:bCs/>
              </w:rPr>
            </w:pPr>
          </w:p>
        </w:tc>
      </w:tr>
    </w:tbl>
    <w:p w:rsidR="00036CC7" w:rsidRPr="00DD3E6A" w:rsidRDefault="00036CC7" w:rsidP="00036CC7">
      <w:pPr>
        <w:pStyle w:val="BodyText"/>
        <w:rPr>
          <w:bCs/>
        </w:rPr>
      </w:pPr>
      <w:r w:rsidRPr="00DD3E6A">
        <w:rPr>
          <w:bCs/>
        </w:rPr>
        <w:t xml:space="preserve">AE:  </w:t>
      </w:r>
      <w:hyperlink r:id="rId12" w:history="1">
        <w:r w:rsidRPr="00DD3E6A">
          <w:rPr>
            <w:rStyle w:val="Hyperlink"/>
            <w:rFonts w:eastAsia="Calibri"/>
            <w:bCs/>
          </w:rPr>
          <w:t>Mandy.willey@puc.state.oh.us</w:t>
        </w:r>
      </w:hyperlink>
    </w:p>
    <w:p w:rsidR="001C648D" w:rsidRPr="00236146" w:rsidRDefault="001C648D" w:rsidP="009937A2">
      <w:pPr>
        <w:spacing w:after="0" w:line="480" w:lineRule="auto"/>
        <w:jc w:val="both"/>
      </w:pPr>
    </w:p>
    <w:sectPr w:rsidR="001C648D" w:rsidRPr="0023614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98" w:rsidRDefault="00D40A98" w:rsidP="00D04B4B">
      <w:pPr>
        <w:spacing w:after="0"/>
      </w:pPr>
      <w:r>
        <w:separator/>
      </w:r>
    </w:p>
  </w:endnote>
  <w:endnote w:type="continuationSeparator" w:id="0">
    <w:p w:rsidR="00D40A98" w:rsidRDefault="00D40A98" w:rsidP="00D04B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9722"/>
      <w:docPartObj>
        <w:docPartGallery w:val="Page Numbers (Bottom of Page)"/>
        <w:docPartUnique/>
      </w:docPartObj>
    </w:sdtPr>
    <w:sdtEndPr>
      <w:rPr>
        <w:noProof/>
      </w:rPr>
    </w:sdtEndPr>
    <w:sdtContent>
      <w:p w:rsidR="00234AE4" w:rsidRDefault="00234AE4">
        <w:pPr>
          <w:pStyle w:val="Footer"/>
          <w:jc w:val="center"/>
        </w:pPr>
        <w:r>
          <w:fldChar w:fldCharType="begin"/>
        </w:r>
        <w:r>
          <w:instrText xml:space="preserve"> PAGE   \* MERGEFORMAT </w:instrText>
        </w:r>
        <w:r>
          <w:fldChar w:fldCharType="separate"/>
        </w:r>
        <w:r w:rsidR="000305FB">
          <w:rPr>
            <w:noProof/>
          </w:rPr>
          <w:t>7</w:t>
        </w:r>
        <w:r>
          <w:rPr>
            <w:noProof/>
          </w:rPr>
          <w:fldChar w:fldCharType="end"/>
        </w:r>
      </w:p>
    </w:sdtContent>
  </w:sdt>
  <w:p w:rsidR="00234AE4" w:rsidRDefault="0023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98" w:rsidRDefault="00D40A98" w:rsidP="00D04B4B">
      <w:pPr>
        <w:spacing w:after="0"/>
      </w:pPr>
      <w:r>
        <w:separator/>
      </w:r>
    </w:p>
  </w:footnote>
  <w:footnote w:type="continuationSeparator" w:id="0">
    <w:p w:rsidR="00D40A98" w:rsidRDefault="00D40A98" w:rsidP="00D04B4B">
      <w:pPr>
        <w:spacing w:after="0"/>
      </w:pPr>
      <w:r>
        <w:continuationSeparator/>
      </w:r>
    </w:p>
  </w:footnote>
  <w:footnote w:id="1">
    <w:p w:rsidR="00602078" w:rsidRDefault="00602078" w:rsidP="00602078">
      <w:pPr>
        <w:pStyle w:val="FootnoteText"/>
      </w:pPr>
      <w:r>
        <w:rPr>
          <w:rStyle w:val="FootnoteReference"/>
        </w:rPr>
        <w:footnoteRef/>
      </w:r>
      <w:r>
        <w:t xml:space="preserve"> Finding and Order (Nov. 20, 2014).</w:t>
      </w:r>
    </w:p>
  </w:footnote>
  <w:footnote w:id="2">
    <w:p w:rsidR="009937A2" w:rsidRDefault="009937A2">
      <w:pPr>
        <w:pStyle w:val="FootnoteText"/>
      </w:pPr>
      <w:r>
        <w:rPr>
          <w:rStyle w:val="FootnoteReference"/>
        </w:rPr>
        <w:footnoteRef/>
      </w:r>
      <w:r>
        <w:t xml:space="preserve"> Id.</w:t>
      </w:r>
    </w:p>
  </w:footnote>
  <w:footnote w:id="3">
    <w:p w:rsidR="00163361" w:rsidRDefault="00163361" w:rsidP="00163361">
      <w:pPr>
        <w:pStyle w:val="FootnoteText"/>
      </w:pPr>
      <w:r>
        <w:rPr>
          <w:rStyle w:val="FootnoteReference"/>
        </w:rPr>
        <w:footnoteRef/>
      </w:r>
      <w:r>
        <w:t xml:space="preserve"> “OCC appreciates that IGS has taken the initiative to propose an approach to door to-door sales that it believes will achieve more consumer protection by increasing the accountability of those involved in selling its services… we have asked in this application for the PUCO to proceed cautiously and add more consumer protection to its ruling.”  OCC Application for Rehearing at 3-4.</w:t>
      </w:r>
    </w:p>
  </w:footnote>
  <w:footnote w:id="4">
    <w:p w:rsidR="00087977" w:rsidRDefault="00087977">
      <w:pPr>
        <w:pStyle w:val="FootnoteText"/>
      </w:pPr>
      <w:r>
        <w:rPr>
          <w:rStyle w:val="FootnoteReference"/>
        </w:rPr>
        <w:footnoteRef/>
      </w:r>
      <w:r>
        <w:t xml:space="preserve"> Application for Waiver at 3-4.</w:t>
      </w:r>
    </w:p>
  </w:footnote>
  <w:footnote w:id="5">
    <w:p w:rsidR="0030310F" w:rsidRDefault="0030310F" w:rsidP="0030310F">
      <w:pPr>
        <w:pStyle w:val="FootnoteText"/>
      </w:pPr>
      <w:r>
        <w:rPr>
          <w:rStyle w:val="FootnoteReference"/>
        </w:rPr>
        <w:footnoteRef/>
      </w:r>
      <w:r>
        <w:t xml:space="preserve"> Id.</w:t>
      </w:r>
    </w:p>
  </w:footnote>
  <w:footnote w:id="6">
    <w:p w:rsidR="00163361" w:rsidRDefault="00163361">
      <w:pPr>
        <w:pStyle w:val="FootnoteText"/>
      </w:pPr>
      <w:r>
        <w:rPr>
          <w:rStyle w:val="FootnoteReference"/>
        </w:rPr>
        <w:footnoteRef/>
      </w:r>
      <w:r>
        <w:t xml:space="preserve"> </w:t>
      </w:r>
      <w:r w:rsidR="00BF4734">
        <w:t>Id</w:t>
      </w:r>
      <w:r>
        <w:t xml:space="preserve"> at 5.</w:t>
      </w:r>
    </w:p>
  </w:footnote>
  <w:footnote w:id="7">
    <w:p w:rsidR="000B0F2A" w:rsidRDefault="000B0F2A">
      <w:pPr>
        <w:pStyle w:val="FootnoteText"/>
      </w:pPr>
      <w:r>
        <w:rPr>
          <w:rStyle w:val="FootnoteReference"/>
        </w:rPr>
        <w:footnoteRef/>
      </w:r>
      <w:r>
        <w:t xml:space="preserve"> Finding and Order at 4.</w:t>
      </w:r>
    </w:p>
  </w:footnote>
  <w:footnote w:id="8">
    <w:p w:rsidR="0060354B" w:rsidRDefault="0060354B">
      <w:pPr>
        <w:pStyle w:val="FootnoteText"/>
      </w:pPr>
      <w:r>
        <w:rPr>
          <w:rStyle w:val="FootnoteReference"/>
        </w:rPr>
        <w:footnoteRef/>
      </w:r>
      <w:r>
        <w:t xml:space="preserve"> See PUCO Apples to Apples website demonstrating that none of the dozens of </w:t>
      </w:r>
      <w:r w:rsidR="00234AE4">
        <w:t xml:space="preserve"> IGS </w:t>
      </w:r>
      <w:r>
        <w:t>gas and electric products listed on the s</w:t>
      </w:r>
      <w:r w:rsidR="00DD3EBB">
        <w:t>ite sold</w:t>
      </w:r>
      <w:r>
        <w:t xml:space="preserve"> throughout Ohio contain cancel fees:</w:t>
      </w:r>
    </w:p>
    <w:p w:rsidR="00DD3EBB" w:rsidRDefault="000305FB">
      <w:pPr>
        <w:pStyle w:val="FootnoteText"/>
      </w:pPr>
      <w:hyperlink r:id="rId1" w:history="1">
        <w:r w:rsidR="00DD3EBB" w:rsidRPr="003726E4">
          <w:rPr>
            <w:rStyle w:val="Hyperlink"/>
          </w:rPr>
          <w:t>http://www.energychoice.ohio.gov/ApplesToApplesCategory.aspx?Category=NaturalGas</w:t>
        </w:r>
      </w:hyperlink>
    </w:p>
    <w:p w:rsidR="00DD3EBB" w:rsidRDefault="00DD3EBB">
      <w:pPr>
        <w:pStyle w:val="FootnoteText"/>
      </w:pPr>
      <w:r w:rsidRPr="00DD3EBB">
        <w:t>http://www.energychoice.ohio.gov/ApplesToApplesCategory.aspx?Category=Electric</w:t>
      </w:r>
    </w:p>
  </w:footnote>
  <w:footnote w:id="9">
    <w:p w:rsidR="00DD3EBB" w:rsidRDefault="00DD3EBB">
      <w:pPr>
        <w:pStyle w:val="FootnoteText"/>
      </w:pPr>
      <w:r>
        <w:rPr>
          <w:rStyle w:val="FootnoteReference"/>
        </w:rPr>
        <w:footnoteRef/>
      </w:r>
      <w:r>
        <w:t xml:space="preserve"> </w:t>
      </w:r>
      <w:r w:rsidR="00036CC7" w:rsidRPr="007F67B5">
        <w:t>See OAC 4901:1-21-06, 4901:1-29-06</w:t>
      </w:r>
    </w:p>
  </w:footnote>
  <w:footnote w:id="10">
    <w:p w:rsidR="0093188E" w:rsidRDefault="0093188E">
      <w:pPr>
        <w:pStyle w:val="FootnoteText"/>
      </w:pPr>
      <w:r>
        <w:rPr>
          <w:rStyle w:val="FootnoteReference"/>
        </w:rPr>
        <w:footnoteRef/>
      </w:r>
      <w:r>
        <w:t xml:space="preserve"> Application for Rehearing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8D" w:rsidRDefault="001C648D">
    <w:pPr>
      <w:pStyle w:val="Header"/>
      <w:jc w:val="center"/>
    </w:pPr>
  </w:p>
  <w:p w:rsidR="001C648D" w:rsidRDefault="001C6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4F5F"/>
    <w:multiLevelType w:val="hybridMultilevel"/>
    <w:tmpl w:val="E83016E6"/>
    <w:lvl w:ilvl="0" w:tplc="26944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F30AE"/>
    <w:multiLevelType w:val="hybridMultilevel"/>
    <w:tmpl w:val="83F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736A5"/>
    <w:multiLevelType w:val="hybridMultilevel"/>
    <w:tmpl w:val="0AFCDBF4"/>
    <w:lvl w:ilvl="0" w:tplc="0428BA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1E2F58"/>
    <w:multiLevelType w:val="hybridMultilevel"/>
    <w:tmpl w:val="1AD26214"/>
    <w:lvl w:ilvl="0" w:tplc="D90AF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8F"/>
    <w:rsid w:val="00012222"/>
    <w:rsid w:val="000305FB"/>
    <w:rsid w:val="00036CC7"/>
    <w:rsid w:val="00076F8F"/>
    <w:rsid w:val="00087977"/>
    <w:rsid w:val="000B0F2A"/>
    <w:rsid w:val="000C26ED"/>
    <w:rsid w:val="001001F4"/>
    <w:rsid w:val="00163361"/>
    <w:rsid w:val="001B5FBC"/>
    <w:rsid w:val="001C648D"/>
    <w:rsid w:val="00234AE4"/>
    <w:rsid w:val="00236146"/>
    <w:rsid w:val="00292548"/>
    <w:rsid w:val="0030310F"/>
    <w:rsid w:val="00387E10"/>
    <w:rsid w:val="00602078"/>
    <w:rsid w:val="0060354B"/>
    <w:rsid w:val="006B275B"/>
    <w:rsid w:val="006D6389"/>
    <w:rsid w:val="007C25AE"/>
    <w:rsid w:val="007F67B5"/>
    <w:rsid w:val="008921C2"/>
    <w:rsid w:val="009177EC"/>
    <w:rsid w:val="0093188E"/>
    <w:rsid w:val="009937A2"/>
    <w:rsid w:val="009F5B55"/>
    <w:rsid w:val="00BA4703"/>
    <w:rsid w:val="00BD231C"/>
    <w:rsid w:val="00BF4734"/>
    <w:rsid w:val="00CA0E30"/>
    <w:rsid w:val="00D04B4B"/>
    <w:rsid w:val="00D40A98"/>
    <w:rsid w:val="00DD3EBB"/>
    <w:rsid w:val="00ED5E25"/>
    <w:rsid w:val="00EF786F"/>
    <w:rsid w:val="00F933AE"/>
    <w:rsid w:val="00FA52A4"/>
    <w:rsid w:val="00FE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8F"/>
    <w:pPr>
      <w:spacing w:after="24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8F"/>
    <w:pPr>
      <w:ind w:left="720"/>
      <w:contextualSpacing/>
    </w:pPr>
  </w:style>
  <w:style w:type="paragraph" w:styleId="FootnoteText">
    <w:name w:val="footnote text"/>
    <w:basedOn w:val="Normal"/>
    <w:link w:val="FootnoteTextChar"/>
    <w:uiPriority w:val="99"/>
    <w:semiHidden/>
    <w:unhideWhenUsed/>
    <w:rsid w:val="00D04B4B"/>
    <w:pPr>
      <w:spacing w:after="0"/>
    </w:pPr>
    <w:rPr>
      <w:sz w:val="20"/>
      <w:szCs w:val="20"/>
    </w:rPr>
  </w:style>
  <w:style w:type="character" w:customStyle="1" w:styleId="FootnoteTextChar">
    <w:name w:val="Footnote Text Char"/>
    <w:basedOn w:val="DefaultParagraphFont"/>
    <w:link w:val="FootnoteText"/>
    <w:uiPriority w:val="99"/>
    <w:semiHidden/>
    <w:rsid w:val="00D04B4B"/>
    <w:rPr>
      <w:rFonts w:ascii="Times New Roman" w:eastAsia="Calibri" w:hAnsi="Times New Roman" w:cs="Times New Roman"/>
      <w:szCs w:val="20"/>
    </w:rPr>
  </w:style>
  <w:style w:type="character" w:styleId="FootnoteReference">
    <w:name w:val="footnote reference"/>
    <w:basedOn w:val="DefaultParagraphFont"/>
    <w:uiPriority w:val="99"/>
    <w:semiHidden/>
    <w:unhideWhenUsed/>
    <w:rsid w:val="00D04B4B"/>
    <w:rPr>
      <w:vertAlign w:val="superscript"/>
    </w:rPr>
  </w:style>
  <w:style w:type="paragraph" w:styleId="BalloonText">
    <w:name w:val="Balloon Text"/>
    <w:basedOn w:val="Normal"/>
    <w:link w:val="BalloonTextChar"/>
    <w:uiPriority w:val="99"/>
    <w:semiHidden/>
    <w:unhideWhenUsed/>
    <w:rsid w:val="001001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F4"/>
    <w:rPr>
      <w:rFonts w:ascii="Tahoma" w:eastAsia="Calibri" w:hAnsi="Tahoma" w:cs="Tahoma"/>
      <w:sz w:val="16"/>
      <w:szCs w:val="16"/>
    </w:rPr>
  </w:style>
  <w:style w:type="character" w:styleId="Hyperlink">
    <w:name w:val="Hyperlink"/>
    <w:basedOn w:val="DefaultParagraphFont"/>
    <w:uiPriority w:val="99"/>
    <w:unhideWhenUsed/>
    <w:rsid w:val="00DD3EBB"/>
    <w:rPr>
      <w:color w:val="0000FF" w:themeColor="hyperlink"/>
      <w:u w:val="single"/>
    </w:rPr>
  </w:style>
  <w:style w:type="paragraph" w:styleId="NoSpacing">
    <w:name w:val="No Spacing"/>
    <w:uiPriority w:val="1"/>
    <w:qFormat/>
    <w:rsid w:val="001C648D"/>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1C648D"/>
    <w:pPr>
      <w:tabs>
        <w:tab w:val="center" w:pos="4680"/>
        <w:tab w:val="right" w:pos="9360"/>
      </w:tabs>
      <w:spacing w:after="0"/>
    </w:pPr>
  </w:style>
  <w:style w:type="character" w:customStyle="1" w:styleId="HeaderChar">
    <w:name w:val="Header Char"/>
    <w:basedOn w:val="DefaultParagraphFont"/>
    <w:link w:val="Header"/>
    <w:uiPriority w:val="99"/>
    <w:rsid w:val="001C648D"/>
    <w:rPr>
      <w:rFonts w:ascii="Times New Roman" w:eastAsia="Calibri" w:hAnsi="Times New Roman" w:cs="Times New Roman"/>
      <w:sz w:val="24"/>
    </w:rPr>
  </w:style>
  <w:style w:type="paragraph" w:styleId="Footer">
    <w:name w:val="footer"/>
    <w:basedOn w:val="Normal"/>
    <w:link w:val="FooterChar"/>
    <w:uiPriority w:val="99"/>
    <w:unhideWhenUsed/>
    <w:rsid w:val="001C648D"/>
    <w:pPr>
      <w:tabs>
        <w:tab w:val="center" w:pos="4680"/>
        <w:tab w:val="right" w:pos="9360"/>
      </w:tabs>
      <w:spacing w:after="0"/>
    </w:pPr>
  </w:style>
  <w:style w:type="character" w:customStyle="1" w:styleId="FooterChar">
    <w:name w:val="Footer Char"/>
    <w:basedOn w:val="DefaultParagraphFont"/>
    <w:link w:val="Footer"/>
    <w:uiPriority w:val="99"/>
    <w:rsid w:val="001C648D"/>
    <w:rPr>
      <w:rFonts w:ascii="Times New Roman" w:eastAsia="Calibri" w:hAnsi="Times New Roman" w:cs="Times New Roman"/>
      <w:sz w:val="24"/>
    </w:rPr>
  </w:style>
  <w:style w:type="paragraph" w:styleId="BodyText">
    <w:name w:val="Body Text"/>
    <w:basedOn w:val="Normal"/>
    <w:link w:val="BodyTextChar"/>
    <w:rsid w:val="00036CC7"/>
    <w:pPr>
      <w:spacing w:after="0"/>
      <w:jc w:val="both"/>
    </w:pPr>
    <w:rPr>
      <w:rFonts w:eastAsia="Times New Roman"/>
      <w:szCs w:val="20"/>
    </w:rPr>
  </w:style>
  <w:style w:type="character" w:customStyle="1" w:styleId="BodyTextChar">
    <w:name w:val="Body Text Char"/>
    <w:basedOn w:val="DefaultParagraphFont"/>
    <w:link w:val="BodyText"/>
    <w:rsid w:val="00036CC7"/>
    <w:rPr>
      <w:rFonts w:ascii="Times New Roman" w:eastAsia="Times New Roman" w:hAnsi="Times New Roman" w:cs="Times New Roman"/>
      <w:sz w:val="24"/>
      <w:szCs w:val="20"/>
    </w:rPr>
  </w:style>
  <w:style w:type="paragraph" w:styleId="CommentText">
    <w:name w:val="annotation text"/>
    <w:basedOn w:val="Normal"/>
    <w:link w:val="CommentTextChar"/>
    <w:semiHidden/>
    <w:rsid w:val="00036CC7"/>
    <w:pPr>
      <w:spacing w:after="0"/>
    </w:pPr>
    <w:rPr>
      <w:rFonts w:eastAsia="Times New Roman"/>
    </w:rPr>
  </w:style>
  <w:style w:type="character" w:customStyle="1" w:styleId="CommentTextChar">
    <w:name w:val="Comment Text Char"/>
    <w:basedOn w:val="DefaultParagraphFont"/>
    <w:link w:val="CommentText"/>
    <w:semiHidden/>
    <w:rsid w:val="00036CC7"/>
    <w:rPr>
      <w:rFonts w:ascii="Times New Roman" w:eastAsia="Times New Roman" w:hAnsi="Times New Roman" w:cs="Times New Roman"/>
      <w:sz w:val="24"/>
    </w:rPr>
  </w:style>
  <w:style w:type="paragraph" w:styleId="CommentSubject">
    <w:name w:val="annotation subject"/>
    <w:basedOn w:val="CommentText"/>
    <w:next w:val="CommentText"/>
    <w:link w:val="CommentSubjectChar"/>
    <w:semiHidden/>
    <w:rsid w:val="00036CC7"/>
    <w:rPr>
      <w:szCs w:val="20"/>
    </w:rPr>
  </w:style>
  <w:style w:type="character" w:customStyle="1" w:styleId="CommentSubjectChar">
    <w:name w:val="Comment Subject Char"/>
    <w:basedOn w:val="CommentTextChar"/>
    <w:link w:val="CommentSubject"/>
    <w:semiHidden/>
    <w:rsid w:val="00036CC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8F"/>
    <w:pPr>
      <w:spacing w:after="24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8F"/>
    <w:pPr>
      <w:ind w:left="720"/>
      <w:contextualSpacing/>
    </w:pPr>
  </w:style>
  <w:style w:type="paragraph" w:styleId="FootnoteText">
    <w:name w:val="footnote text"/>
    <w:basedOn w:val="Normal"/>
    <w:link w:val="FootnoteTextChar"/>
    <w:uiPriority w:val="99"/>
    <w:semiHidden/>
    <w:unhideWhenUsed/>
    <w:rsid w:val="00D04B4B"/>
    <w:pPr>
      <w:spacing w:after="0"/>
    </w:pPr>
    <w:rPr>
      <w:sz w:val="20"/>
      <w:szCs w:val="20"/>
    </w:rPr>
  </w:style>
  <w:style w:type="character" w:customStyle="1" w:styleId="FootnoteTextChar">
    <w:name w:val="Footnote Text Char"/>
    <w:basedOn w:val="DefaultParagraphFont"/>
    <w:link w:val="FootnoteText"/>
    <w:uiPriority w:val="99"/>
    <w:semiHidden/>
    <w:rsid w:val="00D04B4B"/>
    <w:rPr>
      <w:rFonts w:ascii="Times New Roman" w:eastAsia="Calibri" w:hAnsi="Times New Roman" w:cs="Times New Roman"/>
      <w:szCs w:val="20"/>
    </w:rPr>
  </w:style>
  <w:style w:type="character" w:styleId="FootnoteReference">
    <w:name w:val="footnote reference"/>
    <w:basedOn w:val="DefaultParagraphFont"/>
    <w:uiPriority w:val="99"/>
    <w:semiHidden/>
    <w:unhideWhenUsed/>
    <w:rsid w:val="00D04B4B"/>
    <w:rPr>
      <w:vertAlign w:val="superscript"/>
    </w:rPr>
  </w:style>
  <w:style w:type="paragraph" w:styleId="BalloonText">
    <w:name w:val="Balloon Text"/>
    <w:basedOn w:val="Normal"/>
    <w:link w:val="BalloonTextChar"/>
    <w:uiPriority w:val="99"/>
    <w:semiHidden/>
    <w:unhideWhenUsed/>
    <w:rsid w:val="001001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F4"/>
    <w:rPr>
      <w:rFonts w:ascii="Tahoma" w:eastAsia="Calibri" w:hAnsi="Tahoma" w:cs="Tahoma"/>
      <w:sz w:val="16"/>
      <w:szCs w:val="16"/>
    </w:rPr>
  </w:style>
  <w:style w:type="character" w:styleId="Hyperlink">
    <w:name w:val="Hyperlink"/>
    <w:basedOn w:val="DefaultParagraphFont"/>
    <w:uiPriority w:val="99"/>
    <w:unhideWhenUsed/>
    <w:rsid w:val="00DD3EBB"/>
    <w:rPr>
      <w:color w:val="0000FF" w:themeColor="hyperlink"/>
      <w:u w:val="single"/>
    </w:rPr>
  </w:style>
  <w:style w:type="paragraph" w:styleId="NoSpacing">
    <w:name w:val="No Spacing"/>
    <w:uiPriority w:val="1"/>
    <w:qFormat/>
    <w:rsid w:val="001C648D"/>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1C648D"/>
    <w:pPr>
      <w:tabs>
        <w:tab w:val="center" w:pos="4680"/>
        <w:tab w:val="right" w:pos="9360"/>
      </w:tabs>
      <w:spacing w:after="0"/>
    </w:pPr>
  </w:style>
  <w:style w:type="character" w:customStyle="1" w:styleId="HeaderChar">
    <w:name w:val="Header Char"/>
    <w:basedOn w:val="DefaultParagraphFont"/>
    <w:link w:val="Header"/>
    <w:uiPriority w:val="99"/>
    <w:rsid w:val="001C648D"/>
    <w:rPr>
      <w:rFonts w:ascii="Times New Roman" w:eastAsia="Calibri" w:hAnsi="Times New Roman" w:cs="Times New Roman"/>
      <w:sz w:val="24"/>
    </w:rPr>
  </w:style>
  <w:style w:type="paragraph" w:styleId="Footer">
    <w:name w:val="footer"/>
    <w:basedOn w:val="Normal"/>
    <w:link w:val="FooterChar"/>
    <w:uiPriority w:val="99"/>
    <w:unhideWhenUsed/>
    <w:rsid w:val="001C648D"/>
    <w:pPr>
      <w:tabs>
        <w:tab w:val="center" w:pos="4680"/>
        <w:tab w:val="right" w:pos="9360"/>
      </w:tabs>
      <w:spacing w:after="0"/>
    </w:pPr>
  </w:style>
  <w:style w:type="character" w:customStyle="1" w:styleId="FooterChar">
    <w:name w:val="Footer Char"/>
    <w:basedOn w:val="DefaultParagraphFont"/>
    <w:link w:val="Footer"/>
    <w:uiPriority w:val="99"/>
    <w:rsid w:val="001C648D"/>
    <w:rPr>
      <w:rFonts w:ascii="Times New Roman" w:eastAsia="Calibri" w:hAnsi="Times New Roman" w:cs="Times New Roman"/>
      <w:sz w:val="24"/>
    </w:rPr>
  </w:style>
  <w:style w:type="paragraph" w:styleId="BodyText">
    <w:name w:val="Body Text"/>
    <w:basedOn w:val="Normal"/>
    <w:link w:val="BodyTextChar"/>
    <w:rsid w:val="00036CC7"/>
    <w:pPr>
      <w:spacing w:after="0"/>
      <w:jc w:val="both"/>
    </w:pPr>
    <w:rPr>
      <w:rFonts w:eastAsia="Times New Roman"/>
      <w:szCs w:val="20"/>
    </w:rPr>
  </w:style>
  <w:style w:type="character" w:customStyle="1" w:styleId="BodyTextChar">
    <w:name w:val="Body Text Char"/>
    <w:basedOn w:val="DefaultParagraphFont"/>
    <w:link w:val="BodyText"/>
    <w:rsid w:val="00036CC7"/>
    <w:rPr>
      <w:rFonts w:ascii="Times New Roman" w:eastAsia="Times New Roman" w:hAnsi="Times New Roman" w:cs="Times New Roman"/>
      <w:sz w:val="24"/>
      <w:szCs w:val="20"/>
    </w:rPr>
  </w:style>
  <w:style w:type="paragraph" w:styleId="CommentText">
    <w:name w:val="annotation text"/>
    <w:basedOn w:val="Normal"/>
    <w:link w:val="CommentTextChar"/>
    <w:semiHidden/>
    <w:rsid w:val="00036CC7"/>
    <w:pPr>
      <w:spacing w:after="0"/>
    </w:pPr>
    <w:rPr>
      <w:rFonts w:eastAsia="Times New Roman"/>
    </w:rPr>
  </w:style>
  <w:style w:type="character" w:customStyle="1" w:styleId="CommentTextChar">
    <w:name w:val="Comment Text Char"/>
    <w:basedOn w:val="DefaultParagraphFont"/>
    <w:link w:val="CommentText"/>
    <w:semiHidden/>
    <w:rsid w:val="00036CC7"/>
    <w:rPr>
      <w:rFonts w:ascii="Times New Roman" w:eastAsia="Times New Roman" w:hAnsi="Times New Roman" w:cs="Times New Roman"/>
      <w:sz w:val="24"/>
    </w:rPr>
  </w:style>
  <w:style w:type="paragraph" w:styleId="CommentSubject">
    <w:name w:val="annotation subject"/>
    <w:basedOn w:val="CommentText"/>
    <w:next w:val="CommentText"/>
    <w:link w:val="CommentSubjectChar"/>
    <w:semiHidden/>
    <w:rsid w:val="00036CC7"/>
    <w:rPr>
      <w:szCs w:val="20"/>
    </w:rPr>
  </w:style>
  <w:style w:type="character" w:customStyle="1" w:styleId="CommentSubjectChar">
    <w:name w:val="Comment Subject Char"/>
    <w:basedOn w:val="CommentTextChar"/>
    <w:link w:val="CommentSubject"/>
    <w:semiHidden/>
    <w:rsid w:val="00036CC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dy.willey@puc.state.oh.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moore@occ.ohio.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y.etter@occ.ohio.gov" TargetMode="External"/><Relationship Id="rId4" Type="http://schemas.microsoft.com/office/2007/relationships/stylesWithEffects" Target="stylesWithEffects.xml"/><Relationship Id="rId9" Type="http://schemas.openxmlformats.org/officeDocument/2006/relationships/hyperlink" Target="mailto:mswhite@igsenergy.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ergychoice.ohio.gov/ApplesToApplesCategory.aspx?Category=Natural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5D7F-ECEB-4A9D-A3A9-2B20567E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JOLIKER</dc:creator>
  <cp:lastModifiedBy>IMAGE</cp:lastModifiedBy>
  <cp:revision>2</cp:revision>
  <dcterms:created xsi:type="dcterms:W3CDTF">2015-01-02T20:50:00Z</dcterms:created>
  <dcterms:modified xsi:type="dcterms:W3CDTF">2015-01-02T20:50:00Z</dcterms:modified>
</cp:coreProperties>
</file>