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D5" w:rsidRDefault="001335D4">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14CD5" w:rsidRDefault="001335D4">
      <w:pPr>
        <w:pStyle w:val="HTMLPreformatted"/>
        <w:jc w:val="center"/>
        <w:rPr>
          <w:rFonts w:ascii="Times New Roman" w:hAnsi="Times New Roman"/>
          <w:sz w:val="24"/>
        </w:rPr>
      </w:pPr>
      <w:r>
        <w:rPr>
          <w:rFonts w:ascii="Times New Roman" w:hAnsi="Times New Roman"/>
          <w:b/>
          <w:bCs/>
          <w:sz w:val="24"/>
        </w:rPr>
        <w:t>THE PUBLIC UTILITIES COMMISSION OF OHIO</w:t>
      </w:r>
    </w:p>
    <w:p w:rsidR="00614CD5" w:rsidRDefault="001335D4">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AF7006" w:rsidTr="00614CD5">
        <w:trPr>
          <w:trHeight w:val="807"/>
        </w:trPr>
        <w:tc>
          <w:tcPr>
            <w:tcW w:w="4332" w:type="dxa"/>
            <w:shd w:val="clear" w:color="auto" w:fill="auto"/>
          </w:tcPr>
          <w:p w:rsidR="00614CD5" w:rsidRPr="00376A99" w:rsidRDefault="001335D4" w:rsidP="00EB50EF">
            <w:pPr>
              <w:autoSpaceDE w:val="0"/>
              <w:autoSpaceDN w:val="0"/>
              <w:adjustRightInd w:val="0"/>
              <w:rPr>
                <w:szCs w:val="24"/>
              </w:rPr>
            </w:pPr>
            <w:r>
              <w:rPr>
                <w:szCs w:val="24"/>
              </w:rPr>
              <w:t xml:space="preserve">In </w:t>
            </w:r>
            <w:r>
              <w:rPr>
                <w:szCs w:val="24"/>
              </w:rPr>
              <w:t>t</w:t>
            </w:r>
            <w:r>
              <w:rPr>
                <w:szCs w:val="24"/>
              </w:rPr>
              <w:t xml:space="preserve">he Matter of the </w:t>
            </w:r>
            <w:r>
              <w:rPr>
                <w:szCs w:val="24"/>
              </w:rPr>
              <w:t>Alternative Energy Rider &amp; Auction Cost Recovery Rider for Ohio Power Company</w:t>
            </w:r>
            <w:r>
              <w:rPr>
                <w:szCs w:val="24"/>
              </w:rPr>
              <w:t>.</w:t>
            </w:r>
          </w:p>
        </w:tc>
        <w:tc>
          <w:tcPr>
            <w:tcW w:w="360" w:type="dxa"/>
            <w:shd w:val="clear" w:color="auto" w:fill="auto"/>
          </w:tcPr>
          <w:p w:rsidR="00614CD5" w:rsidRPr="00376A99" w:rsidRDefault="001335D4">
            <w:pPr>
              <w:pStyle w:val="HTMLPreformatted"/>
              <w:rPr>
                <w:rFonts w:ascii="Times New Roman" w:hAnsi="Times New Roman"/>
                <w:sz w:val="24"/>
                <w:szCs w:val="24"/>
              </w:rPr>
            </w:pPr>
            <w:r w:rsidRPr="00376A99">
              <w:rPr>
                <w:rFonts w:ascii="Times New Roman" w:hAnsi="Times New Roman"/>
                <w:sz w:val="24"/>
                <w:szCs w:val="24"/>
              </w:rPr>
              <w:t>)</w:t>
            </w:r>
          </w:p>
          <w:p w:rsidR="00614CD5" w:rsidRPr="00376A99" w:rsidRDefault="001335D4">
            <w:pPr>
              <w:pStyle w:val="HTMLPreformatted"/>
              <w:rPr>
                <w:rFonts w:ascii="Times New Roman" w:hAnsi="Times New Roman"/>
                <w:sz w:val="24"/>
                <w:szCs w:val="24"/>
              </w:rPr>
            </w:pPr>
            <w:r w:rsidRPr="00376A99">
              <w:rPr>
                <w:rFonts w:ascii="Times New Roman" w:hAnsi="Times New Roman"/>
                <w:sz w:val="24"/>
                <w:szCs w:val="24"/>
              </w:rPr>
              <w:t>)</w:t>
            </w:r>
          </w:p>
          <w:p w:rsidR="00614CD5" w:rsidRPr="00376A99" w:rsidRDefault="001335D4" w:rsidP="00614CD5">
            <w:pPr>
              <w:pStyle w:val="HTMLPreformatted"/>
              <w:rPr>
                <w:rFonts w:ascii="Times New Roman" w:hAnsi="Times New Roman"/>
                <w:sz w:val="24"/>
                <w:szCs w:val="24"/>
              </w:rPr>
            </w:pPr>
            <w:r w:rsidRPr="00376A99">
              <w:rPr>
                <w:rFonts w:ascii="Times New Roman" w:hAnsi="Times New Roman"/>
                <w:sz w:val="24"/>
                <w:szCs w:val="24"/>
              </w:rPr>
              <w:t>)</w:t>
            </w:r>
          </w:p>
        </w:tc>
        <w:tc>
          <w:tcPr>
            <w:tcW w:w="4400" w:type="dxa"/>
            <w:shd w:val="clear" w:color="auto" w:fill="auto"/>
          </w:tcPr>
          <w:p w:rsidR="00614CD5" w:rsidRPr="00376A99" w:rsidRDefault="001335D4">
            <w:pPr>
              <w:pStyle w:val="HTMLPreformatted"/>
              <w:rPr>
                <w:rFonts w:ascii="Times New Roman" w:hAnsi="Times New Roman"/>
                <w:sz w:val="24"/>
                <w:szCs w:val="24"/>
              </w:rPr>
            </w:pPr>
          </w:p>
          <w:p w:rsidR="00614CD5" w:rsidRPr="00376A99" w:rsidRDefault="001335D4">
            <w:pPr>
              <w:pStyle w:val="HTMLPreformatted"/>
              <w:rPr>
                <w:rFonts w:ascii="Times New Roman" w:hAnsi="Times New Roman"/>
                <w:sz w:val="24"/>
                <w:szCs w:val="24"/>
              </w:rPr>
            </w:pPr>
            <w:r w:rsidRPr="00376A99">
              <w:rPr>
                <w:rFonts w:ascii="Times New Roman" w:hAnsi="Times New Roman"/>
                <w:sz w:val="24"/>
                <w:szCs w:val="24"/>
              </w:rPr>
              <w:t xml:space="preserve">Case No. </w:t>
            </w:r>
            <w:r>
              <w:rPr>
                <w:rFonts w:ascii="Times New Roman" w:hAnsi="Times New Roman"/>
                <w:sz w:val="24"/>
                <w:szCs w:val="24"/>
              </w:rPr>
              <w:t>15-1052-EL-RDR</w:t>
            </w:r>
          </w:p>
          <w:p w:rsidR="00614CD5" w:rsidRPr="00376A99" w:rsidRDefault="001335D4">
            <w:pPr>
              <w:pStyle w:val="HTMLPreformatted"/>
              <w:rPr>
                <w:rFonts w:ascii="Times New Roman" w:hAnsi="Times New Roman"/>
                <w:sz w:val="24"/>
                <w:szCs w:val="24"/>
              </w:rPr>
            </w:pPr>
          </w:p>
        </w:tc>
      </w:tr>
    </w:tbl>
    <w:p w:rsidR="00614CD5" w:rsidRDefault="001335D4">
      <w:pPr>
        <w:pStyle w:val="HTMLPreformatted"/>
        <w:rPr>
          <w:rFonts w:ascii="Times New Roman" w:hAnsi="Times New Roman"/>
          <w:sz w:val="24"/>
        </w:rPr>
      </w:pPr>
    </w:p>
    <w:p w:rsidR="00614CD5" w:rsidRDefault="001335D4">
      <w:pPr>
        <w:pStyle w:val="HTMLPreformatted"/>
        <w:pBdr>
          <w:top w:val="single" w:sz="12" w:space="1" w:color="auto"/>
        </w:pBdr>
        <w:rPr>
          <w:rFonts w:ascii="Times New Roman" w:hAnsi="Times New Roman"/>
          <w:sz w:val="24"/>
        </w:rPr>
      </w:pPr>
    </w:p>
    <w:p w:rsidR="00614CD5" w:rsidRDefault="001335D4">
      <w:pPr>
        <w:jc w:val="center"/>
        <w:rPr>
          <w:b/>
          <w:bCs/>
        </w:rPr>
      </w:pPr>
      <w:r>
        <w:rPr>
          <w:b/>
          <w:bCs/>
        </w:rPr>
        <w:t>REPLY IN SUPPORT OF MOTION TO INTERVENE</w:t>
      </w:r>
    </w:p>
    <w:p w:rsidR="00614CD5" w:rsidRDefault="001335D4">
      <w:pPr>
        <w:jc w:val="center"/>
        <w:rPr>
          <w:b/>
          <w:bCs/>
        </w:rPr>
      </w:pPr>
      <w:r>
        <w:rPr>
          <w:b/>
          <w:bCs/>
        </w:rPr>
        <w:t>BY</w:t>
      </w:r>
    </w:p>
    <w:p w:rsidR="00614CD5" w:rsidRDefault="001335D4">
      <w:pPr>
        <w:jc w:val="center"/>
        <w:rPr>
          <w:b/>
          <w:bCs/>
        </w:rPr>
      </w:pPr>
      <w:r>
        <w:rPr>
          <w:b/>
          <w:bCs/>
        </w:rPr>
        <w:t xml:space="preserve">THE OFFICE OF THE OHIO </w:t>
      </w:r>
      <w:r>
        <w:rPr>
          <w:b/>
          <w:bCs/>
        </w:rPr>
        <w:t>CONSUMERS' COUNSEL</w:t>
      </w:r>
    </w:p>
    <w:p w:rsidR="00614CD5" w:rsidRDefault="001335D4">
      <w:pPr>
        <w:pBdr>
          <w:bottom w:val="single" w:sz="12" w:space="1" w:color="auto"/>
        </w:pBdr>
        <w:tabs>
          <w:tab w:val="left" w:pos="4320"/>
        </w:tabs>
      </w:pPr>
    </w:p>
    <w:p w:rsidR="00614CD5" w:rsidRDefault="001335D4">
      <w:pPr>
        <w:tabs>
          <w:tab w:val="left" w:pos="4320"/>
        </w:tabs>
      </w:pPr>
    </w:p>
    <w:p w:rsidR="009063F5" w:rsidRDefault="001335D4" w:rsidP="00614CD5">
      <w:pPr>
        <w:pStyle w:val="BodyTextIndent3"/>
        <w:widowControl w:val="0"/>
        <w:spacing w:line="480" w:lineRule="auto"/>
        <w:ind w:right="-24"/>
      </w:pPr>
      <w:r>
        <w:t>The Public Utilities Commission of Ohio</w:t>
      </w:r>
      <w:r>
        <w:rPr>
          <w:rStyle w:val="FootnoteReference"/>
        </w:rPr>
        <w:footnoteReference w:id="1"/>
      </w:r>
      <w:r>
        <w:t xml:space="preserve"> should grant the Office of the Ohio Consumers' Counsel's</w:t>
      </w:r>
      <w:r>
        <w:rPr>
          <w:rStyle w:val="FootnoteReference"/>
        </w:rPr>
        <w:footnoteReference w:id="2"/>
      </w:r>
      <w:r>
        <w:t xml:space="preserve"> motion to intervene</w:t>
      </w:r>
      <w:r>
        <w:rPr>
          <w:rStyle w:val="FootnoteReference"/>
        </w:rPr>
        <w:footnoteReference w:id="3"/>
      </w:r>
      <w:r>
        <w:t xml:space="preserve"> because it easily satisfies the requirements of Ohio Revised Code</w:t>
      </w:r>
      <w:r>
        <w:rPr>
          <w:rStyle w:val="FootnoteReference"/>
        </w:rPr>
        <w:footnoteReference w:id="4"/>
      </w:r>
      <w:r>
        <w:t xml:space="preserve"> 4903.221</w:t>
      </w:r>
      <w:r>
        <w:t xml:space="preserve"> and Ohio Administrative Code</w:t>
      </w:r>
      <w:r>
        <w:rPr>
          <w:rStyle w:val="FootnoteReference"/>
        </w:rPr>
        <w:footnoteReference w:id="5"/>
      </w:r>
      <w:r>
        <w:t xml:space="preserve"> 4901-1-11</w:t>
      </w:r>
      <w:r>
        <w:t xml:space="preserve">, because it </w:t>
      </w:r>
      <w:r>
        <w:t>is consistent with the Ohio Supreme Court's ruling that intervention should be liberally allowed</w:t>
      </w:r>
      <w:r>
        <w:t xml:space="preserve"> and because Ohio consumers should have a voice in PUCO cases where their utility has a voice</w:t>
      </w:r>
      <w:r>
        <w:t>.</w:t>
      </w:r>
      <w:r>
        <w:rPr>
          <w:rStyle w:val="FootnoteReference"/>
        </w:rPr>
        <w:footnoteReference w:id="6"/>
      </w:r>
      <w:r>
        <w:t xml:space="preserve"> Ohio Power Company's</w:t>
      </w:r>
      <w:r>
        <w:rPr>
          <w:rStyle w:val="FootnoteReference"/>
        </w:rPr>
        <w:footnoteReference w:id="7"/>
      </w:r>
      <w:r>
        <w:t xml:space="preserve"> arguments to the contrary, se</w:t>
      </w:r>
      <w:r>
        <w:t>t forth in its memorandum contra</w:t>
      </w:r>
      <w:r>
        <w:t>,</w:t>
      </w:r>
      <w:r>
        <w:rPr>
          <w:rStyle w:val="FootnoteReference"/>
        </w:rPr>
        <w:footnoteReference w:id="8"/>
      </w:r>
      <w:r>
        <w:t xml:space="preserve"> are meritless.</w:t>
      </w:r>
    </w:p>
    <w:p w:rsidR="009063F5" w:rsidRPr="003E0A29" w:rsidRDefault="001335D4" w:rsidP="00614CD5">
      <w:pPr>
        <w:pStyle w:val="BodyTextIndent3"/>
        <w:widowControl w:val="0"/>
        <w:spacing w:line="480" w:lineRule="auto"/>
        <w:ind w:right="-24"/>
        <w:rPr>
          <w:b/>
        </w:rPr>
      </w:pPr>
      <w:r>
        <w:rPr>
          <w:b/>
        </w:rPr>
        <w:t>A.</w:t>
      </w:r>
      <w:r>
        <w:rPr>
          <w:b/>
        </w:rPr>
        <w:tab/>
        <w:t>OCC's Motion to Intervene is timely.</w:t>
      </w:r>
    </w:p>
    <w:p w:rsidR="003E0A29" w:rsidRDefault="001335D4" w:rsidP="00614CD5">
      <w:pPr>
        <w:pStyle w:val="BodyTextIndent3"/>
        <w:widowControl w:val="0"/>
        <w:spacing w:line="480" w:lineRule="auto"/>
        <w:ind w:right="-24"/>
      </w:pPr>
      <w:r>
        <w:t xml:space="preserve">R.C. 4903.221 provides that a person may file a motion to intervene no later than </w:t>
      </w:r>
      <w:r>
        <w:t>(i</w:t>
      </w:r>
      <w:r>
        <w:t>) any deadline that the PUCO sets or</w:t>
      </w:r>
      <w:r>
        <w:t>, if no such deadline is set, (ii</w:t>
      </w:r>
      <w:r>
        <w:t>) five days b</w:t>
      </w:r>
      <w:r>
        <w:t xml:space="preserve">efore the </w:t>
      </w:r>
      <w:r>
        <w:lastRenderedPageBreak/>
        <w:t>scheduled date of hearing. In this case, the PUCO did not set a deadline for intervention. Nor is there any hearing set. Thus, OCC's Motion to Intervene is timely.</w:t>
      </w:r>
    </w:p>
    <w:p w:rsidR="003E0A29" w:rsidRDefault="001335D4" w:rsidP="00614CD5">
      <w:pPr>
        <w:pStyle w:val="BodyTextIndent3"/>
        <w:widowControl w:val="0"/>
        <w:spacing w:line="480" w:lineRule="auto"/>
        <w:ind w:right="-24"/>
      </w:pPr>
      <w:r>
        <w:t>AEP Ohio suggests that OCC's Motion to Intervene is somehow late, complaining that</w:t>
      </w:r>
      <w:r>
        <w:t xml:space="preserve"> it was filed "[t]wo years after this compliance filing docket was opened, and nearly five years after the Commission approved the </w:t>
      </w:r>
      <w:r>
        <w:t>creation of the AER...."</w:t>
      </w:r>
      <w:r>
        <w:rPr>
          <w:rStyle w:val="FootnoteReference"/>
        </w:rPr>
        <w:footnoteReference w:id="9"/>
      </w:r>
      <w:r>
        <w:t xml:space="preserve"> </w:t>
      </w:r>
      <w:r>
        <w:t>AEP Ohio also refers to the "late stage" of OCC's Motion to Intervene filing.</w:t>
      </w:r>
      <w:r>
        <w:rPr>
          <w:rStyle w:val="FootnoteReference"/>
        </w:rPr>
        <w:footnoteReference w:id="10"/>
      </w:r>
      <w:r>
        <w:t xml:space="preserve"> </w:t>
      </w:r>
      <w:r>
        <w:t>But the timing of OC</w:t>
      </w:r>
      <w:r>
        <w:t>C's Motion to Intervene as compared to these events is irrelevant for at least two reasons.</w:t>
      </w:r>
    </w:p>
    <w:p w:rsidR="003E0A29" w:rsidRDefault="001335D4" w:rsidP="00614CD5">
      <w:pPr>
        <w:pStyle w:val="BodyTextIndent3"/>
        <w:widowControl w:val="0"/>
        <w:spacing w:line="480" w:lineRule="auto"/>
        <w:ind w:right="-24"/>
      </w:pPr>
      <w:r>
        <w:t>First, as discussed above, the timing of OCC's Motion to Intervene is consistent with R.C. 4903.221; AEP Ohio does not argue otherwise. Second, OCC is seeking to in</w:t>
      </w:r>
      <w:r>
        <w:t>tervene in this proceeding as it pertains to AEP Ohio's quarterly AER updates, the last of which AEP filed less than two weeks ago on June 1, 2017. Thus, any argument that OCC's intervention is untimely must fail.</w:t>
      </w:r>
    </w:p>
    <w:p w:rsidR="003E0A29" w:rsidRPr="003C3D56" w:rsidRDefault="001335D4" w:rsidP="008C0228">
      <w:pPr>
        <w:pStyle w:val="BodyTextIndent3"/>
        <w:widowControl w:val="0"/>
        <w:spacing w:after="240" w:line="240" w:lineRule="auto"/>
        <w:ind w:left="1440" w:right="720" w:hanging="720"/>
        <w:rPr>
          <w:b/>
        </w:rPr>
      </w:pPr>
      <w:r>
        <w:rPr>
          <w:b/>
        </w:rPr>
        <w:t>B.</w:t>
      </w:r>
      <w:r>
        <w:rPr>
          <w:b/>
        </w:rPr>
        <w:tab/>
      </w:r>
      <w:r>
        <w:rPr>
          <w:b/>
        </w:rPr>
        <w:t xml:space="preserve">Residential consumers </w:t>
      </w:r>
      <w:r>
        <w:rPr>
          <w:b/>
        </w:rPr>
        <w:t>may</w:t>
      </w:r>
      <w:r>
        <w:rPr>
          <w:b/>
        </w:rPr>
        <w:t xml:space="preserve"> be adversely </w:t>
      </w:r>
      <w:r>
        <w:rPr>
          <w:b/>
        </w:rPr>
        <w:t xml:space="preserve">affected by this proceeding because they will pay millions of dollars to AEP </w:t>
      </w:r>
      <w:r>
        <w:rPr>
          <w:b/>
        </w:rPr>
        <w:t xml:space="preserve">Ohio </w:t>
      </w:r>
      <w:r>
        <w:rPr>
          <w:b/>
        </w:rPr>
        <w:t>under rider AER.</w:t>
      </w:r>
    </w:p>
    <w:p w:rsidR="003E0A29" w:rsidRDefault="001335D4" w:rsidP="00614CD5">
      <w:pPr>
        <w:pStyle w:val="BodyTextIndent3"/>
        <w:widowControl w:val="0"/>
        <w:spacing w:line="480" w:lineRule="auto"/>
        <w:ind w:right="-24"/>
      </w:pPr>
      <w:r>
        <w:t xml:space="preserve">AEP Ohio contends that "[t]he amount that AEP Ohio may collect from customers for prudently incurred alternative energy costs is not at issue here" and that </w:t>
      </w:r>
      <w:r>
        <w:t>"the prudence of AEP Ohio's alternative energy costs" is not "at issue in this proceeding."</w:t>
      </w:r>
      <w:r>
        <w:rPr>
          <w:rStyle w:val="FootnoteReference"/>
        </w:rPr>
        <w:footnoteReference w:id="11"/>
      </w:r>
      <w:r>
        <w:t xml:space="preserve"> Instead, AEP Ohio claims that "[t]he issue here is merely whether AEP Ohio has properly updated its quarterly rate adjustments, subject to financial audit and reco</w:t>
      </w:r>
      <w:r>
        <w:t>nciliation."</w:t>
      </w:r>
      <w:r>
        <w:rPr>
          <w:rStyle w:val="FootnoteReference"/>
        </w:rPr>
        <w:footnoteReference w:id="12"/>
      </w:r>
    </w:p>
    <w:p w:rsidR="00C6562D" w:rsidRDefault="001335D4" w:rsidP="00614CD5">
      <w:pPr>
        <w:pStyle w:val="BodyTextIndent3"/>
        <w:widowControl w:val="0"/>
        <w:spacing w:line="480" w:lineRule="auto"/>
        <w:ind w:right="-24"/>
      </w:pPr>
      <w:r>
        <w:t xml:space="preserve">This argument fails for at least two reasons. First, AEP Ohio cites no authority for its bare conclusion that the scope of this proceeding excludes a review of the amount that </w:t>
      </w:r>
      <w:r>
        <w:lastRenderedPageBreak/>
        <w:t>AEP Ohio may collect from customers or a prudence review. The PUCO</w:t>
      </w:r>
      <w:r>
        <w:t xml:space="preserve"> should not permit AEP Ohio to restrict OCC or any other party from addressing these issues.</w:t>
      </w:r>
      <w:r>
        <w:t xml:space="preserve"> I</w:t>
      </w:r>
      <w:r>
        <w:t xml:space="preserve">n its March 1, 2017 filing, AEP Ohio </w:t>
      </w:r>
      <w:r>
        <w:t xml:space="preserve">disclosed that the </w:t>
      </w:r>
      <w:r>
        <w:t>rate that customers pay for rider AER</w:t>
      </w:r>
      <w:r>
        <w:t xml:space="preserve"> would increase by over 100%</w:t>
      </w:r>
      <w:r>
        <w:t>.</w:t>
      </w:r>
      <w:r>
        <w:rPr>
          <w:rStyle w:val="FootnoteReference"/>
        </w:rPr>
        <w:footnoteReference w:id="13"/>
      </w:r>
      <w:r>
        <w:t xml:space="preserve"> </w:t>
      </w:r>
      <w:r>
        <w:t>R</w:t>
      </w:r>
      <w:r>
        <w:t>esidential customers are adversely af</w:t>
      </w:r>
      <w:r>
        <w:t>fected by a proceeding that doubles the rate that they pay for AEP Ohio's alternative energy rider.</w:t>
      </w:r>
      <w:r>
        <w:t xml:space="preserve"> Moreover, AEP Ohio’s charges to consumers for renewable energy are</w:t>
      </w:r>
      <w:r>
        <w:t xml:space="preserve"> showing as</w:t>
      </w:r>
      <w:r>
        <w:t xml:space="preserve"> much higher than similar charges paid by consumers of other Ohio electric util</w:t>
      </w:r>
      <w:r>
        <w:t>ities</w:t>
      </w:r>
      <w:r>
        <w:t>, in a chart on the PUCO’s website</w:t>
      </w:r>
      <w:r>
        <w:t>.</w:t>
      </w:r>
      <w:r>
        <w:rPr>
          <w:rStyle w:val="FootnoteReference"/>
        </w:rPr>
        <w:footnoteReference w:id="14"/>
      </w:r>
    </w:p>
    <w:p w:rsidR="00C6562D" w:rsidRDefault="001335D4" w:rsidP="00614CD5">
      <w:pPr>
        <w:pStyle w:val="BodyTextIndent3"/>
        <w:widowControl w:val="0"/>
        <w:spacing w:line="480" w:lineRule="auto"/>
        <w:ind w:right="-24"/>
      </w:pPr>
      <w:r>
        <w:t xml:space="preserve">Second, </w:t>
      </w:r>
      <w:r>
        <w:t xml:space="preserve">even </w:t>
      </w:r>
      <w:r>
        <w:t xml:space="preserve">if, as AEP Ohio contends, the issue in this case is "whether AEP Ohio has properly updated its quarterly rate adjustments," then OCC, as the statutory representative of AEP's 1.3 million residential </w:t>
      </w:r>
      <w:r>
        <w:t>consumers, has a right to intervene in this case, obtain discovery, and evaluate whether AEP Ohio has in fact done so.</w:t>
      </w:r>
      <w:r>
        <w:t xml:space="preserve"> By opposing OCC's Motion to Intervene, AEP Ohio suggests that it </w:t>
      </w:r>
      <w:r>
        <w:t>is</w:t>
      </w:r>
      <w:r>
        <w:t xml:space="preserve"> permitted to update its quarterly rate adjustments and OCC </w:t>
      </w:r>
      <w:r>
        <w:t>can</w:t>
      </w:r>
      <w:r>
        <w:t xml:space="preserve">not be </w:t>
      </w:r>
      <w:r>
        <w:t>heard on that issue</w:t>
      </w:r>
      <w:r>
        <w:t>.</w:t>
      </w:r>
      <w:r>
        <w:t xml:space="preserve"> This </w:t>
      </w:r>
      <w:r>
        <w:t xml:space="preserve">is just not </w:t>
      </w:r>
      <w:r>
        <w:t>true.</w:t>
      </w:r>
    </w:p>
    <w:p w:rsidR="00C6562D" w:rsidRDefault="001335D4" w:rsidP="00614CD5">
      <w:pPr>
        <w:pStyle w:val="BodyTextIndent3"/>
        <w:widowControl w:val="0"/>
        <w:spacing w:line="480" w:lineRule="auto"/>
        <w:ind w:right="-24"/>
      </w:pPr>
      <w:r>
        <w:t>In either case, OCC has demonstrated that residential consumers may be adversely affected by this proceeding.</w:t>
      </w:r>
    </w:p>
    <w:p w:rsidR="00F64238" w:rsidRPr="00F64238" w:rsidRDefault="001335D4" w:rsidP="008C0228">
      <w:pPr>
        <w:pStyle w:val="BodyTextIndent3"/>
        <w:widowControl w:val="0"/>
        <w:spacing w:after="240" w:line="240" w:lineRule="auto"/>
        <w:ind w:left="1440" w:right="810" w:hanging="720"/>
        <w:rPr>
          <w:b/>
        </w:rPr>
      </w:pPr>
      <w:r>
        <w:rPr>
          <w:b/>
        </w:rPr>
        <w:t>C.</w:t>
      </w:r>
      <w:r>
        <w:rPr>
          <w:b/>
        </w:rPr>
        <w:tab/>
        <w:t>OCC has a real and substantial interest in ensuring that customers pay only lawful and reasonable r</w:t>
      </w:r>
      <w:r>
        <w:rPr>
          <w:b/>
        </w:rPr>
        <w:t>ates for AEP Ohio's alternative energy rider.</w:t>
      </w:r>
    </w:p>
    <w:p w:rsidR="00E2799D" w:rsidRDefault="001335D4" w:rsidP="00614CD5">
      <w:pPr>
        <w:pStyle w:val="BodyTextIndent3"/>
        <w:widowControl w:val="0"/>
        <w:spacing w:line="480" w:lineRule="auto"/>
        <w:ind w:right="-24"/>
      </w:pPr>
      <w:r>
        <w:t>Again, AEP Ohio opposes OCC's intervention by attempting to unilaterally determine the scope of this proceeding. According to AEP Ohio, "[t]he subject of this proceeding is simply to update mathematically the C</w:t>
      </w:r>
      <w:r>
        <w:t xml:space="preserve">ompany's AER rates consistent with </w:t>
      </w:r>
      <w:r>
        <w:lastRenderedPageBreak/>
        <w:t xml:space="preserve">the Commission's </w:t>
      </w:r>
      <w:r>
        <w:rPr>
          <w:i/>
        </w:rPr>
        <w:t>ESP III</w:t>
      </w:r>
      <w:r>
        <w:t xml:space="preserve"> Opinion and Order."</w:t>
      </w:r>
      <w:r>
        <w:rPr>
          <w:rStyle w:val="FootnoteReference"/>
        </w:rPr>
        <w:footnoteReference w:id="15"/>
      </w:r>
      <w:r>
        <w:t xml:space="preserve"> AEP Ohio's argument fails for the same reasons as before.</w:t>
      </w:r>
    </w:p>
    <w:p w:rsidR="00E2799D" w:rsidRPr="00E2799D" w:rsidRDefault="001335D4" w:rsidP="00614CD5">
      <w:pPr>
        <w:pStyle w:val="BodyTextIndent3"/>
        <w:widowControl w:val="0"/>
        <w:spacing w:line="480" w:lineRule="auto"/>
        <w:ind w:right="-24"/>
      </w:pPr>
      <w:r>
        <w:t xml:space="preserve">First, there is no support for AEP Ohio's </w:t>
      </w:r>
      <w:r>
        <w:t>pronouncement</w:t>
      </w:r>
      <w:r>
        <w:t xml:space="preserve"> that this case is solely about math and that OCC has no right</w:t>
      </w:r>
      <w:r>
        <w:t xml:space="preserve"> to evaluate </w:t>
      </w:r>
      <w:r>
        <w:t xml:space="preserve">the reasonableness or prudence of </w:t>
      </w:r>
      <w:r>
        <w:t xml:space="preserve">AEP Ohio's renewable rates. And second, even if this case were as limited as AEP Ohio claims, then OCC has a right to intervene, take discovery, and determine whether AEP Ohio's </w:t>
      </w:r>
      <w:r>
        <w:t>calculations correctly determin</w:t>
      </w:r>
      <w:r>
        <w:t>e</w:t>
      </w:r>
      <w:r>
        <w:t xml:space="preserve"> the rate that its 1.3 million residential customers pay. Either way, OCC's Motion to Intervene should be granted.</w:t>
      </w:r>
    </w:p>
    <w:p w:rsidR="003142E5" w:rsidRPr="003142E5" w:rsidRDefault="001335D4" w:rsidP="008C0228">
      <w:pPr>
        <w:pStyle w:val="BodyTextIndent3"/>
        <w:keepNext/>
        <w:spacing w:after="240" w:line="240" w:lineRule="auto"/>
        <w:ind w:left="1440" w:right="720" w:hanging="720"/>
        <w:rPr>
          <w:b/>
        </w:rPr>
      </w:pPr>
      <w:r>
        <w:rPr>
          <w:b/>
        </w:rPr>
        <w:t>D.</w:t>
      </w:r>
      <w:r>
        <w:rPr>
          <w:b/>
        </w:rPr>
        <w:tab/>
        <w:t xml:space="preserve">OCC will advance the legal position that customers should not pay unreasonable or unlawful rates under AEP Ohio's alternative energy </w:t>
      </w:r>
      <w:r>
        <w:rPr>
          <w:b/>
        </w:rPr>
        <w:t>rider.</w:t>
      </w:r>
    </w:p>
    <w:p w:rsidR="003142E5" w:rsidRDefault="001335D4" w:rsidP="00614CD5">
      <w:pPr>
        <w:pStyle w:val="BodyTextIndent3"/>
        <w:widowControl w:val="0"/>
        <w:spacing w:line="480" w:lineRule="auto"/>
        <w:ind w:right="-24"/>
      </w:pPr>
      <w:r>
        <w:t>AEP Ohio contends that OCC's legal position "has no apparent relation to the merits of this proceeding."</w:t>
      </w:r>
      <w:r>
        <w:rPr>
          <w:rStyle w:val="FootnoteReference"/>
        </w:rPr>
        <w:footnoteReference w:id="16"/>
      </w:r>
      <w:r>
        <w:t xml:space="preserve"> In support of this </w:t>
      </w:r>
      <w:r>
        <w:t>argument</w:t>
      </w:r>
      <w:r>
        <w:t>, AEP Ohio states only that "the reasonableness and lawfulness of the AER" is not at issue.</w:t>
      </w:r>
      <w:r>
        <w:rPr>
          <w:rStyle w:val="FootnoteReference"/>
        </w:rPr>
        <w:footnoteReference w:id="17"/>
      </w:r>
      <w:r>
        <w:t xml:space="preserve"> This argument fails.</w:t>
      </w:r>
    </w:p>
    <w:p w:rsidR="003142E5" w:rsidRDefault="001335D4" w:rsidP="00614CD5">
      <w:pPr>
        <w:pStyle w:val="BodyTextIndent3"/>
        <w:widowControl w:val="0"/>
        <w:spacing w:line="480" w:lineRule="auto"/>
        <w:ind w:right="-24"/>
      </w:pPr>
      <w:r>
        <w:t>By</w:t>
      </w:r>
      <w:r>
        <w:t xml:space="preserve"> moving to intervene, OCC is not seeking to challenge the existence of the AER. Instead, as </w:t>
      </w:r>
      <w:r>
        <w:t>described</w:t>
      </w:r>
      <w:r>
        <w:t xml:space="preserve"> in its Motion to Intervene, OCC is seeking to intervene to ensure that the </w:t>
      </w:r>
      <w:r>
        <w:rPr>
          <w:u w:val="single"/>
        </w:rPr>
        <w:t>rate</w:t>
      </w:r>
      <w:r>
        <w:t xml:space="preserve"> that residential customers pay through the AER is lawful and reasonable.</w:t>
      </w:r>
      <w:r>
        <w:rPr>
          <w:rStyle w:val="FootnoteReference"/>
        </w:rPr>
        <w:footnoteReference w:id="18"/>
      </w:r>
      <w:r>
        <w:t xml:space="preserve"> </w:t>
      </w:r>
      <w:r>
        <w:t>Thus, consistent with R.C. 4903.221(B)(2), OCC's potential legal positions in this case support its intervention.</w:t>
      </w:r>
    </w:p>
    <w:p w:rsidR="008325FC" w:rsidRDefault="001335D4">
      <w:pPr>
        <w:rPr>
          <w:b/>
        </w:rPr>
      </w:pPr>
      <w:r>
        <w:rPr>
          <w:b/>
        </w:rPr>
        <w:br w:type="page"/>
      </w:r>
    </w:p>
    <w:p w:rsidR="009A7838" w:rsidRPr="009A7838" w:rsidRDefault="001335D4" w:rsidP="008C0228">
      <w:pPr>
        <w:pStyle w:val="BodyTextIndent3"/>
        <w:widowControl w:val="0"/>
        <w:spacing w:after="240" w:line="240" w:lineRule="auto"/>
        <w:ind w:left="1440" w:right="720" w:hanging="720"/>
        <w:rPr>
          <w:b/>
        </w:rPr>
      </w:pPr>
      <w:r>
        <w:rPr>
          <w:b/>
        </w:rPr>
        <w:lastRenderedPageBreak/>
        <w:t>E.</w:t>
      </w:r>
      <w:r>
        <w:rPr>
          <w:b/>
        </w:rPr>
        <w:tab/>
        <w:t>OCC's intervention will not unduly prolong and delay this proceeding.</w:t>
      </w:r>
    </w:p>
    <w:p w:rsidR="003142E5" w:rsidRDefault="001335D4" w:rsidP="00614CD5">
      <w:pPr>
        <w:pStyle w:val="BodyTextIndent3"/>
        <w:widowControl w:val="0"/>
        <w:spacing w:line="480" w:lineRule="auto"/>
        <w:ind w:right="-24"/>
      </w:pPr>
      <w:r>
        <w:t>AEP Ohio argues that OCC's intervention will unduly prolong and del</w:t>
      </w:r>
      <w:r>
        <w:t xml:space="preserve">ay this proceeding in two ways. First, AEP Ohio argues that the proceeding would be delayed because </w:t>
      </w:r>
      <w:r>
        <w:t>AEP Ohio</w:t>
      </w:r>
      <w:r>
        <w:t xml:space="preserve"> </w:t>
      </w:r>
      <w:r>
        <w:t>might</w:t>
      </w:r>
      <w:r>
        <w:t xml:space="preserve"> be required to respond to discovery.</w:t>
      </w:r>
      <w:r>
        <w:rPr>
          <w:rStyle w:val="FootnoteReference"/>
        </w:rPr>
        <w:footnoteReference w:id="19"/>
      </w:r>
      <w:r>
        <w:t xml:space="preserve"> But the mere taking of discovery </w:t>
      </w:r>
      <w:r>
        <w:t xml:space="preserve">does not </w:t>
      </w:r>
      <w:r>
        <w:t xml:space="preserve">constitute undue delay. Indeed, parties and intervenors have </w:t>
      </w:r>
      <w:r>
        <w:t>a statutory right to take discovery.</w:t>
      </w:r>
      <w:r>
        <w:rPr>
          <w:rStyle w:val="FootnoteReference"/>
        </w:rPr>
        <w:footnoteReference w:id="20"/>
      </w:r>
      <w:r>
        <w:t xml:space="preserve"> AEP Ohio cites no authority for its view that the ability to take discovery constitutes undue delay warranting denial of intervention.</w:t>
      </w:r>
      <w:r>
        <w:t xml:space="preserve"> If the ability to take discovery constituted undue delay, then, by extension, no pa</w:t>
      </w:r>
      <w:r>
        <w:t>rty would ever be permitted to intervene in any case before the PUCO.</w:t>
      </w:r>
    </w:p>
    <w:p w:rsidR="009A7838" w:rsidRDefault="001335D4" w:rsidP="00614CD5">
      <w:pPr>
        <w:pStyle w:val="BodyTextIndent3"/>
        <w:widowControl w:val="0"/>
        <w:spacing w:line="480" w:lineRule="auto"/>
        <w:ind w:right="-24"/>
      </w:pPr>
      <w:r>
        <w:t>Second, AEP Ohio claims that OCC's intervention may require AEP Ohio to "argue repetitive legal and/or factual issues."</w:t>
      </w:r>
      <w:r>
        <w:rPr>
          <w:rStyle w:val="FootnoteReference"/>
        </w:rPr>
        <w:footnoteReference w:id="21"/>
      </w:r>
      <w:r>
        <w:t xml:space="preserve"> This claim is baseless. OCC has a right to raise legal and factual issues related to AEP Ohio's filings, and there is no evidence that </w:t>
      </w:r>
      <w:r>
        <w:t>such issues will be "</w:t>
      </w:r>
      <w:r>
        <w:t>repetitive</w:t>
      </w:r>
      <w:r>
        <w:t>.</w:t>
      </w:r>
      <w:r>
        <w:t>"</w:t>
      </w:r>
      <w:r>
        <w:t xml:space="preserve"> </w:t>
      </w:r>
      <w:r>
        <w:t>The PUCO should reject AEP Ohio's argument that OCC's intervention would unduly prolon</w:t>
      </w:r>
      <w:r>
        <w:t>g and delay this proceeding.</w:t>
      </w:r>
    </w:p>
    <w:p w:rsidR="009A7838" w:rsidRPr="000E3DE0" w:rsidRDefault="001335D4" w:rsidP="008C0228">
      <w:pPr>
        <w:pStyle w:val="BodyTextIndent3"/>
        <w:widowControl w:val="0"/>
        <w:spacing w:after="240" w:line="240" w:lineRule="auto"/>
        <w:ind w:left="1440" w:right="720" w:hanging="720"/>
        <w:rPr>
          <w:b/>
        </w:rPr>
      </w:pPr>
      <w:r>
        <w:rPr>
          <w:b/>
        </w:rPr>
        <w:t>F.</w:t>
      </w:r>
      <w:r>
        <w:rPr>
          <w:b/>
        </w:rPr>
        <w:tab/>
        <w:t>No other party to this proceeding represents the interests of all of AEP Ohio's 1.3 million residential consumers.</w:t>
      </w:r>
    </w:p>
    <w:p w:rsidR="009A7838" w:rsidRDefault="001335D4" w:rsidP="00614CD5">
      <w:pPr>
        <w:pStyle w:val="BodyTextIndent3"/>
        <w:widowControl w:val="0"/>
        <w:spacing w:line="480" w:lineRule="auto"/>
        <w:ind w:right="-24"/>
      </w:pPr>
      <w:r>
        <w:t xml:space="preserve">In its Motion to Intervene, OCC </w:t>
      </w:r>
      <w:r>
        <w:t>asserted</w:t>
      </w:r>
      <w:r>
        <w:t xml:space="preserve"> that it satisfied O</w:t>
      </w:r>
      <w:r>
        <w:t xml:space="preserve">hio </w:t>
      </w:r>
      <w:r>
        <w:t>A</w:t>
      </w:r>
      <w:r>
        <w:t xml:space="preserve">dm. </w:t>
      </w:r>
      <w:r>
        <w:t>C</w:t>
      </w:r>
      <w:r>
        <w:t>ode</w:t>
      </w:r>
      <w:r>
        <w:t xml:space="preserve"> 4901-1-11(B)(5) because it is the u</w:t>
      </w:r>
      <w:r>
        <w:t>nique representative of AEP Ohio's residential consumers.</w:t>
      </w:r>
      <w:r>
        <w:rPr>
          <w:rStyle w:val="FootnoteReference"/>
        </w:rPr>
        <w:footnoteReference w:id="22"/>
      </w:r>
      <w:r>
        <w:t xml:space="preserve"> AEP Ohio does not </w:t>
      </w:r>
      <w:r>
        <w:t xml:space="preserve">dispute this and does not </w:t>
      </w:r>
      <w:r>
        <w:t xml:space="preserve">argue that some other party represents the same interests as OCC. Instead, AEP Ohio counters OCC's position by again claiming that residential consumers </w:t>
      </w:r>
      <w:r>
        <w:t xml:space="preserve">have no interest in this proceeding at all, and therefore, it is </w:t>
      </w:r>
      <w:r>
        <w:lastRenderedPageBreak/>
        <w:t>impossible for any party</w:t>
      </w:r>
      <w:r>
        <w:t xml:space="preserve"> (OCC or otherwise)</w:t>
      </w:r>
      <w:r>
        <w:t xml:space="preserve"> to represent residential customers' </w:t>
      </w:r>
      <w:r>
        <w:t>interests.</w:t>
      </w:r>
      <w:r>
        <w:rPr>
          <w:rStyle w:val="FootnoteReference"/>
        </w:rPr>
        <w:footnoteReference w:id="23"/>
      </w:r>
    </w:p>
    <w:p w:rsidR="009A7838" w:rsidRDefault="001335D4" w:rsidP="00E47695">
      <w:pPr>
        <w:pStyle w:val="BodyTextIndent3"/>
        <w:widowControl w:val="0"/>
        <w:spacing w:line="480" w:lineRule="auto"/>
        <w:ind w:right="-24"/>
      </w:pPr>
      <w:r>
        <w:t>Not only because AEP expect</w:t>
      </w:r>
      <w:r>
        <w:t>s</w:t>
      </w:r>
      <w:r>
        <w:t xml:space="preserve"> its residential consumers to pay Rider AER charges, but also f</w:t>
      </w:r>
      <w:r>
        <w:t>or the m</w:t>
      </w:r>
      <w:r>
        <w:t>any reasons described above, the residential consumers that OCC represents have an interest in this proceeding. There is no party other than OCC that represents those interests.</w:t>
      </w:r>
      <w:r>
        <w:t xml:space="preserve"> Thus, OCC satisfies </w:t>
      </w:r>
      <w:r>
        <w:t>OAC 4901-1-11(B)(5), and AEP's arguments to the contrary a</w:t>
      </w:r>
      <w:r>
        <w:t>re meritless.</w:t>
      </w:r>
    </w:p>
    <w:p w:rsidR="009A7838" w:rsidRPr="00364C0B" w:rsidRDefault="001335D4" w:rsidP="00614CD5">
      <w:pPr>
        <w:pStyle w:val="BodyTextIndent3"/>
        <w:widowControl w:val="0"/>
        <w:spacing w:line="480" w:lineRule="auto"/>
        <w:ind w:right="-24"/>
        <w:rPr>
          <w:b/>
        </w:rPr>
      </w:pPr>
      <w:r>
        <w:rPr>
          <w:b/>
        </w:rPr>
        <w:t>G.</w:t>
      </w:r>
      <w:r>
        <w:rPr>
          <w:b/>
        </w:rPr>
        <w:tab/>
      </w:r>
      <w:r>
        <w:rPr>
          <w:b/>
        </w:rPr>
        <w:t>CONCLUSION</w:t>
      </w:r>
    </w:p>
    <w:p w:rsidR="003E0A29" w:rsidRDefault="001335D4" w:rsidP="00614CD5">
      <w:pPr>
        <w:pStyle w:val="BodyTextIndent3"/>
        <w:widowControl w:val="0"/>
        <w:spacing w:line="480" w:lineRule="auto"/>
        <w:ind w:right="-24"/>
      </w:pPr>
      <w:r>
        <w:t>OCC's Motion to Intervene satisfies the requirements of R.C. 4903.221 and O</w:t>
      </w:r>
      <w:r>
        <w:t xml:space="preserve">hio </w:t>
      </w:r>
      <w:r>
        <w:t>A</w:t>
      </w:r>
      <w:r>
        <w:t xml:space="preserve">dm. </w:t>
      </w:r>
      <w:r>
        <w:t>C</w:t>
      </w:r>
      <w:r>
        <w:t>ode</w:t>
      </w:r>
      <w:r>
        <w:t xml:space="preserve"> 4901-1-11. The PUCO should reject AEP Ohio's attempt to deny OCC a right to be heard in a proceeding in which AEP Ohio recently </w:t>
      </w:r>
      <w:r>
        <w:t xml:space="preserve">sought to </w:t>
      </w:r>
      <w:r>
        <w:t>d</w:t>
      </w:r>
      <w:r>
        <w:t>ouble</w:t>
      </w:r>
      <w:r>
        <w:t xml:space="preserve"> the rate that residential customers pay to AEP Ohio for renewable energy.</w:t>
      </w:r>
      <w:r>
        <w:t xml:space="preserve"> </w:t>
      </w:r>
    </w:p>
    <w:p w:rsidR="00614CD5" w:rsidRPr="00B86AAD" w:rsidRDefault="001335D4" w:rsidP="00614CD5">
      <w:pPr>
        <w:spacing w:line="480" w:lineRule="auto"/>
        <w:ind w:firstLine="4320"/>
        <w:rPr>
          <w:szCs w:val="24"/>
        </w:rPr>
      </w:pPr>
      <w:r w:rsidRPr="00F257DB">
        <w:rPr>
          <w:szCs w:val="24"/>
        </w:rPr>
        <w:t>Respectfully submitted,</w:t>
      </w:r>
    </w:p>
    <w:p w:rsidR="00614CD5" w:rsidRPr="00F257DB" w:rsidRDefault="001335D4" w:rsidP="00614CD5">
      <w:pPr>
        <w:ind w:left="4320"/>
        <w:rPr>
          <w:szCs w:val="24"/>
        </w:rPr>
      </w:pPr>
      <w:r w:rsidRPr="00F257DB">
        <w:rPr>
          <w:szCs w:val="24"/>
        </w:rPr>
        <w:t>BRUCE WESTON (0016973)</w:t>
      </w:r>
    </w:p>
    <w:p w:rsidR="00614CD5" w:rsidRPr="00F257DB" w:rsidRDefault="001335D4" w:rsidP="00614CD5">
      <w:pPr>
        <w:tabs>
          <w:tab w:val="left" w:pos="4320"/>
        </w:tabs>
        <w:ind w:left="4320"/>
        <w:rPr>
          <w:szCs w:val="24"/>
        </w:rPr>
      </w:pPr>
      <w:r w:rsidRPr="00F257DB">
        <w:rPr>
          <w:szCs w:val="24"/>
        </w:rPr>
        <w:t>OHIO CONSUMERS</w:t>
      </w:r>
      <w:r>
        <w:rPr>
          <w:szCs w:val="24"/>
        </w:rPr>
        <w:t>'</w:t>
      </w:r>
      <w:r w:rsidRPr="00F257DB">
        <w:rPr>
          <w:szCs w:val="24"/>
        </w:rPr>
        <w:t xml:space="preserve"> COUNSEL</w:t>
      </w:r>
    </w:p>
    <w:p w:rsidR="00614CD5" w:rsidRPr="00F257DB" w:rsidRDefault="001335D4" w:rsidP="00614CD5">
      <w:pPr>
        <w:tabs>
          <w:tab w:val="left" w:pos="4320"/>
        </w:tabs>
        <w:ind w:left="4320"/>
        <w:rPr>
          <w:szCs w:val="24"/>
        </w:rPr>
      </w:pPr>
    </w:p>
    <w:p w:rsidR="00614CD5" w:rsidRPr="00F257DB" w:rsidRDefault="001335D4" w:rsidP="00614C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614CD5" w:rsidRDefault="001335D4" w:rsidP="00614CD5">
      <w:pPr>
        <w:tabs>
          <w:tab w:val="left" w:pos="4320"/>
        </w:tabs>
        <w:ind w:left="4320"/>
        <w:rPr>
          <w:szCs w:val="24"/>
        </w:rPr>
      </w:pPr>
      <w:r>
        <w:rPr>
          <w:szCs w:val="24"/>
        </w:rPr>
        <w:t>Christopher M. Healey (0086027)</w:t>
      </w:r>
    </w:p>
    <w:p w:rsidR="00614CD5" w:rsidRDefault="001335D4" w:rsidP="00614CD5">
      <w:pPr>
        <w:tabs>
          <w:tab w:val="left" w:pos="4320"/>
        </w:tabs>
        <w:ind w:left="4320"/>
        <w:rPr>
          <w:szCs w:val="24"/>
        </w:rPr>
      </w:pPr>
      <w:r>
        <w:rPr>
          <w:szCs w:val="24"/>
        </w:rPr>
        <w:t>Counsel of Record</w:t>
      </w:r>
      <w:r w:rsidRPr="00F257DB">
        <w:rPr>
          <w:szCs w:val="24"/>
        </w:rPr>
        <w:br/>
      </w:r>
    </w:p>
    <w:p w:rsidR="00614CD5" w:rsidRPr="002C2315" w:rsidRDefault="001335D4" w:rsidP="00614CD5">
      <w:pPr>
        <w:tabs>
          <w:tab w:val="left" w:pos="4320"/>
        </w:tabs>
        <w:ind w:left="4320"/>
        <w:rPr>
          <w:b/>
          <w:szCs w:val="24"/>
        </w:rPr>
      </w:pPr>
      <w:r w:rsidRPr="002C2315">
        <w:rPr>
          <w:b/>
          <w:szCs w:val="24"/>
        </w:rPr>
        <w:t xml:space="preserve">Office of the Ohio </w:t>
      </w:r>
      <w:r w:rsidRPr="002C2315">
        <w:rPr>
          <w:b/>
          <w:szCs w:val="24"/>
        </w:rPr>
        <w:t>Consumers</w:t>
      </w:r>
      <w:r>
        <w:rPr>
          <w:b/>
          <w:szCs w:val="24"/>
        </w:rPr>
        <w:t>'</w:t>
      </w:r>
      <w:r w:rsidRPr="002C2315">
        <w:rPr>
          <w:b/>
          <w:szCs w:val="24"/>
        </w:rPr>
        <w:t xml:space="preserve"> Counsel</w:t>
      </w:r>
    </w:p>
    <w:p w:rsidR="00614CD5" w:rsidRDefault="001335D4" w:rsidP="00614CD5">
      <w:pPr>
        <w:tabs>
          <w:tab w:val="left" w:pos="4320"/>
        </w:tabs>
        <w:ind w:left="4320"/>
        <w:rPr>
          <w:szCs w:val="24"/>
        </w:rPr>
      </w:pPr>
      <w:r w:rsidRPr="00F257DB">
        <w:rPr>
          <w:szCs w:val="24"/>
        </w:rPr>
        <w:t>10 West Broad Street, Suite 1800</w:t>
      </w:r>
    </w:p>
    <w:p w:rsidR="00614CD5" w:rsidRDefault="001335D4" w:rsidP="00614CD5">
      <w:pPr>
        <w:tabs>
          <w:tab w:val="left" w:pos="4320"/>
        </w:tabs>
        <w:ind w:left="4320"/>
        <w:rPr>
          <w:szCs w:val="24"/>
        </w:rPr>
      </w:pPr>
      <w:r w:rsidRPr="00F257DB">
        <w:rPr>
          <w:szCs w:val="24"/>
        </w:rPr>
        <w:t>Columbus, Ohio 43215-3485</w:t>
      </w:r>
    </w:p>
    <w:p w:rsidR="00614CD5" w:rsidRPr="00F257DB" w:rsidRDefault="001335D4" w:rsidP="00614CD5">
      <w:pPr>
        <w:tabs>
          <w:tab w:val="left" w:pos="4320"/>
        </w:tabs>
        <w:ind w:left="4320"/>
        <w:rPr>
          <w:szCs w:val="24"/>
        </w:rPr>
      </w:pPr>
      <w:r>
        <w:rPr>
          <w:szCs w:val="24"/>
        </w:rPr>
        <w:t xml:space="preserve">Telephone: </w:t>
      </w:r>
      <w:r w:rsidRPr="00F257DB">
        <w:rPr>
          <w:szCs w:val="24"/>
        </w:rPr>
        <w:t xml:space="preserve">(614) </w:t>
      </w:r>
      <w:r>
        <w:rPr>
          <w:szCs w:val="24"/>
        </w:rPr>
        <w:t>466-9571</w:t>
      </w:r>
      <w:r w:rsidRPr="00F257DB">
        <w:rPr>
          <w:szCs w:val="24"/>
        </w:rPr>
        <w:t xml:space="preserve"> </w:t>
      </w:r>
    </w:p>
    <w:p w:rsidR="00614CD5" w:rsidRPr="00F257DB" w:rsidRDefault="001335D4" w:rsidP="00614CD5">
      <w:pPr>
        <w:ind w:left="4320"/>
        <w:rPr>
          <w:szCs w:val="24"/>
        </w:rPr>
      </w:pPr>
      <w:hyperlink r:id="rId8" w:history="1">
        <w:r w:rsidRPr="000A0618">
          <w:rPr>
            <w:rStyle w:val="Hyperlink"/>
            <w:szCs w:val="24"/>
          </w:rPr>
          <w:t>christopher.healey@occ.ohio.gov</w:t>
        </w:r>
      </w:hyperlink>
      <w:r>
        <w:rPr>
          <w:szCs w:val="24"/>
        </w:rPr>
        <w:t xml:space="preserve"> </w:t>
      </w:r>
    </w:p>
    <w:p w:rsidR="00614CD5" w:rsidRDefault="001335D4" w:rsidP="00614CD5">
      <w:pPr>
        <w:ind w:left="4320"/>
        <w:rPr>
          <w:szCs w:val="24"/>
        </w:rPr>
        <w:sectPr w:rsidR="00614CD5">
          <w:footerReference w:type="default" r:id="rId9"/>
          <w:pgSz w:w="12240" w:h="15840"/>
          <w:pgMar w:top="1440" w:right="1800" w:bottom="1440" w:left="1800" w:header="720" w:footer="720" w:gutter="0"/>
          <w:pgNumType w:start="1"/>
          <w:cols w:space="720"/>
          <w:titlePg/>
          <w:docGrid w:linePitch="65"/>
        </w:sectPr>
      </w:pPr>
      <w:r w:rsidRPr="00F257DB">
        <w:rPr>
          <w:szCs w:val="24"/>
        </w:rPr>
        <w:t>(</w:t>
      </w:r>
      <w:r>
        <w:rPr>
          <w:szCs w:val="24"/>
        </w:rPr>
        <w:t>W</w:t>
      </w:r>
      <w:r w:rsidRPr="00F257DB">
        <w:rPr>
          <w:szCs w:val="24"/>
        </w:rPr>
        <w:t>ill accept service via email)</w:t>
      </w:r>
    </w:p>
    <w:p w:rsidR="00614CD5" w:rsidRDefault="001335D4" w:rsidP="00614CD5">
      <w:pPr>
        <w:jc w:val="center"/>
        <w:rPr>
          <w:b/>
          <w:bCs/>
          <w:u w:val="single"/>
        </w:rPr>
      </w:pPr>
      <w:r>
        <w:rPr>
          <w:b/>
          <w:bCs/>
          <w:u w:val="single"/>
        </w:rPr>
        <w:lastRenderedPageBreak/>
        <w:t>CERTIFICATE OF SERVICE</w:t>
      </w:r>
    </w:p>
    <w:p w:rsidR="00614CD5" w:rsidRPr="001E4C2F" w:rsidRDefault="001335D4" w:rsidP="00614CD5">
      <w:pPr>
        <w:spacing w:line="480" w:lineRule="atLeast"/>
        <w:ind w:firstLine="720"/>
      </w:pPr>
      <w:r w:rsidRPr="001E4C2F">
        <w:t xml:space="preserve">I hereby certify that a copy of this </w:t>
      </w:r>
      <w:r>
        <w:t xml:space="preserve">Reply </w:t>
      </w:r>
      <w:r w:rsidRPr="001E4C2F">
        <w:t>was served on the persons stated below via electronic transmission, this</w:t>
      </w:r>
      <w:r>
        <w:t xml:space="preserve"> </w:t>
      </w:r>
      <w:r>
        <w:t>15th</w:t>
      </w:r>
      <w:r w:rsidRPr="001E4C2F">
        <w:t xml:space="preserve"> day of </w:t>
      </w:r>
      <w:r>
        <w:t>June</w:t>
      </w:r>
      <w:r w:rsidRPr="001E4C2F">
        <w:t xml:space="preserve"> 2017.</w:t>
      </w:r>
    </w:p>
    <w:p w:rsidR="00614CD5" w:rsidRDefault="001335D4">
      <w:pPr>
        <w:spacing w:line="480" w:lineRule="atLeast"/>
      </w:pPr>
    </w:p>
    <w:p w:rsidR="00614CD5" w:rsidRDefault="001335D4">
      <w:pPr>
        <w:tabs>
          <w:tab w:val="left" w:pos="4320"/>
        </w:tabs>
      </w:pPr>
      <w:r>
        <w:tab/>
      </w:r>
      <w:r>
        <w:rPr>
          <w:i/>
          <w:u w:val="single"/>
        </w:rPr>
        <w:t xml:space="preserve">/s/ Christopher M. </w:t>
      </w:r>
      <w:r>
        <w:rPr>
          <w:i/>
          <w:u w:val="single"/>
        </w:rPr>
        <w:t>Healey</w:t>
      </w:r>
      <w:r>
        <w:rPr>
          <w:i/>
          <w:u w:val="single"/>
        </w:rPr>
        <w:tab/>
      </w:r>
    </w:p>
    <w:p w:rsidR="00614CD5" w:rsidRDefault="001335D4">
      <w:pPr>
        <w:tabs>
          <w:tab w:val="left" w:pos="4320"/>
        </w:tabs>
      </w:pPr>
      <w:r>
        <w:tab/>
        <w:t>Christopher M. Healey</w:t>
      </w:r>
    </w:p>
    <w:p w:rsidR="00614CD5" w:rsidRDefault="001335D4">
      <w:pPr>
        <w:tabs>
          <w:tab w:val="left" w:pos="4320"/>
        </w:tabs>
      </w:pPr>
      <w:r>
        <w:tab/>
        <w:t>Assistant Consumers' Counsel</w:t>
      </w:r>
    </w:p>
    <w:p w:rsidR="00614CD5" w:rsidRDefault="001335D4">
      <w:pPr>
        <w:pStyle w:val="CommentSubject"/>
      </w:pPr>
    </w:p>
    <w:p w:rsidR="00614CD5" w:rsidRDefault="001335D4" w:rsidP="00614CD5">
      <w:pPr>
        <w:pStyle w:val="CommentText"/>
        <w:jc w:val="center"/>
        <w:rPr>
          <w:b/>
          <w:u w:val="single"/>
        </w:rPr>
      </w:pPr>
    </w:p>
    <w:p w:rsidR="00614CD5" w:rsidRDefault="001335D4" w:rsidP="00614CD5">
      <w:pPr>
        <w:pStyle w:val="CommentText"/>
        <w:jc w:val="center"/>
        <w:rPr>
          <w:b/>
          <w:u w:val="single"/>
        </w:rPr>
      </w:pPr>
      <w:r w:rsidRPr="00FB7D74">
        <w:rPr>
          <w:b/>
          <w:u w:val="single"/>
        </w:rPr>
        <w:t>SERVICE LIST</w:t>
      </w:r>
    </w:p>
    <w:p w:rsidR="009443C8" w:rsidRDefault="001335D4" w:rsidP="00614CD5">
      <w:pPr>
        <w:pStyle w:val="CommentText"/>
        <w:jc w:val="center"/>
        <w:rPr>
          <w:b/>
          <w:u w:val="single"/>
        </w:rPr>
      </w:pPr>
    </w:p>
    <w:p w:rsidR="00614CD5" w:rsidRDefault="001335D4" w:rsidP="00614CD5">
      <w:pPr>
        <w:pStyle w:val="CommentText"/>
        <w:jc w:val="center"/>
        <w:rPr>
          <w:b/>
          <w:u w:val="single"/>
        </w:rPr>
      </w:pPr>
    </w:p>
    <w:tbl>
      <w:tblPr>
        <w:tblW w:w="0" w:type="auto"/>
        <w:tblLook w:val="04A0" w:firstRow="1" w:lastRow="0" w:firstColumn="1" w:lastColumn="0" w:noHBand="0" w:noVBand="1"/>
      </w:tblPr>
      <w:tblGrid>
        <w:gridCol w:w="4428"/>
        <w:gridCol w:w="4428"/>
      </w:tblGrid>
      <w:tr w:rsidR="00AF7006" w:rsidTr="00BF7DFF">
        <w:tc>
          <w:tcPr>
            <w:tcW w:w="4428" w:type="dxa"/>
            <w:shd w:val="clear" w:color="auto" w:fill="auto"/>
          </w:tcPr>
          <w:p w:rsidR="009443C8" w:rsidRDefault="001335D4" w:rsidP="009443C8">
            <w:pPr>
              <w:pStyle w:val="CommentText"/>
            </w:pPr>
            <w:r>
              <w:t>William Wright</w:t>
            </w:r>
          </w:p>
          <w:p w:rsidR="009443C8" w:rsidRDefault="001335D4" w:rsidP="009443C8">
            <w:pPr>
              <w:pStyle w:val="CommentText"/>
            </w:pPr>
            <w:r>
              <w:t>Public Utilities Commission of Ohio</w:t>
            </w:r>
          </w:p>
          <w:p w:rsidR="009443C8" w:rsidRDefault="001335D4" w:rsidP="009443C8">
            <w:pPr>
              <w:pStyle w:val="CommentText"/>
            </w:pPr>
            <w:r>
              <w:t>30 E. Broad St., 16</w:t>
            </w:r>
            <w:r w:rsidRPr="00BF7DFF">
              <w:rPr>
                <w:vertAlign w:val="superscript"/>
              </w:rPr>
              <w:t>th</w:t>
            </w:r>
            <w:r>
              <w:t xml:space="preserve"> Floor</w:t>
            </w:r>
          </w:p>
          <w:p w:rsidR="009443C8" w:rsidRDefault="001335D4" w:rsidP="009443C8">
            <w:pPr>
              <w:pStyle w:val="CommentText"/>
            </w:pPr>
            <w:r>
              <w:t>Columbus, OH 43215</w:t>
            </w:r>
          </w:p>
          <w:p w:rsidR="009443C8" w:rsidRDefault="001335D4" w:rsidP="009443C8">
            <w:pPr>
              <w:pStyle w:val="CommentText"/>
            </w:pPr>
            <w:hyperlink r:id="rId10" w:history="1">
              <w:r w:rsidRPr="00D27E7C">
                <w:rPr>
                  <w:rStyle w:val="Hyperlink"/>
                </w:rPr>
                <w:t>William.wright@ohioat</w:t>
              </w:r>
              <w:r w:rsidRPr="00D27E7C">
                <w:rPr>
                  <w:rStyle w:val="Hyperlink"/>
                </w:rPr>
                <w:t>torneygeneral.gov</w:t>
              </w:r>
            </w:hyperlink>
          </w:p>
          <w:p w:rsidR="009443C8" w:rsidRDefault="001335D4" w:rsidP="009443C8">
            <w:pPr>
              <w:pStyle w:val="CommentText"/>
            </w:pPr>
          </w:p>
          <w:p w:rsidR="009443C8" w:rsidRDefault="001335D4" w:rsidP="009443C8">
            <w:pPr>
              <w:pStyle w:val="CommentText"/>
            </w:pPr>
            <w:r>
              <w:t>Attorney Examiners:</w:t>
            </w:r>
          </w:p>
          <w:p w:rsidR="009443C8" w:rsidRDefault="001335D4" w:rsidP="009443C8">
            <w:pPr>
              <w:pStyle w:val="CommentText"/>
            </w:pPr>
          </w:p>
          <w:p w:rsidR="009443C8" w:rsidRDefault="001335D4" w:rsidP="009443C8">
            <w:pPr>
              <w:pStyle w:val="CommentText"/>
            </w:pPr>
            <w:hyperlink r:id="rId11" w:history="1">
              <w:r w:rsidRPr="00D27E7C">
                <w:rPr>
                  <w:rStyle w:val="Hyperlink"/>
                </w:rPr>
                <w:t>Sarah.parrot@puc.state.oh.us</w:t>
              </w:r>
            </w:hyperlink>
          </w:p>
          <w:p w:rsidR="009443C8" w:rsidRDefault="001335D4" w:rsidP="009443C8">
            <w:pPr>
              <w:pStyle w:val="CommentText"/>
            </w:pPr>
            <w:hyperlink r:id="rId12" w:history="1">
              <w:r w:rsidRPr="00D27E7C">
                <w:rPr>
                  <w:rStyle w:val="Hyperlink"/>
                </w:rPr>
                <w:t>Greta.see@puc.state.oh.us</w:t>
              </w:r>
            </w:hyperlink>
          </w:p>
          <w:p w:rsidR="009443C8" w:rsidRPr="009443C8" w:rsidRDefault="001335D4" w:rsidP="009443C8">
            <w:pPr>
              <w:pStyle w:val="CommentText"/>
            </w:pPr>
          </w:p>
        </w:tc>
        <w:tc>
          <w:tcPr>
            <w:tcW w:w="4428" w:type="dxa"/>
            <w:shd w:val="clear" w:color="auto" w:fill="auto"/>
          </w:tcPr>
          <w:p w:rsidR="009443C8" w:rsidRPr="00BF7DFF" w:rsidRDefault="001335D4" w:rsidP="00BF7DFF">
            <w:pPr>
              <w:pStyle w:val="BodyText"/>
              <w:ind w:left="972"/>
              <w:rPr>
                <w:bCs/>
              </w:rPr>
            </w:pPr>
            <w:r w:rsidRPr="00BF7DFF">
              <w:rPr>
                <w:bCs/>
              </w:rPr>
              <w:t>Steven T. Nourse</w:t>
            </w:r>
          </w:p>
          <w:p w:rsidR="009443C8" w:rsidRPr="00BF7DFF" w:rsidRDefault="001335D4" w:rsidP="00BF7DFF">
            <w:pPr>
              <w:pStyle w:val="BodyText"/>
              <w:ind w:left="972"/>
              <w:rPr>
                <w:bCs/>
              </w:rPr>
            </w:pPr>
            <w:r w:rsidRPr="00BF7DFF">
              <w:rPr>
                <w:bCs/>
              </w:rPr>
              <w:t>AEP Service Corporation</w:t>
            </w:r>
          </w:p>
          <w:p w:rsidR="009443C8" w:rsidRPr="00BF7DFF" w:rsidRDefault="001335D4" w:rsidP="00BF7DFF">
            <w:pPr>
              <w:pStyle w:val="BodyText"/>
              <w:ind w:left="972"/>
              <w:rPr>
                <w:bCs/>
              </w:rPr>
            </w:pPr>
            <w:r w:rsidRPr="00BF7DFF">
              <w:rPr>
                <w:bCs/>
              </w:rPr>
              <w:t xml:space="preserve">1 Riverside </w:t>
            </w:r>
            <w:r w:rsidRPr="00BF7DFF">
              <w:rPr>
                <w:bCs/>
              </w:rPr>
              <w:t>Plaza, 29</w:t>
            </w:r>
            <w:r w:rsidRPr="00BF7DFF">
              <w:rPr>
                <w:bCs/>
                <w:vertAlign w:val="superscript"/>
              </w:rPr>
              <w:t>th</w:t>
            </w:r>
            <w:r w:rsidRPr="00BF7DFF">
              <w:rPr>
                <w:bCs/>
              </w:rPr>
              <w:t xml:space="preserve"> Floor</w:t>
            </w:r>
          </w:p>
          <w:p w:rsidR="009443C8" w:rsidRPr="00BF7DFF" w:rsidRDefault="001335D4" w:rsidP="00BF7DFF">
            <w:pPr>
              <w:pStyle w:val="BodyText"/>
              <w:ind w:left="972"/>
              <w:rPr>
                <w:bCs/>
              </w:rPr>
            </w:pPr>
            <w:r w:rsidRPr="00BF7DFF">
              <w:rPr>
                <w:bCs/>
              </w:rPr>
              <w:t>Columbus, Ohio 43215</w:t>
            </w:r>
          </w:p>
          <w:p w:rsidR="009443C8" w:rsidRPr="00BF7DFF" w:rsidRDefault="001335D4" w:rsidP="00BF7DFF">
            <w:pPr>
              <w:pStyle w:val="BodyText"/>
              <w:ind w:left="972"/>
              <w:rPr>
                <w:bCs/>
              </w:rPr>
            </w:pPr>
            <w:hyperlink r:id="rId13" w:history="1">
              <w:r w:rsidRPr="00BF7DFF">
                <w:rPr>
                  <w:rStyle w:val="Hyperlink"/>
                  <w:bCs/>
                </w:rPr>
                <w:t>stnourse@aep.com</w:t>
              </w:r>
            </w:hyperlink>
          </w:p>
          <w:p w:rsidR="009443C8" w:rsidRPr="00BF7DFF" w:rsidRDefault="001335D4" w:rsidP="00BF7DFF">
            <w:pPr>
              <w:pStyle w:val="CommentText"/>
              <w:jc w:val="center"/>
              <w:rPr>
                <w:b/>
                <w:u w:val="single"/>
              </w:rPr>
            </w:pPr>
          </w:p>
        </w:tc>
      </w:tr>
    </w:tbl>
    <w:p w:rsidR="00614CD5" w:rsidRDefault="001335D4" w:rsidP="00614CD5">
      <w:pPr>
        <w:pStyle w:val="CommentText"/>
        <w:jc w:val="center"/>
        <w:rPr>
          <w:b/>
          <w:u w:val="single"/>
        </w:rPr>
      </w:pPr>
    </w:p>
    <w:tbl>
      <w:tblPr>
        <w:tblW w:w="0" w:type="auto"/>
        <w:tblLook w:val="04A0" w:firstRow="1" w:lastRow="0" w:firstColumn="1" w:lastColumn="0" w:noHBand="0" w:noVBand="1"/>
      </w:tblPr>
      <w:tblGrid>
        <w:gridCol w:w="4428"/>
        <w:gridCol w:w="4428"/>
      </w:tblGrid>
      <w:tr w:rsidR="00AF7006" w:rsidTr="00614CD5">
        <w:tc>
          <w:tcPr>
            <w:tcW w:w="4428" w:type="dxa"/>
            <w:shd w:val="clear" w:color="auto" w:fill="auto"/>
          </w:tcPr>
          <w:p w:rsidR="00614CD5" w:rsidRPr="00F7490A" w:rsidRDefault="001335D4" w:rsidP="00614CD5">
            <w:pPr>
              <w:pStyle w:val="CommentText"/>
            </w:pPr>
          </w:p>
        </w:tc>
        <w:tc>
          <w:tcPr>
            <w:tcW w:w="4428" w:type="dxa"/>
            <w:shd w:val="clear" w:color="auto" w:fill="auto"/>
          </w:tcPr>
          <w:p w:rsidR="00614CD5" w:rsidRPr="00F7490A" w:rsidRDefault="001335D4" w:rsidP="00614CD5">
            <w:pPr>
              <w:pStyle w:val="CommentText"/>
            </w:pPr>
          </w:p>
        </w:tc>
      </w:tr>
    </w:tbl>
    <w:p w:rsidR="00614CD5" w:rsidRDefault="001335D4">
      <w:pPr>
        <w:pStyle w:val="BodyText"/>
        <w:rPr>
          <w:b/>
          <w:bCs/>
        </w:rPr>
      </w:pPr>
    </w:p>
    <w:sectPr w:rsidR="00614CD5">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5D4">
      <w:r>
        <w:separator/>
      </w:r>
    </w:p>
  </w:endnote>
  <w:endnote w:type="continuationSeparator" w:id="0">
    <w:p w:rsidR="00000000" w:rsidRDefault="0013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D5" w:rsidRPr="00C95B49" w:rsidRDefault="001335D4">
    <w:pPr>
      <w:pStyle w:val="Footer"/>
      <w:framePr w:wrap="around" w:vAnchor="text" w:hAnchor="margin" w:xAlign="center" w:y="1"/>
      <w:jc w:val="center"/>
      <w:rPr>
        <w:rStyle w:val="PageNumber"/>
        <w:sz w:val="24"/>
        <w:szCs w:val="24"/>
      </w:rPr>
    </w:pPr>
    <w:r w:rsidRPr="00C95B49">
      <w:rPr>
        <w:rStyle w:val="PageNumber"/>
        <w:sz w:val="24"/>
        <w:szCs w:val="24"/>
      </w:rPr>
      <w:fldChar w:fldCharType="begin"/>
    </w:r>
    <w:r w:rsidRPr="00C95B49">
      <w:rPr>
        <w:rStyle w:val="PageNumber"/>
        <w:sz w:val="24"/>
        <w:szCs w:val="24"/>
      </w:rPr>
      <w:instrText xml:space="preserve">PAGE  </w:instrText>
    </w:r>
    <w:r w:rsidRPr="00C95B49">
      <w:rPr>
        <w:rStyle w:val="PageNumber"/>
        <w:sz w:val="24"/>
        <w:szCs w:val="24"/>
      </w:rPr>
      <w:fldChar w:fldCharType="separate"/>
    </w:r>
    <w:r>
      <w:rPr>
        <w:rStyle w:val="PageNumber"/>
        <w:noProof/>
        <w:sz w:val="24"/>
        <w:szCs w:val="24"/>
      </w:rPr>
      <w:t>2</w:t>
    </w:r>
    <w:r w:rsidRPr="00C95B49">
      <w:rPr>
        <w:rStyle w:val="PageNumber"/>
        <w:sz w:val="24"/>
        <w:szCs w:val="24"/>
      </w:rPr>
      <w:fldChar w:fldCharType="end"/>
    </w:r>
  </w:p>
  <w:p w:rsidR="00614CD5" w:rsidRPr="00C95B49" w:rsidRDefault="001335D4">
    <w:pPr>
      <w:pStyle w:val="Footer"/>
      <w:framePr w:wrap="around" w:vAnchor="text" w:hAnchor="margin" w:xAlign="center" w:y="1"/>
      <w:rPr>
        <w:rStyle w:val="PageNumber"/>
      </w:rPr>
    </w:pPr>
  </w:p>
  <w:p w:rsidR="00614CD5" w:rsidRPr="00C95B49" w:rsidRDefault="00133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0B" w:rsidRDefault="001335D4">
      <w:r>
        <w:separator/>
      </w:r>
    </w:p>
  </w:footnote>
  <w:footnote w:type="continuationSeparator" w:id="0">
    <w:p w:rsidR="000D400B" w:rsidRDefault="001335D4">
      <w:r>
        <w:continuationSeparator/>
      </w:r>
    </w:p>
  </w:footnote>
  <w:footnote w:id="1">
    <w:p w:rsidR="009063F5" w:rsidRDefault="001335D4" w:rsidP="00291FA0">
      <w:pPr>
        <w:pStyle w:val="FootnoteText"/>
        <w:spacing w:after="120"/>
      </w:pPr>
      <w:r>
        <w:rPr>
          <w:rStyle w:val="FootnoteReference"/>
        </w:rPr>
        <w:footnoteRef/>
      </w:r>
      <w:r>
        <w:t xml:space="preserve"> "PUCO"</w:t>
      </w:r>
    </w:p>
  </w:footnote>
  <w:footnote w:id="2">
    <w:p w:rsidR="009063F5" w:rsidRDefault="001335D4" w:rsidP="00291FA0">
      <w:pPr>
        <w:pStyle w:val="FootnoteText"/>
        <w:spacing w:after="120"/>
      </w:pPr>
      <w:r>
        <w:rPr>
          <w:rStyle w:val="FootnoteReference"/>
        </w:rPr>
        <w:footnoteRef/>
      </w:r>
      <w:r>
        <w:t xml:space="preserve"> "OCC"</w:t>
      </w:r>
    </w:p>
  </w:footnote>
  <w:footnote w:id="3">
    <w:p w:rsidR="009063F5" w:rsidRDefault="001335D4" w:rsidP="00291FA0">
      <w:pPr>
        <w:pStyle w:val="FootnoteText"/>
        <w:spacing w:after="120"/>
      </w:pPr>
      <w:r>
        <w:rPr>
          <w:rStyle w:val="FootnoteReference"/>
        </w:rPr>
        <w:footnoteRef/>
      </w:r>
      <w:r>
        <w:t xml:space="preserve"> Motion to Intervene by the Office of the Ohio Consumers' Counsel (May 24, 2017) (the "Motion to Intervene").</w:t>
      </w:r>
    </w:p>
  </w:footnote>
  <w:footnote w:id="4">
    <w:p w:rsidR="009063F5" w:rsidRDefault="001335D4" w:rsidP="00291FA0">
      <w:pPr>
        <w:pStyle w:val="FootnoteText"/>
        <w:spacing w:after="120"/>
      </w:pPr>
      <w:r>
        <w:rPr>
          <w:rStyle w:val="FootnoteReference"/>
        </w:rPr>
        <w:footnoteRef/>
      </w:r>
      <w:r>
        <w:t xml:space="preserve"> "R.C."</w:t>
      </w:r>
    </w:p>
  </w:footnote>
  <w:footnote w:id="5">
    <w:p w:rsidR="00364C0B" w:rsidRDefault="001335D4" w:rsidP="00291FA0">
      <w:pPr>
        <w:pStyle w:val="FootnoteText"/>
        <w:spacing w:after="120"/>
      </w:pPr>
      <w:r>
        <w:rPr>
          <w:rStyle w:val="FootnoteReference"/>
        </w:rPr>
        <w:footnoteRef/>
      </w:r>
      <w:r>
        <w:t xml:space="preserve"> "O</w:t>
      </w:r>
      <w:r>
        <w:t xml:space="preserve">hio </w:t>
      </w:r>
      <w:r>
        <w:t>A</w:t>
      </w:r>
      <w:r>
        <w:t xml:space="preserve">dm. </w:t>
      </w:r>
      <w:r>
        <w:t>C</w:t>
      </w:r>
      <w:r>
        <w:t>ode</w:t>
      </w:r>
      <w:r>
        <w:t>"</w:t>
      </w:r>
    </w:p>
  </w:footnote>
  <w:footnote w:id="6">
    <w:p w:rsidR="005B68FB" w:rsidRDefault="001335D4" w:rsidP="00291FA0">
      <w:pPr>
        <w:pStyle w:val="FootnoteText"/>
        <w:spacing w:after="120"/>
      </w:pPr>
      <w:r>
        <w:rPr>
          <w:rStyle w:val="FootnoteReference"/>
        </w:rPr>
        <w:footnoteRef/>
      </w:r>
      <w:r>
        <w:t xml:space="preserve"> Ohio Consumers' Counsel v. PUCO, 111 Ohio St. 3d 384, 2006-Ohio-5853, ¶ 20 (2006).</w:t>
      </w:r>
    </w:p>
  </w:footnote>
  <w:footnote w:id="7">
    <w:p w:rsidR="009063F5" w:rsidRDefault="001335D4" w:rsidP="00291FA0">
      <w:pPr>
        <w:pStyle w:val="FootnoteText"/>
        <w:spacing w:after="120"/>
      </w:pPr>
      <w:r>
        <w:rPr>
          <w:rStyle w:val="FootnoteReference"/>
        </w:rPr>
        <w:footnoteRef/>
      </w:r>
      <w:r>
        <w:t xml:space="preserve"> "AEP Ohio"</w:t>
      </w:r>
    </w:p>
  </w:footnote>
  <w:footnote w:id="8">
    <w:p w:rsidR="009063F5" w:rsidRDefault="001335D4" w:rsidP="00291FA0">
      <w:pPr>
        <w:pStyle w:val="FootnoteText"/>
        <w:spacing w:after="120"/>
      </w:pPr>
      <w:r>
        <w:rPr>
          <w:rStyle w:val="FootnoteReference"/>
        </w:rPr>
        <w:footnoteRef/>
      </w:r>
      <w:r>
        <w:t xml:space="preserve"> Ohio Power Company's Memorandum Contra the Office of the Ohio Consumers' Counsel's Motion to Intervene (June 8, 2017) (the "Memo Contra").</w:t>
      </w:r>
    </w:p>
  </w:footnote>
  <w:footnote w:id="9">
    <w:p w:rsidR="003E0A29" w:rsidRDefault="001335D4" w:rsidP="00291FA0">
      <w:pPr>
        <w:pStyle w:val="FootnoteText"/>
        <w:spacing w:after="120"/>
      </w:pPr>
      <w:r>
        <w:rPr>
          <w:rStyle w:val="FootnoteReference"/>
        </w:rPr>
        <w:footnoteRef/>
      </w:r>
      <w:r>
        <w:t xml:space="preserve"> Memo Contra at 2.</w:t>
      </w:r>
    </w:p>
  </w:footnote>
  <w:footnote w:id="10">
    <w:p w:rsidR="00D77D43" w:rsidRDefault="001335D4" w:rsidP="00291FA0">
      <w:pPr>
        <w:pStyle w:val="FootnoteText"/>
        <w:spacing w:after="120"/>
      </w:pPr>
      <w:r>
        <w:rPr>
          <w:rStyle w:val="FootnoteReference"/>
        </w:rPr>
        <w:footnoteRef/>
      </w:r>
      <w:r>
        <w:t xml:space="preserve"> Memo Contra at 8.</w:t>
      </w:r>
    </w:p>
  </w:footnote>
  <w:footnote w:id="11">
    <w:p w:rsidR="00C6562D" w:rsidRDefault="001335D4" w:rsidP="00291FA0">
      <w:pPr>
        <w:pStyle w:val="FootnoteText"/>
        <w:spacing w:after="120"/>
      </w:pPr>
      <w:r>
        <w:rPr>
          <w:rStyle w:val="FootnoteReference"/>
        </w:rPr>
        <w:footnoteRef/>
      </w:r>
      <w:r>
        <w:t xml:space="preserve"> Memo Contra at 4.</w:t>
      </w:r>
    </w:p>
  </w:footnote>
  <w:footnote w:id="12">
    <w:p w:rsidR="00C6562D" w:rsidRDefault="001335D4" w:rsidP="00291FA0">
      <w:pPr>
        <w:pStyle w:val="FootnoteText"/>
        <w:spacing w:after="120"/>
      </w:pPr>
      <w:r>
        <w:rPr>
          <w:rStyle w:val="FootnoteReference"/>
        </w:rPr>
        <w:footnoteRef/>
      </w:r>
      <w:r>
        <w:t xml:space="preserve"> Id.</w:t>
      </w:r>
    </w:p>
  </w:footnote>
  <w:footnote w:id="13">
    <w:p w:rsidR="00C6562D" w:rsidRDefault="001335D4" w:rsidP="00291FA0">
      <w:pPr>
        <w:pStyle w:val="FootnoteText"/>
        <w:spacing w:after="120"/>
      </w:pPr>
      <w:r>
        <w:rPr>
          <w:rStyle w:val="FootnoteReference"/>
        </w:rPr>
        <w:footnoteRef/>
      </w:r>
      <w:r>
        <w:t xml:space="preserve"> See Correspondence (Mar. 1, 2017) at Redline of AER (showing an increase in the rate for residential customers from 0.10060 cents/kWh to 0.20370, a 102% increase).</w:t>
      </w:r>
    </w:p>
  </w:footnote>
  <w:footnote w:id="14">
    <w:p w:rsidR="00F40FDE" w:rsidRDefault="001335D4">
      <w:pPr>
        <w:pStyle w:val="FootnoteText"/>
      </w:pPr>
      <w:r>
        <w:rPr>
          <w:rStyle w:val="FootnoteReference"/>
        </w:rPr>
        <w:footnoteRef/>
      </w:r>
      <w:r>
        <w:t xml:space="preserve"> </w:t>
      </w:r>
      <w:r>
        <w:t>Renewable Portfolio Sta</w:t>
      </w:r>
      <w:r>
        <w:t>ndard/Rate Impacts, 2</w:t>
      </w:r>
      <w:r w:rsidRPr="009870D6">
        <w:rPr>
          <w:vertAlign w:val="superscript"/>
        </w:rPr>
        <w:t>nd</w:t>
      </w:r>
      <w:r>
        <w:t xml:space="preserve"> Quarter 2017: </w:t>
      </w:r>
    </w:p>
    <w:p w:rsidR="00792F5C" w:rsidRDefault="001335D4">
      <w:pPr>
        <w:pStyle w:val="FootnoteText"/>
      </w:pPr>
      <w:hyperlink r:id="rId1" w:history="1">
        <w:r w:rsidRPr="00D547EF">
          <w:rPr>
            <w:rStyle w:val="Hyperlink"/>
          </w:rPr>
          <w:t>https://www.puco.ohio.gov/industry-information/industry-topic</w:t>
        </w:r>
        <w:r w:rsidRPr="00D547EF">
          <w:rPr>
            <w:rStyle w:val="Hyperlink"/>
          </w:rPr>
          <w:t>s/ohioe28099s-renewable-and-advanced-energy-portfolio-standard/aer-rates-2q-2017/</w:t>
        </w:r>
      </w:hyperlink>
      <w:r>
        <w:t xml:space="preserve"> </w:t>
      </w:r>
    </w:p>
  </w:footnote>
  <w:footnote w:id="15">
    <w:p w:rsidR="00E2799D" w:rsidRDefault="001335D4" w:rsidP="00291FA0">
      <w:pPr>
        <w:pStyle w:val="FootnoteText"/>
        <w:spacing w:after="120"/>
      </w:pPr>
      <w:r>
        <w:rPr>
          <w:rStyle w:val="FootnoteReference"/>
        </w:rPr>
        <w:footnoteRef/>
      </w:r>
      <w:r>
        <w:t xml:space="preserve"> Memo Contra at 5.</w:t>
      </w:r>
    </w:p>
  </w:footnote>
  <w:footnote w:id="16">
    <w:p w:rsidR="003142E5" w:rsidRDefault="001335D4" w:rsidP="00291FA0">
      <w:pPr>
        <w:pStyle w:val="FootnoteText"/>
        <w:spacing w:after="120"/>
      </w:pPr>
      <w:r>
        <w:rPr>
          <w:rStyle w:val="FootnoteReference"/>
        </w:rPr>
        <w:footnoteRef/>
      </w:r>
      <w:r>
        <w:t xml:space="preserve"> Memo Contra at 5.</w:t>
      </w:r>
    </w:p>
  </w:footnote>
  <w:footnote w:id="17">
    <w:p w:rsidR="003142E5" w:rsidRDefault="001335D4" w:rsidP="00291FA0">
      <w:pPr>
        <w:pStyle w:val="FootnoteText"/>
        <w:spacing w:after="120"/>
      </w:pPr>
      <w:r>
        <w:rPr>
          <w:rStyle w:val="FootnoteReference"/>
        </w:rPr>
        <w:footnoteRef/>
      </w:r>
      <w:r>
        <w:t xml:space="preserve"> Id.</w:t>
      </w:r>
    </w:p>
  </w:footnote>
  <w:footnote w:id="18">
    <w:p w:rsidR="003142E5" w:rsidRDefault="001335D4" w:rsidP="00291FA0">
      <w:pPr>
        <w:pStyle w:val="FootnoteText"/>
        <w:spacing w:after="120"/>
      </w:pPr>
      <w:r>
        <w:rPr>
          <w:rStyle w:val="FootnoteReference"/>
        </w:rPr>
        <w:footnoteRef/>
      </w:r>
      <w:r>
        <w:t xml:space="preserve"> See Motion to Intervene at 2.</w:t>
      </w:r>
    </w:p>
  </w:footnote>
  <w:footnote w:id="19">
    <w:p w:rsidR="009A7838" w:rsidRDefault="001335D4" w:rsidP="00291FA0">
      <w:pPr>
        <w:pStyle w:val="FootnoteText"/>
        <w:spacing w:after="120"/>
      </w:pPr>
      <w:r>
        <w:rPr>
          <w:rStyle w:val="FootnoteReference"/>
        </w:rPr>
        <w:footnoteRef/>
      </w:r>
      <w:r>
        <w:t xml:space="preserve"> Memo Contra at 6.</w:t>
      </w:r>
    </w:p>
  </w:footnote>
  <w:footnote w:id="20">
    <w:p w:rsidR="009A7838" w:rsidRDefault="001335D4" w:rsidP="00291FA0">
      <w:pPr>
        <w:pStyle w:val="FootnoteText"/>
        <w:spacing w:after="120"/>
      </w:pPr>
      <w:r>
        <w:rPr>
          <w:rStyle w:val="FootnoteReference"/>
        </w:rPr>
        <w:footnoteRef/>
      </w:r>
      <w:r>
        <w:t xml:space="preserve"> See R.C. 4903.082 ("All parties and intervenors shall be granted ample rights of discove</w:t>
      </w:r>
      <w:r>
        <w:t>ry.").</w:t>
      </w:r>
    </w:p>
  </w:footnote>
  <w:footnote w:id="21">
    <w:p w:rsidR="009A7838" w:rsidRDefault="001335D4" w:rsidP="00291FA0">
      <w:pPr>
        <w:pStyle w:val="FootnoteText"/>
        <w:spacing w:after="120"/>
      </w:pPr>
      <w:r>
        <w:rPr>
          <w:rStyle w:val="FootnoteReference"/>
        </w:rPr>
        <w:footnoteRef/>
      </w:r>
      <w:r>
        <w:t xml:space="preserve"> Memo Contra at 6.</w:t>
      </w:r>
    </w:p>
  </w:footnote>
  <w:footnote w:id="22">
    <w:p w:rsidR="000E3DE0" w:rsidRDefault="001335D4" w:rsidP="00291FA0">
      <w:pPr>
        <w:pStyle w:val="FootnoteText"/>
        <w:spacing w:after="120"/>
      </w:pPr>
      <w:r>
        <w:rPr>
          <w:rStyle w:val="FootnoteReference"/>
        </w:rPr>
        <w:footnoteRef/>
      </w:r>
      <w:r>
        <w:t xml:space="preserve"> Motion to Intervene at 3.</w:t>
      </w:r>
    </w:p>
  </w:footnote>
  <w:footnote w:id="23">
    <w:p w:rsidR="000E3DE0" w:rsidRDefault="001335D4" w:rsidP="00291FA0">
      <w:pPr>
        <w:pStyle w:val="FootnoteText"/>
        <w:spacing w:after="120"/>
      </w:pPr>
      <w:r>
        <w:rPr>
          <w:rStyle w:val="FootnoteReference"/>
        </w:rPr>
        <w:footnoteRef/>
      </w:r>
      <w:r>
        <w:t xml:space="preserve"> Memo Contra at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98C"/>
    <w:multiLevelType w:val="hybridMultilevel"/>
    <w:tmpl w:val="FCCA6836"/>
    <w:lvl w:ilvl="0" w:tplc="6AA80B9A">
      <w:start w:val="1"/>
      <w:numFmt w:val="decimal"/>
      <w:lvlText w:val="%1."/>
      <w:lvlJc w:val="left"/>
      <w:pPr>
        <w:tabs>
          <w:tab w:val="num" w:pos="720"/>
        </w:tabs>
        <w:ind w:left="720" w:hanging="360"/>
      </w:pPr>
      <w:rPr>
        <w:rFonts w:hint="default"/>
      </w:rPr>
    </w:lvl>
    <w:lvl w:ilvl="1" w:tplc="7DF0E2C6" w:tentative="1">
      <w:start w:val="1"/>
      <w:numFmt w:val="lowerLetter"/>
      <w:lvlText w:val="%2."/>
      <w:lvlJc w:val="left"/>
      <w:pPr>
        <w:tabs>
          <w:tab w:val="num" w:pos="1440"/>
        </w:tabs>
        <w:ind w:left="1440" w:hanging="360"/>
      </w:pPr>
    </w:lvl>
    <w:lvl w:ilvl="2" w:tplc="67BC0C5E" w:tentative="1">
      <w:start w:val="1"/>
      <w:numFmt w:val="lowerRoman"/>
      <w:lvlText w:val="%3."/>
      <w:lvlJc w:val="right"/>
      <w:pPr>
        <w:tabs>
          <w:tab w:val="num" w:pos="2160"/>
        </w:tabs>
        <w:ind w:left="2160" w:hanging="180"/>
      </w:pPr>
    </w:lvl>
    <w:lvl w:ilvl="3" w:tplc="EB62AAC2" w:tentative="1">
      <w:start w:val="1"/>
      <w:numFmt w:val="decimal"/>
      <w:lvlText w:val="%4."/>
      <w:lvlJc w:val="left"/>
      <w:pPr>
        <w:tabs>
          <w:tab w:val="num" w:pos="2880"/>
        </w:tabs>
        <w:ind w:left="2880" w:hanging="360"/>
      </w:pPr>
    </w:lvl>
    <w:lvl w:ilvl="4" w:tplc="67BAE788" w:tentative="1">
      <w:start w:val="1"/>
      <w:numFmt w:val="lowerLetter"/>
      <w:lvlText w:val="%5."/>
      <w:lvlJc w:val="left"/>
      <w:pPr>
        <w:tabs>
          <w:tab w:val="num" w:pos="3600"/>
        </w:tabs>
        <w:ind w:left="3600" w:hanging="360"/>
      </w:pPr>
    </w:lvl>
    <w:lvl w:ilvl="5" w:tplc="E2EADCFA" w:tentative="1">
      <w:start w:val="1"/>
      <w:numFmt w:val="lowerRoman"/>
      <w:lvlText w:val="%6."/>
      <w:lvlJc w:val="right"/>
      <w:pPr>
        <w:tabs>
          <w:tab w:val="num" w:pos="4320"/>
        </w:tabs>
        <w:ind w:left="4320" w:hanging="180"/>
      </w:pPr>
    </w:lvl>
    <w:lvl w:ilvl="6" w:tplc="22941314" w:tentative="1">
      <w:start w:val="1"/>
      <w:numFmt w:val="decimal"/>
      <w:lvlText w:val="%7."/>
      <w:lvlJc w:val="left"/>
      <w:pPr>
        <w:tabs>
          <w:tab w:val="num" w:pos="5040"/>
        </w:tabs>
        <w:ind w:left="5040" w:hanging="360"/>
      </w:pPr>
    </w:lvl>
    <w:lvl w:ilvl="7" w:tplc="3BBABC66" w:tentative="1">
      <w:start w:val="1"/>
      <w:numFmt w:val="lowerLetter"/>
      <w:lvlText w:val="%8."/>
      <w:lvlJc w:val="left"/>
      <w:pPr>
        <w:tabs>
          <w:tab w:val="num" w:pos="5760"/>
        </w:tabs>
        <w:ind w:left="5760" w:hanging="360"/>
      </w:pPr>
    </w:lvl>
    <w:lvl w:ilvl="8" w:tplc="1EB42582"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tplc="B19C30C6">
      <w:start w:val="3"/>
      <w:numFmt w:val="upperRoman"/>
      <w:lvlText w:val="%1."/>
      <w:lvlJc w:val="left"/>
      <w:pPr>
        <w:tabs>
          <w:tab w:val="num" w:pos="1080"/>
        </w:tabs>
        <w:ind w:left="1080" w:hanging="720"/>
      </w:pPr>
      <w:rPr>
        <w:rFonts w:hint="default"/>
        <w:u w:val="none"/>
      </w:rPr>
    </w:lvl>
    <w:lvl w:ilvl="1" w:tplc="78BC2712">
      <w:start w:val="1"/>
      <w:numFmt w:val="upperLetter"/>
      <w:lvlText w:val="%2."/>
      <w:lvlJc w:val="left"/>
      <w:pPr>
        <w:tabs>
          <w:tab w:val="num" w:pos="2085"/>
        </w:tabs>
        <w:ind w:left="2085" w:hanging="1005"/>
      </w:pPr>
      <w:rPr>
        <w:rFonts w:hint="default"/>
      </w:rPr>
    </w:lvl>
    <w:lvl w:ilvl="2" w:tplc="58D8CB14" w:tentative="1">
      <w:start w:val="1"/>
      <w:numFmt w:val="lowerRoman"/>
      <w:lvlText w:val="%3."/>
      <w:lvlJc w:val="right"/>
      <w:pPr>
        <w:tabs>
          <w:tab w:val="num" w:pos="2160"/>
        </w:tabs>
        <w:ind w:left="2160" w:hanging="180"/>
      </w:pPr>
    </w:lvl>
    <w:lvl w:ilvl="3" w:tplc="3E689F44" w:tentative="1">
      <w:start w:val="1"/>
      <w:numFmt w:val="decimal"/>
      <w:lvlText w:val="%4."/>
      <w:lvlJc w:val="left"/>
      <w:pPr>
        <w:tabs>
          <w:tab w:val="num" w:pos="2880"/>
        </w:tabs>
        <w:ind w:left="2880" w:hanging="360"/>
      </w:pPr>
    </w:lvl>
    <w:lvl w:ilvl="4" w:tplc="75B41D92" w:tentative="1">
      <w:start w:val="1"/>
      <w:numFmt w:val="lowerLetter"/>
      <w:lvlText w:val="%5."/>
      <w:lvlJc w:val="left"/>
      <w:pPr>
        <w:tabs>
          <w:tab w:val="num" w:pos="3600"/>
        </w:tabs>
        <w:ind w:left="3600" w:hanging="360"/>
      </w:pPr>
    </w:lvl>
    <w:lvl w:ilvl="5" w:tplc="B284FCA8" w:tentative="1">
      <w:start w:val="1"/>
      <w:numFmt w:val="lowerRoman"/>
      <w:lvlText w:val="%6."/>
      <w:lvlJc w:val="right"/>
      <w:pPr>
        <w:tabs>
          <w:tab w:val="num" w:pos="4320"/>
        </w:tabs>
        <w:ind w:left="4320" w:hanging="180"/>
      </w:pPr>
    </w:lvl>
    <w:lvl w:ilvl="6" w:tplc="3F32E4A0" w:tentative="1">
      <w:start w:val="1"/>
      <w:numFmt w:val="decimal"/>
      <w:lvlText w:val="%7."/>
      <w:lvlJc w:val="left"/>
      <w:pPr>
        <w:tabs>
          <w:tab w:val="num" w:pos="5040"/>
        </w:tabs>
        <w:ind w:left="5040" w:hanging="360"/>
      </w:pPr>
    </w:lvl>
    <w:lvl w:ilvl="7" w:tplc="771CEDE6" w:tentative="1">
      <w:start w:val="1"/>
      <w:numFmt w:val="lowerLetter"/>
      <w:lvlText w:val="%8."/>
      <w:lvlJc w:val="left"/>
      <w:pPr>
        <w:tabs>
          <w:tab w:val="num" w:pos="5760"/>
        </w:tabs>
        <w:ind w:left="5760" w:hanging="360"/>
      </w:pPr>
    </w:lvl>
    <w:lvl w:ilvl="8" w:tplc="3D682D36"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tplc="A77CBD64">
      <w:start w:val="1"/>
      <w:numFmt w:val="decimal"/>
      <w:lvlText w:val="(%1)"/>
      <w:lvlJc w:val="left"/>
      <w:pPr>
        <w:tabs>
          <w:tab w:val="num" w:pos="1080"/>
        </w:tabs>
        <w:ind w:left="1080" w:hanging="360"/>
      </w:pPr>
      <w:rPr>
        <w:rFonts w:hint="default"/>
      </w:rPr>
    </w:lvl>
    <w:lvl w:ilvl="1" w:tplc="263634FA" w:tentative="1">
      <w:start w:val="1"/>
      <w:numFmt w:val="lowerLetter"/>
      <w:lvlText w:val="%2."/>
      <w:lvlJc w:val="left"/>
      <w:pPr>
        <w:tabs>
          <w:tab w:val="num" w:pos="1800"/>
        </w:tabs>
        <w:ind w:left="1800" w:hanging="360"/>
      </w:pPr>
    </w:lvl>
    <w:lvl w:ilvl="2" w:tplc="EC648120" w:tentative="1">
      <w:start w:val="1"/>
      <w:numFmt w:val="lowerRoman"/>
      <w:lvlText w:val="%3."/>
      <w:lvlJc w:val="right"/>
      <w:pPr>
        <w:tabs>
          <w:tab w:val="num" w:pos="2520"/>
        </w:tabs>
        <w:ind w:left="2520" w:hanging="180"/>
      </w:pPr>
    </w:lvl>
    <w:lvl w:ilvl="3" w:tplc="509E563C" w:tentative="1">
      <w:start w:val="1"/>
      <w:numFmt w:val="decimal"/>
      <w:lvlText w:val="%4."/>
      <w:lvlJc w:val="left"/>
      <w:pPr>
        <w:tabs>
          <w:tab w:val="num" w:pos="3240"/>
        </w:tabs>
        <w:ind w:left="3240" w:hanging="360"/>
      </w:pPr>
    </w:lvl>
    <w:lvl w:ilvl="4" w:tplc="9E8CD884" w:tentative="1">
      <w:start w:val="1"/>
      <w:numFmt w:val="lowerLetter"/>
      <w:lvlText w:val="%5."/>
      <w:lvlJc w:val="left"/>
      <w:pPr>
        <w:tabs>
          <w:tab w:val="num" w:pos="3960"/>
        </w:tabs>
        <w:ind w:left="3960" w:hanging="360"/>
      </w:pPr>
    </w:lvl>
    <w:lvl w:ilvl="5" w:tplc="EEDE4C4C" w:tentative="1">
      <w:start w:val="1"/>
      <w:numFmt w:val="lowerRoman"/>
      <w:lvlText w:val="%6."/>
      <w:lvlJc w:val="right"/>
      <w:pPr>
        <w:tabs>
          <w:tab w:val="num" w:pos="4680"/>
        </w:tabs>
        <w:ind w:left="4680" w:hanging="180"/>
      </w:pPr>
    </w:lvl>
    <w:lvl w:ilvl="6" w:tplc="835AB574" w:tentative="1">
      <w:start w:val="1"/>
      <w:numFmt w:val="decimal"/>
      <w:lvlText w:val="%7."/>
      <w:lvlJc w:val="left"/>
      <w:pPr>
        <w:tabs>
          <w:tab w:val="num" w:pos="5400"/>
        </w:tabs>
        <w:ind w:left="5400" w:hanging="360"/>
      </w:pPr>
    </w:lvl>
    <w:lvl w:ilvl="7" w:tplc="CC4650C4" w:tentative="1">
      <w:start w:val="1"/>
      <w:numFmt w:val="lowerLetter"/>
      <w:lvlText w:val="%8."/>
      <w:lvlJc w:val="left"/>
      <w:pPr>
        <w:tabs>
          <w:tab w:val="num" w:pos="6120"/>
        </w:tabs>
        <w:ind w:left="6120" w:hanging="360"/>
      </w:pPr>
    </w:lvl>
    <w:lvl w:ilvl="8" w:tplc="FD90406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tplc="1CC64C5A">
      <w:start w:val="2"/>
      <w:numFmt w:val="upperLetter"/>
      <w:lvlText w:val="%1."/>
      <w:lvlJc w:val="left"/>
      <w:pPr>
        <w:tabs>
          <w:tab w:val="num" w:pos="1440"/>
        </w:tabs>
        <w:ind w:left="1440" w:hanging="720"/>
      </w:pPr>
      <w:rPr>
        <w:rFonts w:hint="default"/>
      </w:rPr>
    </w:lvl>
    <w:lvl w:ilvl="1" w:tplc="7BB2E53C">
      <w:start w:val="1"/>
      <w:numFmt w:val="decimal"/>
      <w:lvlText w:val="%2."/>
      <w:lvlJc w:val="left"/>
      <w:pPr>
        <w:tabs>
          <w:tab w:val="num" w:pos="1800"/>
        </w:tabs>
        <w:ind w:left="1800" w:hanging="360"/>
      </w:pPr>
      <w:rPr>
        <w:rFonts w:hint="default"/>
      </w:rPr>
    </w:lvl>
    <w:lvl w:ilvl="2" w:tplc="F022ED6E" w:tentative="1">
      <w:start w:val="1"/>
      <w:numFmt w:val="lowerRoman"/>
      <w:lvlText w:val="%3."/>
      <w:lvlJc w:val="right"/>
      <w:pPr>
        <w:tabs>
          <w:tab w:val="num" w:pos="2520"/>
        </w:tabs>
        <w:ind w:left="2520" w:hanging="180"/>
      </w:pPr>
    </w:lvl>
    <w:lvl w:ilvl="3" w:tplc="423081C0" w:tentative="1">
      <w:start w:val="1"/>
      <w:numFmt w:val="decimal"/>
      <w:lvlText w:val="%4."/>
      <w:lvlJc w:val="left"/>
      <w:pPr>
        <w:tabs>
          <w:tab w:val="num" w:pos="3240"/>
        </w:tabs>
        <w:ind w:left="3240" w:hanging="360"/>
      </w:pPr>
    </w:lvl>
    <w:lvl w:ilvl="4" w:tplc="0BA29DD8" w:tentative="1">
      <w:start w:val="1"/>
      <w:numFmt w:val="lowerLetter"/>
      <w:lvlText w:val="%5."/>
      <w:lvlJc w:val="left"/>
      <w:pPr>
        <w:tabs>
          <w:tab w:val="num" w:pos="3960"/>
        </w:tabs>
        <w:ind w:left="3960" w:hanging="360"/>
      </w:pPr>
    </w:lvl>
    <w:lvl w:ilvl="5" w:tplc="D78EE0DA" w:tentative="1">
      <w:start w:val="1"/>
      <w:numFmt w:val="lowerRoman"/>
      <w:lvlText w:val="%6."/>
      <w:lvlJc w:val="right"/>
      <w:pPr>
        <w:tabs>
          <w:tab w:val="num" w:pos="4680"/>
        </w:tabs>
        <w:ind w:left="4680" w:hanging="180"/>
      </w:pPr>
    </w:lvl>
    <w:lvl w:ilvl="6" w:tplc="A3464202" w:tentative="1">
      <w:start w:val="1"/>
      <w:numFmt w:val="decimal"/>
      <w:lvlText w:val="%7."/>
      <w:lvlJc w:val="left"/>
      <w:pPr>
        <w:tabs>
          <w:tab w:val="num" w:pos="5400"/>
        </w:tabs>
        <w:ind w:left="5400" w:hanging="360"/>
      </w:pPr>
    </w:lvl>
    <w:lvl w:ilvl="7" w:tplc="D7F69582" w:tentative="1">
      <w:start w:val="1"/>
      <w:numFmt w:val="lowerLetter"/>
      <w:lvlText w:val="%8."/>
      <w:lvlJc w:val="left"/>
      <w:pPr>
        <w:tabs>
          <w:tab w:val="num" w:pos="6120"/>
        </w:tabs>
        <w:ind w:left="6120" w:hanging="360"/>
      </w:pPr>
    </w:lvl>
    <w:lvl w:ilvl="8" w:tplc="1A06A8FA"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tplc="F88A8C7A">
      <w:start w:val="4"/>
      <w:numFmt w:val="decimal"/>
      <w:lvlText w:val="(%1)"/>
      <w:lvlJc w:val="left"/>
      <w:pPr>
        <w:tabs>
          <w:tab w:val="num" w:pos="1800"/>
        </w:tabs>
        <w:ind w:left="1800" w:hanging="360"/>
      </w:pPr>
      <w:rPr>
        <w:rFonts w:hint="default"/>
      </w:rPr>
    </w:lvl>
    <w:lvl w:ilvl="1" w:tplc="BCA0ED8A" w:tentative="1">
      <w:start w:val="1"/>
      <w:numFmt w:val="lowerLetter"/>
      <w:lvlText w:val="%2."/>
      <w:lvlJc w:val="left"/>
      <w:pPr>
        <w:tabs>
          <w:tab w:val="num" w:pos="2520"/>
        </w:tabs>
        <w:ind w:left="2520" w:hanging="360"/>
      </w:pPr>
    </w:lvl>
    <w:lvl w:ilvl="2" w:tplc="7458D4A8" w:tentative="1">
      <w:start w:val="1"/>
      <w:numFmt w:val="lowerRoman"/>
      <w:lvlText w:val="%3."/>
      <w:lvlJc w:val="right"/>
      <w:pPr>
        <w:tabs>
          <w:tab w:val="num" w:pos="3240"/>
        </w:tabs>
        <w:ind w:left="3240" w:hanging="180"/>
      </w:pPr>
    </w:lvl>
    <w:lvl w:ilvl="3" w:tplc="D35887E8" w:tentative="1">
      <w:start w:val="1"/>
      <w:numFmt w:val="decimal"/>
      <w:lvlText w:val="%4."/>
      <w:lvlJc w:val="left"/>
      <w:pPr>
        <w:tabs>
          <w:tab w:val="num" w:pos="3960"/>
        </w:tabs>
        <w:ind w:left="3960" w:hanging="360"/>
      </w:pPr>
    </w:lvl>
    <w:lvl w:ilvl="4" w:tplc="62781426" w:tentative="1">
      <w:start w:val="1"/>
      <w:numFmt w:val="lowerLetter"/>
      <w:lvlText w:val="%5."/>
      <w:lvlJc w:val="left"/>
      <w:pPr>
        <w:tabs>
          <w:tab w:val="num" w:pos="4680"/>
        </w:tabs>
        <w:ind w:left="4680" w:hanging="360"/>
      </w:pPr>
    </w:lvl>
    <w:lvl w:ilvl="5" w:tplc="5BC289E2" w:tentative="1">
      <w:start w:val="1"/>
      <w:numFmt w:val="lowerRoman"/>
      <w:lvlText w:val="%6."/>
      <w:lvlJc w:val="right"/>
      <w:pPr>
        <w:tabs>
          <w:tab w:val="num" w:pos="5400"/>
        </w:tabs>
        <w:ind w:left="5400" w:hanging="180"/>
      </w:pPr>
    </w:lvl>
    <w:lvl w:ilvl="6" w:tplc="4372B8AE" w:tentative="1">
      <w:start w:val="1"/>
      <w:numFmt w:val="decimal"/>
      <w:lvlText w:val="%7."/>
      <w:lvlJc w:val="left"/>
      <w:pPr>
        <w:tabs>
          <w:tab w:val="num" w:pos="6120"/>
        </w:tabs>
        <w:ind w:left="6120" w:hanging="360"/>
      </w:pPr>
    </w:lvl>
    <w:lvl w:ilvl="7" w:tplc="A21A6DC0" w:tentative="1">
      <w:start w:val="1"/>
      <w:numFmt w:val="lowerLetter"/>
      <w:lvlText w:val="%8."/>
      <w:lvlJc w:val="left"/>
      <w:pPr>
        <w:tabs>
          <w:tab w:val="num" w:pos="6840"/>
        </w:tabs>
        <w:ind w:left="6840" w:hanging="360"/>
      </w:pPr>
    </w:lvl>
    <w:lvl w:ilvl="8" w:tplc="E1A4D134"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tplc="F0E2AC50">
      <w:start w:val="5"/>
      <w:numFmt w:val="decimal"/>
      <w:lvlText w:val="%1."/>
      <w:lvlJc w:val="left"/>
      <w:pPr>
        <w:tabs>
          <w:tab w:val="num" w:pos="2160"/>
        </w:tabs>
        <w:ind w:left="2160" w:hanging="720"/>
      </w:pPr>
      <w:rPr>
        <w:rFonts w:hint="default"/>
      </w:rPr>
    </w:lvl>
    <w:lvl w:ilvl="1" w:tplc="F1585D5A" w:tentative="1">
      <w:start w:val="1"/>
      <w:numFmt w:val="lowerLetter"/>
      <w:lvlText w:val="%2."/>
      <w:lvlJc w:val="left"/>
      <w:pPr>
        <w:tabs>
          <w:tab w:val="num" w:pos="2520"/>
        </w:tabs>
        <w:ind w:left="2520" w:hanging="360"/>
      </w:pPr>
    </w:lvl>
    <w:lvl w:ilvl="2" w:tplc="E0B89E1A" w:tentative="1">
      <w:start w:val="1"/>
      <w:numFmt w:val="lowerRoman"/>
      <w:lvlText w:val="%3."/>
      <w:lvlJc w:val="right"/>
      <w:pPr>
        <w:tabs>
          <w:tab w:val="num" w:pos="3240"/>
        </w:tabs>
        <w:ind w:left="3240" w:hanging="180"/>
      </w:pPr>
    </w:lvl>
    <w:lvl w:ilvl="3" w:tplc="E6CA8AB6" w:tentative="1">
      <w:start w:val="1"/>
      <w:numFmt w:val="decimal"/>
      <w:lvlText w:val="%4."/>
      <w:lvlJc w:val="left"/>
      <w:pPr>
        <w:tabs>
          <w:tab w:val="num" w:pos="3960"/>
        </w:tabs>
        <w:ind w:left="3960" w:hanging="360"/>
      </w:pPr>
    </w:lvl>
    <w:lvl w:ilvl="4" w:tplc="ED6CDF92" w:tentative="1">
      <w:start w:val="1"/>
      <w:numFmt w:val="lowerLetter"/>
      <w:lvlText w:val="%5."/>
      <w:lvlJc w:val="left"/>
      <w:pPr>
        <w:tabs>
          <w:tab w:val="num" w:pos="4680"/>
        </w:tabs>
        <w:ind w:left="4680" w:hanging="360"/>
      </w:pPr>
    </w:lvl>
    <w:lvl w:ilvl="5" w:tplc="8FE4A868" w:tentative="1">
      <w:start w:val="1"/>
      <w:numFmt w:val="lowerRoman"/>
      <w:lvlText w:val="%6."/>
      <w:lvlJc w:val="right"/>
      <w:pPr>
        <w:tabs>
          <w:tab w:val="num" w:pos="5400"/>
        </w:tabs>
        <w:ind w:left="5400" w:hanging="180"/>
      </w:pPr>
    </w:lvl>
    <w:lvl w:ilvl="6" w:tplc="47D4DE72" w:tentative="1">
      <w:start w:val="1"/>
      <w:numFmt w:val="decimal"/>
      <w:lvlText w:val="%7."/>
      <w:lvlJc w:val="left"/>
      <w:pPr>
        <w:tabs>
          <w:tab w:val="num" w:pos="6120"/>
        </w:tabs>
        <w:ind w:left="6120" w:hanging="360"/>
      </w:pPr>
    </w:lvl>
    <w:lvl w:ilvl="7" w:tplc="737853FC" w:tentative="1">
      <w:start w:val="1"/>
      <w:numFmt w:val="lowerLetter"/>
      <w:lvlText w:val="%8."/>
      <w:lvlJc w:val="left"/>
      <w:pPr>
        <w:tabs>
          <w:tab w:val="num" w:pos="6840"/>
        </w:tabs>
        <w:ind w:left="6840" w:hanging="360"/>
      </w:pPr>
    </w:lvl>
    <w:lvl w:ilvl="8" w:tplc="7EDC5302"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06"/>
    <w:rsid w:val="001335D4"/>
    <w:rsid w:val="00A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ristopher.healey@occ.ohio.gov" TargetMode="External"/><Relationship Id="rId13" Type="http://schemas.openxmlformats.org/officeDocument/2006/relationships/hyperlink" Target="mailto:stnorse@ae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eta.see@puc.state.o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rah.parrot@puc.state.oh.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lliam.wright@ohioattorneygeneral.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uco.ohio.gov/industry-information/industry-topics/ohioe28099s-renewable-and-advanced-energy-portfolio-standard/aer-rates-2q-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1454</Words>
  <Characters>7636</Characters>
  <Application>Microsoft Office Word</Application>
  <DocSecurity>0</DocSecurity>
  <Lines>174</Lines>
  <Paragraphs>65</Paragraphs>
  <ScaleCrop>false</ScaleCrop>
  <HeadingPairs>
    <vt:vector size="2" baseType="variant">
      <vt:variant>
        <vt:lpstr>Title</vt:lpstr>
      </vt:variant>
      <vt:variant>
        <vt:i4>1</vt:i4>
      </vt:variant>
    </vt:vector>
  </HeadingPairs>
  <TitlesOfParts>
    <vt:vector size="1" baseType="lpstr">
      <vt:lpstr>AEP 15-1052 - OCC Reply In Support of MTI  (00044439.DOCX;2)</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2017-06-15T19:57:00Z</dcterms:created>
  <dcterms:modified xsi:type="dcterms:W3CDTF">2017-06-15T20:15:00Z</dcterms:modified>
</cp:coreProperties>
</file>