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93" w:rsidRDefault="007D2793" w:rsidP="007D2793">
      <w:pPr>
        <w:spacing w:line="240" w:lineRule="auto"/>
        <w:jc w:val="center"/>
        <w:rPr>
          <w:rFonts w:ascii="Times New Roman" w:hAnsi="Times New Roman" w:cs="Times New Roman"/>
          <w:sz w:val="24"/>
          <w:szCs w:val="24"/>
        </w:rPr>
      </w:pPr>
      <w:r>
        <w:rPr>
          <w:rFonts w:ascii="Times New Roman" w:hAnsi="Times New Roman" w:cs="Times New Roman"/>
          <w:b/>
          <w:sz w:val="24"/>
          <w:szCs w:val="24"/>
        </w:rPr>
        <w:t>BEFORE</w:t>
      </w:r>
      <w:r>
        <w:rPr>
          <w:rFonts w:ascii="Times New Roman" w:hAnsi="Times New Roman" w:cs="Times New Roman"/>
          <w:b/>
          <w:sz w:val="24"/>
          <w:szCs w:val="24"/>
        </w:rPr>
        <w:br/>
        <w:t>THE PUBLIC UTILITIES COMMISSION OF OHIO</w:t>
      </w:r>
    </w:p>
    <w:p w:rsidR="007D2793" w:rsidRDefault="007D2793" w:rsidP="007D2793">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the Matter of the Commission’s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br/>
        <w:t>Investigation into Intrastate Carrier</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Case No. 10-2387-TP-COI</w:t>
      </w:r>
      <w:r>
        <w:rPr>
          <w:rFonts w:ascii="Times New Roman" w:hAnsi="Times New Roman" w:cs="Times New Roman"/>
          <w:sz w:val="24"/>
          <w:szCs w:val="24"/>
        </w:rPr>
        <w:br/>
        <w:t>Access Reform Pursuant to Sub.</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br/>
        <w:t xml:space="preserve">S.B. 162.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D2793" w:rsidRDefault="007D2793" w:rsidP="007D2793">
      <w:pPr>
        <w:spacing w:line="240" w:lineRule="auto"/>
        <w:rPr>
          <w:rFonts w:ascii="Times New Roman" w:hAnsi="Times New Roman" w:cs="Times New Roman"/>
          <w:sz w:val="24"/>
          <w:szCs w:val="24"/>
        </w:rPr>
      </w:pPr>
    </w:p>
    <w:p w:rsidR="007D2793" w:rsidRDefault="007D2793" w:rsidP="007D2793">
      <w:pPr>
        <w:spacing w:line="240" w:lineRule="auto"/>
        <w:jc w:val="center"/>
        <w:rPr>
          <w:rFonts w:ascii="Times New Roman" w:hAnsi="Times New Roman" w:cs="Times New Roman"/>
          <w:sz w:val="24"/>
          <w:szCs w:val="24"/>
        </w:rPr>
      </w:pPr>
      <w:r>
        <w:rPr>
          <w:rFonts w:ascii="Times New Roman" w:hAnsi="Times New Roman" w:cs="Times New Roman"/>
          <w:b/>
          <w:sz w:val="24"/>
          <w:szCs w:val="24"/>
        </w:rPr>
        <w:t>REPLY COMMENTS OF T-MOBILE CENTRAL, LLC</w:t>
      </w:r>
      <w:r>
        <w:rPr>
          <w:rFonts w:ascii="Times New Roman" w:hAnsi="Times New Roman" w:cs="Times New Roman"/>
          <w:b/>
          <w:sz w:val="24"/>
          <w:szCs w:val="24"/>
        </w:rPr>
        <w:br/>
      </w:r>
      <w:r w:rsidRPr="00E040DD">
        <w:rPr>
          <w:rFonts w:ascii="Times New Roman" w:hAnsi="Times New Roman" w:cs="Times New Roman"/>
          <w:b/>
          <w:sz w:val="24"/>
          <w:szCs w:val="24"/>
          <w:u w:val="single"/>
        </w:rPr>
        <w:t>AND VOICESTREAM PITTSBURGH, LP</w:t>
      </w:r>
    </w:p>
    <w:p w:rsidR="007D2793" w:rsidRDefault="007D2793" w:rsidP="007D2793">
      <w:pPr>
        <w:spacing w:line="240" w:lineRule="auto"/>
        <w:rPr>
          <w:rFonts w:ascii="Times New Roman" w:hAnsi="Times New Roman" w:cs="Times New Roman"/>
          <w:sz w:val="24"/>
          <w:szCs w:val="24"/>
        </w:rPr>
      </w:pPr>
    </w:p>
    <w:p w:rsidR="007D2793" w:rsidRDefault="007D2793" w:rsidP="006065D0">
      <w:pPr>
        <w:spacing w:line="480" w:lineRule="auto"/>
        <w:ind w:firstLine="720"/>
        <w:rPr>
          <w:rFonts w:ascii="Times New Roman" w:hAnsi="Times New Roman" w:cs="Times New Roman"/>
          <w:sz w:val="24"/>
          <w:szCs w:val="24"/>
        </w:rPr>
      </w:pPr>
      <w:r w:rsidRPr="00591112">
        <w:rPr>
          <w:rFonts w:ascii="Times New Roman" w:hAnsi="Times New Roman" w:cs="Times New Roman"/>
          <w:sz w:val="24"/>
          <w:szCs w:val="24"/>
        </w:rPr>
        <w:t xml:space="preserve">T-Mobile Central LLC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VoiceStream</w:t>
      </w:r>
      <w:proofErr w:type="spellEnd"/>
      <w:r>
        <w:rPr>
          <w:rFonts w:ascii="Times New Roman" w:hAnsi="Times New Roman" w:cs="Times New Roman"/>
          <w:sz w:val="24"/>
          <w:szCs w:val="24"/>
        </w:rPr>
        <w:t xml:space="preserve"> Pittsburgh, LP </w:t>
      </w:r>
      <w:r w:rsidRPr="00591112">
        <w:rPr>
          <w:rFonts w:ascii="Times New Roman" w:hAnsi="Times New Roman" w:cs="Times New Roman"/>
          <w:sz w:val="24"/>
          <w:szCs w:val="24"/>
        </w:rPr>
        <w:t>(“T-Mobile”) hereby submit</w:t>
      </w:r>
      <w:r>
        <w:rPr>
          <w:rFonts w:ascii="Times New Roman" w:hAnsi="Times New Roman" w:cs="Times New Roman"/>
          <w:sz w:val="24"/>
          <w:szCs w:val="24"/>
        </w:rPr>
        <w:t>s</w:t>
      </w:r>
      <w:r w:rsidRPr="00591112">
        <w:rPr>
          <w:rFonts w:ascii="Times New Roman" w:hAnsi="Times New Roman" w:cs="Times New Roman"/>
          <w:sz w:val="24"/>
          <w:szCs w:val="24"/>
        </w:rPr>
        <w:t xml:space="preserve"> these </w:t>
      </w:r>
      <w:r>
        <w:rPr>
          <w:rFonts w:ascii="Times New Roman" w:hAnsi="Times New Roman" w:cs="Times New Roman"/>
          <w:sz w:val="24"/>
          <w:szCs w:val="24"/>
        </w:rPr>
        <w:t xml:space="preserve">reply comments in response to Reply Comments of other parties that responded to the Public Utilities Commission of Ohio </w:t>
      </w:r>
      <w:r w:rsidRPr="00591112">
        <w:rPr>
          <w:rFonts w:ascii="Times New Roman" w:hAnsi="Times New Roman" w:cs="Times New Roman"/>
          <w:sz w:val="24"/>
          <w:szCs w:val="24"/>
        </w:rPr>
        <w:t>(“</w:t>
      </w:r>
      <w:r>
        <w:rPr>
          <w:rFonts w:ascii="Times New Roman" w:hAnsi="Times New Roman" w:cs="Times New Roman"/>
          <w:sz w:val="24"/>
          <w:szCs w:val="24"/>
        </w:rPr>
        <w:t>PUCO</w:t>
      </w:r>
      <w:r w:rsidRPr="00591112">
        <w:rPr>
          <w:rFonts w:ascii="Times New Roman" w:hAnsi="Times New Roman" w:cs="Times New Roman"/>
          <w:sz w:val="24"/>
          <w:szCs w:val="24"/>
        </w:rPr>
        <w:t xml:space="preserve">’s”) </w:t>
      </w:r>
      <w:r>
        <w:rPr>
          <w:rFonts w:ascii="Times New Roman" w:hAnsi="Times New Roman" w:cs="Times New Roman"/>
          <w:sz w:val="24"/>
          <w:szCs w:val="24"/>
        </w:rPr>
        <w:t xml:space="preserve">Entry </w:t>
      </w:r>
      <w:r w:rsidRPr="00591112">
        <w:rPr>
          <w:rFonts w:ascii="Times New Roman" w:hAnsi="Times New Roman" w:cs="Times New Roman"/>
          <w:sz w:val="24"/>
          <w:szCs w:val="24"/>
        </w:rPr>
        <w:t xml:space="preserve">dated </w:t>
      </w:r>
      <w:r>
        <w:rPr>
          <w:rFonts w:ascii="Times New Roman" w:hAnsi="Times New Roman" w:cs="Times New Roman"/>
          <w:sz w:val="24"/>
          <w:szCs w:val="24"/>
        </w:rPr>
        <w:t>November</w:t>
      </w:r>
      <w:r w:rsidRPr="00591112">
        <w:rPr>
          <w:rFonts w:ascii="Times New Roman" w:hAnsi="Times New Roman" w:cs="Times New Roman"/>
          <w:sz w:val="24"/>
          <w:szCs w:val="24"/>
        </w:rPr>
        <w:t xml:space="preserve"> </w:t>
      </w:r>
      <w:r>
        <w:rPr>
          <w:rFonts w:ascii="Times New Roman" w:hAnsi="Times New Roman" w:cs="Times New Roman"/>
          <w:sz w:val="24"/>
          <w:szCs w:val="24"/>
        </w:rPr>
        <w:t>3</w:t>
      </w:r>
      <w:r w:rsidRPr="00591112">
        <w:rPr>
          <w:rFonts w:ascii="Times New Roman" w:hAnsi="Times New Roman" w:cs="Times New Roman"/>
          <w:sz w:val="24"/>
          <w:szCs w:val="24"/>
        </w:rPr>
        <w:t>, 20</w:t>
      </w:r>
      <w:r>
        <w:rPr>
          <w:rFonts w:ascii="Times New Roman" w:hAnsi="Times New Roman" w:cs="Times New Roman"/>
          <w:sz w:val="24"/>
          <w:szCs w:val="24"/>
        </w:rPr>
        <w:t>10</w:t>
      </w:r>
      <w:r w:rsidRPr="00591112">
        <w:rPr>
          <w:rFonts w:ascii="Times New Roman" w:hAnsi="Times New Roman" w:cs="Times New Roman"/>
          <w:sz w:val="24"/>
          <w:szCs w:val="24"/>
        </w:rPr>
        <w:t xml:space="preserve"> (“</w:t>
      </w:r>
      <w:r>
        <w:rPr>
          <w:rFonts w:ascii="Times New Roman" w:hAnsi="Times New Roman" w:cs="Times New Roman"/>
          <w:sz w:val="24"/>
          <w:szCs w:val="24"/>
        </w:rPr>
        <w:t>PUCO Order</w:t>
      </w:r>
      <w:r w:rsidRPr="00591112">
        <w:rPr>
          <w:rFonts w:ascii="Times New Roman" w:hAnsi="Times New Roman" w:cs="Times New Roman"/>
          <w:sz w:val="24"/>
          <w:szCs w:val="24"/>
        </w:rPr>
        <w:t>”</w:t>
      </w:r>
      <w:r w:rsidR="00317395">
        <w:rPr>
          <w:rFonts w:ascii="Times New Roman" w:hAnsi="Times New Roman" w:cs="Times New Roman"/>
          <w:sz w:val="24"/>
          <w:szCs w:val="24"/>
        </w:rPr>
        <w:t xml:space="preserve"> or “Entry”</w:t>
      </w:r>
      <w:r w:rsidRPr="00591112">
        <w:rPr>
          <w:rFonts w:ascii="Times New Roman" w:hAnsi="Times New Roman" w:cs="Times New Roman"/>
          <w:sz w:val="24"/>
          <w:szCs w:val="24"/>
        </w:rPr>
        <w:t xml:space="preserve">) </w:t>
      </w:r>
      <w:r>
        <w:rPr>
          <w:rFonts w:ascii="Times New Roman" w:hAnsi="Times New Roman" w:cs="Times New Roman"/>
          <w:sz w:val="24"/>
          <w:szCs w:val="24"/>
        </w:rPr>
        <w:t xml:space="preserve">regarding the PUCO Staff’s proposed Access Restructuring Fund (“ARF”).  As explained in more detail below, T-Mobile agrees with several parties’ comments urging the Commission to conduct a comprehensive analysis to determine the need for the ARF before implementing the Staff’s proposal.  </w:t>
      </w:r>
      <w:r w:rsidR="006065D0">
        <w:rPr>
          <w:rFonts w:ascii="Times New Roman" w:hAnsi="Times New Roman" w:cs="Times New Roman"/>
          <w:sz w:val="24"/>
          <w:szCs w:val="24"/>
        </w:rPr>
        <w:t xml:space="preserve">T-Mobile </w:t>
      </w:r>
      <w:r>
        <w:rPr>
          <w:rFonts w:ascii="Times New Roman" w:hAnsi="Times New Roman" w:cs="Times New Roman"/>
          <w:sz w:val="24"/>
          <w:szCs w:val="24"/>
        </w:rPr>
        <w:t xml:space="preserve">supports the PUCO’s Staff proposal to require </w:t>
      </w:r>
      <w:r w:rsidR="006065D0">
        <w:rPr>
          <w:rFonts w:ascii="Times New Roman" w:hAnsi="Times New Roman" w:cs="Times New Roman"/>
          <w:sz w:val="24"/>
          <w:szCs w:val="24"/>
        </w:rPr>
        <w:t xml:space="preserve">incumbent </w:t>
      </w:r>
      <w:r>
        <w:rPr>
          <w:rFonts w:ascii="Times New Roman" w:hAnsi="Times New Roman" w:cs="Times New Roman"/>
          <w:sz w:val="24"/>
          <w:szCs w:val="24"/>
        </w:rPr>
        <w:t xml:space="preserve">local exchange carriers </w:t>
      </w:r>
      <w:r w:rsidR="006065D0">
        <w:rPr>
          <w:rFonts w:ascii="Times New Roman" w:hAnsi="Times New Roman" w:cs="Times New Roman"/>
          <w:sz w:val="24"/>
          <w:szCs w:val="24"/>
        </w:rPr>
        <w:t xml:space="preserve">(“ILECs”) </w:t>
      </w:r>
      <w:r>
        <w:rPr>
          <w:rFonts w:ascii="Times New Roman" w:hAnsi="Times New Roman" w:cs="Times New Roman"/>
          <w:sz w:val="24"/>
          <w:szCs w:val="24"/>
        </w:rPr>
        <w:t xml:space="preserve">to reduce intrastate switched access rates to mirror interstate rates, but believes it is unnecessary and harmful to Ohio consumers for the state to create a state fund to further </w:t>
      </w:r>
      <w:r w:rsidR="00C1557D">
        <w:rPr>
          <w:rFonts w:ascii="Times New Roman" w:hAnsi="Times New Roman" w:cs="Times New Roman"/>
          <w:sz w:val="24"/>
          <w:szCs w:val="24"/>
        </w:rPr>
        <w:t xml:space="preserve">insulate </w:t>
      </w:r>
      <w:r>
        <w:rPr>
          <w:rFonts w:ascii="Times New Roman" w:hAnsi="Times New Roman" w:cs="Times New Roman"/>
          <w:sz w:val="24"/>
          <w:szCs w:val="24"/>
        </w:rPr>
        <w:t xml:space="preserve">carriers </w:t>
      </w:r>
      <w:r w:rsidR="00C1557D">
        <w:rPr>
          <w:rFonts w:ascii="Times New Roman" w:hAnsi="Times New Roman" w:cs="Times New Roman"/>
          <w:sz w:val="24"/>
          <w:szCs w:val="24"/>
        </w:rPr>
        <w:t xml:space="preserve">from the effects of changes in customer preferences.  </w:t>
      </w:r>
      <w:r>
        <w:rPr>
          <w:rFonts w:ascii="Times New Roman" w:hAnsi="Times New Roman" w:cs="Times New Roman"/>
          <w:sz w:val="24"/>
          <w:szCs w:val="24"/>
        </w:rPr>
        <w:t xml:space="preserve">  </w:t>
      </w:r>
    </w:p>
    <w:p w:rsidR="007D2793" w:rsidRDefault="006065D0" w:rsidP="00A10C3C">
      <w:pPr>
        <w:pStyle w:val="ListParagraph"/>
        <w:numPr>
          <w:ilvl w:val="0"/>
          <w:numId w:val="1"/>
        </w:numPr>
        <w:ind w:left="720"/>
        <w:rPr>
          <w:rFonts w:ascii="Times New Roman" w:hAnsi="Times New Roman" w:cs="Times New Roman"/>
          <w:b/>
          <w:sz w:val="24"/>
          <w:szCs w:val="24"/>
        </w:rPr>
      </w:pPr>
      <w:r>
        <w:rPr>
          <w:rFonts w:ascii="Times New Roman" w:hAnsi="Times New Roman" w:cs="Times New Roman"/>
          <w:b/>
          <w:sz w:val="24"/>
          <w:szCs w:val="24"/>
        </w:rPr>
        <w:t>DISCUSSION</w:t>
      </w:r>
    </w:p>
    <w:p w:rsidR="007D2793" w:rsidRDefault="007D2793" w:rsidP="007D2793">
      <w:pPr>
        <w:pStyle w:val="ListParagraph"/>
        <w:ind w:left="1080"/>
        <w:rPr>
          <w:rFonts w:ascii="Times New Roman" w:hAnsi="Times New Roman" w:cs="Times New Roman"/>
          <w:b/>
          <w:sz w:val="24"/>
          <w:szCs w:val="24"/>
        </w:rPr>
      </w:pPr>
    </w:p>
    <w:p w:rsidR="00A33C3F" w:rsidRDefault="007D2793" w:rsidP="00A10C3C">
      <w:pPr>
        <w:pStyle w:val="ListParagraph"/>
        <w:spacing w:after="0" w:line="480" w:lineRule="auto"/>
        <w:ind w:left="0" w:firstLine="720"/>
        <w:rPr>
          <w:rFonts w:ascii="Times New Roman" w:hAnsi="Times New Roman" w:cs="Times New Roman"/>
          <w:sz w:val="24"/>
          <w:szCs w:val="24"/>
        </w:rPr>
        <w:sectPr w:rsidR="00A33C3F" w:rsidSect="00A33C3F">
          <w:footerReference w:type="default" r:id="rId8"/>
          <w:pgSz w:w="12240" w:h="15840"/>
          <w:pgMar w:top="1440" w:right="1440" w:bottom="1440" w:left="1440" w:header="720" w:footer="720" w:gutter="0"/>
          <w:cols w:space="720"/>
          <w:titlePg/>
          <w:docGrid w:linePitch="360"/>
        </w:sectPr>
      </w:pPr>
      <w:r>
        <w:rPr>
          <w:rFonts w:ascii="Times New Roman" w:hAnsi="Times New Roman" w:cs="Times New Roman"/>
          <w:sz w:val="24"/>
          <w:szCs w:val="24"/>
        </w:rPr>
        <w:t>Several parties in this matter have urged the Commission to conduct full evidentiary hearings before implementing the Staff’s Plan to create the ARF.</w:t>
      </w:r>
      <w:r w:rsidR="002416B4">
        <w:rPr>
          <w:rFonts w:ascii="Times New Roman" w:hAnsi="Times New Roman" w:cs="Times New Roman"/>
          <w:sz w:val="24"/>
          <w:szCs w:val="24"/>
        </w:rPr>
        <w:t xml:space="preserve">  Before even consider</w:t>
      </w:r>
      <w:r w:rsidR="00276F82">
        <w:rPr>
          <w:rFonts w:ascii="Times New Roman" w:hAnsi="Times New Roman" w:cs="Times New Roman"/>
          <w:sz w:val="24"/>
          <w:szCs w:val="24"/>
        </w:rPr>
        <w:t xml:space="preserve">ing the ARF, T-Mobile supports these </w:t>
      </w:r>
      <w:proofErr w:type="spellStart"/>
      <w:r w:rsidR="00276F82">
        <w:rPr>
          <w:rFonts w:ascii="Times New Roman" w:hAnsi="Times New Roman" w:cs="Times New Roman"/>
          <w:sz w:val="24"/>
          <w:szCs w:val="24"/>
        </w:rPr>
        <w:t>commenters</w:t>
      </w:r>
      <w:proofErr w:type="spellEnd"/>
      <w:r w:rsidR="00276F82">
        <w:rPr>
          <w:rFonts w:ascii="Times New Roman" w:hAnsi="Times New Roman" w:cs="Times New Roman"/>
          <w:sz w:val="24"/>
          <w:szCs w:val="24"/>
        </w:rPr>
        <w:t xml:space="preserve"> and urges the Commission to undertake a thorough analysis to determine whether individual ILECs require subsidies that all Ohioans would be </w:t>
      </w:r>
    </w:p>
    <w:p w:rsidR="007D2793" w:rsidRDefault="00276F82" w:rsidP="00A33C3F">
      <w:pPr>
        <w:pStyle w:val="ListParagraph"/>
        <w:spacing w:after="0" w:line="480" w:lineRule="auto"/>
        <w:ind w:left="0"/>
        <w:rPr>
          <w:rFonts w:ascii="Times New Roman" w:hAnsi="Times New Roman" w:cs="Times New Roman"/>
          <w:b/>
          <w:sz w:val="24"/>
          <w:szCs w:val="24"/>
        </w:rPr>
      </w:pPr>
      <w:r>
        <w:rPr>
          <w:rFonts w:ascii="Times New Roman" w:hAnsi="Times New Roman" w:cs="Times New Roman"/>
          <w:sz w:val="24"/>
          <w:szCs w:val="24"/>
        </w:rPr>
        <w:lastRenderedPageBreak/>
        <w:t>required to pay.</w:t>
      </w:r>
      <w:r w:rsidR="00BE0B4A">
        <w:rPr>
          <w:rFonts w:ascii="Times New Roman" w:hAnsi="Times New Roman" w:cs="Times New Roman"/>
          <w:sz w:val="24"/>
          <w:szCs w:val="24"/>
        </w:rPr>
        <w:t xml:space="preserve">  Before the PUCO grants any financial subsidies to a limited class of carriers, it should require each individual carrier to demonstrate a need by looking at the full financial picture of that carrier and all the revenues it currently receives from customer</w:t>
      </w:r>
      <w:r w:rsidR="002416B4">
        <w:rPr>
          <w:rFonts w:ascii="Times New Roman" w:hAnsi="Times New Roman" w:cs="Times New Roman"/>
          <w:sz w:val="24"/>
          <w:szCs w:val="24"/>
        </w:rPr>
        <w:t>s</w:t>
      </w:r>
      <w:r w:rsidR="00BE0B4A">
        <w:rPr>
          <w:rFonts w:ascii="Times New Roman" w:hAnsi="Times New Roman" w:cs="Times New Roman"/>
          <w:sz w:val="24"/>
          <w:szCs w:val="24"/>
        </w:rPr>
        <w:t xml:space="preserve"> on the same common network in provides basic local exchange service.</w:t>
      </w:r>
      <w:r>
        <w:rPr>
          <w:rFonts w:ascii="Times New Roman" w:hAnsi="Times New Roman" w:cs="Times New Roman"/>
          <w:sz w:val="24"/>
          <w:szCs w:val="24"/>
        </w:rPr>
        <w:t xml:space="preserve">    </w:t>
      </w:r>
    </w:p>
    <w:p w:rsidR="0060508F" w:rsidRDefault="00B205C6" w:rsidP="00A10C3C">
      <w:pPr>
        <w:pStyle w:val="ListParagraph"/>
        <w:numPr>
          <w:ilvl w:val="0"/>
          <w:numId w:val="2"/>
        </w:numPr>
        <w:ind w:hanging="810"/>
        <w:rPr>
          <w:rFonts w:ascii="Times New Roman" w:hAnsi="Times New Roman" w:cs="Times New Roman"/>
          <w:b/>
          <w:sz w:val="24"/>
          <w:szCs w:val="24"/>
        </w:rPr>
      </w:pPr>
      <w:r w:rsidRPr="00CF74DB">
        <w:rPr>
          <w:rFonts w:ascii="Times New Roman" w:hAnsi="Times New Roman" w:cs="Times New Roman"/>
          <w:b/>
          <w:sz w:val="24"/>
          <w:szCs w:val="24"/>
        </w:rPr>
        <w:t>Revenue Neutrality Can Be Accomplished Through Means Other than Creation of the ARF</w:t>
      </w:r>
    </w:p>
    <w:p w:rsidR="000231EC" w:rsidRDefault="00A10C3C" w:rsidP="00A10C3C">
      <w:pPr>
        <w:spacing w:after="0" w:line="480" w:lineRule="auto"/>
        <w:ind w:left="-187" w:firstLine="806"/>
        <w:rPr>
          <w:rFonts w:ascii="Times New Roman" w:hAnsi="Times New Roman" w:cs="Times New Roman"/>
          <w:sz w:val="24"/>
          <w:szCs w:val="24"/>
        </w:rPr>
      </w:pPr>
      <w:r>
        <w:rPr>
          <w:rFonts w:ascii="Times New Roman" w:hAnsi="Times New Roman" w:cs="Times New Roman"/>
          <w:sz w:val="24"/>
          <w:szCs w:val="24"/>
        </w:rPr>
        <w:t>S</w:t>
      </w:r>
      <w:r w:rsidR="00CF74DB">
        <w:rPr>
          <w:rFonts w:ascii="Times New Roman" w:hAnsi="Times New Roman" w:cs="Times New Roman"/>
          <w:sz w:val="24"/>
          <w:szCs w:val="24"/>
        </w:rPr>
        <w:t xml:space="preserve">everal parties have explained that revenue neutrality does not necessarily require the PUCO to create a state fund as proposed by the Staff.  As noted by Cincinnati Bell, revenue neutrality for utilities means the companies have an </w:t>
      </w:r>
      <w:r w:rsidR="00CF74DB" w:rsidRPr="002416B4">
        <w:rPr>
          <w:rFonts w:ascii="Times New Roman" w:hAnsi="Times New Roman" w:cs="Times New Roman"/>
          <w:i/>
          <w:sz w:val="24"/>
          <w:szCs w:val="24"/>
        </w:rPr>
        <w:t>opportunity</w:t>
      </w:r>
      <w:r w:rsidR="00CF74DB">
        <w:rPr>
          <w:rFonts w:ascii="Times New Roman" w:hAnsi="Times New Roman" w:cs="Times New Roman"/>
          <w:sz w:val="24"/>
          <w:szCs w:val="24"/>
        </w:rPr>
        <w:t xml:space="preserve"> to recover lost revenues, not a guarantee.</w:t>
      </w:r>
      <w:r w:rsidR="002416B4" w:rsidRPr="002416B4">
        <w:rPr>
          <w:rStyle w:val="FootnoteReference"/>
          <w:rFonts w:ascii="Times New Roman" w:hAnsi="Times New Roman" w:cs="Times New Roman"/>
          <w:sz w:val="24"/>
          <w:szCs w:val="24"/>
        </w:rPr>
        <w:t xml:space="preserve"> </w:t>
      </w:r>
      <w:r w:rsidR="002416B4">
        <w:rPr>
          <w:rStyle w:val="FootnoteReference"/>
          <w:rFonts w:ascii="Times New Roman" w:hAnsi="Times New Roman" w:cs="Times New Roman"/>
          <w:sz w:val="24"/>
          <w:szCs w:val="24"/>
        </w:rPr>
        <w:footnoteReference w:id="1"/>
      </w:r>
      <w:r w:rsidR="002416B4">
        <w:rPr>
          <w:rFonts w:ascii="Times New Roman" w:hAnsi="Times New Roman" w:cs="Times New Roman"/>
          <w:sz w:val="24"/>
          <w:szCs w:val="24"/>
        </w:rPr>
        <w:t xml:space="preserve"> (</w:t>
      </w:r>
      <w:r w:rsidR="002416B4">
        <w:rPr>
          <w:rFonts w:ascii="Times New Roman" w:hAnsi="Times New Roman" w:cs="Times New Roman"/>
          <w:i/>
          <w:sz w:val="24"/>
          <w:szCs w:val="24"/>
        </w:rPr>
        <w:t>emphasis added)</w:t>
      </w:r>
      <w:r w:rsidR="002416B4">
        <w:rPr>
          <w:rFonts w:ascii="Times New Roman" w:hAnsi="Times New Roman" w:cs="Times New Roman"/>
          <w:sz w:val="24"/>
          <w:szCs w:val="24"/>
        </w:rPr>
        <w:t xml:space="preserve">.  </w:t>
      </w:r>
      <w:r w:rsidR="00CF74DB">
        <w:rPr>
          <w:rFonts w:ascii="Times New Roman" w:hAnsi="Times New Roman" w:cs="Times New Roman"/>
          <w:sz w:val="24"/>
          <w:szCs w:val="24"/>
        </w:rPr>
        <w:t>Specifically, “. . . eligible carriers should have to demonstrate in detail what their revenue shor</w:t>
      </w:r>
      <w:r w:rsidR="000231EC">
        <w:rPr>
          <w:rFonts w:ascii="Times New Roman" w:hAnsi="Times New Roman" w:cs="Times New Roman"/>
          <w:sz w:val="24"/>
          <w:szCs w:val="24"/>
        </w:rPr>
        <w:t xml:space="preserve">tfalls would be through reducing </w:t>
      </w:r>
      <w:r w:rsidR="00CF74DB">
        <w:rPr>
          <w:rFonts w:ascii="Times New Roman" w:hAnsi="Times New Roman" w:cs="Times New Roman"/>
          <w:sz w:val="24"/>
          <w:szCs w:val="24"/>
        </w:rPr>
        <w:t>intrastate access charges and to demonstrate that they have exhausted reasonable opportunities to raise such revenues from other services.”</w:t>
      </w:r>
      <w:r w:rsidR="00CF74DB">
        <w:rPr>
          <w:rStyle w:val="FootnoteReference"/>
          <w:rFonts w:ascii="Times New Roman" w:hAnsi="Times New Roman" w:cs="Times New Roman"/>
          <w:sz w:val="24"/>
          <w:szCs w:val="24"/>
        </w:rPr>
        <w:footnoteReference w:id="2"/>
      </w:r>
      <w:r w:rsidR="00CF74DB">
        <w:rPr>
          <w:rFonts w:ascii="Times New Roman" w:hAnsi="Times New Roman" w:cs="Times New Roman"/>
          <w:sz w:val="24"/>
          <w:szCs w:val="24"/>
        </w:rPr>
        <w:t xml:space="preserve">  If the PUCO chooses to bypass this important step in implementing access reform, it will basically migrate access subsidies into</w:t>
      </w:r>
      <w:r w:rsidR="000231EC">
        <w:rPr>
          <w:rFonts w:ascii="Times New Roman" w:hAnsi="Times New Roman" w:cs="Times New Roman"/>
          <w:sz w:val="24"/>
          <w:szCs w:val="24"/>
        </w:rPr>
        <w:t xml:space="preserve"> another form, namely the ARF.  </w:t>
      </w:r>
      <w:r w:rsidR="006065D0">
        <w:rPr>
          <w:rFonts w:ascii="Times New Roman" w:hAnsi="Times New Roman" w:cs="Times New Roman"/>
          <w:sz w:val="24"/>
          <w:szCs w:val="24"/>
        </w:rPr>
        <w:t>SB 162 was implemented to expand</w:t>
      </w:r>
      <w:r w:rsidR="000231EC">
        <w:rPr>
          <w:rFonts w:ascii="Times New Roman" w:hAnsi="Times New Roman" w:cs="Times New Roman"/>
          <w:sz w:val="24"/>
          <w:szCs w:val="24"/>
        </w:rPr>
        <w:t xml:space="preserve"> competition in Ohio to all consumers.  The Staff’s Plan provides guaranteed funding to certain carriers, at the expense of all other competitors which insulates some co</w:t>
      </w:r>
      <w:r w:rsidR="006065D0">
        <w:rPr>
          <w:rFonts w:ascii="Times New Roman" w:hAnsi="Times New Roman" w:cs="Times New Roman"/>
          <w:sz w:val="24"/>
          <w:szCs w:val="24"/>
        </w:rPr>
        <w:t>mpanies from competition --- a p</w:t>
      </w:r>
      <w:r w:rsidR="000231EC">
        <w:rPr>
          <w:rFonts w:ascii="Times New Roman" w:hAnsi="Times New Roman" w:cs="Times New Roman"/>
          <w:sz w:val="24"/>
          <w:szCs w:val="24"/>
        </w:rPr>
        <w:t xml:space="preserve">lan at odds with the goals of SB 162.  </w:t>
      </w:r>
    </w:p>
    <w:p w:rsidR="002A6732" w:rsidRPr="002A6732" w:rsidRDefault="002A6732" w:rsidP="006065D0">
      <w:pPr>
        <w:pStyle w:val="ListParagraph"/>
        <w:numPr>
          <w:ilvl w:val="0"/>
          <w:numId w:val="3"/>
        </w:numPr>
        <w:spacing w:after="0" w:line="240" w:lineRule="auto"/>
        <w:ind w:left="2160" w:hanging="720"/>
        <w:rPr>
          <w:rFonts w:ascii="Times New Roman" w:hAnsi="Times New Roman" w:cs="Times New Roman"/>
          <w:sz w:val="24"/>
          <w:szCs w:val="24"/>
          <w:u w:val="single"/>
        </w:rPr>
      </w:pPr>
      <w:r w:rsidRPr="002A6732">
        <w:rPr>
          <w:rFonts w:ascii="Times New Roman" w:hAnsi="Times New Roman" w:cs="Times New Roman"/>
          <w:sz w:val="24"/>
          <w:szCs w:val="24"/>
          <w:u w:val="single"/>
        </w:rPr>
        <w:t xml:space="preserve">The PUCO Should </w:t>
      </w:r>
      <w:r>
        <w:rPr>
          <w:rFonts w:ascii="Times New Roman" w:hAnsi="Times New Roman" w:cs="Times New Roman"/>
          <w:sz w:val="24"/>
          <w:szCs w:val="24"/>
          <w:u w:val="single"/>
        </w:rPr>
        <w:t>L</w:t>
      </w:r>
      <w:r w:rsidRPr="002A6732">
        <w:rPr>
          <w:rFonts w:ascii="Times New Roman" w:hAnsi="Times New Roman" w:cs="Times New Roman"/>
          <w:sz w:val="24"/>
          <w:szCs w:val="24"/>
          <w:u w:val="single"/>
        </w:rPr>
        <w:t>ook at All Revenues that an ILEC Receives Off the Common Network Before Granting Gu</w:t>
      </w:r>
      <w:r>
        <w:rPr>
          <w:rFonts w:ascii="Times New Roman" w:hAnsi="Times New Roman" w:cs="Times New Roman"/>
          <w:sz w:val="24"/>
          <w:szCs w:val="24"/>
          <w:u w:val="single"/>
        </w:rPr>
        <w:t>a</w:t>
      </w:r>
      <w:r w:rsidRPr="002A6732">
        <w:rPr>
          <w:rFonts w:ascii="Times New Roman" w:hAnsi="Times New Roman" w:cs="Times New Roman"/>
          <w:sz w:val="24"/>
          <w:szCs w:val="24"/>
          <w:u w:val="single"/>
        </w:rPr>
        <w:t xml:space="preserve">ranteed </w:t>
      </w:r>
      <w:r>
        <w:rPr>
          <w:rFonts w:ascii="Times New Roman" w:hAnsi="Times New Roman" w:cs="Times New Roman"/>
          <w:sz w:val="24"/>
          <w:szCs w:val="24"/>
          <w:u w:val="single"/>
        </w:rPr>
        <w:t xml:space="preserve">Subsidies </w:t>
      </w:r>
      <w:r w:rsidRPr="002A6732">
        <w:rPr>
          <w:rFonts w:ascii="Times New Roman" w:hAnsi="Times New Roman" w:cs="Times New Roman"/>
          <w:sz w:val="24"/>
          <w:szCs w:val="24"/>
          <w:u w:val="single"/>
        </w:rPr>
        <w:t>in an ARF</w:t>
      </w:r>
    </w:p>
    <w:p w:rsidR="002A6732" w:rsidRPr="002A6732" w:rsidRDefault="002A6732" w:rsidP="002A6732">
      <w:pPr>
        <w:pStyle w:val="ListParagraph"/>
        <w:spacing w:after="0" w:line="240" w:lineRule="auto"/>
        <w:ind w:left="979"/>
        <w:rPr>
          <w:rFonts w:ascii="Times New Roman" w:hAnsi="Times New Roman" w:cs="Times New Roman"/>
          <w:sz w:val="24"/>
          <w:szCs w:val="24"/>
        </w:rPr>
      </w:pPr>
    </w:p>
    <w:p w:rsidR="00CF74DB" w:rsidRDefault="00A10C3C" w:rsidP="00A10C3C">
      <w:pPr>
        <w:spacing w:after="0" w:line="480" w:lineRule="auto"/>
        <w:ind w:left="-270" w:firstLine="889"/>
        <w:rPr>
          <w:rFonts w:ascii="Times New Roman" w:hAnsi="Times New Roman" w:cs="Times New Roman"/>
          <w:sz w:val="24"/>
          <w:szCs w:val="24"/>
        </w:rPr>
      </w:pPr>
      <w:r>
        <w:rPr>
          <w:rFonts w:ascii="Times New Roman" w:hAnsi="Times New Roman" w:cs="Times New Roman"/>
          <w:sz w:val="24"/>
          <w:szCs w:val="24"/>
        </w:rPr>
        <w:t>I</w:t>
      </w:r>
      <w:r w:rsidR="000231EC">
        <w:rPr>
          <w:rFonts w:ascii="Times New Roman" w:hAnsi="Times New Roman" w:cs="Times New Roman"/>
          <w:sz w:val="24"/>
          <w:szCs w:val="24"/>
        </w:rPr>
        <w:t>nstead of implementing the Staff’s Plan, T-Mobile recommends that the PUCO undertake an analysis to determine whether individual ILECs can recover the revenues from their end user customers.</w:t>
      </w:r>
      <w:r w:rsidR="006065D0">
        <w:rPr>
          <w:rFonts w:ascii="Times New Roman" w:hAnsi="Times New Roman" w:cs="Times New Roman"/>
          <w:sz w:val="24"/>
          <w:szCs w:val="24"/>
        </w:rPr>
        <w:t xml:space="preserve">  As explained by Sprint, </w:t>
      </w:r>
      <w:r w:rsidR="000231EC">
        <w:rPr>
          <w:rFonts w:ascii="Times New Roman" w:hAnsi="Times New Roman" w:cs="Times New Roman"/>
          <w:sz w:val="24"/>
          <w:szCs w:val="24"/>
        </w:rPr>
        <w:t xml:space="preserve">ILECs have multiple sources of revenue from the end users that </w:t>
      </w:r>
      <w:r w:rsidR="000231EC">
        <w:rPr>
          <w:rFonts w:ascii="Times New Roman" w:hAnsi="Times New Roman" w:cs="Times New Roman"/>
          <w:sz w:val="24"/>
          <w:szCs w:val="24"/>
        </w:rPr>
        <w:lastRenderedPageBreak/>
        <w:t>were never contemplated when access rates were originally approved.</w:t>
      </w:r>
      <w:r w:rsidR="000231EC">
        <w:rPr>
          <w:rStyle w:val="FootnoteReference"/>
          <w:rFonts w:ascii="Times New Roman" w:hAnsi="Times New Roman" w:cs="Times New Roman"/>
          <w:sz w:val="24"/>
          <w:szCs w:val="24"/>
        </w:rPr>
        <w:footnoteReference w:id="3"/>
      </w:r>
      <w:r w:rsidR="000231EC">
        <w:rPr>
          <w:rFonts w:ascii="Times New Roman" w:hAnsi="Times New Roman" w:cs="Times New Roman"/>
          <w:sz w:val="24"/>
          <w:szCs w:val="24"/>
        </w:rPr>
        <w:t xml:space="preserve">  ILECs are now offering </w:t>
      </w:r>
      <w:r w:rsidR="006E33C7">
        <w:rPr>
          <w:rFonts w:ascii="Times New Roman" w:hAnsi="Times New Roman" w:cs="Times New Roman"/>
          <w:sz w:val="24"/>
          <w:szCs w:val="24"/>
        </w:rPr>
        <w:t xml:space="preserve">wireline long distance, numerous new calling features (e.g., call waiting, voicemail services), broadband services and even in some cases video.  Often these services are bundled with the customer’s voice service into one monthly rate --- all using the same common network that competitors historically subsidized.  For the PUCO to ignore all of these revenues and grant further subsidies to a limited class of ILECs is to ignore expansion of competition in the market and to pick winners and losers of which companies should receive guaranteed revenues in the face of competition.  </w:t>
      </w:r>
      <w:r w:rsidR="000231EC">
        <w:rPr>
          <w:rFonts w:ascii="Times New Roman" w:hAnsi="Times New Roman" w:cs="Times New Roman"/>
          <w:sz w:val="24"/>
          <w:szCs w:val="24"/>
        </w:rPr>
        <w:t xml:space="preserve">  </w:t>
      </w:r>
      <w:r w:rsidR="00CF74DB">
        <w:rPr>
          <w:rFonts w:ascii="Times New Roman" w:hAnsi="Times New Roman" w:cs="Times New Roman"/>
          <w:sz w:val="24"/>
          <w:szCs w:val="24"/>
        </w:rPr>
        <w:t xml:space="preserve"> </w:t>
      </w:r>
    </w:p>
    <w:p w:rsidR="006E33C7" w:rsidRDefault="006E33C7" w:rsidP="00A10C3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Some </w:t>
      </w:r>
      <w:proofErr w:type="spellStart"/>
      <w:r>
        <w:rPr>
          <w:rFonts w:ascii="Times New Roman" w:hAnsi="Times New Roman" w:cs="Times New Roman"/>
          <w:sz w:val="24"/>
          <w:szCs w:val="24"/>
        </w:rPr>
        <w:t>commenters</w:t>
      </w:r>
      <w:proofErr w:type="spellEnd"/>
      <w:r>
        <w:rPr>
          <w:rFonts w:ascii="Times New Roman" w:hAnsi="Times New Roman" w:cs="Times New Roman"/>
          <w:sz w:val="24"/>
          <w:szCs w:val="24"/>
        </w:rPr>
        <w:t xml:space="preserve">, such as </w:t>
      </w:r>
      <w:proofErr w:type="spellStart"/>
      <w:r>
        <w:rPr>
          <w:rFonts w:ascii="Times New Roman" w:hAnsi="Times New Roman" w:cs="Times New Roman"/>
          <w:sz w:val="24"/>
          <w:szCs w:val="24"/>
        </w:rPr>
        <w:t>Century</w:t>
      </w:r>
      <w:r w:rsidR="002416B4">
        <w:rPr>
          <w:rFonts w:ascii="Times New Roman" w:hAnsi="Times New Roman" w:cs="Times New Roman"/>
          <w:sz w:val="24"/>
          <w:szCs w:val="24"/>
        </w:rPr>
        <w:t>tel</w:t>
      </w:r>
      <w:proofErr w:type="spellEnd"/>
      <w:r w:rsidR="002416B4">
        <w:rPr>
          <w:rFonts w:ascii="Times New Roman" w:hAnsi="Times New Roman" w:cs="Times New Roman"/>
          <w:sz w:val="24"/>
          <w:szCs w:val="24"/>
        </w:rPr>
        <w:t xml:space="preserve"> of Ohio, Inc, (a company soon to be wholly owned by the third largest ILEC in the country) (“</w:t>
      </w:r>
      <w:proofErr w:type="spellStart"/>
      <w:r w:rsidR="002416B4">
        <w:rPr>
          <w:rFonts w:ascii="Times New Roman" w:hAnsi="Times New Roman" w:cs="Times New Roman"/>
          <w:sz w:val="24"/>
          <w:szCs w:val="24"/>
        </w:rPr>
        <w:t>CenturyLink</w:t>
      </w:r>
      <w:proofErr w:type="spellEnd"/>
      <w:r w:rsidR="002416B4">
        <w:rPr>
          <w:rFonts w:ascii="Times New Roman" w:hAnsi="Times New Roman" w:cs="Times New Roman"/>
          <w:sz w:val="24"/>
          <w:szCs w:val="24"/>
        </w:rPr>
        <w:t xml:space="preserve">”) </w:t>
      </w:r>
      <w:r>
        <w:rPr>
          <w:rFonts w:ascii="Times New Roman" w:hAnsi="Times New Roman" w:cs="Times New Roman"/>
          <w:sz w:val="24"/>
          <w:szCs w:val="24"/>
        </w:rPr>
        <w:t xml:space="preserve">have claimed that they require such subsidies because they are the provider-of-last </w:t>
      </w:r>
      <w:r w:rsidR="002416B4">
        <w:rPr>
          <w:rFonts w:ascii="Times New Roman" w:hAnsi="Times New Roman" w:cs="Times New Roman"/>
          <w:sz w:val="24"/>
          <w:szCs w:val="24"/>
        </w:rPr>
        <w:t xml:space="preserve">resort </w:t>
      </w:r>
      <w:r>
        <w:rPr>
          <w:rFonts w:ascii="Times New Roman" w:hAnsi="Times New Roman" w:cs="Times New Roman"/>
          <w:sz w:val="24"/>
          <w:szCs w:val="24"/>
        </w:rPr>
        <w:t xml:space="preserve">and </w:t>
      </w:r>
      <w:r w:rsidR="00A10C3C">
        <w:rPr>
          <w:rFonts w:ascii="Times New Roman" w:hAnsi="Times New Roman" w:cs="Times New Roman"/>
          <w:sz w:val="24"/>
          <w:szCs w:val="24"/>
        </w:rPr>
        <w:t xml:space="preserve">that </w:t>
      </w:r>
      <w:r>
        <w:rPr>
          <w:rFonts w:ascii="Times New Roman" w:hAnsi="Times New Roman" w:cs="Times New Roman"/>
          <w:sz w:val="24"/>
          <w:szCs w:val="24"/>
        </w:rPr>
        <w:t xml:space="preserve">the obligations </w:t>
      </w:r>
      <w:r w:rsidR="00A10C3C">
        <w:rPr>
          <w:rFonts w:ascii="Times New Roman" w:hAnsi="Times New Roman" w:cs="Times New Roman"/>
          <w:sz w:val="24"/>
          <w:szCs w:val="24"/>
        </w:rPr>
        <w:t xml:space="preserve">are </w:t>
      </w:r>
      <w:r>
        <w:rPr>
          <w:rFonts w:ascii="Times New Roman" w:hAnsi="Times New Roman" w:cs="Times New Roman"/>
          <w:sz w:val="24"/>
          <w:szCs w:val="24"/>
        </w:rPr>
        <w:t>unique to ILECs.</w:t>
      </w:r>
      <w:r w:rsidR="00A10C3C">
        <w:rPr>
          <w:rStyle w:val="FootnoteReference"/>
          <w:rFonts w:ascii="Times New Roman" w:hAnsi="Times New Roman" w:cs="Times New Roman"/>
          <w:sz w:val="24"/>
          <w:szCs w:val="24"/>
        </w:rPr>
        <w:footnoteReference w:id="4"/>
      </w:r>
      <w:r w:rsidR="002416B4">
        <w:rPr>
          <w:rFonts w:ascii="Times New Roman" w:hAnsi="Times New Roman" w:cs="Times New Roman"/>
          <w:sz w:val="24"/>
          <w:szCs w:val="24"/>
        </w:rPr>
        <w:t xml:space="preserve">  However, </w:t>
      </w:r>
      <w:proofErr w:type="spellStart"/>
      <w:r w:rsidR="002416B4">
        <w:rPr>
          <w:rFonts w:ascii="Times New Roman" w:hAnsi="Times New Roman" w:cs="Times New Roman"/>
          <w:sz w:val="24"/>
          <w:szCs w:val="24"/>
        </w:rPr>
        <w:t>CenturyL</w:t>
      </w:r>
      <w:r>
        <w:rPr>
          <w:rFonts w:ascii="Times New Roman" w:hAnsi="Times New Roman" w:cs="Times New Roman"/>
          <w:sz w:val="24"/>
          <w:szCs w:val="24"/>
        </w:rPr>
        <w:t>ink</w:t>
      </w:r>
      <w:proofErr w:type="spellEnd"/>
      <w:r>
        <w:rPr>
          <w:rFonts w:ascii="Times New Roman" w:hAnsi="Times New Roman" w:cs="Times New Roman"/>
          <w:sz w:val="24"/>
          <w:szCs w:val="24"/>
        </w:rPr>
        <w:t xml:space="preserve">  fails to cite to any specific regulations associated with </w:t>
      </w:r>
      <w:r w:rsidR="00C1557D">
        <w:rPr>
          <w:rFonts w:ascii="Times New Roman" w:hAnsi="Times New Roman" w:cs="Times New Roman"/>
          <w:sz w:val="24"/>
          <w:szCs w:val="24"/>
        </w:rPr>
        <w:t xml:space="preserve">its </w:t>
      </w:r>
      <w:r w:rsidR="00A10C3C">
        <w:rPr>
          <w:rFonts w:ascii="Times New Roman" w:hAnsi="Times New Roman" w:cs="Times New Roman"/>
          <w:sz w:val="24"/>
          <w:szCs w:val="24"/>
        </w:rPr>
        <w:t>obligations</w:t>
      </w:r>
      <w:r w:rsidR="00C1557D">
        <w:rPr>
          <w:rFonts w:ascii="Times New Roman" w:hAnsi="Times New Roman" w:cs="Times New Roman"/>
          <w:sz w:val="24"/>
          <w:szCs w:val="24"/>
        </w:rPr>
        <w:t>,</w:t>
      </w:r>
      <w:r w:rsidR="00A10C3C">
        <w:rPr>
          <w:rFonts w:ascii="Times New Roman" w:hAnsi="Times New Roman" w:cs="Times New Roman"/>
          <w:sz w:val="24"/>
          <w:szCs w:val="24"/>
        </w:rPr>
        <w:t xml:space="preserve"> and </w:t>
      </w:r>
      <w:r w:rsidR="00C1557D">
        <w:rPr>
          <w:rFonts w:ascii="Times New Roman" w:hAnsi="Times New Roman" w:cs="Times New Roman"/>
          <w:sz w:val="24"/>
          <w:szCs w:val="24"/>
        </w:rPr>
        <w:t xml:space="preserve">fails </w:t>
      </w:r>
      <w:r>
        <w:rPr>
          <w:rFonts w:ascii="Times New Roman" w:hAnsi="Times New Roman" w:cs="Times New Roman"/>
          <w:sz w:val="24"/>
          <w:szCs w:val="24"/>
        </w:rPr>
        <w:t xml:space="preserve">to </w:t>
      </w:r>
      <w:r w:rsidR="00C1557D">
        <w:rPr>
          <w:rFonts w:ascii="Times New Roman" w:hAnsi="Times New Roman" w:cs="Times New Roman"/>
          <w:sz w:val="24"/>
          <w:szCs w:val="24"/>
        </w:rPr>
        <w:t xml:space="preserve">define what </w:t>
      </w:r>
      <w:r>
        <w:rPr>
          <w:rFonts w:ascii="Times New Roman" w:hAnsi="Times New Roman" w:cs="Times New Roman"/>
          <w:sz w:val="24"/>
          <w:szCs w:val="24"/>
        </w:rPr>
        <w:t>th</w:t>
      </w:r>
      <w:r w:rsidR="00C1557D">
        <w:rPr>
          <w:rFonts w:ascii="Times New Roman" w:hAnsi="Times New Roman" w:cs="Times New Roman"/>
          <w:sz w:val="24"/>
          <w:szCs w:val="24"/>
        </w:rPr>
        <w:t>ose</w:t>
      </w:r>
      <w:r>
        <w:rPr>
          <w:rFonts w:ascii="Times New Roman" w:hAnsi="Times New Roman" w:cs="Times New Roman"/>
          <w:sz w:val="24"/>
          <w:szCs w:val="24"/>
        </w:rPr>
        <w:t xml:space="preserve"> costs</w:t>
      </w:r>
      <w:r w:rsidR="00C1557D">
        <w:rPr>
          <w:rFonts w:ascii="Times New Roman" w:hAnsi="Times New Roman" w:cs="Times New Roman"/>
          <w:sz w:val="24"/>
          <w:szCs w:val="24"/>
        </w:rPr>
        <w:t xml:space="preserve"> are and how they are calculated</w:t>
      </w:r>
      <w:r>
        <w:rPr>
          <w:rFonts w:ascii="Times New Roman" w:hAnsi="Times New Roman" w:cs="Times New Roman"/>
          <w:sz w:val="24"/>
          <w:szCs w:val="24"/>
        </w:rPr>
        <w:t xml:space="preserve">.  </w:t>
      </w:r>
      <w:r w:rsidR="00A10C3C">
        <w:rPr>
          <w:rFonts w:ascii="Times New Roman" w:hAnsi="Times New Roman" w:cs="Times New Roman"/>
          <w:sz w:val="24"/>
          <w:szCs w:val="24"/>
        </w:rPr>
        <w:t>In claiming un</w:t>
      </w:r>
      <w:r w:rsidR="002416B4">
        <w:rPr>
          <w:rFonts w:ascii="Times New Roman" w:hAnsi="Times New Roman" w:cs="Times New Roman"/>
          <w:sz w:val="24"/>
          <w:szCs w:val="24"/>
        </w:rPr>
        <w:t xml:space="preserve">ique ILEC requirements, </w:t>
      </w:r>
      <w:proofErr w:type="spellStart"/>
      <w:r w:rsidR="002416B4">
        <w:rPr>
          <w:rFonts w:ascii="Times New Roman" w:hAnsi="Times New Roman" w:cs="Times New Roman"/>
          <w:sz w:val="24"/>
          <w:szCs w:val="24"/>
        </w:rPr>
        <w:t>CenturyL</w:t>
      </w:r>
      <w:r w:rsidR="00A10C3C">
        <w:rPr>
          <w:rFonts w:ascii="Times New Roman" w:hAnsi="Times New Roman" w:cs="Times New Roman"/>
          <w:sz w:val="24"/>
          <w:szCs w:val="24"/>
        </w:rPr>
        <w:t>ink</w:t>
      </w:r>
      <w:proofErr w:type="spellEnd"/>
      <w:r w:rsidR="00A10C3C">
        <w:rPr>
          <w:rFonts w:ascii="Times New Roman" w:hAnsi="Times New Roman" w:cs="Times New Roman"/>
          <w:sz w:val="24"/>
          <w:szCs w:val="24"/>
        </w:rPr>
        <w:t xml:space="preserve"> fails to distinguish itself from other ILECs in Ohio that were required to implement switched access reform without the guaranteed subsidies proposed in the ARF.</w:t>
      </w:r>
      <w:r w:rsidR="00A10C3C">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7E453A" w:rsidRDefault="007E453A">
      <w:pPr>
        <w:rPr>
          <w:rFonts w:ascii="Times New Roman" w:hAnsi="Times New Roman" w:cs="Times New Roman"/>
          <w:sz w:val="24"/>
          <w:szCs w:val="24"/>
        </w:rPr>
      </w:pPr>
      <w:r>
        <w:rPr>
          <w:rFonts w:ascii="Times New Roman" w:hAnsi="Times New Roman" w:cs="Times New Roman"/>
          <w:sz w:val="24"/>
          <w:szCs w:val="24"/>
        </w:rPr>
        <w:br w:type="page"/>
      </w:r>
    </w:p>
    <w:p w:rsidR="002A6732" w:rsidRPr="00AF51BF" w:rsidRDefault="002A6732" w:rsidP="00AF51BF">
      <w:pPr>
        <w:pStyle w:val="ListParagraph"/>
        <w:numPr>
          <w:ilvl w:val="0"/>
          <w:numId w:val="3"/>
        </w:numPr>
        <w:ind w:left="2160" w:hanging="720"/>
        <w:rPr>
          <w:rFonts w:ascii="Times New Roman" w:hAnsi="Times New Roman" w:cs="Times New Roman"/>
          <w:sz w:val="24"/>
          <w:szCs w:val="24"/>
          <w:u w:val="single"/>
        </w:rPr>
      </w:pPr>
      <w:r w:rsidRPr="002A6732">
        <w:rPr>
          <w:rFonts w:ascii="Times New Roman" w:hAnsi="Times New Roman" w:cs="Times New Roman"/>
          <w:sz w:val="24"/>
          <w:szCs w:val="24"/>
          <w:u w:val="single"/>
        </w:rPr>
        <w:lastRenderedPageBreak/>
        <w:t>Before Creating a State Fund, it</w:t>
      </w:r>
      <w:r w:rsidR="00B205C6" w:rsidRPr="002A6732">
        <w:rPr>
          <w:rFonts w:ascii="Times New Roman" w:hAnsi="Times New Roman" w:cs="Times New Roman"/>
          <w:sz w:val="24"/>
          <w:szCs w:val="24"/>
          <w:u w:val="single"/>
        </w:rPr>
        <w:t xml:space="preserve"> is Imperative to Create a Statewide Benchmark </w:t>
      </w:r>
    </w:p>
    <w:p w:rsidR="002A6732" w:rsidRPr="002A6732" w:rsidRDefault="002A6732" w:rsidP="002A6732">
      <w:pPr>
        <w:spacing w:after="0" w:line="480" w:lineRule="auto"/>
        <w:ind w:firstLine="720"/>
        <w:rPr>
          <w:rFonts w:ascii="Times New Roman" w:hAnsi="Times New Roman" w:cs="Times New Roman"/>
          <w:b/>
          <w:sz w:val="24"/>
          <w:szCs w:val="24"/>
        </w:rPr>
      </w:pPr>
      <w:r w:rsidRPr="002A6732">
        <w:rPr>
          <w:rFonts w:ascii="Times New Roman" w:hAnsi="Times New Roman" w:cs="Times New Roman"/>
          <w:sz w:val="24"/>
          <w:szCs w:val="24"/>
        </w:rPr>
        <w:t>In addition to looking at all revenues generated by facilities receiving support, the PUCO should also establish an appropriate statewide benchmark rate.  By adopting a statewide benchmark, the Commission can set an affordable rate for local services while making sure one company’s customers do not unnecessarily subsidize the operations of another company.</w:t>
      </w:r>
      <w:r>
        <w:rPr>
          <w:rFonts w:ascii="Times New Roman" w:hAnsi="Times New Roman" w:cs="Times New Roman"/>
          <w:sz w:val="24"/>
          <w:szCs w:val="24"/>
        </w:rPr>
        <w:t xml:space="preserve">  As explained by Verizon, the state can meet revenue neutrality requirements by implementing rate rebalancing for local exchange service</w:t>
      </w:r>
      <w:r w:rsidR="002416B4">
        <w:rPr>
          <w:rFonts w:ascii="Times New Roman" w:hAnsi="Times New Roman" w:cs="Times New Roman"/>
          <w:sz w:val="24"/>
          <w:szCs w:val="24"/>
        </w:rPr>
        <w:t>s</w:t>
      </w:r>
      <w:r>
        <w:rPr>
          <w:rFonts w:ascii="Times New Roman" w:hAnsi="Times New Roman" w:cs="Times New Roman"/>
          <w:sz w:val="24"/>
          <w:szCs w:val="24"/>
        </w:rPr>
        <w:t>.</w:t>
      </w:r>
      <w:r w:rsidR="00D36138">
        <w:rPr>
          <w:rStyle w:val="FootnoteReference"/>
          <w:rFonts w:ascii="Times New Roman" w:hAnsi="Times New Roman" w:cs="Times New Roman"/>
          <w:sz w:val="24"/>
          <w:szCs w:val="24"/>
        </w:rPr>
        <w:footnoteReference w:id="6"/>
      </w:r>
      <w:r w:rsidR="00D36138">
        <w:rPr>
          <w:rFonts w:ascii="Times New Roman" w:hAnsi="Times New Roman" w:cs="Times New Roman"/>
          <w:sz w:val="24"/>
          <w:szCs w:val="24"/>
        </w:rPr>
        <w:t xml:space="preserve">  Verizon further explains how SB 162 intended for the PUCO to implement rate rebalancing to offset lost access revenues.  Specifically, SB 162 states that “any resulting rate changes necessary to comply with division (B) or (C) of this section shall be in addition to any upward [retail] rate alteration[s] made under section 4927.12 of the Revised Code.”</w:t>
      </w:r>
      <w:r w:rsidR="00D36138">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C604DF" w:rsidRDefault="00C604DF" w:rsidP="002416B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As previously explained by T-Mobile, if the </w:t>
      </w:r>
      <w:r w:rsidRPr="00E767F8">
        <w:rPr>
          <w:rFonts w:ascii="Times New Roman" w:hAnsi="Times New Roman" w:cs="Times New Roman"/>
          <w:sz w:val="24"/>
          <w:szCs w:val="24"/>
        </w:rPr>
        <w:t xml:space="preserve">State does not impose this requirement, </w:t>
      </w:r>
      <w:r w:rsidR="002416B4">
        <w:rPr>
          <w:rFonts w:ascii="Times New Roman" w:hAnsi="Times New Roman" w:cs="Times New Roman"/>
          <w:sz w:val="24"/>
          <w:szCs w:val="24"/>
        </w:rPr>
        <w:t xml:space="preserve">certain ILECs </w:t>
      </w:r>
      <w:r w:rsidRPr="00E767F8">
        <w:rPr>
          <w:rFonts w:ascii="Times New Roman" w:hAnsi="Times New Roman" w:cs="Times New Roman"/>
          <w:sz w:val="24"/>
          <w:szCs w:val="24"/>
        </w:rPr>
        <w:t xml:space="preserve">could choose not to increase rates, and effectively prevent the development of competition in their markets through subsidies funded by potential competitors.  </w:t>
      </w:r>
      <w:r w:rsidR="002416B4">
        <w:rPr>
          <w:rFonts w:ascii="Times New Roman" w:hAnsi="Times New Roman" w:cs="Times New Roman"/>
          <w:sz w:val="24"/>
          <w:szCs w:val="24"/>
        </w:rPr>
        <w:t xml:space="preserve">As noted by Cincinnati Bell, </w:t>
      </w:r>
      <w:r w:rsidR="00BA70A0">
        <w:rPr>
          <w:rFonts w:ascii="Times New Roman" w:hAnsi="Times New Roman" w:cs="Times New Roman"/>
          <w:sz w:val="24"/>
          <w:szCs w:val="24"/>
        </w:rPr>
        <w:t>some companies have charged rates as low at $5.60 per access line and $6.25 per line.</w:t>
      </w:r>
      <w:r w:rsidR="00BA70A0">
        <w:rPr>
          <w:rStyle w:val="FootnoteReference"/>
          <w:rFonts w:ascii="Times New Roman" w:hAnsi="Times New Roman" w:cs="Times New Roman"/>
          <w:sz w:val="24"/>
          <w:szCs w:val="24"/>
        </w:rPr>
        <w:footnoteReference w:id="8"/>
      </w:r>
      <w:r w:rsidR="00BA70A0">
        <w:rPr>
          <w:rFonts w:ascii="Times New Roman" w:hAnsi="Times New Roman" w:cs="Times New Roman"/>
          <w:sz w:val="24"/>
          <w:szCs w:val="24"/>
        </w:rPr>
        <w:t xml:space="preserve">  </w:t>
      </w:r>
      <w:r w:rsidRPr="00E767F8">
        <w:rPr>
          <w:rFonts w:ascii="Times New Roman" w:hAnsi="Times New Roman" w:cs="Times New Roman"/>
          <w:sz w:val="24"/>
          <w:szCs w:val="24"/>
        </w:rPr>
        <w:t xml:space="preserve">Subsidizing </w:t>
      </w:r>
      <w:r w:rsidR="00BA70A0">
        <w:rPr>
          <w:rFonts w:ascii="Times New Roman" w:hAnsi="Times New Roman" w:cs="Times New Roman"/>
          <w:sz w:val="24"/>
          <w:szCs w:val="24"/>
        </w:rPr>
        <w:t>certain I</w:t>
      </w:r>
      <w:r w:rsidRPr="00E767F8">
        <w:rPr>
          <w:rFonts w:ascii="Times New Roman" w:hAnsi="Times New Roman" w:cs="Times New Roman"/>
          <w:sz w:val="24"/>
          <w:szCs w:val="24"/>
        </w:rPr>
        <w:t>LECs’ local rates keeps those rates artificially low, which makes it difficult for competitors to enter the market and compete when competitors’ rates are not subsidized.  This policy is anticompetitive a</w:t>
      </w:r>
      <w:r w:rsidR="00BA70A0">
        <w:rPr>
          <w:rFonts w:ascii="Times New Roman" w:hAnsi="Times New Roman" w:cs="Times New Roman"/>
          <w:sz w:val="24"/>
          <w:szCs w:val="24"/>
        </w:rPr>
        <w:t>nd harmful to consumers in those ILEC territories</w:t>
      </w:r>
      <w:r w:rsidRPr="00E767F8">
        <w:rPr>
          <w:rFonts w:ascii="Times New Roman" w:hAnsi="Times New Roman" w:cs="Times New Roman"/>
          <w:sz w:val="24"/>
          <w:szCs w:val="24"/>
        </w:rPr>
        <w:t xml:space="preserve"> because they are unable to experience the benefits of competition.  Furthermore, forcing other companies to pa</w:t>
      </w:r>
      <w:r w:rsidR="00BA70A0">
        <w:rPr>
          <w:rFonts w:ascii="Times New Roman" w:hAnsi="Times New Roman" w:cs="Times New Roman"/>
          <w:sz w:val="24"/>
          <w:szCs w:val="24"/>
        </w:rPr>
        <w:t>y for below-benchmark rates by I</w:t>
      </w:r>
      <w:r w:rsidRPr="00E767F8">
        <w:rPr>
          <w:rFonts w:ascii="Times New Roman" w:hAnsi="Times New Roman" w:cs="Times New Roman"/>
          <w:sz w:val="24"/>
          <w:szCs w:val="24"/>
        </w:rPr>
        <w:t>LECs increases the other companies’ costs, thereby forcing those companies to pass the costs onto their customers and to delay investmen</w:t>
      </w:r>
      <w:r w:rsidR="00BA70A0">
        <w:rPr>
          <w:rFonts w:ascii="Times New Roman" w:hAnsi="Times New Roman" w:cs="Times New Roman"/>
          <w:sz w:val="24"/>
          <w:szCs w:val="24"/>
        </w:rPr>
        <w:t xml:space="preserve">t in </w:t>
      </w:r>
      <w:r w:rsidR="00BA70A0">
        <w:rPr>
          <w:rFonts w:ascii="Times New Roman" w:hAnsi="Times New Roman" w:cs="Times New Roman"/>
          <w:sz w:val="24"/>
          <w:szCs w:val="24"/>
        </w:rPr>
        <w:lastRenderedPageBreak/>
        <w:t xml:space="preserve">their network.  </w:t>
      </w:r>
      <w:r w:rsidR="00C1557D">
        <w:rPr>
          <w:rFonts w:ascii="Times New Roman" w:hAnsi="Times New Roman" w:cs="Times New Roman"/>
          <w:sz w:val="24"/>
          <w:szCs w:val="24"/>
        </w:rPr>
        <w:t>It also serves to insulate the ILEC from the</w:t>
      </w:r>
      <w:r w:rsidR="005F1C30">
        <w:rPr>
          <w:rFonts w:ascii="Times New Roman" w:hAnsi="Times New Roman" w:cs="Times New Roman"/>
          <w:sz w:val="24"/>
          <w:szCs w:val="24"/>
        </w:rPr>
        <w:t xml:space="preserve"> effects of changes in consumer preferences, effectively turning  an ILEC business problem into a public-policy subsidy problem.  </w:t>
      </w:r>
      <w:r w:rsidR="00BA70A0">
        <w:rPr>
          <w:rFonts w:ascii="Times New Roman" w:hAnsi="Times New Roman" w:cs="Times New Roman"/>
          <w:sz w:val="24"/>
          <w:szCs w:val="24"/>
        </w:rPr>
        <w:t>As noted by Verizon, “[t]his would hinder, not promote, staff’s objective of ‘encouraging greater competition.’”</w:t>
      </w:r>
      <w:r w:rsidR="00BA70A0">
        <w:rPr>
          <w:rStyle w:val="FootnoteReference"/>
          <w:rFonts w:ascii="Times New Roman" w:hAnsi="Times New Roman" w:cs="Times New Roman"/>
          <w:sz w:val="24"/>
          <w:szCs w:val="24"/>
        </w:rPr>
        <w:footnoteReference w:id="9"/>
      </w:r>
      <w:r w:rsidRPr="00E767F8">
        <w:rPr>
          <w:rFonts w:ascii="Times New Roman" w:hAnsi="Times New Roman" w:cs="Times New Roman"/>
          <w:sz w:val="24"/>
          <w:szCs w:val="24"/>
        </w:rPr>
        <w:t xml:space="preserve">    </w:t>
      </w:r>
    </w:p>
    <w:p w:rsidR="00B205C6" w:rsidRPr="00C604DF" w:rsidRDefault="00B205C6" w:rsidP="005270B7">
      <w:pPr>
        <w:pStyle w:val="ListParagraph"/>
        <w:numPr>
          <w:ilvl w:val="0"/>
          <w:numId w:val="2"/>
        </w:numPr>
        <w:ind w:hanging="720"/>
        <w:rPr>
          <w:rFonts w:ascii="Times New Roman" w:hAnsi="Times New Roman" w:cs="Times New Roman"/>
          <w:b/>
          <w:sz w:val="24"/>
          <w:szCs w:val="24"/>
        </w:rPr>
      </w:pPr>
      <w:r w:rsidRPr="00C604DF">
        <w:rPr>
          <w:rFonts w:ascii="Times New Roman" w:hAnsi="Times New Roman" w:cs="Times New Roman"/>
          <w:b/>
          <w:sz w:val="24"/>
          <w:szCs w:val="24"/>
        </w:rPr>
        <w:t>Any Future Fund Should Be Limited in Size and Duration and Based on Current Data</w:t>
      </w:r>
    </w:p>
    <w:p w:rsidR="008C77D0" w:rsidRDefault="00B205C6" w:rsidP="00CF74D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As previously explained by T-Mobile in its Initial Comments, it is wholly unnecessary for the state of Ohio to create a fund to implement revenue-neutral access reform.  ILECs should always look to their customers to recover the costs of providing services, including benchmark retail rates and other revenues from services over the common network, such as bundles, broadband and video.  However, if it does proceed forward in creation of the ARF, it should be temporary for all ILECs operating in Ohio, including non-priced capped carriers.  Additionally, the fund should only be based on current data, calculated at least on an annual basis.</w:t>
      </w:r>
    </w:p>
    <w:p w:rsidR="008C77D0" w:rsidRDefault="00B205C6" w:rsidP="00CF74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explain</w:t>
      </w:r>
      <w:r w:rsidR="0036338C">
        <w:rPr>
          <w:rFonts w:ascii="Times New Roman" w:hAnsi="Times New Roman" w:cs="Times New Roman"/>
          <w:sz w:val="24"/>
          <w:szCs w:val="24"/>
        </w:rPr>
        <w:t xml:space="preserve">ed by Cincinnati Bell, </w:t>
      </w:r>
      <w:r w:rsidR="00A33C3F">
        <w:rPr>
          <w:rFonts w:ascii="Times New Roman" w:hAnsi="Times New Roman" w:cs="Times New Roman"/>
          <w:sz w:val="24"/>
          <w:szCs w:val="24"/>
        </w:rPr>
        <w:t>S</w:t>
      </w:r>
      <w:r w:rsidR="0036338C">
        <w:rPr>
          <w:rFonts w:ascii="Times New Roman" w:hAnsi="Times New Roman" w:cs="Times New Roman"/>
          <w:sz w:val="24"/>
          <w:szCs w:val="24"/>
        </w:rPr>
        <w:t>ection 4927.1</w:t>
      </w:r>
      <w:r w:rsidR="00A33C3F">
        <w:rPr>
          <w:rFonts w:ascii="Times New Roman" w:hAnsi="Times New Roman" w:cs="Times New Roman"/>
          <w:sz w:val="24"/>
          <w:szCs w:val="24"/>
        </w:rPr>
        <w:t>5</w:t>
      </w:r>
      <w:r w:rsidR="0036338C">
        <w:rPr>
          <w:rFonts w:ascii="Times New Roman" w:hAnsi="Times New Roman" w:cs="Times New Roman"/>
          <w:sz w:val="24"/>
          <w:szCs w:val="24"/>
        </w:rPr>
        <w:t>(B)</w:t>
      </w:r>
      <w:r w:rsidR="00A33C3F">
        <w:rPr>
          <w:rFonts w:ascii="Times New Roman" w:hAnsi="Times New Roman" w:cs="Times New Roman"/>
          <w:sz w:val="24"/>
          <w:szCs w:val="24"/>
        </w:rPr>
        <w:t xml:space="preserve">, Revised Code </w:t>
      </w:r>
      <w:r w:rsidR="0036338C">
        <w:rPr>
          <w:rFonts w:ascii="Times New Roman" w:hAnsi="Times New Roman" w:cs="Times New Roman"/>
          <w:sz w:val="24"/>
          <w:szCs w:val="24"/>
        </w:rPr>
        <w:t>states that the Commission can order reductions of “rates for carrier access that are in effect on the effective date of this section, which was September 13, 2010.</w:t>
      </w:r>
      <w:r w:rsidR="0075428D">
        <w:rPr>
          <w:rFonts w:ascii="Times New Roman" w:hAnsi="Times New Roman" w:cs="Times New Roman"/>
          <w:sz w:val="24"/>
          <w:szCs w:val="24"/>
        </w:rPr>
        <w:t>”</w:t>
      </w:r>
      <w:r w:rsidR="0075428D">
        <w:rPr>
          <w:rStyle w:val="FootnoteReference"/>
          <w:rFonts w:ascii="Times New Roman" w:hAnsi="Times New Roman" w:cs="Times New Roman"/>
          <w:sz w:val="24"/>
          <w:szCs w:val="24"/>
        </w:rPr>
        <w:footnoteReference w:id="10"/>
      </w:r>
      <w:r w:rsidR="0075428D">
        <w:rPr>
          <w:rFonts w:ascii="Times New Roman" w:hAnsi="Times New Roman" w:cs="Times New Roman"/>
          <w:sz w:val="24"/>
          <w:szCs w:val="24"/>
        </w:rPr>
        <w:t xml:space="preserve">  As a result, any subsidies from the ARF that are tied to ILEC revenues occurring </w:t>
      </w:r>
      <w:r w:rsidR="008C77D0">
        <w:rPr>
          <w:rFonts w:ascii="Times New Roman" w:hAnsi="Times New Roman" w:cs="Times New Roman"/>
          <w:sz w:val="24"/>
          <w:szCs w:val="24"/>
        </w:rPr>
        <w:t>before September 13, 2010 are not related to access revenues but merely direct subsidies to ILECs paid by their competitors.</w:t>
      </w:r>
      <w:r w:rsidR="0075428D">
        <w:rPr>
          <w:rFonts w:ascii="Times New Roman" w:hAnsi="Times New Roman" w:cs="Times New Roman"/>
          <w:sz w:val="24"/>
          <w:szCs w:val="24"/>
        </w:rPr>
        <w:t xml:space="preserve"> </w:t>
      </w:r>
      <w:r w:rsidR="008C77D0">
        <w:rPr>
          <w:rFonts w:ascii="Times New Roman" w:hAnsi="Times New Roman" w:cs="Times New Roman"/>
          <w:sz w:val="24"/>
          <w:szCs w:val="24"/>
        </w:rPr>
        <w:t xml:space="preserve">  As explained by Cincinnati Bell, an ARF based on 2009 data would improperly compensate eligible carriers for reductions in access revenue that had already occurred before the statute was in effect.</w:t>
      </w:r>
      <w:r w:rsidR="008C77D0">
        <w:rPr>
          <w:rStyle w:val="FootnoteReference"/>
          <w:rFonts w:ascii="Times New Roman" w:hAnsi="Times New Roman" w:cs="Times New Roman"/>
          <w:sz w:val="24"/>
          <w:szCs w:val="24"/>
        </w:rPr>
        <w:footnoteReference w:id="11"/>
      </w:r>
      <w:r w:rsidR="008C77D0">
        <w:rPr>
          <w:rFonts w:ascii="Times New Roman" w:hAnsi="Times New Roman" w:cs="Times New Roman"/>
          <w:sz w:val="24"/>
          <w:szCs w:val="24"/>
        </w:rPr>
        <w:t xml:space="preserve">  </w:t>
      </w:r>
      <w:r w:rsidR="0075428D">
        <w:rPr>
          <w:rFonts w:ascii="Times New Roman" w:hAnsi="Times New Roman" w:cs="Times New Roman"/>
          <w:sz w:val="24"/>
          <w:szCs w:val="24"/>
        </w:rPr>
        <w:t>The Staff has proposed the ARF</w:t>
      </w:r>
      <w:r w:rsidR="0036338C">
        <w:rPr>
          <w:rFonts w:ascii="Times New Roman" w:hAnsi="Times New Roman" w:cs="Times New Roman"/>
          <w:sz w:val="24"/>
          <w:szCs w:val="24"/>
        </w:rPr>
        <w:t xml:space="preserve"> based on 2009 data, which runs afo</w:t>
      </w:r>
      <w:r w:rsidR="00606616">
        <w:rPr>
          <w:rFonts w:ascii="Times New Roman" w:hAnsi="Times New Roman" w:cs="Times New Roman"/>
          <w:sz w:val="24"/>
          <w:szCs w:val="24"/>
        </w:rPr>
        <w:t>u</w:t>
      </w:r>
      <w:r w:rsidR="0036338C">
        <w:rPr>
          <w:rFonts w:ascii="Times New Roman" w:hAnsi="Times New Roman" w:cs="Times New Roman"/>
          <w:sz w:val="24"/>
          <w:szCs w:val="24"/>
        </w:rPr>
        <w:t xml:space="preserve">l of the explicit language </w:t>
      </w:r>
      <w:r w:rsidR="0075428D">
        <w:rPr>
          <w:rFonts w:ascii="Times New Roman" w:hAnsi="Times New Roman" w:cs="Times New Roman"/>
          <w:sz w:val="24"/>
          <w:szCs w:val="24"/>
        </w:rPr>
        <w:t xml:space="preserve">contained </w:t>
      </w:r>
      <w:r w:rsidR="0036338C">
        <w:rPr>
          <w:rFonts w:ascii="Times New Roman" w:hAnsi="Times New Roman" w:cs="Times New Roman"/>
          <w:sz w:val="24"/>
          <w:szCs w:val="24"/>
        </w:rPr>
        <w:t xml:space="preserve">in SB 162.  </w:t>
      </w:r>
      <w:r w:rsidR="008C77D0">
        <w:rPr>
          <w:rFonts w:ascii="Times New Roman" w:hAnsi="Times New Roman" w:cs="Times New Roman"/>
          <w:sz w:val="24"/>
          <w:szCs w:val="24"/>
        </w:rPr>
        <w:t xml:space="preserve">If the PUCO proceeds forward in creation of the ARF, it is imperative that </w:t>
      </w:r>
      <w:r w:rsidR="008C77D0">
        <w:rPr>
          <w:rFonts w:ascii="Times New Roman" w:hAnsi="Times New Roman" w:cs="Times New Roman"/>
          <w:sz w:val="24"/>
          <w:szCs w:val="24"/>
        </w:rPr>
        <w:lastRenderedPageBreak/>
        <w:t xml:space="preserve">it is based on data no earlier than September 2010.  Additionally, an ARF should be based on annual </w:t>
      </w:r>
      <w:r w:rsidR="00EF2B47">
        <w:rPr>
          <w:rFonts w:ascii="Times New Roman" w:hAnsi="Times New Roman" w:cs="Times New Roman"/>
          <w:sz w:val="24"/>
          <w:szCs w:val="24"/>
        </w:rPr>
        <w:t>adjustments</w:t>
      </w:r>
      <w:r w:rsidR="008C77D0">
        <w:rPr>
          <w:rFonts w:ascii="Times New Roman" w:hAnsi="Times New Roman" w:cs="Times New Roman"/>
          <w:sz w:val="24"/>
          <w:szCs w:val="24"/>
        </w:rPr>
        <w:t xml:space="preserve">.  </w:t>
      </w:r>
      <w:r w:rsidR="00EF2B47">
        <w:rPr>
          <w:rFonts w:ascii="Times New Roman" w:hAnsi="Times New Roman" w:cs="Times New Roman"/>
          <w:sz w:val="24"/>
          <w:szCs w:val="24"/>
        </w:rPr>
        <w:t xml:space="preserve">Waiting two years between adjustments is unreasonable and </w:t>
      </w:r>
      <w:r w:rsidR="008C77D0">
        <w:rPr>
          <w:rFonts w:ascii="Times New Roman" w:hAnsi="Times New Roman" w:cs="Times New Roman"/>
          <w:sz w:val="24"/>
          <w:szCs w:val="24"/>
        </w:rPr>
        <w:t>unnecessarily</w:t>
      </w:r>
      <w:r w:rsidR="00EF2B47">
        <w:rPr>
          <w:rFonts w:ascii="Times New Roman" w:hAnsi="Times New Roman" w:cs="Times New Roman"/>
          <w:sz w:val="24"/>
          <w:szCs w:val="24"/>
        </w:rPr>
        <w:t xml:space="preserve"> insulates the eligible ILECs from competition for each year.</w:t>
      </w:r>
      <w:r w:rsidR="00EF2B47">
        <w:rPr>
          <w:rStyle w:val="FootnoteReference"/>
          <w:rFonts w:ascii="Times New Roman" w:hAnsi="Times New Roman" w:cs="Times New Roman"/>
          <w:sz w:val="24"/>
          <w:szCs w:val="24"/>
        </w:rPr>
        <w:footnoteReference w:id="12"/>
      </w:r>
      <w:r w:rsidR="00EF2B47">
        <w:rPr>
          <w:rFonts w:ascii="Times New Roman" w:hAnsi="Times New Roman" w:cs="Times New Roman"/>
          <w:sz w:val="24"/>
          <w:szCs w:val="24"/>
        </w:rPr>
        <w:t xml:space="preserve"> </w:t>
      </w:r>
      <w:r w:rsidR="0036338C">
        <w:rPr>
          <w:rFonts w:ascii="Times New Roman" w:hAnsi="Times New Roman" w:cs="Times New Roman"/>
          <w:sz w:val="24"/>
          <w:szCs w:val="24"/>
        </w:rPr>
        <w:t xml:space="preserve"> </w:t>
      </w:r>
    </w:p>
    <w:p w:rsidR="0036338C" w:rsidRDefault="0036338C" w:rsidP="008C77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Taking aside the PUCO’s statutory limits of implementing access reform anytime on or after the effective date of SB 162, it is harmful for both consumers and carriers if the PUCO creates a subsidy fund based on outdated data.  As T-Mobile </w:t>
      </w:r>
      <w:r w:rsidR="00606616">
        <w:rPr>
          <w:rFonts w:ascii="Times New Roman" w:hAnsi="Times New Roman" w:cs="Times New Roman"/>
          <w:sz w:val="24"/>
          <w:szCs w:val="24"/>
        </w:rPr>
        <w:t>and</w:t>
      </w:r>
      <w:r>
        <w:rPr>
          <w:rFonts w:ascii="Times New Roman" w:hAnsi="Times New Roman" w:cs="Times New Roman"/>
          <w:sz w:val="24"/>
          <w:szCs w:val="24"/>
        </w:rPr>
        <w:t xml:space="preserve"> other carriers</w:t>
      </w:r>
      <w:r w:rsidR="00606616">
        <w:rPr>
          <w:rFonts w:ascii="Times New Roman" w:hAnsi="Times New Roman" w:cs="Times New Roman"/>
          <w:sz w:val="24"/>
          <w:szCs w:val="24"/>
        </w:rPr>
        <w:t xml:space="preserve"> (</w:t>
      </w:r>
      <w:r>
        <w:rPr>
          <w:rFonts w:ascii="Times New Roman" w:hAnsi="Times New Roman" w:cs="Times New Roman"/>
          <w:sz w:val="24"/>
          <w:szCs w:val="24"/>
        </w:rPr>
        <w:t>including Sprint</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and AT&amp;T</w:t>
      </w:r>
      <w:r>
        <w:rPr>
          <w:rStyle w:val="FootnoteReference"/>
          <w:rFonts w:ascii="Times New Roman" w:hAnsi="Times New Roman" w:cs="Times New Roman"/>
          <w:sz w:val="24"/>
          <w:szCs w:val="24"/>
        </w:rPr>
        <w:footnoteReference w:id="14"/>
      </w:r>
      <w:r w:rsidR="00606616">
        <w:rPr>
          <w:rFonts w:ascii="Times New Roman" w:hAnsi="Times New Roman" w:cs="Times New Roman"/>
          <w:sz w:val="24"/>
          <w:szCs w:val="24"/>
        </w:rPr>
        <w:t>) explained</w:t>
      </w:r>
      <w:r>
        <w:rPr>
          <w:rFonts w:ascii="Times New Roman" w:hAnsi="Times New Roman" w:cs="Times New Roman"/>
          <w:sz w:val="24"/>
          <w:szCs w:val="24"/>
        </w:rPr>
        <w:t>, an ARF using 2009 data would simply give the ILECs a windfall, when 2010 data is readily available.  Indeed, using outda</w:t>
      </w:r>
      <w:r w:rsidR="008C77D0">
        <w:rPr>
          <w:rFonts w:ascii="Times New Roman" w:hAnsi="Times New Roman" w:cs="Times New Roman"/>
          <w:sz w:val="24"/>
          <w:szCs w:val="24"/>
        </w:rPr>
        <w:t xml:space="preserve">ted data </w:t>
      </w:r>
      <w:r>
        <w:rPr>
          <w:rFonts w:ascii="Times New Roman" w:hAnsi="Times New Roman" w:cs="Times New Roman"/>
          <w:sz w:val="24"/>
          <w:szCs w:val="24"/>
        </w:rPr>
        <w:t>insulates the ILECs from competitive market forces.  To create a fund that promotes inefficiencies and favors one carrier over others, run</w:t>
      </w:r>
      <w:r w:rsidR="00EF2B47">
        <w:rPr>
          <w:rFonts w:ascii="Times New Roman" w:hAnsi="Times New Roman" w:cs="Times New Roman"/>
          <w:sz w:val="24"/>
          <w:szCs w:val="24"/>
        </w:rPr>
        <w:t>s</w:t>
      </w:r>
      <w:r>
        <w:rPr>
          <w:rFonts w:ascii="Times New Roman" w:hAnsi="Times New Roman" w:cs="Times New Roman"/>
          <w:sz w:val="24"/>
          <w:szCs w:val="24"/>
        </w:rPr>
        <w:t xml:space="preserve"> counter to the legislature’s directives contained in SB 162.  </w:t>
      </w:r>
    </w:p>
    <w:p w:rsidR="00410D37" w:rsidRDefault="00410D37" w:rsidP="00330921">
      <w:pPr>
        <w:pStyle w:val="ListParagraph"/>
        <w:numPr>
          <w:ilvl w:val="0"/>
          <w:numId w:val="1"/>
        </w:numPr>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CONCLUSION</w:t>
      </w:r>
    </w:p>
    <w:p w:rsidR="00330921" w:rsidRDefault="00EE79CA" w:rsidP="00EE79C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reasons set forth above, T-Mobile strongly urges the PUCO to implement revenue-neutral switched access reform in a manner that requires each carrier to demonstrate a need for any additional subsidies by looking at the full financial picture of each carrier including all revenues that it currently receives from customers on the same common network it provides basic local exchange service.  T-Mobile is supportive of the implementation of switched access reform in the state of Ohio, but not when it transfers subsidies from access rates into a state fund.  To this end, T-Mobile believes the state can implement all necessary access reforms without creation of a fund.  </w:t>
      </w:r>
    </w:p>
    <w:p w:rsidR="00330921" w:rsidRDefault="00330921">
      <w:pPr>
        <w:rPr>
          <w:rFonts w:ascii="Times New Roman" w:hAnsi="Times New Roman" w:cs="Times New Roman"/>
          <w:sz w:val="24"/>
          <w:szCs w:val="24"/>
        </w:rPr>
      </w:pPr>
      <w:r>
        <w:rPr>
          <w:rFonts w:ascii="Times New Roman" w:hAnsi="Times New Roman" w:cs="Times New Roman"/>
          <w:sz w:val="24"/>
          <w:szCs w:val="24"/>
        </w:rPr>
        <w:br w:type="page"/>
      </w:r>
    </w:p>
    <w:p w:rsidR="00EE79CA" w:rsidRDefault="00EE79CA" w:rsidP="00EE79CA">
      <w:pPr>
        <w:spacing w:line="480" w:lineRule="auto"/>
        <w:ind w:firstLine="720"/>
        <w:rPr>
          <w:rFonts w:ascii="Times New Roman" w:hAnsi="Times New Roman" w:cs="Times New Roman"/>
          <w:sz w:val="24"/>
          <w:szCs w:val="24"/>
        </w:rPr>
      </w:pPr>
    </w:p>
    <w:p w:rsidR="00330921" w:rsidRDefault="00EE79CA" w:rsidP="00EE79CA">
      <w:pPr>
        <w:spacing w:line="480" w:lineRule="auto"/>
        <w:rPr>
          <w:rFonts w:ascii="Times New Roman" w:hAnsi="Times New Roman" w:cs="Times New Roman"/>
          <w:sz w:val="24"/>
          <w:szCs w:val="24"/>
        </w:rPr>
      </w:pPr>
      <w:r w:rsidRPr="00970E79">
        <w:rPr>
          <w:rFonts w:ascii="Times New Roman" w:hAnsi="Times New Roman" w:cs="Times New Roman"/>
          <w:sz w:val="24"/>
          <w:szCs w:val="24"/>
        </w:rPr>
        <w:t xml:space="preserve">Dated: </w:t>
      </w:r>
      <w:r>
        <w:rPr>
          <w:rFonts w:ascii="Times New Roman" w:hAnsi="Times New Roman" w:cs="Times New Roman"/>
          <w:sz w:val="24"/>
          <w:szCs w:val="24"/>
        </w:rPr>
        <w:t>January 19, 2011</w:t>
      </w:r>
    </w:p>
    <w:p w:rsidR="00EE79CA" w:rsidRDefault="00EE79CA" w:rsidP="00EE79CA">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EE79CA" w:rsidRDefault="00EE79CA" w:rsidP="00EE79CA">
      <w:pPr>
        <w:spacing w:after="0" w:line="240" w:lineRule="auto"/>
        <w:rPr>
          <w:rFonts w:ascii="Times New Roman" w:hAnsi="Times New Roman" w:cs="Times New Roman"/>
          <w:sz w:val="24"/>
          <w:szCs w:val="24"/>
        </w:rPr>
      </w:pPr>
    </w:p>
    <w:p w:rsidR="00EE79CA" w:rsidRDefault="00EE79CA" w:rsidP="00EE79CA">
      <w:pPr>
        <w:spacing w:after="0" w:line="240" w:lineRule="auto"/>
        <w:rPr>
          <w:rFonts w:ascii="Times New Roman" w:hAnsi="Times New Roman" w:cs="Times New Roman"/>
          <w:sz w:val="24"/>
          <w:szCs w:val="24"/>
        </w:rPr>
      </w:pPr>
    </w:p>
    <w:p w:rsidR="00EE79CA" w:rsidRDefault="00EE79CA" w:rsidP="00EE79C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sidR="005E75C0">
        <w:rPr>
          <w:rFonts w:ascii="Times New Roman" w:hAnsi="Times New Roman" w:cs="Times New Roman"/>
          <w:sz w:val="24"/>
          <w:szCs w:val="24"/>
          <w:u w:val="single"/>
        </w:rPr>
        <w:t>/s/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Garnet </w:t>
      </w:r>
      <w:proofErr w:type="spellStart"/>
      <w:r>
        <w:rPr>
          <w:rFonts w:ascii="Times New Roman" w:hAnsi="Times New Roman" w:cs="Times New Roman"/>
          <w:sz w:val="24"/>
          <w:szCs w:val="24"/>
        </w:rPr>
        <w:t>Hanly</w:t>
      </w:r>
      <w:proofErr w:type="spellEnd"/>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Senior Corporate Counsel</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T-Mobile USA, Inc.</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401 Ninth Street, NW, Suite 550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Washington, DC  20004</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202-654-5908</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9" w:history="1">
        <w:r w:rsidRPr="00F12001">
          <w:rPr>
            <w:rStyle w:val="Hyperlink"/>
            <w:rFonts w:ascii="Times New Roman" w:hAnsi="Times New Roman" w:cs="Times New Roman"/>
            <w:sz w:val="24"/>
            <w:szCs w:val="24"/>
          </w:rPr>
          <w:t>garnet.hanly@t-mobile.com</w:t>
        </w:r>
      </w:hyperlink>
      <w:r>
        <w:rPr>
          <w:rFonts w:ascii="Times New Roman" w:hAnsi="Times New Roman" w:cs="Times New Roman"/>
          <w:sz w:val="24"/>
          <w:szCs w:val="24"/>
        </w:rPr>
        <w:t xml:space="preserve"> </w:t>
      </w:r>
    </w:p>
    <w:p w:rsidR="00B5448A" w:rsidRDefault="00B5448A">
      <w:pPr>
        <w:rPr>
          <w:rFonts w:ascii="Times New Roman" w:hAnsi="Times New Roman" w:cs="Times New Roman"/>
          <w:b/>
          <w:sz w:val="24"/>
          <w:szCs w:val="24"/>
        </w:rPr>
      </w:pPr>
      <w:r>
        <w:rPr>
          <w:rFonts w:ascii="Times New Roman" w:hAnsi="Times New Roman" w:cs="Times New Roman"/>
          <w:b/>
          <w:sz w:val="24"/>
          <w:szCs w:val="24"/>
        </w:rPr>
        <w:br w:type="page"/>
      </w:r>
    </w:p>
    <w:p w:rsidR="00B5448A" w:rsidRDefault="00B5448A" w:rsidP="00B5448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CERTIFICATE OF SERVICE</w:t>
      </w:r>
    </w:p>
    <w:p w:rsidR="00B5448A" w:rsidRDefault="00B5448A" w:rsidP="00B5448A">
      <w:pPr>
        <w:spacing w:after="0" w:line="240" w:lineRule="auto"/>
        <w:jc w:val="center"/>
        <w:rPr>
          <w:rFonts w:ascii="Times New Roman" w:hAnsi="Times New Roman" w:cs="Times New Roman"/>
          <w:b/>
          <w:sz w:val="24"/>
          <w:szCs w:val="24"/>
          <w:u w:val="single"/>
        </w:rPr>
      </w:pPr>
    </w:p>
    <w:p w:rsidR="00B5448A" w:rsidRDefault="00B5448A" w:rsidP="00B5448A">
      <w:pPr>
        <w:spacing w:after="0" w:line="240" w:lineRule="auto"/>
        <w:rPr>
          <w:rFonts w:ascii="Times New Roman" w:hAnsi="Times New Roman" w:cs="Times New Roman"/>
          <w:sz w:val="24"/>
          <w:szCs w:val="24"/>
        </w:rPr>
      </w:pPr>
      <w:r>
        <w:rPr>
          <w:rFonts w:ascii="Times New Roman" w:hAnsi="Times New Roman" w:cs="Times New Roman"/>
          <w:sz w:val="24"/>
          <w:szCs w:val="24"/>
        </w:rPr>
        <w:tab/>
        <w:t>I certify that a copy of the foregoing document was served via electronic mail upon the following persons this 19</w:t>
      </w:r>
      <w:r w:rsidRPr="00B5448A">
        <w:rPr>
          <w:rFonts w:ascii="Times New Roman" w:hAnsi="Times New Roman" w:cs="Times New Roman"/>
          <w:sz w:val="24"/>
          <w:szCs w:val="24"/>
          <w:vertAlign w:val="superscript"/>
        </w:rPr>
        <w:t>th</w:t>
      </w:r>
      <w:r>
        <w:rPr>
          <w:rFonts w:ascii="Times New Roman" w:hAnsi="Times New Roman" w:cs="Times New Roman"/>
          <w:sz w:val="24"/>
          <w:szCs w:val="24"/>
        </w:rPr>
        <w:t xml:space="preserve"> day of January, 2011:</w:t>
      </w:r>
    </w:p>
    <w:p w:rsidR="00B5448A" w:rsidRDefault="00B5448A" w:rsidP="00B5448A">
      <w:pPr>
        <w:spacing w:after="0" w:line="240" w:lineRule="auto"/>
      </w:pPr>
    </w:p>
    <w:p w:rsidR="00B5448A" w:rsidRDefault="00B5448A" w:rsidP="00B5448A">
      <w:pPr>
        <w:spacing w:after="0" w:line="240" w:lineRule="auto"/>
      </w:pPr>
    </w:p>
    <w:p w:rsidR="00B5448A" w:rsidRPr="00B5448A" w:rsidRDefault="00EE6CA9" w:rsidP="00B5448A">
      <w:pPr>
        <w:spacing w:after="0" w:line="240" w:lineRule="auto"/>
        <w:rPr>
          <w:rFonts w:ascii="Times New Roman" w:hAnsi="Times New Roman" w:cs="Times New Roman"/>
          <w:sz w:val="24"/>
          <w:szCs w:val="24"/>
          <w:u w:val="single"/>
        </w:rPr>
      </w:pPr>
      <w:hyperlink r:id="rId10" w:history="1">
        <w:r w:rsidR="00B5448A" w:rsidRPr="00B5448A">
          <w:rPr>
            <w:rStyle w:val="Hyperlink"/>
            <w:rFonts w:ascii="Times New Roman" w:hAnsi="Times New Roman" w:cs="Times New Roman"/>
            <w:sz w:val="24"/>
            <w:szCs w:val="24"/>
          </w:rPr>
          <w:t>Mf1842@att.com</w:t>
        </w:r>
      </w:hyperlink>
    </w:p>
    <w:p w:rsidR="00B5448A" w:rsidRPr="00B5448A" w:rsidRDefault="00EE6CA9" w:rsidP="00B5448A">
      <w:pPr>
        <w:spacing w:after="0" w:line="240" w:lineRule="auto"/>
        <w:rPr>
          <w:rFonts w:ascii="Times New Roman" w:hAnsi="Times New Roman" w:cs="Times New Roman"/>
          <w:sz w:val="24"/>
          <w:szCs w:val="24"/>
          <w:u w:val="single"/>
        </w:rPr>
      </w:pPr>
      <w:hyperlink r:id="rId11" w:history="1">
        <w:r w:rsidR="00B5448A" w:rsidRPr="00B5448A">
          <w:rPr>
            <w:rStyle w:val="Hyperlink"/>
            <w:rFonts w:ascii="Times New Roman" w:hAnsi="Times New Roman" w:cs="Times New Roman"/>
            <w:sz w:val="24"/>
            <w:szCs w:val="24"/>
          </w:rPr>
          <w:t>Bergmann@occ.state.oh.us</w:t>
        </w:r>
      </w:hyperlink>
    </w:p>
    <w:p w:rsidR="00B5448A" w:rsidRPr="00B5448A" w:rsidRDefault="00EE6CA9" w:rsidP="00B5448A">
      <w:pPr>
        <w:spacing w:after="0" w:line="240" w:lineRule="auto"/>
        <w:rPr>
          <w:rFonts w:ascii="Times New Roman" w:hAnsi="Times New Roman" w:cs="Times New Roman"/>
          <w:sz w:val="24"/>
          <w:szCs w:val="24"/>
          <w:u w:val="single"/>
        </w:rPr>
      </w:pPr>
      <w:hyperlink r:id="rId12" w:history="1">
        <w:r w:rsidR="00B5448A" w:rsidRPr="00B5448A">
          <w:rPr>
            <w:rStyle w:val="Hyperlink"/>
            <w:rFonts w:ascii="Times New Roman" w:hAnsi="Times New Roman" w:cs="Times New Roman"/>
            <w:sz w:val="24"/>
            <w:szCs w:val="24"/>
          </w:rPr>
          <w:t>etter@occ.state.oh.us</w:t>
        </w:r>
      </w:hyperlink>
    </w:p>
    <w:p w:rsidR="00B5448A" w:rsidRPr="00B5448A" w:rsidRDefault="00EE6CA9" w:rsidP="00B5448A">
      <w:pPr>
        <w:spacing w:after="0" w:line="240" w:lineRule="auto"/>
        <w:rPr>
          <w:rFonts w:ascii="Times New Roman" w:hAnsi="Times New Roman" w:cs="Times New Roman"/>
          <w:sz w:val="24"/>
          <w:szCs w:val="24"/>
          <w:u w:val="single"/>
        </w:rPr>
      </w:pPr>
      <w:hyperlink r:id="rId13" w:history="1">
        <w:r w:rsidR="00B5448A" w:rsidRPr="00B5448A">
          <w:rPr>
            <w:rStyle w:val="Hyperlink"/>
            <w:rFonts w:ascii="Times New Roman" w:hAnsi="Times New Roman" w:cs="Times New Roman"/>
            <w:sz w:val="24"/>
            <w:szCs w:val="24"/>
          </w:rPr>
          <w:t>dhart@douglasehart.com</w:t>
        </w:r>
      </w:hyperlink>
    </w:p>
    <w:p w:rsidR="00B5448A" w:rsidRPr="00B5448A" w:rsidRDefault="00EE6CA9" w:rsidP="00B5448A">
      <w:pPr>
        <w:spacing w:after="0" w:line="240" w:lineRule="auto"/>
        <w:rPr>
          <w:rFonts w:ascii="Times New Roman" w:hAnsi="Times New Roman" w:cs="Times New Roman"/>
          <w:sz w:val="24"/>
          <w:szCs w:val="24"/>
          <w:u w:val="single"/>
        </w:rPr>
      </w:pPr>
      <w:hyperlink r:id="rId14" w:history="1">
        <w:r w:rsidR="00B5448A" w:rsidRPr="00B5448A">
          <w:rPr>
            <w:rStyle w:val="Hyperlink"/>
            <w:rFonts w:ascii="Times New Roman" w:hAnsi="Times New Roman" w:cs="Times New Roman"/>
            <w:sz w:val="24"/>
            <w:szCs w:val="24"/>
          </w:rPr>
          <w:t>chuck.carrathers@verizon.com</w:t>
        </w:r>
      </w:hyperlink>
    </w:p>
    <w:p w:rsidR="00B5448A" w:rsidRPr="00B5448A" w:rsidRDefault="00EE6CA9" w:rsidP="00B5448A">
      <w:pPr>
        <w:spacing w:after="0" w:line="240" w:lineRule="auto"/>
        <w:rPr>
          <w:rFonts w:ascii="Times New Roman" w:hAnsi="Times New Roman" w:cs="Times New Roman"/>
          <w:sz w:val="24"/>
          <w:szCs w:val="24"/>
          <w:u w:val="single"/>
        </w:rPr>
      </w:pPr>
      <w:hyperlink r:id="rId15" w:history="1">
        <w:r w:rsidR="00B5448A" w:rsidRPr="00B5448A">
          <w:rPr>
            <w:rStyle w:val="Hyperlink"/>
            <w:rFonts w:ascii="Times New Roman" w:hAnsi="Times New Roman" w:cs="Times New Roman"/>
            <w:sz w:val="24"/>
            <w:szCs w:val="24"/>
          </w:rPr>
          <w:t>william.wright@puc.state.oh.us</w:t>
        </w:r>
      </w:hyperlink>
    </w:p>
    <w:p w:rsidR="00B5448A" w:rsidRPr="00B5448A" w:rsidRDefault="00EE6CA9" w:rsidP="00B5448A">
      <w:pPr>
        <w:spacing w:after="0" w:line="240" w:lineRule="auto"/>
        <w:rPr>
          <w:rFonts w:ascii="Times New Roman" w:hAnsi="Times New Roman" w:cs="Times New Roman"/>
          <w:sz w:val="24"/>
          <w:szCs w:val="24"/>
        </w:rPr>
      </w:pPr>
      <w:hyperlink r:id="rId16" w:history="1">
        <w:r w:rsidR="00B5448A" w:rsidRPr="00B5448A">
          <w:rPr>
            <w:rStyle w:val="Hyperlink"/>
            <w:rFonts w:ascii="Times New Roman" w:hAnsi="Times New Roman" w:cs="Times New Roman"/>
            <w:sz w:val="24"/>
            <w:szCs w:val="24"/>
          </w:rPr>
          <w:t>william.adams@baileycavalieri.com</w:t>
        </w:r>
      </w:hyperlink>
    </w:p>
    <w:p w:rsidR="00B5448A" w:rsidRPr="00B5448A" w:rsidRDefault="00EE6CA9" w:rsidP="00B5448A">
      <w:pPr>
        <w:spacing w:after="0" w:line="240" w:lineRule="auto"/>
        <w:rPr>
          <w:rFonts w:ascii="Times New Roman" w:hAnsi="Times New Roman" w:cs="Times New Roman"/>
          <w:sz w:val="24"/>
          <w:szCs w:val="24"/>
          <w:u w:val="single"/>
        </w:rPr>
      </w:pPr>
      <w:hyperlink r:id="rId17" w:history="1">
        <w:r w:rsidR="00B5448A" w:rsidRPr="00B5448A">
          <w:rPr>
            <w:rStyle w:val="Hyperlink"/>
            <w:rFonts w:ascii="Times New Roman" w:hAnsi="Times New Roman" w:cs="Times New Roman"/>
            <w:sz w:val="24"/>
            <w:szCs w:val="24"/>
          </w:rPr>
          <w:t>rmatz@thomaslonglaw.com</w:t>
        </w:r>
      </w:hyperlink>
    </w:p>
    <w:p w:rsidR="00B5448A" w:rsidRPr="00B5448A" w:rsidRDefault="00EE6CA9" w:rsidP="00B5448A">
      <w:pPr>
        <w:spacing w:after="0" w:line="240" w:lineRule="auto"/>
        <w:rPr>
          <w:rFonts w:ascii="Times New Roman" w:hAnsi="Times New Roman" w:cs="Times New Roman"/>
          <w:sz w:val="24"/>
          <w:szCs w:val="24"/>
          <w:u w:val="single"/>
        </w:rPr>
      </w:pPr>
      <w:hyperlink r:id="rId18" w:history="1">
        <w:r w:rsidR="00B5448A" w:rsidRPr="00B5448A">
          <w:rPr>
            <w:rStyle w:val="Hyperlink"/>
            <w:rFonts w:ascii="Times New Roman" w:hAnsi="Times New Roman" w:cs="Times New Roman"/>
            <w:sz w:val="24"/>
            <w:szCs w:val="24"/>
          </w:rPr>
          <w:t>bakahn@vorys.com</w:t>
        </w:r>
      </w:hyperlink>
    </w:p>
    <w:p w:rsidR="00B5448A" w:rsidRPr="00B5448A" w:rsidRDefault="00EE6CA9" w:rsidP="00B5448A">
      <w:pPr>
        <w:spacing w:after="0" w:line="240" w:lineRule="auto"/>
        <w:rPr>
          <w:rFonts w:ascii="Times New Roman" w:hAnsi="Times New Roman" w:cs="Times New Roman"/>
          <w:sz w:val="24"/>
          <w:szCs w:val="24"/>
        </w:rPr>
      </w:pPr>
      <w:hyperlink r:id="rId19" w:history="1">
        <w:r w:rsidR="00B5448A" w:rsidRPr="00B5448A">
          <w:rPr>
            <w:rStyle w:val="Hyperlink"/>
            <w:rFonts w:ascii="Times New Roman" w:hAnsi="Times New Roman" w:cs="Times New Roman"/>
            <w:sz w:val="24"/>
            <w:szCs w:val="24"/>
          </w:rPr>
          <w:t>barth.royer@aol.com</w:t>
        </w:r>
      </w:hyperlink>
    </w:p>
    <w:p w:rsidR="00B5448A" w:rsidRPr="00B5448A" w:rsidRDefault="00EE6CA9" w:rsidP="00B5448A">
      <w:pPr>
        <w:spacing w:after="0" w:line="240" w:lineRule="auto"/>
        <w:rPr>
          <w:rFonts w:ascii="Times New Roman" w:hAnsi="Times New Roman" w:cs="Times New Roman"/>
          <w:sz w:val="24"/>
          <w:szCs w:val="24"/>
          <w:u w:val="single"/>
        </w:rPr>
      </w:pPr>
      <w:hyperlink r:id="rId20" w:history="1">
        <w:r w:rsidR="00B5448A" w:rsidRPr="00B5448A">
          <w:rPr>
            <w:rStyle w:val="Hyperlink"/>
            <w:rFonts w:ascii="Times New Roman" w:hAnsi="Times New Roman" w:cs="Times New Roman"/>
            <w:sz w:val="24"/>
            <w:szCs w:val="24"/>
          </w:rPr>
          <w:t>david.haga@verizon.com</w:t>
        </w:r>
      </w:hyperlink>
    </w:p>
    <w:p w:rsidR="00B5448A" w:rsidRPr="00B5448A" w:rsidRDefault="00EE6CA9" w:rsidP="00B5448A">
      <w:pPr>
        <w:spacing w:after="0" w:line="240" w:lineRule="auto"/>
        <w:rPr>
          <w:rFonts w:ascii="Times New Roman" w:hAnsi="Times New Roman" w:cs="Times New Roman"/>
          <w:sz w:val="24"/>
          <w:szCs w:val="24"/>
        </w:rPr>
      </w:pPr>
      <w:hyperlink r:id="rId21" w:history="1">
        <w:r w:rsidR="00B5448A" w:rsidRPr="00B5448A">
          <w:rPr>
            <w:rStyle w:val="Hyperlink"/>
            <w:rFonts w:ascii="Times New Roman" w:hAnsi="Times New Roman" w:cs="Times New Roman"/>
            <w:sz w:val="24"/>
            <w:szCs w:val="24"/>
          </w:rPr>
          <w:t>joseph.r.stewart@centurylink.com</w:t>
        </w:r>
      </w:hyperlink>
    </w:p>
    <w:p w:rsidR="00B5448A" w:rsidRPr="00B5448A" w:rsidRDefault="00EE6CA9" w:rsidP="00B5448A">
      <w:pPr>
        <w:spacing w:after="0" w:line="240" w:lineRule="auto"/>
        <w:rPr>
          <w:rFonts w:ascii="Times New Roman" w:hAnsi="Times New Roman" w:cs="Times New Roman"/>
          <w:sz w:val="24"/>
          <w:szCs w:val="24"/>
        </w:rPr>
      </w:pPr>
      <w:hyperlink r:id="rId22" w:history="1">
        <w:r w:rsidR="00B5448A" w:rsidRPr="00B5448A">
          <w:rPr>
            <w:rStyle w:val="Hyperlink"/>
            <w:rFonts w:ascii="Times New Roman" w:hAnsi="Times New Roman" w:cs="Times New Roman"/>
            <w:sz w:val="24"/>
            <w:szCs w:val="24"/>
          </w:rPr>
          <w:t>diane.c.browning@sprint.com</w:t>
        </w:r>
      </w:hyperlink>
    </w:p>
    <w:p w:rsidR="00B5448A" w:rsidRPr="00B5448A" w:rsidRDefault="00EE6CA9" w:rsidP="00B5448A">
      <w:pPr>
        <w:spacing w:after="0" w:line="240" w:lineRule="auto"/>
        <w:rPr>
          <w:rFonts w:ascii="Times New Roman" w:hAnsi="Times New Roman" w:cs="Times New Roman"/>
          <w:sz w:val="24"/>
          <w:szCs w:val="24"/>
        </w:rPr>
      </w:pPr>
      <w:hyperlink r:id="rId23" w:history="1">
        <w:r w:rsidR="00B5448A" w:rsidRPr="00B5448A">
          <w:rPr>
            <w:rStyle w:val="Hyperlink"/>
            <w:rFonts w:ascii="Times New Roman" w:hAnsi="Times New Roman" w:cs="Times New Roman"/>
            <w:sz w:val="24"/>
            <w:szCs w:val="24"/>
          </w:rPr>
          <w:t>carolyn.flahive@ThompsonHine.com</w:t>
        </w:r>
      </w:hyperlink>
    </w:p>
    <w:p w:rsidR="00B5448A" w:rsidRPr="00B5448A" w:rsidRDefault="00EE6CA9" w:rsidP="00B5448A">
      <w:pPr>
        <w:spacing w:after="0" w:line="240" w:lineRule="auto"/>
        <w:rPr>
          <w:rFonts w:ascii="Times New Roman" w:hAnsi="Times New Roman" w:cs="Times New Roman"/>
          <w:sz w:val="24"/>
          <w:szCs w:val="24"/>
        </w:rPr>
      </w:pPr>
      <w:hyperlink r:id="rId24" w:history="1">
        <w:r w:rsidR="00B5448A" w:rsidRPr="00B5448A">
          <w:rPr>
            <w:rStyle w:val="Hyperlink"/>
            <w:rFonts w:ascii="Times New Roman" w:hAnsi="Times New Roman" w:cs="Times New Roman"/>
            <w:sz w:val="24"/>
            <w:szCs w:val="24"/>
          </w:rPr>
          <w:t>jk2961@att.com</w:t>
        </w:r>
      </w:hyperlink>
    </w:p>
    <w:p w:rsidR="00B5448A" w:rsidRPr="00B5448A" w:rsidRDefault="00EE6CA9" w:rsidP="00B5448A">
      <w:pPr>
        <w:spacing w:after="0" w:line="240" w:lineRule="auto"/>
        <w:rPr>
          <w:rFonts w:ascii="Times New Roman" w:hAnsi="Times New Roman" w:cs="Times New Roman"/>
          <w:sz w:val="24"/>
          <w:szCs w:val="24"/>
        </w:rPr>
      </w:pPr>
      <w:hyperlink r:id="rId25" w:history="1">
        <w:r w:rsidR="00B5448A" w:rsidRPr="00B5448A">
          <w:rPr>
            <w:rStyle w:val="Hyperlink"/>
            <w:rFonts w:ascii="Times New Roman" w:hAnsi="Times New Roman" w:cs="Times New Roman"/>
            <w:sz w:val="24"/>
            <w:szCs w:val="24"/>
          </w:rPr>
          <w:t>tobrien@bricker.com</w:t>
        </w:r>
      </w:hyperlink>
    </w:p>
    <w:p w:rsidR="00B5448A" w:rsidRPr="00B5448A" w:rsidRDefault="00EE6CA9" w:rsidP="00B5448A">
      <w:pPr>
        <w:spacing w:after="0" w:line="240" w:lineRule="auto"/>
        <w:rPr>
          <w:rFonts w:ascii="Times New Roman" w:hAnsi="Times New Roman" w:cs="Times New Roman"/>
          <w:sz w:val="24"/>
          <w:szCs w:val="24"/>
        </w:rPr>
      </w:pPr>
      <w:hyperlink r:id="rId26" w:history="1">
        <w:r w:rsidR="00B5448A" w:rsidRPr="00B5448A">
          <w:rPr>
            <w:rStyle w:val="Hyperlink"/>
            <w:rFonts w:ascii="Times New Roman" w:hAnsi="Times New Roman" w:cs="Times New Roman"/>
            <w:sz w:val="24"/>
            <w:szCs w:val="24"/>
          </w:rPr>
          <w:t>nkennard@thomaslonglaw.com</w:t>
        </w:r>
      </w:hyperlink>
    </w:p>
    <w:p w:rsidR="00B5448A" w:rsidRPr="00B5448A" w:rsidRDefault="00EE6CA9" w:rsidP="00B5448A">
      <w:pPr>
        <w:spacing w:after="0" w:line="240" w:lineRule="auto"/>
        <w:rPr>
          <w:rFonts w:ascii="Times New Roman" w:hAnsi="Times New Roman" w:cs="Times New Roman"/>
          <w:sz w:val="24"/>
          <w:szCs w:val="24"/>
        </w:rPr>
      </w:pPr>
      <w:hyperlink r:id="rId27" w:history="1">
        <w:r w:rsidR="00B5448A" w:rsidRPr="00B5448A">
          <w:rPr>
            <w:rStyle w:val="Hyperlink"/>
            <w:rFonts w:ascii="Times New Roman" w:hAnsi="Times New Roman" w:cs="Times New Roman"/>
            <w:sz w:val="24"/>
            <w:szCs w:val="24"/>
          </w:rPr>
          <w:t>Kevin.saville@ftr.com</w:t>
        </w:r>
      </w:hyperlink>
    </w:p>
    <w:p w:rsidR="00B5448A" w:rsidRPr="00B5448A" w:rsidRDefault="00EE6CA9" w:rsidP="00B5448A">
      <w:pPr>
        <w:spacing w:after="0" w:line="240" w:lineRule="auto"/>
        <w:rPr>
          <w:rFonts w:ascii="Times New Roman" w:hAnsi="Times New Roman" w:cs="Times New Roman"/>
          <w:sz w:val="24"/>
          <w:szCs w:val="24"/>
        </w:rPr>
      </w:pPr>
      <w:hyperlink r:id="rId28" w:history="1">
        <w:r w:rsidR="00B5448A" w:rsidRPr="00B5448A">
          <w:rPr>
            <w:rStyle w:val="Hyperlink"/>
            <w:rFonts w:ascii="Times New Roman" w:hAnsi="Times New Roman" w:cs="Times New Roman"/>
            <w:sz w:val="24"/>
            <w:szCs w:val="24"/>
          </w:rPr>
          <w:t>Rachel.winder@ftr.com</w:t>
        </w:r>
      </w:hyperlink>
      <w:r w:rsidR="00B5448A" w:rsidRPr="00B5448A">
        <w:rPr>
          <w:rFonts w:ascii="Times New Roman" w:hAnsi="Times New Roman" w:cs="Times New Roman"/>
          <w:sz w:val="24"/>
          <w:szCs w:val="24"/>
        </w:rPr>
        <w:t xml:space="preserve"> </w:t>
      </w:r>
    </w:p>
    <w:p w:rsidR="00B5448A" w:rsidRDefault="00B5448A" w:rsidP="00B5448A">
      <w:pPr>
        <w:spacing w:after="0" w:line="240" w:lineRule="auto"/>
        <w:rPr>
          <w:rFonts w:ascii="Times New Roman" w:hAnsi="Times New Roman" w:cs="Times New Roman"/>
          <w:sz w:val="24"/>
          <w:szCs w:val="24"/>
        </w:rPr>
      </w:pPr>
    </w:p>
    <w:p w:rsidR="00B5448A" w:rsidRDefault="00B5448A" w:rsidP="00B5448A">
      <w:pPr>
        <w:spacing w:after="0" w:line="240" w:lineRule="auto"/>
        <w:rPr>
          <w:rFonts w:ascii="Times New Roman" w:hAnsi="Times New Roman" w:cs="Times New Roman"/>
          <w:sz w:val="24"/>
          <w:szCs w:val="24"/>
        </w:rPr>
      </w:pPr>
    </w:p>
    <w:p w:rsidR="00B5448A" w:rsidRDefault="00B5448A" w:rsidP="00B5448A">
      <w:pPr>
        <w:spacing w:after="0" w:line="240" w:lineRule="auto"/>
        <w:rPr>
          <w:rFonts w:ascii="Times New Roman" w:hAnsi="Times New Roman" w:cs="Times New Roman"/>
          <w:sz w:val="24"/>
          <w:szCs w:val="24"/>
        </w:rPr>
      </w:pPr>
    </w:p>
    <w:p w:rsidR="00B5448A" w:rsidRDefault="00B5448A" w:rsidP="00B5448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sidR="005E75C0">
        <w:rPr>
          <w:rFonts w:ascii="Times New Roman" w:hAnsi="Times New Roman" w:cs="Times New Roman"/>
          <w:sz w:val="24"/>
          <w:szCs w:val="24"/>
          <w:u w:val="single"/>
        </w:rPr>
        <w:t>/s/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5448A" w:rsidRDefault="00B5448A" w:rsidP="00B5448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 Howard</w:t>
      </w:r>
    </w:p>
    <w:p w:rsidR="00B5448A" w:rsidRDefault="00B5448A" w:rsidP="00B5448A">
      <w:pPr>
        <w:spacing w:after="0" w:line="240" w:lineRule="auto"/>
        <w:rPr>
          <w:rFonts w:ascii="Times New Roman" w:hAnsi="Times New Roman" w:cs="Times New Roman"/>
          <w:sz w:val="24"/>
          <w:szCs w:val="24"/>
        </w:rPr>
      </w:pPr>
    </w:p>
    <w:p w:rsidR="00B5448A" w:rsidRPr="00CB5B05" w:rsidRDefault="00B5448A" w:rsidP="00B5448A">
      <w:pPr>
        <w:spacing w:after="0" w:line="240" w:lineRule="auto"/>
        <w:rPr>
          <w:rFonts w:ascii="Times New Roman" w:hAnsi="Times New Roman" w:cs="Times New Roman"/>
          <w:sz w:val="24"/>
          <w:szCs w:val="24"/>
        </w:rPr>
      </w:pPr>
    </w:p>
    <w:p w:rsidR="005270B7" w:rsidRPr="005A18A9" w:rsidRDefault="005A18A9" w:rsidP="005270B7">
      <w:pPr>
        <w:framePr w:w="4766" w:h="700" w:hSpace="180" w:wrap="notBeside" w:vAnchor="page" w:hAnchor="text" w:y="16001" w:anchorLock="1"/>
        <w:rPr>
          <w:color w:val="FF0000"/>
          <w:sz w:val="14"/>
        </w:rPr>
      </w:pPr>
      <w:bookmarkStart w:id="0" w:name="vsLastFooter"/>
      <w:r>
        <w:rPr>
          <w:color w:val="FF0000"/>
          <w:sz w:val="14"/>
        </w:rPr>
        <w:t xml:space="preserve">1/19/2011 10135391 </w:t>
      </w:r>
    </w:p>
    <w:bookmarkEnd w:id="0"/>
    <w:p w:rsidR="00410D37" w:rsidRPr="00410D37" w:rsidRDefault="00410D37" w:rsidP="00410D37">
      <w:pPr>
        <w:pStyle w:val="ListParagraph"/>
        <w:spacing w:after="0" w:line="480" w:lineRule="auto"/>
        <w:ind w:left="1080"/>
        <w:rPr>
          <w:rFonts w:ascii="Times New Roman" w:hAnsi="Times New Roman" w:cs="Times New Roman"/>
          <w:b/>
          <w:sz w:val="24"/>
          <w:szCs w:val="24"/>
        </w:rPr>
      </w:pPr>
    </w:p>
    <w:sectPr w:rsidR="00410D37" w:rsidRPr="00410D37" w:rsidSect="00A33C3F">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35A" w:rsidRDefault="0041235A" w:rsidP="0036338C">
      <w:pPr>
        <w:spacing w:after="0" w:line="240" w:lineRule="auto"/>
      </w:pPr>
      <w:r>
        <w:separator/>
      </w:r>
    </w:p>
  </w:endnote>
  <w:endnote w:type="continuationSeparator" w:id="0">
    <w:p w:rsidR="0041235A" w:rsidRDefault="0041235A" w:rsidP="00363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4799"/>
      <w:docPartObj>
        <w:docPartGallery w:val="Page Numbers (Bottom of Page)"/>
        <w:docPartUnique/>
      </w:docPartObj>
    </w:sdtPr>
    <w:sdtContent>
      <w:p w:rsidR="00A33C3F" w:rsidRDefault="00EE6CA9">
        <w:pPr>
          <w:pStyle w:val="Footer"/>
          <w:jc w:val="center"/>
        </w:pPr>
        <w:fldSimple w:instr=" PAGE   \* MERGEFORMAT ">
          <w:r w:rsidR="005A18A9">
            <w:rPr>
              <w:noProof/>
            </w:rPr>
            <w:t>8</w:t>
          </w:r>
        </w:fldSimple>
      </w:p>
    </w:sdtContent>
  </w:sdt>
  <w:p w:rsidR="00A33C3F" w:rsidRDefault="00A33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35A" w:rsidRDefault="0041235A" w:rsidP="0036338C">
      <w:pPr>
        <w:spacing w:after="0" w:line="240" w:lineRule="auto"/>
      </w:pPr>
      <w:r>
        <w:separator/>
      </w:r>
    </w:p>
  </w:footnote>
  <w:footnote w:type="continuationSeparator" w:id="0">
    <w:p w:rsidR="0041235A" w:rsidRDefault="0041235A" w:rsidP="0036338C">
      <w:pPr>
        <w:spacing w:after="0" w:line="240" w:lineRule="auto"/>
      </w:pPr>
      <w:r>
        <w:continuationSeparator/>
      </w:r>
    </w:p>
  </w:footnote>
  <w:footnote w:id="1">
    <w:p w:rsidR="002416B4" w:rsidRDefault="002416B4" w:rsidP="002416B4">
      <w:pPr>
        <w:pStyle w:val="FootnoteText"/>
      </w:pPr>
      <w:r>
        <w:rPr>
          <w:rStyle w:val="FootnoteReference"/>
        </w:rPr>
        <w:footnoteRef/>
      </w:r>
      <w:r>
        <w:t xml:space="preserve"> </w:t>
      </w:r>
      <w:r w:rsidR="00A40EDE">
        <w:t xml:space="preserve">Comments of </w:t>
      </w:r>
      <w:r>
        <w:t xml:space="preserve">Cincinnati Bell </w:t>
      </w:r>
      <w:r w:rsidR="00A40EDE">
        <w:t xml:space="preserve">Telephone Company LLC, Cincinnati Bell Extended Territories LLC, Cincinnati Bell Wireless, LLC and Cincinnati Bell Any Distance Inc. (collectively, “Cincinnati Bell”) </w:t>
      </w:r>
      <w:r>
        <w:t>at page 5.</w:t>
      </w:r>
    </w:p>
  </w:footnote>
  <w:footnote w:id="2">
    <w:p w:rsidR="00CF74DB" w:rsidRDefault="00CF74DB">
      <w:pPr>
        <w:pStyle w:val="FootnoteText"/>
      </w:pPr>
      <w:r>
        <w:rPr>
          <w:rStyle w:val="FootnoteReference"/>
        </w:rPr>
        <w:footnoteRef/>
      </w:r>
      <w:r>
        <w:t xml:space="preserve"> </w:t>
      </w:r>
      <w:r w:rsidR="00E36A15">
        <w:rPr>
          <w:i/>
        </w:rPr>
        <w:t xml:space="preserve">Id. </w:t>
      </w:r>
    </w:p>
  </w:footnote>
  <w:footnote w:id="3">
    <w:p w:rsidR="000231EC" w:rsidRDefault="000231EC">
      <w:pPr>
        <w:pStyle w:val="FootnoteText"/>
      </w:pPr>
      <w:r>
        <w:rPr>
          <w:rStyle w:val="FootnoteReference"/>
        </w:rPr>
        <w:footnoteRef/>
      </w:r>
      <w:r>
        <w:t xml:space="preserve"> </w:t>
      </w:r>
      <w:r w:rsidR="00E36A15">
        <w:t xml:space="preserve">Initial Comments of </w:t>
      </w:r>
      <w:r>
        <w:t xml:space="preserve">Sprint </w:t>
      </w:r>
      <w:r w:rsidR="00E36A15">
        <w:t xml:space="preserve">Nextel (“Sprint”) </w:t>
      </w:r>
      <w:r>
        <w:t>at page 5.</w:t>
      </w:r>
    </w:p>
  </w:footnote>
  <w:footnote w:id="4">
    <w:p w:rsidR="00A10C3C" w:rsidRDefault="00A10C3C">
      <w:pPr>
        <w:pStyle w:val="FootnoteText"/>
      </w:pPr>
      <w:r>
        <w:rPr>
          <w:rStyle w:val="FootnoteReference"/>
        </w:rPr>
        <w:footnoteRef/>
      </w:r>
      <w:r>
        <w:t xml:space="preserve"> </w:t>
      </w:r>
      <w:r w:rsidR="00E36A15">
        <w:t>Comments of United Telephone Company of Ohio and CenturyTel of Ohio, Inc. (collectively “</w:t>
      </w:r>
      <w:proofErr w:type="spellStart"/>
      <w:r w:rsidR="00E36A15">
        <w:t>CenturyL</w:t>
      </w:r>
      <w:r>
        <w:t>ink</w:t>
      </w:r>
      <w:proofErr w:type="spellEnd"/>
      <w:r w:rsidR="00E36A15">
        <w:t>”)</w:t>
      </w:r>
      <w:r>
        <w:t xml:space="preserve"> at </w:t>
      </w:r>
      <w:r w:rsidR="00E36A15">
        <w:t xml:space="preserve">pages </w:t>
      </w:r>
      <w:r>
        <w:t>2-3.</w:t>
      </w:r>
    </w:p>
  </w:footnote>
  <w:footnote w:id="5">
    <w:p w:rsidR="00A10C3C" w:rsidRPr="00A10C3C" w:rsidRDefault="00A10C3C">
      <w:pPr>
        <w:pStyle w:val="FootnoteText"/>
      </w:pPr>
      <w:r>
        <w:rPr>
          <w:rStyle w:val="FootnoteReference"/>
        </w:rPr>
        <w:footnoteRef/>
      </w:r>
      <w:r>
        <w:t xml:space="preserve"> </w:t>
      </w:r>
      <w:r>
        <w:rPr>
          <w:i/>
        </w:rPr>
        <w:t xml:space="preserve">See </w:t>
      </w:r>
      <w:r>
        <w:t>Cincinnati Bell at pages 2-3</w:t>
      </w:r>
      <w:r w:rsidR="002416B4">
        <w:t xml:space="preserve"> (listing out other ILECs that do not receive subsidies when implementing access reform and also operated in high-cost areas)</w:t>
      </w:r>
      <w:r>
        <w:t>.</w:t>
      </w:r>
    </w:p>
  </w:footnote>
  <w:footnote w:id="6">
    <w:p w:rsidR="00D36138" w:rsidRDefault="00D36138">
      <w:pPr>
        <w:pStyle w:val="FootnoteText"/>
      </w:pPr>
      <w:r>
        <w:rPr>
          <w:rStyle w:val="FootnoteReference"/>
        </w:rPr>
        <w:footnoteRef/>
      </w:r>
      <w:r>
        <w:t xml:space="preserve"> Verizon</w:t>
      </w:r>
      <w:r w:rsidR="00E36A15">
        <w:t xml:space="preserve">’s Initial Comments Regarding Staff’s Proposed Access </w:t>
      </w:r>
      <w:proofErr w:type="spellStart"/>
      <w:r w:rsidR="00E36A15">
        <w:t>Restructing</w:t>
      </w:r>
      <w:proofErr w:type="spellEnd"/>
      <w:r w:rsidR="00E36A15">
        <w:t xml:space="preserve"> Plan</w:t>
      </w:r>
      <w:r>
        <w:t xml:space="preserve"> </w:t>
      </w:r>
      <w:r w:rsidR="00E36A15">
        <w:t xml:space="preserve">(“Verizon”) </w:t>
      </w:r>
      <w:r>
        <w:t>at pages 13-14.</w:t>
      </w:r>
    </w:p>
  </w:footnote>
  <w:footnote w:id="7">
    <w:p w:rsidR="00D36138" w:rsidRPr="00D36138" w:rsidRDefault="00D36138">
      <w:pPr>
        <w:pStyle w:val="FootnoteText"/>
      </w:pPr>
      <w:r>
        <w:rPr>
          <w:rStyle w:val="FootnoteReference"/>
        </w:rPr>
        <w:footnoteRef/>
      </w:r>
      <w:r>
        <w:t xml:space="preserve"> </w:t>
      </w:r>
      <w:proofErr w:type="spellStart"/>
      <w:r>
        <w:t>Verizion</w:t>
      </w:r>
      <w:proofErr w:type="spellEnd"/>
      <w:r>
        <w:t xml:space="preserve"> at page 14, </w:t>
      </w:r>
      <w:r>
        <w:rPr>
          <w:i/>
        </w:rPr>
        <w:t xml:space="preserve">citing </w:t>
      </w:r>
      <w:r>
        <w:t>Sec. 4927.15(B), Revised Code.</w:t>
      </w:r>
    </w:p>
  </w:footnote>
  <w:footnote w:id="8">
    <w:p w:rsidR="00BA70A0" w:rsidRDefault="00BA70A0">
      <w:pPr>
        <w:pStyle w:val="FootnoteText"/>
      </w:pPr>
      <w:r>
        <w:rPr>
          <w:rStyle w:val="FootnoteReference"/>
        </w:rPr>
        <w:footnoteRef/>
      </w:r>
      <w:r>
        <w:t xml:space="preserve"> Cincinnati Bell at page 3, footnote 3.</w:t>
      </w:r>
    </w:p>
  </w:footnote>
  <w:footnote w:id="9">
    <w:p w:rsidR="00BA70A0" w:rsidRPr="00BA70A0" w:rsidRDefault="00BA70A0">
      <w:pPr>
        <w:pStyle w:val="FootnoteText"/>
      </w:pPr>
      <w:r>
        <w:rPr>
          <w:rStyle w:val="FootnoteReference"/>
        </w:rPr>
        <w:footnoteRef/>
      </w:r>
      <w:r>
        <w:t xml:space="preserve"> Verizon at page 16, </w:t>
      </w:r>
      <w:r>
        <w:rPr>
          <w:i/>
        </w:rPr>
        <w:t xml:space="preserve">citing </w:t>
      </w:r>
      <w:r>
        <w:t>Entry, Appendix at 1.</w:t>
      </w:r>
    </w:p>
  </w:footnote>
  <w:footnote w:id="10">
    <w:p w:rsidR="0075428D" w:rsidRDefault="0075428D">
      <w:pPr>
        <w:pStyle w:val="FootnoteText"/>
      </w:pPr>
      <w:r>
        <w:rPr>
          <w:rStyle w:val="FootnoteReference"/>
        </w:rPr>
        <w:footnoteRef/>
      </w:r>
      <w:r>
        <w:t xml:space="preserve"> Cincinnati Bell at page 19.</w:t>
      </w:r>
    </w:p>
  </w:footnote>
  <w:footnote w:id="11">
    <w:p w:rsidR="008C77D0" w:rsidRDefault="008C77D0">
      <w:pPr>
        <w:pStyle w:val="FootnoteText"/>
      </w:pPr>
      <w:r>
        <w:rPr>
          <w:rStyle w:val="FootnoteReference"/>
        </w:rPr>
        <w:footnoteRef/>
      </w:r>
      <w:r>
        <w:t xml:space="preserve"> Cincinnati Bell at page 19.</w:t>
      </w:r>
    </w:p>
  </w:footnote>
  <w:footnote w:id="12">
    <w:p w:rsidR="00EF2B47" w:rsidRDefault="00EF2B47">
      <w:pPr>
        <w:pStyle w:val="FootnoteText"/>
      </w:pPr>
      <w:r>
        <w:rPr>
          <w:rStyle w:val="FootnoteReference"/>
        </w:rPr>
        <w:footnoteRef/>
      </w:r>
      <w:r>
        <w:t xml:space="preserve"> Cincinnati Bell at pages 11-12.</w:t>
      </w:r>
    </w:p>
  </w:footnote>
  <w:footnote w:id="13">
    <w:p w:rsidR="0036338C" w:rsidRDefault="0036338C">
      <w:pPr>
        <w:pStyle w:val="FootnoteText"/>
      </w:pPr>
      <w:r>
        <w:rPr>
          <w:rStyle w:val="FootnoteReference"/>
        </w:rPr>
        <w:footnoteRef/>
      </w:r>
      <w:r w:rsidR="00E36A15">
        <w:t xml:space="preserve"> Sprint </w:t>
      </w:r>
      <w:r>
        <w:t>at page</w:t>
      </w:r>
      <w:r w:rsidR="00E36A15">
        <w:t>s</w:t>
      </w:r>
      <w:r>
        <w:t xml:space="preserve"> 6-7.</w:t>
      </w:r>
    </w:p>
  </w:footnote>
  <w:footnote w:id="14">
    <w:p w:rsidR="0036338C" w:rsidRDefault="0036338C">
      <w:pPr>
        <w:pStyle w:val="FootnoteText"/>
      </w:pPr>
      <w:r>
        <w:rPr>
          <w:rStyle w:val="FootnoteReference"/>
        </w:rPr>
        <w:footnoteRef/>
      </w:r>
      <w:r>
        <w:t xml:space="preserve"> AT&amp;T</w:t>
      </w:r>
      <w:r w:rsidR="00E36A15">
        <w:t>’s Initial</w:t>
      </w:r>
      <w:r>
        <w:t xml:space="preserve"> Comments at Appendix B, pages 5-6.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C3BCE"/>
    <w:multiLevelType w:val="hybridMultilevel"/>
    <w:tmpl w:val="FB022128"/>
    <w:lvl w:ilvl="0" w:tplc="F92CD2C8">
      <w:start w:val="1"/>
      <w:numFmt w:val="decimal"/>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1">
    <w:nsid w:val="311539BB"/>
    <w:multiLevelType w:val="hybridMultilevel"/>
    <w:tmpl w:val="50AC61EC"/>
    <w:lvl w:ilvl="0" w:tplc="F2A66A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2304DD"/>
    <w:multiLevelType w:val="hybridMultilevel"/>
    <w:tmpl w:val="C1B6DAA6"/>
    <w:lvl w:ilvl="0" w:tplc="36E43D08">
      <w:start w:val="1"/>
      <w:numFmt w:val="upp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0342FA"/>
    <w:multiLevelType w:val="hybridMultilevel"/>
    <w:tmpl w:val="A90A5C3C"/>
    <w:lvl w:ilvl="0" w:tplc="3A0C44B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205C6"/>
    <w:rsid w:val="000231EC"/>
    <w:rsid w:val="000F1A24"/>
    <w:rsid w:val="002416B4"/>
    <w:rsid w:val="00273F76"/>
    <w:rsid w:val="00276F82"/>
    <w:rsid w:val="002A6732"/>
    <w:rsid w:val="002B3082"/>
    <w:rsid w:val="00317395"/>
    <w:rsid w:val="00330921"/>
    <w:rsid w:val="0036338C"/>
    <w:rsid w:val="00410D37"/>
    <w:rsid w:val="0041235A"/>
    <w:rsid w:val="004A438E"/>
    <w:rsid w:val="004B1911"/>
    <w:rsid w:val="005270B7"/>
    <w:rsid w:val="005A18A9"/>
    <w:rsid w:val="005E75C0"/>
    <w:rsid w:val="005F1C30"/>
    <w:rsid w:val="006065D0"/>
    <w:rsid w:val="00606616"/>
    <w:rsid w:val="006A0694"/>
    <w:rsid w:val="006B6AD2"/>
    <w:rsid w:val="006E1EBC"/>
    <w:rsid w:val="006E33C7"/>
    <w:rsid w:val="0075428D"/>
    <w:rsid w:val="007D2793"/>
    <w:rsid w:val="007E453A"/>
    <w:rsid w:val="008C77D0"/>
    <w:rsid w:val="00904BD8"/>
    <w:rsid w:val="009F5CCC"/>
    <w:rsid w:val="00A10C3C"/>
    <w:rsid w:val="00A33C3F"/>
    <w:rsid w:val="00A40EDE"/>
    <w:rsid w:val="00AF51BF"/>
    <w:rsid w:val="00B205C6"/>
    <w:rsid w:val="00B5448A"/>
    <w:rsid w:val="00B85281"/>
    <w:rsid w:val="00BA5DB1"/>
    <w:rsid w:val="00BA70A0"/>
    <w:rsid w:val="00BE0B4A"/>
    <w:rsid w:val="00C1557D"/>
    <w:rsid w:val="00C47179"/>
    <w:rsid w:val="00C604DF"/>
    <w:rsid w:val="00CF74DB"/>
    <w:rsid w:val="00D36138"/>
    <w:rsid w:val="00D53902"/>
    <w:rsid w:val="00E36A15"/>
    <w:rsid w:val="00EE6CA9"/>
    <w:rsid w:val="00EE79CA"/>
    <w:rsid w:val="00EF2B47"/>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2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33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338C"/>
    <w:rPr>
      <w:sz w:val="20"/>
      <w:szCs w:val="20"/>
    </w:rPr>
  </w:style>
  <w:style w:type="character" w:styleId="FootnoteReference">
    <w:name w:val="footnote reference"/>
    <w:basedOn w:val="DefaultParagraphFont"/>
    <w:uiPriority w:val="99"/>
    <w:semiHidden/>
    <w:unhideWhenUsed/>
    <w:rsid w:val="0036338C"/>
    <w:rPr>
      <w:vertAlign w:val="superscript"/>
    </w:rPr>
  </w:style>
  <w:style w:type="paragraph" w:styleId="ListParagraph">
    <w:name w:val="List Paragraph"/>
    <w:basedOn w:val="Normal"/>
    <w:uiPriority w:val="34"/>
    <w:qFormat/>
    <w:rsid w:val="007D2793"/>
    <w:pPr>
      <w:ind w:left="720"/>
      <w:contextualSpacing/>
    </w:pPr>
  </w:style>
  <w:style w:type="character" w:styleId="Hyperlink">
    <w:name w:val="Hyperlink"/>
    <w:basedOn w:val="DefaultParagraphFont"/>
    <w:rsid w:val="00EE79CA"/>
    <w:rPr>
      <w:color w:val="0000FF"/>
      <w:u w:val="single"/>
    </w:rPr>
  </w:style>
  <w:style w:type="paragraph" w:styleId="Header">
    <w:name w:val="header"/>
    <w:basedOn w:val="Normal"/>
    <w:link w:val="HeaderChar"/>
    <w:uiPriority w:val="99"/>
    <w:semiHidden/>
    <w:unhideWhenUsed/>
    <w:rsid w:val="00A33C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3C3F"/>
  </w:style>
  <w:style w:type="paragraph" w:styleId="Footer">
    <w:name w:val="footer"/>
    <w:basedOn w:val="Normal"/>
    <w:link w:val="FooterChar"/>
    <w:uiPriority w:val="99"/>
    <w:unhideWhenUsed/>
    <w:rsid w:val="00A33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C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hart@douglasehart.com" TargetMode="External"/><Relationship Id="rId18" Type="http://schemas.openxmlformats.org/officeDocument/2006/relationships/hyperlink" Target="mailto:bakahn@vorys.com" TargetMode="External"/><Relationship Id="rId26" Type="http://schemas.openxmlformats.org/officeDocument/2006/relationships/hyperlink" Target="mailto:nkennard@thomaslonglaw.com" TargetMode="External"/><Relationship Id="rId3" Type="http://schemas.openxmlformats.org/officeDocument/2006/relationships/styles" Target="styles.xml"/><Relationship Id="rId21" Type="http://schemas.openxmlformats.org/officeDocument/2006/relationships/hyperlink" Target="mailto:joseph.r.stewart@centurylink.com" TargetMode="External"/><Relationship Id="rId7" Type="http://schemas.openxmlformats.org/officeDocument/2006/relationships/endnotes" Target="endnotes.xml"/><Relationship Id="rId12" Type="http://schemas.openxmlformats.org/officeDocument/2006/relationships/hyperlink" Target="mailto:etter@occ.state.oh.us" TargetMode="External"/><Relationship Id="rId17" Type="http://schemas.openxmlformats.org/officeDocument/2006/relationships/hyperlink" Target="mailto:rmatz@thomaslonglaw.com" TargetMode="External"/><Relationship Id="rId25" Type="http://schemas.openxmlformats.org/officeDocument/2006/relationships/hyperlink" Target="mailto:tobrien@bricker.com" TargetMode="External"/><Relationship Id="rId2" Type="http://schemas.openxmlformats.org/officeDocument/2006/relationships/numbering" Target="numbering.xml"/><Relationship Id="rId16" Type="http://schemas.openxmlformats.org/officeDocument/2006/relationships/hyperlink" Target="mailto:william.adams@baileycavalieri.com" TargetMode="External"/><Relationship Id="rId20" Type="http://schemas.openxmlformats.org/officeDocument/2006/relationships/hyperlink" Target="mailto:david.haga@verizon.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gmann@occ.state.oh.us" TargetMode="External"/><Relationship Id="rId24" Type="http://schemas.openxmlformats.org/officeDocument/2006/relationships/hyperlink" Target="mailto:jk2961@att.com" TargetMode="External"/><Relationship Id="rId5" Type="http://schemas.openxmlformats.org/officeDocument/2006/relationships/webSettings" Target="webSettings.xml"/><Relationship Id="rId15" Type="http://schemas.openxmlformats.org/officeDocument/2006/relationships/hyperlink" Target="mailto:william.wright@puc.state.oh.us" TargetMode="External"/><Relationship Id="rId23" Type="http://schemas.openxmlformats.org/officeDocument/2006/relationships/hyperlink" Target="mailto:carolyn.flahive@ThompsonHine.com" TargetMode="External"/><Relationship Id="rId28" Type="http://schemas.openxmlformats.org/officeDocument/2006/relationships/hyperlink" Target="mailto:Rachel.winder@ftr.com" TargetMode="External"/><Relationship Id="rId10" Type="http://schemas.openxmlformats.org/officeDocument/2006/relationships/hyperlink" Target="mailto:Mf1842@att.com" TargetMode="External"/><Relationship Id="rId19" Type="http://schemas.openxmlformats.org/officeDocument/2006/relationships/hyperlink" Target="mailto:barth.royer@aol.com" TargetMode="External"/><Relationship Id="rId4" Type="http://schemas.openxmlformats.org/officeDocument/2006/relationships/settings" Target="settings.xml"/><Relationship Id="rId9" Type="http://schemas.openxmlformats.org/officeDocument/2006/relationships/hyperlink" Target="mailto:garnet.hanly@t-mobile.com" TargetMode="External"/><Relationship Id="rId14" Type="http://schemas.openxmlformats.org/officeDocument/2006/relationships/hyperlink" Target="mailto:chuck.carrathers@verizon.com" TargetMode="External"/><Relationship Id="rId22" Type="http://schemas.openxmlformats.org/officeDocument/2006/relationships/hyperlink" Target="mailto:diane.c.browning@sprint.com" TargetMode="External"/><Relationship Id="rId27" Type="http://schemas.openxmlformats.org/officeDocument/2006/relationships/hyperlink" Target="mailto:Kevin.saville@ftr.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48002-1322-4739-91AD-BD274EF2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1803</Words>
  <Characters>10151</Characters>
  <Application>Microsoft Office Word</Application>
  <DocSecurity>0</DocSecurity>
  <Lines>199</Lines>
  <Paragraphs>65</Paragraphs>
  <ScaleCrop>false</ScaleCrop>
  <HeadingPairs>
    <vt:vector size="2" baseType="variant">
      <vt:variant>
        <vt:lpstr>Title</vt:lpstr>
      </vt:variant>
      <vt:variant>
        <vt:i4>1</vt:i4>
      </vt:variant>
    </vt:vector>
  </HeadingPairs>
  <TitlesOfParts>
    <vt:vector size="1" baseType="lpstr">
      <vt:lpstr/>
    </vt:vector>
  </TitlesOfParts>
  <Company>T-Mobile USA</Company>
  <LinksUpToDate>false</LinksUpToDate>
  <CharactersWithSpaces>11889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ggoins</dc:creator>
  <cp:lastModifiedBy>jawelch</cp:lastModifiedBy>
  <cp:revision>2</cp:revision>
  <cp:lastPrinted>2011-01-19T18:16:00Z</cp:lastPrinted>
  <dcterms:created xsi:type="dcterms:W3CDTF">2011-01-19T20:36:00Z</dcterms:created>
  <dcterms:modified xsi:type="dcterms:W3CDTF">2011-01-19T20:36:00Z</dcterms:modified>
</cp:coreProperties>
</file>