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325A" w:rsidRDefault="00C0439D">
      <w:pPr>
        <w:pStyle w:val="Title"/>
        <w:rPr>
          <w:sz w:val="28"/>
          <w:szCs w:val="28"/>
        </w:rPr>
      </w:pPr>
      <w:bookmarkStart w:id="0" w:name="_GoBack"/>
      <w:bookmarkEnd w:id="0"/>
      <w:r>
        <w:rPr>
          <w:sz w:val="28"/>
          <w:szCs w:val="28"/>
        </w:rPr>
        <w:t>Before</w:t>
      </w:r>
    </w:p>
    <w:p w:rsidR="001E325A" w:rsidRDefault="00C0439D">
      <w:pPr>
        <w:jc w:val="center"/>
        <w:rPr>
          <w:rFonts w:cs="Arial"/>
          <w:b/>
          <w:smallCaps/>
          <w:sz w:val="28"/>
          <w:szCs w:val="28"/>
        </w:rPr>
      </w:pPr>
      <w:r>
        <w:rPr>
          <w:rFonts w:cs="Arial"/>
          <w:b/>
          <w:smallCaps/>
          <w:sz w:val="28"/>
          <w:szCs w:val="28"/>
        </w:rPr>
        <w:t>The Public Utilities Commission of Ohio</w:t>
      </w:r>
    </w:p>
    <w:p w:rsidR="001E325A" w:rsidRDefault="001E325A">
      <w:pPr>
        <w:pStyle w:val="BodyTextIndent2"/>
        <w:ind w:left="0"/>
        <w:rPr>
          <w:sz w:val="24"/>
        </w:rPr>
      </w:pPr>
    </w:p>
    <w:tbl>
      <w:tblPr>
        <w:tblW w:w="9092" w:type="dxa"/>
        <w:tblLook w:val="01E0" w:firstRow="1" w:lastRow="1" w:firstColumn="1" w:lastColumn="1" w:noHBand="0" w:noVBand="0"/>
      </w:tblPr>
      <w:tblGrid>
        <w:gridCol w:w="4332"/>
        <w:gridCol w:w="1086"/>
        <w:gridCol w:w="3674"/>
      </w:tblGrid>
      <w:tr w:rsidR="001E325A">
        <w:trPr>
          <w:trHeight w:val="807"/>
        </w:trPr>
        <w:tc>
          <w:tcPr>
            <w:tcW w:w="4332" w:type="dxa"/>
          </w:tcPr>
          <w:p w:rsidR="001E325A" w:rsidRDefault="00C0439D">
            <w:pPr>
              <w:autoSpaceDE w:val="0"/>
              <w:autoSpaceDN w:val="0"/>
              <w:adjustRightInd w:val="0"/>
              <w:rPr>
                <w:rFonts w:cs="Arial"/>
              </w:rPr>
            </w:pPr>
            <w:r>
              <w:rPr>
                <w:rFonts w:cs="Arial"/>
              </w:rPr>
              <w:t>In the Matter of the Fuel Adjustment Clauses for Columbus Southern Power Company and Ohio Power Company and Related Matters.</w:t>
            </w:r>
          </w:p>
        </w:tc>
        <w:tc>
          <w:tcPr>
            <w:tcW w:w="1086" w:type="dxa"/>
          </w:tcPr>
          <w:p w:rsidR="001E325A" w:rsidRDefault="00C0439D">
            <w:pPr>
              <w:pStyle w:val="HTMLPreformatted"/>
              <w:tabs>
                <w:tab w:val="left" w:pos="168"/>
              </w:tabs>
              <w:ind w:left="168" w:right="-204"/>
              <w:rPr>
                <w:rFonts w:ascii="Arial" w:hAnsi="Arial" w:cs="Arial"/>
                <w:sz w:val="24"/>
                <w:szCs w:val="24"/>
              </w:rPr>
            </w:pPr>
            <w:r>
              <w:rPr>
                <w:rFonts w:ascii="Arial" w:hAnsi="Arial" w:cs="Arial"/>
                <w:sz w:val="24"/>
                <w:szCs w:val="24"/>
              </w:rPr>
              <w:t>)</w:t>
            </w:r>
          </w:p>
          <w:p w:rsidR="001E325A" w:rsidRDefault="00C0439D">
            <w:pPr>
              <w:pStyle w:val="HTMLPreformatted"/>
              <w:tabs>
                <w:tab w:val="left" w:pos="168"/>
              </w:tabs>
              <w:ind w:left="168" w:right="-204"/>
              <w:rPr>
                <w:rFonts w:ascii="Arial" w:hAnsi="Arial" w:cs="Arial"/>
                <w:sz w:val="24"/>
                <w:szCs w:val="24"/>
              </w:rPr>
            </w:pPr>
            <w:r>
              <w:rPr>
                <w:rFonts w:ascii="Arial" w:hAnsi="Arial" w:cs="Arial"/>
                <w:sz w:val="24"/>
                <w:szCs w:val="24"/>
              </w:rPr>
              <w:t>)</w:t>
            </w:r>
          </w:p>
          <w:p w:rsidR="001E325A" w:rsidRDefault="00C0439D">
            <w:pPr>
              <w:pStyle w:val="HTMLPreformatted"/>
              <w:tabs>
                <w:tab w:val="left" w:pos="168"/>
              </w:tabs>
              <w:ind w:left="168" w:right="-204"/>
              <w:rPr>
                <w:rFonts w:ascii="Arial" w:hAnsi="Arial" w:cs="Arial"/>
                <w:sz w:val="24"/>
                <w:szCs w:val="24"/>
              </w:rPr>
            </w:pPr>
            <w:r>
              <w:rPr>
                <w:rFonts w:ascii="Arial" w:hAnsi="Arial" w:cs="Arial"/>
                <w:sz w:val="24"/>
                <w:szCs w:val="24"/>
              </w:rPr>
              <w:t>)</w:t>
            </w:r>
          </w:p>
          <w:p w:rsidR="001E325A" w:rsidRDefault="00C0439D">
            <w:pPr>
              <w:pStyle w:val="HTMLPreformatted"/>
              <w:tabs>
                <w:tab w:val="left" w:pos="168"/>
              </w:tabs>
              <w:ind w:left="168" w:right="-204"/>
              <w:rPr>
                <w:rFonts w:ascii="Arial" w:hAnsi="Arial" w:cs="Arial"/>
                <w:sz w:val="24"/>
                <w:szCs w:val="24"/>
              </w:rPr>
            </w:pPr>
            <w:r>
              <w:rPr>
                <w:rFonts w:ascii="Arial" w:hAnsi="Arial" w:cs="Arial"/>
                <w:sz w:val="24"/>
                <w:szCs w:val="24"/>
              </w:rPr>
              <w:t>)</w:t>
            </w:r>
          </w:p>
        </w:tc>
        <w:tc>
          <w:tcPr>
            <w:tcW w:w="3674" w:type="dxa"/>
          </w:tcPr>
          <w:p w:rsidR="001E325A" w:rsidRDefault="001E325A">
            <w:pPr>
              <w:pStyle w:val="HTMLPreformatted"/>
              <w:rPr>
                <w:rFonts w:ascii="Arial" w:hAnsi="Arial" w:cs="Arial"/>
                <w:sz w:val="24"/>
                <w:szCs w:val="24"/>
              </w:rPr>
            </w:pPr>
          </w:p>
          <w:p w:rsidR="001E325A" w:rsidRDefault="00C0439D">
            <w:pPr>
              <w:pStyle w:val="HTMLPreformatted"/>
              <w:rPr>
                <w:rFonts w:ascii="Arial" w:hAnsi="Arial" w:cs="Arial"/>
                <w:sz w:val="24"/>
                <w:szCs w:val="24"/>
              </w:rPr>
            </w:pPr>
            <w:r>
              <w:rPr>
                <w:rFonts w:ascii="Arial" w:hAnsi="Arial" w:cs="Arial"/>
                <w:bCs/>
                <w:sz w:val="24"/>
                <w:szCs w:val="24"/>
              </w:rPr>
              <w:t>Case No. 11-5906-EL-FAC</w:t>
            </w:r>
          </w:p>
        </w:tc>
      </w:tr>
    </w:tbl>
    <w:p w:rsidR="001E325A" w:rsidRDefault="001E325A">
      <w:pPr>
        <w:jc w:val="both"/>
        <w:rPr>
          <w:rFonts w:cs="Arial"/>
        </w:rPr>
      </w:pPr>
    </w:p>
    <w:p w:rsidR="001E325A" w:rsidRDefault="001E325A">
      <w:pPr>
        <w:jc w:val="both"/>
        <w:rPr>
          <w:rFonts w:cs="Arial"/>
        </w:rPr>
      </w:pPr>
    </w:p>
    <w:p w:rsidR="001E325A" w:rsidRDefault="001E325A">
      <w:pPr>
        <w:pBdr>
          <w:top w:val="single" w:sz="12" w:space="1" w:color="auto"/>
        </w:pBdr>
        <w:tabs>
          <w:tab w:val="left" w:pos="7320"/>
        </w:tabs>
        <w:jc w:val="both"/>
        <w:rPr>
          <w:rFonts w:cs="Arial"/>
          <w:sz w:val="28"/>
        </w:rPr>
      </w:pPr>
    </w:p>
    <w:p w:rsidR="001F4B27" w:rsidRDefault="001F4B27">
      <w:pPr>
        <w:pStyle w:val="Heading1"/>
        <w:tabs>
          <w:tab w:val="left" w:pos="7320"/>
        </w:tabs>
        <w:ind w:left="0" w:right="0"/>
        <w:jc w:val="center"/>
        <w:rPr>
          <w:rFonts w:ascii="Arial Bold" w:hAnsi="Arial Bold"/>
          <w:smallCaps/>
          <w:szCs w:val="32"/>
        </w:rPr>
      </w:pPr>
      <w:r w:rsidRPr="001F4B27">
        <w:rPr>
          <w:rFonts w:ascii="Arial Bold" w:hAnsi="Arial Bold"/>
          <w:smallCaps/>
          <w:szCs w:val="32"/>
        </w:rPr>
        <w:t>Industrial Energy Users-Ohio</w:t>
      </w:r>
      <w:r w:rsidRPr="001F4B27">
        <w:rPr>
          <w:rFonts w:ascii="Arial Bold" w:hAnsi="Arial Bold" w:hint="eastAsia"/>
          <w:smallCaps/>
          <w:szCs w:val="32"/>
        </w:rPr>
        <w:t>’</w:t>
      </w:r>
      <w:r>
        <w:rPr>
          <w:rFonts w:ascii="Arial Bold" w:hAnsi="Arial Bold"/>
          <w:smallCaps/>
          <w:szCs w:val="32"/>
        </w:rPr>
        <w:t>s Memorandum Contra To</w:t>
      </w:r>
    </w:p>
    <w:p w:rsidR="001F4B27" w:rsidRDefault="001F4B27">
      <w:pPr>
        <w:pStyle w:val="Heading1"/>
        <w:tabs>
          <w:tab w:val="left" w:pos="7320"/>
        </w:tabs>
        <w:ind w:left="0" w:right="0"/>
        <w:jc w:val="center"/>
        <w:rPr>
          <w:rFonts w:ascii="Arial Bold" w:hAnsi="Arial Bold"/>
          <w:smallCaps/>
          <w:szCs w:val="32"/>
        </w:rPr>
      </w:pPr>
      <w:r w:rsidRPr="001F4B27">
        <w:rPr>
          <w:rFonts w:ascii="Arial Bold" w:hAnsi="Arial Bold"/>
          <w:smallCaps/>
          <w:szCs w:val="32"/>
        </w:rPr>
        <w:t>Ohio Power Company</w:t>
      </w:r>
      <w:r w:rsidRPr="001F4B27">
        <w:rPr>
          <w:rFonts w:ascii="Arial Bold" w:hAnsi="Arial Bold" w:hint="eastAsia"/>
          <w:smallCaps/>
          <w:szCs w:val="32"/>
        </w:rPr>
        <w:t>’</w:t>
      </w:r>
      <w:r>
        <w:rPr>
          <w:rFonts w:ascii="Arial Bold" w:hAnsi="Arial Bold"/>
          <w:smallCaps/>
          <w:szCs w:val="32"/>
        </w:rPr>
        <w:t>s Motion To Implement A</w:t>
      </w:r>
    </w:p>
    <w:p w:rsidR="001E325A" w:rsidRPr="001F4B27" w:rsidRDefault="001F4B27">
      <w:pPr>
        <w:pStyle w:val="Heading1"/>
        <w:tabs>
          <w:tab w:val="left" w:pos="7320"/>
        </w:tabs>
        <w:ind w:left="0" w:right="0"/>
        <w:jc w:val="center"/>
        <w:rPr>
          <w:rFonts w:ascii="Arial Bold" w:hAnsi="Arial Bold"/>
          <w:smallCaps/>
          <w:sz w:val="32"/>
          <w:szCs w:val="32"/>
        </w:rPr>
      </w:pPr>
      <w:r w:rsidRPr="001F4B27">
        <w:rPr>
          <w:rFonts w:ascii="Arial Bold" w:hAnsi="Arial Bold"/>
          <w:smallCaps/>
          <w:szCs w:val="32"/>
        </w:rPr>
        <w:t xml:space="preserve">Single Blended Fuel Adjustment Clause </w:t>
      </w:r>
    </w:p>
    <w:p w:rsidR="001E325A" w:rsidRDefault="001E325A">
      <w:pPr>
        <w:pBdr>
          <w:bottom w:val="single" w:sz="12" w:space="1" w:color="auto"/>
        </w:pBdr>
        <w:tabs>
          <w:tab w:val="left" w:pos="7320"/>
        </w:tabs>
        <w:jc w:val="center"/>
        <w:rPr>
          <w:rFonts w:cs="Arial"/>
          <w:sz w:val="28"/>
        </w:rPr>
      </w:pPr>
    </w:p>
    <w:p w:rsidR="001E325A" w:rsidRDefault="001E325A">
      <w:pPr>
        <w:pStyle w:val="Title"/>
        <w:rPr>
          <w:sz w:val="28"/>
        </w:rPr>
      </w:pPr>
    </w:p>
    <w:p w:rsidR="001E325A" w:rsidRDefault="001E325A">
      <w:pPr>
        <w:pStyle w:val="Title"/>
        <w:rPr>
          <w:sz w:val="28"/>
        </w:rPr>
      </w:pPr>
    </w:p>
    <w:p w:rsidR="001E325A" w:rsidRDefault="001E325A">
      <w:pPr>
        <w:pStyle w:val="Title"/>
        <w:rPr>
          <w:sz w:val="28"/>
        </w:rPr>
      </w:pPr>
    </w:p>
    <w:p w:rsidR="001E325A" w:rsidRDefault="001E325A">
      <w:pPr>
        <w:pStyle w:val="Title"/>
        <w:rPr>
          <w:sz w:val="28"/>
        </w:rPr>
      </w:pPr>
    </w:p>
    <w:p w:rsidR="001E325A" w:rsidRDefault="001E325A">
      <w:pPr>
        <w:pStyle w:val="Title"/>
        <w:rPr>
          <w:sz w:val="28"/>
        </w:rPr>
      </w:pPr>
    </w:p>
    <w:p w:rsidR="001E325A" w:rsidRDefault="001E325A">
      <w:pPr>
        <w:pStyle w:val="Title"/>
        <w:rPr>
          <w:sz w:val="28"/>
        </w:rPr>
      </w:pPr>
    </w:p>
    <w:p w:rsidR="001E325A" w:rsidRDefault="001E325A">
      <w:pPr>
        <w:pStyle w:val="Title"/>
        <w:rPr>
          <w:sz w:val="28"/>
        </w:rPr>
      </w:pPr>
    </w:p>
    <w:p w:rsidR="001E325A" w:rsidRDefault="001E325A">
      <w:pPr>
        <w:pStyle w:val="Title"/>
        <w:rPr>
          <w:sz w:val="28"/>
        </w:rPr>
      </w:pPr>
    </w:p>
    <w:p w:rsidR="001E325A" w:rsidRDefault="001E325A">
      <w:pPr>
        <w:pStyle w:val="Title"/>
        <w:rPr>
          <w:sz w:val="28"/>
        </w:rPr>
      </w:pPr>
    </w:p>
    <w:p w:rsidR="001E325A" w:rsidRDefault="001E325A">
      <w:pPr>
        <w:pStyle w:val="Title"/>
        <w:rPr>
          <w:sz w:val="28"/>
        </w:rPr>
      </w:pPr>
    </w:p>
    <w:p w:rsidR="001E325A" w:rsidRDefault="001E325A">
      <w:pPr>
        <w:pStyle w:val="Title"/>
        <w:rPr>
          <w:sz w:val="28"/>
        </w:rPr>
      </w:pPr>
    </w:p>
    <w:p w:rsidR="001E325A" w:rsidRDefault="001E325A">
      <w:pPr>
        <w:pStyle w:val="Title"/>
        <w:rPr>
          <w:sz w:val="28"/>
        </w:rPr>
      </w:pPr>
    </w:p>
    <w:p w:rsidR="001E325A" w:rsidRDefault="001E325A">
      <w:pPr>
        <w:pStyle w:val="Title"/>
        <w:rPr>
          <w:sz w:val="28"/>
        </w:rPr>
      </w:pPr>
    </w:p>
    <w:p w:rsidR="001E325A" w:rsidRDefault="001E325A">
      <w:pPr>
        <w:pStyle w:val="Title"/>
        <w:rPr>
          <w:sz w:val="28"/>
        </w:rPr>
      </w:pPr>
    </w:p>
    <w:p w:rsidR="001E325A" w:rsidRDefault="001E325A">
      <w:pPr>
        <w:pStyle w:val="Title"/>
        <w:rPr>
          <w:sz w:val="28"/>
        </w:rPr>
      </w:pPr>
    </w:p>
    <w:p w:rsidR="001E325A" w:rsidRDefault="001E325A">
      <w:pPr>
        <w:pStyle w:val="Title"/>
        <w:rPr>
          <w:sz w:val="28"/>
        </w:rPr>
      </w:pPr>
    </w:p>
    <w:p w:rsidR="001E325A" w:rsidRDefault="00C0439D">
      <w:pPr>
        <w:tabs>
          <w:tab w:val="left" w:pos="-1440"/>
          <w:tab w:val="left" w:pos="-720"/>
          <w:tab w:val="left" w:pos="3600"/>
          <w:tab w:val="left" w:pos="4320"/>
          <w:tab w:val="left" w:pos="4680"/>
          <w:tab w:val="left" w:pos="5040"/>
        </w:tabs>
        <w:jc w:val="both"/>
        <w:rPr>
          <w:rFonts w:cs="Arial"/>
          <w:lang w:val="de-DE"/>
        </w:rPr>
      </w:pPr>
      <w:r>
        <w:rPr>
          <w:rFonts w:cs="Arial"/>
          <w:b/>
          <w:smallCaps/>
          <w:sz w:val="28"/>
        </w:rPr>
        <w:tab/>
      </w:r>
      <w:r>
        <w:rPr>
          <w:rFonts w:cs="Arial"/>
          <w:b/>
          <w:smallCaps/>
          <w:sz w:val="28"/>
        </w:rPr>
        <w:tab/>
      </w:r>
      <w:r>
        <w:rPr>
          <w:rFonts w:cs="Arial"/>
          <w:lang w:val="de-DE"/>
        </w:rPr>
        <w:t>Samuel C. Randazzo (Counsel of Record)</w:t>
      </w:r>
    </w:p>
    <w:p w:rsidR="001E325A" w:rsidRDefault="00C0439D">
      <w:pPr>
        <w:tabs>
          <w:tab w:val="left" w:pos="-1440"/>
          <w:tab w:val="left" w:pos="-720"/>
          <w:tab w:val="left" w:pos="3600"/>
          <w:tab w:val="left" w:pos="4320"/>
          <w:tab w:val="left" w:pos="4680"/>
          <w:tab w:val="left" w:pos="5040"/>
        </w:tabs>
        <w:ind w:left="4320"/>
        <w:jc w:val="both"/>
        <w:rPr>
          <w:rFonts w:cs="Arial"/>
          <w:lang w:val="de-DE"/>
        </w:rPr>
      </w:pPr>
      <w:r>
        <w:rPr>
          <w:rFonts w:cs="Arial"/>
          <w:lang w:val="de-DE"/>
        </w:rPr>
        <w:t xml:space="preserve">Frank P. Darr </w:t>
      </w:r>
    </w:p>
    <w:p w:rsidR="001E325A" w:rsidRDefault="00C0439D">
      <w:pPr>
        <w:tabs>
          <w:tab w:val="left" w:pos="-1440"/>
          <w:tab w:val="left" w:pos="-720"/>
          <w:tab w:val="left" w:pos="3600"/>
          <w:tab w:val="left" w:pos="4320"/>
          <w:tab w:val="left" w:pos="4680"/>
          <w:tab w:val="left" w:pos="5040"/>
        </w:tabs>
        <w:ind w:left="4320"/>
        <w:jc w:val="both"/>
        <w:rPr>
          <w:rFonts w:cs="Arial"/>
          <w:lang w:val="de-DE"/>
        </w:rPr>
      </w:pPr>
      <w:r>
        <w:rPr>
          <w:rFonts w:cs="Arial"/>
          <w:lang w:val="de-DE"/>
        </w:rPr>
        <w:t>Matthew R. Pritchard</w:t>
      </w:r>
    </w:p>
    <w:p w:rsidR="001E325A" w:rsidRDefault="00C0439D">
      <w:pPr>
        <w:tabs>
          <w:tab w:val="left" w:pos="-1440"/>
          <w:tab w:val="left" w:pos="-720"/>
          <w:tab w:val="left" w:pos="3600"/>
          <w:tab w:val="left" w:pos="4320"/>
          <w:tab w:val="left" w:pos="4680"/>
          <w:tab w:val="left" w:pos="5040"/>
        </w:tabs>
        <w:ind w:left="4320"/>
        <w:jc w:val="both"/>
        <w:rPr>
          <w:rFonts w:cs="Arial"/>
          <w:smallCaps/>
          <w:sz w:val="20"/>
        </w:rPr>
      </w:pPr>
      <w:r>
        <w:rPr>
          <w:rFonts w:cs="Arial"/>
          <w:smallCaps/>
        </w:rPr>
        <w:t xml:space="preserve">McNees Wallace &amp; Nurick </w:t>
      </w:r>
      <w:r>
        <w:rPr>
          <w:rFonts w:cs="Arial"/>
          <w:smallCaps/>
          <w:sz w:val="20"/>
        </w:rPr>
        <w:t>LLC</w:t>
      </w:r>
    </w:p>
    <w:p w:rsidR="001E325A" w:rsidRDefault="00C0439D">
      <w:pPr>
        <w:tabs>
          <w:tab w:val="left" w:pos="-1440"/>
          <w:tab w:val="left" w:pos="-720"/>
          <w:tab w:val="left" w:pos="3600"/>
          <w:tab w:val="left" w:pos="4320"/>
          <w:tab w:val="left" w:pos="4680"/>
          <w:tab w:val="left" w:pos="5040"/>
        </w:tabs>
        <w:ind w:left="4320"/>
        <w:jc w:val="both"/>
        <w:rPr>
          <w:rFonts w:cs="Arial"/>
        </w:rPr>
      </w:pPr>
      <w:r>
        <w:rPr>
          <w:rFonts w:cs="Arial"/>
        </w:rPr>
        <w:t>21 East State Street, 17</w:t>
      </w:r>
      <w:r>
        <w:rPr>
          <w:rFonts w:cs="Arial"/>
          <w:vertAlign w:val="superscript"/>
        </w:rPr>
        <w:t>th</w:t>
      </w:r>
      <w:r>
        <w:rPr>
          <w:rFonts w:cs="Arial"/>
        </w:rPr>
        <w:t xml:space="preserve"> Floor</w:t>
      </w:r>
    </w:p>
    <w:p w:rsidR="001E325A" w:rsidRDefault="00C0439D">
      <w:pPr>
        <w:tabs>
          <w:tab w:val="left" w:pos="-1440"/>
          <w:tab w:val="left" w:pos="-720"/>
          <w:tab w:val="left" w:pos="4320"/>
          <w:tab w:val="left" w:pos="5040"/>
        </w:tabs>
        <w:ind w:left="4320"/>
        <w:jc w:val="both"/>
        <w:rPr>
          <w:rFonts w:cs="Arial"/>
        </w:rPr>
      </w:pPr>
      <w:r>
        <w:rPr>
          <w:rFonts w:cs="Arial"/>
        </w:rPr>
        <w:t>Columbus, OH  43215-4228</w:t>
      </w:r>
    </w:p>
    <w:p w:rsidR="001E325A" w:rsidRDefault="00C0439D">
      <w:pPr>
        <w:tabs>
          <w:tab w:val="left" w:pos="-1440"/>
          <w:tab w:val="left" w:pos="-720"/>
          <w:tab w:val="left" w:pos="4320"/>
          <w:tab w:val="left" w:pos="5040"/>
        </w:tabs>
        <w:ind w:left="4320"/>
        <w:jc w:val="both"/>
        <w:rPr>
          <w:rFonts w:cs="Arial"/>
        </w:rPr>
      </w:pPr>
      <w:r>
        <w:rPr>
          <w:rFonts w:cs="Arial"/>
        </w:rPr>
        <w:t>Telephone:  (614) 469-8000</w:t>
      </w:r>
    </w:p>
    <w:p w:rsidR="001E325A" w:rsidRDefault="00C0439D">
      <w:pPr>
        <w:pStyle w:val="BodyText"/>
        <w:tabs>
          <w:tab w:val="left" w:pos="4320"/>
        </w:tabs>
        <w:ind w:left="4320"/>
      </w:pPr>
      <w:r>
        <w:t>Telecopier:  (614) 469-4653</w:t>
      </w:r>
    </w:p>
    <w:p w:rsidR="001E325A" w:rsidRDefault="00C0439D">
      <w:pPr>
        <w:pStyle w:val="BodyText"/>
        <w:ind w:left="4320"/>
      </w:pPr>
      <w:r>
        <w:t>sam@mwncmh.com</w:t>
      </w:r>
    </w:p>
    <w:p w:rsidR="001E325A" w:rsidRDefault="00C0439D">
      <w:pPr>
        <w:pStyle w:val="BodyText"/>
        <w:ind w:left="4320"/>
      </w:pPr>
      <w:r>
        <w:t>fdarr@mwncmh.com</w:t>
      </w:r>
    </w:p>
    <w:p w:rsidR="001E325A" w:rsidRDefault="00C0439D">
      <w:pPr>
        <w:pStyle w:val="BodyText"/>
        <w:ind w:left="4320"/>
      </w:pPr>
      <w:r>
        <w:t>mpritchard@mwncmh.com</w:t>
      </w:r>
    </w:p>
    <w:p w:rsidR="001E325A" w:rsidRDefault="001E325A">
      <w:pPr>
        <w:pStyle w:val="BodyText"/>
        <w:tabs>
          <w:tab w:val="left" w:pos="4301"/>
        </w:tabs>
        <w:jc w:val="left"/>
        <w:rPr>
          <w:b/>
          <w:bCs/>
        </w:rPr>
      </w:pPr>
    </w:p>
    <w:p w:rsidR="001E325A" w:rsidRDefault="00C0439D">
      <w:pPr>
        <w:pStyle w:val="Title"/>
        <w:jc w:val="left"/>
        <w:rPr>
          <w:bCs/>
          <w:smallCaps w:val="0"/>
          <w:sz w:val="24"/>
        </w:rPr>
      </w:pPr>
      <w:r>
        <w:rPr>
          <w:bCs/>
          <w:smallCaps w:val="0"/>
          <w:sz w:val="24"/>
        </w:rPr>
        <w:t>March 23, 2012</w:t>
      </w:r>
      <w:r>
        <w:rPr>
          <w:bCs/>
          <w:smallCaps w:val="0"/>
          <w:sz w:val="24"/>
        </w:rPr>
        <w:tab/>
      </w:r>
      <w:r>
        <w:rPr>
          <w:bCs/>
          <w:smallCaps w:val="0"/>
          <w:sz w:val="24"/>
        </w:rPr>
        <w:tab/>
      </w:r>
      <w:r>
        <w:rPr>
          <w:bCs/>
          <w:smallCaps w:val="0"/>
          <w:sz w:val="24"/>
        </w:rPr>
        <w:tab/>
      </w:r>
      <w:r>
        <w:rPr>
          <w:bCs/>
          <w:smallCaps w:val="0"/>
          <w:sz w:val="24"/>
        </w:rPr>
        <w:tab/>
        <w:t>Attorneys for Industrial Energy Users-Ohio</w:t>
      </w:r>
    </w:p>
    <w:p w:rsidR="001E325A" w:rsidRDefault="001E325A">
      <w:pPr>
        <w:pStyle w:val="Title"/>
        <w:jc w:val="left"/>
        <w:rPr>
          <w:bCs/>
          <w:smallCaps w:val="0"/>
          <w:sz w:val="24"/>
        </w:rPr>
        <w:sectPr w:rsidR="001E325A">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141" w:left="1440" w:header="720" w:footer="720" w:gutter="0"/>
          <w:pgNumType w:start="1"/>
          <w:cols w:space="720"/>
          <w:titlePg/>
          <w:docGrid w:linePitch="326"/>
        </w:sectPr>
      </w:pPr>
    </w:p>
    <w:p w:rsidR="001E325A" w:rsidRDefault="00C0439D">
      <w:pPr>
        <w:pStyle w:val="Title"/>
        <w:rPr>
          <w:sz w:val="28"/>
          <w:szCs w:val="28"/>
        </w:rPr>
      </w:pPr>
      <w:r>
        <w:rPr>
          <w:sz w:val="28"/>
          <w:szCs w:val="28"/>
        </w:rPr>
        <w:lastRenderedPageBreak/>
        <w:t>Before</w:t>
      </w:r>
    </w:p>
    <w:p w:rsidR="001E325A" w:rsidRDefault="00C0439D">
      <w:pPr>
        <w:jc w:val="center"/>
        <w:rPr>
          <w:rFonts w:cs="Arial"/>
          <w:b/>
          <w:smallCaps/>
          <w:sz w:val="28"/>
          <w:szCs w:val="28"/>
        </w:rPr>
      </w:pPr>
      <w:r>
        <w:rPr>
          <w:rFonts w:cs="Arial"/>
          <w:b/>
          <w:smallCaps/>
          <w:sz w:val="28"/>
          <w:szCs w:val="28"/>
        </w:rPr>
        <w:t>The Public Utilities Commission of Ohio</w:t>
      </w:r>
    </w:p>
    <w:p w:rsidR="001E325A" w:rsidRDefault="001E325A">
      <w:pPr>
        <w:jc w:val="center"/>
        <w:rPr>
          <w:rFonts w:cs="Arial"/>
          <w:b/>
          <w:smallCaps/>
          <w:sz w:val="28"/>
          <w:szCs w:val="28"/>
        </w:rPr>
      </w:pPr>
    </w:p>
    <w:tbl>
      <w:tblPr>
        <w:tblW w:w="9092" w:type="dxa"/>
        <w:tblLook w:val="01E0" w:firstRow="1" w:lastRow="1" w:firstColumn="1" w:lastColumn="1" w:noHBand="0" w:noVBand="0"/>
      </w:tblPr>
      <w:tblGrid>
        <w:gridCol w:w="4332"/>
        <w:gridCol w:w="1086"/>
        <w:gridCol w:w="3674"/>
      </w:tblGrid>
      <w:tr w:rsidR="001E325A">
        <w:trPr>
          <w:trHeight w:val="807"/>
        </w:trPr>
        <w:tc>
          <w:tcPr>
            <w:tcW w:w="4332" w:type="dxa"/>
          </w:tcPr>
          <w:p w:rsidR="001E325A" w:rsidRDefault="00C0439D">
            <w:pPr>
              <w:autoSpaceDE w:val="0"/>
              <w:autoSpaceDN w:val="0"/>
              <w:adjustRightInd w:val="0"/>
              <w:rPr>
                <w:rFonts w:cs="Arial"/>
              </w:rPr>
            </w:pPr>
            <w:r>
              <w:rPr>
                <w:rFonts w:cs="Arial"/>
              </w:rPr>
              <w:t>In the Matter of the Fuel Adjustment Clauses for Columbus Southern Power Company and Ohio Power Company and Related Matters.</w:t>
            </w:r>
          </w:p>
        </w:tc>
        <w:tc>
          <w:tcPr>
            <w:tcW w:w="1086" w:type="dxa"/>
          </w:tcPr>
          <w:p w:rsidR="001E325A" w:rsidRDefault="00C0439D">
            <w:pPr>
              <w:pStyle w:val="HTMLPreformatted"/>
              <w:tabs>
                <w:tab w:val="left" w:pos="168"/>
              </w:tabs>
              <w:ind w:left="168" w:right="-204"/>
              <w:rPr>
                <w:rFonts w:ascii="Arial" w:hAnsi="Arial" w:cs="Arial"/>
                <w:sz w:val="24"/>
                <w:szCs w:val="24"/>
              </w:rPr>
            </w:pPr>
            <w:r>
              <w:rPr>
                <w:rFonts w:ascii="Arial" w:hAnsi="Arial" w:cs="Arial"/>
                <w:sz w:val="24"/>
                <w:szCs w:val="24"/>
              </w:rPr>
              <w:t>)</w:t>
            </w:r>
          </w:p>
          <w:p w:rsidR="001E325A" w:rsidRDefault="00C0439D">
            <w:pPr>
              <w:pStyle w:val="HTMLPreformatted"/>
              <w:tabs>
                <w:tab w:val="left" w:pos="168"/>
              </w:tabs>
              <w:ind w:left="168" w:right="-204"/>
              <w:rPr>
                <w:rFonts w:ascii="Arial" w:hAnsi="Arial" w:cs="Arial"/>
                <w:sz w:val="24"/>
                <w:szCs w:val="24"/>
              </w:rPr>
            </w:pPr>
            <w:r>
              <w:rPr>
                <w:rFonts w:ascii="Arial" w:hAnsi="Arial" w:cs="Arial"/>
                <w:sz w:val="24"/>
                <w:szCs w:val="24"/>
              </w:rPr>
              <w:t>)</w:t>
            </w:r>
          </w:p>
          <w:p w:rsidR="001E325A" w:rsidRDefault="00C0439D">
            <w:pPr>
              <w:pStyle w:val="HTMLPreformatted"/>
              <w:tabs>
                <w:tab w:val="left" w:pos="168"/>
              </w:tabs>
              <w:ind w:left="168" w:right="-204"/>
              <w:rPr>
                <w:rFonts w:ascii="Arial" w:hAnsi="Arial" w:cs="Arial"/>
                <w:sz w:val="24"/>
                <w:szCs w:val="24"/>
              </w:rPr>
            </w:pPr>
            <w:r>
              <w:rPr>
                <w:rFonts w:ascii="Arial" w:hAnsi="Arial" w:cs="Arial"/>
                <w:sz w:val="24"/>
                <w:szCs w:val="24"/>
              </w:rPr>
              <w:t>)</w:t>
            </w:r>
          </w:p>
          <w:p w:rsidR="001E325A" w:rsidRDefault="00C0439D">
            <w:pPr>
              <w:pStyle w:val="HTMLPreformatted"/>
              <w:tabs>
                <w:tab w:val="left" w:pos="168"/>
              </w:tabs>
              <w:ind w:left="168" w:right="-204"/>
              <w:rPr>
                <w:rFonts w:ascii="Arial" w:hAnsi="Arial" w:cs="Arial"/>
                <w:sz w:val="24"/>
                <w:szCs w:val="24"/>
              </w:rPr>
            </w:pPr>
            <w:r>
              <w:rPr>
                <w:rFonts w:ascii="Arial" w:hAnsi="Arial" w:cs="Arial"/>
                <w:sz w:val="24"/>
                <w:szCs w:val="24"/>
              </w:rPr>
              <w:t>)</w:t>
            </w:r>
          </w:p>
        </w:tc>
        <w:tc>
          <w:tcPr>
            <w:tcW w:w="3674" w:type="dxa"/>
          </w:tcPr>
          <w:p w:rsidR="001E325A" w:rsidRDefault="001E325A">
            <w:pPr>
              <w:pStyle w:val="HTMLPreformatted"/>
              <w:rPr>
                <w:rFonts w:ascii="Arial" w:hAnsi="Arial" w:cs="Arial"/>
                <w:sz w:val="24"/>
                <w:szCs w:val="24"/>
              </w:rPr>
            </w:pPr>
          </w:p>
          <w:p w:rsidR="001E325A" w:rsidRDefault="00C0439D">
            <w:pPr>
              <w:pStyle w:val="HTMLPreformatted"/>
              <w:rPr>
                <w:rFonts w:ascii="Arial" w:hAnsi="Arial" w:cs="Arial"/>
                <w:sz w:val="24"/>
                <w:szCs w:val="24"/>
              </w:rPr>
            </w:pPr>
            <w:r>
              <w:rPr>
                <w:rFonts w:ascii="Arial" w:hAnsi="Arial" w:cs="Arial"/>
                <w:bCs/>
                <w:sz w:val="24"/>
                <w:szCs w:val="24"/>
              </w:rPr>
              <w:t>Case No. 11-5906-EL-FAC</w:t>
            </w:r>
          </w:p>
        </w:tc>
      </w:tr>
    </w:tbl>
    <w:p w:rsidR="001E325A" w:rsidRDefault="001E325A">
      <w:pPr>
        <w:pStyle w:val="BodyText"/>
      </w:pPr>
    </w:p>
    <w:p w:rsidR="001E325A" w:rsidRDefault="001E325A">
      <w:pPr>
        <w:pStyle w:val="BodyText"/>
      </w:pPr>
    </w:p>
    <w:p w:rsidR="001E325A" w:rsidRDefault="001E325A">
      <w:pPr>
        <w:pBdr>
          <w:top w:val="single" w:sz="12" w:space="1" w:color="auto"/>
        </w:pBdr>
        <w:tabs>
          <w:tab w:val="left" w:pos="7320"/>
        </w:tabs>
        <w:jc w:val="center"/>
        <w:rPr>
          <w:rFonts w:cs="Arial"/>
          <w:sz w:val="16"/>
          <w:szCs w:val="16"/>
        </w:rPr>
      </w:pPr>
    </w:p>
    <w:p w:rsidR="001F4B27" w:rsidRDefault="001F4B27" w:rsidP="001F4B27">
      <w:pPr>
        <w:pStyle w:val="Heading1"/>
        <w:tabs>
          <w:tab w:val="left" w:pos="7320"/>
        </w:tabs>
        <w:ind w:left="0" w:right="0"/>
        <w:jc w:val="center"/>
        <w:rPr>
          <w:rFonts w:ascii="Arial Bold" w:hAnsi="Arial Bold"/>
          <w:smallCaps/>
          <w:szCs w:val="32"/>
        </w:rPr>
      </w:pPr>
      <w:r w:rsidRPr="001F4B27">
        <w:rPr>
          <w:rFonts w:ascii="Arial Bold" w:hAnsi="Arial Bold"/>
          <w:smallCaps/>
          <w:szCs w:val="32"/>
        </w:rPr>
        <w:t>Industrial Energy Users-Ohio</w:t>
      </w:r>
      <w:r w:rsidRPr="001F4B27">
        <w:rPr>
          <w:rFonts w:ascii="Arial Bold" w:hAnsi="Arial Bold" w:hint="eastAsia"/>
          <w:smallCaps/>
          <w:szCs w:val="32"/>
        </w:rPr>
        <w:t>’</w:t>
      </w:r>
      <w:r>
        <w:rPr>
          <w:rFonts w:ascii="Arial Bold" w:hAnsi="Arial Bold"/>
          <w:smallCaps/>
          <w:szCs w:val="32"/>
        </w:rPr>
        <w:t>s Memorandum Contra To</w:t>
      </w:r>
    </w:p>
    <w:p w:rsidR="001F4B27" w:rsidRDefault="001F4B27" w:rsidP="001F4B27">
      <w:pPr>
        <w:pStyle w:val="Heading1"/>
        <w:tabs>
          <w:tab w:val="left" w:pos="7320"/>
        </w:tabs>
        <w:ind w:left="0" w:right="0"/>
        <w:jc w:val="center"/>
        <w:rPr>
          <w:rFonts w:ascii="Arial Bold" w:hAnsi="Arial Bold"/>
          <w:smallCaps/>
          <w:szCs w:val="32"/>
        </w:rPr>
      </w:pPr>
      <w:r w:rsidRPr="001F4B27">
        <w:rPr>
          <w:rFonts w:ascii="Arial Bold" w:hAnsi="Arial Bold"/>
          <w:smallCaps/>
          <w:szCs w:val="32"/>
        </w:rPr>
        <w:t>Ohio Power Company</w:t>
      </w:r>
      <w:r w:rsidRPr="001F4B27">
        <w:rPr>
          <w:rFonts w:ascii="Arial Bold" w:hAnsi="Arial Bold" w:hint="eastAsia"/>
          <w:smallCaps/>
          <w:szCs w:val="32"/>
        </w:rPr>
        <w:t>’</w:t>
      </w:r>
      <w:r>
        <w:rPr>
          <w:rFonts w:ascii="Arial Bold" w:hAnsi="Arial Bold"/>
          <w:smallCaps/>
          <w:szCs w:val="32"/>
        </w:rPr>
        <w:t>s Motion To Implement A</w:t>
      </w:r>
    </w:p>
    <w:p w:rsidR="001F4B27" w:rsidRPr="001F4B27" w:rsidRDefault="001F4B27" w:rsidP="001F4B27">
      <w:pPr>
        <w:pStyle w:val="Heading1"/>
        <w:tabs>
          <w:tab w:val="left" w:pos="7320"/>
        </w:tabs>
        <w:ind w:left="0" w:right="0"/>
        <w:jc w:val="center"/>
        <w:rPr>
          <w:rFonts w:ascii="Arial Bold" w:hAnsi="Arial Bold"/>
          <w:smallCaps/>
          <w:sz w:val="32"/>
          <w:szCs w:val="32"/>
        </w:rPr>
      </w:pPr>
      <w:r w:rsidRPr="001F4B27">
        <w:rPr>
          <w:rFonts w:ascii="Arial Bold" w:hAnsi="Arial Bold"/>
          <w:smallCaps/>
          <w:szCs w:val="32"/>
        </w:rPr>
        <w:t xml:space="preserve">Single Blended Fuel Adjustment Clause </w:t>
      </w:r>
    </w:p>
    <w:p w:rsidR="001E325A" w:rsidRDefault="001E325A">
      <w:pPr>
        <w:pBdr>
          <w:bottom w:val="single" w:sz="12" w:space="1" w:color="auto"/>
        </w:pBdr>
        <w:tabs>
          <w:tab w:val="left" w:pos="7320"/>
        </w:tabs>
        <w:jc w:val="center"/>
        <w:rPr>
          <w:rFonts w:cs="Arial"/>
          <w:sz w:val="16"/>
          <w:szCs w:val="16"/>
        </w:rPr>
      </w:pPr>
    </w:p>
    <w:p w:rsidR="001E325A" w:rsidRDefault="001E325A">
      <w:pPr>
        <w:pStyle w:val="BodyTextIndent"/>
      </w:pPr>
    </w:p>
    <w:p w:rsidR="001E325A" w:rsidRDefault="00C0439D">
      <w:pPr>
        <w:autoSpaceDE w:val="0"/>
        <w:autoSpaceDN w:val="0"/>
        <w:adjustRightInd w:val="0"/>
        <w:spacing w:before="240" w:line="480" w:lineRule="auto"/>
        <w:ind w:firstLine="720"/>
        <w:jc w:val="both"/>
        <w:rPr>
          <w:rFonts w:eastAsiaTheme="minorHAnsi"/>
        </w:rPr>
      </w:pPr>
      <w:r>
        <w:t xml:space="preserve">On March 16, 2012, Ohio Power Company (“OP”) filed a Motion in this proceeding requesting the Public Utilities Commission of Ohio (“Commission”) authorize OP to implement a single blended fuel adjustment clause (“FAC”) rate for the OP and Columbus Southern Power Company (“CSP”) rate zones.  </w:t>
      </w:r>
      <w:r>
        <w:rPr>
          <w:rFonts w:eastAsiaTheme="minorHAnsi"/>
        </w:rPr>
        <w:t xml:space="preserve">OP’s March 16, 2012 Motion in this case should be denied because the Commission’s March 7, 2012 Entry in the consolidated </w:t>
      </w:r>
      <w:r>
        <w:rPr>
          <w:rFonts w:eastAsiaTheme="minorHAnsi"/>
          <w:i/>
        </w:rPr>
        <w:t>ESP II</w:t>
      </w:r>
      <w:r>
        <w:rPr>
          <w:rStyle w:val="FootnoteReference"/>
          <w:rFonts w:eastAsiaTheme="minorHAnsi"/>
          <w:i/>
        </w:rPr>
        <w:footnoteReference w:id="1"/>
      </w:r>
      <w:r>
        <w:rPr>
          <w:rFonts w:eastAsiaTheme="minorHAnsi"/>
          <w:i/>
        </w:rPr>
        <w:t xml:space="preserve"> </w:t>
      </w:r>
      <w:r>
        <w:rPr>
          <w:rFonts w:eastAsiaTheme="minorHAnsi"/>
        </w:rPr>
        <w:t>proceeding (the “Compliance Tariff Entry”) as well as the March 7, 2012 Entry in the merger proceeding</w:t>
      </w:r>
      <w:r>
        <w:rPr>
          <w:rStyle w:val="FootnoteReference"/>
          <w:rFonts w:eastAsiaTheme="minorHAnsi"/>
        </w:rPr>
        <w:footnoteReference w:id="2"/>
      </w:r>
      <w:r>
        <w:rPr>
          <w:rFonts w:eastAsiaTheme="minorHAnsi"/>
        </w:rPr>
        <w:t xml:space="preserve"> (the “Merger Entry”) are both reasonable and lawful.  In contrast, OP’s Motion requests the Commission to violate the law in two respects.  First, OP requests the Commission ignore Section 4928.143(C)(2)(b), Revised Code, and return OP to rates that were not in effect during </w:t>
      </w:r>
      <w:r>
        <w:rPr>
          <w:rFonts w:eastAsiaTheme="minorHAnsi"/>
          <w:i/>
        </w:rPr>
        <w:t>ESP I</w:t>
      </w:r>
      <w:r>
        <w:rPr>
          <w:rFonts w:eastAsiaTheme="minorHAnsi"/>
        </w:rPr>
        <w:t>.</w:t>
      </w:r>
      <w:r>
        <w:rPr>
          <w:rStyle w:val="FootnoteReference"/>
          <w:rFonts w:eastAsiaTheme="minorHAnsi"/>
        </w:rPr>
        <w:footnoteReference w:id="3"/>
      </w:r>
      <w:r>
        <w:rPr>
          <w:rFonts w:eastAsiaTheme="minorHAnsi"/>
        </w:rPr>
        <w:t xml:space="preserve">  Second, </w:t>
      </w:r>
      <w:r>
        <w:rPr>
          <w:rFonts w:eastAsiaTheme="minorHAnsi"/>
        </w:rPr>
        <w:lastRenderedPageBreak/>
        <w:t xml:space="preserve">OP requests the Commission assert jurisdiction that it does not possess and modify CSP’s and OP’s FAC rates outside of an ESP proceeding. </w:t>
      </w:r>
      <w:r>
        <w:rPr>
          <w:rFonts w:eastAsiaTheme="minorHAnsi"/>
          <w:i/>
        </w:rPr>
        <w:t xml:space="preserve"> </w:t>
      </w:r>
      <w:r>
        <w:rPr>
          <w:rFonts w:eastAsiaTheme="minorHAnsi"/>
        </w:rPr>
        <w:t xml:space="preserve">  </w:t>
      </w:r>
    </w:p>
    <w:p w:rsidR="001E325A" w:rsidRDefault="00C0439D">
      <w:pPr>
        <w:pStyle w:val="BodyTextIndent"/>
        <w:spacing w:line="480" w:lineRule="auto"/>
        <w:rPr>
          <w:rFonts w:eastAsiaTheme="minorHAnsi"/>
        </w:rPr>
      </w:pPr>
      <w:r>
        <w:rPr>
          <w:rFonts w:eastAsiaTheme="minorHAnsi"/>
        </w:rPr>
        <w:t>Additionally, even if the Commission agreed with OP’s request and found it could authorize a blended FAC in this proceeding, OP’s Motion should be rejected because OP has repeatedly stated that it would not seek to modify rates as a result of the merger (outside of a proper ratemaking proceeding such as an ESP proceeding).</w:t>
      </w:r>
      <w:r>
        <w:rPr>
          <w:rStyle w:val="FootnoteReference"/>
          <w:rFonts w:eastAsiaTheme="minorHAnsi"/>
        </w:rPr>
        <w:footnoteReference w:id="4"/>
      </w:r>
      <w:r>
        <w:rPr>
          <w:rFonts w:eastAsiaTheme="minorHAnsi"/>
        </w:rPr>
        <w:t xml:space="preserve">  </w:t>
      </w:r>
    </w:p>
    <w:p w:rsidR="001E325A" w:rsidRDefault="00C0439D">
      <w:pPr>
        <w:autoSpaceDE w:val="0"/>
        <w:autoSpaceDN w:val="0"/>
        <w:adjustRightInd w:val="0"/>
        <w:spacing w:before="240" w:line="480" w:lineRule="auto"/>
        <w:jc w:val="both"/>
        <w:rPr>
          <w:b/>
        </w:rPr>
      </w:pPr>
      <w:r>
        <w:rPr>
          <w:b/>
        </w:rPr>
        <w:t>I.</w:t>
      </w:r>
      <w:r>
        <w:rPr>
          <w:b/>
        </w:rPr>
        <w:tab/>
        <w:t>BACKGROUND</w:t>
      </w:r>
    </w:p>
    <w:p w:rsidR="001E325A" w:rsidRDefault="00C0439D">
      <w:pPr>
        <w:autoSpaceDE w:val="0"/>
        <w:autoSpaceDN w:val="0"/>
        <w:adjustRightInd w:val="0"/>
        <w:spacing w:line="480" w:lineRule="auto"/>
        <w:ind w:firstLine="720"/>
        <w:jc w:val="both"/>
      </w:pPr>
      <w:r>
        <w:t xml:space="preserve">On February 23, 2012, the Commission issued an Entry on Rehearing rejecting a stipulation and recommendation submitted on September 7, 2011 in the </w:t>
      </w:r>
      <w:r>
        <w:rPr>
          <w:i/>
        </w:rPr>
        <w:t xml:space="preserve">ESP II </w:t>
      </w:r>
      <w:r>
        <w:t>proceeding.  The February 23 Entry on Rehearing directed OP to file compliance tariffs no later than February 28, 2012 to:</w:t>
      </w:r>
    </w:p>
    <w:p w:rsidR="001E325A" w:rsidRDefault="00C0439D">
      <w:pPr>
        <w:autoSpaceDE w:val="0"/>
        <w:autoSpaceDN w:val="0"/>
        <w:adjustRightInd w:val="0"/>
        <w:ind w:left="720" w:right="720"/>
        <w:jc w:val="both"/>
        <w:rPr>
          <w:rFonts w:eastAsiaTheme="minorHAnsi" w:cs="Arial"/>
        </w:rPr>
      </w:pPr>
      <w:r>
        <w:rPr>
          <w:rFonts w:eastAsiaTheme="minorHAnsi" w:cs="Arial"/>
        </w:rPr>
        <w:t>continue the provisions, terms, and conditions of its previous electric security plan, including but not limited to the base generation rates as approved in ESP I, along with the current uncapped fuel costs and the environmental investment carry cost rider set at the 2011 level, as well as modifications to those rates for credits for amounts fully refunded to customers, such as the significantly excessive earnings test (SEET) credit, and an appropriate application of capacity charges under the approved state compensation mechanism established in the Capacity Charge Case.</w:t>
      </w:r>
      <w:r>
        <w:rPr>
          <w:rStyle w:val="FootnoteReference"/>
          <w:rFonts w:eastAsiaTheme="minorHAnsi" w:cs="Arial"/>
        </w:rPr>
        <w:footnoteReference w:id="5"/>
      </w:r>
    </w:p>
    <w:p w:rsidR="001E325A" w:rsidRDefault="001E325A">
      <w:pPr>
        <w:autoSpaceDE w:val="0"/>
        <w:autoSpaceDN w:val="0"/>
        <w:adjustRightInd w:val="0"/>
        <w:ind w:firstLine="720"/>
        <w:jc w:val="both"/>
        <w:rPr>
          <w:rFonts w:eastAsiaTheme="minorHAnsi" w:cs="Arial"/>
        </w:rPr>
      </w:pPr>
    </w:p>
    <w:p w:rsidR="001E325A" w:rsidRDefault="00C0439D">
      <w:pPr>
        <w:pStyle w:val="BodyTextIndent"/>
        <w:spacing w:line="480" w:lineRule="auto"/>
        <w:rPr>
          <w:rFonts w:eastAsiaTheme="minorHAnsi"/>
        </w:rPr>
      </w:pPr>
      <w:r>
        <w:rPr>
          <w:rFonts w:eastAsiaTheme="minorHAnsi"/>
        </w:rPr>
        <w:t xml:space="preserve">On February 28, 2012, OP responded to the February 23 Entry on Rehearing by submitting tariffs that failed to fully comply with the February 23, 2012 Entry on Rehearing inasmuch as the tariffs, </w:t>
      </w:r>
      <w:r>
        <w:rPr>
          <w:rFonts w:eastAsiaTheme="minorHAnsi"/>
          <w:i/>
        </w:rPr>
        <w:t>inter alia</w:t>
      </w:r>
      <w:r>
        <w:rPr>
          <w:rFonts w:eastAsiaTheme="minorHAnsi"/>
        </w:rPr>
        <w:t xml:space="preserve">, retained a single blended FAC rate.  </w:t>
      </w:r>
      <w:r>
        <w:rPr>
          <w:rFonts w:eastAsiaTheme="minorHAnsi"/>
        </w:rPr>
        <w:lastRenderedPageBreak/>
        <w:t>Additionally, on March 1, 2012, OP submitted an application in this proceeding to establish FAC rates on a combined company basis to be effective on April 1, 2012.  On March 7, 2012, the Commission responded to the February 28, 2012 tariff filing and directed OP to re-file its FAC riders to reflect separate and unblended FAC rates for the OP and CSP rate zones, noting OP’s commitment in its merger application that the merger would not affect OP’s and CSP’s rates.</w:t>
      </w:r>
    </w:p>
    <w:p w:rsidR="001E325A" w:rsidRDefault="00C0439D">
      <w:pPr>
        <w:pStyle w:val="BodyTextIndent"/>
        <w:spacing w:line="480" w:lineRule="auto"/>
        <w:rPr>
          <w:rFonts w:eastAsiaTheme="minorHAnsi"/>
        </w:rPr>
      </w:pPr>
      <w:r>
        <w:rPr>
          <w:rFonts w:eastAsiaTheme="minorHAnsi"/>
        </w:rPr>
        <w:t xml:space="preserve">On March 16, 2012, OP submitted revised rate schedules in this proceeding to reflect unblended FAC rates for the OP and CSP rate zones to become effective on April 1, 2012.  On the same day, OP filed a Motion requesting an expedited order permitting OP to implement the blended rates proposed in its March 1, 2012 application. </w:t>
      </w:r>
    </w:p>
    <w:p w:rsidR="001E325A" w:rsidRDefault="00C0439D" w:rsidP="007C79B1">
      <w:pPr>
        <w:pStyle w:val="BodyTextIndent"/>
        <w:spacing w:before="240"/>
        <w:ind w:firstLine="0"/>
        <w:rPr>
          <w:rFonts w:eastAsiaTheme="minorHAnsi"/>
          <w:b/>
        </w:rPr>
      </w:pPr>
      <w:r>
        <w:rPr>
          <w:rFonts w:eastAsiaTheme="minorHAnsi"/>
          <w:b/>
        </w:rPr>
        <w:t>II.</w:t>
      </w:r>
      <w:r>
        <w:rPr>
          <w:rFonts w:eastAsiaTheme="minorHAnsi"/>
          <w:b/>
        </w:rPr>
        <w:tab/>
        <w:t>ARGUMENT</w:t>
      </w:r>
    </w:p>
    <w:p w:rsidR="001E325A" w:rsidRDefault="00C0439D" w:rsidP="007C79B1">
      <w:pPr>
        <w:pStyle w:val="BodyTextIndent"/>
        <w:numPr>
          <w:ilvl w:val="0"/>
          <w:numId w:val="7"/>
        </w:numPr>
        <w:spacing w:before="120"/>
        <w:ind w:left="1440" w:hanging="720"/>
        <w:rPr>
          <w:rFonts w:eastAsiaTheme="minorHAnsi"/>
          <w:b/>
        </w:rPr>
      </w:pPr>
      <w:r>
        <w:rPr>
          <w:rFonts w:eastAsiaTheme="minorHAnsi"/>
          <w:b/>
        </w:rPr>
        <w:t xml:space="preserve">The Compliance Tariff Entry and the Merger Entry are Reasonable and Lawful </w:t>
      </w:r>
    </w:p>
    <w:p w:rsidR="001E325A" w:rsidRDefault="00C0439D" w:rsidP="007C79B1">
      <w:pPr>
        <w:pStyle w:val="BodyTextIndent"/>
        <w:numPr>
          <w:ilvl w:val="0"/>
          <w:numId w:val="9"/>
        </w:numPr>
        <w:spacing w:before="120"/>
        <w:ind w:left="2160" w:hanging="720"/>
        <w:rPr>
          <w:rFonts w:eastAsiaTheme="minorHAnsi"/>
          <w:b/>
        </w:rPr>
      </w:pPr>
      <w:bookmarkStart w:id="1" w:name="pcgNumRestart232"/>
      <w:bookmarkEnd w:id="1"/>
      <w:r>
        <w:rPr>
          <w:rFonts w:eastAsiaTheme="minorHAnsi"/>
          <w:b/>
        </w:rPr>
        <w:t>Section 4928.143(C)(2)(b), Revised Code, Requires the Commission to Issue Such Orders as Necessary to Return Customers to the Rates Under a Previous SSO</w:t>
      </w:r>
    </w:p>
    <w:p w:rsidR="001E325A" w:rsidRDefault="001E325A">
      <w:pPr>
        <w:pStyle w:val="BodyTextIndent"/>
        <w:ind w:left="1800" w:firstLine="0"/>
        <w:rPr>
          <w:rFonts w:eastAsiaTheme="minorHAnsi"/>
          <w:b/>
        </w:rPr>
      </w:pPr>
    </w:p>
    <w:p w:rsidR="001E325A" w:rsidRDefault="00C0439D">
      <w:pPr>
        <w:pStyle w:val="BodyTextIndent"/>
        <w:spacing w:line="480" w:lineRule="auto"/>
        <w:rPr>
          <w:rFonts w:eastAsiaTheme="minorHAnsi"/>
        </w:rPr>
      </w:pPr>
      <w:r>
        <w:rPr>
          <w:rFonts w:eastAsiaTheme="minorHAnsi"/>
        </w:rPr>
        <w:t xml:space="preserve">The Commission’s Entry on Rehearing and Compliance Tariff Entry are reasonable and lawful because they directed OP to return customers to the rates charged under the initial CSP and OP standard service offers (“SSO”), </w:t>
      </w:r>
      <w:r>
        <w:rPr>
          <w:rFonts w:eastAsiaTheme="minorHAnsi"/>
          <w:i/>
        </w:rPr>
        <w:t>i.e. ESP I</w:t>
      </w:r>
      <w:r>
        <w:rPr>
          <w:rFonts w:eastAsiaTheme="minorHAnsi"/>
        </w:rPr>
        <w:t xml:space="preserve">.  Section 4928.143(C)(2)(b), Revised Code, directs the Commission to issue “such order as is necessary to continue the provisions, terms, and conditions of the utility’s most recent standard service offer ….”  The Compliance Tariff Entry, along with the Commission’s </w:t>
      </w:r>
      <w:r>
        <w:rPr>
          <w:rFonts w:eastAsiaTheme="minorHAnsi"/>
          <w:i/>
        </w:rPr>
        <w:t xml:space="preserve">ESP II </w:t>
      </w:r>
      <w:r>
        <w:rPr>
          <w:rFonts w:eastAsiaTheme="minorHAnsi"/>
        </w:rPr>
        <w:t>Entry on Rehearing,</w:t>
      </w:r>
      <w:r>
        <w:rPr>
          <w:rStyle w:val="FootnoteReference"/>
          <w:rFonts w:eastAsiaTheme="minorHAnsi"/>
        </w:rPr>
        <w:footnoteReference w:id="6"/>
      </w:r>
      <w:r>
        <w:rPr>
          <w:rFonts w:eastAsiaTheme="minorHAnsi"/>
        </w:rPr>
        <w:t xml:space="preserve"> did just that:  they directed OP and CSP to </w:t>
      </w:r>
      <w:r>
        <w:rPr>
          <w:rFonts w:eastAsiaTheme="minorHAnsi"/>
        </w:rPr>
        <w:lastRenderedPageBreak/>
        <w:t xml:space="preserve">file tariffs to continue their previous ESPs and to remove tariffs that did not exist as proposed under their previous ESPs.  </w:t>
      </w:r>
    </w:p>
    <w:p w:rsidR="001E325A" w:rsidRDefault="00C0439D">
      <w:pPr>
        <w:pStyle w:val="BodyTextIndent"/>
        <w:spacing w:line="480" w:lineRule="auto"/>
        <w:rPr>
          <w:rFonts w:eastAsiaTheme="minorHAnsi"/>
        </w:rPr>
      </w:pPr>
      <w:r>
        <w:rPr>
          <w:rFonts w:eastAsiaTheme="minorHAnsi"/>
        </w:rPr>
        <w:t>Alth</w:t>
      </w:r>
      <w:r w:rsidR="00180B10">
        <w:rPr>
          <w:rFonts w:eastAsiaTheme="minorHAnsi"/>
        </w:rPr>
        <w:t>ough OP’s Motion claims it is im</w:t>
      </w:r>
      <w:r>
        <w:rPr>
          <w:rFonts w:eastAsiaTheme="minorHAnsi"/>
        </w:rPr>
        <w:t>practica</w:t>
      </w:r>
      <w:r w:rsidR="00180B10">
        <w:rPr>
          <w:rFonts w:eastAsiaTheme="minorHAnsi"/>
        </w:rPr>
        <w:t>b</w:t>
      </w:r>
      <w:r>
        <w:rPr>
          <w:rFonts w:eastAsiaTheme="minorHAnsi"/>
        </w:rPr>
        <w:t>l</w:t>
      </w:r>
      <w:r w:rsidR="00180B10">
        <w:rPr>
          <w:rFonts w:eastAsiaTheme="minorHAnsi"/>
        </w:rPr>
        <w:t>e</w:t>
      </w:r>
      <w:r>
        <w:rPr>
          <w:rFonts w:eastAsiaTheme="minorHAnsi"/>
        </w:rPr>
        <w:t xml:space="preserve"> for it to continue separate and distinct FAC rates for the CSP and OP rate zones, OP has no choice but to follow the law.  The law requires OP’s and CSP’s previous SSO’s provisions, terms, and conditions (</w:t>
      </w:r>
      <w:r>
        <w:rPr>
          <w:rFonts w:eastAsiaTheme="minorHAnsi"/>
          <w:i/>
        </w:rPr>
        <w:t>i.e.</w:t>
      </w:r>
      <w:r>
        <w:rPr>
          <w:rFonts w:eastAsiaTheme="minorHAnsi"/>
        </w:rPr>
        <w:t xml:space="preserve"> their </w:t>
      </w:r>
      <w:r>
        <w:rPr>
          <w:rFonts w:eastAsiaTheme="minorHAnsi"/>
          <w:i/>
        </w:rPr>
        <w:t xml:space="preserve">ESP I </w:t>
      </w:r>
      <w:r>
        <w:rPr>
          <w:rFonts w:eastAsiaTheme="minorHAnsi"/>
        </w:rPr>
        <w:t>tariffs) to be continued if the Commission disapproves an SSO application.  Under OP’s and CSP’s prior SSO</w:t>
      </w:r>
      <w:r w:rsidR="001F4B27">
        <w:rPr>
          <w:rFonts w:eastAsiaTheme="minorHAnsi"/>
        </w:rPr>
        <w:t>,</w:t>
      </w:r>
      <w:r>
        <w:rPr>
          <w:rFonts w:eastAsiaTheme="minorHAnsi"/>
        </w:rPr>
        <w:t xml:space="preserve"> they maintained separate and distinct FACs.  Therefore, there can be no argument that the law requires OP to maintain separate FAC rates for the CSP and OP rate zones.  </w:t>
      </w:r>
    </w:p>
    <w:p w:rsidR="001E325A" w:rsidRDefault="00C0439D">
      <w:pPr>
        <w:pStyle w:val="BodyTextIndent"/>
        <w:spacing w:line="480" w:lineRule="auto"/>
        <w:rPr>
          <w:rFonts w:eastAsiaTheme="minorHAnsi"/>
        </w:rPr>
      </w:pPr>
      <w:r>
        <w:rPr>
          <w:rFonts w:eastAsiaTheme="minorHAnsi"/>
        </w:rPr>
        <w:t>The fact that OP claims hardship does not change this outcome.  The law is clear and only allows a deviation from the prior SSO tariffs to reflect “any expected increases or decreases in fuel costs.”</w:t>
      </w:r>
      <w:r>
        <w:rPr>
          <w:rStyle w:val="FootnoteReference"/>
          <w:rFonts w:eastAsiaTheme="minorHAnsi"/>
        </w:rPr>
        <w:footnoteReference w:id="7"/>
      </w:r>
      <w:r>
        <w:rPr>
          <w:rFonts w:eastAsiaTheme="minorHAnsi"/>
        </w:rPr>
        <w:t xml:space="preserve">  Because that is not the case here, OP’s Motion must be denied.</w:t>
      </w:r>
    </w:p>
    <w:p w:rsidR="001E325A" w:rsidRDefault="00C0439D">
      <w:pPr>
        <w:pStyle w:val="BodyTextIndent"/>
        <w:numPr>
          <w:ilvl w:val="0"/>
          <w:numId w:val="9"/>
        </w:numPr>
        <w:ind w:left="2160" w:hanging="720"/>
        <w:rPr>
          <w:rFonts w:eastAsiaTheme="minorHAnsi"/>
          <w:b/>
        </w:rPr>
      </w:pPr>
      <w:r>
        <w:rPr>
          <w:rFonts w:eastAsiaTheme="minorHAnsi"/>
          <w:b/>
        </w:rPr>
        <w:t>The OP and CSP-Specific FAC Rates May Only Be Modified in an ESP Proceeding</w:t>
      </w:r>
    </w:p>
    <w:p w:rsidR="001E325A" w:rsidRDefault="001E325A">
      <w:pPr>
        <w:pStyle w:val="BodyTextIndent"/>
        <w:rPr>
          <w:rFonts w:eastAsiaTheme="minorHAnsi"/>
        </w:rPr>
      </w:pPr>
    </w:p>
    <w:p w:rsidR="001E325A" w:rsidRDefault="00C0439D">
      <w:pPr>
        <w:pStyle w:val="BodyTextIndent"/>
        <w:spacing w:line="480" w:lineRule="auto"/>
        <w:rPr>
          <w:rFonts w:eastAsiaTheme="minorHAnsi"/>
        </w:rPr>
      </w:pPr>
      <w:r>
        <w:rPr>
          <w:rFonts w:eastAsiaTheme="minorHAnsi"/>
        </w:rPr>
        <w:t>Both the Commission and OP have correctly stated that the Commission may not modify OP’s rates outside of a proper ratemaking proceeding.  The Commission addressed this very issue in the Merger Entry:</w:t>
      </w:r>
    </w:p>
    <w:p w:rsidR="001E325A" w:rsidRDefault="00C0439D">
      <w:pPr>
        <w:pStyle w:val="BodyTextIndent"/>
        <w:ind w:left="720" w:right="720" w:firstLine="0"/>
        <w:rPr>
          <w:rFonts w:eastAsiaTheme="minorHAnsi"/>
        </w:rPr>
      </w:pPr>
      <w:r>
        <w:rPr>
          <w:rFonts w:eastAsiaTheme="minorHAnsi"/>
        </w:rPr>
        <w:t>Furthermore, the Commission agrees, as acknowledged by IEU-Ohio in its comments, that the merger of CSP into OP will not change the legal relationship between CSP and its customers or CSP’s tariff obligations to its customers.  Any tariff amendments will be reviewed by separate entry in the ESP 2 case before the Commission.  The Companies’ ESP 2 case is the proper proceeding to consider and resolve rate matters.</w:t>
      </w:r>
      <w:r>
        <w:rPr>
          <w:rStyle w:val="FootnoteReference"/>
          <w:rFonts w:eastAsiaTheme="minorHAnsi"/>
        </w:rPr>
        <w:footnoteReference w:id="8"/>
      </w:r>
    </w:p>
    <w:p w:rsidR="001E325A" w:rsidRDefault="001E325A">
      <w:pPr>
        <w:pStyle w:val="BodyTextIndent"/>
        <w:ind w:left="720" w:right="720" w:firstLine="0"/>
        <w:rPr>
          <w:rFonts w:eastAsiaTheme="minorHAnsi"/>
        </w:rPr>
      </w:pPr>
    </w:p>
    <w:p w:rsidR="001E325A" w:rsidRDefault="00C0439D">
      <w:pPr>
        <w:pStyle w:val="BodyTextIndent"/>
        <w:spacing w:line="480" w:lineRule="auto"/>
        <w:ind w:firstLine="0"/>
        <w:rPr>
          <w:rFonts w:eastAsiaTheme="minorHAnsi"/>
        </w:rPr>
      </w:pPr>
      <w:r>
        <w:rPr>
          <w:rFonts w:eastAsiaTheme="minorHAnsi"/>
        </w:rPr>
        <w:lastRenderedPageBreak/>
        <w:t xml:space="preserve">The Commission’s conclusion that it must address the FAC in an ESP proceeding is consistent with the Commission’s statutory authority under Section 4928.143(B)(2)(a), Revised Code.  Therefore, and as the Commission has previously stated, any modification to the FAC must be accomplished in OP’s </w:t>
      </w:r>
      <w:r>
        <w:rPr>
          <w:rFonts w:eastAsiaTheme="minorHAnsi"/>
          <w:i/>
        </w:rPr>
        <w:t xml:space="preserve">ESP II </w:t>
      </w:r>
      <w:r>
        <w:rPr>
          <w:rFonts w:eastAsiaTheme="minorHAnsi"/>
        </w:rPr>
        <w:t>proceeding.  Until the Commission replaces the current SSO rates (</w:t>
      </w:r>
      <w:r>
        <w:rPr>
          <w:rFonts w:eastAsiaTheme="minorHAnsi"/>
          <w:i/>
        </w:rPr>
        <w:t>ESP I</w:t>
      </w:r>
      <w:r>
        <w:rPr>
          <w:rFonts w:eastAsiaTheme="minorHAnsi"/>
        </w:rPr>
        <w:t>) with a new SSO, OP must maintain OP and CSP-specific FAC rates.  It is not a requirement of convenience, it is required by law.</w:t>
      </w:r>
    </w:p>
    <w:p w:rsidR="007C79B1" w:rsidRDefault="00C0439D">
      <w:pPr>
        <w:pStyle w:val="BodyTextIndent"/>
        <w:spacing w:line="480" w:lineRule="auto"/>
        <w:ind w:firstLine="0"/>
        <w:rPr>
          <w:rFonts w:eastAsiaTheme="minorHAnsi"/>
        </w:rPr>
      </w:pPr>
      <w:r>
        <w:rPr>
          <w:rFonts w:eastAsiaTheme="minorHAnsi"/>
        </w:rPr>
        <w:tab/>
        <w:t>OP has also previously addressed this issue during the comment period of the merger proceeding. In its initial comments in the merger proceeding, Ohio Partners for Affordable Energy (“OPAE”) requested the Commission consider addressing the rate differential between CSP’s higher rates and OP’s lower rates.</w:t>
      </w:r>
      <w:r>
        <w:rPr>
          <w:rStyle w:val="FootnoteReference"/>
          <w:rFonts w:eastAsiaTheme="minorHAnsi"/>
        </w:rPr>
        <w:footnoteReference w:id="9"/>
      </w:r>
      <w:r>
        <w:rPr>
          <w:rFonts w:eastAsiaTheme="minorHAnsi"/>
        </w:rPr>
        <w:t xml:space="preserve">  OP responded that “OPAE’s position is untenable because the merger proceeding is not a ratemaking proceeding.”</w:t>
      </w:r>
      <w:r>
        <w:rPr>
          <w:rStyle w:val="FootnoteReference"/>
          <w:rFonts w:eastAsiaTheme="minorHAnsi"/>
        </w:rPr>
        <w:footnoteReference w:id="10"/>
      </w:r>
      <w:r>
        <w:rPr>
          <w:rFonts w:eastAsiaTheme="minorHAnsi"/>
        </w:rPr>
        <w:t xml:space="preserve">  Likewise, this quarterly update FAC proceeding is not a ratemaking proceeding.  Therefore, the Commission must reject OP’s Motion requesting authority to blend the CSP and OP FAC rates as an ESP proceeding is the only statutorily permissible proceeding to address OP’s request.</w:t>
      </w:r>
    </w:p>
    <w:p w:rsidR="007C79B1" w:rsidRDefault="007C79B1">
      <w:pPr>
        <w:spacing w:after="200" w:line="276" w:lineRule="auto"/>
        <w:rPr>
          <w:rFonts w:eastAsiaTheme="minorHAnsi" w:cs="Arial"/>
        </w:rPr>
      </w:pPr>
      <w:r>
        <w:rPr>
          <w:rFonts w:eastAsiaTheme="minorHAnsi"/>
        </w:rPr>
        <w:br w:type="page"/>
      </w:r>
    </w:p>
    <w:p w:rsidR="001E325A" w:rsidRDefault="00C0439D">
      <w:pPr>
        <w:pStyle w:val="BodyTextIndent"/>
        <w:numPr>
          <w:ilvl w:val="0"/>
          <w:numId w:val="7"/>
        </w:numPr>
        <w:spacing w:before="120"/>
        <w:ind w:left="1440" w:hanging="720"/>
        <w:rPr>
          <w:rFonts w:eastAsiaTheme="minorHAnsi"/>
          <w:b/>
        </w:rPr>
      </w:pPr>
      <w:r>
        <w:rPr>
          <w:rFonts w:eastAsiaTheme="minorHAnsi"/>
          <w:b/>
        </w:rPr>
        <w:lastRenderedPageBreak/>
        <w:t xml:space="preserve">The Commission Should Reject OP’s Motion Because OP Has Repeatedly Stated that it Would Maintain Separate Rates Following the Merger Subject to Modification in Future Ratemaking Proceedings </w:t>
      </w:r>
    </w:p>
    <w:p w:rsidR="001E325A" w:rsidRDefault="001E325A">
      <w:pPr>
        <w:pStyle w:val="BodyTextIndent"/>
        <w:ind w:left="1080" w:firstLine="0"/>
        <w:rPr>
          <w:rFonts w:eastAsiaTheme="minorHAnsi"/>
          <w:b/>
        </w:rPr>
      </w:pPr>
    </w:p>
    <w:p w:rsidR="001E325A" w:rsidRDefault="00C0439D">
      <w:pPr>
        <w:autoSpaceDE w:val="0"/>
        <w:autoSpaceDN w:val="0"/>
        <w:adjustRightInd w:val="0"/>
        <w:spacing w:line="480" w:lineRule="auto"/>
        <w:jc w:val="both"/>
        <w:rPr>
          <w:rFonts w:eastAsiaTheme="minorHAnsi" w:cs="Arial"/>
        </w:rPr>
      </w:pPr>
      <w:r>
        <w:rPr>
          <w:rFonts w:eastAsiaTheme="minorHAnsi" w:cs="Arial"/>
        </w:rPr>
        <w:tab/>
        <w:t xml:space="preserve">OP has consistently argued that the merger, if approved, would not impact CSP’s or OP’s rates.  In its Application in the merger proceeding, OP asserted that post-merger OP would: </w:t>
      </w:r>
    </w:p>
    <w:p w:rsidR="001E325A" w:rsidRDefault="00C0439D">
      <w:pPr>
        <w:autoSpaceDE w:val="0"/>
        <w:autoSpaceDN w:val="0"/>
        <w:adjustRightInd w:val="0"/>
        <w:ind w:left="720" w:right="720"/>
        <w:jc w:val="both"/>
        <w:rPr>
          <w:rFonts w:eastAsiaTheme="minorHAnsi" w:cs="Arial"/>
        </w:rPr>
      </w:pPr>
      <w:r>
        <w:rPr>
          <w:rFonts w:eastAsiaTheme="minorHAnsi" w:cs="Arial"/>
        </w:rPr>
        <w:t>continue to provide retail electric services to customers within the pre-merger certified territories of CSP and OPCo in accordance with their respective rates and terms and conditions in effect for CSP and OPCo prior to the merger until such time as the Commission approves new rates and terms and conditions.</w:t>
      </w:r>
      <w:r>
        <w:rPr>
          <w:rStyle w:val="FootnoteReference"/>
          <w:rFonts w:eastAsiaTheme="minorHAnsi" w:cs="Arial"/>
        </w:rPr>
        <w:footnoteReference w:id="11"/>
      </w:r>
    </w:p>
    <w:p w:rsidR="001E325A" w:rsidRDefault="001E325A">
      <w:pPr>
        <w:autoSpaceDE w:val="0"/>
        <w:autoSpaceDN w:val="0"/>
        <w:adjustRightInd w:val="0"/>
        <w:ind w:left="720" w:right="720"/>
        <w:jc w:val="both"/>
        <w:rPr>
          <w:rFonts w:eastAsiaTheme="minorHAnsi" w:cs="Arial"/>
        </w:rPr>
      </w:pPr>
    </w:p>
    <w:p w:rsidR="001E325A" w:rsidRDefault="00C0439D">
      <w:pPr>
        <w:autoSpaceDE w:val="0"/>
        <w:autoSpaceDN w:val="0"/>
        <w:adjustRightInd w:val="0"/>
        <w:spacing w:line="480" w:lineRule="auto"/>
        <w:jc w:val="both"/>
        <w:rPr>
          <w:rFonts w:eastAsiaTheme="minorHAnsi" w:cs="Arial"/>
        </w:rPr>
      </w:pPr>
      <w:r>
        <w:rPr>
          <w:rFonts w:eastAsiaTheme="minorHAnsi" w:cs="Arial"/>
        </w:rPr>
        <w:t>Additionally, in its Reply Comments in the merger proceeding, OP again asserted that “the merger application does not propose to change any rate for either Company and approval of the merger will not impact their rates.”</w:t>
      </w:r>
      <w:r>
        <w:rPr>
          <w:rStyle w:val="FootnoteReference"/>
          <w:rFonts w:eastAsiaTheme="minorHAnsi" w:cs="Arial"/>
        </w:rPr>
        <w:footnoteReference w:id="12"/>
      </w:r>
      <w:r>
        <w:rPr>
          <w:rFonts w:eastAsiaTheme="minorHAnsi" w:cs="Arial"/>
        </w:rPr>
        <w:t xml:space="preserve">  From the beginning of the proposed merger, OP has asserted that it could and would maintain separate rates for the CSP and OP rates zones until such time as new rates were approved.  OP has further recognized that certain proceedings (like this quarterly FAC update proceeding) are not proper ratemaking proceedings to seek an adjustment to rates.</w:t>
      </w:r>
      <w:r>
        <w:rPr>
          <w:rStyle w:val="FootnoteReference"/>
          <w:rFonts w:eastAsiaTheme="minorHAnsi" w:cs="Arial"/>
        </w:rPr>
        <w:footnoteReference w:id="13"/>
      </w:r>
    </w:p>
    <w:p w:rsidR="001E325A" w:rsidRDefault="00C0439D">
      <w:pPr>
        <w:autoSpaceDE w:val="0"/>
        <w:autoSpaceDN w:val="0"/>
        <w:adjustRightInd w:val="0"/>
        <w:spacing w:line="480" w:lineRule="auto"/>
        <w:jc w:val="both"/>
        <w:rPr>
          <w:rFonts w:eastAsiaTheme="minorHAnsi"/>
        </w:rPr>
      </w:pPr>
      <w:r>
        <w:rPr>
          <w:rFonts w:eastAsiaTheme="minorHAnsi" w:cs="Arial"/>
        </w:rPr>
        <w:tab/>
        <w:t xml:space="preserve">Finally, </w:t>
      </w:r>
      <w:r>
        <w:rPr>
          <w:rFonts w:eastAsiaTheme="minorHAnsi"/>
        </w:rPr>
        <w:t xml:space="preserve">on March 7, 2012, the Commission issued an Entry approving the merger of OP and CSP.  As a basis for the authority to merge, the Commission noted that OP had stated that it would maintain “the rates, terms and conditions of service presently in </w:t>
      </w:r>
      <w:r>
        <w:rPr>
          <w:rFonts w:eastAsiaTheme="minorHAnsi"/>
        </w:rPr>
        <w:lastRenderedPageBreak/>
        <w:t>effect for each company … until the Commission approves new rates.”</w:t>
      </w:r>
      <w:r>
        <w:rPr>
          <w:rStyle w:val="FootnoteReference"/>
          <w:rFonts w:eastAsiaTheme="minorHAnsi"/>
        </w:rPr>
        <w:footnoteReference w:id="14"/>
      </w:r>
      <w:r>
        <w:rPr>
          <w:rFonts w:eastAsiaTheme="minorHAnsi"/>
        </w:rPr>
        <w:t xml:space="preserve">  </w:t>
      </w:r>
      <w:r>
        <w:rPr>
          <w:rFonts w:eastAsiaTheme="minorHAnsi" w:cs="Arial"/>
        </w:rPr>
        <w:t>The Commission should hold OP to its commitment and should therefore reject OP’s Motion.</w:t>
      </w:r>
    </w:p>
    <w:p w:rsidR="001E325A" w:rsidRDefault="00C0439D">
      <w:pPr>
        <w:spacing w:before="240" w:line="480" w:lineRule="auto"/>
        <w:rPr>
          <w:rFonts w:cs="Arial"/>
          <w:b/>
        </w:rPr>
      </w:pPr>
      <w:r>
        <w:rPr>
          <w:rFonts w:cs="Arial"/>
          <w:b/>
        </w:rPr>
        <w:t>III.</w:t>
      </w:r>
      <w:r>
        <w:rPr>
          <w:rFonts w:cs="Arial"/>
          <w:b/>
        </w:rPr>
        <w:tab/>
        <w:t>CONCLUSION</w:t>
      </w:r>
    </w:p>
    <w:p w:rsidR="001E325A" w:rsidRDefault="00C0439D">
      <w:pPr>
        <w:autoSpaceDE w:val="0"/>
        <w:autoSpaceDN w:val="0"/>
        <w:adjustRightInd w:val="0"/>
        <w:spacing w:line="480" w:lineRule="auto"/>
        <w:jc w:val="both"/>
        <w:rPr>
          <w:rFonts w:cs="Arial"/>
        </w:rPr>
      </w:pPr>
      <w:r>
        <w:rPr>
          <w:rFonts w:cs="Arial"/>
        </w:rPr>
        <w:tab/>
        <w:t xml:space="preserve">OP’s Motion must be denied because the Commission must follow the law and return customers to the </w:t>
      </w:r>
      <w:r>
        <w:rPr>
          <w:rFonts w:cs="Arial"/>
          <w:i/>
        </w:rPr>
        <w:t xml:space="preserve">ESP I </w:t>
      </w:r>
      <w:r>
        <w:rPr>
          <w:rFonts w:cs="Arial"/>
        </w:rPr>
        <w:t xml:space="preserve">tariffs that existed for customers of OP and CSP.  Additionally, the Commission lacks authority and jurisdiction to authorize OP to blend the FAC rates in this </w:t>
      </w:r>
      <w:r>
        <w:rPr>
          <w:rFonts w:eastAsiaTheme="minorHAnsi"/>
        </w:rPr>
        <w:t>proceeding</w:t>
      </w:r>
      <w:r>
        <w:rPr>
          <w:rFonts w:cs="Arial"/>
        </w:rPr>
        <w:t xml:space="preserve">.  Finally, the Commission should hold OP to its word and require OP to continue its rates as they existed during </w:t>
      </w:r>
      <w:r>
        <w:rPr>
          <w:rFonts w:cs="Arial"/>
          <w:i/>
        </w:rPr>
        <w:t>ESP I</w:t>
      </w:r>
      <w:r>
        <w:rPr>
          <w:rFonts w:cs="Arial"/>
        </w:rPr>
        <w:t>.  For the reasons discussed above, the Commission should deny OP’s Motion.</w:t>
      </w:r>
    </w:p>
    <w:p w:rsidR="001E325A" w:rsidRDefault="001E325A">
      <w:pPr>
        <w:autoSpaceDE w:val="0"/>
        <w:autoSpaceDN w:val="0"/>
        <w:adjustRightInd w:val="0"/>
        <w:jc w:val="both"/>
        <w:rPr>
          <w:rFonts w:cs="Arial"/>
          <w:b/>
        </w:rPr>
      </w:pPr>
    </w:p>
    <w:p w:rsidR="001E325A" w:rsidRDefault="00C0439D">
      <w:pPr>
        <w:tabs>
          <w:tab w:val="left" w:pos="4320"/>
          <w:tab w:val="right" w:pos="8640"/>
        </w:tabs>
        <w:jc w:val="both"/>
        <w:rPr>
          <w:rFonts w:cs="Arial"/>
        </w:rPr>
      </w:pPr>
      <w:r>
        <w:rPr>
          <w:rFonts w:cs="Arial"/>
        </w:rPr>
        <w:tab/>
        <w:t>Respectfully submitted,</w:t>
      </w:r>
    </w:p>
    <w:p w:rsidR="001E325A" w:rsidRDefault="001E325A">
      <w:pPr>
        <w:tabs>
          <w:tab w:val="left" w:pos="4320"/>
          <w:tab w:val="right" w:pos="8640"/>
        </w:tabs>
        <w:jc w:val="both"/>
        <w:rPr>
          <w:rFonts w:cs="Arial"/>
        </w:rPr>
      </w:pPr>
    </w:p>
    <w:p w:rsidR="007C79B1" w:rsidRDefault="007C79B1">
      <w:pPr>
        <w:tabs>
          <w:tab w:val="left" w:pos="4320"/>
          <w:tab w:val="right" w:pos="8640"/>
        </w:tabs>
        <w:jc w:val="both"/>
        <w:rPr>
          <w:rFonts w:cs="Arial"/>
        </w:rPr>
      </w:pPr>
    </w:p>
    <w:p w:rsidR="001E325A" w:rsidRDefault="00C0439D">
      <w:pPr>
        <w:tabs>
          <w:tab w:val="left" w:pos="4320"/>
          <w:tab w:val="right" w:pos="8640"/>
        </w:tabs>
        <w:jc w:val="both"/>
        <w:rPr>
          <w:rFonts w:cs="Arial"/>
          <w:u w:val="single"/>
        </w:rPr>
      </w:pPr>
      <w:r>
        <w:rPr>
          <w:rFonts w:cs="Arial"/>
        </w:rPr>
        <w:tab/>
      </w:r>
      <w:r>
        <w:rPr>
          <w:rFonts w:cs="Arial"/>
          <w:u w:val="single"/>
        </w:rPr>
        <w:t>/s/ Matthew R. Pritchard</w:t>
      </w:r>
      <w:r>
        <w:rPr>
          <w:rFonts w:cs="Arial"/>
          <w:u w:val="single"/>
        </w:rPr>
        <w:tab/>
      </w:r>
      <w:r>
        <w:rPr>
          <w:rFonts w:cs="Arial"/>
          <w:u w:val="single"/>
        </w:rPr>
        <w:tab/>
      </w:r>
    </w:p>
    <w:p w:rsidR="001E325A" w:rsidRDefault="00C0439D">
      <w:pPr>
        <w:tabs>
          <w:tab w:val="left" w:pos="-1440"/>
          <w:tab w:val="left" w:pos="-720"/>
          <w:tab w:val="left" w:pos="3600"/>
          <w:tab w:val="left" w:pos="4320"/>
          <w:tab w:val="left" w:pos="4680"/>
          <w:tab w:val="left" w:pos="5040"/>
        </w:tabs>
        <w:ind w:left="4320"/>
        <w:jc w:val="both"/>
        <w:rPr>
          <w:rFonts w:cs="Arial"/>
          <w:lang w:val="de-DE"/>
        </w:rPr>
      </w:pPr>
      <w:r>
        <w:rPr>
          <w:rFonts w:cs="Arial"/>
          <w:lang w:val="de-DE"/>
        </w:rPr>
        <w:t>Samuel C. Randazzo (Counsel of Record)</w:t>
      </w:r>
    </w:p>
    <w:p w:rsidR="001E325A" w:rsidRDefault="00C0439D">
      <w:pPr>
        <w:tabs>
          <w:tab w:val="left" w:pos="-1440"/>
          <w:tab w:val="left" w:pos="-720"/>
          <w:tab w:val="left" w:pos="3600"/>
          <w:tab w:val="left" w:pos="4320"/>
          <w:tab w:val="left" w:pos="4680"/>
          <w:tab w:val="left" w:pos="5040"/>
        </w:tabs>
        <w:ind w:left="4320"/>
        <w:jc w:val="both"/>
        <w:rPr>
          <w:rFonts w:cs="Arial"/>
          <w:lang w:val="de-DE"/>
        </w:rPr>
      </w:pPr>
      <w:r>
        <w:rPr>
          <w:rFonts w:cs="Arial"/>
          <w:lang w:val="de-DE"/>
        </w:rPr>
        <w:t xml:space="preserve">Frank P. Darr </w:t>
      </w:r>
    </w:p>
    <w:p w:rsidR="001E325A" w:rsidRDefault="00C0439D">
      <w:pPr>
        <w:tabs>
          <w:tab w:val="left" w:pos="-1440"/>
          <w:tab w:val="left" w:pos="-720"/>
          <w:tab w:val="left" w:pos="3600"/>
          <w:tab w:val="left" w:pos="4320"/>
          <w:tab w:val="left" w:pos="4680"/>
          <w:tab w:val="left" w:pos="5040"/>
        </w:tabs>
        <w:ind w:left="4320"/>
        <w:jc w:val="both"/>
        <w:rPr>
          <w:rFonts w:cs="Arial"/>
          <w:lang w:val="de-DE"/>
        </w:rPr>
      </w:pPr>
      <w:r>
        <w:rPr>
          <w:rFonts w:cs="Arial"/>
          <w:lang w:val="de-DE"/>
        </w:rPr>
        <w:t>Matthew R. Pritchard</w:t>
      </w:r>
    </w:p>
    <w:p w:rsidR="001E325A" w:rsidRDefault="00C0439D">
      <w:pPr>
        <w:tabs>
          <w:tab w:val="left" w:pos="-1440"/>
          <w:tab w:val="left" w:pos="-720"/>
          <w:tab w:val="left" w:pos="3600"/>
          <w:tab w:val="left" w:pos="4320"/>
          <w:tab w:val="left" w:pos="4680"/>
          <w:tab w:val="left" w:pos="5040"/>
        </w:tabs>
        <w:ind w:left="4320"/>
        <w:jc w:val="both"/>
        <w:rPr>
          <w:rFonts w:cs="Arial"/>
          <w:smallCaps/>
          <w:sz w:val="20"/>
        </w:rPr>
      </w:pPr>
      <w:r>
        <w:rPr>
          <w:rFonts w:cs="Arial"/>
          <w:smallCaps/>
        </w:rPr>
        <w:t xml:space="preserve">McNees Wallace &amp; Nurick </w:t>
      </w:r>
      <w:r>
        <w:rPr>
          <w:rFonts w:cs="Arial"/>
          <w:smallCaps/>
          <w:sz w:val="20"/>
        </w:rPr>
        <w:t>LLC</w:t>
      </w:r>
    </w:p>
    <w:p w:rsidR="001E325A" w:rsidRDefault="00C0439D">
      <w:pPr>
        <w:tabs>
          <w:tab w:val="left" w:pos="-1440"/>
          <w:tab w:val="left" w:pos="-720"/>
          <w:tab w:val="left" w:pos="3600"/>
          <w:tab w:val="left" w:pos="4320"/>
          <w:tab w:val="left" w:pos="4680"/>
          <w:tab w:val="left" w:pos="5040"/>
        </w:tabs>
        <w:ind w:left="4320"/>
        <w:jc w:val="both"/>
        <w:rPr>
          <w:rFonts w:cs="Arial"/>
        </w:rPr>
      </w:pPr>
      <w:r>
        <w:rPr>
          <w:rFonts w:cs="Arial"/>
        </w:rPr>
        <w:t>21 East State Street, 17</w:t>
      </w:r>
      <w:r>
        <w:rPr>
          <w:rFonts w:cs="Arial"/>
          <w:vertAlign w:val="superscript"/>
        </w:rPr>
        <w:t>th</w:t>
      </w:r>
      <w:r>
        <w:rPr>
          <w:rFonts w:cs="Arial"/>
        </w:rPr>
        <w:t xml:space="preserve"> Floor</w:t>
      </w:r>
    </w:p>
    <w:p w:rsidR="001E325A" w:rsidRDefault="00C0439D">
      <w:pPr>
        <w:tabs>
          <w:tab w:val="left" w:pos="-1440"/>
          <w:tab w:val="left" w:pos="-720"/>
          <w:tab w:val="left" w:pos="4320"/>
          <w:tab w:val="left" w:pos="5040"/>
        </w:tabs>
        <w:ind w:left="4320"/>
        <w:jc w:val="both"/>
        <w:rPr>
          <w:rFonts w:cs="Arial"/>
        </w:rPr>
      </w:pPr>
      <w:r>
        <w:rPr>
          <w:rFonts w:cs="Arial"/>
        </w:rPr>
        <w:t>Columbus, OH  43215-4228</w:t>
      </w:r>
    </w:p>
    <w:p w:rsidR="001E325A" w:rsidRDefault="00C0439D">
      <w:pPr>
        <w:pStyle w:val="BodyText"/>
        <w:ind w:left="4320"/>
      </w:pPr>
      <w:r>
        <w:t>sam@mwncmh.com</w:t>
      </w:r>
    </w:p>
    <w:p w:rsidR="001E325A" w:rsidRDefault="00C0439D">
      <w:pPr>
        <w:pStyle w:val="BodyText"/>
        <w:ind w:left="4320"/>
      </w:pPr>
      <w:r>
        <w:t>fdarr@mwncmh.com</w:t>
      </w:r>
    </w:p>
    <w:p w:rsidR="001E325A" w:rsidRDefault="00C0439D">
      <w:pPr>
        <w:pStyle w:val="BodyText"/>
        <w:ind w:left="4320"/>
      </w:pPr>
      <w:r>
        <w:t>mpritchard@mwncmh.com</w:t>
      </w:r>
    </w:p>
    <w:p w:rsidR="001E325A" w:rsidRDefault="001E325A">
      <w:pPr>
        <w:tabs>
          <w:tab w:val="left" w:pos="4320"/>
          <w:tab w:val="right" w:pos="8640"/>
        </w:tabs>
        <w:jc w:val="both"/>
      </w:pPr>
    </w:p>
    <w:p w:rsidR="001E325A" w:rsidRDefault="00C0439D">
      <w:pPr>
        <w:pStyle w:val="Title"/>
        <w:ind w:left="3600" w:firstLine="720"/>
        <w:jc w:val="left"/>
        <w:rPr>
          <w:bCs/>
          <w:smallCaps w:val="0"/>
          <w:sz w:val="24"/>
        </w:rPr>
      </w:pPr>
      <w:r>
        <w:rPr>
          <w:bCs/>
          <w:smallCaps w:val="0"/>
          <w:sz w:val="24"/>
        </w:rPr>
        <w:t>Attorneys for Industrial Energy Users-Ohio</w:t>
      </w:r>
    </w:p>
    <w:p w:rsidR="001E325A" w:rsidRDefault="001E325A">
      <w:pPr>
        <w:pStyle w:val="Title"/>
      </w:pPr>
    </w:p>
    <w:p w:rsidR="001E325A" w:rsidRDefault="001E325A">
      <w:pPr>
        <w:pStyle w:val="Title"/>
        <w:sectPr w:rsidR="001E325A" w:rsidSect="001F4B27">
          <w:pgSz w:w="12240" w:h="15840" w:code="1"/>
          <w:pgMar w:top="1440" w:right="1440" w:bottom="1440" w:left="1440" w:header="720" w:footer="576" w:gutter="0"/>
          <w:pgNumType w:start="1"/>
          <w:cols w:space="720"/>
          <w:titlePg/>
          <w:docGrid w:linePitch="326"/>
        </w:sectPr>
      </w:pPr>
    </w:p>
    <w:p w:rsidR="001E325A" w:rsidRDefault="00C0439D">
      <w:pPr>
        <w:tabs>
          <w:tab w:val="left" w:pos="2160"/>
          <w:tab w:val="left" w:pos="2280"/>
        </w:tabs>
        <w:jc w:val="center"/>
        <w:rPr>
          <w:rFonts w:ascii="Arial Bold" w:hAnsi="Arial Bold" w:cs="Arial"/>
          <w:b/>
          <w:smallCaps/>
          <w:sz w:val="28"/>
          <w:szCs w:val="28"/>
          <w:u w:val="single"/>
        </w:rPr>
      </w:pPr>
      <w:r>
        <w:rPr>
          <w:rFonts w:ascii="Arial Bold" w:hAnsi="Arial Bold" w:cs="Arial"/>
          <w:b/>
          <w:smallCaps/>
          <w:sz w:val="28"/>
          <w:szCs w:val="28"/>
          <w:u w:val="single"/>
        </w:rPr>
        <w:lastRenderedPageBreak/>
        <w:t>Certificate of Service</w:t>
      </w:r>
    </w:p>
    <w:p w:rsidR="001E325A" w:rsidRDefault="001E325A">
      <w:pPr>
        <w:rPr>
          <w:rFonts w:cs="Arial"/>
        </w:rPr>
      </w:pPr>
    </w:p>
    <w:p w:rsidR="001E325A" w:rsidRDefault="00C0439D">
      <w:pPr>
        <w:pStyle w:val="BodyText"/>
        <w:spacing w:line="480" w:lineRule="auto"/>
        <w:ind w:firstLine="720"/>
      </w:pPr>
      <w:r>
        <w:t>I hereby certify that a copy of the foregoing</w:t>
      </w:r>
      <w:r>
        <w:rPr>
          <w:smallCaps/>
        </w:rPr>
        <w:t xml:space="preserve"> </w:t>
      </w:r>
      <w:r>
        <w:rPr>
          <w:i/>
        </w:rPr>
        <w:t xml:space="preserve">Industrial Energy Users-Ohio’s Memorandum Contra to Ohio Power Company’s Motion to Implement a Single Blended Fuel Adjustment Clause </w:t>
      </w:r>
      <w:r>
        <w:t>was served upon the following parties of record this 23</w:t>
      </w:r>
      <w:r>
        <w:rPr>
          <w:vertAlign w:val="superscript"/>
        </w:rPr>
        <w:t>rd</w:t>
      </w:r>
      <w:r>
        <w:t xml:space="preserve"> day of March 2012, </w:t>
      </w:r>
      <w:r>
        <w:rPr>
          <w:i/>
        </w:rPr>
        <w:t>via</w:t>
      </w:r>
      <w:r>
        <w:t xml:space="preserve"> hand-delivery, electronic transmission, or first class mail, U.S. postage prepaid.</w:t>
      </w:r>
    </w:p>
    <w:p w:rsidR="001E325A" w:rsidRDefault="001E325A">
      <w:pPr>
        <w:pStyle w:val="BodyText"/>
        <w:spacing w:line="480" w:lineRule="auto"/>
      </w:pPr>
    </w:p>
    <w:p w:rsidR="001E325A" w:rsidRDefault="00C0439D">
      <w:pPr>
        <w:pStyle w:val="Title"/>
        <w:tabs>
          <w:tab w:val="left" w:pos="5040"/>
        </w:tabs>
        <w:ind w:left="5040"/>
        <w:jc w:val="left"/>
        <w:rPr>
          <w:b w:val="0"/>
          <w:smallCaps w:val="0"/>
          <w:sz w:val="24"/>
          <w:u w:val="single"/>
        </w:rPr>
      </w:pPr>
      <w:r>
        <w:rPr>
          <w:b w:val="0"/>
          <w:smallCaps w:val="0"/>
          <w:sz w:val="24"/>
          <w:u w:val="single"/>
        </w:rPr>
        <w:tab/>
        <w:t>/s/ Matthew R. Pritchard</w:t>
      </w:r>
      <w:r>
        <w:rPr>
          <w:b w:val="0"/>
          <w:smallCaps w:val="0"/>
          <w:sz w:val="24"/>
          <w:u w:val="single"/>
        </w:rPr>
        <w:tab/>
      </w:r>
      <w:r>
        <w:rPr>
          <w:b w:val="0"/>
          <w:smallCaps w:val="0"/>
          <w:sz w:val="24"/>
          <w:u w:val="single"/>
        </w:rPr>
        <w:tab/>
      </w:r>
    </w:p>
    <w:p w:rsidR="001E325A" w:rsidRDefault="00C0439D">
      <w:pPr>
        <w:pStyle w:val="BodyText2"/>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920"/>
          <w:tab w:val="clear" w:pos="8640"/>
          <w:tab w:val="clear" w:pos="9360"/>
          <w:tab w:val="center" w:pos="7200"/>
        </w:tabs>
        <w:ind w:firstLine="0"/>
        <w:rPr>
          <w:rFonts w:cs="Arial"/>
          <w:bCs/>
          <w:smallCaps/>
        </w:rPr>
      </w:pPr>
      <w:r>
        <w:rPr>
          <w:rFonts w:cs="Arial"/>
          <w:bCs/>
          <w:smallCaps/>
        </w:rPr>
        <w:tab/>
        <w:t>Matthew R. Pritchard</w:t>
      </w:r>
    </w:p>
    <w:p w:rsidR="001E325A" w:rsidRDefault="001E325A">
      <w:pPr>
        <w:pStyle w:val="BodyText2"/>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920"/>
          <w:tab w:val="clear" w:pos="8640"/>
          <w:tab w:val="clear" w:pos="9360"/>
          <w:tab w:val="center" w:pos="7200"/>
        </w:tabs>
        <w:ind w:firstLine="0"/>
        <w:rPr>
          <w:rFonts w:cs="Arial"/>
          <w:bCs/>
          <w:smallCaps/>
        </w:rPr>
      </w:pPr>
    </w:p>
    <w:p w:rsidR="001E325A" w:rsidRDefault="001E325A">
      <w:pPr>
        <w:pStyle w:val="Title"/>
        <w:tabs>
          <w:tab w:val="left" w:pos="5040"/>
        </w:tabs>
        <w:jc w:val="left"/>
        <w:rPr>
          <w:b w:val="0"/>
          <w:smallCaps w:val="0"/>
          <w:sz w:val="24"/>
        </w:rPr>
        <w:sectPr w:rsidR="001E325A">
          <w:headerReference w:type="default" r:id="rId15"/>
          <w:footerReference w:type="default" r:id="rId16"/>
          <w:headerReference w:type="first" r:id="rId17"/>
          <w:footerReference w:type="first" r:id="rId18"/>
          <w:pgSz w:w="12240" w:h="15840" w:code="1"/>
          <w:pgMar w:top="1440" w:right="1440" w:bottom="1141" w:left="1440" w:header="720" w:footer="720" w:gutter="0"/>
          <w:pgNumType w:start="1"/>
          <w:cols w:space="720"/>
          <w:titlePg/>
          <w:docGrid w:linePitch="326"/>
        </w:sectPr>
      </w:pPr>
    </w:p>
    <w:p w:rsidR="001E325A" w:rsidRDefault="00C0439D">
      <w:pPr>
        <w:pStyle w:val="Title"/>
        <w:tabs>
          <w:tab w:val="left" w:pos="5040"/>
        </w:tabs>
        <w:jc w:val="left"/>
        <w:rPr>
          <w:b w:val="0"/>
          <w:smallCaps w:val="0"/>
          <w:sz w:val="22"/>
          <w:szCs w:val="22"/>
        </w:rPr>
      </w:pPr>
      <w:r>
        <w:rPr>
          <w:b w:val="0"/>
          <w:smallCaps w:val="0"/>
          <w:sz w:val="22"/>
          <w:szCs w:val="22"/>
        </w:rPr>
        <w:lastRenderedPageBreak/>
        <w:t>Steven T. Nourse</w:t>
      </w:r>
    </w:p>
    <w:p w:rsidR="001E325A" w:rsidRDefault="00C0439D">
      <w:pPr>
        <w:autoSpaceDE w:val="0"/>
        <w:autoSpaceDN w:val="0"/>
        <w:adjustRightInd w:val="0"/>
        <w:rPr>
          <w:rFonts w:eastAsiaTheme="minorHAnsi" w:cs="Arial"/>
          <w:sz w:val="22"/>
          <w:szCs w:val="22"/>
        </w:rPr>
      </w:pPr>
      <w:r>
        <w:rPr>
          <w:rFonts w:eastAsiaTheme="minorHAnsi" w:cs="Arial"/>
          <w:sz w:val="22"/>
          <w:szCs w:val="22"/>
        </w:rPr>
        <w:t>Matthew J. Satterwhite</w:t>
      </w:r>
    </w:p>
    <w:p w:rsidR="001E325A" w:rsidRDefault="00C0439D">
      <w:pPr>
        <w:autoSpaceDE w:val="0"/>
        <w:autoSpaceDN w:val="0"/>
        <w:adjustRightInd w:val="0"/>
        <w:rPr>
          <w:rFonts w:eastAsiaTheme="minorHAnsi" w:cs="Arial"/>
          <w:sz w:val="22"/>
          <w:szCs w:val="22"/>
        </w:rPr>
      </w:pPr>
      <w:r>
        <w:rPr>
          <w:rFonts w:eastAsiaTheme="minorHAnsi" w:cs="Arial"/>
          <w:sz w:val="22"/>
          <w:szCs w:val="22"/>
        </w:rPr>
        <w:t>American Electric Power Service Corporation</w:t>
      </w:r>
    </w:p>
    <w:p w:rsidR="001E325A" w:rsidRDefault="00C0439D">
      <w:pPr>
        <w:autoSpaceDE w:val="0"/>
        <w:autoSpaceDN w:val="0"/>
        <w:adjustRightInd w:val="0"/>
        <w:rPr>
          <w:rFonts w:eastAsiaTheme="minorHAnsi" w:cs="Arial"/>
          <w:sz w:val="22"/>
          <w:szCs w:val="22"/>
        </w:rPr>
      </w:pPr>
      <w:r>
        <w:rPr>
          <w:rFonts w:eastAsiaTheme="minorHAnsi" w:cs="Arial"/>
          <w:sz w:val="22"/>
          <w:szCs w:val="22"/>
        </w:rPr>
        <w:t>1 Riverside Plaza, 29</w:t>
      </w:r>
      <w:r>
        <w:rPr>
          <w:rFonts w:eastAsiaTheme="minorHAnsi" w:cs="Arial"/>
          <w:sz w:val="22"/>
          <w:szCs w:val="22"/>
          <w:vertAlign w:val="superscript"/>
        </w:rPr>
        <w:t>th</w:t>
      </w:r>
      <w:r>
        <w:rPr>
          <w:rFonts w:eastAsiaTheme="minorHAnsi" w:cs="Arial"/>
          <w:sz w:val="22"/>
          <w:szCs w:val="22"/>
        </w:rPr>
        <w:t xml:space="preserve"> Floor</w:t>
      </w:r>
    </w:p>
    <w:p w:rsidR="001E325A" w:rsidRDefault="00C0439D">
      <w:pPr>
        <w:autoSpaceDE w:val="0"/>
        <w:autoSpaceDN w:val="0"/>
        <w:adjustRightInd w:val="0"/>
        <w:rPr>
          <w:rFonts w:eastAsiaTheme="minorHAnsi" w:cs="Arial"/>
          <w:sz w:val="22"/>
          <w:szCs w:val="22"/>
        </w:rPr>
      </w:pPr>
      <w:r>
        <w:rPr>
          <w:rFonts w:eastAsiaTheme="minorHAnsi" w:cs="Arial"/>
          <w:sz w:val="22"/>
          <w:szCs w:val="22"/>
        </w:rPr>
        <w:t>Columbus, OH  43215</w:t>
      </w:r>
    </w:p>
    <w:p w:rsidR="001E325A" w:rsidRDefault="00C0439D">
      <w:pPr>
        <w:autoSpaceDE w:val="0"/>
        <w:autoSpaceDN w:val="0"/>
        <w:adjustRightInd w:val="0"/>
        <w:rPr>
          <w:rFonts w:eastAsiaTheme="minorHAnsi" w:cs="Arial"/>
          <w:sz w:val="22"/>
          <w:szCs w:val="22"/>
        </w:rPr>
      </w:pPr>
      <w:r w:rsidRPr="002C1004">
        <w:rPr>
          <w:rFonts w:eastAsiaTheme="minorHAnsi" w:cs="Arial"/>
          <w:sz w:val="22"/>
          <w:szCs w:val="22"/>
        </w:rPr>
        <w:t>stnourse@aep.com</w:t>
      </w:r>
      <w:r>
        <w:rPr>
          <w:rFonts w:eastAsiaTheme="minorHAnsi" w:cs="Arial"/>
          <w:sz w:val="22"/>
          <w:szCs w:val="22"/>
        </w:rPr>
        <w:t xml:space="preserve"> </w:t>
      </w:r>
    </w:p>
    <w:p w:rsidR="001E325A" w:rsidRDefault="00C0439D">
      <w:pPr>
        <w:autoSpaceDE w:val="0"/>
        <w:autoSpaceDN w:val="0"/>
        <w:adjustRightInd w:val="0"/>
        <w:rPr>
          <w:rFonts w:eastAsiaTheme="minorHAnsi" w:cs="Arial"/>
          <w:sz w:val="22"/>
          <w:szCs w:val="22"/>
        </w:rPr>
      </w:pPr>
      <w:r w:rsidRPr="002C1004">
        <w:rPr>
          <w:rFonts w:eastAsiaTheme="minorHAnsi" w:cs="Arial"/>
          <w:sz w:val="22"/>
          <w:szCs w:val="22"/>
        </w:rPr>
        <w:t>mjsatterwhite@aep.com</w:t>
      </w:r>
    </w:p>
    <w:p w:rsidR="001E325A" w:rsidRDefault="001E325A">
      <w:pPr>
        <w:autoSpaceDE w:val="0"/>
        <w:autoSpaceDN w:val="0"/>
        <w:adjustRightInd w:val="0"/>
        <w:rPr>
          <w:rFonts w:eastAsiaTheme="minorHAnsi" w:cs="Arial"/>
          <w:sz w:val="22"/>
          <w:szCs w:val="22"/>
        </w:rPr>
      </w:pPr>
    </w:p>
    <w:p w:rsidR="001E325A" w:rsidRDefault="00C0439D">
      <w:pPr>
        <w:autoSpaceDE w:val="0"/>
        <w:autoSpaceDN w:val="0"/>
        <w:adjustRightInd w:val="0"/>
        <w:rPr>
          <w:rFonts w:eastAsiaTheme="minorHAnsi" w:cs="Arial"/>
          <w:sz w:val="22"/>
          <w:szCs w:val="22"/>
        </w:rPr>
      </w:pPr>
      <w:r>
        <w:rPr>
          <w:rFonts w:eastAsiaTheme="minorHAnsi" w:cs="Arial"/>
          <w:sz w:val="22"/>
          <w:szCs w:val="22"/>
        </w:rPr>
        <w:t>Daniel R. Conway</w:t>
      </w:r>
    </w:p>
    <w:p w:rsidR="001E325A" w:rsidRDefault="00C0439D">
      <w:pPr>
        <w:autoSpaceDE w:val="0"/>
        <w:autoSpaceDN w:val="0"/>
        <w:adjustRightInd w:val="0"/>
        <w:rPr>
          <w:rFonts w:eastAsiaTheme="minorHAnsi" w:cs="Arial"/>
          <w:sz w:val="22"/>
          <w:szCs w:val="22"/>
        </w:rPr>
      </w:pPr>
      <w:r>
        <w:rPr>
          <w:rFonts w:eastAsiaTheme="minorHAnsi" w:cs="Arial"/>
          <w:sz w:val="22"/>
          <w:szCs w:val="22"/>
        </w:rPr>
        <w:t>Porter Wright Morris &amp; Arthur</w:t>
      </w:r>
    </w:p>
    <w:p w:rsidR="001E325A" w:rsidRDefault="00C0439D">
      <w:pPr>
        <w:autoSpaceDE w:val="0"/>
        <w:autoSpaceDN w:val="0"/>
        <w:adjustRightInd w:val="0"/>
        <w:rPr>
          <w:rFonts w:eastAsiaTheme="minorHAnsi" w:cs="Arial"/>
          <w:sz w:val="22"/>
          <w:szCs w:val="22"/>
        </w:rPr>
      </w:pPr>
      <w:r>
        <w:rPr>
          <w:rFonts w:eastAsiaTheme="minorHAnsi" w:cs="Arial"/>
          <w:sz w:val="22"/>
          <w:szCs w:val="22"/>
        </w:rPr>
        <w:t>Huntington Center</w:t>
      </w:r>
    </w:p>
    <w:p w:rsidR="001E325A" w:rsidRDefault="00C0439D">
      <w:pPr>
        <w:autoSpaceDE w:val="0"/>
        <w:autoSpaceDN w:val="0"/>
        <w:adjustRightInd w:val="0"/>
        <w:rPr>
          <w:rFonts w:eastAsiaTheme="minorHAnsi" w:cs="Arial"/>
          <w:sz w:val="22"/>
          <w:szCs w:val="22"/>
        </w:rPr>
      </w:pPr>
      <w:r>
        <w:rPr>
          <w:rFonts w:eastAsiaTheme="minorHAnsi" w:cs="Arial"/>
          <w:sz w:val="22"/>
          <w:szCs w:val="22"/>
        </w:rPr>
        <w:t>41 S. High Street</w:t>
      </w:r>
    </w:p>
    <w:p w:rsidR="001E325A" w:rsidRDefault="00C0439D">
      <w:pPr>
        <w:autoSpaceDE w:val="0"/>
        <w:autoSpaceDN w:val="0"/>
        <w:adjustRightInd w:val="0"/>
        <w:rPr>
          <w:rFonts w:eastAsiaTheme="minorHAnsi" w:cs="Arial"/>
          <w:sz w:val="22"/>
          <w:szCs w:val="22"/>
        </w:rPr>
      </w:pPr>
      <w:r>
        <w:rPr>
          <w:rFonts w:eastAsiaTheme="minorHAnsi" w:cs="Arial"/>
          <w:sz w:val="22"/>
          <w:szCs w:val="22"/>
        </w:rPr>
        <w:t>Columbus, OH  43215</w:t>
      </w:r>
    </w:p>
    <w:p w:rsidR="001E325A" w:rsidRDefault="00C0439D">
      <w:pPr>
        <w:autoSpaceDE w:val="0"/>
        <w:autoSpaceDN w:val="0"/>
        <w:adjustRightInd w:val="0"/>
        <w:rPr>
          <w:rFonts w:eastAsiaTheme="minorHAnsi" w:cs="Arial"/>
          <w:sz w:val="22"/>
          <w:szCs w:val="22"/>
        </w:rPr>
      </w:pPr>
      <w:r w:rsidRPr="002C1004">
        <w:rPr>
          <w:rFonts w:eastAsiaTheme="minorHAnsi" w:cs="Arial"/>
          <w:sz w:val="22"/>
          <w:szCs w:val="22"/>
        </w:rPr>
        <w:t>dconway@porterwright.com</w:t>
      </w:r>
      <w:r>
        <w:rPr>
          <w:rFonts w:eastAsiaTheme="minorHAnsi" w:cs="Arial"/>
          <w:sz w:val="22"/>
          <w:szCs w:val="22"/>
        </w:rPr>
        <w:t xml:space="preserve"> </w:t>
      </w:r>
    </w:p>
    <w:p w:rsidR="001E325A" w:rsidRDefault="001E325A">
      <w:pPr>
        <w:autoSpaceDE w:val="0"/>
        <w:autoSpaceDN w:val="0"/>
        <w:adjustRightInd w:val="0"/>
        <w:rPr>
          <w:rFonts w:eastAsiaTheme="minorHAnsi" w:cs="Arial"/>
          <w:sz w:val="22"/>
          <w:szCs w:val="22"/>
        </w:rPr>
      </w:pPr>
    </w:p>
    <w:p w:rsidR="001E325A" w:rsidRDefault="00C0439D">
      <w:pPr>
        <w:rPr>
          <w:rFonts w:cs="Arial"/>
          <w:b/>
          <w:smallCaps/>
          <w:sz w:val="22"/>
          <w:szCs w:val="22"/>
        </w:rPr>
      </w:pPr>
      <w:r>
        <w:rPr>
          <w:rFonts w:cs="Arial"/>
          <w:b/>
          <w:smallCaps/>
          <w:sz w:val="22"/>
          <w:szCs w:val="22"/>
        </w:rPr>
        <w:t>On Behalf of Ohio Power Company and Columbus Southern Power Company</w:t>
      </w:r>
    </w:p>
    <w:p w:rsidR="001E325A" w:rsidRDefault="001E325A">
      <w:pPr>
        <w:pStyle w:val="Title"/>
        <w:tabs>
          <w:tab w:val="left" w:pos="5040"/>
        </w:tabs>
        <w:jc w:val="left"/>
        <w:rPr>
          <w:b w:val="0"/>
          <w:sz w:val="22"/>
          <w:szCs w:val="22"/>
        </w:rPr>
      </w:pPr>
    </w:p>
    <w:p w:rsidR="001E325A" w:rsidRDefault="00C0439D">
      <w:pPr>
        <w:autoSpaceDE w:val="0"/>
        <w:autoSpaceDN w:val="0"/>
        <w:adjustRightInd w:val="0"/>
        <w:rPr>
          <w:rFonts w:eastAsiaTheme="minorHAnsi" w:cs="Arial"/>
          <w:color w:val="000000"/>
          <w:sz w:val="22"/>
          <w:szCs w:val="22"/>
        </w:rPr>
      </w:pPr>
      <w:r>
        <w:rPr>
          <w:rFonts w:eastAsiaTheme="minorHAnsi" w:cs="Arial"/>
          <w:color w:val="000000"/>
          <w:sz w:val="22"/>
          <w:szCs w:val="22"/>
        </w:rPr>
        <w:t>Terry L. Etter, Counsel of Record</w:t>
      </w:r>
    </w:p>
    <w:p w:rsidR="001E325A" w:rsidRDefault="00C0439D">
      <w:pPr>
        <w:autoSpaceDE w:val="0"/>
        <w:autoSpaceDN w:val="0"/>
        <w:adjustRightInd w:val="0"/>
        <w:rPr>
          <w:rFonts w:eastAsiaTheme="minorHAnsi" w:cs="Arial"/>
          <w:color w:val="000000"/>
          <w:sz w:val="22"/>
          <w:szCs w:val="22"/>
        </w:rPr>
      </w:pPr>
      <w:r>
        <w:rPr>
          <w:rFonts w:eastAsiaTheme="minorHAnsi" w:cs="Arial"/>
          <w:color w:val="000000"/>
          <w:sz w:val="22"/>
          <w:szCs w:val="22"/>
        </w:rPr>
        <w:t>Assistant Consumers’ Counsel</w:t>
      </w:r>
    </w:p>
    <w:p w:rsidR="001E325A" w:rsidRDefault="00C0439D">
      <w:pPr>
        <w:autoSpaceDE w:val="0"/>
        <w:autoSpaceDN w:val="0"/>
        <w:adjustRightInd w:val="0"/>
        <w:rPr>
          <w:rFonts w:eastAsiaTheme="minorHAnsi" w:cs="Arial"/>
          <w:bCs/>
          <w:color w:val="000000"/>
          <w:sz w:val="22"/>
          <w:szCs w:val="22"/>
        </w:rPr>
      </w:pPr>
      <w:r>
        <w:rPr>
          <w:rFonts w:eastAsiaTheme="minorHAnsi" w:cs="Arial"/>
          <w:bCs/>
          <w:color w:val="000000"/>
          <w:sz w:val="22"/>
          <w:szCs w:val="22"/>
        </w:rPr>
        <w:t>Office of the Ohio Consumers’ Counsel</w:t>
      </w:r>
    </w:p>
    <w:p w:rsidR="001E325A" w:rsidRDefault="00C0439D">
      <w:pPr>
        <w:autoSpaceDE w:val="0"/>
        <w:autoSpaceDN w:val="0"/>
        <w:adjustRightInd w:val="0"/>
        <w:rPr>
          <w:rFonts w:eastAsiaTheme="minorHAnsi" w:cs="Arial"/>
          <w:color w:val="000000"/>
          <w:sz w:val="22"/>
          <w:szCs w:val="22"/>
        </w:rPr>
      </w:pPr>
      <w:r>
        <w:rPr>
          <w:rFonts w:eastAsiaTheme="minorHAnsi" w:cs="Arial"/>
          <w:color w:val="000000"/>
          <w:sz w:val="22"/>
          <w:szCs w:val="22"/>
        </w:rPr>
        <w:t>10 West Broad Street, Suite 1800</w:t>
      </w:r>
    </w:p>
    <w:p w:rsidR="001E325A" w:rsidRDefault="00C0439D">
      <w:pPr>
        <w:autoSpaceDE w:val="0"/>
        <w:autoSpaceDN w:val="0"/>
        <w:adjustRightInd w:val="0"/>
        <w:rPr>
          <w:rFonts w:eastAsiaTheme="minorHAnsi" w:cs="Arial"/>
          <w:color w:val="000000"/>
          <w:sz w:val="22"/>
          <w:szCs w:val="22"/>
        </w:rPr>
      </w:pPr>
      <w:r>
        <w:rPr>
          <w:rFonts w:eastAsiaTheme="minorHAnsi" w:cs="Arial"/>
          <w:color w:val="000000"/>
          <w:sz w:val="22"/>
          <w:szCs w:val="22"/>
        </w:rPr>
        <w:t>Columbus, OH  43215-3485</w:t>
      </w:r>
    </w:p>
    <w:p w:rsidR="001E325A" w:rsidRDefault="00C0439D">
      <w:pPr>
        <w:rPr>
          <w:rFonts w:eastAsiaTheme="minorHAnsi" w:cs="Arial"/>
          <w:sz w:val="22"/>
          <w:szCs w:val="22"/>
        </w:rPr>
      </w:pPr>
      <w:r w:rsidRPr="002C1004">
        <w:rPr>
          <w:rFonts w:eastAsiaTheme="minorHAnsi" w:cs="Arial"/>
          <w:sz w:val="22"/>
          <w:szCs w:val="22"/>
        </w:rPr>
        <w:t>etter@occ.state.oh.us</w:t>
      </w:r>
      <w:r>
        <w:rPr>
          <w:rFonts w:eastAsiaTheme="minorHAnsi" w:cs="Arial"/>
          <w:sz w:val="22"/>
          <w:szCs w:val="22"/>
        </w:rPr>
        <w:t xml:space="preserve"> </w:t>
      </w:r>
    </w:p>
    <w:p w:rsidR="001E325A" w:rsidRDefault="001E325A">
      <w:pPr>
        <w:rPr>
          <w:rFonts w:eastAsiaTheme="minorHAnsi" w:cs="Arial"/>
          <w:color w:val="000000" w:themeColor="text1"/>
          <w:sz w:val="22"/>
          <w:szCs w:val="22"/>
        </w:rPr>
      </w:pPr>
    </w:p>
    <w:p w:rsidR="001E325A" w:rsidRDefault="00C0439D">
      <w:pPr>
        <w:rPr>
          <w:rFonts w:cs="Arial"/>
          <w:b/>
          <w:smallCaps/>
          <w:sz w:val="22"/>
          <w:szCs w:val="22"/>
        </w:rPr>
      </w:pPr>
      <w:r>
        <w:rPr>
          <w:rFonts w:cs="Arial"/>
          <w:b/>
          <w:smallCaps/>
          <w:sz w:val="22"/>
          <w:szCs w:val="22"/>
        </w:rPr>
        <w:t>On Behalf of the Office of the Ohio Consumers’ Counsel</w:t>
      </w:r>
    </w:p>
    <w:p w:rsidR="001E325A" w:rsidRDefault="001E325A">
      <w:pPr>
        <w:rPr>
          <w:rFonts w:cs="Arial"/>
          <w:sz w:val="22"/>
          <w:szCs w:val="22"/>
        </w:rPr>
      </w:pPr>
    </w:p>
    <w:p w:rsidR="001E325A" w:rsidRDefault="00C0439D">
      <w:pPr>
        <w:autoSpaceDE w:val="0"/>
        <w:autoSpaceDN w:val="0"/>
        <w:adjustRightInd w:val="0"/>
        <w:rPr>
          <w:rFonts w:eastAsiaTheme="minorHAnsi" w:cs="Arial"/>
          <w:color w:val="000000" w:themeColor="text1"/>
          <w:sz w:val="22"/>
          <w:szCs w:val="22"/>
        </w:rPr>
      </w:pPr>
      <w:r>
        <w:rPr>
          <w:rFonts w:eastAsiaTheme="minorHAnsi" w:cs="Arial"/>
          <w:color w:val="000000" w:themeColor="text1"/>
          <w:sz w:val="22"/>
          <w:szCs w:val="22"/>
        </w:rPr>
        <w:br w:type="column"/>
      </w:r>
      <w:r>
        <w:rPr>
          <w:rFonts w:eastAsiaTheme="minorHAnsi" w:cs="Arial"/>
          <w:color w:val="000000" w:themeColor="text1"/>
          <w:sz w:val="22"/>
          <w:szCs w:val="22"/>
        </w:rPr>
        <w:lastRenderedPageBreak/>
        <w:t>William Wright</w:t>
      </w:r>
    </w:p>
    <w:p w:rsidR="001E325A" w:rsidRDefault="00C0439D">
      <w:pPr>
        <w:autoSpaceDE w:val="0"/>
        <w:autoSpaceDN w:val="0"/>
        <w:adjustRightInd w:val="0"/>
        <w:rPr>
          <w:rFonts w:eastAsiaTheme="minorHAnsi" w:cs="Arial"/>
          <w:color w:val="000000" w:themeColor="text1"/>
          <w:sz w:val="22"/>
          <w:szCs w:val="22"/>
        </w:rPr>
      </w:pPr>
      <w:r>
        <w:rPr>
          <w:rFonts w:eastAsiaTheme="minorHAnsi" w:cs="Arial"/>
          <w:color w:val="000000" w:themeColor="text1"/>
          <w:sz w:val="22"/>
          <w:szCs w:val="22"/>
        </w:rPr>
        <w:t xml:space="preserve">Assistant Attorney General </w:t>
      </w:r>
    </w:p>
    <w:p w:rsidR="001E325A" w:rsidRDefault="00C0439D">
      <w:pPr>
        <w:autoSpaceDE w:val="0"/>
        <w:autoSpaceDN w:val="0"/>
        <w:adjustRightInd w:val="0"/>
        <w:rPr>
          <w:rFonts w:eastAsiaTheme="minorHAnsi" w:cs="Arial"/>
          <w:color w:val="000000" w:themeColor="text1"/>
          <w:sz w:val="22"/>
          <w:szCs w:val="22"/>
        </w:rPr>
      </w:pPr>
      <w:r>
        <w:rPr>
          <w:rFonts w:eastAsiaTheme="minorHAnsi" w:cs="Arial"/>
          <w:color w:val="000000" w:themeColor="text1"/>
          <w:sz w:val="22"/>
          <w:szCs w:val="22"/>
        </w:rPr>
        <w:t>Section Chief, Public Utilities Section</w:t>
      </w:r>
    </w:p>
    <w:p w:rsidR="001E325A" w:rsidRDefault="00C0439D">
      <w:pPr>
        <w:autoSpaceDE w:val="0"/>
        <w:autoSpaceDN w:val="0"/>
        <w:adjustRightInd w:val="0"/>
        <w:rPr>
          <w:rFonts w:eastAsiaTheme="minorHAnsi" w:cs="Arial"/>
          <w:color w:val="000000" w:themeColor="text1"/>
          <w:sz w:val="22"/>
          <w:szCs w:val="22"/>
        </w:rPr>
      </w:pPr>
      <w:r>
        <w:rPr>
          <w:rFonts w:eastAsiaTheme="minorHAnsi" w:cs="Arial"/>
          <w:color w:val="000000" w:themeColor="text1"/>
          <w:sz w:val="22"/>
          <w:szCs w:val="22"/>
        </w:rPr>
        <w:t>180 East Broad Street, 12th Floor</w:t>
      </w:r>
    </w:p>
    <w:p w:rsidR="001E325A" w:rsidRDefault="00C0439D">
      <w:pPr>
        <w:autoSpaceDE w:val="0"/>
        <w:autoSpaceDN w:val="0"/>
        <w:adjustRightInd w:val="0"/>
        <w:rPr>
          <w:rFonts w:eastAsiaTheme="minorHAnsi" w:cs="Arial"/>
          <w:color w:val="000000" w:themeColor="text1"/>
          <w:sz w:val="22"/>
          <w:szCs w:val="22"/>
        </w:rPr>
      </w:pPr>
      <w:r>
        <w:rPr>
          <w:rFonts w:eastAsiaTheme="minorHAnsi" w:cs="Arial"/>
          <w:color w:val="000000" w:themeColor="text1"/>
          <w:sz w:val="22"/>
          <w:szCs w:val="22"/>
        </w:rPr>
        <w:t>Columbus, OH  43215</w:t>
      </w:r>
    </w:p>
    <w:p w:rsidR="001E325A" w:rsidRDefault="00C0439D">
      <w:pPr>
        <w:rPr>
          <w:rStyle w:val="Hyperlink"/>
          <w:rFonts w:cs="Arial"/>
          <w:color w:val="000000" w:themeColor="text1"/>
          <w:sz w:val="22"/>
          <w:szCs w:val="22"/>
          <w:u w:val="none"/>
        </w:rPr>
      </w:pPr>
      <w:r w:rsidRPr="002C1004">
        <w:rPr>
          <w:rFonts w:cs="Arial"/>
          <w:sz w:val="22"/>
          <w:szCs w:val="22"/>
        </w:rPr>
        <w:t>william.wright@puc.state.oh.us</w:t>
      </w:r>
    </w:p>
    <w:p w:rsidR="001E325A" w:rsidRDefault="001E325A">
      <w:pPr>
        <w:rPr>
          <w:rFonts w:cs="Arial"/>
          <w:sz w:val="22"/>
          <w:szCs w:val="22"/>
        </w:rPr>
      </w:pPr>
    </w:p>
    <w:p w:rsidR="001E325A" w:rsidRDefault="00C0439D">
      <w:pPr>
        <w:rPr>
          <w:rFonts w:cs="Arial"/>
          <w:b/>
          <w:smallCaps/>
          <w:sz w:val="22"/>
          <w:szCs w:val="22"/>
        </w:rPr>
      </w:pPr>
      <w:r>
        <w:rPr>
          <w:rFonts w:cs="Arial"/>
          <w:b/>
          <w:smallCaps/>
          <w:sz w:val="22"/>
          <w:szCs w:val="22"/>
        </w:rPr>
        <w:t>On Behalf of the Staff of the Public Utilities Commission of Ohio</w:t>
      </w:r>
    </w:p>
    <w:p w:rsidR="001E325A" w:rsidRDefault="001E325A">
      <w:pPr>
        <w:jc w:val="center"/>
        <w:rPr>
          <w:sz w:val="22"/>
          <w:szCs w:val="22"/>
        </w:rPr>
      </w:pPr>
    </w:p>
    <w:sectPr w:rsidR="001E325A">
      <w:type w:val="continuous"/>
      <w:pgSz w:w="12240" w:h="15840" w:code="1"/>
      <w:pgMar w:top="1440" w:right="1440" w:bottom="1141" w:left="1440" w:header="720" w:footer="720" w:gutter="0"/>
      <w:pgNumType w:start="1"/>
      <w:cols w:num="2"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4B27" w:rsidRDefault="001F4B27">
      <w:r>
        <w:separator/>
      </w:r>
    </w:p>
  </w:endnote>
  <w:endnote w:type="continuationSeparator" w:id="0">
    <w:p w:rsidR="001F4B27" w:rsidRDefault="001F4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004" w:rsidRDefault="002C100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4B27" w:rsidRDefault="00507A71">
    <w:pPr>
      <w:pStyle w:val="Footer"/>
      <w:tabs>
        <w:tab w:val="clear" w:pos="4320"/>
        <w:tab w:val="clear" w:pos="8640"/>
        <w:tab w:val="center" w:pos="4680"/>
        <w:tab w:val="right" w:pos="9360"/>
      </w:tabs>
    </w:pPr>
    <w:r w:rsidRPr="00507A71">
      <w:rPr>
        <w:noProof/>
        <w:sz w:val="16"/>
      </w:rPr>
      <w:t>{C37043:3 }</w:t>
    </w:r>
    <w:sdt>
      <w:sdtPr>
        <w:id w:val="-201790209"/>
        <w:docPartObj>
          <w:docPartGallery w:val="Page Numbers (Bottom of Page)"/>
          <w:docPartUnique/>
        </w:docPartObj>
      </w:sdtPr>
      <w:sdtEndPr>
        <w:rPr>
          <w:rFonts w:cs="Arial"/>
          <w:noProof/>
        </w:rPr>
      </w:sdtEndPr>
      <w:sdtContent>
        <w:r w:rsidR="001F4B27">
          <w:tab/>
        </w:r>
        <w:r w:rsidR="001F4B27">
          <w:rPr>
            <w:rFonts w:cs="Arial"/>
          </w:rPr>
          <w:fldChar w:fldCharType="begin"/>
        </w:r>
        <w:r w:rsidR="001F4B27">
          <w:rPr>
            <w:rFonts w:cs="Arial"/>
          </w:rPr>
          <w:instrText xml:space="preserve"> PAGE   \* MERGEFORMAT </w:instrText>
        </w:r>
        <w:r w:rsidR="001F4B27">
          <w:rPr>
            <w:rFonts w:cs="Arial"/>
          </w:rPr>
          <w:fldChar w:fldCharType="separate"/>
        </w:r>
        <w:r w:rsidR="002C1004">
          <w:rPr>
            <w:rFonts w:cs="Arial"/>
            <w:noProof/>
          </w:rPr>
          <w:t>7</w:t>
        </w:r>
        <w:r w:rsidR="001F4B27">
          <w:rPr>
            <w:rFonts w:cs="Arial"/>
            <w:noProof/>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4B27" w:rsidRDefault="00507A71">
    <w:pPr>
      <w:pStyle w:val="Footer"/>
      <w:tabs>
        <w:tab w:val="clear" w:pos="4320"/>
        <w:tab w:val="center" w:pos="4680"/>
      </w:tabs>
    </w:pPr>
    <w:r w:rsidRPr="00507A71">
      <w:rPr>
        <w:noProof/>
        <w:sz w:val="16"/>
      </w:rPr>
      <w:t>{C37043:3 }</w:t>
    </w:r>
    <w:r w:rsidR="001F4B27">
      <w:rPr>
        <w:noProof/>
        <w:sz w:val="16"/>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4B27" w:rsidRDefault="00507A71">
    <w:pPr>
      <w:pStyle w:val="Footer"/>
    </w:pPr>
    <w:r w:rsidRPr="00507A71">
      <w:rPr>
        <w:noProof/>
        <w:sz w:val="16"/>
      </w:rPr>
      <w:t>{C37043:3 }</w:t>
    </w:r>
    <w:r w:rsidR="001F4B27">
      <w:rPr>
        <w:noProof/>
        <w:sz w:val="16"/>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4B27" w:rsidRDefault="00507A71">
    <w:pPr>
      <w:pStyle w:val="Footer"/>
      <w:tabs>
        <w:tab w:val="clear" w:pos="4320"/>
        <w:tab w:val="center" w:pos="4680"/>
      </w:tabs>
    </w:pPr>
    <w:r w:rsidRPr="00507A71">
      <w:rPr>
        <w:noProof/>
        <w:sz w:val="16"/>
      </w:rPr>
      <w:t>{C37043:3 }</w:t>
    </w:r>
    <w:r w:rsidR="001F4B27">
      <w:rPr>
        <w:noProof/>
        <w:sz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4B27" w:rsidRDefault="001F4B27">
      <w:pPr>
        <w:rPr>
          <w:noProof/>
        </w:rPr>
      </w:pPr>
      <w:r>
        <w:rPr>
          <w:noProof/>
        </w:rPr>
        <w:separator/>
      </w:r>
    </w:p>
  </w:footnote>
  <w:footnote w:type="continuationSeparator" w:id="0">
    <w:p w:rsidR="001F4B27" w:rsidRDefault="001F4B27">
      <w:r>
        <w:continuationSeparator/>
      </w:r>
    </w:p>
  </w:footnote>
  <w:footnote w:id="1">
    <w:p w:rsidR="001F4B27" w:rsidRDefault="001F4B27">
      <w:pPr>
        <w:pStyle w:val="FootnoteText"/>
        <w:spacing w:after="180" w:line="240" w:lineRule="auto"/>
        <w:jc w:val="both"/>
        <w:rPr>
          <w:rFonts w:ascii="Arial" w:hAnsi="Arial" w:cs="Arial"/>
        </w:rPr>
      </w:pPr>
      <w:r>
        <w:rPr>
          <w:rStyle w:val="FootnoteReference"/>
          <w:rFonts w:ascii="Arial" w:hAnsi="Arial" w:cs="Arial"/>
        </w:rPr>
        <w:footnoteRef/>
      </w:r>
      <w:r>
        <w:rPr>
          <w:rFonts w:ascii="Arial" w:hAnsi="Arial" w:cs="Arial"/>
        </w:rPr>
        <w:t xml:space="preserve"> </w:t>
      </w:r>
      <w:r>
        <w:rPr>
          <w:rFonts w:ascii="Arial" w:hAnsi="Arial" w:cs="Arial"/>
          <w:i/>
        </w:rPr>
        <w:t xml:space="preserve">In the Matter of the Application of  Columbus Southern Power Company and Ohio Power Company for Authority to Establish a Standard Service Offer Pursuant to Section 4928.143, Revised Code, in the Form of an Electric Security Plan, </w:t>
      </w:r>
      <w:r>
        <w:rPr>
          <w:rFonts w:ascii="Arial" w:hAnsi="Arial" w:cs="Arial"/>
        </w:rPr>
        <w:t xml:space="preserve">Case Nos. 11-346-EL-SSO, </w:t>
      </w:r>
      <w:r>
        <w:rPr>
          <w:rFonts w:ascii="Arial" w:hAnsi="Arial" w:cs="Arial"/>
          <w:i/>
        </w:rPr>
        <w:t>et al.</w:t>
      </w:r>
      <w:r>
        <w:rPr>
          <w:rFonts w:ascii="Arial" w:hAnsi="Arial" w:cs="Arial"/>
        </w:rPr>
        <w:t xml:space="preserve"> (hereinafter “</w:t>
      </w:r>
      <w:r>
        <w:rPr>
          <w:rFonts w:ascii="Arial" w:hAnsi="Arial" w:cs="Arial"/>
          <w:i/>
        </w:rPr>
        <w:t>ESP II</w:t>
      </w:r>
      <w:r>
        <w:rPr>
          <w:rFonts w:ascii="Arial" w:hAnsi="Arial" w:cs="Arial"/>
        </w:rPr>
        <w:t>”).</w:t>
      </w:r>
    </w:p>
  </w:footnote>
  <w:footnote w:id="2">
    <w:p w:rsidR="001F4B27" w:rsidRDefault="001F4B27">
      <w:pPr>
        <w:autoSpaceDE w:val="0"/>
        <w:autoSpaceDN w:val="0"/>
        <w:adjustRightInd w:val="0"/>
        <w:spacing w:after="180"/>
        <w:jc w:val="both"/>
        <w:rPr>
          <w:rFonts w:cs="Arial"/>
          <w:sz w:val="20"/>
          <w:szCs w:val="20"/>
        </w:rPr>
      </w:pPr>
      <w:r>
        <w:rPr>
          <w:rStyle w:val="FootnoteReference"/>
          <w:rFonts w:cs="Arial"/>
          <w:sz w:val="20"/>
          <w:szCs w:val="20"/>
        </w:rPr>
        <w:footnoteRef/>
      </w:r>
      <w:r>
        <w:rPr>
          <w:rFonts w:cs="Arial"/>
          <w:sz w:val="20"/>
          <w:szCs w:val="20"/>
        </w:rPr>
        <w:t xml:space="preserve"> </w:t>
      </w:r>
      <w:r>
        <w:rPr>
          <w:rFonts w:eastAsiaTheme="minorHAnsi" w:cs="Arial"/>
          <w:i/>
          <w:sz w:val="20"/>
          <w:szCs w:val="20"/>
        </w:rPr>
        <w:t>In the Matter of the Application of Ohio Power Company and Columbus Southern Power Company for Authority to Merge and Related Approvals</w:t>
      </w:r>
      <w:r>
        <w:rPr>
          <w:rFonts w:eastAsiaTheme="minorHAnsi" w:cs="Arial"/>
          <w:sz w:val="20"/>
          <w:szCs w:val="20"/>
        </w:rPr>
        <w:t xml:space="preserve">, </w:t>
      </w:r>
      <w:r>
        <w:rPr>
          <w:rFonts w:cs="Arial"/>
          <w:sz w:val="20"/>
          <w:szCs w:val="20"/>
        </w:rPr>
        <w:t>Case No. 10-2376-EL-UNC (hereinafter “</w:t>
      </w:r>
      <w:r>
        <w:rPr>
          <w:rFonts w:cs="Arial"/>
          <w:i/>
          <w:sz w:val="20"/>
          <w:szCs w:val="20"/>
        </w:rPr>
        <w:t>Merger Proceeding</w:t>
      </w:r>
      <w:r>
        <w:rPr>
          <w:rFonts w:cs="Arial"/>
          <w:sz w:val="20"/>
          <w:szCs w:val="20"/>
        </w:rPr>
        <w:t>”).</w:t>
      </w:r>
    </w:p>
  </w:footnote>
  <w:footnote w:id="3">
    <w:p w:rsidR="001F4B27" w:rsidRDefault="001F4B27">
      <w:pPr>
        <w:autoSpaceDE w:val="0"/>
        <w:autoSpaceDN w:val="0"/>
        <w:adjustRightInd w:val="0"/>
        <w:spacing w:after="180"/>
        <w:jc w:val="both"/>
      </w:pPr>
      <w:r>
        <w:rPr>
          <w:rStyle w:val="FootnoteReference"/>
        </w:rPr>
        <w:footnoteRef/>
      </w:r>
      <w:r>
        <w:t xml:space="preserve"> </w:t>
      </w:r>
      <w:r>
        <w:rPr>
          <w:rFonts w:cs="Arial"/>
          <w:i/>
          <w:sz w:val="20"/>
          <w:szCs w:val="20"/>
        </w:rPr>
        <w:t>In the Matter of the Application of Columbus Southern Power Company for Approval of its Electric Security Plan; an Amendment to its Corporate Separation Plan; and the Sale or Transfer of Certain Generation Assets</w:t>
      </w:r>
      <w:r>
        <w:rPr>
          <w:rFonts w:cs="Arial"/>
          <w:sz w:val="20"/>
          <w:szCs w:val="20"/>
        </w:rPr>
        <w:t>, PUCO Case Nos. 08-917-E</w:t>
      </w:r>
      <w:r>
        <w:rPr>
          <w:sz w:val="20"/>
          <w:szCs w:val="20"/>
        </w:rPr>
        <w:t xml:space="preserve">L-SSO, </w:t>
      </w:r>
      <w:r>
        <w:rPr>
          <w:i/>
          <w:sz w:val="20"/>
          <w:szCs w:val="20"/>
        </w:rPr>
        <w:t>et al.</w:t>
      </w:r>
      <w:r>
        <w:rPr>
          <w:sz w:val="20"/>
          <w:szCs w:val="20"/>
        </w:rPr>
        <w:t xml:space="preserve"> </w:t>
      </w:r>
      <w:r>
        <w:rPr>
          <w:rFonts w:cs="Arial"/>
          <w:sz w:val="20"/>
          <w:szCs w:val="20"/>
        </w:rPr>
        <w:t>(hereinafter “</w:t>
      </w:r>
      <w:r>
        <w:rPr>
          <w:rFonts w:cs="Arial"/>
          <w:i/>
          <w:sz w:val="20"/>
          <w:szCs w:val="20"/>
        </w:rPr>
        <w:t>ESP I</w:t>
      </w:r>
      <w:r>
        <w:rPr>
          <w:rFonts w:cs="Arial"/>
          <w:sz w:val="20"/>
          <w:szCs w:val="20"/>
        </w:rPr>
        <w:t>”).</w:t>
      </w:r>
    </w:p>
  </w:footnote>
  <w:footnote w:id="4">
    <w:p w:rsidR="001F4B27" w:rsidRDefault="001F4B27">
      <w:pPr>
        <w:pStyle w:val="FootnoteText"/>
        <w:spacing w:line="240" w:lineRule="auto"/>
        <w:jc w:val="both"/>
        <w:rPr>
          <w:rFonts w:ascii="Arial" w:hAnsi="Arial" w:cs="Arial"/>
        </w:rPr>
      </w:pPr>
      <w:r>
        <w:rPr>
          <w:rStyle w:val="FootnoteReference"/>
          <w:rFonts w:ascii="Arial" w:hAnsi="Arial" w:cs="Arial"/>
        </w:rPr>
        <w:footnoteRef/>
      </w:r>
      <w:r>
        <w:rPr>
          <w:rFonts w:ascii="Arial" w:hAnsi="Arial" w:cs="Arial"/>
        </w:rPr>
        <w:t xml:space="preserve"> </w:t>
      </w:r>
      <w:r>
        <w:rPr>
          <w:rFonts w:ascii="Arial" w:hAnsi="Arial" w:cs="Arial"/>
          <w:i/>
        </w:rPr>
        <w:t>Merger Proceeding</w:t>
      </w:r>
      <w:r>
        <w:rPr>
          <w:rFonts w:ascii="Arial" w:hAnsi="Arial" w:cs="Arial"/>
        </w:rPr>
        <w:t>, Reply Comments of Ohio Power Company and Columbus Southern Power Company at 4, 6 (March 11, 2011) (“the Companies reiterate that the merger application does not propose to change any rate for either Company and approval of the merger will not impact their rates. … The other pending proceedings, including the ESP and distribution rate cases, will address and resolve rate-related issues.”)</w:t>
      </w:r>
    </w:p>
  </w:footnote>
  <w:footnote w:id="5">
    <w:p w:rsidR="001F4B27" w:rsidRDefault="001F4B27">
      <w:pPr>
        <w:pStyle w:val="FootnoteText"/>
        <w:spacing w:after="0" w:line="240" w:lineRule="auto"/>
        <w:jc w:val="both"/>
        <w:rPr>
          <w:rFonts w:ascii="Arial" w:hAnsi="Arial" w:cs="Arial"/>
        </w:rPr>
      </w:pPr>
      <w:r>
        <w:rPr>
          <w:rStyle w:val="FootnoteReference"/>
          <w:rFonts w:ascii="Arial" w:hAnsi="Arial" w:cs="Arial"/>
        </w:rPr>
        <w:footnoteRef/>
      </w:r>
      <w:r>
        <w:rPr>
          <w:rFonts w:ascii="Arial" w:hAnsi="Arial" w:cs="Arial"/>
        </w:rPr>
        <w:t xml:space="preserve"> </w:t>
      </w:r>
      <w:r>
        <w:rPr>
          <w:rFonts w:ascii="Arial" w:hAnsi="Arial" w:cs="Arial"/>
          <w:i/>
        </w:rPr>
        <w:t>ESP II</w:t>
      </w:r>
      <w:r>
        <w:rPr>
          <w:rFonts w:ascii="Arial" w:hAnsi="Arial" w:cs="Arial"/>
        </w:rPr>
        <w:t>, Entry on Rehearing</w:t>
      </w:r>
      <w:r>
        <w:rPr>
          <w:rFonts w:ascii="Arial" w:hAnsi="Arial" w:cs="Arial"/>
          <w:i/>
        </w:rPr>
        <w:t xml:space="preserve"> </w:t>
      </w:r>
      <w:r>
        <w:rPr>
          <w:rFonts w:ascii="Arial" w:hAnsi="Arial" w:cs="Arial"/>
        </w:rPr>
        <w:t>at 12 (February 23, 2012)</w:t>
      </w:r>
    </w:p>
    <w:p w:rsidR="001F4B27" w:rsidRDefault="001F4B27">
      <w:pPr>
        <w:pStyle w:val="FootnoteText"/>
        <w:spacing w:after="0" w:line="240" w:lineRule="auto"/>
        <w:jc w:val="both"/>
        <w:rPr>
          <w:rFonts w:ascii="Arial" w:hAnsi="Arial" w:cs="Arial"/>
        </w:rPr>
      </w:pPr>
    </w:p>
  </w:footnote>
  <w:footnote w:id="6">
    <w:p w:rsidR="001F4B27" w:rsidRDefault="001F4B27">
      <w:pPr>
        <w:pStyle w:val="FootnoteText"/>
        <w:spacing w:after="180" w:line="240" w:lineRule="auto"/>
        <w:jc w:val="both"/>
        <w:rPr>
          <w:rFonts w:ascii="Arial" w:hAnsi="Arial" w:cs="Arial"/>
        </w:rPr>
      </w:pPr>
      <w:r>
        <w:rPr>
          <w:rStyle w:val="FootnoteReference"/>
          <w:rFonts w:ascii="Arial" w:hAnsi="Arial" w:cs="Arial"/>
        </w:rPr>
        <w:footnoteRef/>
      </w:r>
      <w:r>
        <w:rPr>
          <w:rFonts w:ascii="Arial" w:hAnsi="Arial" w:cs="Arial"/>
        </w:rPr>
        <w:t xml:space="preserve"> </w:t>
      </w:r>
      <w:r>
        <w:rPr>
          <w:rFonts w:ascii="Arial" w:hAnsi="Arial" w:cs="Arial"/>
          <w:i/>
        </w:rPr>
        <w:t>ESP II</w:t>
      </w:r>
      <w:r>
        <w:rPr>
          <w:rFonts w:ascii="Arial" w:hAnsi="Arial" w:cs="Arial"/>
        </w:rPr>
        <w:t>, Entry on Rehearing at 12 (February 23, 2012).</w:t>
      </w:r>
    </w:p>
  </w:footnote>
  <w:footnote w:id="7">
    <w:p w:rsidR="001F4B27" w:rsidRDefault="001F4B27">
      <w:pPr>
        <w:pStyle w:val="FootnoteText"/>
        <w:spacing w:after="180" w:line="240" w:lineRule="auto"/>
        <w:jc w:val="both"/>
        <w:rPr>
          <w:rFonts w:ascii="Arial" w:hAnsi="Arial" w:cs="Arial"/>
        </w:rPr>
      </w:pPr>
      <w:r>
        <w:rPr>
          <w:rStyle w:val="FootnoteReference"/>
          <w:rFonts w:ascii="Arial" w:hAnsi="Arial" w:cs="Arial"/>
        </w:rPr>
        <w:footnoteRef/>
      </w:r>
      <w:r>
        <w:rPr>
          <w:rFonts w:ascii="Arial" w:hAnsi="Arial" w:cs="Arial"/>
        </w:rPr>
        <w:t xml:space="preserve"> Section 4928.143(C)(2)(b), Revised Code.</w:t>
      </w:r>
    </w:p>
  </w:footnote>
  <w:footnote w:id="8">
    <w:p w:rsidR="001F4B27" w:rsidRDefault="001F4B27">
      <w:pPr>
        <w:pStyle w:val="FootnoteText"/>
        <w:spacing w:after="180" w:line="240" w:lineRule="auto"/>
        <w:jc w:val="both"/>
        <w:rPr>
          <w:rFonts w:ascii="Arial" w:hAnsi="Arial" w:cs="Arial"/>
        </w:rPr>
      </w:pPr>
      <w:r>
        <w:rPr>
          <w:rStyle w:val="FootnoteReference"/>
          <w:rFonts w:ascii="Arial" w:hAnsi="Arial" w:cs="Arial"/>
        </w:rPr>
        <w:footnoteRef/>
      </w:r>
      <w:r>
        <w:rPr>
          <w:rFonts w:ascii="Arial" w:hAnsi="Arial" w:cs="Arial"/>
        </w:rPr>
        <w:t xml:space="preserve"> </w:t>
      </w:r>
      <w:r>
        <w:rPr>
          <w:rFonts w:ascii="Arial" w:hAnsi="Arial" w:cs="Arial"/>
          <w:i/>
        </w:rPr>
        <w:t>Merger Proceeding</w:t>
      </w:r>
      <w:r>
        <w:rPr>
          <w:rFonts w:ascii="Arial" w:hAnsi="Arial" w:cs="Arial"/>
        </w:rPr>
        <w:t>,</w:t>
      </w:r>
      <w:r>
        <w:rPr>
          <w:rFonts w:ascii="Arial" w:hAnsi="Arial" w:cs="Arial"/>
          <w:i/>
        </w:rPr>
        <w:t xml:space="preserve"> </w:t>
      </w:r>
      <w:r>
        <w:rPr>
          <w:rFonts w:ascii="Arial" w:hAnsi="Arial" w:cs="Arial"/>
        </w:rPr>
        <w:t>Entry at 7 (March 7, 2012).</w:t>
      </w:r>
    </w:p>
  </w:footnote>
  <w:footnote w:id="9">
    <w:p w:rsidR="001F4B27" w:rsidRDefault="001F4B27">
      <w:pPr>
        <w:pStyle w:val="FootnoteText"/>
        <w:spacing w:after="180" w:line="240" w:lineRule="auto"/>
        <w:jc w:val="both"/>
        <w:rPr>
          <w:rFonts w:ascii="Arial" w:hAnsi="Arial" w:cs="Arial"/>
        </w:rPr>
      </w:pPr>
      <w:r>
        <w:rPr>
          <w:rStyle w:val="FootnoteReference"/>
          <w:rFonts w:ascii="Arial" w:hAnsi="Arial" w:cs="Arial"/>
        </w:rPr>
        <w:footnoteRef/>
      </w:r>
      <w:r>
        <w:rPr>
          <w:rFonts w:ascii="Arial" w:hAnsi="Arial" w:cs="Arial"/>
        </w:rPr>
        <w:t xml:space="preserve"> </w:t>
      </w:r>
      <w:r>
        <w:rPr>
          <w:rFonts w:ascii="Arial" w:hAnsi="Arial" w:cs="Arial"/>
          <w:i/>
        </w:rPr>
        <w:t>Merger Proceeding</w:t>
      </w:r>
      <w:r>
        <w:rPr>
          <w:rFonts w:ascii="Arial" w:hAnsi="Arial" w:cs="Arial"/>
        </w:rPr>
        <w:t>,</w:t>
      </w:r>
      <w:r>
        <w:rPr>
          <w:rFonts w:ascii="Arial" w:hAnsi="Arial" w:cs="Arial"/>
          <w:i/>
        </w:rPr>
        <w:t xml:space="preserve"> </w:t>
      </w:r>
      <w:r>
        <w:rPr>
          <w:rFonts w:ascii="Arial" w:hAnsi="Arial" w:cs="Arial"/>
        </w:rPr>
        <w:t>Initial Comments of Ohio Partners for Affordable Energy at 1-2 (February 25, 2011).</w:t>
      </w:r>
    </w:p>
  </w:footnote>
  <w:footnote w:id="10">
    <w:p w:rsidR="001F4B27" w:rsidRDefault="001F4B27">
      <w:pPr>
        <w:pStyle w:val="FootnoteText"/>
        <w:spacing w:after="180" w:line="240" w:lineRule="auto"/>
        <w:jc w:val="both"/>
        <w:rPr>
          <w:rFonts w:ascii="Arial" w:hAnsi="Arial" w:cs="Arial"/>
        </w:rPr>
      </w:pPr>
      <w:r>
        <w:rPr>
          <w:rStyle w:val="FootnoteReference"/>
          <w:rFonts w:ascii="Arial" w:hAnsi="Arial" w:cs="Arial"/>
        </w:rPr>
        <w:footnoteRef/>
      </w:r>
      <w:r>
        <w:rPr>
          <w:rFonts w:ascii="Arial" w:hAnsi="Arial" w:cs="Arial"/>
        </w:rPr>
        <w:t xml:space="preserve"> </w:t>
      </w:r>
      <w:r>
        <w:rPr>
          <w:rFonts w:ascii="Arial" w:hAnsi="Arial" w:cs="Arial"/>
          <w:i/>
        </w:rPr>
        <w:t>Merger Proceeding</w:t>
      </w:r>
      <w:r>
        <w:rPr>
          <w:rFonts w:ascii="Arial" w:hAnsi="Arial" w:cs="Arial"/>
        </w:rPr>
        <w:t>,</w:t>
      </w:r>
      <w:r>
        <w:rPr>
          <w:rFonts w:ascii="Arial" w:hAnsi="Arial" w:cs="Arial"/>
          <w:i/>
        </w:rPr>
        <w:t xml:space="preserve"> </w:t>
      </w:r>
      <w:r>
        <w:rPr>
          <w:rFonts w:ascii="Arial" w:hAnsi="Arial" w:cs="Arial"/>
        </w:rPr>
        <w:t>Reply Comments of Ohio Power Company and Columbus Southern Power Company at 5 (March 11, 2011).</w:t>
      </w:r>
    </w:p>
  </w:footnote>
  <w:footnote w:id="11">
    <w:p w:rsidR="001F4B27" w:rsidRDefault="001F4B27">
      <w:pPr>
        <w:pStyle w:val="FootnoteText"/>
        <w:spacing w:after="180" w:line="240" w:lineRule="auto"/>
        <w:jc w:val="both"/>
        <w:rPr>
          <w:rFonts w:ascii="Arial" w:hAnsi="Arial" w:cs="Arial"/>
        </w:rPr>
      </w:pPr>
      <w:r>
        <w:rPr>
          <w:rStyle w:val="FootnoteReference"/>
          <w:rFonts w:ascii="Arial" w:hAnsi="Arial" w:cs="Arial"/>
        </w:rPr>
        <w:footnoteRef/>
      </w:r>
      <w:r>
        <w:rPr>
          <w:rFonts w:ascii="Arial" w:hAnsi="Arial" w:cs="Arial"/>
        </w:rPr>
        <w:t xml:space="preserve"> </w:t>
      </w:r>
      <w:r>
        <w:rPr>
          <w:rFonts w:ascii="Arial" w:hAnsi="Arial" w:cs="Arial"/>
          <w:i/>
        </w:rPr>
        <w:t>Merger Proceeding</w:t>
      </w:r>
      <w:r>
        <w:rPr>
          <w:rFonts w:ascii="Arial" w:hAnsi="Arial" w:cs="Arial"/>
        </w:rPr>
        <w:t>,</w:t>
      </w:r>
      <w:r>
        <w:rPr>
          <w:rFonts w:ascii="Arial" w:hAnsi="Arial" w:cs="Arial"/>
          <w:i/>
        </w:rPr>
        <w:t xml:space="preserve"> </w:t>
      </w:r>
      <w:r>
        <w:rPr>
          <w:rFonts w:ascii="Arial" w:hAnsi="Arial" w:cs="Arial"/>
        </w:rPr>
        <w:t>Application at 4 (October 18, 2010).</w:t>
      </w:r>
    </w:p>
  </w:footnote>
  <w:footnote w:id="12">
    <w:p w:rsidR="001F4B27" w:rsidRDefault="001F4B27">
      <w:pPr>
        <w:pStyle w:val="FootnoteText"/>
        <w:spacing w:after="180" w:line="240" w:lineRule="auto"/>
        <w:jc w:val="both"/>
        <w:rPr>
          <w:rFonts w:ascii="Arial" w:hAnsi="Arial" w:cs="Arial"/>
        </w:rPr>
      </w:pPr>
      <w:r>
        <w:rPr>
          <w:rStyle w:val="FootnoteReference"/>
          <w:rFonts w:ascii="Arial" w:hAnsi="Arial" w:cs="Arial"/>
        </w:rPr>
        <w:footnoteRef/>
      </w:r>
      <w:r>
        <w:rPr>
          <w:rFonts w:ascii="Arial" w:hAnsi="Arial" w:cs="Arial"/>
        </w:rPr>
        <w:t xml:space="preserve"> </w:t>
      </w:r>
      <w:r>
        <w:rPr>
          <w:rFonts w:ascii="Arial" w:hAnsi="Arial" w:cs="Arial"/>
          <w:i/>
        </w:rPr>
        <w:t>Merger Proceeding</w:t>
      </w:r>
      <w:r>
        <w:rPr>
          <w:rFonts w:ascii="Arial" w:hAnsi="Arial" w:cs="Arial"/>
        </w:rPr>
        <w:t>,</w:t>
      </w:r>
      <w:r>
        <w:rPr>
          <w:rFonts w:ascii="Arial" w:hAnsi="Arial" w:cs="Arial"/>
          <w:i/>
        </w:rPr>
        <w:t xml:space="preserve"> </w:t>
      </w:r>
      <w:r>
        <w:rPr>
          <w:rFonts w:ascii="Arial" w:hAnsi="Arial" w:cs="Arial"/>
        </w:rPr>
        <w:t>Reply Comments of Ohio Power Company and Columbus Southern Power Company at 4 (March 11, 2011).</w:t>
      </w:r>
    </w:p>
  </w:footnote>
  <w:footnote w:id="13">
    <w:p w:rsidR="001F4B27" w:rsidRDefault="001F4B27">
      <w:pPr>
        <w:pStyle w:val="FootnoteText"/>
        <w:spacing w:after="180" w:line="240" w:lineRule="auto"/>
        <w:jc w:val="both"/>
        <w:rPr>
          <w:rFonts w:ascii="Arial" w:hAnsi="Arial" w:cs="Arial"/>
        </w:rPr>
      </w:pPr>
      <w:r>
        <w:rPr>
          <w:rStyle w:val="FootnoteReference"/>
          <w:rFonts w:ascii="Arial" w:hAnsi="Arial" w:cs="Arial"/>
        </w:rPr>
        <w:footnoteRef/>
      </w:r>
      <w:r>
        <w:rPr>
          <w:rFonts w:ascii="Arial" w:hAnsi="Arial" w:cs="Arial"/>
        </w:rPr>
        <w:t xml:space="preserve"> </w:t>
      </w:r>
      <w:r>
        <w:rPr>
          <w:rFonts w:ascii="Arial" w:hAnsi="Arial" w:cs="Arial"/>
          <w:i/>
        </w:rPr>
        <w:t>See Merger Proceeding</w:t>
      </w:r>
      <w:r>
        <w:rPr>
          <w:rFonts w:ascii="Arial" w:hAnsi="Arial" w:cs="Arial"/>
        </w:rPr>
        <w:t>, Reply Comments of Ohio Power Company and Columbus Southern Power Company at 5 (March 11, 2011).</w:t>
      </w:r>
    </w:p>
  </w:footnote>
  <w:footnote w:id="14">
    <w:p w:rsidR="001F4B27" w:rsidRDefault="001F4B27">
      <w:pPr>
        <w:pStyle w:val="FootnoteText"/>
        <w:spacing w:after="180" w:line="240" w:lineRule="auto"/>
      </w:pPr>
      <w:r>
        <w:rPr>
          <w:rStyle w:val="FootnoteReference"/>
          <w:rFonts w:ascii="Arial" w:hAnsi="Arial" w:cs="Arial"/>
        </w:rPr>
        <w:footnoteRef/>
      </w:r>
      <w:r>
        <w:rPr>
          <w:rFonts w:ascii="Arial" w:hAnsi="Arial" w:cs="Arial"/>
        </w:rPr>
        <w:t xml:space="preserve"> </w:t>
      </w:r>
      <w:r>
        <w:rPr>
          <w:rFonts w:ascii="Arial" w:hAnsi="Arial" w:cs="Arial"/>
          <w:i/>
        </w:rPr>
        <w:t>Merger Proceeding</w:t>
      </w:r>
      <w:r>
        <w:rPr>
          <w:rFonts w:ascii="Arial" w:hAnsi="Arial" w:cs="Arial"/>
        </w:rPr>
        <w:t>, Entry at 6 (March 7, 2012).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004" w:rsidRDefault="002C100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004" w:rsidRDefault="002C100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004" w:rsidRDefault="002C100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4B27" w:rsidRDefault="001F4B27">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4B27" w:rsidRDefault="001F4B2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E2569"/>
    <w:multiLevelType w:val="hybridMultilevel"/>
    <w:tmpl w:val="0046C668"/>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319D07FA"/>
    <w:multiLevelType w:val="hybridMultilevel"/>
    <w:tmpl w:val="1E4498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1F7672A"/>
    <w:multiLevelType w:val="hybridMultilevel"/>
    <w:tmpl w:val="E62A9DB2"/>
    <w:lvl w:ilvl="0" w:tplc="424CBD40">
      <w:start w:val="1"/>
      <w:numFmt w:val="upperRoman"/>
      <w:lvlText w:val="%1."/>
      <w:lvlJc w:val="righ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47611BFC"/>
    <w:multiLevelType w:val="hybridMultilevel"/>
    <w:tmpl w:val="8E0AAC0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51347ACA"/>
    <w:multiLevelType w:val="hybridMultilevel"/>
    <w:tmpl w:val="8C507AE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3425BE3"/>
    <w:multiLevelType w:val="hybridMultilevel"/>
    <w:tmpl w:val="380213E0"/>
    <w:lvl w:ilvl="0" w:tplc="5D9C9F24">
      <w:start w:val="1"/>
      <w:numFmt w:val="upp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5947426B"/>
    <w:multiLevelType w:val="hybridMultilevel"/>
    <w:tmpl w:val="2348E3A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6FA26226"/>
    <w:multiLevelType w:val="hybridMultilevel"/>
    <w:tmpl w:val="500A1A5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7CA516F2"/>
    <w:multiLevelType w:val="hybridMultilevel"/>
    <w:tmpl w:val="C7D85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8"/>
  </w:num>
  <w:num w:numId="3">
    <w:abstractNumId w:val="2"/>
  </w:num>
  <w:num w:numId="4">
    <w:abstractNumId w:val="5"/>
  </w:num>
  <w:num w:numId="5">
    <w:abstractNumId w:val="3"/>
  </w:num>
  <w:num w:numId="6">
    <w:abstractNumId w:val="0"/>
  </w:num>
  <w:num w:numId="7">
    <w:abstractNumId w:val="4"/>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325A"/>
    <w:rsid w:val="00180B10"/>
    <w:rsid w:val="001E325A"/>
    <w:rsid w:val="001F4B27"/>
    <w:rsid w:val="002C1004"/>
    <w:rsid w:val="003D3A3E"/>
    <w:rsid w:val="00507A71"/>
    <w:rsid w:val="007C79B1"/>
    <w:rsid w:val="00A133F7"/>
    <w:rsid w:val="00C0439D"/>
    <w:rsid w:val="00E230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qFormat/>
    <w:pPr>
      <w:keepNext/>
      <w:ind w:left="2160" w:right="2160"/>
      <w:outlineLvl w:val="0"/>
    </w:pPr>
    <w:rPr>
      <w:rFonts w:cs="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Arial" w:eastAsia="Times New Roman" w:hAnsi="Arial" w:cs="Arial"/>
      <w:b/>
      <w:sz w:val="28"/>
      <w:szCs w:val="24"/>
    </w:rPr>
  </w:style>
  <w:style w:type="paragraph" w:styleId="Title">
    <w:name w:val="Title"/>
    <w:basedOn w:val="Normal"/>
    <w:link w:val="TitleChar"/>
    <w:qFormat/>
    <w:pPr>
      <w:jc w:val="center"/>
    </w:pPr>
    <w:rPr>
      <w:rFonts w:cs="Arial"/>
      <w:b/>
      <w:smallCaps/>
      <w:sz w:val="32"/>
    </w:rPr>
  </w:style>
  <w:style w:type="character" w:customStyle="1" w:styleId="TitleChar">
    <w:name w:val="Title Char"/>
    <w:basedOn w:val="DefaultParagraphFont"/>
    <w:link w:val="Title"/>
    <w:rPr>
      <w:rFonts w:ascii="Arial" w:eastAsia="Times New Roman" w:hAnsi="Arial" w:cs="Arial"/>
      <w:b/>
      <w:smallCaps/>
      <w:sz w:val="32"/>
      <w:szCs w:val="24"/>
    </w:rPr>
  </w:style>
  <w:style w:type="paragraph" w:styleId="BodyTextIndent2">
    <w:name w:val="Body Text Indent 2"/>
    <w:basedOn w:val="Normal"/>
    <w:link w:val="BodyTextIndent2Char"/>
    <w:pPr>
      <w:ind w:left="4920"/>
      <w:jc w:val="both"/>
    </w:pPr>
    <w:rPr>
      <w:rFonts w:cs="Arial"/>
      <w:sz w:val="21"/>
    </w:rPr>
  </w:style>
  <w:style w:type="character" w:customStyle="1" w:styleId="BodyTextIndent2Char">
    <w:name w:val="Body Text Indent 2 Char"/>
    <w:basedOn w:val="DefaultParagraphFont"/>
    <w:link w:val="BodyTextIndent2"/>
    <w:rPr>
      <w:rFonts w:ascii="Arial" w:eastAsia="Times New Roman" w:hAnsi="Arial" w:cs="Arial"/>
      <w:sz w:val="21"/>
      <w:szCs w:val="24"/>
    </w:rPr>
  </w:style>
  <w:style w:type="paragraph" w:styleId="BodyText">
    <w:name w:val="Body Text"/>
    <w:basedOn w:val="Normal"/>
    <w:link w:val="BodyTextChar"/>
    <w:pPr>
      <w:jc w:val="both"/>
    </w:pPr>
    <w:rPr>
      <w:rFonts w:cs="Arial"/>
    </w:rPr>
  </w:style>
  <w:style w:type="character" w:customStyle="1" w:styleId="BodyTextChar">
    <w:name w:val="Body Text Char"/>
    <w:basedOn w:val="DefaultParagraphFont"/>
    <w:link w:val="BodyText"/>
    <w:rPr>
      <w:rFonts w:ascii="Arial" w:eastAsia="Times New Roman" w:hAnsi="Arial" w:cs="Arial"/>
      <w:sz w:val="24"/>
      <w:szCs w:val="24"/>
    </w:rPr>
  </w:style>
  <w:style w:type="paragraph" w:styleId="BodyTextIndent">
    <w:name w:val="Body Text Indent"/>
    <w:basedOn w:val="Normal"/>
    <w:link w:val="BodyTextIndentChar"/>
    <w:pPr>
      <w:ind w:firstLine="720"/>
      <w:jc w:val="both"/>
    </w:pPr>
    <w:rPr>
      <w:rFonts w:cs="Arial"/>
    </w:rPr>
  </w:style>
  <w:style w:type="character" w:customStyle="1" w:styleId="BodyTextIndentChar">
    <w:name w:val="Body Text Indent Char"/>
    <w:basedOn w:val="DefaultParagraphFont"/>
    <w:link w:val="BodyTextIndent"/>
    <w:rPr>
      <w:rFonts w:ascii="Arial" w:eastAsia="Times New Roman" w:hAnsi="Arial" w:cs="Arial"/>
      <w:sz w:val="24"/>
      <w:szCs w:val="24"/>
    </w:rPr>
  </w:style>
  <w:style w:type="paragraph" w:styleId="BodyText2">
    <w:name w:val="Body Text 2"/>
    <w:basedOn w:val="Normal"/>
    <w:link w:val="BodyText2Char"/>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line="480" w:lineRule="auto"/>
      <w:ind w:firstLine="720"/>
      <w:jc w:val="both"/>
      <w:textAlignment w:val="baseline"/>
    </w:pPr>
    <w:rPr>
      <w:szCs w:val="20"/>
    </w:rPr>
  </w:style>
  <w:style w:type="character" w:customStyle="1" w:styleId="BodyText2Char">
    <w:name w:val="Body Text 2 Char"/>
    <w:basedOn w:val="DefaultParagraphFont"/>
    <w:link w:val="BodyText2"/>
    <w:rPr>
      <w:rFonts w:ascii="Arial" w:eastAsia="Times New Roman" w:hAnsi="Arial" w:cs="Times New Roman"/>
      <w:sz w:val="24"/>
      <w:szCs w:val="20"/>
    </w:rPr>
  </w:style>
  <w:style w:type="paragraph" w:styleId="BodyText3">
    <w:name w:val="Body Text 3"/>
    <w:basedOn w:val="Normal"/>
    <w:link w:val="BodyText3Char"/>
    <w:rPr>
      <w:b/>
      <w:szCs w:val="20"/>
    </w:rPr>
  </w:style>
  <w:style w:type="character" w:customStyle="1" w:styleId="BodyText3Char">
    <w:name w:val="Body Text 3 Char"/>
    <w:basedOn w:val="DefaultParagraphFont"/>
    <w:link w:val="BodyText3"/>
    <w:rPr>
      <w:rFonts w:ascii="Times New Roman" w:eastAsia="Times New Roman" w:hAnsi="Times New Roman" w:cs="Times New Roman"/>
      <w:b/>
      <w:sz w:val="24"/>
      <w:szCs w:val="20"/>
    </w:r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rPr>
  </w:style>
  <w:style w:type="paragraph" w:styleId="Header">
    <w:name w:val="header"/>
    <w:basedOn w:val="Normal"/>
    <w:link w:val="HeaderChar"/>
    <w:pPr>
      <w:tabs>
        <w:tab w:val="center" w:pos="4320"/>
        <w:tab w:val="right" w:pos="8640"/>
      </w:tabs>
    </w:pPr>
  </w:style>
  <w:style w:type="character" w:customStyle="1" w:styleId="HeaderChar">
    <w:name w:val="Header Char"/>
    <w:basedOn w:val="DefaultParagraphFont"/>
    <w:link w:val="Header"/>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iPriority w:val="99"/>
    <w:unhideWhenUsed/>
    <w:pPr>
      <w:spacing w:after="200" w:line="276" w:lineRule="auto"/>
    </w:pPr>
    <w:rPr>
      <w:rFonts w:ascii="Calibri" w:eastAsia="Calibri" w:hAnsi="Calibri"/>
      <w:sz w:val="20"/>
      <w:szCs w:val="20"/>
    </w:rPr>
  </w:style>
  <w:style w:type="character" w:customStyle="1" w:styleId="FootnoteTextChar">
    <w:name w:val="Footnote Text Char"/>
    <w:basedOn w:val="DefaultParagraphFont"/>
    <w:link w:val="FootnoteText"/>
    <w:uiPriority w:val="99"/>
    <w:rPr>
      <w:rFonts w:ascii="Calibri" w:eastAsia="Calibri" w:hAnsi="Calibri" w:cs="Times New Roman"/>
      <w:sz w:val="20"/>
      <w:szCs w:val="20"/>
    </w:rPr>
  </w:style>
  <w:style w:type="character" w:styleId="FootnoteReference">
    <w:name w:val="footnote reference"/>
    <w:basedOn w:val="DefaultParagraphFont"/>
    <w:uiPriority w:val="99"/>
    <w:semiHidden/>
    <w:rPr>
      <w:vertAlign w:val="superscript"/>
    </w:rPr>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PreformattedChar">
    <w:name w:val="HTML Preformatted Char"/>
    <w:basedOn w:val="DefaultParagraphFont"/>
    <w:link w:val="HTMLPreformatted"/>
    <w:uiPriority w:val="99"/>
    <w:rPr>
      <w:rFonts w:ascii="Courier New" w:eastAsia="Calibri" w:hAnsi="Courier New" w:cs="Courier New"/>
      <w:sz w:val="20"/>
      <w:szCs w:val="20"/>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Arial" w:eastAsia="Times New Roman" w:hAnsi="Arial" w:cs="Times New Roman"/>
      <w:b/>
      <w:bCs/>
      <w:sz w:val="20"/>
      <w:szCs w:val="20"/>
    </w:rPr>
  </w:style>
  <w:style w:type="paragraph" w:styleId="Revision">
    <w:name w:val="Revision"/>
    <w:hidden/>
    <w:uiPriority w:val="99"/>
    <w:semiHidden/>
    <w:rsid w:val="00CF1CFC"/>
    <w:pPr>
      <w:spacing w:after="0" w:line="240" w:lineRule="auto"/>
    </w:pPr>
    <w:rPr>
      <w:rFonts w:ascii="Arial" w:eastAsia="Times New Roman" w:hAnsi="Arial"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qFormat/>
    <w:pPr>
      <w:keepNext/>
      <w:ind w:left="2160" w:right="2160"/>
      <w:outlineLvl w:val="0"/>
    </w:pPr>
    <w:rPr>
      <w:rFonts w:cs="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Arial" w:eastAsia="Times New Roman" w:hAnsi="Arial" w:cs="Arial"/>
      <w:b/>
      <w:sz w:val="28"/>
      <w:szCs w:val="24"/>
    </w:rPr>
  </w:style>
  <w:style w:type="paragraph" w:styleId="Title">
    <w:name w:val="Title"/>
    <w:basedOn w:val="Normal"/>
    <w:link w:val="TitleChar"/>
    <w:qFormat/>
    <w:pPr>
      <w:jc w:val="center"/>
    </w:pPr>
    <w:rPr>
      <w:rFonts w:cs="Arial"/>
      <w:b/>
      <w:smallCaps/>
      <w:sz w:val="32"/>
    </w:rPr>
  </w:style>
  <w:style w:type="character" w:customStyle="1" w:styleId="TitleChar">
    <w:name w:val="Title Char"/>
    <w:basedOn w:val="DefaultParagraphFont"/>
    <w:link w:val="Title"/>
    <w:rPr>
      <w:rFonts w:ascii="Arial" w:eastAsia="Times New Roman" w:hAnsi="Arial" w:cs="Arial"/>
      <w:b/>
      <w:smallCaps/>
      <w:sz w:val="32"/>
      <w:szCs w:val="24"/>
    </w:rPr>
  </w:style>
  <w:style w:type="paragraph" w:styleId="BodyTextIndent2">
    <w:name w:val="Body Text Indent 2"/>
    <w:basedOn w:val="Normal"/>
    <w:link w:val="BodyTextIndent2Char"/>
    <w:pPr>
      <w:ind w:left="4920"/>
      <w:jc w:val="both"/>
    </w:pPr>
    <w:rPr>
      <w:rFonts w:cs="Arial"/>
      <w:sz w:val="21"/>
    </w:rPr>
  </w:style>
  <w:style w:type="character" w:customStyle="1" w:styleId="BodyTextIndent2Char">
    <w:name w:val="Body Text Indent 2 Char"/>
    <w:basedOn w:val="DefaultParagraphFont"/>
    <w:link w:val="BodyTextIndent2"/>
    <w:rPr>
      <w:rFonts w:ascii="Arial" w:eastAsia="Times New Roman" w:hAnsi="Arial" w:cs="Arial"/>
      <w:sz w:val="21"/>
      <w:szCs w:val="24"/>
    </w:rPr>
  </w:style>
  <w:style w:type="paragraph" w:styleId="BodyText">
    <w:name w:val="Body Text"/>
    <w:basedOn w:val="Normal"/>
    <w:link w:val="BodyTextChar"/>
    <w:pPr>
      <w:jc w:val="both"/>
    </w:pPr>
    <w:rPr>
      <w:rFonts w:cs="Arial"/>
    </w:rPr>
  </w:style>
  <w:style w:type="character" w:customStyle="1" w:styleId="BodyTextChar">
    <w:name w:val="Body Text Char"/>
    <w:basedOn w:val="DefaultParagraphFont"/>
    <w:link w:val="BodyText"/>
    <w:rPr>
      <w:rFonts w:ascii="Arial" w:eastAsia="Times New Roman" w:hAnsi="Arial" w:cs="Arial"/>
      <w:sz w:val="24"/>
      <w:szCs w:val="24"/>
    </w:rPr>
  </w:style>
  <w:style w:type="paragraph" w:styleId="BodyTextIndent">
    <w:name w:val="Body Text Indent"/>
    <w:basedOn w:val="Normal"/>
    <w:link w:val="BodyTextIndentChar"/>
    <w:pPr>
      <w:ind w:firstLine="720"/>
      <w:jc w:val="both"/>
    </w:pPr>
    <w:rPr>
      <w:rFonts w:cs="Arial"/>
    </w:rPr>
  </w:style>
  <w:style w:type="character" w:customStyle="1" w:styleId="BodyTextIndentChar">
    <w:name w:val="Body Text Indent Char"/>
    <w:basedOn w:val="DefaultParagraphFont"/>
    <w:link w:val="BodyTextIndent"/>
    <w:rPr>
      <w:rFonts w:ascii="Arial" w:eastAsia="Times New Roman" w:hAnsi="Arial" w:cs="Arial"/>
      <w:sz w:val="24"/>
      <w:szCs w:val="24"/>
    </w:rPr>
  </w:style>
  <w:style w:type="paragraph" w:styleId="BodyText2">
    <w:name w:val="Body Text 2"/>
    <w:basedOn w:val="Normal"/>
    <w:link w:val="BodyText2Char"/>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line="480" w:lineRule="auto"/>
      <w:ind w:firstLine="720"/>
      <w:jc w:val="both"/>
      <w:textAlignment w:val="baseline"/>
    </w:pPr>
    <w:rPr>
      <w:szCs w:val="20"/>
    </w:rPr>
  </w:style>
  <w:style w:type="character" w:customStyle="1" w:styleId="BodyText2Char">
    <w:name w:val="Body Text 2 Char"/>
    <w:basedOn w:val="DefaultParagraphFont"/>
    <w:link w:val="BodyText2"/>
    <w:rPr>
      <w:rFonts w:ascii="Arial" w:eastAsia="Times New Roman" w:hAnsi="Arial" w:cs="Times New Roman"/>
      <w:sz w:val="24"/>
      <w:szCs w:val="20"/>
    </w:rPr>
  </w:style>
  <w:style w:type="paragraph" w:styleId="BodyText3">
    <w:name w:val="Body Text 3"/>
    <w:basedOn w:val="Normal"/>
    <w:link w:val="BodyText3Char"/>
    <w:rPr>
      <w:b/>
      <w:szCs w:val="20"/>
    </w:rPr>
  </w:style>
  <w:style w:type="character" w:customStyle="1" w:styleId="BodyText3Char">
    <w:name w:val="Body Text 3 Char"/>
    <w:basedOn w:val="DefaultParagraphFont"/>
    <w:link w:val="BodyText3"/>
    <w:rPr>
      <w:rFonts w:ascii="Times New Roman" w:eastAsia="Times New Roman" w:hAnsi="Times New Roman" w:cs="Times New Roman"/>
      <w:b/>
      <w:sz w:val="24"/>
      <w:szCs w:val="20"/>
    </w:r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rPr>
  </w:style>
  <w:style w:type="paragraph" w:styleId="Header">
    <w:name w:val="header"/>
    <w:basedOn w:val="Normal"/>
    <w:link w:val="HeaderChar"/>
    <w:pPr>
      <w:tabs>
        <w:tab w:val="center" w:pos="4320"/>
        <w:tab w:val="right" w:pos="8640"/>
      </w:tabs>
    </w:pPr>
  </w:style>
  <w:style w:type="character" w:customStyle="1" w:styleId="HeaderChar">
    <w:name w:val="Header Char"/>
    <w:basedOn w:val="DefaultParagraphFont"/>
    <w:link w:val="Header"/>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iPriority w:val="99"/>
    <w:unhideWhenUsed/>
    <w:pPr>
      <w:spacing w:after="200" w:line="276" w:lineRule="auto"/>
    </w:pPr>
    <w:rPr>
      <w:rFonts w:ascii="Calibri" w:eastAsia="Calibri" w:hAnsi="Calibri"/>
      <w:sz w:val="20"/>
      <w:szCs w:val="20"/>
    </w:rPr>
  </w:style>
  <w:style w:type="character" w:customStyle="1" w:styleId="FootnoteTextChar">
    <w:name w:val="Footnote Text Char"/>
    <w:basedOn w:val="DefaultParagraphFont"/>
    <w:link w:val="FootnoteText"/>
    <w:uiPriority w:val="99"/>
    <w:rPr>
      <w:rFonts w:ascii="Calibri" w:eastAsia="Calibri" w:hAnsi="Calibri" w:cs="Times New Roman"/>
      <w:sz w:val="20"/>
      <w:szCs w:val="20"/>
    </w:rPr>
  </w:style>
  <w:style w:type="character" w:styleId="FootnoteReference">
    <w:name w:val="footnote reference"/>
    <w:basedOn w:val="DefaultParagraphFont"/>
    <w:uiPriority w:val="99"/>
    <w:semiHidden/>
    <w:rPr>
      <w:vertAlign w:val="superscript"/>
    </w:rPr>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PreformattedChar">
    <w:name w:val="HTML Preformatted Char"/>
    <w:basedOn w:val="DefaultParagraphFont"/>
    <w:link w:val="HTMLPreformatted"/>
    <w:uiPriority w:val="99"/>
    <w:rPr>
      <w:rFonts w:ascii="Courier New" w:eastAsia="Calibri" w:hAnsi="Courier New" w:cs="Courier New"/>
      <w:sz w:val="20"/>
      <w:szCs w:val="20"/>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Arial" w:eastAsia="Times New Roman" w:hAnsi="Arial" w:cs="Times New Roman"/>
      <w:b/>
      <w:bCs/>
      <w:sz w:val="20"/>
      <w:szCs w:val="20"/>
    </w:rPr>
  </w:style>
  <w:style w:type="paragraph" w:styleId="Revision">
    <w:name w:val="Revision"/>
    <w:hidden/>
    <w:uiPriority w:val="99"/>
    <w:semiHidden/>
    <w:rsid w:val="00CF1CFC"/>
    <w:pPr>
      <w:spacing w:after="0" w:line="240" w:lineRule="auto"/>
    </w:pPr>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767016">
      <w:bodyDiv w:val="1"/>
      <w:marLeft w:val="0"/>
      <w:marRight w:val="0"/>
      <w:marTop w:val="0"/>
      <w:marBottom w:val="0"/>
      <w:divBdr>
        <w:top w:val="none" w:sz="0" w:space="0" w:color="auto"/>
        <w:left w:val="none" w:sz="0" w:space="0" w:color="auto"/>
        <w:bottom w:val="none" w:sz="0" w:space="0" w:color="auto"/>
        <w:right w:val="none" w:sz="0" w:space="0" w:color="auto"/>
      </w:divBdr>
      <w:divsChild>
        <w:div w:id="1103765506">
          <w:marLeft w:val="0"/>
          <w:marRight w:val="-5040"/>
          <w:marTop w:val="0"/>
          <w:marBottom w:val="0"/>
          <w:divBdr>
            <w:top w:val="none" w:sz="0" w:space="0" w:color="auto"/>
            <w:left w:val="none" w:sz="0" w:space="0" w:color="auto"/>
            <w:bottom w:val="none" w:sz="0" w:space="0" w:color="auto"/>
            <w:right w:val="none" w:sz="0" w:space="0" w:color="auto"/>
          </w:divBdr>
          <w:divsChild>
            <w:div w:id="1664233077">
              <w:marLeft w:val="0"/>
              <w:marRight w:val="5040"/>
              <w:marTop w:val="0"/>
              <w:marBottom w:val="0"/>
              <w:divBdr>
                <w:top w:val="none" w:sz="0" w:space="0" w:color="auto"/>
                <w:left w:val="none" w:sz="0" w:space="0" w:color="auto"/>
                <w:bottom w:val="none" w:sz="0" w:space="0" w:color="auto"/>
                <w:right w:val="none" w:sz="0" w:space="0" w:color="auto"/>
              </w:divBdr>
              <w:divsChild>
                <w:div w:id="163487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D4F1B9-6358-46E4-8F76-9FF14D64F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1828</Words>
  <Characters>9685</Characters>
  <Application>Microsoft Office Word</Application>
  <DocSecurity>0</DocSecurity>
  <PresentationFormat/>
  <Lines>274</Lines>
  <Paragraphs>103</Paragraphs>
  <ScaleCrop>false</ScaleCrop>
  <HeadingPairs>
    <vt:vector size="2" baseType="variant">
      <vt:variant>
        <vt:lpstr>Title</vt:lpstr>
      </vt:variant>
      <vt:variant>
        <vt:i4>1</vt:i4>
      </vt:variant>
    </vt:vector>
  </HeadingPairs>
  <TitlesOfParts>
    <vt:vector size="1" baseType="lpstr">
      <vt:lpstr>_</vt:lpstr>
    </vt:vector>
  </TitlesOfParts>
  <LinksUpToDate>false</LinksUpToDate>
  <CharactersWithSpaces>11487</CharactersWithSpaces>
  <SharedDoc>false</SharedDoc>
  <HyperlinkBase>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
  <cp:lastModifiedBy/>
  <cp:revision>1</cp:revision>
  <cp:lastPrinted>2012-02-24T19:49:00Z</cp:lastPrinted>
  <dcterms:created xsi:type="dcterms:W3CDTF">2012-03-23T16:26:00Z</dcterms:created>
  <dcterms:modified xsi:type="dcterms:W3CDTF">2012-03-23T16:26:00Z</dcterms:modified>
</cp:coreProperties>
</file>