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426F8D" w:rsidRPr="00D7469C" w:rsidP="00426F8D" w14:paraId="7702D0E1" w14:textId="347CA519">
      <w:pPr>
        <w:pStyle w:val="List"/>
        <w:ind w:left="0" w:firstLine="0"/>
        <w:jc w:val="center"/>
        <w:rPr>
          <w:b/>
          <w:szCs w:val="24"/>
        </w:rPr>
      </w:pPr>
      <w:bookmarkStart w:id="0" w:name="_GoBack"/>
      <w:bookmarkEnd w:id="0"/>
      <w:r w:rsidRPr="00D7469C">
        <w:rPr>
          <w:b/>
          <w:szCs w:val="24"/>
        </w:rPr>
        <w:t>BEFORE</w:t>
      </w:r>
    </w:p>
    <w:p w:rsidR="00426F8D" w:rsidRPr="00D7469C" w:rsidP="00426F8D" w14:paraId="42142D6B" w14:textId="77777777">
      <w:pPr>
        <w:pStyle w:val="List"/>
        <w:ind w:left="0" w:firstLine="0"/>
        <w:jc w:val="center"/>
        <w:rPr>
          <w:b/>
          <w:szCs w:val="24"/>
        </w:rPr>
      </w:pPr>
      <w:r w:rsidRPr="00D7469C">
        <w:rPr>
          <w:b/>
          <w:szCs w:val="24"/>
        </w:rPr>
        <w:t>THE PUBLIC UTILITIES COMMISSION OF OHIO</w:t>
      </w:r>
    </w:p>
    <w:p w:rsidR="00426F8D" w:rsidRPr="00D7469C" w:rsidP="00426F8D" w14:paraId="1B1F2815" w14:textId="77777777">
      <w:pPr>
        <w:pStyle w:val="HTMLPreformatted"/>
        <w:rPr>
          <w:rFonts w:ascii="Times New Roman" w:hAnsi="Times New Roman" w:cs="Times New Roman"/>
          <w:sz w:val="24"/>
          <w:szCs w:val="24"/>
        </w:rPr>
      </w:pPr>
    </w:p>
    <w:tbl>
      <w:tblPr>
        <w:tblW w:w="9360" w:type="dxa"/>
        <w:tblLook w:val="01E0"/>
      </w:tblPr>
      <w:tblGrid>
        <w:gridCol w:w="4590"/>
        <w:gridCol w:w="360"/>
        <w:gridCol w:w="4410"/>
      </w:tblGrid>
      <w:tr w14:paraId="24A0522A" w14:textId="77777777" w:rsidTr="00DE51F6">
        <w:tblPrEx>
          <w:tblW w:w="9360" w:type="dxa"/>
          <w:tblLook w:val="01E0"/>
        </w:tblPrEx>
        <w:trPr>
          <w:trHeight w:val="807"/>
        </w:trPr>
        <w:tc>
          <w:tcPr>
            <w:tcW w:w="4590" w:type="dxa"/>
            <w:shd w:val="clear" w:color="auto" w:fill="auto"/>
          </w:tcPr>
          <w:p w:rsidR="00426F8D" w:rsidRPr="00D7469C" w:rsidP="00DE51F6" w14:paraId="155168AD" w14:textId="77777777">
            <w:pPr>
              <w:pStyle w:val="HTMLPreformatted"/>
              <w:rPr>
                <w:rFonts w:ascii="Times New Roman" w:hAnsi="Times New Roman" w:cs="Times New Roman"/>
                <w:sz w:val="24"/>
                <w:szCs w:val="24"/>
              </w:rPr>
            </w:pPr>
            <w:r w:rsidRPr="00D7469C">
              <w:rPr>
                <w:rFonts w:ascii="Times New Roman" w:hAnsi="Times New Roman" w:cs="Times New Roman"/>
                <w:sz w:val="24"/>
                <w:szCs w:val="24"/>
              </w:rPr>
              <w:t>In the Matter of the Review of the Power Purchase Agreement Rider of Ohio Power Company for 2018.</w:t>
            </w:r>
          </w:p>
          <w:p w:rsidR="00426F8D" w:rsidRPr="00D7469C" w:rsidP="00DE51F6" w14:paraId="6F296D6A" w14:textId="77777777">
            <w:pPr>
              <w:pStyle w:val="HTMLPreformatted"/>
              <w:rPr>
                <w:rFonts w:ascii="Times New Roman" w:hAnsi="Times New Roman" w:cs="Times New Roman"/>
                <w:sz w:val="24"/>
                <w:szCs w:val="24"/>
              </w:rPr>
            </w:pPr>
          </w:p>
          <w:p w:rsidR="00426F8D" w:rsidRPr="00D7469C" w:rsidP="00DE51F6" w14:paraId="23578108" w14:textId="77777777">
            <w:pPr>
              <w:pStyle w:val="HTMLPreformatted"/>
              <w:rPr>
                <w:rFonts w:ascii="Times New Roman" w:hAnsi="Times New Roman" w:cs="Times New Roman"/>
                <w:sz w:val="24"/>
                <w:szCs w:val="24"/>
              </w:rPr>
            </w:pPr>
            <w:r w:rsidRPr="00D7469C">
              <w:rPr>
                <w:rFonts w:ascii="Times New Roman" w:hAnsi="Times New Roman" w:cs="Times New Roman"/>
                <w:sz w:val="24"/>
                <w:szCs w:val="24"/>
              </w:rPr>
              <w:t>In the Matter of the Review of the Power Purchase Agreement Rider of Ohio Power Company for 2019.</w:t>
            </w:r>
          </w:p>
        </w:tc>
        <w:tc>
          <w:tcPr>
            <w:tcW w:w="360" w:type="dxa"/>
            <w:shd w:val="clear" w:color="auto" w:fill="auto"/>
          </w:tcPr>
          <w:p w:rsidR="00426F8D" w:rsidRPr="00D7469C" w:rsidP="00DE51F6" w14:paraId="6EFDDDC1" w14:textId="77777777">
            <w:pPr>
              <w:pStyle w:val="HTMLPreformatted"/>
              <w:rPr>
                <w:rFonts w:ascii="Times New Roman" w:hAnsi="Times New Roman" w:cs="Times New Roman"/>
                <w:sz w:val="24"/>
                <w:szCs w:val="24"/>
              </w:rPr>
            </w:pPr>
            <w:r w:rsidRPr="00D7469C">
              <w:rPr>
                <w:rFonts w:ascii="Times New Roman" w:hAnsi="Times New Roman" w:cs="Times New Roman"/>
                <w:sz w:val="24"/>
                <w:szCs w:val="24"/>
              </w:rPr>
              <w:t>)</w:t>
            </w:r>
          </w:p>
          <w:p w:rsidR="00426F8D" w:rsidRPr="00D7469C" w:rsidP="00DE51F6" w14:paraId="1C312AC1" w14:textId="77777777">
            <w:pPr>
              <w:pStyle w:val="HTMLPreformatted"/>
              <w:rPr>
                <w:rFonts w:ascii="Times New Roman" w:hAnsi="Times New Roman" w:cs="Times New Roman"/>
                <w:sz w:val="24"/>
                <w:szCs w:val="24"/>
              </w:rPr>
            </w:pPr>
            <w:r w:rsidRPr="00D7469C">
              <w:rPr>
                <w:rFonts w:ascii="Times New Roman" w:hAnsi="Times New Roman" w:cs="Times New Roman"/>
                <w:sz w:val="24"/>
                <w:szCs w:val="24"/>
              </w:rPr>
              <w:t>)</w:t>
            </w:r>
          </w:p>
          <w:p w:rsidR="00426F8D" w:rsidRPr="00D7469C" w:rsidP="00DE51F6" w14:paraId="2541E87C" w14:textId="77777777">
            <w:pPr>
              <w:pStyle w:val="HTMLPreformatted"/>
              <w:rPr>
                <w:rFonts w:ascii="Times New Roman" w:hAnsi="Times New Roman" w:cs="Times New Roman"/>
                <w:sz w:val="24"/>
                <w:szCs w:val="24"/>
              </w:rPr>
            </w:pPr>
            <w:r w:rsidRPr="00D7469C">
              <w:rPr>
                <w:rFonts w:ascii="Times New Roman" w:hAnsi="Times New Roman" w:cs="Times New Roman"/>
                <w:sz w:val="24"/>
                <w:szCs w:val="24"/>
              </w:rPr>
              <w:t>)</w:t>
            </w:r>
          </w:p>
          <w:p w:rsidR="00426F8D" w:rsidRPr="00D7469C" w:rsidP="00DE51F6" w14:paraId="6C80A3A0" w14:textId="77777777">
            <w:pPr>
              <w:pStyle w:val="HTMLPreformatted"/>
              <w:rPr>
                <w:rFonts w:ascii="Times New Roman" w:hAnsi="Times New Roman" w:cs="Times New Roman"/>
                <w:sz w:val="24"/>
                <w:szCs w:val="24"/>
              </w:rPr>
            </w:pPr>
          </w:p>
          <w:p w:rsidR="00426F8D" w:rsidRPr="00D7469C" w:rsidP="00DE51F6" w14:paraId="1E123560" w14:textId="77777777">
            <w:pPr>
              <w:pStyle w:val="HTMLPreformatted"/>
              <w:rPr>
                <w:rFonts w:ascii="Times New Roman" w:hAnsi="Times New Roman" w:cs="Times New Roman"/>
                <w:sz w:val="24"/>
                <w:szCs w:val="24"/>
              </w:rPr>
            </w:pPr>
            <w:r w:rsidRPr="00D7469C">
              <w:rPr>
                <w:rFonts w:ascii="Times New Roman" w:hAnsi="Times New Roman" w:cs="Times New Roman"/>
                <w:sz w:val="24"/>
                <w:szCs w:val="24"/>
              </w:rPr>
              <w:t>)</w:t>
            </w:r>
          </w:p>
          <w:p w:rsidR="00426F8D" w:rsidRPr="00D7469C" w:rsidP="00DE51F6" w14:paraId="3B966E48" w14:textId="77777777">
            <w:pPr>
              <w:pStyle w:val="HTMLPreformatted"/>
              <w:rPr>
                <w:rFonts w:ascii="Times New Roman" w:hAnsi="Times New Roman" w:cs="Times New Roman"/>
                <w:sz w:val="24"/>
                <w:szCs w:val="24"/>
              </w:rPr>
            </w:pPr>
            <w:r w:rsidRPr="00D7469C">
              <w:rPr>
                <w:rFonts w:ascii="Times New Roman" w:hAnsi="Times New Roman" w:cs="Times New Roman"/>
                <w:sz w:val="24"/>
                <w:szCs w:val="24"/>
              </w:rPr>
              <w:t>)</w:t>
            </w:r>
          </w:p>
          <w:p w:rsidR="00426F8D" w:rsidRPr="00D7469C" w:rsidP="00DE51F6" w14:paraId="151181CC" w14:textId="77777777">
            <w:pPr>
              <w:pStyle w:val="HTMLPreformatted"/>
              <w:rPr>
                <w:rFonts w:ascii="Times New Roman" w:hAnsi="Times New Roman" w:cs="Times New Roman"/>
                <w:sz w:val="24"/>
                <w:szCs w:val="24"/>
              </w:rPr>
            </w:pPr>
            <w:r w:rsidRPr="00D7469C">
              <w:rPr>
                <w:rFonts w:ascii="Times New Roman" w:hAnsi="Times New Roman" w:cs="Times New Roman"/>
                <w:sz w:val="24"/>
                <w:szCs w:val="24"/>
              </w:rPr>
              <w:t>)</w:t>
            </w:r>
          </w:p>
        </w:tc>
        <w:tc>
          <w:tcPr>
            <w:tcW w:w="4410" w:type="dxa"/>
            <w:shd w:val="clear" w:color="auto" w:fill="auto"/>
          </w:tcPr>
          <w:p w:rsidR="00426F8D" w:rsidRPr="00D7469C" w:rsidP="00DE51F6" w14:paraId="5BAD2714" w14:textId="77777777">
            <w:pPr>
              <w:pStyle w:val="HTMLPreformatted"/>
              <w:rPr>
                <w:rFonts w:ascii="Times New Roman" w:hAnsi="Times New Roman" w:cs="Times New Roman"/>
                <w:sz w:val="24"/>
                <w:szCs w:val="24"/>
              </w:rPr>
            </w:pPr>
          </w:p>
          <w:p w:rsidR="00426F8D" w:rsidRPr="00D7469C" w:rsidP="00DE51F6" w14:paraId="1CC11E68" w14:textId="77777777">
            <w:pPr>
              <w:pStyle w:val="HTMLPreformatted"/>
              <w:rPr>
                <w:rFonts w:ascii="Times New Roman" w:hAnsi="Times New Roman" w:cs="Times New Roman"/>
                <w:sz w:val="24"/>
                <w:szCs w:val="24"/>
              </w:rPr>
            </w:pPr>
            <w:r w:rsidRPr="00D7469C">
              <w:rPr>
                <w:rFonts w:ascii="Times New Roman" w:hAnsi="Times New Roman" w:cs="Times New Roman"/>
                <w:sz w:val="24"/>
                <w:szCs w:val="24"/>
              </w:rPr>
              <w:t>Case No. 18-1004-EL-RDR</w:t>
            </w:r>
          </w:p>
          <w:p w:rsidR="00426F8D" w:rsidRPr="00D7469C" w:rsidP="00DE51F6" w14:paraId="37B84416" w14:textId="77777777">
            <w:pPr>
              <w:pStyle w:val="HTMLPreformatted"/>
              <w:rPr>
                <w:rFonts w:ascii="Times New Roman" w:hAnsi="Times New Roman" w:cs="Times New Roman"/>
                <w:sz w:val="24"/>
                <w:szCs w:val="24"/>
              </w:rPr>
            </w:pPr>
          </w:p>
          <w:p w:rsidR="00426F8D" w:rsidRPr="00D7469C" w:rsidP="00DE51F6" w14:paraId="3318E4B2" w14:textId="77777777">
            <w:pPr>
              <w:pStyle w:val="HTMLPreformatted"/>
              <w:rPr>
                <w:rFonts w:ascii="Times New Roman" w:hAnsi="Times New Roman" w:cs="Times New Roman"/>
                <w:sz w:val="24"/>
                <w:szCs w:val="24"/>
              </w:rPr>
            </w:pPr>
          </w:p>
          <w:p w:rsidR="00426F8D" w:rsidRPr="00D7469C" w:rsidP="00DE51F6" w14:paraId="5D0A5F4C" w14:textId="77777777">
            <w:pPr>
              <w:pStyle w:val="HTMLPreformatted"/>
              <w:rPr>
                <w:rFonts w:ascii="Times New Roman" w:hAnsi="Times New Roman" w:cs="Times New Roman"/>
                <w:sz w:val="24"/>
                <w:szCs w:val="24"/>
              </w:rPr>
            </w:pPr>
          </w:p>
          <w:p w:rsidR="00426F8D" w:rsidRPr="00D7469C" w:rsidP="00DE51F6" w14:paraId="71F6D041" w14:textId="77777777">
            <w:pPr>
              <w:pStyle w:val="HTMLPreformatted"/>
              <w:rPr>
                <w:rFonts w:ascii="Times New Roman" w:hAnsi="Times New Roman" w:cs="Times New Roman"/>
                <w:sz w:val="24"/>
                <w:szCs w:val="24"/>
              </w:rPr>
            </w:pPr>
            <w:r w:rsidRPr="00D7469C">
              <w:rPr>
                <w:rFonts w:ascii="Times New Roman" w:hAnsi="Times New Roman" w:cs="Times New Roman"/>
                <w:sz w:val="24"/>
                <w:szCs w:val="24"/>
              </w:rPr>
              <w:t>Case No. 18-1759-EL-RDR</w:t>
            </w:r>
          </w:p>
        </w:tc>
      </w:tr>
    </w:tbl>
    <w:p w:rsidR="00426F8D" w:rsidRPr="00D7469C" w:rsidP="00426F8D" w14:paraId="357CD52C" w14:textId="77777777">
      <w:pPr>
        <w:pBdr>
          <w:bottom w:val="single" w:sz="12" w:space="1" w:color="auto"/>
        </w:pBdr>
        <w:rPr>
          <w:szCs w:val="24"/>
        </w:rPr>
      </w:pPr>
    </w:p>
    <w:p w:rsidR="00426F8D" w:rsidRPr="00D7469C" w:rsidP="00426F8D" w14:paraId="110AD081" w14:textId="77777777">
      <w:pPr>
        <w:rPr>
          <w:b/>
          <w:bCs w:val="0"/>
          <w:szCs w:val="24"/>
        </w:rPr>
      </w:pPr>
    </w:p>
    <w:p w:rsidR="00426F8D" w:rsidRPr="00D7469C" w:rsidP="00426F8D" w14:paraId="66ED9E55" w14:textId="77777777">
      <w:pPr>
        <w:jc w:val="center"/>
        <w:rPr>
          <w:b/>
          <w:bCs w:val="0"/>
          <w:szCs w:val="24"/>
        </w:rPr>
      </w:pPr>
      <w:r w:rsidRPr="00D7469C">
        <w:rPr>
          <w:b/>
          <w:bCs w:val="0"/>
          <w:szCs w:val="24"/>
        </w:rPr>
        <w:t xml:space="preserve">MEMORANDUM CONTRA AEP’S </w:t>
      </w:r>
    </w:p>
    <w:p w:rsidR="00426F8D" w:rsidRPr="00D7469C" w:rsidP="00426F8D" w14:paraId="44E008EE" w14:textId="77777777">
      <w:pPr>
        <w:jc w:val="center"/>
        <w:rPr>
          <w:b/>
          <w:bCs w:val="0"/>
          <w:szCs w:val="24"/>
        </w:rPr>
      </w:pPr>
      <w:r w:rsidRPr="00D7469C">
        <w:rPr>
          <w:b/>
          <w:bCs w:val="0"/>
          <w:szCs w:val="24"/>
        </w:rPr>
        <w:t>MOTION FOR A PROTECTIVE ORDER TO PREVENT OCC FROM TAKING A DEPOSITION ON OVEC COAL POWER PLANT SUBSIDIES</w:t>
      </w:r>
    </w:p>
    <w:p w:rsidR="00426F8D" w:rsidRPr="00D7469C" w:rsidP="00426F8D" w14:paraId="61C37B6F" w14:textId="77777777">
      <w:pPr>
        <w:pBdr>
          <w:bottom w:val="single" w:sz="12" w:space="1" w:color="auto"/>
        </w:pBdr>
        <w:jc w:val="center"/>
        <w:rPr>
          <w:b/>
          <w:bCs w:val="0"/>
          <w:szCs w:val="24"/>
        </w:rPr>
      </w:pPr>
      <w:r w:rsidRPr="00D7469C">
        <w:rPr>
          <w:b/>
          <w:bCs w:val="0"/>
          <w:szCs w:val="24"/>
        </w:rPr>
        <w:t>BY</w:t>
      </w:r>
    </w:p>
    <w:p w:rsidR="00426F8D" w:rsidRPr="00D7469C" w:rsidP="00426F8D" w14:paraId="23633D86" w14:textId="77777777">
      <w:pPr>
        <w:pBdr>
          <w:bottom w:val="single" w:sz="12" w:space="1" w:color="auto"/>
        </w:pBdr>
        <w:jc w:val="center"/>
        <w:rPr>
          <w:b/>
          <w:bCs w:val="0"/>
          <w:szCs w:val="24"/>
        </w:rPr>
      </w:pPr>
      <w:r w:rsidRPr="00D7469C">
        <w:rPr>
          <w:b/>
          <w:bCs w:val="0"/>
          <w:szCs w:val="24"/>
        </w:rPr>
        <w:t>THE OFFICE OF THE OHIO CONSUMERS’ COUNSEL</w:t>
      </w:r>
    </w:p>
    <w:p w:rsidR="00426F8D" w:rsidRPr="00D7469C" w:rsidP="00426F8D" w14:paraId="313BFC3F" w14:textId="77777777">
      <w:pPr>
        <w:pBdr>
          <w:bottom w:val="single" w:sz="12" w:space="1" w:color="auto"/>
        </w:pBdr>
        <w:jc w:val="center"/>
        <w:rPr>
          <w:b/>
          <w:bCs w:val="0"/>
          <w:szCs w:val="24"/>
        </w:rPr>
      </w:pPr>
    </w:p>
    <w:p w:rsidR="00426F8D" w:rsidRPr="00D7469C" w14:paraId="633157D1" w14:textId="6548CA10">
      <w:pPr>
        <w:rPr>
          <w:rFonts w:eastAsia="Times New Roman"/>
          <w:b/>
          <w:bCs w:val="0"/>
          <w:color w:val="auto"/>
          <w:szCs w:val="24"/>
        </w:rPr>
      </w:pPr>
    </w:p>
    <w:p w:rsidR="00426F8D" w:rsidRPr="00D7469C" w:rsidP="00703B3D" w14:paraId="57CA4C47" w14:textId="77777777">
      <w:pPr>
        <w:pStyle w:val="List"/>
        <w:ind w:left="0" w:firstLine="0"/>
        <w:jc w:val="center"/>
        <w:rPr>
          <w:b/>
          <w:szCs w:val="24"/>
        </w:rPr>
      </w:pPr>
    </w:p>
    <w:p w:rsidR="00426F8D" w:rsidRPr="00D7469C" w:rsidP="00703B3D" w14:paraId="6DA2B133" w14:textId="77777777">
      <w:pPr>
        <w:pStyle w:val="List"/>
        <w:ind w:left="0" w:firstLine="0"/>
        <w:jc w:val="center"/>
        <w:rPr>
          <w:b/>
          <w:szCs w:val="24"/>
        </w:rPr>
      </w:pPr>
    </w:p>
    <w:p w:rsidR="00426F8D" w:rsidRPr="00D7469C" w:rsidP="00703B3D" w14:paraId="3F53E82C" w14:textId="77777777">
      <w:pPr>
        <w:pStyle w:val="List"/>
        <w:ind w:left="0" w:firstLine="0"/>
        <w:jc w:val="center"/>
        <w:rPr>
          <w:b/>
          <w:szCs w:val="24"/>
        </w:rPr>
      </w:pPr>
    </w:p>
    <w:p w:rsidR="00426F8D" w:rsidRPr="00D7469C" w:rsidP="00426F8D" w14:paraId="668EF539" w14:textId="77777777">
      <w:pPr>
        <w:pStyle w:val="Footer"/>
        <w:tabs>
          <w:tab w:val="left" w:pos="4320"/>
        </w:tabs>
        <w:ind w:left="4320"/>
        <w:rPr>
          <w:szCs w:val="24"/>
        </w:rPr>
      </w:pPr>
    </w:p>
    <w:p w:rsidR="00426F8D" w:rsidRPr="00D7469C" w:rsidP="00426F8D" w14:paraId="10FEA7C5" w14:textId="218781E5">
      <w:pPr>
        <w:pStyle w:val="Footer"/>
        <w:tabs>
          <w:tab w:val="left" w:pos="4320"/>
        </w:tabs>
        <w:ind w:left="4320"/>
        <w:rPr>
          <w:szCs w:val="24"/>
        </w:rPr>
      </w:pPr>
      <w:r w:rsidRPr="00D7469C">
        <w:rPr>
          <w:szCs w:val="24"/>
        </w:rPr>
        <w:t>Bruce Weston (0016973)</w:t>
      </w:r>
    </w:p>
    <w:p w:rsidR="00426F8D" w:rsidRPr="00D7469C" w:rsidP="00426F8D" w14:paraId="1476E47F" w14:textId="77777777">
      <w:pPr>
        <w:pStyle w:val="ListParagraph"/>
        <w:tabs>
          <w:tab w:val="left" w:pos="4320"/>
        </w:tabs>
        <w:ind w:left="4320"/>
        <w:rPr>
          <w:szCs w:val="24"/>
        </w:rPr>
      </w:pPr>
      <w:r w:rsidRPr="00D7469C">
        <w:rPr>
          <w:szCs w:val="24"/>
        </w:rPr>
        <w:t>Ohio Consumers’ Counsel</w:t>
      </w:r>
    </w:p>
    <w:p w:rsidR="00426F8D" w:rsidRPr="00D7469C" w:rsidP="00426F8D" w14:paraId="30288AE5" w14:textId="77777777">
      <w:pPr>
        <w:pStyle w:val="ListParagraph"/>
        <w:tabs>
          <w:tab w:val="left" w:pos="4320"/>
        </w:tabs>
        <w:ind w:left="4320"/>
        <w:rPr>
          <w:szCs w:val="24"/>
        </w:rPr>
      </w:pPr>
      <w:r w:rsidRPr="00D7469C">
        <w:rPr>
          <w:szCs w:val="24"/>
        </w:rPr>
        <w:tab/>
      </w:r>
    </w:p>
    <w:p w:rsidR="00426F8D" w:rsidRPr="00D7469C" w:rsidP="00426F8D" w14:paraId="2B832908" w14:textId="77777777">
      <w:pPr>
        <w:pStyle w:val="ListParagraph"/>
        <w:tabs>
          <w:tab w:val="left" w:pos="4320"/>
        </w:tabs>
        <w:ind w:left="4320"/>
        <w:rPr>
          <w:szCs w:val="24"/>
        </w:rPr>
      </w:pPr>
      <w:r w:rsidRPr="00D7469C">
        <w:rPr>
          <w:szCs w:val="24"/>
        </w:rPr>
        <w:t>Christopher Healey (0086027)</w:t>
      </w:r>
    </w:p>
    <w:p w:rsidR="00426F8D" w:rsidRPr="00D7469C" w:rsidP="00426F8D" w14:paraId="61C9F4E4" w14:textId="77777777">
      <w:pPr>
        <w:pStyle w:val="ListParagraph"/>
        <w:tabs>
          <w:tab w:val="left" w:pos="4320"/>
        </w:tabs>
        <w:ind w:left="4320"/>
        <w:rPr>
          <w:szCs w:val="24"/>
        </w:rPr>
      </w:pPr>
      <w:r w:rsidRPr="00D7469C">
        <w:rPr>
          <w:szCs w:val="24"/>
        </w:rPr>
        <w:t>Counsel of Record</w:t>
      </w:r>
    </w:p>
    <w:p w:rsidR="00426F8D" w:rsidRPr="00D7469C" w:rsidP="00426F8D" w14:paraId="1BC4B8A1" w14:textId="77777777">
      <w:pPr>
        <w:pStyle w:val="ListParagraph"/>
        <w:tabs>
          <w:tab w:val="left" w:pos="4320"/>
        </w:tabs>
        <w:ind w:left="4320"/>
        <w:rPr>
          <w:szCs w:val="24"/>
        </w:rPr>
      </w:pPr>
      <w:r w:rsidRPr="00D7469C">
        <w:rPr>
          <w:szCs w:val="24"/>
        </w:rPr>
        <w:t>William Michael (0070921)</w:t>
      </w:r>
    </w:p>
    <w:p w:rsidR="00426F8D" w:rsidRPr="00D7469C" w:rsidP="00426F8D" w14:paraId="64EBBE3F" w14:textId="77777777">
      <w:pPr>
        <w:pStyle w:val="ListParagraph"/>
        <w:tabs>
          <w:tab w:val="left" w:pos="4320"/>
        </w:tabs>
        <w:ind w:left="4320"/>
        <w:rPr>
          <w:szCs w:val="24"/>
        </w:rPr>
      </w:pPr>
      <w:r w:rsidRPr="00D7469C">
        <w:rPr>
          <w:szCs w:val="24"/>
        </w:rPr>
        <w:t>John Finnigan (0018689)</w:t>
      </w:r>
      <w:r w:rsidRPr="00D7469C">
        <w:rPr>
          <w:szCs w:val="24"/>
        </w:rPr>
        <w:br/>
        <w:t>Assistant Consumers’ Counsel</w:t>
      </w:r>
    </w:p>
    <w:p w:rsidR="00426F8D" w:rsidRPr="00D7469C" w:rsidP="00426F8D" w14:paraId="42EE54D9" w14:textId="77777777">
      <w:pPr>
        <w:pStyle w:val="ListParagraph"/>
        <w:tabs>
          <w:tab w:val="left" w:pos="4320"/>
        </w:tabs>
        <w:ind w:left="4320"/>
        <w:rPr>
          <w:szCs w:val="24"/>
        </w:rPr>
      </w:pPr>
    </w:p>
    <w:p w:rsidR="00426F8D" w:rsidRPr="00D7469C" w:rsidP="00426F8D" w14:paraId="4C39DA21" w14:textId="77777777">
      <w:pPr>
        <w:pStyle w:val="ListParagraph"/>
        <w:tabs>
          <w:tab w:val="left" w:pos="4320"/>
        </w:tabs>
        <w:ind w:left="4320"/>
        <w:rPr>
          <w:b/>
          <w:bCs w:val="0"/>
          <w:szCs w:val="24"/>
        </w:rPr>
      </w:pPr>
      <w:r w:rsidRPr="00D7469C">
        <w:rPr>
          <w:b/>
          <w:szCs w:val="24"/>
        </w:rPr>
        <w:t>Office of the Ohio Consumers’ Counsel</w:t>
      </w:r>
    </w:p>
    <w:p w:rsidR="00426F8D" w:rsidRPr="00D7469C" w:rsidP="00426F8D" w14:paraId="627200E6" w14:textId="77777777">
      <w:pPr>
        <w:ind w:left="4320"/>
        <w:rPr>
          <w:szCs w:val="24"/>
        </w:rPr>
      </w:pPr>
      <w:r w:rsidRPr="00D7469C">
        <w:rPr>
          <w:szCs w:val="24"/>
        </w:rPr>
        <w:t>65 East State Street, 7th Floor</w:t>
      </w:r>
    </w:p>
    <w:p w:rsidR="00426F8D" w:rsidRPr="00D7469C" w:rsidP="00426F8D" w14:paraId="4A995A63" w14:textId="77777777">
      <w:pPr>
        <w:ind w:left="4320"/>
        <w:rPr>
          <w:szCs w:val="24"/>
        </w:rPr>
      </w:pPr>
      <w:r w:rsidRPr="00D7469C">
        <w:rPr>
          <w:szCs w:val="24"/>
        </w:rPr>
        <w:t>Columbus, Ohio 43215</w:t>
      </w:r>
    </w:p>
    <w:p w:rsidR="00426F8D" w:rsidRPr="00D7469C" w:rsidP="00426F8D" w14:paraId="782D51D7" w14:textId="77777777">
      <w:pPr>
        <w:autoSpaceDE w:val="0"/>
        <w:autoSpaceDN w:val="0"/>
        <w:adjustRightInd w:val="0"/>
        <w:ind w:left="3600" w:firstLine="720"/>
        <w:rPr>
          <w:szCs w:val="24"/>
        </w:rPr>
      </w:pPr>
      <w:r w:rsidRPr="00D7469C">
        <w:rPr>
          <w:szCs w:val="24"/>
        </w:rPr>
        <w:t>Telephone [Healey]: (614) 466-9571</w:t>
      </w:r>
    </w:p>
    <w:p w:rsidR="00426F8D" w:rsidRPr="00D7469C" w:rsidP="00426F8D" w14:paraId="7DA9A90D" w14:textId="77777777">
      <w:pPr>
        <w:autoSpaceDE w:val="0"/>
        <w:autoSpaceDN w:val="0"/>
        <w:adjustRightInd w:val="0"/>
        <w:ind w:left="3600" w:firstLine="720"/>
        <w:rPr>
          <w:szCs w:val="24"/>
        </w:rPr>
      </w:pPr>
      <w:r w:rsidRPr="00D7469C">
        <w:rPr>
          <w:szCs w:val="24"/>
        </w:rPr>
        <w:t>Telephone [Michael]: (614) 466-1291</w:t>
      </w:r>
    </w:p>
    <w:p w:rsidR="00426F8D" w:rsidRPr="00D7469C" w:rsidP="00426F8D" w14:paraId="70C752FA" w14:textId="77777777">
      <w:pPr>
        <w:pStyle w:val="ListParagraph"/>
        <w:autoSpaceDE w:val="0"/>
        <w:autoSpaceDN w:val="0"/>
        <w:adjustRightInd w:val="0"/>
        <w:ind w:left="3600" w:firstLine="720"/>
        <w:rPr>
          <w:szCs w:val="24"/>
        </w:rPr>
      </w:pPr>
      <w:r w:rsidRPr="00D7469C">
        <w:rPr>
          <w:szCs w:val="24"/>
        </w:rPr>
        <w:t>Telephone [Finnigan]: (614) 466-9585</w:t>
      </w:r>
    </w:p>
    <w:p w:rsidR="00426F8D" w:rsidRPr="00D7469C" w:rsidP="00426F8D" w14:paraId="29C73962" w14:textId="77777777">
      <w:pPr>
        <w:pStyle w:val="ListParagraph"/>
        <w:autoSpaceDE w:val="0"/>
        <w:autoSpaceDN w:val="0"/>
        <w:adjustRightInd w:val="0"/>
        <w:ind w:left="0"/>
        <w:rPr>
          <w:szCs w:val="24"/>
        </w:rPr>
      </w:pPr>
      <w:r w:rsidRPr="00D7469C">
        <w:rPr>
          <w:szCs w:val="24"/>
        </w:rPr>
        <w:tab/>
      </w:r>
      <w:r w:rsidRPr="00D7469C">
        <w:rPr>
          <w:szCs w:val="24"/>
        </w:rPr>
        <w:tab/>
      </w:r>
      <w:r w:rsidRPr="00D7469C">
        <w:rPr>
          <w:szCs w:val="24"/>
        </w:rPr>
        <w:tab/>
      </w:r>
      <w:r w:rsidRPr="00D7469C">
        <w:rPr>
          <w:szCs w:val="24"/>
        </w:rPr>
        <w:tab/>
      </w:r>
      <w:r w:rsidRPr="00D7469C">
        <w:rPr>
          <w:szCs w:val="24"/>
        </w:rPr>
        <w:tab/>
      </w:r>
      <w:r w:rsidRPr="00D7469C">
        <w:rPr>
          <w:szCs w:val="24"/>
        </w:rPr>
        <w:tab/>
      </w:r>
      <w:hyperlink r:id="rId6" w:history="1">
        <w:r w:rsidRPr="00D7469C">
          <w:rPr>
            <w:rStyle w:val="Hyperlink"/>
            <w:szCs w:val="24"/>
          </w:rPr>
          <w:t>christopher.healey@occ.ohio.gov</w:t>
        </w:r>
      </w:hyperlink>
    </w:p>
    <w:p w:rsidR="00426F8D" w:rsidRPr="00D7469C" w:rsidP="00426F8D" w14:paraId="5AF1221E" w14:textId="77777777">
      <w:pPr>
        <w:pStyle w:val="ListParagraph"/>
        <w:autoSpaceDE w:val="0"/>
        <w:autoSpaceDN w:val="0"/>
        <w:adjustRightInd w:val="0"/>
        <w:ind w:left="3600" w:firstLine="720"/>
        <w:rPr>
          <w:szCs w:val="24"/>
        </w:rPr>
      </w:pPr>
      <w:hyperlink r:id="rId7" w:history="1">
        <w:r w:rsidRPr="00D7469C">
          <w:rPr>
            <w:rStyle w:val="Hyperlink"/>
            <w:szCs w:val="24"/>
          </w:rPr>
          <w:t>william.michael@occ.ohio.gov</w:t>
        </w:r>
      </w:hyperlink>
    </w:p>
    <w:p w:rsidR="00426F8D" w:rsidRPr="00D7469C" w:rsidP="00426F8D" w14:paraId="6FB6B79B" w14:textId="77777777">
      <w:pPr>
        <w:pStyle w:val="ListParagraph"/>
        <w:autoSpaceDE w:val="0"/>
        <w:autoSpaceDN w:val="0"/>
        <w:adjustRightInd w:val="0"/>
        <w:ind w:left="3600" w:firstLine="720"/>
        <w:rPr>
          <w:rStyle w:val="Hyperlink"/>
          <w:szCs w:val="24"/>
        </w:rPr>
      </w:pPr>
      <w:hyperlink r:id="rId8" w:history="1">
        <w:r w:rsidRPr="00D7469C">
          <w:rPr>
            <w:rStyle w:val="Hyperlink"/>
            <w:szCs w:val="24"/>
          </w:rPr>
          <w:t>john.finnigan@occ.ohio.gov</w:t>
        </w:r>
      </w:hyperlink>
    </w:p>
    <w:p w:rsidR="00426F8D" w:rsidRPr="00D7469C" w:rsidP="00426F8D" w14:paraId="4FAEA5ED" w14:textId="47BDA233">
      <w:pPr>
        <w:autoSpaceDE w:val="0"/>
        <w:autoSpaceDN w:val="0"/>
        <w:adjustRightInd w:val="0"/>
        <w:rPr>
          <w:rStyle w:val="Hyperlink"/>
          <w:color w:val="auto"/>
          <w:szCs w:val="24"/>
          <w:u w:val="none"/>
        </w:rPr>
      </w:pPr>
      <w:r w:rsidRPr="00D7469C">
        <w:rPr>
          <w:rStyle w:val="Hyperlink"/>
          <w:color w:val="auto"/>
          <w:szCs w:val="24"/>
          <w:u w:val="none"/>
        </w:rPr>
        <w:t>January 20, 2021</w:t>
      </w:r>
      <w:r w:rsidRPr="00D7469C">
        <w:rPr>
          <w:rStyle w:val="Hyperlink"/>
          <w:color w:val="auto"/>
          <w:szCs w:val="24"/>
          <w:u w:val="none"/>
        </w:rPr>
        <w:tab/>
      </w:r>
      <w:r w:rsidRPr="00D7469C">
        <w:rPr>
          <w:rStyle w:val="Hyperlink"/>
          <w:color w:val="auto"/>
          <w:szCs w:val="24"/>
          <w:u w:val="none"/>
        </w:rPr>
        <w:tab/>
      </w:r>
      <w:r w:rsidRPr="00D7469C">
        <w:rPr>
          <w:rStyle w:val="Hyperlink"/>
          <w:color w:val="auto"/>
          <w:szCs w:val="24"/>
          <w:u w:val="none"/>
        </w:rPr>
        <w:tab/>
      </w:r>
      <w:r w:rsidRPr="00D7469C">
        <w:rPr>
          <w:rStyle w:val="Hyperlink"/>
          <w:color w:val="auto"/>
          <w:szCs w:val="24"/>
          <w:u w:val="none"/>
        </w:rPr>
        <w:tab/>
        <w:t>(willing to accept service by e-mail)</w:t>
      </w:r>
    </w:p>
    <w:p w:rsidR="003E4E53" w:rsidRPr="00D7469C" w:rsidP="00426F8D" w14:paraId="51044988" w14:textId="2C85B96E">
      <w:pPr>
        <w:autoSpaceDE w:val="0"/>
        <w:autoSpaceDN w:val="0"/>
        <w:adjustRightInd w:val="0"/>
        <w:rPr>
          <w:rStyle w:val="Hyperlink"/>
          <w:color w:val="auto"/>
          <w:szCs w:val="24"/>
          <w:u w:val="none"/>
        </w:rPr>
      </w:pPr>
    </w:p>
    <w:p w:rsidR="003E4E53" w:rsidRPr="00D7469C" w:rsidP="00426F8D" w14:paraId="6EC7B260" w14:textId="77777777">
      <w:pPr>
        <w:autoSpaceDE w:val="0"/>
        <w:autoSpaceDN w:val="0"/>
        <w:adjustRightInd w:val="0"/>
        <w:rPr>
          <w:rStyle w:val="Hyperlink"/>
          <w:color w:val="auto"/>
          <w:szCs w:val="24"/>
          <w:u w:val="none"/>
        </w:rPr>
        <w:sectPr>
          <w:headerReference w:type="default" r:id="rId9"/>
          <w:footerReference w:type="default" r:id="rId10"/>
          <w:pgSz w:w="12240" w:h="15840"/>
          <w:pgMar w:top="1440" w:right="1440" w:bottom="1440" w:left="1440" w:header="720" w:footer="720" w:gutter="0"/>
          <w:cols w:space="720"/>
          <w:docGrid w:linePitch="360"/>
        </w:sectPr>
      </w:pPr>
    </w:p>
    <w:p w:rsidR="00426F8D" w:rsidRPr="00D7469C" w:rsidP="00426F8D" w14:paraId="432A79EA" w14:textId="77777777">
      <w:pPr>
        <w:pStyle w:val="List"/>
        <w:ind w:left="0" w:firstLine="0"/>
        <w:jc w:val="center"/>
        <w:rPr>
          <w:b/>
          <w:szCs w:val="24"/>
          <w:u w:val="single"/>
        </w:rPr>
      </w:pPr>
      <w:r w:rsidRPr="00D7469C">
        <w:rPr>
          <w:b/>
          <w:szCs w:val="24"/>
          <w:u w:val="single"/>
        </w:rPr>
        <w:t>TABLE OF CONTENTS</w:t>
      </w:r>
    </w:p>
    <w:p w:rsidR="00426F8D" w:rsidRPr="00D7469C" w:rsidP="00426F8D" w14:paraId="77445666" w14:textId="77777777">
      <w:pPr>
        <w:pStyle w:val="List"/>
        <w:ind w:left="0" w:firstLine="0"/>
        <w:jc w:val="center"/>
        <w:rPr>
          <w:b/>
          <w:szCs w:val="24"/>
        </w:rPr>
      </w:pPr>
    </w:p>
    <w:p w:rsidR="00426F8D" w:rsidRPr="00D7469C" w:rsidP="00426F8D" w14:paraId="7403E441" w14:textId="2356D944">
      <w:pPr>
        <w:pStyle w:val="List"/>
        <w:ind w:left="0" w:firstLine="0"/>
        <w:jc w:val="center"/>
        <w:rPr>
          <w:b/>
          <w:szCs w:val="24"/>
        </w:rPr>
      </w:pPr>
      <w:r w:rsidRPr="00D7469C">
        <w:rPr>
          <w:b/>
          <w:szCs w:val="24"/>
        </w:rPr>
        <w:tab/>
      </w:r>
      <w:r w:rsidRPr="00D7469C">
        <w:rPr>
          <w:b/>
          <w:szCs w:val="24"/>
        </w:rPr>
        <w:tab/>
      </w:r>
      <w:r w:rsidRPr="00D7469C">
        <w:rPr>
          <w:b/>
          <w:szCs w:val="24"/>
        </w:rPr>
        <w:tab/>
      </w:r>
      <w:r w:rsidRPr="00D7469C">
        <w:rPr>
          <w:b/>
          <w:szCs w:val="24"/>
        </w:rPr>
        <w:tab/>
      </w:r>
      <w:r w:rsidRPr="00D7469C">
        <w:rPr>
          <w:b/>
          <w:szCs w:val="24"/>
        </w:rPr>
        <w:tab/>
      </w:r>
      <w:r w:rsidRPr="00D7469C">
        <w:rPr>
          <w:b/>
          <w:szCs w:val="24"/>
        </w:rPr>
        <w:tab/>
      </w:r>
      <w:r w:rsidRPr="00D7469C">
        <w:rPr>
          <w:b/>
          <w:szCs w:val="24"/>
        </w:rPr>
        <w:tab/>
      </w:r>
      <w:r w:rsidRPr="00D7469C">
        <w:rPr>
          <w:b/>
          <w:szCs w:val="24"/>
        </w:rPr>
        <w:tab/>
      </w:r>
      <w:r w:rsidRPr="00D7469C">
        <w:rPr>
          <w:b/>
          <w:szCs w:val="24"/>
        </w:rPr>
        <w:tab/>
      </w:r>
      <w:r w:rsidRPr="00D7469C">
        <w:rPr>
          <w:b/>
          <w:szCs w:val="24"/>
        </w:rPr>
        <w:tab/>
      </w:r>
      <w:r w:rsidRPr="00D7469C">
        <w:rPr>
          <w:b/>
          <w:szCs w:val="24"/>
        </w:rPr>
        <w:tab/>
      </w:r>
      <w:r w:rsidR="00A72ECD">
        <w:rPr>
          <w:b/>
          <w:szCs w:val="24"/>
        </w:rPr>
        <w:tab/>
      </w:r>
      <w:r w:rsidRPr="00D7469C">
        <w:rPr>
          <w:b/>
          <w:szCs w:val="24"/>
        </w:rPr>
        <w:t>PAGE</w:t>
      </w:r>
    </w:p>
    <w:p w:rsidR="00426F8D" w:rsidRPr="00D7469C" w:rsidP="00426F8D" w14:paraId="65B6670C" w14:textId="77777777">
      <w:pPr>
        <w:pStyle w:val="List"/>
        <w:ind w:left="0" w:firstLine="0"/>
        <w:jc w:val="center"/>
        <w:rPr>
          <w:b/>
          <w:szCs w:val="24"/>
        </w:rPr>
      </w:pPr>
    </w:p>
    <w:p w:rsidR="00A72ECD" w14:paraId="32C9C5E0" w14:textId="3D64BFC1">
      <w:pPr>
        <w:pStyle w:val="TOC1"/>
        <w:tabs>
          <w:tab w:val="right" w:leader="dot" w:pos="9350"/>
        </w:tabs>
        <w:rPr>
          <w:rFonts w:asciiTheme="minorHAnsi" w:eastAsiaTheme="minorEastAsia" w:hAnsiTheme="minorHAnsi" w:cstheme="minorBidi"/>
          <w:bCs w:val="0"/>
          <w:caps w:val="0"/>
          <w:noProof/>
          <w:sz w:val="22"/>
          <w:szCs w:val="22"/>
        </w:rPr>
      </w:pPr>
      <w:r w:rsidRPr="00D7469C">
        <w:rPr>
          <w:b/>
          <w:szCs w:val="24"/>
        </w:rPr>
        <w:fldChar w:fldCharType="begin"/>
      </w:r>
      <w:r w:rsidRPr="00D7469C">
        <w:rPr>
          <w:b/>
          <w:szCs w:val="24"/>
        </w:rPr>
        <w:instrText xml:space="preserve"> TOC \o "1-2" \h \z \u </w:instrText>
      </w:r>
      <w:r w:rsidRPr="00D7469C">
        <w:rPr>
          <w:b/>
          <w:szCs w:val="24"/>
        </w:rPr>
        <w:fldChar w:fldCharType="separate"/>
      </w:r>
      <w:hyperlink w:anchor="_Toc62046187" w:history="1">
        <w:r w:rsidRPr="00A47E99">
          <w:rPr>
            <w:rStyle w:val="Hyperlink"/>
            <w:noProof/>
          </w:rPr>
          <w:t>I.</w:t>
        </w:r>
        <w:r>
          <w:rPr>
            <w:rFonts w:asciiTheme="minorHAnsi" w:eastAsiaTheme="minorEastAsia" w:hAnsiTheme="minorHAnsi" w:cstheme="minorBidi"/>
            <w:bCs w:val="0"/>
            <w:caps w:val="0"/>
            <w:noProof/>
            <w:sz w:val="22"/>
            <w:szCs w:val="22"/>
          </w:rPr>
          <w:tab/>
        </w:r>
        <w:r w:rsidRPr="00A47E99">
          <w:rPr>
            <w:rStyle w:val="Hyperlink"/>
            <w:noProof/>
          </w:rPr>
          <w:t>INTRODUCTION</w:t>
        </w:r>
        <w:r>
          <w:rPr>
            <w:noProof/>
            <w:webHidden/>
          </w:rPr>
          <w:tab/>
        </w:r>
        <w:r>
          <w:rPr>
            <w:noProof/>
            <w:webHidden/>
          </w:rPr>
          <w:fldChar w:fldCharType="begin"/>
        </w:r>
        <w:r>
          <w:rPr>
            <w:noProof/>
            <w:webHidden/>
          </w:rPr>
          <w:instrText xml:space="preserve"> PAGEREF _Toc62046187 \h </w:instrText>
        </w:r>
        <w:r>
          <w:rPr>
            <w:noProof/>
            <w:webHidden/>
          </w:rPr>
          <w:fldChar w:fldCharType="separate"/>
        </w:r>
        <w:r>
          <w:rPr>
            <w:noProof/>
            <w:webHidden/>
          </w:rPr>
          <w:t>1</w:t>
        </w:r>
        <w:r>
          <w:rPr>
            <w:noProof/>
            <w:webHidden/>
          </w:rPr>
          <w:fldChar w:fldCharType="end"/>
        </w:r>
      </w:hyperlink>
    </w:p>
    <w:p w:rsidR="00A72ECD" w14:paraId="01B8E703" w14:textId="73A04760">
      <w:pPr>
        <w:pStyle w:val="TOC1"/>
        <w:tabs>
          <w:tab w:val="right" w:leader="dot" w:pos="9350"/>
        </w:tabs>
        <w:rPr>
          <w:rFonts w:asciiTheme="minorHAnsi" w:eastAsiaTheme="minorEastAsia" w:hAnsiTheme="minorHAnsi" w:cstheme="minorBidi"/>
          <w:bCs w:val="0"/>
          <w:caps w:val="0"/>
          <w:noProof/>
          <w:sz w:val="22"/>
          <w:szCs w:val="22"/>
        </w:rPr>
      </w:pPr>
      <w:hyperlink w:anchor="_Toc62046188" w:history="1">
        <w:r w:rsidRPr="00A47E99">
          <w:rPr>
            <w:rStyle w:val="Hyperlink"/>
            <w:noProof/>
          </w:rPr>
          <w:t>II.</w:t>
        </w:r>
        <w:r>
          <w:rPr>
            <w:rFonts w:asciiTheme="minorHAnsi" w:eastAsiaTheme="minorEastAsia" w:hAnsiTheme="minorHAnsi" w:cstheme="minorBidi"/>
            <w:bCs w:val="0"/>
            <w:caps w:val="0"/>
            <w:noProof/>
            <w:sz w:val="22"/>
            <w:szCs w:val="22"/>
          </w:rPr>
          <w:tab/>
        </w:r>
        <w:r w:rsidRPr="00A47E99">
          <w:rPr>
            <w:rStyle w:val="Hyperlink"/>
            <w:noProof/>
          </w:rPr>
          <w:t>LAW AND ARGUMENT</w:t>
        </w:r>
        <w:r>
          <w:rPr>
            <w:noProof/>
            <w:webHidden/>
          </w:rPr>
          <w:tab/>
        </w:r>
        <w:r>
          <w:rPr>
            <w:noProof/>
            <w:webHidden/>
          </w:rPr>
          <w:fldChar w:fldCharType="begin"/>
        </w:r>
        <w:r>
          <w:rPr>
            <w:noProof/>
            <w:webHidden/>
          </w:rPr>
          <w:instrText xml:space="preserve"> PAGEREF _Toc62046188 \h </w:instrText>
        </w:r>
        <w:r>
          <w:rPr>
            <w:noProof/>
            <w:webHidden/>
          </w:rPr>
          <w:fldChar w:fldCharType="separate"/>
        </w:r>
        <w:r>
          <w:rPr>
            <w:noProof/>
            <w:webHidden/>
          </w:rPr>
          <w:t>4</w:t>
        </w:r>
        <w:r>
          <w:rPr>
            <w:noProof/>
            <w:webHidden/>
          </w:rPr>
          <w:fldChar w:fldCharType="end"/>
        </w:r>
      </w:hyperlink>
    </w:p>
    <w:p w:rsidR="00A72ECD" w14:paraId="2D832041" w14:textId="5930061F">
      <w:pPr>
        <w:pStyle w:val="TOC2"/>
        <w:tabs>
          <w:tab w:val="left" w:pos="1440"/>
          <w:tab w:val="right" w:leader="dot" w:pos="9350"/>
        </w:tabs>
        <w:rPr>
          <w:rFonts w:asciiTheme="minorHAnsi" w:eastAsiaTheme="minorEastAsia" w:hAnsiTheme="minorHAnsi" w:cstheme="minorBidi"/>
          <w:bCs w:val="0"/>
          <w:noProof/>
          <w:sz w:val="22"/>
          <w:szCs w:val="22"/>
        </w:rPr>
      </w:pPr>
      <w:hyperlink w:anchor="_Toc62046189" w:history="1">
        <w:r w:rsidRPr="00A47E99">
          <w:rPr>
            <w:rStyle w:val="Hyperlink"/>
            <w:noProof/>
          </w:rPr>
          <w:t>A.</w:t>
        </w:r>
        <w:r>
          <w:rPr>
            <w:rFonts w:asciiTheme="minorHAnsi" w:eastAsiaTheme="minorEastAsia" w:hAnsiTheme="minorHAnsi" w:cstheme="minorBidi"/>
            <w:bCs w:val="0"/>
            <w:noProof/>
            <w:sz w:val="22"/>
            <w:szCs w:val="22"/>
          </w:rPr>
          <w:tab/>
        </w:r>
        <w:r w:rsidRPr="00A47E99">
          <w:rPr>
            <w:rStyle w:val="Hyperlink"/>
            <w:noProof/>
          </w:rPr>
          <w:t>AEP is supposed to show in its motion that a protective order is necessary to protect it from annoyance, embarrassment, oppression, or undue burden or expense. It failed.</w:t>
        </w:r>
        <w:r>
          <w:rPr>
            <w:noProof/>
            <w:webHidden/>
          </w:rPr>
          <w:tab/>
        </w:r>
        <w:r>
          <w:rPr>
            <w:noProof/>
            <w:webHidden/>
          </w:rPr>
          <w:fldChar w:fldCharType="begin"/>
        </w:r>
        <w:r>
          <w:rPr>
            <w:noProof/>
            <w:webHidden/>
          </w:rPr>
          <w:instrText xml:space="preserve"> PAGEREF _Toc62046189 \h </w:instrText>
        </w:r>
        <w:r>
          <w:rPr>
            <w:noProof/>
            <w:webHidden/>
          </w:rPr>
          <w:fldChar w:fldCharType="separate"/>
        </w:r>
        <w:r>
          <w:rPr>
            <w:noProof/>
            <w:webHidden/>
          </w:rPr>
          <w:t>4</w:t>
        </w:r>
        <w:r>
          <w:rPr>
            <w:noProof/>
            <w:webHidden/>
          </w:rPr>
          <w:fldChar w:fldCharType="end"/>
        </w:r>
      </w:hyperlink>
    </w:p>
    <w:p w:rsidR="00A72ECD" w14:paraId="1A792001" w14:textId="0BF21EF6">
      <w:pPr>
        <w:pStyle w:val="TOC2"/>
        <w:tabs>
          <w:tab w:val="left" w:pos="1440"/>
          <w:tab w:val="right" w:leader="dot" w:pos="9350"/>
        </w:tabs>
        <w:rPr>
          <w:rFonts w:asciiTheme="minorHAnsi" w:eastAsiaTheme="minorEastAsia" w:hAnsiTheme="minorHAnsi" w:cstheme="minorBidi"/>
          <w:bCs w:val="0"/>
          <w:noProof/>
          <w:sz w:val="22"/>
          <w:szCs w:val="22"/>
        </w:rPr>
      </w:pPr>
      <w:hyperlink w:anchor="_Toc62046190" w:history="1">
        <w:r w:rsidRPr="00A47E99">
          <w:rPr>
            <w:rStyle w:val="Hyperlink"/>
            <w:noProof/>
          </w:rPr>
          <w:t>B.</w:t>
        </w:r>
        <w:r>
          <w:rPr>
            <w:rFonts w:asciiTheme="minorHAnsi" w:eastAsiaTheme="minorEastAsia" w:hAnsiTheme="minorHAnsi" w:cstheme="minorBidi"/>
            <w:bCs w:val="0"/>
            <w:noProof/>
            <w:sz w:val="22"/>
            <w:szCs w:val="22"/>
          </w:rPr>
          <w:tab/>
        </w:r>
        <w:r w:rsidRPr="00A47E99">
          <w:rPr>
            <w:rStyle w:val="Hyperlink"/>
            <w:noProof/>
          </w:rPr>
          <w:t>OCC has a right to take its depositions for consumer protection under Ohio law and the Ohio Administrative Code.</w:t>
        </w:r>
        <w:r>
          <w:rPr>
            <w:noProof/>
            <w:webHidden/>
          </w:rPr>
          <w:tab/>
        </w:r>
        <w:r>
          <w:rPr>
            <w:noProof/>
            <w:webHidden/>
          </w:rPr>
          <w:fldChar w:fldCharType="begin"/>
        </w:r>
        <w:r>
          <w:rPr>
            <w:noProof/>
            <w:webHidden/>
          </w:rPr>
          <w:instrText xml:space="preserve"> PAGEREF _Toc62046190 \h </w:instrText>
        </w:r>
        <w:r>
          <w:rPr>
            <w:noProof/>
            <w:webHidden/>
          </w:rPr>
          <w:fldChar w:fldCharType="separate"/>
        </w:r>
        <w:r>
          <w:rPr>
            <w:noProof/>
            <w:webHidden/>
          </w:rPr>
          <w:t>5</w:t>
        </w:r>
        <w:r>
          <w:rPr>
            <w:noProof/>
            <w:webHidden/>
          </w:rPr>
          <w:fldChar w:fldCharType="end"/>
        </w:r>
      </w:hyperlink>
    </w:p>
    <w:p w:rsidR="00A72ECD" w14:paraId="33CD8E4C" w14:textId="5B638296">
      <w:pPr>
        <w:pStyle w:val="TOC2"/>
        <w:tabs>
          <w:tab w:val="left" w:pos="1440"/>
          <w:tab w:val="right" w:leader="dot" w:pos="9350"/>
        </w:tabs>
        <w:rPr>
          <w:rFonts w:asciiTheme="minorHAnsi" w:eastAsiaTheme="minorEastAsia" w:hAnsiTheme="minorHAnsi" w:cstheme="minorBidi"/>
          <w:bCs w:val="0"/>
          <w:noProof/>
          <w:sz w:val="22"/>
          <w:szCs w:val="22"/>
        </w:rPr>
      </w:pPr>
      <w:hyperlink w:anchor="_Toc62046191" w:history="1">
        <w:r w:rsidRPr="00A47E99">
          <w:rPr>
            <w:rStyle w:val="Hyperlink"/>
            <w:noProof/>
          </w:rPr>
          <w:t>C.</w:t>
        </w:r>
        <w:r>
          <w:rPr>
            <w:rFonts w:asciiTheme="minorHAnsi" w:eastAsiaTheme="minorEastAsia" w:hAnsiTheme="minorHAnsi" w:cstheme="minorBidi"/>
            <w:bCs w:val="0"/>
            <w:noProof/>
            <w:sz w:val="22"/>
            <w:szCs w:val="22"/>
          </w:rPr>
          <w:tab/>
        </w:r>
        <w:r w:rsidRPr="00A47E99">
          <w:rPr>
            <w:rStyle w:val="Hyperlink"/>
            <w:noProof/>
          </w:rPr>
          <w:t>Parties are not limited to choosing one form of discovery over another.</w:t>
        </w:r>
        <w:r>
          <w:rPr>
            <w:noProof/>
            <w:webHidden/>
          </w:rPr>
          <w:tab/>
        </w:r>
        <w:r>
          <w:rPr>
            <w:noProof/>
            <w:webHidden/>
          </w:rPr>
          <w:fldChar w:fldCharType="begin"/>
        </w:r>
        <w:r>
          <w:rPr>
            <w:noProof/>
            <w:webHidden/>
          </w:rPr>
          <w:instrText xml:space="preserve"> PAGEREF _Toc62046191 \h </w:instrText>
        </w:r>
        <w:r>
          <w:rPr>
            <w:noProof/>
            <w:webHidden/>
          </w:rPr>
          <w:fldChar w:fldCharType="separate"/>
        </w:r>
        <w:r>
          <w:rPr>
            <w:noProof/>
            <w:webHidden/>
          </w:rPr>
          <w:t>6</w:t>
        </w:r>
        <w:r>
          <w:rPr>
            <w:noProof/>
            <w:webHidden/>
          </w:rPr>
          <w:fldChar w:fldCharType="end"/>
        </w:r>
      </w:hyperlink>
    </w:p>
    <w:p w:rsidR="00A72ECD" w14:paraId="6FD8BB78" w14:textId="07846988">
      <w:pPr>
        <w:pStyle w:val="TOC2"/>
        <w:tabs>
          <w:tab w:val="left" w:pos="1440"/>
          <w:tab w:val="right" w:leader="dot" w:pos="9350"/>
        </w:tabs>
        <w:rPr>
          <w:rFonts w:asciiTheme="minorHAnsi" w:eastAsiaTheme="minorEastAsia" w:hAnsiTheme="minorHAnsi" w:cstheme="minorBidi"/>
          <w:bCs w:val="0"/>
          <w:noProof/>
          <w:sz w:val="22"/>
          <w:szCs w:val="22"/>
        </w:rPr>
      </w:pPr>
      <w:hyperlink w:anchor="_Toc62046192" w:history="1">
        <w:r w:rsidRPr="00A47E99">
          <w:rPr>
            <w:rStyle w:val="Hyperlink"/>
            <w:noProof/>
          </w:rPr>
          <w:t>D.</w:t>
        </w:r>
        <w:r>
          <w:rPr>
            <w:rFonts w:asciiTheme="minorHAnsi" w:eastAsiaTheme="minorEastAsia" w:hAnsiTheme="minorHAnsi" w:cstheme="minorBidi"/>
            <w:bCs w:val="0"/>
            <w:noProof/>
            <w:sz w:val="22"/>
            <w:szCs w:val="22"/>
          </w:rPr>
          <w:tab/>
        </w:r>
        <w:r w:rsidRPr="00A47E99">
          <w:rPr>
            <w:rStyle w:val="Hyperlink"/>
            <w:noProof/>
          </w:rPr>
          <w:t>OCC’s deposition notice was timely.</w:t>
        </w:r>
        <w:r>
          <w:rPr>
            <w:noProof/>
            <w:webHidden/>
          </w:rPr>
          <w:tab/>
        </w:r>
        <w:r>
          <w:rPr>
            <w:noProof/>
            <w:webHidden/>
          </w:rPr>
          <w:fldChar w:fldCharType="begin"/>
        </w:r>
        <w:r>
          <w:rPr>
            <w:noProof/>
            <w:webHidden/>
          </w:rPr>
          <w:instrText xml:space="preserve"> PAGEREF _Toc62046192 \h </w:instrText>
        </w:r>
        <w:r>
          <w:rPr>
            <w:noProof/>
            <w:webHidden/>
          </w:rPr>
          <w:fldChar w:fldCharType="separate"/>
        </w:r>
        <w:r>
          <w:rPr>
            <w:noProof/>
            <w:webHidden/>
          </w:rPr>
          <w:t>7</w:t>
        </w:r>
        <w:r>
          <w:rPr>
            <w:noProof/>
            <w:webHidden/>
          </w:rPr>
          <w:fldChar w:fldCharType="end"/>
        </w:r>
      </w:hyperlink>
    </w:p>
    <w:p w:rsidR="00A72ECD" w14:paraId="689CDDD5" w14:textId="44CC255E">
      <w:pPr>
        <w:pStyle w:val="TOC2"/>
        <w:tabs>
          <w:tab w:val="left" w:pos="1440"/>
          <w:tab w:val="right" w:leader="dot" w:pos="9350"/>
        </w:tabs>
        <w:rPr>
          <w:rFonts w:asciiTheme="minorHAnsi" w:eastAsiaTheme="minorEastAsia" w:hAnsiTheme="minorHAnsi" w:cstheme="minorBidi"/>
          <w:bCs w:val="0"/>
          <w:noProof/>
          <w:sz w:val="22"/>
          <w:szCs w:val="22"/>
        </w:rPr>
      </w:pPr>
      <w:hyperlink w:anchor="_Toc62046193" w:history="1">
        <w:r w:rsidRPr="00A47E99">
          <w:rPr>
            <w:rStyle w:val="Hyperlink"/>
            <w:noProof/>
          </w:rPr>
          <w:t>E.</w:t>
        </w:r>
        <w:r>
          <w:rPr>
            <w:rFonts w:asciiTheme="minorHAnsi" w:eastAsiaTheme="minorEastAsia" w:hAnsiTheme="minorHAnsi" w:cstheme="minorBidi"/>
            <w:bCs w:val="0"/>
            <w:noProof/>
            <w:sz w:val="22"/>
            <w:szCs w:val="22"/>
          </w:rPr>
          <w:tab/>
        </w:r>
        <w:r w:rsidRPr="00A47E99">
          <w:rPr>
            <w:rStyle w:val="Hyperlink"/>
            <w:noProof/>
          </w:rPr>
          <w:t>Neither the Ohio Administrative Code nor PUCO precedent precludes depositions from being conducted in cases that have not been set for hearing.</w:t>
        </w:r>
        <w:r>
          <w:rPr>
            <w:noProof/>
            <w:webHidden/>
          </w:rPr>
          <w:tab/>
        </w:r>
        <w:r>
          <w:rPr>
            <w:noProof/>
            <w:webHidden/>
          </w:rPr>
          <w:fldChar w:fldCharType="begin"/>
        </w:r>
        <w:r>
          <w:rPr>
            <w:noProof/>
            <w:webHidden/>
          </w:rPr>
          <w:instrText xml:space="preserve"> PAGEREF _Toc62046193 \h </w:instrText>
        </w:r>
        <w:r>
          <w:rPr>
            <w:noProof/>
            <w:webHidden/>
          </w:rPr>
          <w:fldChar w:fldCharType="separate"/>
        </w:r>
        <w:r>
          <w:rPr>
            <w:noProof/>
            <w:webHidden/>
          </w:rPr>
          <w:t>8</w:t>
        </w:r>
        <w:r>
          <w:rPr>
            <w:noProof/>
            <w:webHidden/>
          </w:rPr>
          <w:fldChar w:fldCharType="end"/>
        </w:r>
      </w:hyperlink>
    </w:p>
    <w:p w:rsidR="00A72ECD" w14:paraId="64F71C4D" w14:textId="73271B61">
      <w:pPr>
        <w:pStyle w:val="TOC2"/>
        <w:tabs>
          <w:tab w:val="left" w:pos="1440"/>
          <w:tab w:val="right" w:leader="dot" w:pos="9350"/>
        </w:tabs>
        <w:rPr>
          <w:rFonts w:asciiTheme="minorHAnsi" w:eastAsiaTheme="minorEastAsia" w:hAnsiTheme="minorHAnsi" w:cstheme="minorBidi"/>
          <w:bCs w:val="0"/>
          <w:noProof/>
          <w:sz w:val="22"/>
          <w:szCs w:val="22"/>
        </w:rPr>
      </w:pPr>
      <w:hyperlink w:anchor="_Toc62046194" w:history="1">
        <w:r w:rsidRPr="00A47E99">
          <w:rPr>
            <w:rStyle w:val="Hyperlink"/>
            <w:noProof/>
          </w:rPr>
          <w:t>F.</w:t>
        </w:r>
        <w:r>
          <w:rPr>
            <w:rFonts w:asciiTheme="minorHAnsi" w:eastAsiaTheme="minorEastAsia" w:hAnsiTheme="minorHAnsi" w:cstheme="minorBidi"/>
            <w:bCs w:val="0"/>
            <w:noProof/>
            <w:sz w:val="22"/>
            <w:szCs w:val="22"/>
          </w:rPr>
          <w:tab/>
        </w:r>
        <w:r w:rsidRPr="00A47E99">
          <w:rPr>
            <w:rStyle w:val="Hyperlink"/>
            <w:noProof/>
          </w:rPr>
          <w:t>OCC provided reasonable notice of its deposition for consumer protection.</w:t>
        </w:r>
        <w:r>
          <w:rPr>
            <w:noProof/>
            <w:webHidden/>
          </w:rPr>
          <w:tab/>
        </w:r>
        <w:r>
          <w:rPr>
            <w:noProof/>
            <w:webHidden/>
          </w:rPr>
          <w:fldChar w:fldCharType="begin"/>
        </w:r>
        <w:r>
          <w:rPr>
            <w:noProof/>
            <w:webHidden/>
          </w:rPr>
          <w:instrText xml:space="preserve"> PAGEREF _Toc62046194 \h </w:instrText>
        </w:r>
        <w:r>
          <w:rPr>
            <w:noProof/>
            <w:webHidden/>
          </w:rPr>
          <w:fldChar w:fldCharType="separate"/>
        </w:r>
        <w:r>
          <w:rPr>
            <w:noProof/>
            <w:webHidden/>
          </w:rPr>
          <w:t>9</w:t>
        </w:r>
        <w:r>
          <w:rPr>
            <w:noProof/>
            <w:webHidden/>
          </w:rPr>
          <w:fldChar w:fldCharType="end"/>
        </w:r>
      </w:hyperlink>
    </w:p>
    <w:p w:rsidR="00A72ECD" w14:paraId="7705B3B3" w14:textId="7FA39FB5">
      <w:pPr>
        <w:pStyle w:val="TOC2"/>
        <w:tabs>
          <w:tab w:val="left" w:pos="1440"/>
          <w:tab w:val="right" w:leader="dot" w:pos="9350"/>
        </w:tabs>
        <w:rPr>
          <w:rFonts w:asciiTheme="minorHAnsi" w:eastAsiaTheme="minorEastAsia" w:hAnsiTheme="minorHAnsi" w:cstheme="minorBidi"/>
          <w:bCs w:val="0"/>
          <w:noProof/>
          <w:sz w:val="22"/>
          <w:szCs w:val="22"/>
        </w:rPr>
      </w:pPr>
      <w:hyperlink w:anchor="_Toc62046195" w:history="1">
        <w:r w:rsidRPr="00A47E99">
          <w:rPr>
            <w:rStyle w:val="Hyperlink"/>
            <w:noProof/>
          </w:rPr>
          <w:t>G.</w:t>
        </w:r>
        <w:r>
          <w:rPr>
            <w:rFonts w:asciiTheme="minorHAnsi" w:eastAsiaTheme="minorEastAsia" w:hAnsiTheme="minorHAnsi" w:cstheme="minorBidi"/>
            <w:bCs w:val="0"/>
            <w:noProof/>
            <w:sz w:val="22"/>
            <w:szCs w:val="22"/>
          </w:rPr>
          <w:tab/>
        </w:r>
        <w:r w:rsidRPr="00A47E99">
          <w:rPr>
            <w:rStyle w:val="Hyperlink"/>
            <w:noProof/>
          </w:rPr>
          <w:t>AEP must respond to OCC’s consumer discovery unless a protective order is issued.</w:t>
        </w:r>
        <w:r>
          <w:rPr>
            <w:noProof/>
            <w:webHidden/>
          </w:rPr>
          <w:tab/>
        </w:r>
        <w:r>
          <w:rPr>
            <w:noProof/>
            <w:webHidden/>
          </w:rPr>
          <w:fldChar w:fldCharType="begin"/>
        </w:r>
        <w:r>
          <w:rPr>
            <w:noProof/>
            <w:webHidden/>
          </w:rPr>
          <w:instrText xml:space="preserve"> PAGEREF _Toc62046195 \h </w:instrText>
        </w:r>
        <w:r>
          <w:rPr>
            <w:noProof/>
            <w:webHidden/>
          </w:rPr>
          <w:fldChar w:fldCharType="separate"/>
        </w:r>
        <w:r>
          <w:rPr>
            <w:noProof/>
            <w:webHidden/>
          </w:rPr>
          <w:t>9</w:t>
        </w:r>
        <w:r>
          <w:rPr>
            <w:noProof/>
            <w:webHidden/>
          </w:rPr>
          <w:fldChar w:fldCharType="end"/>
        </w:r>
      </w:hyperlink>
    </w:p>
    <w:p w:rsidR="00A72ECD" w14:paraId="30CBD24A" w14:textId="507FB181">
      <w:pPr>
        <w:pStyle w:val="TOC2"/>
        <w:tabs>
          <w:tab w:val="left" w:pos="1440"/>
          <w:tab w:val="right" w:leader="dot" w:pos="9350"/>
        </w:tabs>
        <w:rPr>
          <w:rFonts w:asciiTheme="minorHAnsi" w:eastAsiaTheme="minorEastAsia" w:hAnsiTheme="minorHAnsi" w:cstheme="minorBidi"/>
          <w:bCs w:val="0"/>
          <w:noProof/>
          <w:sz w:val="22"/>
          <w:szCs w:val="22"/>
        </w:rPr>
      </w:pPr>
      <w:hyperlink w:anchor="_Toc62046196" w:history="1">
        <w:r w:rsidRPr="00A47E99">
          <w:rPr>
            <w:rStyle w:val="Hyperlink"/>
            <w:noProof/>
          </w:rPr>
          <w:t>H.</w:t>
        </w:r>
        <w:r>
          <w:rPr>
            <w:rFonts w:asciiTheme="minorHAnsi" w:eastAsiaTheme="minorEastAsia" w:hAnsiTheme="minorHAnsi" w:cstheme="minorBidi"/>
            <w:bCs w:val="0"/>
            <w:noProof/>
            <w:sz w:val="22"/>
            <w:szCs w:val="22"/>
          </w:rPr>
          <w:tab/>
        </w:r>
        <w:r w:rsidRPr="00A47E99">
          <w:rPr>
            <w:rStyle w:val="Hyperlink"/>
            <w:noProof/>
          </w:rPr>
          <w:t>OCC, like other parties, can choose its form of discovery.</w:t>
        </w:r>
        <w:r>
          <w:rPr>
            <w:noProof/>
            <w:webHidden/>
          </w:rPr>
          <w:tab/>
        </w:r>
        <w:r>
          <w:rPr>
            <w:noProof/>
            <w:webHidden/>
          </w:rPr>
          <w:fldChar w:fldCharType="begin"/>
        </w:r>
        <w:r>
          <w:rPr>
            <w:noProof/>
            <w:webHidden/>
          </w:rPr>
          <w:instrText xml:space="preserve"> PAGEREF _Toc62046196 \h </w:instrText>
        </w:r>
        <w:r>
          <w:rPr>
            <w:noProof/>
            <w:webHidden/>
          </w:rPr>
          <w:fldChar w:fldCharType="separate"/>
        </w:r>
        <w:r>
          <w:rPr>
            <w:noProof/>
            <w:webHidden/>
          </w:rPr>
          <w:t>10</w:t>
        </w:r>
        <w:r>
          <w:rPr>
            <w:noProof/>
            <w:webHidden/>
          </w:rPr>
          <w:fldChar w:fldCharType="end"/>
        </w:r>
      </w:hyperlink>
    </w:p>
    <w:p w:rsidR="00A72ECD" w14:paraId="164F28E4" w14:textId="7EED7854">
      <w:pPr>
        <w:pStyle w:val="TOC1"/>
        <w:tabs>
          <w:tab w:val="right" w:leader="dot" w:pos="9350"/>
        </w:tabs>
        <w:rPr>
          <w:rFonts w:asciiTheme="minorHAnsi" w:eastAsiaTheme="minorEastAsia" w:hAnsiTheme="minorHAnsi" w:cstheme="minorBidi"/>
          <w:bCs w:val="0"/>
          <w:caps w:val="0"/>
          <w:noProof/>
          <w:sz w:val="22"/>
          <w:szCs w:val="22"/>
        </w:rPr>
      </w:pPr>
      <w:hyperlink w:anchor="_Toc62046197" w:history="1">
        <w:r w:rsidRPr="00A47E99">
          <w:rPr>
            <w:rStyle w:val="Hyperlink"/>
            <w:noProof/>
          </w:rPr>
          <w:t>III.</w:t>
        </w:r>
        <w:r>
          <w:rPr>
            <w:rFonts w:asciiTheme="minorHAnsi" w:eastAsiaTheme="minorEastAsia" w:hAnsiTheme="minorHAnsi" w:cstheme="minorBidi"/>
            <w:bCs w:val="0"/>
            <w:caps w:val="0"/>
            <w:noProof/>
            <w:sz w:val="22"/>
            <w:szCs w:val="22"/>
          </w:rPr>
          <w:tab/>
        </w:r>
        <w:r w:rsidRPr="00A47E99">
          <w:rPr>
            <w:rStyle w:val="Hyperlink"/>
            <w:noProof/>
          </w:rPr>
          <w:t>CONCLUSION</w:t>
        </w:r>
        <w:r>
          <w:rPr>
            <w:noProof/>
            <w:webHidden/>
          </w:rPr>
          <w:tab/>
        </w:r>
        <w:r>
          <w:rPr>
            <w:noProof/>
            <w:webHidden/>
          </w:rPr>
          <w:fldChar w:fldCharType="begin"/>
        </w:r>
        <w:r>
          <w:rPr>
            <w:noProof/>
            <w:webHidden/>
          </w:rPr>
          <w:instrText xml:space="preserve"> PAGEREF _Toc62046197 \h </w:instrText>
        </w:r>
        <w:r>
          <w:rPr>
            <w:noProof/>
            <w:webHidden/>
          </w:rPr>
          <w:fldChar w:fldCharType="separate"/>
        </w:r>
        <w:r>
          <w:rPr>
            <w:noProof/>
            <w:webHidden/>
          </w:rPr>
          <w:t>11</w:t>
        </w:r>
        <w:r>
          <w:rPr>
            <w:noProof/>
            <w:webHidden/>
          </w:rPr>
          <w:fldChar w:fldCharType="end"/>
        </w:r>
      </w:hyperlink>
    </w:p>
    <w:p w:rsidR="00286749" w:rsidRPr="00D7469C" w:rsidP="00426F8D" w14:paraId="5CBF87BF" w14:textId="75E07BA8">
      <w:pPr>
        <w:pStyle w:val="List"/>
        <w:ind w:left="0" w:firstLine="0"/>
        <w:jc w:val="center"/>
        <w:rPr>
          <w:b/>
          <w:szCs w:val="24"/>
        </w:rPr>
      </w:pPr>
      <w:r w:rsidRPr="00D7469C">
        <w:rPr>
          <w:b/>
          <w:szCs w:val="24"/>
        </w:rPr>
        <w:fldChar w:fldCharType="end"/>
      </w:r>
    </w:p>
    <w:p w:rsidR="00286749" w:rsidRPr="00D7469C" w:rsidP="00426F8D" w14:paraId="126D9F27" w14:textId="77777777">
      <w:pPr>
        <w:pStyle w:val="List"/>
        <w:ind w:left="0" w:firstLine="0"/>
        <w:jc w:val="center"/>
        <w:rPr>
          <w:b/>
          <w:szCs w:val="24"/>
        </w:rPr>
      </w:pPr>
    </w:p>
    <w:p w:rsidR="00286749" w:rsidRPr="00D7469C" w:rsidP="00426F8D" w14:paraId="38CDC38E" w14:textId="77777777">
      <w:pPr>
        <w:pStyle w:val="List"/>
        <w:ind w:left="0" w:firstLine="0"/>
        <w:jc w:val="center"/>
        <w:rPr>
          <w:b/>
          <w:szCs w:val="24"/>
        </w:rPr>
      </w:pPr>
    </w:p>
    <w:p w:rsidR="00286749" w:rsidRPr="00D7469C" w:rsidP="00426F8D" w14:paraId="04A0F9C9" w14:textId="7E130C8D">
      <w:pPr>
        <w:pStyle w:val="List"/>
        <w:ind w:left="0" w:firstLine="0"/>
        <w:jc w:val="center"/>
        <w:rPr>
          <w:b/>
          <w:szCs w:val="24"/>
        </w:rPr>
      </w:pPr>
    </w:p>
    <w:p w:rsidR="003E4E53" w:rsidRPr="00D7469C" w:rsidP="00426F8D" w14:paraId="3BD57662" w14:textId="072B5C81">
      <w:pPr>
        <w:pStyle w:val="List"/>
        <w:ind w:left="0" w:firstLine="0"/>
        <w:jc w:val="center"/>
        <w:rPr>
          <w:b/>
          <w:szCs w:val="24"/>
        </w:rPr>
      </w:pPr>
    </w:p>
    <w:p w:rsidR="003E4E53" w:rsidRPr="00D7469C" w:rsidP="00426F8D" w14:paraId="25887E9B" w14:textId="006DCD90">
      <w:pPr>
        <w:pStyle w:val="List"/>
        <w:ind w:left="0" w:firstLine="0"/>
        <w:jc w:val="center"/>
        <w:rPr>
          <w:b/>
          <w:szCs w:val="24"/>
        </w:rPr>
      </w:pPr>
    </w:p>
    <w:p w:rsidR="003E4E53" w:rsidRPr="00D7469C" w:rsidP="00426F8D" w14:paraId="7731F82E" w14:textId="77777777">
      <w:pPr>
        <w:pStyle w:val="List"/>
        <w:ind w:left="0" w:firstLine="0"/>
        <w:jc w:val="center"/>
        <w:rPr>
          <w:b/>
          <w:szCs w:val="24"/>
        </w:rPr>
        <w:sectPr w:rsidSect="003E4E53">
          <w:headerReference w:type="default" r:id="rId11"/>
          <w:footerReference w:type="default" r:id="rId12"/>
          <w:pgSz w:w="12240" w:h="15840"/>
          <w:pgMar w:top="1440" w:right="1440" w:bottom="1440" w:left="1440" w:header="720" w:footer="720" w:gutter="0"/>
          <w:pgNumType w:fmt="lowerRoman" w:start="1"/>
          <w:cols w:space="720"/>
          <w:docGrid w:linePitch="360"/>
        </w:sectPr>
      </w:pPr>
    </w:p>
    <w:p w:rsidR="00703B3D" w:rsidRPr="00D7469C" w:rsidP="00703B3D" w14:paraId="185227FB" w14:textId="2CD68F64">
      <w:pPr>
        <w:pStyle w:val="List"/>
        <w:ind w:left="0" w:firstLine="0"/>
        <w:jc w:val="center"/>
        <w:rPr>
          <w:b/>
          <w:szCs w:val="24"/>
        </w:rPr>
      </w:pPr>
      <w:r w:rsidRPr="00D7469C">
        <w:rPr>
          <w:b/>
          <w:szCs w:val="24"/>
        </w:rPr>
        <w:t>BEFORE</w:t>
      </w:r>
    </w:p>
    <w:p w:rsidR="00703B3D" w:rsidRPr="00D7469C" w:rsidP="00703B3D" w14:paraId="22D487E0" w14:textId="77777777">
      <w:pPr>
        <w:pStyle w:val="List"/>
        <w:ind w:left="0" w:firstLine="0"/>
        <w:jc w:val="center"/>
        <w:rPr>
          <w:b/>
          <w:szCs w:val="24"/>
        </w:rPr>
      </w:pPr>
      <w:r w:rsidRPr="00D7469C">
        <w:rPr>
          <w:b/>
          <w:szCs w:val="24"/>
        </w:rPr>
        <w:t>THE PUBLIC UTILITIES COMMISSION OF OHIO</w:t>
      </w:r>
    </w:p>
    <w:p w:rsidR="00703B3D" w:rsidRPr="00D7469C" w:rsidP="00703B3D" w14:paraId="4E6D5EFC" w14:textId="77777777">
      <w:pPr>
        <w:pStyle w:val="HTMLPreformatted"/>
        <w:rPr>
          <w:rFonts w:ascii="Times New Roman" w:hAnsi="Times New Roman" w:cs="Times New Roman"/>
          <w:sz w:val="24"/>
          <w:szCs w:val="24"/>
        </w:rPr>
      </w:pPr>
    </w:p>
    <w:tbl>
      <w:tblPr>
        <w:tblW w:w="9360" w:type="dxa"/>
        <w:tblLook w:val="01E0"/>
      </w:tblPr>
      <w:tblGrid>
        <w:gridCol w:w="4590"/>
        <w:gridCol w:w="360"/>
        <w:gridCol w:w="4410"/>
      </w:tblGrid>
      <w:tr w14:paraId="2B65E6F6" w14:textId="77777777" w:rsidTr="005E4674">
        <w:tblPrEx>
          <w:tblW w:w="9360" w:type="dxa"/>
          <w:tblLook w:val="01E0"/>
        </w:tblPrEx>
        <w:trPr>
          <w:trHeight w:val="807"/>
        </w:trPr>
        <w:tc>
          <w:tcPr>
            <w:tcW w:w="4590" w:type="dxa"/>
            <w:shd w:val="clear" w:color="auto" w:fill="auto"/>
          </w:tcPr>
          <w:p w:rsidR="00703B3D" w:rsidRPr="00D7469C" w:rsidP="005E4674" w14:paraId="54E1D5BE" w14:textId="77777777">
            <w:pPr>
              <w:pStyle w:val="HTMLPreformatted"/>
              <w:rPr>
                <w:rFonts w:ascii="Times New Roman" w:hAnsi="Times New Roman" w:cs="Times New Roman"/>
                <w:sz w:val="24"/>
                <w:szCs w:val="24"/>
              </w:rPr>
            </w:pPr>
            <w:r w:rsidRPr="00D7469C">
              <w:rPr>
                <w:rFonts w:ascii="Times New Roman" w:hAnsi="Times New Roman" w:cs="Times New Roman"/>
                <w:sz w:val="24"/>
                <w:szCs w:val="24"/>
              </w:rPr>
              <w:t>In the Matter of the Review of the Power Purchase Agreement Rider of Ohio Power Company for 2018.</w:t>
            </w:r>
          </w:p>
          <w:p w:rsidR="00703B3D" w:rsidRPr="00D7469C" w:rsidP="005E4674" w14:paraId="76D1BEF3" w14:textId="77777777">
            <w:pPr>
              <w:pStyle w:val="HTMLPreformatted"/>
              <w:rPr>
                <w:rFonts w:ascii="Times New Roman" w:hAnsi="Times New Roman" w:cs="Times New Roman"/>
                <w:sz w:val="24"/>
                <w:szCs w:val="24"/>
              </w:rPr>
            </w:pPr>
          </w:p>
          <w:p w:rsidR="00703B3D" w:rsidRPr="00D7469C" w:rsidP="005E4674" w14:paraId="679763D1" w14:textId="77777777">
            <w:pPr>
              <w:pStyle w:val="HTMLPreformatted"/>
              <w:rPr>
                <w:rFonts w:ascii="Times New Roman" w:hAnsi="Times New Roman" w:cs="Times New Roman"/>
                <w:sz w:val="24"/>
                <w:szCs w:val="24"/>
              </w:rPr>
            </w:pPr>
            <w:r w:rsidRPr="00D7469C">
              <w:rPr>
                <w:rFonts w:ascii="Times New Roman" w:hAnsi="Times New Roman" w:cs="Times New Roman"/>
                <w:sz w:val="24"/>
                <w:szCs w:val="24"/>
              </w:rPr>
              <w:t>In the Matter of the Review of the Power Purchase Agreement Rider of Ohio Power Company for 2019.</w:t>
            </w:r>
          </w:p>
        </w:tc>
        <w:tc>
          <w:tcPr>
            <w:tcW w:w="360" w:type="dxa"/>
            <w:shd w:val="clear" w:color="auto" w:fill="auto"/>
          </w:tcPr>
          <w:p w:rsidR="00703B3D" w:rsidRPr="00D7469C" w:rsidP="005E4674" w14:paraId="35DD265D" w14:textId="77777777">
            <w:pPr>
              <w:pStyle w:val="HTMLPreformatted"/>
              <w:rPr>
                <w:rFonts w:ascii="Times New Roman" w:hAnsi="Times New Roman" w:cs="Times New Roman"/>
                <w:sz w:val="24"/>
                <w:szCs w:val="24"/>
              </w:rPr>
            </w:pPr>
            <w:r w:rsidRPr="00D7469C">
              <w:rPr>
                <w:rFonts w:ascii="Times New Roman" w:hAnsi="Times New Roman" w:cs="Times New Roman"/>
                <w:sz w:val="24"/>
                <w:szCs w:val="24"/>
              </w:rPr>
              <w:t>)</w:t>
            </w:r>
          </w:p>
          <w:p w:rsidR="00703B3D" w:rsidRPr="00D7469C" w:rsidP="005E4674" w14:paraId="001584AC" w14:textId="77777777">
            <w:pPr>
              <w:pStyle w:val="HTMLPreformatted"/>
              <w:rPr>
                <w:rFonts w:ascii="Times New Roman" w:hAnsi="Times New Roman" w:cs="Times New Roman"/>
                <w:sz w:val="24"/>
                <w:szCs w:val="24"/>
              </w:rPr>
            </w:pPr>
            <w:r w:rsidRPr="00D7469C">
              <w:rPr>
                <w:rFonts w:ascii="Times New Roman" w:hAnsi="Times New Roman" w:cs="Times New Roman"/>
                <w:sz w:val="24"/>
                <w:szCs w:val="24"/>
              </w:rPr>
              <w:t>)</w:t>
            </w:r>
          </w:p>
          <w:p w:rsidR="00703B3D" w:rsidRPr="00D7469C" w:rsidP="005E4674" w14:paraId="548F6784" w14:textId="77777777">
            <w:pPr>
              <w:pStyle w:val="HTMLPreformatted"/>
              <w:rPr>
                <w:rFonts w:ascii="Times New Roman" w:hAnsi="Times New Roman" w:cs="Times New Roman"/>
                <w:sz w:val="24"/>
                <w:szCs w:val="24"/>
              </w:rPr>
            </w:pPr>
            <w:r w:rsidRPr="00D7469C">
              <w:rPr>
                <w:rFonts w:ascii="Times New Roman" w:hAnsi="Times New Roman" w:cs="Times New Roman"/>
                <w:sz w:val="24"/>
                <w:szCs w:val="24"/>
              </w:rPr>
              <w:t>)</w:t>
            </w:r>
          </w:p>
          <w:p w:rsidR="00703B3D" w:rsidRPr="00D7469C" w:rsidP="005E4674" w14:paraId="1C83132A" w14:textId="77777777">
            <w:pPr>
              <w:pStyle w:val="HTMLPreformatted"/>
              <w:rPr>
                <w:rFonts w:ascii="Times New Roman" w:hAnsi="Times New Roman" w:cs="Times New Roman"/>
                <w:sz w:val="24"/>
                <w:szCs w:val="24"/>
              </w:rPr>
            </w:pPr>
          </w:p>
          <w:p w:rsidR="00703B3D" w:rsidRPr="00D7469C" w:rsidP="005E4674" w14:paraId="6B82FC0F" w14:textId="77777777">
            <w:pPr>
              <w:pStyle w:val="HTMLPreformatted"/>
              <w:rPr>
                <w:rFonts w:ascii="Times New Roman" w:hAnsi="Times New Roman" w:cs="Times New Roman"/>
                <w:sz w:val="24"/>
                <w:szCs w:val="24"/>
              </w:rPr>
            </w:pPr>
            <w:r w:rsidRPr="00D7469C">
              <w:rPr>
                <w:rFonts w:ascii="Times New Roman" w:hAnsi="Times New Roman" w:cs="Times New Roman"/>
                <w:sz w:val="24"/>
                <w:szCs w:val="24"/>
              </w:rPr>
              <w:t>)</w:t>
            </w:r>
          </w:p>
          <w:p w:rsidR="00703B3D" w:rsidRPr="00D7469C" w:rsidP="005E4674" w14:paraId="1B0CC86F" w14:textId="77777777">
            <w:pPr>
              <w:pStyle w:val="HTMLPreformatted"/>
              <w:rPr>
                <w:rFonts w:ascii="Times New Roman" w:hAnsi="Times New Roman" w:cs="Times New Roman"/>
                <w:sz w:val="24"/>
                <w:szCs w:val="24"/>
              </w:rPr>
            </w:pPr>
            <w:r w:rsidRPr="00D7469C">
              <w:rPr>
                <w:rFonts w:ascii="Times New Roman" w:hAnsi="Times New Roman" w:cs="Times New Roman"/>
                <w:sz w:val="24"/>
                <w:szCs w:val="24"/>
              </w:rPr>
              <w:t>)</w:t>
            </w:r>
          </w:p>
          <w:p w:rsidR="00703B3D" w:rsidRPr="00D7469C" w:rsidP="005E4674" w14:paraId="5471FCE6" w14:textId="77777777">
            <w:pPr>
              <w:pStyle w:val="HTMLPreformatted"/>
              <w:rPr>
                <w:rFonts w:ascii="Times New Roman" w:hAnsi="Times New Roman" w:cs="Times New Roman"/>
                <w:sz w:val="24"/>
                <w:szCs w:val="24"/>
              </w:rPr>
            </w:pPr>
            <w:r w:rsidRPr="00D7469C">
              <w:rPr>
                <w:rFonts w:ascii="Times New Roman" w:hAnsi="Times New Roman" w:cs="Times New Roman"/>
                <w:sz w:val="24"/>
                <w:szCs w:val="24"/>
              </w:rPr>
              <w:t>)</w:t>
            </w:r>
          </w:p>
        </w:tc>
        <w:tc>
          <w:tcPr>
            <w:tcW w:w="4410" w:type="dxa"/>
            <w:shd w:val="clear" w:color="auto" w:fill="auto"/>
          </w:tcPr>
          <w:p w:rsidR="00703B3D" w:rsidRPr="00D7469C" w:rsidP="005E4674" w14:paraId="33FFF4B3" w14:textId="77777777">
            <w:pPr>
              <w:pStyle w:val="HTMLPreformatted"/>
              <w:rPr>
                <w:rFonts w:ascii="Times New Roman" w:hAnsi="Times New Roman" w:cs="Times New Roman"/>
                <w:sz w:val="24"/>
                <w:szCs w:val="24"/>
              </w:rPr>
            </w:pPr>
          </w:p>
          <w:p w:rsidR="00703B3D" w:rsidRPr="00D7469C" w:rsidP="005E4674" w14:paraId="7D5B3524" w14:textId="77777777">
            <w:pPr>
              <w:pStyle w:val="HTMLPreformatted"/>
              <w:rPr>
                <w:rFonts w:ascii="Times New Roman" w:hAnsi="Times New Roman" w:cs="Times New Roman"/>
                <w:sz w:val="24"/>
                <w:szCs w:val="24"/>
              </w:rPr>
            </w:pPr>
            <w:r w:rsidRPr="00D7469C">
              <w:rPr>
                <w:rFonts w:ascii="Times New Roman" w:hAnsi="Times New Roman" w:cs="Times New Roman"/>
                <w:sz w:val="24"/>
                <w:szCs w:val="24"/>
              </w:rPr>
              <w:t>Case No. 18-1004-EL-RDR</w:t>
            </w:r>
          </w:p>
          <w:p w:rsidR="00703B3D" w:rsidRPr="00D7469C" w:rsidP="005E4674" w14:paraId="2F12962C" w14:textId="77777777">
            <w:pPr>
              <w:pStyle w:val="HTMLPreformatted"/>
              <w:rPr>
                <w:rFonts w:ascii="Times New Roman" w:hAnsi="Times New Roman" w:cs="Times New Roman"/>
                <w:sz w:val="24"/>
                <w:szCs w:val="24"/>
              </w:rPr>
            </w:pPr>
          </w:p>
          <w:p w:rsidR="00703B3D" w:rsidRPr="00D7469C" w:rsidP="005E4674" w14:paraId="7717E5A1" w14:textId="77777777">
            <w:pPr>
              <w:pStyle w:val="HTMLPreformatted"/>
              <w:rPr>
                <w:rFonts w:ascii="Times New Roman" w:hAnsi="Times New Roman" w:cs="Times New Roman"/>
                <w:sz w:val="24"/>
                <w:szCs w:val="24"/>
              </w:rPr>
            </w:pPr>
          </w:p>
          <w:p w:rsidR="00703B3D" w:rsidRPr="00D7469C" w:rsidP="005E4674" w14:paraId="6AD154E9" w14:textId="77777777">
            <w:pPr>
              <w:pStyle w:val="HTMLPreformatted"/>
              <w:rPr>
                <w:rFonts w:ascii="Times New Roman" w:hAnsi="Times New Roman" w:cs="Times New Roman"/>
                <w:sz w:val="24"/>
                <w:szCs w:val="24"/>
              </w:rPr>
            </w:pPr>
          </w:p>
          <w:p w:rsidR="00703B3D" w:rsidRPr="00D7469C" w:rsidP="005E4674" w14:paraId="7BB35F8F" w14:textId="77777777">
            <w:pPr>
              <w:pStyle w:val="HTMLPreformatted"/>
              <w:rPr>
                <w:rFonts w:ascii="Times New Roman" w:hAnsi="Times New Roman" w:cs="Times New Roman"/>
                <w:sz w:val="24"/>
                <w:szCs w:val="24"/>
              </w:rPr>
            </w:pPr>
            <w:r w:rsidRPr="00D7469C">
              <w:rPr>
                <w:rFonts w:ascii="Times New Roman" w:hAnsi="Times New Roman" w:cs="Times New Roman"/>
                <w:sz w:val="24"/>
                <w:szCs w:val="24"/>
              </w:rPr>
              <w:t>Case No. 18-1759-EL-RDR</w:t>
            </w:r>
          </w:p>
        </w:tc>
      </w:tr>
    </w:tbl>
    <w:p w:rsidR="00703B3D" w:rsidRPr="00D7469C" w:rsidP="00703B3D" w14:paraId="7F5A4880" w14:textId="77777777">
      <w:pPr>
        <w:pBdr>
          <w:bottom w:val="single" w:sz="12" w:space="1" w:color="auto"/>
        </w:pBdr>
        <w:rPr>
          <w:szCs w:val="24"/>
        </w:rPr>
      </w:pPr>
    </w:p>
    <w:p w:rsidR="00703B3D" w:rsidRPr="00D7469C" w:rsidP="00703B3D" w14:paraId="313083A0" w14:textId="77777777">
      <w:pPr>
        <w:rPr>
          <w:b/>
          <w:bCs w:val="0"/>
          <w:szCs w:val="24"/>
        </w:rPr>
      </w:pPr>
    </w:p>
    <w:p w:rsidR="00703B3D" w:rsidRPr="00D7469C" w:rsidP="00703B3D" w14:paraId="7BC524F9" w14:textId="4B28A0B6">
      <w:pPr>
        <w:jc w:val="center"/>
        <w:rPr>
          <w:b/>
          <w:bCs w:val="0"/>
          <w:szCs w:val="24"/>
        </w:rPr>
      </w:pPr>
      <w:r w:rsidRPr="00D7469C">
        <w:rPr>
          <w:b/>
          <w:bCs w:val="0"/>
          <w:szCs w:val="24"/>
        </w:rPr>
        <w:t xml:space="preserve">MEMORANDUM </w:t>
      </w:r>
      <w:r w:rsidRPr="00D7469C" w:rsidR="00C21F22">
        <w:rPr>
          <w:b/>
          <w:bCs w:val="0"/>
          <w:szCs w:val="24"/>
        </w:rPr>
        <w:t>CONTRA</w:t>
      </w:r>
      <w:r w:rsidRPr="00D7469C">
        <w:rPr>
          <w:b/>
          <w:bCs w:val="0"/>
          <w:szCs w:val="24"/>
        </w:rPr>
        <w:t xml:space="preserve"> </w:t>
      </w:r>
      <w:r w:rsidRPr="00D7469C" w:rsidR="00EB6D85">
        <w:rPr>
          <w:b/>
          <w:bCs w:val="0"/>
          <w:szCs w:val="24"/>
        </w:rPr>
        <w:t>AEP</w:t>
      </w:r>
      <w:r w:rsidRPr="00D7469C">
        <w:rPr>
          <w:b/>
          <w:bCs w:val="0"/>
          <w:szCs w:val="24"/>
        </w:rPr>
        <w:t>’S</w:t>
      </w:r>
      <w:r w:rsidRPr="00D7469C">
        <w:rPr>
          <w:b/>
          <w:bCs w:val="0"/>
          <w:szCs w:val="24"/>
        </w:rPr>
        <w:t xml:space="preserve"> </w:t>
      </w:r>
    </w:p>
    <w:p w:rsidR="004D27BD" w:rsidRPr="00D7469C" w:rsidP="00703B3D" w14:paraId="17FC4D7A" w14:textId="573A428E">
      <w:pPr>
        <w:jc w:val="center"/>
        <w:rPr>
          <w:b/>
          <w:bCs w:val="0"/>
          <w:szCs w:val="24"/>
        </w:rPr>
      </w:pPr>
      <w:r w:rsidRPr="00D7469C">
        <w:rPr>
          <w:b/>
          <w:bCs w:val="0"/>
          <w:szCs w:val="24"/>
        </w:rPr>
        <w:t xml:space="preserve">MOTION </w:t>
      </w:r>
      <w:r w:rsidRPr="00D7469C">
        <w:rPr>
          <w:b/>
          <w:bCs w:val="0"/>
          <w:szCs w:val="24"/>
        </w:rPr>
        <w:t xml:space="preserve">FOR </w:t>
      </w:r>
      <w:r w:rsidRPr="00D7469C">
        <w:rPr>
          <w:b/>
          <w:bCs w:val="0"/>
          <w:szCs w:val="24"/>
        </w:rPr>
        <w:t xml:space="preserve">A </w:t>
      </w:r>
      <w:r w:rsidRPr="00D7469C">
        <w:rPr>
          <w:b/>
          <w:bCs w:val="0"/>
          <w:szCs w:val="24"/>
        </w:rPr>
        <w:t>PROTECTIVE ORDER</w:t>
      </w:r>
      <w:r w:rsidRPr="00D7469C" w:rsidR="00EB6D85">
        <w:rPr>
          <w:b/>
          <w:bCs w:val="0"/>
          <w:szCs w:val="24"/>
        </w:rPr>
        <w:t xml:space="preserve"> TO PREVENT OCC FROM TAKING A DEPOSITION ON OVEC COAL POWER PLANT </w:t>
      </w:r>
      <w:r w:rsidRPr="00D7469C" w:rsidR="003F62D8">
        <w:rPr>
          <w:b/>
          <w:bCs w:val="0"/>
          <w:szCs w:val="24"/>
        </w:rPr>
        <w:t>SUBSIDIES</w:t>
      </w:r>
    </w:p>
    <w:p w:rsidR="00703B3D" w:rsidRPr="00D7469C" w:rsidP="004D27BD" w14:paraId="4B0E057E" w14:textId="55FAA90D">
      <w:pPr>
        <w:pBdr>
          <w:bottom w:val="single" w:sz="12" w:space="1" w:color="auto"/>
        </w:pBdr>
        <w:jc w:val="center"/>
        <w:rPr>
          <w:b/>
          <w:bCs w:val="0"/>
          <w:szCs w:val="24"/>
        </w:rPr>
      </w:pPr>
      <w:r w:rsidRPr="00D7469C">
        <w:rPr>
          <w:b/>
          <w:bCs w:val="0"/>
          <w:szCs w:val="24"/>
        </w:rPr>
        <w:t>BY</w:t>
      </w:r>
    </w:p>
    <w:p w:rsidR="00703B3D" w:rsidRPr="00D7469C" w:rsidP="004D27BD" w14:paraId="0C344AAB" w14:textId="6A0A5231">
      <w:pPr>
        <w:pBdr>
          <w:bottom w:val="single" w:sz="12" w:space="1" w:color="auto"/>
        </w:pBdr>
        <w:jc w:val="center"/>
        <w:rPr>
          <w:b/>
          <w:bCs w:val="0"/>
          <w:szCs w:val="24"/>
        </w:rPr>
      </w:pPr>
      <w:r w:rsidRPr="00D7469C">
        <w:rPr>
          <w:b/>
          <w:bCs w:val="0"/>
          <w:szCs w:val="24"/>
        </w:rPr>
        <w:t>THE OFFICE OF THE OHIO CONSUMERS’ COUNSEL</w:t>
      </w:r>
    </w:p>
    <w:p w:rsidR="00703B3D" w:rsidRPr="00D7469C" w:rsidP="004D27BD" w14:paraId="29001724" w14:textId="77777777">
      <w:pPr>
        <w:pBdr>
          <w:bottom w:val="single" w:sz="12" w:space="1" w:color="auto"/>
        </w:pBdr>
        <w:jc w:val="center"/>
        <w:rPr>
          <w:b/>
          <w:bCs w:val="0"/>
          <w:szCs w:val="24"/>
        </w:rPr>
      </w:pPr>
    </w:p>
    <w:p w:rsidR="00C21F22" w:rsidRPr="00D7469C" w:rsidP="00C21F22" w14:paraId="1D4694C6" w14:textId="77777777">
      <w:pPr>
        <w:rPr>
          <w:b/>
          <w:bCs w:val="0"/>
          <w:szCs w:val="24"/>
        </w:rPr>
      </w:pPr>
      <w:r w:rsidRPr="00D7469C">
        <w:rPr>
          <w:b/>
          <w:bCs w:val="0"/>
          <w:szCs w:val="24"/>
        </w:rPr>
        <w:tab/>
      </w:r>
      <w:r w:rsidRPr="00D7469C">
        <w:rPr>
          <w:b/>
          <w:bCs w:val="0"/>
          <w:szCs w:val="24"/>
        </w:rPr>
        <w:tab/>
      </w:r>
    </w:p>
    <w:p w:rsidR="00A6758B" w:rsidRPr="00D7469C" w:rsidP="00CB40E0" w14:paraId="5D3C0559" w14:textId="3BF2C144">
      <w:pPr>
        <w:pStyle w:val="Heading1"/>
        <w:rPr>
          <w:rFonts w:ascii="Times New Roman" w:hAnsi="Times New Roman" w:cs="Times New Roman"/>
          <w:bCs w:val="0"/>
          <w:szCs w:val="24"/>
        </w:rPr>
      </w:pPr>
      <w:bookmarkStart w:id="1" w:name="_Toc62046187"/>
      <w:r w:rsidRPr="00D7469C">
        <w:rPr>
          <w:rFonts w:ascii="Times New Roman" w:hAnsi="Times New Roman" w:cs="Times New Roman"/>
          <w:bCs w:val="0"/>
          <w:szCs w:val="24"/>
        </w:rPr>
        <w:t>I.</w:t>
      </w:r>
      <w:r w:rsidRPr="00D7469C">
        <w:rPr>
          <w:rFonts w:ascii="Times New Roman" w:hAnsi="Times New Roman" w:cs="Times New Roman"/>
          <w:bCs w:val="0"/>
          <w:szCs w:val="24"/>
        </w:rPr>
        <w:tab/>
      </w:r>
      <w:r w:rsidRPr="00D7469C">
        <w:rPr>
          <w:rFonts w:ascii="Times New Roman" w:hAnsi="Times New Roman" w:cs="Times New Roman"/>
          <w:bCs w:val="0"/>
          <w:szCs w:val="24"/>
        </w:rPr>
        <w:t>INTRODUCTION</w:t>
      </w:r>
      <w:bookmarkEnd w:id="1"/>
      <w:r w:rsidRPr="00D7469C" w:rsidR="00076046">
        <w:rPr>
          <w:rFonts w:ascii="Times New Roman" w:hAnsi="Times New Roman" w:cs="Times New Roman"/>
          <w:bCs w:val="0"/>
          <w:szCs w:val="24"/>
        </w:rPr>
        <w:tab/>
      </w:r>
    </w:p>
    <w:p w:rsidR="002C2638" w:rsidRPr="00D7469C" w14:paraId="2C67CD26" w14:textId="71183712">
      <w:pPr>
        <w:spacing w:line="480" w:lineRule="auto"/>
        <w:ind w:firstLine="720"/>
        <w:rPr>
          <w:szCs w:val="24"/>
        </w:rPr>
      </w:pPr>
      <w:r w:rsidRPr="00D7469C">
        <w:rPr>
          <w:szCs w:val="24"/>
        </w:rPr>
        <w:t xml:space="preserve">As a result of utility </w:t>
      </w:r>
      <w:r w:rsidRPr="00D7469C" w:rsidR="00E9716F">
        <w:rPr>
          <w:szCs w:val="24"/>
        </w:rPr>
        <w:t>proposals</w:t>
      </w:r>
      <w:r w:rsidRPr="00D7469C">
        <w:rPr>
          <w:szCs w:val="24"/>
        </w:rPr>
        <w:t xml:space="preserve"> and Ohio government approvals (by the PUCO and the legislature), </w:t>
      </w:r>
      <w:r w:rsidRPr="00D7469C" w:rsidR="00076046">
        <w:rPr>
          <w:szCs w:val="24"/>
        </w:rPr>
        <w:t>AEP Ohio</w:t>
      </w:r>
      <w:r w:rsidRPr="00D7469C" w:rsidR="0067180B">
        <w:rPr>
          <w:szCs w:val="24"/>
        </w:rPr>
        <w:t xml:space="preserve"> has been charging its</w:t>
      </w:r>
      <w:r w:rsidRPr="00D7469C" w:rsidR="00605781">
        <w:rPr>
          <w:szCs w:val="24"/>
        </w:rPr>
        <w:t xml:space="preserve"> </w:t>
      </w:r>
      <w:r w:rsidRPr="00D7469C" w:rsidR="00B556CB">
        <w:rPr>
          <w:szCs w:val="24"/>
        </w:rPr>
        <w:t>1.5</w:t>
      </w:r>
      <w:r w:rsidRPr="00D7469C" w:rsidR="00605781">
        <w:rPr>
          <w:szCs w:val="24"/>
        </w:rPr>
        <w:t xml:space="preserve"> million customers</w:t>
      </w:r>
      <w:r w:rsidRPr="00D7469C" w:rsidR="007F025D">
        <w:rPr>
          <w:szCs w:val="24"/>
        </w:rPr>
        <w:t xml:space="preserve"> to </w:t>
      </w:r>
      <w:r w:rsidRPr="00D7469C" w:rsidR="00062B83">
        <w:rPr>
          <w:szCs w:val="24"/>
        </w:rPr>
        <w:t>bail</w:t>
      </w:r>
      <w:r w:rsidRPr="00D7469C" w:rsidR="00374642">
        <w:rPr>
          <w:szCs w:val="24"/>
        </w:rPr>
        <w:t xml:space="preserve"> </w:t>
      </w:r>
      <w:r w:rsidRPr="00D7469C" w:rsidR="00062B83">
        <w:rPr>
          <w:szCs w:val="24"/>
        </w:rPr>
        <w:t>out</w:t>
      </w:r>
      <w:r w:rsidRPr="00D7469C" w:rsidR="00605781">
        <w:rPr>
          <w:szCs w:val="24"/>
        </w:rPr>
        <w:t xml:space="preserve"> </w:t>
      </w:r>
      <w:r w:rsidRPr="00D7469C" w:rsidR="00076046">
        <w:rPr>
          <w:szCs w:val="24"/>
        </w:rPr>
        <w:t xml:space="preserve">two </w:t>
      </w:r>
      <w:r w:rsidRPr="00D7469C" w:rsidR="007F025D">
        <w:rPr>
          <w:szCs w:val="24"/>
        </w:rPr>
        <w:t>polluting</w:t>
      </w:r>
      <w:r w:rsidRPr="00D7469C" w:rsidR="00605781">
        <w:rPr>
          <w:szCs w:val="24"/>
        </w:rPr>
        <w:t xml:space="preserve">, uneconomic </w:t>
      </w:r>
      <w:r w:rsidRPr="00D7469C" w:rsidR="00537291">
        <w:rPr>
          <w:szCs w:val="24"/>
        </w:rPr>
        <w:t xml:space="preserve">OVEC </w:t>
      </w:r>
      <w:r w:rsidRPr="00D7469C" w:rsidR="00076046">
        <w:rPr>
          <w:szCs w:val="24"/>
        </w:rPr>
        <w:t xml:space="preserve">coal </w:t>
      </w:r>
      <w:r w:rsidRPr="00D7469C" w:rsidR="009D2843">
        <w:rPr>
          <w:szCs w:val="24"/>
        </w:rPr>
        <w:t xml:space="preserve">power </w:t>
      </w:r>
      <w:r w:rsidRPr="00D7469C" w:rsidR="00076046">
        <w:rPr>
          <w:szCs w:val="24"/>
        </w:rPr>
        <w:t>plants</w:t>
      </w:r>
      <w:r w:rsidRPr="00D7469C" w:rsidR="007F025D">
        <w:rPr>
          <w:szCs w:val="24"/>
        </w:rPr>
        <w:t xml:space="preserve">. </w:t>
      </w:r>
      <w:r w:rsidRPr="00D7469C" w:rsidR="00584522">
        <w:rPr>
          <w:szCs w:val="24"/>
        </w:rPr>
        <w:t>We note that s</w:t>
      </w:r>
      <w:r w:rsidRPr="00D7469C" w:rsidR="009D2843">
        <w:rPr>
          <w:szCs w:val="24"/>
        </w:rPr>
        <w:t xml:space="preserve">ome </w:t>
      </w:r>
      <w:r w:rsidRPr="00D7469C" w:rsidR="00E360BF">
        <w:rPr>
          <w:szCs w:val="24"/>
        </w:rPr>
        <w:t>who feed at the public trough</w:t>
      </w:r>
      <w:r w:rsidRPr="00D7469C" w:rsidR="00062B83">
        <w:rPr>
          <w:szCs w:val="24"/>
        </w:rPr>
        <w:t xml:space="preserve"> </w:t>
      </w:r>
      <w:r w:rsidRPr="00D7469C" w:rsidR="009D2843">
        <w:rPr>
          <w:szCs w:val="24"/>
        </w:rPr>
        <w:t>do so with</w:t>
      </w:r>
      <w:r w:rsidRPr="00D7469C" w:rsidR="00E360BF">
        <w:rPr>
          <w:szCs w:val="24"/>
        </w:rPr>
        <w:t xml:space="preserve"> </w:t>
      </w:r>
      <w:r w:rsidRPr="00D7469C" w:rsidR="00062B83">
        <w:rPr>
          <w:szCs w:val="24"/>
        </w:rPr>
        <w:t>a sense of entitlement</w:t>
      </w:r>
      <w:r w:rsidRPr="00D7469C" w:rsidR="00E360BF">
        <w:rPr>
          <w:szCs w:val="24"/>
        </w:rPr>
        <w:t xml:space="preserve"> to their corporate welfare</w:t>
      </w:r>
      <w:r w:rsidRPr="00D7469C" w:rsidR="00374642">
        <w:rPr>
          <w:szCs w:val="24"/>
        </w:rPr>
        <w:t>.</w:t>
      </w:r>
      <w:r w:rsidRPr="00D7469C" w:rsidR="00062B83">
        <w:rPr>
          <w:szCs w:val="24"/>
        </w:rPr>
        <w:t xml:space="preserve"> </w:t>
      </w:r>
      <w:r w:rsidRPr="00D7469C" w:rsidR="00374642">
        <w:rPr>
          <w:szCs w:val="24"/>
        </w:rPr>
        <w:t>A</w:t>
      </w:r>
      <w:r w:rsidRPr="00D7469C" w:rsidR="00062B83">
        <w:rPr>
          <w:szCs w:val="24"/>
        </w:rPr>
        <w:t>nd that brings us to AEP</w:t>
      </w:r>
      <w:r w:rsidRPr="00D7469C">
        <w:rPr>
          <w:szCs w:val="24"/>
        </w:rPr>
        <w:t>.</w:t>
      </w:r>
      <w:r w:rsidRPr="00D7469C" w:rsidR="00062B83">
        <w:rPr>
          <w:szCs w:val="24"/>
        </w:rPr>
        <w:t xml:space="preserve"> </w:t>
      </w:r>
    </w:p>
    <w:p w:rsidR="00286749" w:rsidRPr="00D7469C" w:rsidP="002C2638" w14:paraId="38025DF8" w14:textId="77777777">
      <w:pPr>
        <w:spacing w:line="480" w:lineRule="auto"/>
        <w:ind w:firstLine="720"/>
        <w:rPr>
          <w:szCs w:val="24"/>
        </w:rPr>
      </w:pPr>
      <w:r w:rsidRPr="00D7469C">
        <w:rPr>
          <w:szCs w:val="24"/>
        </w:rPr>
        <w:t xml:space="preserve">In its Motion for Protection, </w:t>
      </w:r>
      <w:r w:rsidRPr="00D7469C" w:rsidR="002A2B80">
        <w:rPr>
          <w:szCs w:val="24"/>
        </w:rPr>
        <w:t>AEP is</w:t>
      </w:r>
      <w:r w:rsidRPr="00D7469C" w:rsidR="00062B83">
        <w:rPr>
          <w:szCs w:val="24"/>
        </w:rPr>
        <w:t xml:space="preserve"> </w:t>
      </w:r>
      <w:r w:rsidRPr="00D7469C" w:rsidR="007A116B">
        <w:rPr>
          <w:szCs w:val="24"/>
        </w:rPr>
        <w:t xml:space="preserve">bent on </w:t>
      </w:r>
      <w:r w:rsidRPr="00D7469C" w:rsidR="00062B83">
        <w:rPr>
          <w:szCs w:val="24"/>
        </w:rPr>
        <w:t>thwart</w:t>
      </w:r>
      <w:r w:rsidRPr="00D7469C" w:rsidR="002A2B80">
        <w:rPr>
          <w:szCs w:val="24"/>
        </w:rPr>
        <w:t>ing</w:t>
      </w:r>
      <w:r w:rsidRPr="00D7469C" w:rsidR="007A116B">
        <w:rPr>
          <w:szCs w:val="24"/>
        </w:rPr>
        <w:t xml:space="preserve"> and has already delayed</w:t>
      </w:r>
      <w:r w:rsidRPr="00D7469C" w:rsidR="00062B83">
        <w:rPr>
          <w:szCs w:val="24"/>
        </w:rPr>
        <w:t xml:space="preserve"> </w:t>
      </w:r>
      <w:r w:rsidRPr="00D7469C" w:rsidR="009C4AE6">
        <w:rPr>
          <w:szCs w:val="24"/>
        </w:rPr>
        <w:t>the Ohio Consumers’ Counsel’s</w:t>
      </w:r>
      <w:r w:rsidRPr="00D7469C" w:rsidR="00062B83">
        <w:rPr>
          <w:szCs w:val="24"/>
        </w:rPr>
        <w:t xml:space="preserve"> </w:t>
      </w:r>
      <w:r w:rsidRPr="00D7469C" w:rsidR="007A116B">
        <w:rPr>
          <w:szCs w:val="24"/>
        </w:rPr>
        <w:t>mere</w:t>
      </w:r>
      <w:r w:rsidRPr="00D7469C" w:rsidR="00062B83">
        <w:rPr>
          <w:szCs w:val="24"/>
        </w:rPr>
        <w:t xml:space="preserve"> request to depose </w:t>
      </w:r>
      <w:r w:rsidRPr="00D7469C" w:rsidR="00374642">
        <w:rPr>
          <w:szCs w:val="24"/>
        </w:rPr>
        <w:t xml:space="preserve">an AEP official on the prudence of certain of the coal plant </w:t>
      </w:r>
      <w:r w:rsidRPr="00D7469C" w:rsidR="007A116B">
        <w:rPr>
          <w:szCs w:val="24"/>
        </w:rPr>
        <w:t>subsidies</w:t>
      </w:r>
      <w:r w:rsidRPr="00D7469C" w:rsidR="00374642">
        <w:rPr>
          <w:szCs w:val="24"/>
        </w:rPr>
        <w:t xml:space="preserve"> that it is charging to consumers. </w:t>
      </w:r>
      <w:r w:rsidRPr="00D7469C" w:rsidR="00D070AE">
        <w:rPr>
          <w:szCs w:val="24"/>
        </w:rPr>
        <w:t xml:space="preserve"> </w:t>
      </w:r>
      <w:r w:rsidRPr="00D7469C" w:rsidR="007A116B">
        <w:rPr>
          <w:szCs w:val="24"/>
        </w:rPr>
        <w:t>It’s a</w:t>
      </w:r>
      <w:r w:rsidRPr="00D7469C" w:rsidR="00045549">
        <w:rPr>
          <w:szCs w:val="24"/>
        </w:rPr>
        <w:t>n old</w:t>
      </w:r>
      <w:r w:rsidRPr="00D7469C" w:rsidR="007A116B">
        <w:rPr>
          <w:szCs w:val="24"/>
        </w:rPr>
        <w:t xml:space="preserve"> </w:t>
      </w:r>
      <w:r w:rsidRPr="00D7469C">
        <w:rPr>
          <w:szCs w:val="24"/>
        </w:rPr>
        <w:t xml:space="preserve">utility </w:t>
      </w:r>
      <w:r w:rsidRPr="00D7469C" w:rsidR="007A116B">
        <w:rPr>
          <w:szCs w:val="24"/>
        </w:rPr>
        <w:t>strategy that continues nearly forty years after</w:t>
      </w:r>
      <w:r w:rsidRPr="00D7469C" w:rsidR="00DE6065">
        <w:rPr>
          <w:szCs w:val="24"/>
        </w:rPr>
        <w:t xml:space="preserve"> – and despite –</w:t>
      </w:r>
      <w:r w:rsidRPr="00D7469C" w:rsidR="007A116B">
        <w:rPr>
          <w:szCs w:val="24"/>
        </w:rPr>
        <w:t xml:space="preserve"> the legislature’s </w:t>
      </w:r>
      <w:r w:rsidRPr="00D7469C" w:rsidR="00DE6065">
        <w:rPr>
          <w:szCs w:val="24"/>
        </w:rPr>
        <w:t xml:space="preserve">discovery </w:t>
      </w:r>
      <w:r w:rsidRPr="00D7469C" w:rsidR="007A116B">
        <w:rPr>
          <w:szCs w:val="24"/>
        </w:rPr>
        <w:t>reform statute, R.C. 4903.082</w:t>
      </w:r>
      <w:r w:rsidRPr="00D7469C" w:rsidR="00DE6065">
        <w:rPr>
          <w:szCs w:val="24"/>
        </w:rPr>
        <w:t>.</w:t>
      </w:r>
      <w:r w:rsidRPr="00D7469C" w:rsidR="007A116B">
        <w:rPr>
          <w:szCs w:val="24"/>
        </w:rPr>
        <w:t xml:space="preserve"> </w:t>
      </w:r>
      <w:r w:rsidRPr="00D7469C" w:rsidR="00DE6065">
        <w:rPr>
          <w:szCs w:val="24"/>
        </w:rPr>
        <w:t>That statue</w:t>
      </w:r>
      <w:r w:rsidRPr="00D7469C" w:rsidR="007A116B">
        <w:rPr>
          <w:szCs w:val="24"/>
        </w:rPr>
        <w:t xml:space="preserve"> ensur</w:t>
      </w:r>
      <w:r w:rsidRPr="00D7469C" w:rsidR="00DE6065">
        <w:rPr>
          <w:szCs w:val="24"/>
        </w:rPr>
        <w:t>es</w:t>
      </w:r>
      <w:r w:rsidRPr="00D7469C" w:rsidR="007A116B">
        <w:rPr>
          <w:szCs w:val="24"/>
        </w:rPr>
        <w:t xml:space="preserve"> the discovery rights for </w:t>
      </w:r>
      <w:r w:rsidRPr="00D7469C" w:rsidR="00CF6EC1">
        <w:rPr>
          <w:szCs w:val="24"/>
        </w:rPr>
        <w:t>a party such as OCC that is performing state work to investigate utility monopolies such as AEP.</w:t>
      </w:r>
      <w:r w:rsidRPr="00D7469C" w:rsidR="007A116B">
        <w:rPr>
          <w:szCs w:val="24"/>
        </w:rPr>
        <w:t xml:space="preserve">  </w:t>
      </w:r>
      <w:r w:rsidRPr="00D7469C" w:rsidR="000B4BB9">
        <w:rPr>
          <w:szCs w:val="24"/>
        </w:rPr>
        <w:t xml:space="preserve">That AEP </w:t>
      </w:r>
      <w:r w:rsidRPr="00D7469C" w:rsidR="009B74B6">
        <w:rPr>
          <w:szCs w:val="24"/>
        </w:rPr>
        <w:t>perceives</w:t>
      </w:r>
      <w:r w:rsidRPr="00D7469C" w:rsidR="000B4BB9">
        <w:rPr>
          <w:szCs w:val="24"/>
        </w:rPr>
        <w:t xml:space="preserve"> it has license to even file </w:t>
      </w:r>
      <w:r w:rsidRPr="00D7469C" w:rsidR="009B74B6">
        <w:rPr>
          <w:szCs w:val="24"/>
        </w:rPr>
        <w:t>a</w:t>
      </w:r>
      <w:r w:rsidRPr="00D7469C" w:rsidR="000B4BB9">
        <w:rPr>
          <w:szCs w:val="24"/>
        </w:rPr>
        <w:t xml:space="preserve"> Motion to prevent OCC’s deposition suggests that the PUCO has failed to impose </w:t>
      </w:r>
      <w:r w:rsidRPr="00D7469C" w:rsidR="009B74B6">
        <w:rPr>
          <w:szCs w:val="24"/>
        </w:rPr>
        <w:t xml:space="preserve">sufficient consequences </w:t>
      </w:r>
      <w:r w:rsidRPr="00D7469C" w:rsidR="003534D4">
        <w:rPr>
          <w:szCs w:val="24"/>
        </w:rPr>
        <w:t>to deter</w:t>
      </w:r>
      <w:r w:rsidRPr="00D7469C" w:rsidR="009B74B6">
        <w:rPr>
          <w:szCs w:val="24"/>
        </w:rPr>
        <w:t xml:space="preserve"> utilities </w:t>
      </w:r>
      <w:r w:rsidRPr="00D7469C" w:rsidR="003534D4">
        <w:rPr>
          <w:szCs w:val="24"/>
        </w:rPr>
        <w:t>from</w:t>
      </w:r>
      <w:r w:rsidRPr="00D7469C" w:rsidR="009B74B6">
        <w:rPr>
          <w:szCs w:val="24"/>
        </w:rPr>
        <w:t xml:space="preserve"> this</w:t>
      </w:r>
      <w:r w:rsidRPr="00D7469C" w:rsidR="00D47814">
        <w:rPr>
          <w:szCs w:val="24"/>
        </w:rPr>
        <w:t xml:space="preserve"> obstructi</w:t>
      </w:r>
      <w:r w:rsidRPr="00D7469C" w:rsidR="00B36B45">
        <w:rPr>
          <w:szCs w:val="24"/>
        </w:rPr>
        <w:t>onist tactic.</w:t>
      </w:r>
      <w:r w:rsidRPr="00D7469C" w:rsidR="009B74B6">
        <w:rPr>
          <w:szCs w:val="24"/>
        </w:rPr>
        <w:t xml:space="preserve"> </w:t>
      </w:r>
    </w:p>
    <w:p w:rsidR="00286749" w:rsidRPr="00D7469C" w:rsidP="002C2638" w14:paraId="01CAFB99" w14:textId="77777777">
      <w:pPr>
        <w:spacing w:line="480" w:lineRule="auto"/>
        <w:ind w:firstLine="720"/>
        <w:rPr>
          <w:szCs w:val="24"/>
        </w:rPr>
      </w:pPr>
    </w:p>
    <w:p w:rsidR="00286749" w:rsidRPr="00D7469C" w:rsidP="002C2638" w14:paraId="4A7D76A6" w14:textId="77777777">
      <w:pPr>
        <w:spacing w:line="480" w:lineRule="auto"/>
        <w:ind w:firstLine="720"/>
        <w:rPr>
          <w:szCs w:val="24"/>
        </w:rPr>
        <w:sectPr w:rsidSect="00467DF9">
          <w:headerReference w:type="default" r:id="rId13"/>
          <w:footerReference w:type="default" r:id="rId14"/>
          <w:pgSz w:w="12240" w:h="15840"/>
          <w:pgMar w:top="1440" w:right="1440" w:bottom="1440" w:left="1440" w:header="720" w:footer="720" w:gutter="0"/>
          <w:pgNumType w:start="1"/>
          <w:cols w:space="720"/>
          <w:docGrid w:linePitch="360"/>
        </w:sectPr>
      </w:pPr>
    </w:p>
    <w:p w:rsidR="009B74B6" w:rsidRPr="00D7469C" w:rsidP="002C2638" w14:paraId="2109F745" w14:textId="470D8230">
      <w:pPr>
        <w:spacing w:line="480" w:lineRule="auto"/>
        <w:ind w:firstLine="720"/>
        <w:rPr>
          <w:szCs w:val="24"/>
        </w:rPr>
      </w:pPr>
      <w:r w:rsidRPr="00D7469C">
        <w:rPr>
          <w:szCs w:val="24"/>
        </w:rPr>
        <w:t xml:space="preserve">The longstanding </w:t>
      </w:r>
      <w:r w:rsidRPr="00D7469C" w:rsidR="00B36B45">
        <w:rPr>
          <w:szCs w:val="24"/>
        </w:rPr>
        <w:t xml:space="preserve">Ohio Administrative Code provisions for </w:t>
      </w:r>
      <w:r w:rsidRPr="00D7469C">
        <w:rPr>
          <w:szCs w:val="24"/>
        </w:rPr>
        <w:t xml:space="preserve">discovery, some of which date back to 1981 in their current form, </w:t>
      </w:r>
      <w:r w:rsidRPr="00D7469C" w:rsidR="00E3320C">
        <w:rPr>
          <w:szCs w:val="24"/>
        </w:rPr>
        <w:t>are meant to facilitate thorough and adequate preparation…</w:t>
      </w:r>
      <w:r w:rsidRPr="00D7469C" w:rsidR="00097DF3">
        <w:rPr>
          <w:szCs w:val="24"/>
        </w:rPr>
        <w:t>”</w:t>
      </w:r>
      <w:r w:rsidRPr="00D7469C" w:rsidR="0094428C">
        <w:rPr>
          <w:szCs w:val="24"/>
        </w:rPr>
        <w:t xml:space="preserve"> in PUCO cases.</w:t>
      </w:r>
      <w:r>
        <w:rPr>
          <w:rStyle w:val="FootnoteReference"/>
          <w:szCs w:val="24"/>
        </w:rPr>
        <w:footnoteReference w:id="2"/>
      </w:r>
      <w:r w:rsidRPr="00D7469C" w:rsidR="00097DF3">
        <w:rPr>
          <w:szCs w:val="24"/>
        </w:rPr>
        <w:t xml:space="preserve">  And they’re </w:t>
      </w:r>
      <w:r w:rsidRPr="00D7469C" w:rsidR="00271D54">
        <w:rPr>
          <w:szCs w:val="24"/>
        </w:rPr>
        <w:t>“</w:t>
      </w:r>
      <w:r w:rsidRPr="00D7469C" w:rsidR="00097DF3">
        <w:rPr>
          <w:szCs w:val="24"/>
        </w:rPr>
        <w:t xml:space="preserve">intended </w:t>
      </w:r>
      <w:r w:rsidRPr="00D7469C">
        <w:rPr>
          <w:szCs w:val="24"/>
        </w:rPr>
        <w:t>to minimize commission intervention in the discovery process</w:t>
      </w:r>
      <w:r w:rsidRPr="00D7469C" w:rsidR="00C31740">
        <w:rPr>
          <w:szCs w:val="24"/>
        </w:rPr>
        <w:t>.</w:t>
      </w:r>
      <w:r w:rsidRPr="00D7469C">
        <w:rPr>
          <w:szCs w:val="24"/>
        </w:rPr>
        <w:t>”</w:t>
      </w:r>
      <w:r>
        <w:rPr>
          <w:rStyle w:val="FootnoteReference"/>
          <w:szCs w:val="24"/>
        </w:rPr>
        <w:footnoteReference w:id="3"/>
      </w:r>
      <w:r w:rsidRPr="00D7469C" w:rsidR="00E3320C">
        <w:rPr>
          <w:szCs w:val="24"/>
        </w:rPr>
        <w:t xml:space="preserve"> </w:t>
      </w:r>
    </w:p>
    <w:p w:rsidR="00046C5E" w:rsidRPr="00D7469C" w:rsidP="00ED4EC2" w14:paraId="387633A1" w14:textId="6723BDAA">
      <w:pPr>
        <w:spacing w:line="480" w:lineRule="auto"/>
        <w:ind w:firstLine="720"/>
        <w:rPr>
          <w:szCs w:val="24"/>
        </w:rPr>
      </w:pPr>
      <w:r w:rsidRPr="00D7469C">
        <w:rPr>
          <w:szCs w:val="24"/>
        </w:rPr>
        <w:t>Here, t</w:t>
      </w:r>
      <w:r w:rsidRPr="00D7469C" w:rsidR="00076046">
        <w:rPr>
          <w:szCs w:val="24"/>
        </w:rPr>
        <w:t>he PUCO</w:t>
      </w:r>
      <w:r w:rsidRPr="00D7469C" w:rsidR="00C975EB">
        <w:rPr>
          <w:szCs w:val="24"/>
        </w:rPr>
        <w:t xml:space="preserve"> </w:t>
      </w:r>
      <w:r w:rsidRPr="00D7469C" w:rsidR="005436ED">
        <w:rPr>
          <w:szCs w:val="24"/>
        </w:rPr>
        <w:t>is</w:t>
      </w:r>
      <w:r w:rsidRPr="00D7469C" w:rsidR="00B227DD">
        <w:rPr>
          <w:szCs w:val="24"/>
        </w:rPr>
        <w:t xml:space="preserve"> </w:t>
      </w:r>
      <w:r w:rsidRPr="00D7469C" w:rsidR="004D33F1">
        <w:rPr>
          <w:szCs w:val="24"/>
        </w:rPr>
        <w:t>conduct</w:t>
      </w:r>
      <w:r w:rsidRPr="00D7469C" w:rsidR="005436ED">
        <w:rPr>
          <w:szCs w:val="24"/>
        </w:rPr>
        <w:t>ing</w:t>
      </w:r>
      <w:r w:rsidRPr="00D7469C" w:rsidR="004D33F1">
        <w:rPr>
          <w:szCs w:val="24"/>
        </w:rPr>
        <w:t xml:space="preserve"> </w:t>
      </w:r>
      <w:r w:rsidRPr="00D7469C" w:rsidR="00B227DD">
        <w:rPr>
          <w:szCs w:val="24"/>
        </w:rPr>
        <w:t xml:space="preserve">annual </w:t>
      </w:r>
      <w:r w:rsidRPr="00D7469C" w:rsidR="002C175B">
        <w:rPr>
          <w:szCs w:val="24"/>
        </w:rPr>
        <w:t>audits of the charges</w:t>
      </w:r>
      <w:r w:rsidRPr="00D7469C" w:rsidR="00C975EB">
        <w:rPr>
          <w:szCs w:val="24"/>
        </w:rPr>
        <w:t xml:space="preserve"> to consumers for the coal plant subsid</w:t>
      </w:r>
      <w:r w:rsidRPr="00D7469C" w:rsidR="00472902">
        <w:rPr>
          <w:szCs w:val="24"/>
        </w:rPr>
        <w:t>ies</w:t>
      </w:r>
      <w:r w:rsidRPr="00D7469C" w:rsidR="000E7762">
        <w:rPr>
          <w:szCs w:val="24"/>
        </w:rPr>
        <w:t>.</w:t>
      </w:r>
      <w:r w:rsidRPr="00D7469C" w:rsidR="005436ED">
        <w:rPr>
          <w:szCs w:val="24"/>
        </w:rPr>
        <w:t xml:space="preserve"> </w:t>
      </w:r>
      <w:r w:rsidRPr="00D7469C" w:rsidR="002C175B">
        <w:rPr>
          <w:szCs w:val="24"/>
        </w:rPr>
        <w:t>We consider any subsidy charge for these coal plants to be unreasonable and anti-competitive</w:t>
      </w:r>
      <w:r w:rsidRPr="00D7469C" w:rsidR="00BF27B5">
        <w:rPr>
          <w:szCs w:val="24"/>
        </w:rPr>
        <w:t xml:space="preserve"> for consumers to pay.</w:t>
      </w:r>
      <w:r w:rsidRPr="00D7469C" w:rsidR="002C175B">
        <w:rPr>
          <w:szCs w:val="24"/>
        </w:rPr>
        <w:t xml:space="preserve"> </w:t>
      </w:r>
      <w:r w:rsidRPr="00D7469C" w:rsidR="00D070AE">
        <w:rPr>
          <w:szCs w:val="24"/>
        </w:rPr>
        <w:t xml:space="preserve"> </w:t>
      </w:r>
      <w:r w:rsidRPr="00D7469C" w:rsidR="00BF27B5">
        <w:rPr>
          <w:szCs w:val="24"/>
        </w:rPr>
        <w:t>B</w:t>
      </w:r>
      <w:r w:rsidRPr="00D7469C" w:rsidR="002C175B">
        <w:rPr>
          <w:szCs w:val="24"/>
        </w:rPr>
        <w:t>ut</w:t>
      </w:r>
      <w:r w:rsidRPr="00D7469C" w:rsidR="00C975EB">
        <w:rPr>
          <w:szCs w:val="24"/>
        </w:rPr>
        <w:t xml:space="preserve"> even with the </w:t>
      </w:r>
      <w:r w:rsidRPr="00D7469C" w:rsidR="00E9460C">
        <w:rPr>
          <w:szCs w:val="24"/>
        </w:rPr>
        <w:t xml:space="preserve">general approvals by </w:t>
      </w:r>
      <w:r w:rsidRPr="00D7469C" w:rsidR="00C975EB">
        <w:rPr>
          <w:szCs w:val="24"/>
        </w:rPr>
        <w:t>the PUCO and the legislature for subsid</w:t>
      </w:r>
      <w:r w:rsidRPr="00D7469C" w:rsidR="00E9460C">
        <w:rPr>
          <w:szCs w:val="24"/>
        </w:rPr>
        <w:t>izing coal plants</w:t>
      </w:r>
      <w:r w:rsidRPr="00D7469C" w:rsidR="00C975EB">
        <w:rPr>
          <w:szCs w:val="24"/>
        </w:rPr>
        <w:t>,</w:t>
      </w:r>
      <w:r w:rsidRPr="00D7469C" w:rsidR="002C175B">
        <w:rPr>
          <w:szCs w:val="24"/>
        </w:rPr>
        <w:t xml:space="preserve"> there are </w:t>
      </w:r>
      <w:r w:rsidRPr="00D7469C" w:rsidR="00C975EB">
        <w:rPr>
          <w:szCs w:val="24"/>
        </w:rPr>
        <w:t>prudency</w:t>
      </w:r>
      <w:r w:rsidRPr="00D7469C" w:rsidR="002C175B">
        <w:rPr>
          <w:szCs w:val="24"/>
        </w:rPr>
        <w:t xml:space="preserve"> issues </w:t>
      </w:r>
      <w:r w:rsidRPr="00D7469C" w:rsidR="00C975EB">
        <w:rPr>
          <w:szCs w:val="24"/>
        </w:rPr>
        <w:t xml:space="preserve">– </w:t>
      </w:r>
      <w:r w:rsidRPr="00D7469C" w:rsidR="002C175B">
        <w:rPr>
          <w:szCs w:val="24"/>
        </w:rPr>
        <w:t xml:space="preserve">and we are investigating </w:t>
      </w:r>
      <w:r w:rsidRPr="00D7469C" w:rsidR="00C0369D">
        <w:rPr>
          <w:szCs w:val="24"/>
        </w:rPr>
        <w:t>those issues</w:t>
      </w:r>
      <w:r w:rsidRPr="00D7469C" w:rsidR="002C175B">
        <w:rPr>
          <w:szCs w:val="24"/>
        </w:rPr>
        <w:t xml:space="preserve"> for consumers</w:t>
      </w:r>
      <w:r w:rsidRPr="00D7469C" w:rsidR="00C975EB">
        <w:rPr>
          <w:szCs w:val="24"/>
        </w:rPr>
        <w:t>.</w:t>
      </w:r>
      <w:r w:rsidRPr="00D7469C" w:rsidR="00BF27B5">
        <w:rPr>
          <w:szCs w:val="24"/>
        </w:rPr>
        <w:t xml:space="preserve"> </w:t>
      </w:r>
      <w:r w:rsidRPr="00D7469C" w:rsidR="00C975EB">
        <w:rPr>
          <w:szCs w:val="24"/>
        </w:rPr>
        <w:t>It</w:t>
      </w:r>
      <w:r w:rsidRPr="00D7469C" w:rsidR="00BF27B5">
        <w:rPr>
          <w:szCs w:val="24"/>
        </w:rPr>
        <w:t xml:space="preserve"> is our right under law</w:t>
      </w:r>
      <w:r w:rsidRPr="00D7469C" w:rsidR="00C975EB">
        <w:rPr>
          <w:szCs w:val="24"/>
        </w:rPr>
        <w:t xml:space="preserve"> to do so</w:t>
      </w:r>
      <w:r w:rsidRPr="00D7469C" w:rsidR="002C175B">
        <w:rPr>
          <w:szCs w:val="24"/>
        </w:rPr>
        <w:t xml:space="preserve">. </w:t>
      </w:r>
    </w:p>
    <w:p w:rsidR="00C0369D" w:rsidRPr="00D7469C" w:rsidP="00ED4EC2" w14:paraId="7B574537" w14:textId="0B4D507D">
      <w:pPr>
        <w:spacing w:line="480" w:lineRule="auto"/>
        <w:ind w:firstLine="720"/>
        <w:rPr>
          <w:szCs w:val="24"/>
        </w:rPr>
      </w:pPr>
      <w:r w:rsidRPr="00D7469C">
        <w:rPr>
          <w:szCs w:val="24"/>
        </w:rPr>
        <w:t xml:space="preserve">But </w:t>
      </w:r>
      <w:r w:rsidRPr="00D7469C" w:rsidR="00E9460C">
        <w:rPr>
          <w:szCs w:val="24"/>
        </w:rPr>
        <w:t xml:space="preserve">AEP, despite being a </w:t>
      </w:r>
      <w:r w:rsidRPr="00D7469C" w:rsidR="00046C5E">
        <w:rPr>
          <w:szCs w:val="24"/>
        </w:rPr>
        <w:t>beneficiary</w:t>
      </w:r>
      <w:r w:rsidRPr="00D7469C" w:rsidR="00E9460C">
        <w:rPr>
          <w:szCs w:val="24"/>
        </w:rPr>
        <w:t xml:space="preserve"> of this corporate welfare,</w:t>
      </w:r>
      <w:r w:rsidRPr="00D7469C">
        <w:rPr>
          <w:szCs w:val="24"/>
        </w:rPr>
        <w:t xml:space="preserve"> is running the state consumer advocate through the wringer with a multitude of </w:t>
      </w:r>
      <w:r w:rsidRPr="00D7469C" w:rsidR="00BD75CF">
        <w:rPr>
          <w:szCs w:val="24"/>
        </w:rPr>
        <w:t>claims</w:t>
      </w:r>
      <w:r w:rsidRPr="00D7469C">
        <w:rPr>
          <w:szCs w:val="24"/>
        </w:rPr>
        <w:t xml:space="preserve"> why OCC’s deposition should be prevented. Even if AEP loses its Motion</w:t>
      </w:r>
      <w:r w:rsidRPr="00D7469C" w:rsidR="00C66C97">
        <w:rPr>
          <w:szCs w:val="24"/>
        </w:rPr>
        <w:t xml:space="preserve"> –</w:t>
      </w:r>
      <w:r w:rsidRPr="00D7469C">
        <w:rPr>
          <w:szCs w:val="24"/>
        </w:rPr>
        <w:t xml:space="preserve"> it wins, because it is delaying </w:t>
      </w:r>
      <w:r w:rsidRPr="00D7469C" w:rsidR="000D0CE9">
        <w:rPr>
          <w:szCs w:val="24"/>
        </w:rPr>
        <w:t>us</w:t>
      </w:r>
      <w:r w:rsidRPr="00D7469C">
        <w:rPr>
          <w:szCs w:val="24"/>
        </w:rPr>
        <w:t xml:space="preserve"> and wasting our resources</w:t>
      </w:r>
      <w:r w:rsidRPr="00D7469C" w:rsidR="00E9460C">
        <w:rPr>
          <w:szCs w:val="24"/>
        </w:rPr>
        <w:t xml:space="preserve">.  </w:t>
      </w:r>
      <w:r w:rsidRPr="00D7469C" w:rsidR="00B619FB">
        <w:rPr>
          <w:szCs w:val="24"/>
        </w:rPr>
        <w:t xml:space="preserve">In addition, OCC </w:t>
      </w:r>
      <w:r w:rsidRPr="00D7469C" w:rsidR="00C66C97">
        <w:rPr>
          <w:szCs w:val="24"/>
        </w:rPr>
        <w:t xml:space="preserve">will need </w:t>
      </w:r>
      <w:r w:rsidRPr="00D7469C" w:rsidR="00B619FB">
        <w:rPr>
          <w:szCs w:val="24"/>
        </w:rPr>
        <w:t xml:space="preserve">to file a Motion to Compel </w:t>
      </w:r>
      <w:r w:rsidRPr="00D7469C" w:rsidR="004F55AE">
        <w:rPr>
          <w:szCs w:val="24"/>
        </w:rPr>
        <w:t>to obtain AEP’s attendance at the deposition</w:t>
      </w:r>
      <w:r w:rsidRPr="00D7469C" w:rsidR="00B619FB">
        <w:rPr>
          <w:szCs w:val="24"/>
        </w:rPr>
        <w:t>, causing additional waste of resources.</w:t>
      </w:r>
    </w:p>
    <w:p w:rsidR="009C4AE6" w:rsidRPr="00D7469C" w:rsidP="00C0369D" w14:paraId="0BD73BE2" w14:textId="67A95D99">
      <w:pPr>
        <w:spacing w:line="480" w:lineRule="auto"/>
        <w:ind w:firstLine="720"/>
        <w:rPr>
          <w:szCs w:val="24"/>
        </w:rPr>
      </w:pPr>
      <w:r w:rsidRPr="00D7469C">
        <w:rPr>
          <w:szCs w:val="24"/>
        </w:rPr>
        <w:t>The PUCO ruled that</w:t>
      </w:r>
      <w:r w:rsidRPr="00D7469C" w:rsidR="00B227DD">
        <w:rPr>
          <w:szCs w:val="24"/>
        </w:rPr>
        <w:t xml:space="preserve"> AEP will </w:t>
      </w:r>
      <w:r w:rsidRPr="00D7469C" w:rsidR="0000289F">
        <w:rPr>
          <w:szCs w:val="24"/>
        </w:rPr>
        <w:t>“</w:t>
      </w:r>
      <w:r w:rsidRPr="00D7469C" w:rsidR="00B227DD">
        <w:rPr>
          <w:szCs w:val="24"/>
        </w:rPr>
        <w:t>bear the burden of proof demonstrating the prudency of all costs and sales during the review, as well as that such actions were in the best interests of retail ratepayers.”</w:t>
      </w:r>
      <w:r>
        <w:rPr>
          <w:rStyle w:val="FootnoteReference"/>
          <w:szCs w:val="24"/>
        </w:rPr>
        <w:footnoteReference w:id="4"/>
      </w:r>
      <w:r w:rsidRPr="00D7469C" w:rsidR="00B227DD">
        <w:rPr>
          <w:szCs w:val="24"/>
        </w:rPr>
        <w:t xml:space="preserve"> </w:t>
      </w:r>
      <w:r w:rsidRPr="00D7469C" w:rsidR="00076046">
        <w:rPr>
          <w:szCs w:val="24"/>
        </w:rPr>
        <w:t xml:space="preserve"> </w:t>
      </w:r>
      <w:r w:rsidRPr="00D7469C">
        <w:rPr>
          <w:szCs w:val="24"/>
        </w:rPr>
        <w:t xml:space="preserve">In this regard, </w:t>
      </w:r>
      <w:r w:rsidRPr="00D7469C" w:rsidR="00537291">
        <w:rPr>
          <w:szCs w:val="24"/>
        </w:rPr>
        <w:t>OCC’s interest in investigating AEP’s coal plant charges is sharpened here.  T</w:t>
      </w:r>
      <w:r w:rsidRPr="00D7469C" w:rsidR="004D33F1">
        <w:rPr>
          <w:szCs w:val="24"/>
        </w:rPr>
        <w:t xml:space="preserve">he PUCO-approved Auditor concluded </w:t>
      </w:r>
      <w:r w:rsidRPr="00D7469C" w:rsidR="00076046">
        <w:rPr>
          <w:szCs w:val="24"/>
        </w:rPr>
        <w:t>that “the OVEC plants cost more than they earn.”</w:t>
      </w:r>
      <w:r>
        <w:rPr>
          <w:rStyle w:val="FootnoteReference"/>
          <w:szCs w:val="24"/>
        </w:rPr>
        <w:footnoteReference w:id="5"/>
      </w:r>
      <w:r w:rsidRPr="00D7469C" w:rsidR="003737CD">
        <w:rPr>
          <w:szCs w:val="24"/>
        </w:rPr>
        <w:t xml:space="preserve"> </w:t>
      </w:r>
      <w:r w:rsidRPr="00D7469C" w:rsidR="00B556CB">
        <w:rPr>
          <w:szCs w:val="24"/>
        </w:rPr>
        <w:t xml:space="preserve"> </w:t>
      </w:r>
      <w:r w:rsidRPr="00D7469C" w:rsidR="00537291">
        <w:rPr>
          <w:szCs w:val="24"/>
        </w:rPr>
        <w:t>And</w:t>
      </w:r>
      <w:r w:rsidRPr="00D7469C" w:rsidR="00ED4EC2">
        <w:rPr>
          <w:szCs w:val="24"/>
        </w:rPr>
        <w:t xml:space="preserve"> </w:t>
      </w:r>
      <w:r w:rsidRPr="00D7469C" w:rsidR="004D33F1">
        <w:rPr>
          <w:szCs w:val="24"/>
        </w:rPr>
        <w:t xml:space="preserve">the Auditor found that </w:t>
      </w:r>
      <w:r w:rsidRPr="00D7469C" w:rsidR="00E94DF9">
        <w:rPr>
          <w:szCs w:val="24"/>
        </w:rPr>
        <w:t>OVEC co</w:t>
      </w:r>
      <w:r w:rsidRPr="00D7469C" w:rsidR="00633E90">
        <w:rPr>
          <w:szCs w:val="24"/>
        </w:rPr>
        <w:t>ntinued running</w:t>
      </w:r>
      <w:r w:rsidRPr="00D7469C" w:rsidR="00E94DF9">
        <w:rPr>
          <w:szCs w:val="24"/>
        </w:rPr>
        <w:t xml:space="preserve"> the plants </w:t>
      </w:r>
      <w:r w:rsidRPr="00D7469C" w:rsidR="00F27379">
        <w:rPr>
          <w:szCs w:val="24"/>
        </w:rPr>
        <w:t>on days when</w:t>
      </w:r>
      <w:r w:rsidRPr="00D7469C" w:rsidR="00E94DF9">
        <w:rPr>
          <w:szCs w:val="24"/>
        </w:rPr>
        <w:t xml:space="preserve"> the plants earned less revenue from selling electricity than the </w:t>
      </w:r>
      <w:r w:rsidRPr="00D7469C" w:rsidR="00F27379">
        <w:rPr>
          <w:szCs w:val="24"/>
        </w:rPr>
        <w:t xml:space="preserve">plants’ </w:t>
      </w:r>
      <w:r w:rsidRPr="00D7469C" w:rsidR="00E94DF9">
        <w:rPr>
          <w:szCs w:val="24"/>
        </w:rPr>
        <w:t>variable operating costs.</w:t>
      </w:r>
      <w:r>
        <w:rPr>
          <w:rStyle w:val="FootnoteReference"/>
          <w:szCs w:val="24"/>
        </w:rPr>
        <w:footnoteReference w:id="6"/>
      </w:r>
      <w:r w:rsidRPr="00D7469C" w:rsidR="00E94DF9">
        <w:rPr>
          <w:szCs w:val="24"/>
        </w:rPr>
        <w:t xml:space="preserve">  Accordingly, the </w:t>
      </w:r>
      <w:r w:rsidRPr="00D7469C" w:rsidR="00B556CB">
        <w:rPr>
          <w:szCs w:val="24"/>
        </w:rPr>
        <w:t>A</w:t>
      </w:r>
      <w:r w:rsidRPr="00D7469C" w:rsidR="00E94DF9">
        <w:rPr>
          <w:szCs w:val="24"/>
        </w:rPr>
        <w:t xml:space="preserve">uditor recommended that OVEC </w:t>
      </w:r>
      <w:r w:rsidRPr="00D7469C" w:rsidR="0000289F">
        <w:rPr>
          <w:szCs w:val="24"/>
        </w:rPr>
        <w:t>“carefully consider when and whether its must-run offer strategy is optimal</w:t>
      </w:r>
      <w:r w:rsidRPr="00D7469C" w:rsidR="00AA5C61">
        <w:rPr>
          <w:szCs w:val="24"/>
        </w:rPr>
        <w:t>, as it appears that in some months, it may result in negative energy earnings for the plants.”</w:t>
      </w:r>
      <w:r>
        <w:rPr>
          <w:rStyle w:val="FootnoteReference"/>
          <w:szCs w:val="24"/>
        </w:rPr>
        <w:footnoteReference w:id="7"/>
      </w:r>
      <w:r w:rsidRPr="00D7469C" w:rsidR="00F16FC5">
        <w:rPr>
          <w:szCs w:val="24"/>
        </w:rPr>
        <w:t xml:space="preserve"> </w:t>
      </w:r>
      <w:r w:rsidRPr="00D7469C" w:rsidR="0086438D">
        <w:rPr>
          <w:szCs w:val="24"/>
        </w:rPr>
        <w:t>(The reference to “Negative energy earnings” appears to be the Auditor’s polite way of saying that the</w:t>
      </w:r>
      <w:r w:rsidRPr="00D7469C" w:rsidR="006B7AE1">
        <w:rPr>
          <w:szCs w:val="24"/>
        </w:rPr>
        <w:t xml:space="preserve">se coal </w:t>
      </w:r>
      <w:r w:rsidRPr="00D7469C" w:rsidR="0086438D">
        <w:rPr>
          <w:szCs w:val="24"/>
        </w:rPr>
        <w:t xml:space="preserve">power plants </w:t>
      </w:r>
      <w:r w:rsidRPr="00D7469C" w:rsidR="00C975F4">
        <w:rPr>
          <w:szCs w:val="24"/>
        </w:rPr>
        <w:t>are money losers</w:t>
      </w:r>
      <w:r w:rsidRPr="00D7469C" w:rsidR="0086438D">
        <w:rPr>
          <w:szCs w:val="24"/>
        </w:rPr>
        <w:t>.)</w:t>
      </w:r>
    </w:p>
    <w:p w:rsidR="00271D54" w:rsidRPr="00D7469C" w14:paraId="1A7CDE6F" w14:textId="211319E9">
      <w:pPr>
        <w:spacing w:line="480" w:lineRule="auto"/>
        <w:ind w:firstLine="720"/>
        <w:rPr>
          <w:szCs w:val="24"/>
        </w:rPr>
      </w:pPr>
      <w:r w:rsidRPr="00D7469C">
        <w:rPr>
          <w:szCs w:val="24"/>
        </w:rPr>
        <w:t xml:space="preserve">Specifically, </w:t>
      </w:r>
      <w:r w:rsidRPr="00D7469C" w:rsidR="00B5638A">
        <w:rPr>
          <w:szCs w:val="24"/>
        </w:rPr>
        <w:t xml:space="preserve">AEP </w:t>
      </w:r>
      <w:r w:rsidRPr="00D7469C" w:rsidR="00E94DF9">
        <w:rPr>
          <w:szCs w:val="24"/>
        </w:rPr>
        <w:t>ask</w:t>
      </w:r>
      <w:r w:rsidRPr="00D7469C">
        <w:rPr>
          <w:szCs w:val="24"/>
        </w:rPr>
        <w:t xml:space="preserve">s </w:t>
      </w:r>
      <w:r w:rsidRPr="00D7469C" w:rsidR="00B5638A">
        <w:rPr>
          <w:szCs w:val="24"/>
        </w:rPr>
        <w:t>in its Motion</w:t>
      </w:r>
      <w:r w:rsidRPr="00D7469C" w:rsidR="00E94DF9">
        <w:rPr>
          <w:szCs w:val="24"/>
        </w:rPr>
        <w:t xml:space="preserve"> that </w:t>
      </w:r>
      <w:r w:rsidRPr="00D7469C" w:rsidR="00B5638A">
        <w:rPr>
          <w:szCs w:val="24"/>
        </w:rPr>
        <w:t>OCC’s</w:t>
      </w:r>
      <w:r w:rsidRPr="00D7469C" w:rsidR="00E94DF9">
        <w:rPr>
          <w:szCs w:val="24"/>
        </w:rPr>
        <w:t xml:space="preserve"> deposition</w:t>
      </w:r>
      <w:r w:rsidRPr="00D7469C" w:rsidR="00AA5C61">
        <w:rPr>
          <w:szCs w:val="24"/>
        </w:rPr>
        <w:t xml:space="preserve"> </w:t>
      </w:r>
      <w:r w:rsidRPr="00D7469C" w:rsidR="00B5638A">
        <w:rPr>
          <w:szCs w:val="24"/>
        </w:rPr>
        <w:t>not be allowed</w:t>
      </w:r>
      <w:r w:rsidRPr="00D7469C" w:rsidR="00AF708D">
        <w:rPr>
          <w:szCs w:val="24"/>
        </w:rPr>
        <w:t>.</w:t>
      </w:r>
      <w:r w:rsidRPr="00D7469C" w:rsidR="009153ED">
        <w:rPr>
          <w:szCs w:val="24"/>
        </w:rPr>
        <w:t xml:space="preserve"> </w:t>
      </w:r>
      <w:r w:rsidRPr="00D7469C" w:rsidR="00AF708D">
        <w:rPr>
          <w:szCs w:val="24"/>
        </w:rPr>
        <w:t>A</w:t>
      </w:r>
      <w:r w:rsidRPr="00D7469C" w:rsidR="00AA5C61">
        <w:rPr>
          <w:szCs w:val="24"/>
        </w:rPr>
        <w:t>nd instead</w:t>
      </w:r>
      <w:r w:rsidRPr="00D7469C" w:rsidR="008F0004">
        <w:rPr>
          <w:szCs w:val="24"/>
        </w:rPr>
        <w:t>,</w:t>
      </w:r>
      <w:r w:rsidRPr="00D7469C" w:rsidR="00AA5C61">
        <w:rPr>
          <w:szCs w:val="24"/>
        </w:rPr>
        <w:t xml:space="preserve"> AEP proposes </w:t>
      </w:r>
      <w:r w:rsidRPr="00D7469C" w:rsidR="007735FF">
        <w:rPr>
          <w:szCs w:val="24"/>
        </w:rPr>
        <w:t>that the PUCO substitute an approach where AEP would</w:t>
      </w:r>
      <w:r w:rsidRPr="00D7469C" w:rsidR="00AA5C61">
        <w:rPr>
          <w:szCs w:val="24"/>
        </w:rPr>
        <w:t xml:space="preserve"> answer </w:t>
      </w:r>
      <w:r w:rsidRPr="00D7469C" w:rsidR="00804861">
        <w:rPr>
          <w:szCs w:val="24"/>
        </w:rPr>
        <w:t xml:space="preserve">“informal discovery requests” or “written questions” from OCC. </w:t>
      </w:r>
      <w:r w:rsidRPr="00D7469C" w:rsidR="00D070AE">
        <w:rPr>
          <w:szCs w:val="24"/>
        </w:rPr>
        <w:t xml:space="preserve"> </w:t>
      </w:r>
      <w:r w:rsidRPr="00D7469C" w:rsidR="00804861">
        <w:rPr>
          <w:szCs w:val="24"/>
        </w:rPr>
        <w:t xml:space="preserve">In other words, AEP wants the PUCO to write much of Ohio Adm. Code 4901-1-21 off the books.  </w:t>
      </w:r>
      <w:r w:rsidRPr="00D7469C" w:rsidR="00B5638A">
        <w:rPr>
          <w:szCs w:val="24"/>
        </w:rPr>
        <w:t>But</w:t>
      </w:r>
      <w:r w:rsidRPr="00D7469C" w:rsidR="00804861">
        <w:rPr>
          <w:szCs w:val="24"/>
        </w:rPr>
        <w:t xml:space="preserve"> Rule 21 is on the books. OCC has a statutory right to use it.</w:t>
      </w:r>
      <w:r>
        <w:rPr>
          <w:rStyle w:val="FootnoteReference"/>
          <w:szCs w:val="24"/>
        </w:rPr>
        <w:footnoteReference w:id="8"/>
      </w:r>
      <w:r w:rsidRPr="00D7469C" w:rsidR="00804861">
        <w:rPr>
          <w:szCs w:val="24"/>
        </w:rPr>
        <w:t xml:space="preserve"> </w:t>
      </w:r>
      <w:r w:rsidRPr="00D7469C" w:rsidR="00D070AE">
        <w:rPr>
          <w:szCs w:val="24"/>
        </w:rPr>
        <w:t xml:space="preserve"> </w:t>
      </w:r>
      <w:r w:rsidRPr="00D7469C">
        <w:rPr>
          <w:szCs w:val="24"/>
        </w:rPr>
        <w:t xml:space="preserve">AEP is not JCARR for review of state rules. </w:t>
      </w:r>
      <w:r w:rsidRPr="00D7469C" w:rsidR="00D070AE">
        <w:rPr>
          <w:szCs w:val="24"/>
        </w:rPr>
        <w:t xml:space="preserve"> </w:t>
      </w:r>
      <w:r w:rsidRPr="00D7469C" w:rsidR="00804861">
        <w:rPr>
          <w:szCs w:val="24"/>
        </w:rPr>
        <w:t xml:space="preserve">And AEP should be sanctioned for wasting the time of OCC and the PUCO with its tactics of distraction and delay. </w:t>
      </w:r>
    </w:p>
    <w:p w:rsidR="00AA5C61" w:rsidRPr="00D7469C" w:rsidP="00327386" w14:paraId="2B47A802" w14:textId="5B15EBD7">
      <w:pPr>
        <w:spacing w:line="480" w:lineRule="auto"/>
        <w:ind w:firstLine="720"/>
        <w:rPr>
          <w:szCs w:val="24"/>
        </w:rPr>
      </w:pPr>
      <w:r w:rsidRPr="00D7469C">
        <w:rPr>
          <w:szCs w:val="24"/>
        </w:rPr>
        <w:t>We suggest the PUCO use its authority to penalize AEP</w:t>
      </w:r>
      <w:r w:rsidRPr="00D7469C" w:rsidR="00271D54">
        <w:rPr>
          <w:szCs w:val="24"/>
        </w:rPr>
        <w:t>,</w:t>
      </w:r>
      <w:r w:rsidRPr="00D7469C">
        <w:rPr>
          <w:szCs w:val="24"/>
        </w:rPr>
        <w:t xml:space="preserve"> in quarter-million dollar increments,</w:t>
      </w:r>
      <w:r w:rsidRPr="00D7469C" w:rsidR="00271D54">
        <w:rPr>
          <w:szCs w:val="24"/>
        </w:rPr>
        <w:t xml:space="preserve"> for its delay and distraction tactics. The penalty should be</w:t>
      </w:r>
      <w:r w:rsidRPr="00D7469C">
        <w:rPr>
          <w:szCs w:val="24"/>
        </w:rPr>
        <w:t xml:space="preserve"> deposited </w:t>
      </w:r>
      <w:r w:rsidRPr="00D7469C" w:rsidR="00DF351D">
        <w:rPr>
          <w:szCs w:val="24"/>
        </w:rPr>
        <w:t>for the use of</w:t>
      </w:r>
      <w:r w:rsidRPr="00D7469C">
        <w:rPr>
          <w:szCs w:val="24"/>
        </w:rPr>
        <w:t xml:space="preserve"> consumer bill-payment assistance.</w:t>
      </w:r>
    </w:p>
    <w:p w:rsidR="00FE4A78" w:rsidRPr="00D7469C" w:rsidP="004E47F0" w14:paraId="7E40A9FE" w14:textId="3015755F">
      <w:pPr>
        <w:spacing w:line="480" w:lineRule="auto"/>
        <w:ind w:firstLine="720"/>
        <w:rPr>
          <w:szCs w:val="24"/>
        </w:rPr>
      </w:pPr>
      <w:r w:rsidRPr="00D7469C">
        <w:rPr>
          <w:szCs w:val="24"/>
        </w:rPr>
        <w:t>OCC’</w:t>
      </w:r>
      <w:r w:rsidRPr="00D7469C" w:rsidR="00B556CB">
        <w:rPr>
          <w:szCs w:val="24"/>
        </w:rPr>
        <w:t>s</w:t>
      </w:r>
      <w:r w:rsidRPr="00D7469C">
        <w:rPr>
          <w:szCs w:val="24"/>
        </w:rPr>
        <w:t xml:space="preserve"> </w:t>
      </w:r>
      <w:r w:rsidRPr="00D7469C" w:rsidR="00DF351D">
        <w:rPr>
          <w:szCs w:val="24"/>
        </w:rPr>
        <w:t xml:space="preserve">intended consumer protection </w:t>
      </w:r>
      <w:r w:rsidRPr="00D7469C">
        <w:rPr>
          <w:szCs w:val="24"/>
        </w:rPr>
        <w:t>deposition</w:t>
      </w:r>
      <w:r w:rsidRPr="00D7469C" w:rsidR="00ED4EC2">
        <w:rPr>
          <w:szCs w:val="24"/>
        </w:rPr>
        <w:t xml:space="preserve"> </w:t>
      </w:r>
      <w:r w:rsidRPr="00D7469C">
        <w:rPr>
          <w:szCs w:val="24"/>
        </w:rPr>
        <w:t>is reasonable</w:t>
      </w:r>
      <w:r w:rsidRPr="00D7469C" w:rsidR="00DF351D">
        <w:rPr>
          <w:szCs w:val="24"/>
        </w:rPr>
        <w:t xml:space="preserve"> and </w:t>
      </w:r>
      <w:r w:rsidRPr="00D7469C" w:rsidR="009D4936">
        <w:rPr>
          <w:szCs w:val="24"/>
        </w:rPr>
        <w:t>lawful</w:t>
      </w:r>
      <w:r w:rsidRPr="00D7469C">
        <w:rPr>
          <w:szCs w:val="24"/>
        </w:rPr>
        <w:t>.</w:t>
      </w:r>
      <w:r w:rsidRPr="00D7469C" w:rsidR="009D4936">
        <w:rPr>
          <w:szCs w:val="24"/>
        </w:rPr>
        <w:t xml:space="preserve"> </w:t>
      </w:r>
      <w:r w:rsidRPr="00D7469C" w:rsidR="00D070AE">
        <w:rPr>
          <w:szCs w:val="24"/>
        </w:rPr>
        <w:t xml:space="preserve"> </w:t>
      </w:r>
      <w:r w:rsidRPr="00D7469C" w:rsidR="008B0C0B">
        <w:rPr>
          <w:szCs w:val="24"/>
        </w:rPr>
        <w:t xml:space="preserve">In fact, </w:t>
      </w:r>
      <w:r w:rsidRPr="00D7469C" w:rsidR="00271D54">
        <w:rPr>
          <w:szCs w:val="24"/>
        </w:rPr>
        <w:t>Duke Energy just cooperated with OCC in the scheduling of an OCC deposition regarding coal power plant subsidies.</w:t>
      </w:r>
      <w:r>
        <w:rPr>
          <w:rStyle w:val="FootnoteReference"/>
          <w:szCs w:val="24"/>
        </w:rPr>
        <w:footnoteReference w:id="9"/>
      </w:r>
      <w:r w:rsidRPr="00D7469C">
        <w:rPr>
          <w:szCs w:val="24"/>
        </w:rPr>
        <w:t xml:space="preserve"> </w:t>
      </w:r>
      <w:r w:rsidRPr="00D7469C" w:rsidR="00D070AE">
        <w:rPr>
          <w:szCs w:val="24"/>
        </w:rPr>
        <w:t xml:space="preserve">  </w:t>
      </w:r>
      <w:r w:rsidRPr="00D7469C">
        <w:rPr>
          <w:szCs w:val="24"/>
        </w:rPr>
        <w:t xml:space="preserve">Instead of obstructing OCC’s review of </w:t>
      </w:r>
      <w:r w:rsidRPr="00D7469C" w:rsidR="005246AE">
        <w:rPr>
          <w:szCs w:val="24"/>
        </w:rPr>
        <w:t>the subsidy</w:t>
      </w:r>
      <w:r w:rsidRPr="00D7469C">
        <w:rPr>
          <w:szCs w:val="24"/>
        </w:rPr>
        <w:t xml:space="preserve"> charges, </w:t>
      </w:r>
      <w:r w:rsidRPr="00D7469C" w:rsidR="009D4936">
        <w:rPr>
          <w:szCs w:val="24"/>
        </w:rPr>
        <w:t xml:space="preserve">AEP should thank its lucky stars that the state gives it any of consumers’ money for bailing out costly, </w:t>
      </w:r>
      <w:r w:rsidRPr="00D7469C" w:rsidR="00DF351D">
        <w:rPr>
          <w:szCs w:val="24"/>
        </w:rPr>
        <w:t>polluting</w:t>
      </w:r>
      <w:r w:rsidRPr="00D7469C" w:rsidR="009D4936">
        <w:rPr>
          <w:szCs w:val="24"/>
        </w:rPr>
        <w:t xml:space="preserve"> coal plants</w:t>
      </w:r>
      <w:r w:rsidRPr="00D7469C" w:rsidR="00781FD8">
        <w:rPr>
          <w:szCs w:val="24"/>
        </w:rPr>
        <w:t>.</w:t>
      </w:r>
      <w:r w:rsidRPr="00D7469C" w:rsidR="008B0C0B">
        <w:rPr>
          <w:szCs w:val="24"/>
        </w:rPr>
        <w:t xml:space="preserve"> And it should open its books.</w:t>
      </w:r>
      <w:r w:rsidRPr="00D7469C" w:rsidR="00DF351D">
        <w:rPr>
          <w:szCs w:val="24"/>
        </w:rPr>
        <w:t xml:space="preserve"> </w:t>
      </w:r>
      <w:r w:rsidRPr="00D7469C" w:rsidR="00781FD8">
        <w:rPr>
          <w:szCs w:val="24"/>
        </w:rPr>
        <w:t>T</w:t>
      </w:r>
      <w:r w:rsidRPr="00D7469C" w:rsidR="00DF351D">
        <w:rPr>
          <w:szCs w:val="24"/>
        </w:rPr>
        <w:t>he competitive market</w:t>
      </w:r>
      <w:r w:rsidRPr="00D7469C" w:rsidR="00B91156">
        <w:rPr>
          <w:szCs w:val="24"/>
        </w:rPr>
        <w:t>,</w:t>
      </w:r>
      <w:r w:rsidRPr="00D7469C" w:rsidR="00DF351D">
        <w:rPr>
          <w:szCs w:val="24"/>
        </w:rPr>
        <w:t xml:space="preserve"> </w:t>
      </w:r>
      <w:r w:rsidRPr="00D7469C" w:rsidR="00781FD8">
        <w:rPr>
          <w:szCs w:val="24"/>
        </w:rPr>
        <w:t>that AEP has evaded with these bailouts</w:t>
      </w:r>
      <w:r w:rsidRPr="00D7469C" w:rsidR="00B91156">
        <w:rPr>
          <w:szCs w:val="24"/>
        </w:rPr>
        <w:t>,</w:t>
      </w:r>
      <w:r w:rsidRPr="00D7469C" w:rsidR="00781FD8">
        <w:rPr>
          <w:szCs w:val="24"/>
        </w:rPr>
        <w:t xml:space="preserve"> </w:t>
      </w:r>
      <w:r w:rsidRPr="00D7469C" w:rsidR="00DF351D">
        <w:rPr>
          <w:szCs w:val="24"/>
        </w:rPr>
        <w:t xml:space="preserve">would </w:t>
      </w:r>
      <w:r w:rsidRPr="00D7469C">
        <w:rPr>
          <w:szCs w:val="24"/>
        </w:rPr>
        <w:t xml:space="preserve">otherwise be </w:t>
      </w:r>
      <w:r w:rsidRPr="00D7469C" w:rsidR="00DF351D">
        <w:rPr>
          <w:szCs w:val="24"/>
        </w:rPr>
        <w:t>provid</w:t>
      </w:r>
      <w:r w:rsidRPr="00D7469C">
        <w:rPr>
          <w:szCs w:val="24"/>
        </w:rPr>
        <w:t>ing</w:t>
      </w:r>
      <w:r w:rsidRPr="00D7469C" w:rsidR="00DF351D">
        <w:rPr>
          <w:szCs w:val="24"/>
        </w:rPr>
        <w:t xml:space="preserve"> consumers with lower electric charges and a cleaner environment</w:t>
      </w:r>
      <w:r w:rsidRPr="00D7469C" w:rsidR="009D4936">
        <w:rPr>
          <w:szCs w:val="24"/>
        </w:rPr>
        <w:t xml:space="preserve">. </w:t>
      </w:r>
    </w:p>
    <w:p w:rsidR="004E47F0" w:rsidRPr="00D7469C" w:rsidP="004E47F0" w14:paraId="7E7D388C" w14:textId="5AD13BFD">
      <w:pPr>
        <w:spacing w:line="480" w:lineRule="auto"/>
        <w:ind w:firstLine="720"/>
        <w:rPr>
          <w:szCs w:val="24"/>
        </w:rPr>
      </w:pPr>
      <w:r w:rsidRPr="00D7469C">
        <w:rPr>
          <w:szCs w:val="24"/>
        </w:rPr>
        <w:t>T</w:t>
      </w:r>
      <w:r w:rsidRPr="00D7469C" w:rsidR="009D4936">
        <w:rPr>
          <w:szCs w:val="24"/>
        </w:rPr>
        <w:t>he PUCO should order AEP to</w:t>
      </w:r>
      <w:r w:rsidRPr="00D7469C" w:rsidR="008F473D">
        <w:rPr>
          <w:szCs w:val="24"/>
        </w:rPr>
        <w:t xml:space="preserve"> open its books and</w:t>
      </w:r>
      <w:r w:rsidRPr="00D7469C" w:rsidR="009D4936">
        <w:rPr>
          <w:szCs w:val="24"/>
        </w:rPr>
        <w:t xml:space="preserve"> get out of OCC’s way in our</w:t>
      </w:r>
      <w:r w:rsidRPr="00D7469C" w:rsidR="00110714">
        <w:rPr>
          <w:szCs w:val="24"/>
        </w:rPr>
        <w:t xml:space="preserve"> consumer</w:t>
      </w:r>
      <w:r w:rsidRPr="00D7469C" w:rsidR="009D4936">
        <w:rPr>
          <w:szCs w:val="24"/>
        </w:rPr>
        <w:t xml:space="preserve"> investigation of the prudence of th</w:t>
      </w:r>
      <w:r w:rsidRPr="00D7469C" w:rsidR="005246AE">
        <w:rPr>
          <w:szCs w:val="24"/>
        </w:rPr>
        <w:t>e</w:t>
      </w:r>
      <w:r w:rsidRPr="00D7469C" w:rsidR="009D4936">
        <w:rPr>
          <w:szCs w:val="24"/>
        </w:rPr>
        <w:t xml:space="preserve"> coal plant </w:t>
      </w:r>
      <w:r w:rsidRPr="00D7469C" w:rsidR="005246AE">
        <w:rPr>
          <w:szCs w:val="24"/>
        </w:rPr>
        <w:t xml:space="preserve">subsidy </w:t>
      </w:r>
      <w:r w:rsidRPr="00D7469C" w:rsidR="009D4936">
        <w:rPr>
          <w:szCs w:val="24"/>
        </w:rPr>
        <w:t>charges.</w:t>
      </w:r>
      <w:r>
        <w:rPr>
          <w:rStyle w:val="FootnoteReference"/>
          <w:szCs w:val="24"/>
        </w:rPr>
        <w:footnoteReference w:id="10"/>
      </w:r>
      <w:r w:rsidRPr="00D7469C" w:rsidR="00E94DF9">
        <w:rPr>
          <w:szCs w:val="24"/>
        </w:rPr>
        <w:t xml:space="preserve"> </w:t>
      </w:r>
      <w:r w:rsidRPr="00D7469C" w:rsidR="00D070AE">
        <w:rPr>
          <w:szCs w:val="24"/>
        </w:rPr>
        <w:t xml:space="preserve"> </w:t>
      </w:r>
      <w:r w:rsidRPr="00D7469C" w:rsidR="00B57D4F">
        <w:rPr>
          <w:szCs w:val="24"/>
        </w:rPr>
        <w:t xml:space="preserve">In the interest of a fair process for justice in utility regulation and consumer protection, </w:t>
      </w:r>
      <w:r w:rsidRPr="00D7469C" w:rsidR="003671A7">
        <w:rPr>
          <w:szCs w:val="24"/>
        </w:rPr>
        <w:t>t</w:t>
      </w:r>
      <w:r w:rsidRPr="00D7469C">
        <w:rPr>
          <w:szCs w:val="24"/>
        </w:rPr>
        <w:t>he PUCO should deny AEP</w:t>
      </w:r>
      <w:r w:rsidRPr="00D7469C" w:rsidR="00FE4A78">
        <w:rPr>
          <w:szCs w:val="24"/>
        </w:rPr>
        <w:t>’s</w:t>
      </w:r>
      <w:r w:rsidRPr="00D7469C">
        <w:rPr>
          <w:szCs w:val="24"/>
        </w:rPr>
        <w:t xml:space="preserve"> </w:t>
      </w:r>
      <w:r w:rsidRPr="00D7469C">
        <w:rPr>
          <w:szCs w:val="24"/>
        </w:rPr>
        <w:t>M</w:t>
      </w:r>
      <w:r w:rsidRPr="00D7469C">
        <w:rPr>
          <w:szCs w:val="24"/>
        </w:rPr>
        <w:t xml:space="preserve">otion for </w:t>
      </w:r>
      <w:r w:rsidRPr="00D7469C">
        <w:rPr>
          <w:szCs w:val="24"/>
        </w:rPr>
        <w:t xml:space="preserve">a </w:t>
      </w:r>
      <w:r w:rsidRPr="00D7469C">
        <w:rPr>
          <w:szCs w:val="24"/>
        </w:rPr>
        <w:t xml:space="preserve">protective order. </w:t>
      </w:r>
    </w:p>
    <w:p w:rsidR="008E5B86" w:rsidRPr="00D7469C" w:rsidP="00CB40E0" w14:paraId="5DAB527D" w14:textId="673400CB">
      <w:pPr>
        <w:pStyle w:val="Heading1"/>
        <w:rPr>
          <w:rFonts w:ascii="Times New Roman" w:hAnsi="Times New Roman" w:cs="Times New Roman"/>
          <w:bCs w:val="0"/>
          <w:szCs w:val="24"/>
        </w:rPr>
      </w:pPr>
      <w:bookmarkStart w:id="2" w:name="_Toc62046188"/>
      <w:r w:rsidRPr="00D7469C">
        <w:rPr>
          <w:rFonts w:ascii="Times New Roman" w:hAnsi="Times New Roman" w:cs="Times New Roman"/>
          <w:bCs w:val="0"/>
          <w:szCs w:val="24"/>
        </w:rPr>
        <w:t>II.</w:t>
      </w:r>
      <w:r w:rsidRPr="00D7469C">
        <w:rPr>
          <w:rFonts w:ascii="Times New Roman" w:hAnsi="Times New Roman" w:cs="Times New Roman"/>
          <w:bCs w:val="0"/>
          <w:szCs w:val="24"/>
        </w:rPr>
        <w:tab/>
      </w:r>
      <w:r w:rsidRPr="00D7469C">
        <w:rPr>
          <w:rFonts w:ascii="Times New Roman" w:hAnsi="Times New Roman" w:cs="Times New Roman"/>
          <w:bCs w:val="0"/>
          <w:szCs w:val="24"/>
        </w:rPr>
        <w:t>LAW AND ARGUMENT</w:t>
      </w:r>
      <w:bookmarkEnd w:id="2"/>
    </w:p>
    <w:p w:rsidR="00F31A2F" w:rsidRPr="00D7469C" w:rsidP="00CB40E0" w14:paraId="387EBA10" w14:textId="58056AE7">
      <w:pPr>
        <w:pStyle w:val="Heading2"/>
        <w:rPr>
          <w:rFonts w:ascii="Times New Roman" w:hAnsi="Times New Roman" w:cs="Times New Roman"/>
          <w:bCs w:val="0"/>
          <w:szCs w:val="24"/>
        </w:rPr>
      </w:pPr>
      <w:bookmarkStart w:id="3" w:name="_Toc62046189"/>
      <w:r w:rsidRPr="00D7469C">
        <w:rPr>
          <w:rFonts w:ascii="Times New Roman" w:hAnsi="Times New Roman" w:cs="Times New Roman"/>
          <w:bCs w:val="0"/>
          <w:szCs w:val="24"/>
        </w:rPr>
        <w:t>A.</w:t>
      </w:r>
      <w:r w:rsidRPr="00D7469C">
        <w:rPr>
          <w:rFonts w:ascii="Times New Roman" w:hAnsi="Times New Roman" w:cs="Times New Roman"/>
          <w:bCs w:val="0"/>
          <w:szCs w:val="24"/>
        </w:rPr>
        <w:tab/>
      </w:r>
      <w:r w:rsidRPr="00D7469C" w:rsidR="008E5B86">
        <w:rPr>
          <w:rFonts w:ascii="Times New Roman" w:hAnsi="Times New Roman" w:cs="Times New Roman"/>
          <w:bCs w:val="0"/>
          <w:szCs w:val="24"/>
        </w:rPr>
        <w:t>AEP is supposed to show in its motion that a protective order is necessary to protect it from annoyance, embarrassment, oppression, or undue burden or expense. It failed.</w:t>
      </w:r>
      <w:bookmarkEnd w:id="3"/>
    </w:p>
    <w:p w:rsidR="00C936EF" w:rsidRPr="00D7469C" w14:paraId="4C7891F7" w14:textId="3F39C46D">
      <w:pPr>
        <w:pStyle w:val="Default"/>
        <w:spacing w:line="480" w:lineRule="auto"/>
        <w:ind w:firstLine="720"/>
      </w:pPr>
      <w:r w:rsidRPr="00D7469C">
        <w:t>A party seeking a protective order must establish</w:t>
      </w:r>
      <w:r w:rsidRPr="00D7469C" w:rsidR="00F4717B">
        <w:t>, to prevail,</w:t>
      </w:r>
      <w:r w:rsidRPr="00D7469C">
        <w:t xml:space="preserve"> that the protective order is necessary to protect </w:t>
      </w:r>
      <w:r w:rsidRPr="00D7469C" w:rsidR="002514DA">
        <w:t>it</w:t>
      </w:r>
      <w:r w:rsidRPr="00D7469C" w:rsidR="003149E8">
        <w:t>.</w:t>
      </w:r>
      <w:r>
        <w:rPr>
          <w:rStyle w:val="FootnoteReference"/>
        </w:rPr>
        <w:footnoteReference w:id="11"/>
      </w:r>
      <w:r w:rsidRPr="00D7469C" w:rsidR="003149E8">
        <w:t xml:space="preserve">  </w:t>
      </w:r>
      <w:r w:rsidRPr="00D7469C" w:rsidR="002514DA">
        <w:t xml:space="preserve"> AEP has not offered any reason why a deposition would result in annoyance, embarrassment, oppression or undue burden or expense.  The closest AEP comes to offering a reason </w:t>
      </w:r>
      <w:r w:rsidRPr="00D7469C" w:rsidR="00DD6FA5">
        <w:t xml:space="preserve">why it should receive a protective order </w:t>
      </w:r>
      <w:r w:rsidRPr="00D7469C" w:rsidR="002514DA">
        <w:t>is its statement that “it is not clear that the Company has an obligation to conduct discovery in this case</w:t>
      </w:r>
      <w:r w:rsidRPr="00D7469C" w:rsidR="003149E8">
        <w:t>,</w:t>
      </w:r>
      <w:r w:rsidRPr="00D7469C" w:rsidR="002514DA">
        <w:t>”</w:t>
      </w:r>
      <w:r>
        <w:rPr>
          <w:rStyle w:val="FootnoteReference"/>
        </w:rPr>
        <w:footnoteReference w:id="12"/>
      </w:r>
      <w:r w:rsidRPr="00D7469C" w:rsidR="002514DA">
        <w:t xml:space="preserve"> </w:t>
      </w:r>
      <w:r w:rsidRPr="00D7469C" w:rsidR="003149E8">
        <w:t xml:space="preserve">without providing any </w:t>
      </w:r>
      <w:r w:rsidRPr="00D7469C" w:rsidR="002837DF">
        <w:t>grounds</w:t>
      </w:r>
      <w:r w:rsidRPr="00D7469C" w:rsidR="003149E8">
        <w:t xml:space="preserve"> why it should be exempt from discovery.  </w:t>
      </w:r>
      <w:r w:rsidRPr="00D7469C" w:rsidR="002514DA">
        <w:t xml:space="preserve">This argument is baseless.  </w:t>
      </w:r>
    </w:p>
    <w:p w:rsidR="00C936EF" w:rsidRPr="00D7469C" w14:paraId="66DFADB1" w14:textId="62EC83CC">
      <w:pPr>
        <w:pStyle w:val="Default"/>
        <w:spacing w:line="480" w:lineRule="auto"/>
        <w:ind w:firstLine="720"/>
      </w:pPr>
      <w:r w:rsidRPr="00D7469C">
        <w:t>OCC has a clear right to conduct discovery “to facilitate thorough and adequate preparation in commission proceedings.”</w:t>
      </w:r>
      <w:r>
        <w:rPr>
          <w:rStyle w:val="FootnoteReference"/>
        </w:rPr>
        <w:footnoteReference w:id="13"/>
      </w:r>
      <w:r w:rsidRPr="00D7469C">
        <w:t xml:space="preserve">  </w:t>
      </w:r>
      <w:r w:rsidRPr="00D7469C" w:rsidR="00DD6FA5">
        <w:t>The PUCO should not grant a protective order when, as in this case, the party seeking the protective order has not provided any specific grounds as to why the discovery sought should be subject to a protective order.  A party cannot establish grounds for a protective order by merely offering a summary conclusion, unsupported by any specific facts, that the discovery</w:t>
      </w:r>
      <w:r w:rsidRPr="00D7469C" w:rsidR="0047514B">
        <w:t xml:space="preserve"> sought</w:t>
      </w:r>
      <w:r w:rsidRPr="00D7469C" w:rsidR="00DD6FA5">
        <w:t xml:space="preserve"> will lead to annoyance, embarrassment, oppression or undue burden or expense.  </w:t>
      </w:r>
    </w:p>
    <w:p w:rsidR="002514DA" w:rsidRPr="00D7469C" w:rsidP="00327386" w14:paraId="4FE3D03B" w14:textId="268917A1">
      <w:pPr>
        <w:pStyle w:val="Default"/>
        <w:spacing w:line="480" w:lineRule="auto"/>
        <w:ind w:firstLine="720"/>
      </w:pPr>
      <w:r w:rsidRPr="00D7469C">
        <w:t>The PUCO should reject AEP’s motion for protective order</w:t>
      </w:r>
      <w:r w:rsidRPr="00D7469C" w:rsidR="00C936EF">
        <w:t>.</w:t>
      </w:r>
      <w:r w:rsidRPr="00D7469C">
        <w:t xml:space="preserve"> AEP has not provided any specific reason why a deposition would result in annoyance, embarrassment, oppression or undue burden or expense.</w:t>
      </w:r>
      <w:r w:rsidRPr="00D7469C" w:rsidR="00C936EF">
        <w:t xml:space="preserve"> There is no real reason.</w:t>
      </w:r>
    </w:p>
    <w:p w:rsidR="000F4AE4" w:rsidRPr="00D7469C" w:rsidP="00CB40E0" w14:paraId="0FED28E5" w14:textId="52C8131E">
      <w:pPr>
        <w:pStyle w:val="Heading2"/>
        <w:rPr>
          <w:rFonts w:ascii="Times New Roman" w:hAnsi="Times New Roman" w:cs="Times New Roman"/>
          <w:bCs w:val="0"/>
          <w:szCs w:val="24"/>
        </w:rPr>
      </w:pPr>
      <w:bookmarkStart w:id="4" w:name="_Toc62046190"/>
      <w:r w:rsidRPr="00D7469C">
        <w:rPr>
          <w:rFonts w:ascii="Times New Roman" w:hAnsi="Times New Roman" w:cs="Times New Roman"/>
          <w:bCs w:val="0"/>
          <w:szCs w:val="24"/>
        </w:rPr>
        <w:t>B.</w:t>
      </w:r>
      <w:r w:rsidRPr="00D7469C">
        <w:rPr>
          <w:rFonts w:ascii="Times New Roman" w:hAnsi="Times New Roman" w:cs="Times New Roman"/>
          <w:bCs w:val="0"/>
          <w:szCs w:val="24"/>
        </w:rPr>
        <w:tab/>
      </w:r>
      <w:r w:rsidRPr="00D7469C" w:rsidR="008E5B86">
        <w:rPr>
          <w:rFonts w:ascii="Times New Roman" w:hAnsi="Times New Roman" w:cs="Times New Roman"/>
          <w:bCs w:val="0"/>
          <w:szCs w:val="24"/>
        </w:rPr>
        <w:t>OCC has a right to take its depositions for consumer protection under Ohio law and the Ohio Administrative Code.</w:t>
      </w:r>
      <w:bookmarkEnd w:id="4"/>
    </w:p>
    <w:p w:rsidR="000727E7" w:rsidRPr="00D7469C" w:rsidP="00327386" w14:paraId="07F2AA89" w14:textId="15A888CD">
      <w:pPr>
        <w:spacing w:line="480" w:lineRule="auto"/>
        <w:ind w:firstLine="720"/>
        <w:rPr>
          <w:szCs w:val="24"/>
        </w:rPr>
      </w:pPr>
      <w:r w:rsidRPr="00D7469C">
        <w:rPr>
          <w:szCs w:val="24"/>
        </w:rPr>
        <w:t xml:space="preserve">OCC reasonably </w:t>
      </w:r>
      <w:r w:rsidRPr="00D7469C" w:rsidR="000F4AE4">
        <w:rPr>
          <w:szCs w:val="24"/>
        </w:rPr>
        <w:t>exercised its right under Ohio Adm. Code 4901-1-21 to take the testimony of</w:t>
      </w:r>
      <w:r w:rsidRPr="00D7469C" w:rsidR="00F533CE">
        <w:rPr>
          <w:szCs w:val="24"/>
        </w:rPr>
        <w:t xml:space="preserve"> AEP (“</w:t>
      </w:r>
      <w:r w:rsidRPr="00D7469C" w:rsidR="000F4AE4">
        <w:rPr>
          <w:szCs w:val="24"/>
        </w:rPr>
        <w:t>any party</w:t>
      </w:r>
      <w:r w:rsidRPr="00D7469C" w:rsidR="00F533CE">
        <w:rPr>
          <w:szCs w:val="24"/>
        </w:rPr>
        <w:t xml:space="preserve">”) </w:t>
      </w:r>
      <w:r w:rsidRPr="00D7469C" w:rsidR="000F4AE4">
        <w:rPr>
          <w:szCs w:val="24"/>
        </w:rPr>
        <w:t xml:space="preserve">by deposition on oral examination with respect to matters within the scope of discovery in this proceeding. </w:t>
      </w:r>
      <w:r w:rsidRPr="00D7469C" w:rsidR="00B556CB">
        <w:rPr>
          <w:szCs w:val="24"/>
        </w:rPr>
        <w:t xml:space="preserve"> </w:t>
      </w:r>
      <w:r w:rsidRPr="00D7469C" w:rsidR="000F4AE4">
        <w:rPr>
          <w:szCs w:val="24"/>
        </w:rPr>
        <w:t xml:space="preserve">OCC </w:t>
      </w:r>
      <w:r w:rsidRPr="00D7469C" w:rsidR="00EC0435">
        <w:rPr>
          <w:szCs w:val="24"/>
        </w:rPr>
        <w:t xml:space="preserve">intends to use the discovery tool of a deposition as </w:t>
      </w:r>
      <w:r w:rsidRPr="00D7469C">
        <w:rPr>
          <w:szCs w:val="24"/>
        </w:rPr>
        <w:t xml:space="preserve">the best available tool for investigating the </w:t>
      </w:r>
      <w:r w:rsidRPr="00D7469C" w:rsidR="000204FB">
        <w:rPr>
          <w:szCs w:val="24"/>
        </w:rPr>
        <w:t>A</w:t>
      </w:r>
      <w:r w:rsidRPr="00D7469C">
        <w:rPr>
          <w:szCs w:val="24"/>
        </w:rPr>
        <w:t xml:space="preserve">uditor’s recommendation that OVEC reconsider its must-run offer strategy.  </w:t>
      </w:r>
      <w:r w:rsidRPr="00D7469C" w:rsidR="00C74461">
        <w:rPr>
          <w:szCs w:val="24"/>
        </w:rPr>
        <w:t xml:space="preserve">OCC has a right under the 1983 reform law, R.C. 4903.082, to conduct discovery. </w:t>
      </w:r>
    </w:p>
    <w:p w:rsidR="004E512D" w:rsidRPr="00D7469C" w:rsidP="00F31A2F" w14:paraId="249B5480" w14:textId="263169CF">
      <w:pPr>
        <w:spacing w:line="480" w:lineRule="auto"/>
        <w:ind w:firstLine="720"/>
        <w:rPr>
          <w:szCs w:val="24"/>
        </w:rPr>
      </w:pPr>
      <w:r w:rsidRPr="00D7469C">
        <w:rPr>
          <w:szCs w:val="24"/>
        </w:rPr>
        <w:t xml:space="preserve">Depositions are often considered the most important </w:t>
      </w:r>
      <w:r w:rsidRPr="00D7469C" w:rsidR="0047514B">
        <w:rPr>
          <w:szCs w:val="24"/>
        </w:rPr>
        <w:t>effective</w:t>
      </w:r>
      <w:r w:rsidRPr="00D7469C">
        <w:rPr>
          <w:szCs w:val="24"/>
        </w:rPr>
        <w:t xml:space="preserve"> tool in an attorne</w:t>
      </w:r>
      <w:r w:rsidRPr="00D7469C" w:rsidR="000727E7">
        <w:rPr>
          <w:szCs w:val="24"/>
        </w:rPr>
        <w:t>y</w:t>
      </w:r>
      <w:r w:rsidRPr="00D7469C">
        <w:rPr>
          <w:szCs w:val="24"/>
        </w:rPr>
        <w:t xml:space="preserve">’s toolbox.  </w:t>
      </w:r>
      <w:r w:rsidRPr="00D7469C">
        <w:rPr>
          <w:szCs w:val="24"/>
        </w:rPr>
        <w:t>They allow for much more information to be gleaned</w:t>
      </w:r>
      <w:r w:rsidRPr="00D7469C" w:rsidR="000A7F3A">
        <w:rPr>
          <w:szCs w:val="24"/>
        </w:rPr>
        <w:t xml:space="preserve"> and sooner</w:t>
      </w:r>
      <w:r w:rsidRPr="00D7469C">
        <w:rPr>
          <w:szCs w:val="24"/>
        </w:rPr>
        <w:t>, as compared to written discovery.  Depositions, most importantly</w:t>
      </w:r>
      <w:r w:rsidRPr="00D7469C" w:rsidR="00A041C4">
        <w:rPr>
          <w:szCs w:val="24"/>
        </w:rPr>
        <w:t>,</w:t>
      </w:r>
      <w:r w:rsidRPr="00D7469C">
        <w:rPr>
          <w:szCs w:val="24"/>
        </w:rPr>
        <w:t xml:space="preserve"> allow for instantaneous follow</w:t>
      </w:r>
      <w:r w:rsidRPr="00D7469C" w:rsidR="00F31A2F">
        <w:rPr>
          <w:szCs w:val="24"/>
        </w:rPr>
        <w:t>-</w:t>
      </w:r>
      <w:r w:rsidRPr="00D7469C">
        <w:rPr>
          <w:szCs w:val="24"/>
        </w:rPr>
        <w:t>up to questions that are posed.  Depos</w:t>
      </w:r>
      <w:r w:rsidRPr="00D7469C" w:rsidR="000727E7">
        <w:rPr>
          <w:szCs w:val="24"/>
        </w:rPr>
        <w:t>i</w:t>
      </w:r>
      <w:r w:rsidRPr="00D7469C">
        <w:rPr>
          <w:szCs w:val="24"/>
        </w:rPr>
        <w:t>tions allow attorneys to press for more information if answers are not detailed or forthcoming</w:t>
      </w:r>
      <w:r w:rsidRPr="00D7469C" w:rsidR="00F31A2F">
        <w:rPr>
          <w:szCs w:val="24"/>
        </w:rPr>
        <w:t>.</w:t>
      </w:r>
      <w:r w:rsidRPr="00D7469C" w:rsidR="002867EA">
        <w:rPr>
          <w:szCs w:val="24"/>
        </w:rPr>
        <w:t xml:space="preserve"> </w:t>
      </w:r>
      <w:r w:rsidRPr="00D7469C" w:rsidR="002837DF">
        <w:rPr>
          <w:szCs w:val="24"/>
        </w:rPr>
        <w:t xml:space="preserve"> </w:t>
      </w:r>
      <w:r w:rsidRPr="00D7469C" w:rsidR="002867EA">
        <w:rPr>
          <w:szCs w:val="24"/>
        </w:rPr>
        <w:t>In reality, these well</w:t>
      </w:r>
      <w:r w:rsidRPr="00D7469C" w:rsidR="00D070AE">
        <w:rPr>
          <w:szCs w:val="24"/>
        </w:rPr>
        <w:t>-</w:t>
      </w:r>
      <w:r w:rsidRPr="00D7469C" w:rsidR="002867EA">
        <w:rPr>
          <w:szCs w:val="24"/>
        </w:rPr>
        <w:t>known fundamentals of the deposition as a discovery tool explain why AEP wants the PUCO to prevent OCC from taking depositions.</w:t>
      </w:r>
    </w:p>
    <w:p w:rsidR="008710AD" w:rsidRPr="00D7469C" w14:paraId="630432A5" w14:textId="1526FE1E">
      <w:pPr>
        <w:spacing w:line="480" w:lineRule="auto"/>
        <w:ind w:firstLine="720"/>
        <w:rPr>
          <w:szCs w:val="24"/>
        </w:rPr>
      </w:pPr>
      <w:r w:rsidRPr="00D7469C">
        <w:rPr>
          <w:szCs w:val="24"/>
        </w:rPr>
        <w:t>In this proceeding, where AEP bears the burden of proving its prudence, OCC is exploring the prudence of using the OVEC units as must</w:t>
      </w:r>
      <w:r w:rsidRPr="00D7469C" w:rsidR="00F31A2F">
        <w:rPr>
          <w:szCs w:val="24"/>
        </w:rPr>
        <w:t>-</w:t>
      </w:r>
      <w:r w:rsidRPr="00D7469C">
        <w:rPr>
          <w:szCs w:val="24"/>
        </w:rPr>
        <w:t>run units.  As noted by the Auditor</w:t>
      </w:r>
      <w:r w:rsidRPr="00D7469C" w:rsidR="00F31A2F">
        <w:rPr>
          <w:szCs w:val="24"/>
        </w:rPr>
        <w:t>,</w:t>
      </w:r>
      <w:r w:rsidRPr="00D7469C">
        <w:rPr>
          <w:szCs w:val="24"/>
        </w:rPr>
        <w:t xml:space="preserve"> there are times when this causes negative earnings for the plants, to the detriment of AEP customers. </w:t>
      </w:r>
    </w:p>
    <w:p w:rsidR="00921D10" w:rsidRPr="00D7469C" w:rsidP="00327386" w14:paraId="486B7164" w14:textId="13EF92AD">
      <w:pPr>
        <w:spacing w:line="480" w:lineRule="auto"/>
        <w:ind w:firstLine="720"/>
        <w:rPr>
          <w:szCs w:val="24"/>
        </w:rPr>
      </w:pPr>
      <w:r w:rsidRPr="00D7469C">
        <w:rPr>
          <w:szCs w:val="24"/>
        </w:rPr>
        <w:t>T</w:t>
      </w:r>
      <w:r w:rsidRPr="00D7469C" w:rsidR="000727E7">
        <w:rPr>
          <w:szCs w:val="24"/>
        </w:rPr>
        <w:t xml:space="preserve">his </w:t>
      </w:r>
      <w:r w:rsidRPr="00D7469C">
        <w:rPr>
          <w:szCs w:val="24"/>
        </w:rPr>
        <w:t>complex issue is best explored in a deposition, where a witness can be asked to explain the intricate details involved</w:t>
      </w:r>
      <w:r w:rsidRPr="00D7469C" w:rsidR="00AB36A8">
        <w:rPr>
          <w:szCs w:val="24"/>
        </w:rPr>
        <w:t xml:space="preserve"> with the daily operations of the uneconomic power plants</w:t>
      </w:r>
      <w:r w:rsidRPr="00D7469C">
        <w:rPr>
          <w:szCs w:val="24"/>
        </w:rPr>
        <w:t>.  The data to be considered include PJM day-ahead energy market prices and forward energy prices, as well as the following factors:</w:t>
      </w:r>
    </w:p>
    <w:p w:rsidR="00341738" w:rsidRPr="00D7469C" w:rsidP="00341738" w14:paraId="5CE9E87C" w14:textId="77777777">
      <w:pPr>
        <w:ind w:left="1440" w:right="1440"/>
        <w:rPr>
          <w:szCs w:val="24"/>
        </w:rPr>
      </w:pPr>
      <w:r w:rsidRPr="00D7469C">
        <w:rPr>
          <w:szCs w:val="24"/>
        </w:rPr>
        <w:t>unit start-up costs, start-up times, cycling costs, risks with powering down and powering up units, such as unexpected outages that occur as a result of additional unit cycling, an operation that is required for environmental and other testing, impacts of multiple unit startups and shutdowns, as well as the loss of option values by missing the opportunity to respond to power price changes.</w:t>
      </w:r>
      <w:r>
        <w:rPr>
          <w:rStyle w:val="FootnoteReference"/>
          <w:szCs w:val="24"/>
        </w:rPr>
        <w:footnoteReference w:id="14"/>
      </w:r>
    </w:p>
    <w:p w:rsidR="00341738" w:rsidRPr="00D7469C" w:rsidP="00341738" w14:paraId="1488D11D" w14:textId="77777777">
      <w:pPr>
        <w:ind w:left="1440" w:right="1440"/>
        <w:rPr>
          <w:szCs w:val="24"/>
        </w:rPr>
      </w:pPr>
    </w:p>
    <w:p w:rsidR="00341738" w:rsidRPr="00D7469C" w:rsidP="00076046" w14:paraId="5FCB06DF" w14:textId="3D377CF0">
      <w:pPr>
        <w:spacing w:line="480" w:lineRule="auto"/>
        <w:rPr>
          <w:szCs w:val="24"/>
        </w:rPr>
      </w:pPr>
      <w:r w:rsidRPr="00D7469C">
        <w:rPr>
          <w:szCs w:val="24"/>
        </w:rPr>
        <w:tab/>
        <w:t xml:space="preserve">OCC </w:t>
      </w:r>
      <w:r w:rsidRPr="00D7469C" w:rsidR="008710AD">
        <w:rPr>
          <w:szCs w:val="24"/>
        </w:rPr>
        <w:t xml:space="preserve">is assessing </w:t>
      </w:r>
      <w:r w:rsidRPr="00D7469C">
        <w:rPr>
          <w:szCs w:val="24"/>
        </w:rPr>
        <w:t xml:space="preserve">how </w:t>
      </w:r>
      <w:r w:rsidRPr="00D7469C" w:rsidR="008710AD">
        <w:rPr>
          <w:szCs w:val="24"/>
        </w:rPr>
        <w:t>various</w:t>
      </w:r>
      <w:r w:rsidRPr="00D7469C">
        <w:rPr>
          <w:szCs w:val="24"/>
        </w:rPr>
        <w:t xml:space="preserve"> factors contributed to the must-run decision during the 2018-2019 audit period.  A deposition </w:t>
      </w:r>
      <w:r w:rsidRPr="00D7469C" w:rsidR="008710AD">
        <w:rPr>
          <w:szCs w:val="24"/>
        </w:rPr>
        <w:t xml:space="preserve">is appropriate for OCC’s assessment of these matters that are related to what consumers pay. </w:t>
      </w:r>
    </w:p>
    <w:p w:rsidR="009153ED" w:rsidRPr="00D7469C" w:rsidP="00CB40E0" w14:paraId="50260A58" w14:textId="524DB840">
      <w:pPr>
        <w:pStyle w:val="Heading2"/>
        <w:rPr>
          <w:rFonts w:ascii="Times New Roman" w:hAnsi="Times New Roman" w:cs="Times New Roman"/>
          <w:szCs w:val="24"/>
        </w:rPr>
      </w:pPr>
      <w:bookmarkStart w:id="5" w:name="_Toc62046191"/>
      <w:r w:rsidRPr="00D7469C">
        <w:rPr>
          <w:rFonts w:ascii="Times New Roman" w:hAnsi="Times New Roman" w:cs="Times New Roman"/>
          <w:bCs w:val="0"/>
          <w:szCs w:val="24"/>
        </w:rPr>
        <w:t>C.</w:t>
      </w:r>
      <w:r w:rsidRPr="00D7469C">
        <w:rPr>
          <w:rFonts w:ascii="Times New Roman" w:hAnsi="Times New Roman" w:cs="Times New Roman"/>
          <w:bCs w:val="0"/>
          <w:szCs w:val="24"/>
        </w:rPr>
        <w:tab/>
      </w:r>
      <w:r w:rsidRPr="00D7469C" w:rsidR="008E5B86">
        <w:rPr>
          <w:rFonts w:ascii="Times New Roman" w:hAnsi="Times New Roman" w:cs="Times New Roman"/>
          <w:bCs w:val="0"/>
          <w:szCs w:val="24"/>
        </w:rPr>
        <w:t>Parties are not limited to choosing one form of discovery over another.</w:t>
      </w:r>
      <w:bookmarkEnd w:id="5"/>
    </w:p>
    <w:p w:rsidR="009D31B7" w:rsidRPr="00D7469C" w14:paraId="18267EAF" w14:textId="50B4E65E">
      <w:pPr>
        <w:spacing w:line="480" w:lineRule="auto"/>
        <w:ind w:firstLine="720"/>
        <w:rPr>
          <w:szCs w:val="24"/>
        </w:rPr>
      </w:pPr>
      <w:r w:rsidRPr="00D7469C">
        <w:rPr>
          <w:szCs w:val="24"/>
        </w:rPr>
        <w:t xml:space="preserve">In the present case, AEP Ohio argues that OCC should not be permitted to take a deposition when OCC can resort to </w:t>
      </w:r>
      <w:r w:rsidRPr="00D7469C" w:rsidR="008710AD">
        <w:rPr>
          <w:szCs w:val="24"/>
        </w:rPr>
        <w:t xml:space="preserve">informal or </w:t>
      </w:r>
      <w:r w:rsidRPr="00D7469C">
        <w:rPr>
          <w:szCs w:val="24"/>
        </w:rPr>
        <w:t>written discovery to investigate this complex issue.</w:t>
      </w:r>
      <w:r>
        <w:rPr>
          <w:rStyle w:val="FootnoteReference"/>
          <w:szCs w:val="24"/>
        </w:rPr>
        <w:footnoteReference w:id="15"/>
      </w:r>
      <w:r w:rsidRPr="00D7469C">
        <w:rPr>
          <w:szCs w:val="24"/>
        </w:rPr>
        <w:t xml:space="preserve"> </w:t>
      </w:r>
      <w:r w:rsidRPr="00D7469C" w:rsidR="002837DF">
        <w:rPr>
          <w:szCs w:val="24"/>
        </w:rPr>
        <w:t xml:space="preserve"> </w:t>
      </w:r>
      <w:r w:rsidRPr="00D7469C" w:rsidR="008710AD">
        <w:rPr>
          <w:szCs w:val="24"/>
        </w:rPr>
        <w:t xml:space="preserve">But the </w:t>
      </w:r>
      <w:r w:rsidRPr="00D7469C" w:rsidR="00C17A46">
        <w:rPr>
          <w:szCs w:val="24"/>
        </w:rPr>
        <w:t xml:space="preserve">Ohio rules </w:t>
      </w:r>
      <w:r w:rsidRPr="00D7469C" w:rsidR="008710AD">
        <w:rPr>
          <w:szCs w:val="24"/>
        </w:rPr>
        <w:t xml:space="preserve">leave case preparation to the parties, per Ohio Adm. Code 4901-1-16(A).  Under that state Code, OCC has the right to prepare its own case using the discovery tools it chooses, not the ones that AEP would like to choose for OCC to hinder </w:t>
      </w:r>
      <w:r w:rsidRPr="00D7469C">
        <w:rPr>
          <w:szCs w:val="24"/>
        </w:rPr>
        <w:t>our consumer advocacy</w:t>
      </w:r>
      <w:r w:rsidRPr="00D7469C">
        <w:rPr>
          <w:i/>
          <w:iCs/>
          <w:szCs w:val="24"/>
        </w:rPr>
        <w:t>.</w:t>
      </w:r>
      <w:r w:rsidRPr="00D7469C" w:rsidR="008710AD">
        <w:rPr>
          <w:i/>
          <w:iCs/>
          <w:szCs w:val="24"/>
        </w:rPr>
        <w:t xml:space="preserve"> </w:t>
      </w:r>
      <w:r w:rsidRPr="00D7469C" w:rsidR="008710AD">
        <w:rPr>
          <w:szCs w:val="24"/>
        </w:rPr>
        <w:t xml:space="preserve"> </w:t>
      </w:r>
    </w:p>
    <w:p w:rsidR="00AE0EB5" w:rsidRPr="00D7469C" w:rsidP="00327386" w14:paraId="0AD381D7" w14:textId="2634A72A">
      <w:pPr>
        <w:spacing w:line="480" w:lineRule="auto"/>
        <w:ind w:firstLine="720"/>
        <w:rPr>
          <w:szCs w:val="24"/>
        </w:rPr>
      </w:pPr>
      <w:r w:rsidRPr="00D7469C">
        <w:rPr>
          <w:szCs w:val="24"/>
        </w:rPr>
        <w:t>I</w:t>
      </w:r>
      <w:r w:rsidRPr="00D7469C" w:rsidR="0044451A">
        <w:rPr>
          <w:szCs w:val="24"/>
        </w:rPr>
        <w:t>n</w:t>
      </w:r>
      <w:r w:rsidRPr="00D7469C">
        <w:rPr>
          <w:szCs w:val="24"/>
        </w:rPr>
        <w:t>deed, there sometimes seems to be no pleasing utilities in regulatory cases.</w:t>
      </w:r>
      <w:r w:rsidRPr="00D7469C" w:rsidR="0044451A">
        <w:rPr>
          <w:szCs w:val="24"/>
        </w:rPr>
        <w:t xml:space="preserve"> </w:t>
      </w:r>
      <w:r w:rsidRPr="00D7469C">
        <w:rPr>
          <w:szCs w:val="24"/>
        </w:rPr>
        <w:t>In a</w:t>
      </w:r>
      <w:r w:rsidRPr="00D7469C" w:rsidR="0044451A">
        <w:rPr>
          <w:szCs w:val="24"/>
        </w:rPr>
        <w:t xml:space="preserve"> case whe</w:t>
      </w:r>
      <w:r w:rsidRPr="00D7469C" w:rsidR="005C784C">
        <w:rPr>
          <w:szCs w:val="24"/>
        </w:rPr>
        <w:t>re</w:t>
      </w:r>
      <w:r w:rsidRPr="00D7469C" w:rsidR="0044451A">
        <w:rPr>
          <w:szCs w:val="24"/>
        </w:rPr>
        <w:t xml:space="preserve"> </w:t>
      </w:r>
      <w:r w:rsidRPr="00D7469C" w:rsidR="007B478B">
        <w:rPr>
          <w:szCs w:val="24"/>
        </w:rPr>
        <w:t xml:space="preserve">OCC </w:t>
      </w:r>
      <w:r w:rsidRPr="00D7469C" w:rsidR="00F27379">
        <w:rPr>
          <w:szCs w:val="24"/>
        </w:rPr>
        <w:t>used</w:t>
      </w:r>
      <w:r w:rsidRPr="00D7469C" w:rsidR="007B478B">
        <w:rPr>
          <w:szCs w:val="24"/>
        </w:rPr>
        <w:t xml:space="preserve"> written discovery requests</w:t>
      </w:r>
      <w:r w:rsidRPr="00D7469C" w:rsidR="0044451A">
        <w:rPr>
          <w:szCs w:val="24"/>
        </w:rPr>
        <w:t xml:space="preserve"> to investigate complex issues</w:t>
      </w:r>
      <w:r w:rsidRPr="00D7469C" w:rsidR="00AB0107">
        <w:rPr>
          <w:szCs w:val="24"/>
        </w:rPr>
        <w:t>, the utilit</w:t>
      </w:r>
      <w:r w:rsidRPr="00D7469C">
        <w:rPr>
          <w:szCs w:val="24"/>
        </w:rPr>
        <w:t>y</w:t>
      </w:r>
      <w:r w:rsidRPr="00D7469C" w:rsidR="00AB0107">
        <w:rPr>
          <w:szCs w:val="24"/>
        </w:rPr>
        <w:t xml:space="preserve"> object</w:t>
      </w:r>
      <w:r w:rsidRPr="00D7469C">
        <w:rPr>
          <w:szCs w:val="24"/>
        </w:rPr>
        <w:t>ed</w:t>
      </w:r>
      <w:r w:rsidRPr="00D7469C" w:rsidR="00AB0107">
        <w:rPr>
          <w:szCs w:val="24"/>
        </w:rPr>
        <w:t xml:space="preserve"> by stating that OCC should </w:t>
      </w:r>
      <w:r w:rsidRPr="00D7469C" w:rsidR="00F27379">
        <w:rPr>
          <w:szCs w:val="24"/>
        </w:rPr>
        <w:t xml:space="preserve">instead </w:t>
      </w:r>
      <w:r w:rsidRPr="00D7469C" w:rsidR="00AB0107">
        <w:rPr>
          <w:szCs w:val="24"/>
        </w:rPr>
        <w:t xml:space="preserve">use </w:t>
      </w:r>
      <w:r w:rsidRPr="00D7469C" w:rsidR="00AB0107">
        <w:rPr>
          <w:i/>
          <w:iCs/>
          <w:szCs w:val="24"/>
        </w:rPr>
        <w:t>depositions</w:t>
      </w:r>
      <w:r w:rsidRPr="00D7469C" w:rsidR="00AB0107">
        <w:rPr>
          <w:szCs w:val="24"/>
        </w:rPr>
        <w:t xml:space="preserve"> to investigate complex issues.  Here is an example of this objection</w:t>
      </w:r>
      <w:r w:rsidRPr="00D7469C" w:rsidR="007B478B">
        <w:rPr>
          <w:szCs w:val="24"/>
        </w:rPr>
        <w:t>:</w:t>
      </w:r>
    </w:p>
    <w:p w:rsidR="00843F8F" w:rsidRPr="00D7469C" w:rsidP="00843F8F" w14:paraId="6F28CD00" w14:textId="77777777">
      <w:pPr>
        <w:pStyle w:val="Default"/>
        <w:ind w:left="1440" w:right="1440"/>
      </w:pPr>
      <w:r w:rsidRPr="00D7469C">
        <w:t xml:space="preserve">DP&amp;L objects to each and every interrogatory that can be answered more efficiently by the production of documents or by the taking of depositions. Under the comparable Ohio Civil Rules, "[a]n interrogatory seeks an admission or it seeks information of major significance in the trial or in the preparation for trial. It does not contemplate an array of details or outlines of evidence, a function reserved by rules for depositions." Penn Cent. Transp. Co. v. Armco Steel Corp., 27 Ohio Misc. 76, 77, 272 N.E.2d 877, 878 (Montgomery Cty. 1971). As Penn further noted, interrogatories that ask one to "describe in detail," "state in detail," or "describe in particulars" are "open end invitation[s] without limit on its comprehensive nature with no guide for the court to determine if the voluminous response is what the party sought in the first place." Id., 272 N.E.2d at 878. </w:t>
      </w:r>
      <w:r>
        <w:rPr>
          <w:rStyle w:val="FootnoteReference"/>
        </w:rPr>
        <w:footnoteReference w:id="16"/>
      </w:r>
    </w:p>
    <w:p w:rsidR="00843F8F" w:rsidRPr="00D7469C" w:rsidP="00843F8F" w14:paraId="0B4D662D" w14:textId="77777777">
      <w:pPr>
        <w:pStyle w:val="Default"/>
        <w:ind w:right="1440"/>
      </w:pPr>
    </w:p>
    <w:p w:rsidR="00843F8F" w:rsidRPr="00D7469C" w:rsidP="00AB0107" w14:paraId="3355727D" w14:textId="46F67885">
      <w:pPr>
        <w:pStyle w:val="Default"/>
        <w:spacing w:line="480" w:lineRule="auto"/>
      </w:pPr>
      <w:r w:rsidRPr="00D7469C">
        <w:tab/>
        <w:t xml:space="preserve">The </w:t>
      </w:r>
      <w:r w:rsidRPr="00D7469C" w:rsidR="00C17A46">
        <w:t>Ohio Administrative Code</w:t>
      </w:r>
      <w:r w:rsidRPr="00D7469C">
        <w:t xml:space="preserve"> all</w:t>
      </w:r>
      <w:r w:rsidRPr="00D7469C" w:rsidR="003A0071">
        <w:t>ow</w:t>
      </w:r>
      <w:r w:rsidRPr="00D7469C" w:rsidR="00C17A46">
        <w:t>s</w:t>
      </w:r>
      <w:r w:rsidRPr="00D7469C" w:rsidR="003A0071">
        <w:t xml:space="preserve"> for all </w:t>
      </w:r>
      <w:r w:rsidRPr="00D7469C">
        <w:t>types of discovery</w:t>
      </w:r>
      <w:r w:rsidRPr="00D7469C" w:rsidR="003A0071">
        <w:t>. Per Ohio Adm. Code 4901-1-16(B): “Discovery may be obtained through interrogatories, requests for the production of documents and things or permission to enter upon land or other property, depositions, and requests for admission.”</w:t>
      </w:r>
      <w:r w:rsidRPr="00D7469C" w:rsidR="00C17A46">
        <w:t xml:space="preserve"> </w:t>
      </w:r>
      <w:r w:rsidRPr="00D7469C">
        <w:t xml:space="preserve">AEP Ohio’s argument </w:t>
      </w:r>
      <w:r w:rsidRPr="00D7469C" w:rsidR="003A0071">
        <w:t xml:space="preserve">– </w:t>
      </w:r>
      <w:r w:rsidRPr="00D7469C">
        <w:t xml:space="preserve">that it is entitled to a protective order because </w:t>
      </w:r>
      <w:r w:rsidRPr="00D7469C" w:rsidR="003A0071">
        <w:t xml:space="preserve">it would prefer for </w:t>
      </w:r>
      <w:r w:rsidRPr="00D7469C">
        <w:t xml:space="preserve">OCC </w:t>
      </w:r>
      <w:r w:rsidRPr="00D7469C" w:rsidR="003A0071">
        <w:t xml:space="preserve">to proceed informally or to </w:t>
      </w:r>
      <w:r w:rsidRPr="00D7469C">
        <w:t>use interrogatories instead of a deposition</w:t>
      </w:r>
      <w:r w:rsidRPr="00D7469C" w:rsidR="003A0071">
        <w:t xml:space="preserve"> –</w:t>
      </w:r>
      <w:r w:rsidRPr="00D7469C">
        <w:t xml:space="preserve"> is without merit.  </w:t>
      </w:r>
    </w:p>
    <w:p w:rsidR="000727E7" w:rsidRPr="00D7469C" w:rsidP="00CB40E0" w14:paraId="4DE5853E" w14:textId="5A36E5FA">
      <w:pPr>
        <w:pStyle w:val="Heading2"/>
        <w:rPr>
          <w:rFonts w:ascii="Times New Roman" w:hAnsi="Times New Roman" w:cs="Times New Roman"/>
          <w:bCs w:val="0"/>
          <w:szCs w:val="24"/>
        </w:rPr>
      </w:pPr>
      <w:r w:rsidRPr="00D7469C">
        <w:rPr>
          <w:rFonts w:ascii="Times New Roman" w:hAnsi="Times New Roman" w:cs="Times New Roman"/>
          <w:bCs w:val="0"/>
          <w:szCs w:val="24"/>
        </w:rPr>
        <w:t xml:space="preserve"> </w:t>
      </w:r>
      <w:bookmarkStart w:id="6" w:name="_Toc62046192"/>
      <w:r w:rsidRPr="00D7469C" w:rsidR="00CB40E0">
        <w:rPr>
          <w:rFonts w:ascii="Times New Roman" w:hAnsi="Times New Roman" w:cs="Times New Roman"/>
          <w:bCs w:val="0"/>
          <w:szCs w:val="24"/>
        </w:rPr>
        <w:t>D.</w:t>
      </w:r>
      <w:r w:rsidRPr="00D7469C" w:rsidR="00CB40E0">
        <w:rPr>
          <w:rFonts w:ascii="Times New Roman" w:hAnsi="Times New Roman" w:cs="Times New Roman"/>
          <w:bCs w:val="0"/>
          <w:szCs w:val="24"/>
        </w:rPr>
        <w:tab/>
      </w:r>
      <w:r w:rsidRPr="00D7469C" w:rsidR="008E5B86">
        <w:rPr>
          <w:rFonts w:ascii="Times New Roman" w:hAnsi="Times New Roman" w:cs="Times New Roman"/>
          <w:bCs w:val="0"/>
          <w:szCs w:val="24"/>
        </w:rPr>
        <w:t>OCC’s deposition notice was timely.</w:t>
      </w:r>
      <w:bookmarkEnd w:id="6"/>
    </w:p>
    <w:p w:rsidR="004D308F" w:rsidRPr="00D7469C" w:rsidP="00327386" w14:paraId="7015EA57" w14:textId="5BBE82C2">
      <w:pPr>
        <w:pStyle w:val="Default"/>
        <w:spacing w:line="480" w:lineRule="auto"/>
        <w:ind w:firstLine="720"/>
      </w:pPr>
      <w:r w:rsidRPr="00D7469C">
        <w:t>AEP</w:t>
      </w:r>
      <w:r w:rsidRPr="00D7469C" w:rsidR="00962F66">
        <w:t xml:space="preserve"> Ohio</w:t>
      </w:r>
      <w:r w:rsidRPr="00D7469C">
        <w:t xml:space="preserve"> also seeks a protective order because OCC did not request a deposition earlier in the proceeding.</w:t>
      </w:r>
      <w:r>
        <w:rPr>
          <w:rStyle w:val="FootnoteReference"/>
        </w:rPr>
        <w:footnoteReference w:id="17"/>
      </w:r>
      <w:r w:rsidRPr="00D7469C">
        <w:t xml:space="preserve">  This argument is without merit.  The </w:t>
      </w:r>
      <w:r w:rsidRPr="00D7469C" w:rsidR="006E2EB4">
        <w:t>Ohio Administrative Code</w:t>
      </w:r>
      <w:r w:rsidRPr="00D7469C">
        <w:t xml:space="preserve"> provide</w:t>
      </w:r>
      <w:r w:rsidRPr="00D7469C" w:rsidR="006E2EB4">
        <w:t>s</w:t>
      </w:r>
      <w:r w:rsidRPr="00D7469C">
        <w:t xml:space="preserve"> that discovery may be conducted throughout the case, until the hearing begins.</w:t>
      </w:r>
      <w:r>
        <w:rPr>
          <w:rStyle w:val="FootnoteReference"/>
        </w:rPr>
        <w:footnoteReference w:id="18"/>
      </w:r>
      <w:r w:rsidRPr="00D7469C">
        <w:t xml:space="preserve">  A hearing has not </w:t>
      </w:r>
      <w:r w:rsidRPr="00D7469C" w:rsidR="00910EAB">
        <w:t xml:space="preserve">yet </w:t>
      </w:r>
      <w:r w:rsidRPr="00D7469C">
        <w:t xml:space="preserve">been scheduled in the present case.  </w:t>
      </w:r>
      <w:r w:rsidRPr="00D7469C" w:rsidR="00F27379">
        <w:t xml:space="preserve">The attorney examiner did not issue an order establishing a discovery cut-off date.  </w:t>
      </w:r>
      <w:r w:rsidRPr="00D7469C">
        <w:t xml:space="preserve">Under the </w:t>
      </w:r>
      <w:r w:rsidRPr="00D7469C" w:rsidR="00AB5FD2">
        <w:t>Ohio Administrative Code</w:t>
      </w:r>
      <w:r w:rsidRPr="00D7469C">
        <w:t xml:space="preserve">, OCC was not required to seek a deposition at </w:t>
      </w:r>
      <w:r w:rsidRPr="00D7469C" w:rsidR="00F27379">
        <w:t>some</w:t>
      </w:r>
      <w:r w:rsidRPr="00D7469C">
        <w:t xml:space="preserve"> earlier stage of the proceedings.  The PUCO should reject this </w:t>
      </w:r>
      <w:r w:rsidRPr="00D7469C" w:rsidR="00AB5FD2">
        <w:t xml:space="preserve">AEP </w:t>
      </w:r>
      <w:r w:rsidRPr="00D7469C">
        <w:t>argument for a protective order.</w:t>
      </w:r>
      <w:r>
        <w:rPr>
          <w:rStyle w:val="FootnoteReference"/>
        </w:rPr>
        <w:footnoteReference w:id="19"/>
      </w:r>
    </w:p>
    <w:p w:rsidR="009153ED" w:rsidRPr="00D7469C" w:rsidP="00CB40E0" w14:paraId="7B3529B4" w14:textId="4965105F">
      <w:pPr>
        <w:pStyle w:val="Heading2"/>
        <w:rPr>
          <w:rFonts w:ascii="Times New Roman" w:hAnsi="Times New Roman" w:cs="Times New Roman"/>
          <w:bCs w:val="0"/>
          <w:szCs w:val="24"/>
        </w:rPr>
      </w:pPr>
      <w:bookmarkStart w:id="7" w:name="_Toc62046193"/>
      <w:r w:rsidRPr="00D7469C">
        <w:rPr>
          <w:rFonts w:ascii="Times New Roman" w:hAnsi="Times New Roman" w:cs="Times New Roman"/>
          <w:bCs w:val="0"/>
          <w:szCs w:val="24"/>
        </w:rPr>
        <w:t>E.</w:t>
      </w:r>
      <w:r w:rsidRPr="00D7469C">
        <w:rPr>
          <w:rFonts w:ascii="Times New Roman" w:hAnsi="Times New Roman" w:cs="Times New Roman"/>
          <w:bCs w:val="0"/>
          <w:szCs w:val="24"/>
        </w:rPr>
        <w:tab/>
      </w:r>
      <w:r w:rsidRPr="00D7469C" w:rsidR="008E5B86">
        <w:rPr>
          <w:rFonts w:ascii="Times New Roman" w:hAnsi="Times New Roman" w:cs="Times New Roman"/>
          <w:bCs w:val="0"/>
          <w:szCs w:val="24"/>
        </w:rPr>
        <w:t>Neither the Ohio Administrative Code nor PUCO precedent precludes depositions from being conducted in cases that have not been set for hearing.</w:t>
      </w:r>
      <w:bookmarkEnd w:id="7"/>
    </w:p>
    <w:p w:rsidR="00962F66" w:rsidRPr="00D7469C" w:rsidP="00327386" w14:paraId="13CC1002" w14:textId="6613225A">
      <w:pPr>
        <w:pStyle w:val="Default"/>
        <w:spacing w:line="480" w:lineRule="auto"/>
        <w:ind w:firstLine="720"/>
      </w:pPr>
      <w:r w:rsidRPr="00D7469C">
        <w:t xml:space="preserve">AEP Ohio suggests that the PUCO should grant a protective order because a deposition is improper </w:t>
      </w:r>
      <w:r w:rsidRPr="00D7469C" w:rsidR="00F27379">
        <w:t>in that</w:t>
      </w:r>
      <w:r w:rsidRPr="00D7469C">
        <w:t xml:space="preserve"> no hearing is presently scheduled or contemplated.</w:t>
      </w:r>
      <w:r>
        <w:rPr>
          <w:rStyle w:val="FootnoteReference"/>
        </w:rPr>
        <w:footnoteReference w:id="20"/>
      </w:r>
      <w:r w:rsidRPr="00D7469C">
        <w:t xml:space="preserve">  The </w:t>
      </w:r>
      <w:r w:rsidRPr="00D7469C" w:rsidR="002E038F">
        <w:t>Ohio Administrative Code</w:t>
      </w:r>
      <w:r w:rsidRPr="00D7469C">
        <w:t xml:space="preserve"> do</w:t>
      </w:r>
      <w:r w:rsidRPr="00D7469C" w:rsidR="002E038F">
        <w:t>es</w:t>
      </w:r>
      <w:r w:rsidRPr="00D7469C">
        <w:t xml:space="preserve"> not prohibit the use of depositions in cases where no hearing is scheduled.  To the contrary, the rules broadly provide parties with an unlimited right to take depositions: </w:t>
      </w:r>
    </w:p>
    <w:p w:rsidR="00962F66" w:rsidRPr="00D7469C" w:rsidP="00962F66" w14:paraId="168ECEB5" w14:textId="77777777">
      <w:pPr>
        <w:pStyle w:val="Default"/>
        <w:ind w:left="1440" w:right="1440"/>
      </w:pPr>
      <w:r w:rsidRPr="00D7469C">
        <w:t>Any party to a pending commission proceeding may take the testimony of any other party or person, other than a member of the commission staff, by deposition upon oral examination with respect to any matter within the scope of discovery set forth in rule </w:t>
      </w:r>
      <w:hyperlink r:id="rId15" w:tooltip="General provisions and scope of discovery" w:history="1">
        <w:r w:rsidRPr="00D7469C">
          <w:t>4901-1-16</w:t>
        </w:r>
      </w:hyperlink>
      <w:r w:rsidRPr="00D7469C">
        <w:t> of the Administrative Code.</w:t>
      </w:r>
      <w:r>
        <w:rPr>
          <w:rStyle w:val="FootnoteReference"/>
        </w:rPr>
        <w:footnoteReference w:id="21"/>
      </w:r>
    </w:p>
    <w:p w:rsidR="00F27379" w:rsidRPr="00D7469C" w:rsidP="00962F66" w14:paraId="7F9CAF25" w14:textId="77777777">
      <w:pPr>
        <w:pStyle w:val="Default"/>
        <w:ind w:left="1440" w:right="1440"/>
      </w:pPr>
    </w:p>
    <w:p w:rsidR="004D308F" w:rsidRPr="00D7469C" w:rsidP="00AB0107" w14:paraId="38F823E4" w14:textId="43937A5F">
      <w:pPr>
        <w:pStyle w:val="Default"/>
        <w:spacing w:line="480" w:lineRule="auto"/>
      </w:pPr>
      <w:r w:rsidRPr="00D7469C">
        <w:tab/>
      </w:r>
      <w:r w:rsidRPr="00D7469C" w:rsidR="006A3823">
        <w:t xml:space="preserve">By arguing that depositions can be used only in cases involving a hearing, </w:t>
      </w:r>
      <w:r w:rsidRPr="00D7469C">
        <w:t>AEP Ohio is</w:t>
      </w:r>
      <w:r w:rsidRPr="00D7469C" w:rsidR="006A3823">
        <w:t xml:space="preserve"> attempting to re-write the </w:t>
      </w:r>
      <w:r w:rsidRPr="00D7469C" w:rsidR="007F470F">
        <w:t>Ohio Administrative Code</w:t>
      </w:r>
      <w:r w:rsidRPr="00D7469C" w:rsidR="006A3823">
        <w:t xml:space="preserve"> on depositions</w:t>
      </w:r>
      <w:r w:rsidRPr="00D7469C" w:rsidR="007F470F">
        <w:t>. Not even JCARR does that.</w:t>
      </w:r>
      <w:r w:rsidRPr="00D7469C" w:rsidR="006A3823">
        <w:t xml:space="preserve"> The PUCO should reject this argument.</w:t>
      </w:r>
    </w:p>
    <w:p w:rsidR="00CB40E0" w:rsidRPr="00D7469C" w:rsidP="008E5B86" w14:paraId="7706904B" w14:textId="77777777">
      <w:pPr>
        <w:pStyle w:val="Default"/>
        <w:numPr>
          <w:ilvl w:val="0"/>
          <w:numId w:val="5"/>
        </w:numPr>
        <w:ind w:left="720"/>
        <w:rPr>
          <w:b/>
          <w:bCs w:val="0"/>
        </w:rPr>
        <w:sectPr w:rsidSect="00286749">
          <w:headerReference w:type="default" r:id="rId16"/>
          <w:footerReference w:type="default" r:id="rId17"/>
          <w:pgSz w:w="12240" w:h="15840"/>
          <w:pgMar w:top="1440" w:right="1440" w:bottom="1440" w:left="1440" w:header="720" w:footer="720" w:gutter="0"/>
          <w:pgNumType w:start="2"/>
          <w:cols w:space="720"/>
          <w:docGrid w:linePitch="360"/>
        </w:sectPr>
      </w:pPr>
    </w:p>
    <w:p w:rsidR="004E47F0" w:rsidRPr="00D7469C" w:rsidP="00CB40E0" w14:paraId="3BC0C59D" w14:textId="09067B74">
      <w:pPr>
        <w:pStyle w:val="Heading2"/>
        <w:rPr>
          <w:rFonts w:ascii="Times New Roman" w:hAnsi="Times New Roman" w:cs="Times New Roman"/>
          <w:bCs w:val="0"/>
          <w:szCs w:val="24"/>
        </w:rPr>
      </w:pPr>
      <w:bookmarkStart w:id="8" w:name="_Toc62046194"/>
      <w:r w:rsidRPr="00D7469C">
        <w:rPr>
          <w:rFonts w:ascii="Times New Roman" w:hAnsi="Times New Roman" w:cs="Times New Roman"/>
          <w:bCs w:val="0"/>
          <w:szCs w:val="24"/>
        </w:rPr>
        <w:t>F.</w:t>
      </w:r>
      <w:r w:rsidRPr="00D7469C">
        <w:rPr>
          <w:rFonts w:ascii="Times New Roman" w:hAnsi="Times New Roman" w:cs="Times New Roman"/>
          <w:bCs w:val="0"/>
          <w:szCs w:val="24"/>
        </w:rPr>
        <w:tab/>
      </w:r>
      <w:r w:rsidRPr="00D7469C" w:rsidR="00D070AE">
        <w:rPr>
          <w:rFonts w:ascii="Times New Roman" w:hAnsi="Times New Roman" w:cs="Times New Roman"/>
          <w:bCs w:val="0"/>
          <w:szCs w:val="24"/>
        </w:rPr>
        <w:t xml:space="preserve">OCC </w:t>
      </w:r>
      <w:r w:rsidRPr="00D7469C" w:rsidR="008E5B86">
        <w:rPr>
          <w:rFonts w:ascii="Times New Roman" w:hAnsi="Times New Roman" w:cs="Times New Roman"/>
          <w:bCs w:val="0"/>
          <w:szCs w:val="24"/>
        </w:rPr>
        <w:t>provided reasonable notice of its deposition for consumer protection.</w:t>
      </w:r>
      <w:bookmarkEnd w:id="8"/>
    </w:p>
    <w:p w:rsidR="00DD35E9" w:rsidRPr="00D7469C" w14:paraId="09FA6574" w14:textId="77777777">
      <w:pPr>
        <w:pStyle w:val="Default"/>
        <w:spacing w:line="480" w:lineRule="auto"/>
        <w:ind w:firstLine="720"/>
      </w:pPr>
      <w:r w:rsidRPr="00D7469C">
        <w:t>AEP Ohio next argues that a protective order is warranted because OCC failed to give reasonable notice of the deposition.  AEP Ohio argues that OCC acted unreasonably because it filed a notice of deposition with only six days advance notice.</w:t>
      </w:r>
      <w:r>
        <w:rPr>
          <w:rStyle w:val="FootnoteReference"/>
        </w:rPr>
        <w:footnoteReference w:id="22"/>
      </w:r>
      <w:r w:rsidRPr="00D7469C">
        <w:t xml:space="preserve">  </w:t>
      </w:r>
    </w:p>
    <w:p w:rsidR="00DD35E9" w:rsidRPr="00D7469C" w14:paraId="7A618A79" w14:textId="591146C6">
      <w:pPr>
        <w:pStyle w:val="Default"/>
        <w:spacing w:line="480" w:lineRule="auto"/>
        <w:ind w:firstLine="720"/>
      </w:pPr>
      <w:r w:rsidRPr="00D7469C">
        <w:t>In fact, OCC’s counsel called AEP Ohio’s counsel as a professional courtesy several days before filing the deposition notice and left a voicemail message, describing the information sought and asking AEP Ohio’s counsel to provide a date when the deposition would be convenient.  AEP</w:t>
      </w:r>
      <w:r w:rsidRPr="00D7469C" w:rsidR="00E33531">
        <w:t xml:space="preserve"> Ohio</w:t>
      </w:r>
      <w:r w:rsidRPr="00D7469C">
        <w:t>’s counsel never returned this call</w:t>
      </w:r>
      <w:r w:rsidRPr="00D7469C">
        <w:t>.</w:t>
      </w:r>
      <w:r w:rsidRPr="00D7469C" w:rsidR="002814B4">
        <w:t xml:space="preserve"> </w:t>
      </w:r>
      <w:r w:rsidRPr="00D7469C" w:rsidR="002837DF">
        <w:t xml:space="preserve"> </w:t>
      </w:r>
      <w:r w:rsidRPr="00D7469C">
        <w:t>S</w:t>
      </w:r>
      <w:r w:rsidRPr="00D7469C" w:rsidR="002814B4">
        <w:t>o</w:t>
      </w:r>
      <w:r w:rsidRPr="00D7469C" w:rsidR="002837DF">
        <w:t xml:space="preserve"> </w:t>
      </w:r>
      <w:r w:rsidRPr="00D7469C" w:rsidR="002814B4">
        <w:t>OCC issue</w:t>
      </w:r>
      <w:r w:rsidRPr="00D7469C">
        <w:t>d</w:t>
      </w:r>
      <w:r w:rsidRPr="00D7469C" w:rsidR="002814B4">
        <w:t xml:space="preserve"> the deposition notice. </w:t>
      </w:r>
      <w:r w:rsidRPr="00D7469C">
        <w:t>But even then</w:t>
      </w:r>
      <w:r w:rsidRPr="00D7469C" w:rsidR="002837DF">
        <w:t>.</w:t>
      </w:r>
      <w:r w:rsidRPr="00D7469C">
        <w:t xml:space="preserve"> AEP could have contacted OCC after the filing of the deposition notice to request a different time.</w:t>
      </w:r>
      <w:r w:rsidRPr="00D7469C" w:rsidR="002837DF">
        <w:t xml:space="preserve"> </w:t>
      </w:r>
      <w:r w:rsidRPr="00D7469C">
        <w:t xml:space="preserve"> It didn’t. </w:t>
      </w:r>
    </w:p>
    <w:p w:rsidR="006A3823" w:rsidRPr="00D7469C" w:rsidP="00327386" w14:paraId="2285A8A3" w14:textId="1DEEDA23">
      <w:pPr>
        <w:pStyle w:val="Default"/>
        <w:spacing w:line="480" w:lineRule="auto"/>
        <w:ind w:firstLine="720"/>
      </w:pPr>
      <w:r w:rsidRPr="00D7469C">
        <w:t xml:space="preserve">The PUCO should therefore reject </w:t>
      </w:r>
      <w:r w:rsidRPr="00D7469C" w:rsidR="00DD35E9">
        <w:t xml:space="preserve">this AEP </w:t>
      </w:r>
      <w:r w:rsidRPr="00D7469C">
        <w:t>argument for a protective order.</w:t>
      </w:r>
    </w:p>
    <w:p w:rsidR="00CD4616" w:rsidRPr="00D7469C" w:rsidP="00CB40E0" w14:paraId="13C242F4" w14:textId="0D86D8B1">
      <w:pPr>
        <w:pStyle w:val="Heading2"/>
        <w:rPr>
          <w:rFonts w:ascii="Times New Roman" w:hAnsi="Times New Roman" w:cs="Times New Roman"/>
          <w:bCs w:val="0"/>
          <w:szCs w:val="24"/>
        </w:rPr>
      </w:pPr>
      <w:bookmarkStart w:id="9" w:name="_Toc62046195"/>
      <w:r w:rsidRPr="00D7469C">
        <w:rPr>
          <w:rFonts w:ascii="Times New Roman" w:hAnsi="Times New Roman" w:cs="Times New Roman"/>
          <w:bCs w:val="0"/>
          <w:szCs w:val="24"/>
        </w:rPr>
        <w:t>G.</w:t>
      </w:r>
      <w:r w:rsidRPr="00D7469C">
        <w:rPr>
          <w:rFonts w:ascii="Times New Roman" w:hAnsi="Times New Roman" w:cs="Times New Roman"/>
          <w:bCs w:val="0"/>
          <w:szCs w:val="24"/>
        </w:rPr>
        <w:tab/>
      </w:r>
      <w:r w:rsidRPr="00D7469C" w:rsidR="008E5B86">
        <w:rPr>
          <w:rFonts w:ascii="Times New Roman" w:hAnsi="Times New Roman" w:cs="Times New Roman"/>
          <w:bCs w:val="0"/>
          <w:szCs w:val="24"/>
        </w:rPr>
        <w:t>AEP must respond to OCC’s consumer discovery unless a protective order is issued.</w:t>
      </w:r>
      <w:bookmarkEnd w:id="9"/>
    </w:p>
    <w:p w:rsidR="00985AF7" w:rsidRPr="00D7469C" w14:paraId="723633B9" w14:textId="77777777">
      <w:pPr>
        <w:pStyle w:val="Default"/>
        <w:spacing w:line="480" w:lineRule="auto"/>
        <w:ind w:firstLine="720"/>
      </w:pPr>
      <w:r w:rsidRPr="00D7469C">
        <w:t xml:space="preserve">In addition, </w:t>
      </w:r>
      <w:r w:rsidRPr="00D7469C" w:rsidR="002814B4">
        <w:t xml:space="preserve">AEP Ohio argues that it would be justified in refusing to respond to OCC’s discovery requests at all, although AEP </w:t>
      </w:r>
      <w:r w:rsidRPr="00D7469C" w:rsidR="00E33531">
        <w:t xml:space="preserve">Ohio </w:t>
      </w:r>
      <w:r w:rsidRPr="00D7469C" w:rsidR="002814B4">
        <w:t>gives no reason why it would be so justified.</w:t>
      </w:r>
      <w:r>
        <w:rPr>
          <w:rStyle w:val="FootnoteReference"/>
        </w:rPr>
        <w:footnoteReference w:id="23"/>
      </w:r>
      <w:r w:rsidRPr="00D7469C" w:rsidR="002814B4">
        <w:t xml:space="preserve">  This argument is incorrect.  </w:t>
      </w:r>
    </w:p>
    <w:p w:rsidR="00985AF7" w:rsidRPr="00D7469C" w14:paraId="7E4DAE84" w14:textId="0CE751DC">
      <w:pPr>
        <w:pStyle w:val="Default"/>
        <w:spacing w:line="480" w:lineRule="auto"/>
        <w:ind w:firstLine="720"/>
      </w:pPr>
      <w:r w:rsidRPr="00D7469C">
        <w:t xml:space="preserve">The </w:t>
      </w:r>
      <w:r w:rsidRPr="00D7469C">
        <w:t>Ohio Administrative Code</w:t>
      </w:r>
      <w:r w:rsidRPr="00D7469C">
        <w:t xml:space="preserve"> state</w:t>
      </w:r>
      <w:r w:rsidRPr="00D7469C">
        <w:t>s</w:t>
      </w:r>
      <w:r w:rsidRPr="00D7469C">
        <w:t xml:space="preserve"> that a party may obtain discovery of any relevant matter </w:t>
      </w:r>
      <w:r w:rsidRPr="00D7469C" w:rsidR="00E33531">
        <w:t xml:space="preserve">if </w:t>
      </w:r>
      <w:r w:rsidRPr="00D7469C">
        <w:t>it is not privileged.</w:t>
      </w:r>
      <w:r>
        <w:rPr>
          <w:rStyle w:val="FootnoteReference"/>
        </w:rPr>
        <w:footnoteReference w:id="24"/>
      </w:r>
      <w:r w:rsidRPr="00D7469C">
        <w:t xml:space="preserve">  OCC seeks a deposition </w:t>
      </w:r>
      <w:r w:rsidRPr="00D7469C" w:rsidR="00E33531">
        <w:t>mainly</w:t>
      </w:r>
      <w:r w:rsidRPr="00D7469C">
        <w:t xml:space="preserve"> to obtain information about why OVEC used a must-run commitment status </w:t>
      </w:r>
      <w:r w:rsidRPr="00D7469C" w:rsidR="00A95FDA">
        <w:t xml:space="preserve">in the PJM day-ahead energy market.  The </w:t>
      </w:r>
      <w:r w:rsidRPr="00D7469C" w:rsidR="000204FB">
        <w:t>A</w:t>
      </w:r>
      <w:r w:rsidRPr="00D7469C" w:rsidR="00A95FDA">
        <w:t>uditor recommended that OVEC should reconsider committing the plants a</w:t>
      </w:r>
      <w:r w:rsidRPr="00D7469C" w:rsidR="00E33531">
        <w:t>s</w:t>
      </w:r>
      <w:r w:rsidRPr="00D7469C" w:rsidR="00A95FDA">
        <w:t xml:space="preserve"> must-run.</w:t>
      </w:r>
      <w:r>
        <w:rPr>
          <w:rStyle w:val="FootnoteReference"/>
        </w:rPr>
        <w:footnoteReference w:id="25"/>
      </w:r>
      <w:r w:rsidRPr="00D7469C" w:rsidR="00A95FDA">
        <w:t xml:space="preserve">  Consequently, the information OCC seeks through a deposition is relevant.  AEP Ohio has not argued that this information is privileged.  </w:t>
      </w:r>
    </w:p>
    <w:p w:rsidR="002814B4" w:rsidRPr="00D7469C" w:rsidP="00327386" w14:paraId="7CA341A3" w14:textId="3C380398">
      <w:pPr>
        <w:pStyle w:val="Default"/>
        <w:spacing w:line="480" w:lineRule="auto"/>
        <w:ind w:firstLine="720"/>
      </w:pPr>
      <w:r w:rsidRPr="00D7469C">
        <w:t>Here, we have a utility that believes it is above the rules</w:t>
      </w:r>
      <w:r w:rsidRPr="00D7469C" w:rsidR="009E6AFA">
        <w:t xml:space="preserve"> of the Ohio Administrative Code. </w:t>
      </w:r>
      <w:r w:rsidRPr="00D7469C" w:rsidR="002837DF">
        <w:t xml:space="preserve"> </w:t>
      </w:r>
      <w:r w:rsidRPr="00D7469C" w:rsidR="009E6AFA">
        <w:t xml:space="preserve">It isn’t. </w:t>
      </w:r>
      <w:r w:rsidRPr="00D7469C" w:rsidR="002837DF">
        <w:t xml:space="preserve"> </w:t>
      </w:r>
      <w:r w:rsidRPr="00D7469C" w:rsidR="00A95FDA">
        <w:t xml:space="preserve">The PUCO should reject </w:t>
      </w:r>
      <w:r w:rsidRPr="00D7469C" w:rsidR="009E6AFA">
        <w:t xml:space="preserve">AEP’s </w:t>
      </w:r>
      <w:r w:rsidRPr="00D7469C" w:rsidR="00A95FDA">
        <w:t>argument for a protective order.</w:t>
      </w:r>
    </w:p>
    <w:p w:rsidR="00CD4616" w:rsidRPr="00D7469C" w:rsidP="00CB40E0" w14:paraId="50A00E76" w14:textId="14EC8C04">
      <w:pPr>
        <w:pStyle w:val="Heading2"/>
        <w:rPr>
          <w:rFonts w:ascii="Times New Roman" w:hAnsi="Times New Roman" w:cs="Times New Roman"/>
          <w:bCs w:val="0"/>
          <w:szCs w:val="24"/>
        </w:rPr>
      </w:pPr>
      <w:bookmarkStart w:id="10" w:name="_Toc62046196"/>
      <w:r w:rsidRPr="00D7469C">
        <w:rPr>
          <w:rFonts w:ascii="Times New Roman" w:hAnsi="Times New Roman" w:cs="Times New Roman"/>
          <w:bCs w:val="0"/>
          <w:szCs w:val="24"/>
        </w:rPr>
        <w:t>H</w:t>
      </w:r>
      <w:r w:rsidRPr="00D7469C" w:rsidR="00CB40E0">
        <w:rPr>
          <w:rFonts w:ascii="Times New Roman" w:hAnsi="Times New Roman" w:cs="Times New Roman"/>
          <w:bCs w:val="0"/>
          <w:szCs w:val="24"/>
        </w:rPr>
        <w:t>.</w:t>
      </w:r>
      <w:r w:rsidRPr="00D7469C" w:rsidR="00CB40E0">
        <w:rPr>
          <w:rFonts w:ascii="Times New Roman" w:hAnsi="Times New Roman" w:cs="Times New Roman"/>
          <w:bCs w:val="0"/>
          <w:szCs w:val="24"/>
        </w:rPr>
        <w:tab/>
      </w:r>
      <w:r w:rsidRPr="00D7469C" w:rsidR="008E5B86">
        <w:rPr>
          <w:rFonts w:ascii="Times New Roman" w:hAnsi="Times New Roman" w:cs="Times New Roman"/>
          <w:bCs w:val="0"/>
          <w:szCs w:val="24"/>
        </w:rPr>
        <w:t>OCC, like other parties, can choose its form of discovery.</w:t>
      </w:r>
      <w:bookmarkEnd w:id="10"/>
    </w:p>
    <w:p w:rsidR="005E4674" w:rsidRPr="00D7469C" w14:paraId="48B81056" w14:textId="60F1954B">
      <w:pPr>
        <w:pStyle w:val="Default"/>
        <w:spacing w:line="480" w:lineRule="auto"/>
        <w:ind w:firstLine="720"/>
      </w:pPr>
      <w:r w:rsidRPr="00D7469C">
        <w:t>Finally, AEP Ohio argues that it is entitled to a protective order because it is willing to provide information to OCC through informal discovery or written interrogatories.</w:t>
      </w:r>
      <w:r>
        <w:rPr>
          <w:rStyle w:val="FootnoteReference"/>
        </w:rPr>
        <w:footnoteReference w:id="26"/>
      </w:r>
      <w:r w:rsidRPr="00D7469C" w:rsidR="006105B0">
        <w:t xml:space="preserve">  This argument has no merit.  The rules</w:t>
      </w:r>
      <w:r w:rsidRPr="00D7469C" w:rsidR="008760AC">
        <w:t xml:space="preserve"> of the Ohio Administrative Code</w:t>
      </w:r>
      <w:r w:rsidRPr="00D7469C" w:rsidR="006105B0">
        <w:t xml:space="preserve"> recognize that parties may engage in informal discovery, but </w:t>
      </w:r>
      <w:r w:rsidRPr="00D7469C">
        <w:t>that would be at their choice.</w:t>
      </w:r>
      <w:r>
        <w:rPr>
          <w:rStyle w:val="FootnoteReference"/>
        </w:rPr>
        <w:footnoteReference w:id="27"/>
      </w:r>
      <w:r w:rsidRPr="00D7469C" w:rsidR="006105B0">
        <w:t xml:space="preserve"> </w:t>
      </w:r>
      <w:r w:rsidRPr="00D7469C" w:rsidR="002837DF">
        <w:t xml:space="preserve"> </w:t>
      </w:r>
      <w:r w:rsidRPr="00D7469C">
        <w:t>AEP</w:t>
      </w:r>
      <w:r w:rsidRPr="00D7469C" w:rsidR="00140073">
        <w:t xml:space="preserve"> wrongly wants to make that discovery choice, the choice that suits its purposes, for OCC. </w:t>
      </w:r>
    </w:p>
    <w:p w:rsidR="005E4674" w:rsidRPr="00D7469C" w14:paraId="7FA182BC" w14:textId="2EF93E9B">
      <w:pPr>
        <w:pStyle w:val="Default"/>
        <w:spacing w:line="480" w:lineRule="auto"/>
        <w:ind w:firstLine="720"/>
      </w:pPr>
      <w:r w:rsidRPr="00D7469C">
        <w:t xml:space="preserve">Note that </w:t>
      </w:r>
      <w:r w:rsidRPr="00D7469C" w:rsidR="00140073">
        <w:t xml:space="preserve">the </w:t>
      </w:r>
      <w:r w:rsidRPr="00D7469C">
        <w:t>i</w:t>
      </w:r>
      <w:r w:rsidRPr="00D7469C" w:rsidR="006105B0">
        <w:t>nformal discovery</w:t>
      </w:r>
      <w:r w:rsidRPr="00D7469C" w:rsidR="00140073">
        <w:t xml:space="preserve"> that AEP recommends</w:t>
      </w:r>
      <w:r w:rsidRPr="00D7469C">
        <w:t xml:space="preserve"> would not result in the transcript that a deposition provides. </w:t>
      </w:r>
      <w:r w:rsidRPr="00D7469C" w:rsidR="006105B0">
        <w:t xml:space="preserve"> </w:t>
      </w:r>
      <w:r w:rsidRPr="00D7469C">
        <w:t xml:space="preserve">Note that informal discovery can have limitations or challenges for use as evidence. </w:t>
      </w:r>
      <w:r w:rsidRPr="00D7469C" w:rsidR="008836C9">
        <w:t xml:space="preserve"> </w:t>
      </w:r>
      <w:r w:rsidRPr="00D7469C">
        <w:t xml:space="preserve">Note that informal discovery would not have the oath and the law against perjury </w:t>
      </w:r>
      <w:r w:rsidRPr="00D7469C" w:rsidR="00EC7EBF">
        <w:t>as would</w:t>
      </w:r>
      <w:r w:rsidRPr="00D7469C">
        <w:t xml:space="preserve"> a deposition. </w:t>
      </w:r>
      <w:r w:rsidRPr="00D7469C" w:rsidR="008836C9">
        <w:t xml:space="preserve"> </w:t>
      </w:r>
      <w:r w:rsidRPr="00D7469C">
        <w:t>Note that informal discovery could still lead to more disputes at the PUCO for resolution.</w:t>
      </w:r>
    </w:p>
    <w:p w:rsidR="00E72EA2" w:rsidRPr="00D7469C" w:rsidP="00327386" w14:paraId="1E1A14E9" w14:textId="6AACCE5C">
      <w:pPr>
        <w:pStyle w:val="Default"/>
        <w:spacing w:line="480" w:lineRule="auto"/>
        <w:ind w:firstLine="720"/>
      </w:pPr>
      <w:r w:rsidRPr="00D7469C">
        <w:t xml:space="preserve">AEP Ohio </w:t>
      </w:r>
      <w:r w:rsidRPr="00D7469C" w:rsidR="005E4674">
        <w:t xml:space="preserve">also </w:t>
      </w:r>
      <w:r w:rsidRPr="00D7469C" w:rsidR="005C498B">
        <w:t>alleges</w:t>
      </w:r>
      <w:r w:rsidRPr="00D7469C">
        <w:t xml:space="preserve"> that a protective order is warranted because it is willing to answer written interrogatories</w:t>
      </w:r>
      <w:r w:rsidRPr="00D7469C" w:rsidR="005E4674">
        <w:t>.</w:t>
      </w:r>
      <w:r w:rsidRPr="00D7469C" w:rsidR="001318B9">
        <w:t xml:space="preserve"> Actually, the Ohio Administrative Code requires AEP to answer interrogatories, just as it requires AEP to attend this deposition.</w:t>
      </w:r>
      <w:r w:rsidRPr="00D7469C" w:rsidR="005E4674">
        <w:t xml:space="preserve"> </w:t>
      </w:r>
      <w:r w:rsidRPr="00D7469C" w:rsidR="00967170">
        <w:t xml:space="preserve">Nothing in the Ohio Administrative Code suggests that AEP and its lawyers should control or limit OCC to a form of discovery, not to mention a form of discovery that favors AEP. </w:t>
      </w:r>
      <w:r w:rsidRPr="00D7469C" w:rsidR="008836C9">
        <w:t xml:space="preserve"> </w:t>
      </w:r>
      <w:r w:rsidRPr="00D7469C" w:rsidR="00681ED7">
        <w:t xml:space="preserve">Indeed, </w:t>
      </w:r>
      <w:r w:rsidRPr="00D7469C" w:rsidR="00967170">
        <w:t xml:space="preserve">Ohio Adm. Code 4901-1-16(B) provides a list </w:t>
      </w:r>
      <w:r w:rsidRPr="00D7469C" w:rsidR="00681ED7">
        <w:t>of</w:t>
      </w:r>
      <w:r w:rsidRPr="00D7469C" w:rsidR="00967170">
        <w:t xml:space="preserve"> discovery types that may be used</w:t>
      </w:r>
      <w:r w:rsidRPr="00D7469C" w:rsidR="00681ED7">
        <w:t xml:space="preserve">. </w:t>
      </w:r>
      <w:r w:rsidRPr="00D7469C" w:rsidR="008836C9">
        <w:t xml:space="preserve"> </w:t>
      </w:r>
      <w:r w:rsidRPr="00D7469C" w:rsidR="00681ED7">
        <w:t>W</w:t>
      </w:r>
      <w:r w:rsidRPr="00D7469C" w:rsidR="00967170">
        <w:t xml:space="preserve">e have chosen from that list </w:t>
      </w:r>
      <w:r w:rsidRPr="00D7469C" w:rsidR="00681ED7">
        <w:t>for</w:t>
      </w:r>
      <w:r w:rsidRPr="00D7469C" w:rsidR="00967170">
        <w:t xml:space="preserve"> our consumer </w:t>
      </w:r>
      <w:r w:rsidRPr="00D7469C" w:rsidR="00681ED7">
        <w:t>advocacy</w:t>
      </w:r>
      <w:r w:rsidRPr="00D7469C" w:rsidR="00967170">
        <w:t xml:space="preserve">. </w:t>
      </w:r>
      <w:r w:rsidRPr="00D7469C">
        <w:t xml:space="preserve"> The PUCO should therefore reject </w:t>
      </w:r>
      <w:r w:rsidRPr="00D7469C" w:rsidR="00681ED7">
        <w:t xml:space="preserve">AEP’s </w:t>
      </w:r>
      <w:r w:rsidRPr="00D7469C">
        <w:t>argument for a protective order.</w:t>
      </w:r>
    </w:p>
    <w:p w:rsidR="00AB0107" w:rsidRPr="00D7469C" w:rsidP="00CB40E0" w14:paraId="69A0EA83" w14:textId="3E8F9C36">
      <w:pPr>
        <w:pStyle w:val="Heading1"/>
        <w:rPr>
          <w:rStyle w:val="Heading1Char"/>
          <w:rFonts w:ascii="Times New Roman" w:hAnsi="Times New Roman" w:cs="Times New Roman"/>
          <w:szCs w:val="24"/>
        </w:rPr>
      </w:pPr>
      <w:bookmarkStart w:id="11" w:name="_Toc62046197"/>
      <w:r w:rsidRPr="00D7469C">
        <w:rPr>
          <w:rFonts w:ascii="Times New Roman" w:hAnsi="Times New Roman" w:cs="Times New Roman"/>
          <w:bCs w:val="0"/>
          <w:szCs w:val="24"/>
        </w:rPr>
        <w:t>I</w:t>
      </w:r>
      <w:r w:rsidRPr="00D7469C" w:rsidR="008E5B86">
        <w:rPr>
          <w:rFonts w:ascii="Times New Roman" w:hAnsi="Times New Roman" w:cs="Times New Roman"/>
          <w:bCs w:val="0"/>
          <w:szCs w:val="24"/>
        </w:rPr>
        <w:t>I</w:t>
      </w:r>
      <w:r w:rsidRPr="00D7469C">
        <w:rPr>
          <w:rFonts w:ascii="Times New Roman" w:hAnsi="Times New Roman" w:cs="Times New Roman"/>
          <w:bCs w:val="0"/>
          <w:szCs w:val="24"/>
        </w:rPr>
        <w:t>I.</w:t>
      </w:r>
      <w:r w:rsidRPr="00D7469C">
        <w:rPr>
          <w:rFonts w:ascii="Times New Roman" w:hAnsi="Times New Roman" w:cs="Times New Roman"/>
          <w:bCs w:val="0"/>
          <w:szCs w:val="24"/>
        </w:rPr>
        <w:tab/>
      </w:r>
      <w:r w:rsidRPr="00D7469C" w:rsidR="009F1308">
        <w:rPr>
          <w:rStyle w:val="Heading1Char"/>
          <w:rFonts w:ascii="Times New Roman" w:hAnsi="Times New Roman" w:cs="Times New Roman"/>
          <w:szCs w:val="24"/>
        </w:rPr>
        <w:t>CONCLUSION</w:t>
      </w:r>
      <w:bookmarkEnd w:id="11"/>
    </w:p>
    <w:p w:rsidR="009F1308" w:rsidRPr="00D7469C" w:rsidP="009F1308" w14:paraId="5D518273" w14:textId="05B02D8D">
      <w:pPr>
        <w:pStyle w:val="Default"/>
        <w:spacing w:line="480" w:lineRule="auto"/>
      </w:pPr>
      <w:r w:rsidRPr="00D7469C">
        <w:tab/>
      </w:r>
      <w:r w:rsidRPr="00D7469C" w:rsidR="00967170">
        <w:t>It is stated in the</w:t>
      </w:r>
      <w:r w:rsidRPr="00D7469C">
        <w:t xml:space="preserve"> </w:t>
      </w:r>
      <w:r w:rsidRPr="00D7469C" w:rsidR="00967170">
        <w:t>Ohio Administrative Code</w:t>
      </w:r>
      <w:r w:rsidRPr="00D7469C">
        <w:t xml:space="preserve"> </w:t>
      </w:r>
      <w:r w:rsidRPr="00D7469C" w:rsidR="00967170">
        <w:t>that</w:t>
      </w:r>
      <w:r w:rsidRPr="00D7469C">
        <w:t xml:space="preserve"> discovery is “to facilitate thorough and adequate preparation for participation in commission proceedings.”</w:t>
      </w:r>
      <w:r>
        <w:rPr>
          <w:rStyle w:val="FootnoteReference"/>
        </w:rPr>
        <w:footnoteReference w:id="28"/>
      </w:r>
      <w:r w:rsidRPr="00D7469C" w:rsidR="00967170">
        <w:t xml:space="preserve"> </w:t>
      </w:r>
      <w:r w:rsidRPr="00D7469C" w:rsidR="008836C9">
        <w:t xml:space="preserve"> </w:t>
      </w:r>
      <w:r w:rsidRPr="00D7469C" w:rsidR="00967170">
        <w:t xml:space="preserve">We need the protection of the Code, where the PUCO must move AEP out of our way in our case preparation for consumers. </w:t>
      </w:r>
      <w:r w:rsidRPr="00D7469C">
        <w:t xml:space="preserve"> </w:t>
      </w:r>
      <w:r w:rsidRPr="00D7469C" w:rsidR="00801729">
        <w:t>In the interest of a fair process for justice in utility regulation and consumer protection, the PUCO should deny AEP’s Motion for a protective order.</w:t>
      </w:r>
    </w:p>
    <w:p w:rsidR="00A6758B" w:rsidRPr="00D7469C" w:rsidP="00CB40E0" w14:paraId="48DF8D06" w14:textId="79D35B1D">
      <w:pPr>
        <w:ind w:left="3600" w:firstLine="720"/>
        <w:rPr>
          <w:szCs w:val="24"/>
        </w:rPr>
      </w:pPr>
      <w:r w:rsidRPr="00D7469C">
        <w:rPr>
          <w:szCs w:val="24"/>
        </w:rPr>
        <w:t>Respectfully submitted,</w:t>
      </w:r>
    </w:p>
    <w:p w:rsidR="00CB40E0" w:rsidRPr="00D7469C" w:rsidP="00CB40E0" w14:paraId="3C5B5455" w14:textId="77777777">
      <w:pPr>
        <w:ind w:left="3600" w:firstLine="720"/>
        <w:rPr>
          <w:szCs w:val="24"/>
        </w:rPr>
      </w:pPr>
    </w:p>
    <w:p w:rsidR="00A6758B" w:rsidRPr="00D7469C" w:rsidP="00A6758B" w14:paraId="4332048F" w14:textId="77777777">
      <w:pPr>
        <w:pStyle w:val="Footer"/>
        <w:tabs>
          <w:tab w:val="left" w:pos="4320"/>
        </w:tabs>
        <w:ind w:left="4320"/>
        <w:rPr>
          <w:szCs w:val="24"/>
        </w:rPr>
      </w:pPr>
      <w:r w:rsidRPr="00D7469C">
        <w:rPr>
          <w:szCs w:val="24"/>
        </w:rPr>
        <w:t>Bruce Weston (0016973)</w:t>
      </w:r>
    </w:p>
    <w:p w:rsidR="00A6758B" w:rsidRPr="00D7469C" w:rsidP="00A6758B" w14:paraId="70E5B292" w14:textId="77777777">
      <w:pPr>
        <w:pStyle w:val="ListParagraph"/>
        <w:tabs>
          <w:tab w:val="left" w:pos="4320"/>
        </w:tabs>
        <w:ind w:left="4320"/>
        <w:rPr>
          <w:szCs w:val="24"/>
        </w:rPr>
      </w:pPr>
      <w:r w:rsidRPr="00D7469C">
        <w:rPr>
          <w:szCs w:val="24"/>
        </w:rPr>
        <w:t>Ohio Consumers’ Counsel</w:t>
      </w:r>
    </w:p>
    <w:p w:rsidR="00A6758B" w:rsidRPr="00D7469C" w:rsidP="00A6758B" w14:paraId="370075F6" w14:textId="77777777">
      <w:pPr>
        <w:pStyle w:val="ListParagraph"/>
        <w:tabs>
          <w:tab w:val="left" w:pos="4320"/>
        </w:tabs>
        <w:ind w:left="4320"/>
        <w:rPr>
          <w:szCs w:val="24"/>
        </w:rPr>
      </w:pPr>
      <w:r w:rsidRPr="00D7469C">
        <w:rPr>
          <w:szCs w:val="24"/>
        </w:rPr>
        <w:tab/>
      </w:r>
    </w:p>
    <w:p w:rsidR="00A6758B" w:rsidRPr="00D7469C" w:rsidP="00A6758B" w14:paraId="27BA4000" w14:textId="77777777">
      <w:pPr>
        <w:pStyle w:val="ListParagraph"/>
        <w:tabs>
          <w:tab w:val="left" w:pos="4320"/>
        </w:tabs>
        <w:ind w:left="4320"/>
        <w:rPr>
          <w:i/>
          <w:iCs/>
          <w:szCs w:val="24"/>
          <w:u w:val="single"/>
        </w:rPr>
      </w:pPr>
      <w:r w:rsidRPr="00D7469C">
        <w:rPr>
          <w:i/>
          <w:iCs/>
          <w:szCs w:val="24"/>
          <w:u w:val="single"/>
        </w:rPr>
        <w:t>/s/ John Finnigan</w:t>
      </w:r>
      <w:r w:rsidRPr="00D7469C">
        <w:rPr>
          <w:i/>
          <w:iCs/>
          <w:szCs w:val="24"/>
          <w:u w:val="single"/>
        </w:rPr>
        <w:tab/>
      </w:r>
    </w:p>
    <w:p w:rsidR="00A6758B" w:rsidRPr="00D7469C" w:rsidP="00A6758B" w14:paraId="2F360D7A" w14:textId="77777777">
      <w:pPr>
        <w:pStyle w:val="ListParagraph"/>
        <w:tabs>
          <w:tab w:val="left" w:pos="4320"/>
        </w:tabs>
        <w:ind w:left="4320"/>
        <w:rPr>
          <w:szCs w:val="24"/>
        </w:rPr>
      </w:pPr>
      <w:r w:rsidRPr="00D7469C">
        <w:rPr>
          <w:szCs w:val="24"/>
        </w:rPr>
        <w:t>Christopher Healey (0086027)</w:t>
      </w:r>
    </w:p>
    <w:p w:rsidR="00A6758B" w:rsidRPr="00D7469C" w:rsidP="00A6758B" w14:paraId="47AFD41E" w14:textId="77777777">
      <w:pPr>
        <w:pStyle w:val="ListParagraph"/>
        <w:tabs>
          <w:tab w:val="left" w:pos="4320"/>
        </w:tabs>
        <w:ind w:left="4320"/>
        <w:rPr>
          <w:szCs w:val="24"/>
        </w:rPr>
      </w:pPr>
      <w:r w:rsidRPr="00D7469C">
        <w:rPr>
          <w:szCs w:val="24"/>
        </w:rPr>
        <w:t>Counsel of Record</w:t>
      </w:r>
    </w:p>
    <w:p w:rsidR="00A6758B" w:rsidRPr="00D7469C" w:rsidP="00A6758B" w14:paraId="3F6951B9" w14:textId="77777777">
      <w:pPr>
        <w:pStyle w:val="ListParagraph"/>
        <w:tabs>
          <w:tab w:val="left" w:pos="4320"/>
        </w:tabs>
        <w:ind w:left="4320"/>
        <w:rPr>
          <w:szCs w:val="24"/>
        </w:rPr>
      </w:pPr>
      <w:r w:rsidRPr="00D7469C">
        <w:rPr>
          <w:szCs w:val="24"/>
        </w:rPr>
        <w:t>William Michael (0070921)</w:t>
      </w:r>
    </w:p>
    <w:p w:rsidR="00A6758B" w:rsidRPr="00D7469C" w:rsidP="00A6758B" w14:paraId="46710358" w14:textId="77777777">
      <w:pPr>
        <w:pStyle w:val="ListParagraph"/>
        <w:tabs>
          <w:tab w:val="left" w:pos="4320"/>
        </w:tabs>
        <w:ind w:left="4320"/>
        <w:rPr>
          <w:szCs w:val="24"/>
        </w:rPr>
      </w:pPr>
      <w:r w:rsidRPr="00D7469C">
        <w:rPr>
          <w:szCs w:val="24"/>
        </w:rPr>
        <w:t>John Finnigan (0018689)</w:t>
      </w:r>
      <w:r w:rsidRPr="00D7469C">
        <w:rPr>
          <w:szCs w:val="24"/>
        </w:rPr>
        <w:br/>
        <w:t>Assistant Consumers’ Counsel</w:t>
      </w:r>
    </w:p>
    <w:p w:rsidR="00A6758B" w:rsidRPr="00D7469C" w:rsidP="00A6758B" w14:paraId="789A1856" w14:textId="77777777">
      <w:pPr>
        <w:pStyle w:val="ListParagraph"/>
        <w:tabs>
          <w:tab w:val="left" w:pos="4320"/>
        </w:tabs>
        <w:ind w:left="4320"/>
        <w:rPr>
          <w:szCs w:val="24"/>
        </w:rPr>
      </w:pPr>
    </w:p>
    <w:p w:rsidR="00A6758B" w:rsidRPr="00D7469C" w:rsidP="00A6758B" w14:paraId="4AA4A57C" w14:textId="77777777">
      <w:pPr>
        <w:pStyle w:val="ListParagraph"/>
        <w:tabs>
          <w:tab w:val="left" w:pos="4320"/>
        </w:tabs>
        <w:ind w:left="4320"/>
        <w:rPr>
          <w:b/>
          <w:bCs w:val="0"/>
          <w:szCs w:val="24"/>
        </w:rPr>
      </w:pPr>
      <w:r w:rsidRPr="00D7469C">
        <w:rPr>
          <w:b/>
          <w:szCs w:val="24"/>
        </w:rPr>
        <w:t>Office of the Ohio Consumers’ Counsel</w:t>
      </w:r>
    </w:p>
    <w:p w:rsidR="00A6758B" w:rsidRPr="00D7469C" w:rsidP="00A6758B" w14:paraId="296D64D5" w14:textId="77777777">
      <w:pPr>
        <w:ind w:left="4320"/>
        <w:rPr>
          <w:szCs w:val="24"/>
        </w:rPr>
      </w:pPr>
      <w:r w:rsidRPr="00D7469C">
        <w:rPr>
          <w:szCs w:val="24"/>
        </w:rPr>
        <w:t>65 East State Street, 7th Floor</w:t>
      </w:r>
    </w:p>
    <w:p w:rsidR="00A6758B" w:rsidRPr="00D7469C" w:rsidP="00A6758B" w14:paraId="64C21099" w14:textId="77777777">
      <w:pPr>
        <w:ind w:left="4320"/>
        <w:rPr>
          <w:szCs w:val="24"/>
        </w:rPr>
      </w:pPr>
      <w:r w:rsidRPr="00D7469C">
        <w:rPr>
          <w:szCs w:val="24"/>
        </w:rPr>
        <w:t>Columbus, Ohio 43215</w:t>
      </w:r>
    </w:p>
    <w:p w:rsidR="00A6758B" w:rsidRPr="00D7469C" w:rsidP="00A6758B" w14:paraId="0403B9E4" w14:textId="77777777">
      <w:pPr>
        <w:autoSpaceDE w:val="0"/>
        <w:autoSpaceDN w:val="0"/>
        <w:adjustRightInd w:val="0"/>
        <w:ind w:left="3600" w:firstLine="720"/>
        <w:rPr>
          <w:szCs w:val="24"/>
        </w:rPr>
      </w:pPr>
      <w:r w:rsidRPr="00D7469C">
        <w:rPr>
          <w:szCs w:val="24"/>
        </w:rPr>
        <w:t>Telephone [Healey]: (614) 466-9571</w:t>
      </w:r>
    </w:p>
    <w:p w:rsidR="00A6758B" w:rsidRPr="00D7469C" w:rsidP="00A6758B" w14:paraId="1DFF206B" w14:textId="77777777">
      <w:pPr>
        <w:autoSpaceDE w:val="0"/>
        <w:autoSpaceDN w:val="0"/>
        <w:adjustRightInd w:val="0"/>
        <w:ind w:left="3600" w:firstLine="720"/>
        <w:rPr>
          <w:szCs w:val="24"/>
        </w:rPr>
      </w:pPr>
      <w:r w:rsidRPr="00D7469C">
        <w:rPr>
          <w:szCs w:val="24"/>
        </w:rPr>
        <w:t>Telephone [Michael]: (614) 466-1291</w:t>
      </w:r>
    </w:p>
    <w:p w:rsidR="00A6758B" w:rsidRPr="00D7469C" w:rsidP="00A6758B" w14:paraId="5F8B7260" w14:textId="77777777">
      <w:pPr>
        <w:pStyle w:val="ListParagraph"/>
        <w:autoSpaceDE w:val="0"/>
        <w:autoSpaceDN w:val="0"/>
        <w:adjustRightInd w:val="0"/>
        <w:ind w:left="3600" w:firstLine="720"/>
        <w:rPr>
          <w:szCs w:val="24"/>
        </w:rPr>
      </w:pPr>
      <w:r w:rsidRPr="00D7469C">
        <w:rPr>
          <w:szCs w:val="24"/>
        </w:rPr>
        <w:t>Telephone [Finnigan]: (614) 466-9585</w:t>
      </w:r>
    </w:p>
    <w:p w:rsidR="00A6758B" w:rsidRPr="00D7469C" w:rsidP="00A6758B" w14:paraId="03AFADFC" w14:textId="77777777">
      <w:pPr>
        <w:pStyle w:val="ListParagraph"/>
        <w:autoSpaceDE w:val="0"/>
        <w:autoSpaceDN w:val="0"/>
        <w:adjustRightInd w:val="0"/>
        <w:ind w:left="0"/>
        <w:rPr>
          <w:szCs w:val="24"/>
        </w:rPr>
      </w:pPr>
      <w:r w:rsidRPr="00D7469C">
        <w:rPr>
          <w:szCs w:val="24"/>
        </w:rPr>
        <w:tab/>
      </w:r>
      <w:r w:rsidRPr="00D7469C">
        <w:rPr>
          <w:szCs w:val="24"/>
        </w:rPr>
        <w:tab/>
      </w:r>
      <w:r w:rsidRPr="00D7469C">
        <w:rPr>
          <w:szCs w:val="24"/>
        </w:rPr>
        <w:tab/>
      </w:r>
      <w:r w:rsidRPr="00D7469C">
        <w:rPr>
          <w:szCs w:val="24"/>
        </w:rPr>
        <w:tab/>
      </w:r>
      <w:r w:rsidRPr="00D7469C">
        <w:rPr>
          <w:szCs w:val="24"/>
        </w:rPr>
        <w:tab/>
      </w:r>
      <w:r w:rsidRPr="00D7469C">
        <w:rPr>
          <w:szCs w:val="24"/>
        </w:rPr>
        <w:tab/>
      </w:r>
      <w:hyperlink r:id="rId6" w:history="1">
        <w:r w:rsidRPr="00D7469C">
          <w:rPr>
            <w:rStyle w:val="Hyperlink"/>
            <w:szCs w:val="24"/>
          </w:rPr>
          <w:t>christopher.healey@occ.ohio.gov</w:t>
        </w:r>
      </w:hyperlink>
    </w:p>
    <w:p w:rsidR="00A6758B" w:rsidRPr="00D7469C" w:rsidP="00A6758B" w14:paraId="05B25F9D" w14:textId="77777777">
      <w:pPr>
        <w:pStyle w:val="ListParagraph"/>
        <w:autoSpaceDE w:val="0"/>
        <w:autoSpaceDN w:val="0"/>
        <w:adjustRightInd w:val="0"/>
        <w:ind w:left="3600" w:firstLine="720"/>
        <w:rPr>
          <w:szCs w:val="24"/>
        </w:rPr>
      </w:pPr>
      <w:hyperlink r:id="rId7" w:history="1">
        <w:r w:rsidRPr="00D7469C">
          <w:rPr>
            <w:rStyle w:val="Hyperlink"/>
            <w:szCs w:val="24"/>
          </w:rPr>
          <w:t>william.michael@occ.ohio.gov</w:t>
        </w:r>
      </w:hyperlink>
    </w:p>
    <w:p w:rsidR="00A6758B" w:rsidRPr="00D7469C" w:rsidP="00A6758B" w14:paraId="270AACF4" w14:textId="77777777">
      <w:pPr>
        <w:pStyle w:val="ListParagraph"/>
        <w:autoSpaceDE w:val="0"/>
        <w:autoSpaceDN w:val="0"/>
        <w:adjustRightInd w:val="0"/>
        <w:ind w:left="3600" w:firstLine="720"/>
        <w:rPr>
          <w:rStyle w:val="Hyperlink"/>
          <w:szCs w:val="24"/>
        </w:rPr>
      </w:pPr>
      <w:hyperlink r:id="rId8" w:history="1">
        <w:r w:rsidRPr="00D7469C">
          <w:rPr>
            <w:rStyle w:val="Hyperlink"/>
            <w:szCs w:val="24"/>
          </w:rPr>
          <w:t>john.finnigan@occ.ohio.gov</w:t>
        </w:r>
      </w:hyperlink>
    </w:p>
    <w:p w:rsidR="00A6758B" w:rsidRPr="00D7469C" w:rsidP="00A6758B" w14:paraId="5F99D8D7" w14:textId="3A0DC549">
      <w:pPr>
        <w:pStyle w:val="ListParagraph"/>
        <w:autoSpaceDE w:val="0"/>
        <w:autoSpaceDN w:val="0"/>
        <w:adjustRightInd w:val="0"/>
        <w:ind w:left="3600" w:firstLine="720"/>
        <w:rPr>
          <w:rStyle w:val="Hyperlink"/>
          <w:color w:val="auto"/>
          <w:szCs w:val="24"/>
          <w:u w:val="none"/>
        </w:rPr>
      </w:pPr>
      <w:r w:rsidRPr="00D7469C">
        <w:rPr>
          <w:rStyle w:val="Hyperlink"/>
          <w:color w:val="auto"/>
          <w:szCs w:val="24"/>
          <w:u w:val="none"/>
        </w:rPr>
        <w:t>(willing to accept service by e-mail)</w:t>
      </w:r>
    </w:p>
    <w:p w:rsidR="00A6758B" w:rsidRPr="00D7469C" w:rsidP="00A6758B" w14:paraId="3D565F08" w14:textId="358883C2">
      <w:pPr>
        <w:pStyle w:val="ListParagraph"/>
        <w:autoSpaceDE w:val="0"/>
        <w:autoSpaceDN w:val="0"/>
        <w:adjustRightInd w:val="0"/>
        <w:ind w:left="3600" w:firstLine="720"/>
        <w:rPr>
          <w:rStyle w:val="Hyperlink"/>
          <w:color w:val="auto"/>
          <w:szCs w:val="24"/>
          <w:u w:val="none"/>
        </w:rPr>
      </w:pPr>
    </w:p>
    <w:p w:rsidR="00A6758B" w:rsidRPr="00D7469C" w:rsidP="00A6758B" w14:paraId="513378C0" w14:textId="3EAC3E55">
      <w:pPr>
        <w:pStyle w:val="ListParagraph"/>
        <w:autoSpaceDE w:val="0"/>
        <w:autoSpaceDN w:val="0"/>
        <w:adjustRightInd w:val="0"/>
        <w:ind w:left="3600" w:firstLine="720"/>
        <w:rPr>
          <w:rStyle w:val="Hyperlink"/>
          <w:color w:val="auto"/>
          <w:szCs w:val="24"/>
          <w:u w:val="none"/>
        </w:rPr>
      </w:pPr>
    </w:p>
    <w:p w:rsidR="00A6758B" w:rsidRPr="00D7469C" w:rsidP="00A6758B" w14:paraId="1D3D0DBA" w14:textId="77777777">
      <w:pPr>
        <w:jc w:val="center"/>
        <w:rPr>
          <w:b/>
          <w:szCs w:val="24"/>
          <w:u w:val="single"/>
        </w:rPr>
        <w:sectPr w:rsidSect="00B23FF3">
          <w:headerReference w:type="default" r:id="rId18"/>
          <w:pgSz w:w="12240" w:h="15840"/>
          <w:pgMar w:top="1440" w:right="1440" w:bottom="1440" w:left="1440" w:header="720" w:footer="720" w:gutter="0"/>
          <w:cols w:space="720"/>
          <w:docGrid w:linePitch="360"/>
        </w:sectPr>
      </w:pPr>
    </w:p>
    <w:p w:rsidR="00A6758B" w:rsidRPr="00D7469C" w:rsidP="00A6758B" w14:paraId="6180E797" w14:textId="3E7EB045">
      <w:pPr>
        <w:jc w:val="center"/>
        <w:rPr>
          <w:b/>
          <w:bCs w:val="0"/>
          <w:szCs w:val="24"/>
          <w:u w:val="single"/>
        </w:rPr>
      </w:pPr>
      <w:r w:rsidRPr="00D7469C">
        <w:rPr>
          <w:b/>
          <w:szCs w:val="24"/>
          <w:u w:val="single"/>
        </w:rPr>
        <w:t>CERTIFICATE OF SERVICE</w:t>
      </w:r>
    </w:p>
    <w:p w:rsidR="00A6758B" w:rsidRPr="00D7469C" w:rsidP="00A6758B" w14:paraId="29417BE0" w14:textId="77777777">
      <w:pPr>
        <w:jc w:val="center"/>
        <w:rPr>
          <w:szCs w:val="24"/>
          <w:u w:val="single"/>
        </w:rPr>
      </w:pPr>
    </w:p>
    <w:p w:rsidR="00A6758B" w:rsidRPr="00D7469C" w:rsidP="00A6758B" w14:paraId="503A090E" w14:textId="5527DC96">
      <w:pPr>
        <w:spacing w:line="480" w:lineRule="auto"/>
        <w:rPr>
          <w:b/>
          <w:bCs w:val="0"/>
          <w:szCs w:val="24"/>
        </w:rPr>
      </w:pPr>
      <w:r w:rsidRPr="00D7469C">
        <w:rPr>
          <w:szCs w:val="24"/>
        </w:rPr>
        <w:tab/>
        <w:t xml:space="preserve">I hereby certify that a copy of this Memorandum Contra was served on the persons stated below via electric transmission this </w:t>
      </w:r>
      <w:r w:rsidRPr="00D7469C" w:rsidR="007E4E2E">
        <w:rPr>
          <w:szCs w:val="24"/>
        </w:rPr>
        <w:t>20th</w:t>
      </w:r>
      <w:r w:rsidRPr="00D7469C">
        <w:rPr>
          <w:szCs w:val="24"/>
        </w:rPr>
        <w:t xml:space="preserve"> day of January 2021.</w:t>
      </w:r>
    </w:p>
    <w:p w:rsidR="00A6758B" w:rsidRPr="00D7469C" w:rsidP="00A6758B" w14:paraId="5D7A3F44" w14:textId="77777777">
      <w:pPr>
        <w:rPr>
          <w:b/>
          <w:bCs w:val="0"/>
          <w:szCs w:val="24"/>
        </w:rPr>
      </w:pPr>
      <w:bookmarkStart w:id="12" w:name="_Hlk60904023"/>
    </w:p>
    <w:p w:rsidR="00A6758B" w:rsidRPr="00D7469C" w:rsidP="00A6758B" w14:paraId="35DA0419" w14:textId="77777777">
      <w:pPr>
        <w:rPr>
          <w:b/>
          <w:bCs w:val="0"/>
          <w:i/>
          <w:iCs/>
          <w:szCs w:val="24"/>
          <w:u w:val="single"/>
        </w:rPr>
      </w:pPr>
      <w:r w:rsidRPr="00D7469C">
        <w:rPr>
          <w:szCs w:val="24"/>
        </w:rPr>
        <w:tab/>
      </w:r>
      <w:r w:rsidRPr="00D7469C">
        <w:rPr>
          <w:szCs w:val="24"/>
        </w:rPr>
        <w:tab/>
      </w:r>
      <w:r w:rsidRPr="00D7469C">
        <w:rPr>
          <w:szCs w:val="24"/>
        </w:rPr>
        <w:tab/>
      </w:r>
      <w:r w:rsidRPr="00D7469C">
        <w:rPr>
          <w:szCs w:val="24"/>
        </w:rPr>
        <w:tab/>
      </w:r>
      <w:r w:rsidRPr="00D7469C">
        <w:rPr>
          <w:szCs w:val="24"/>
        </w:rPr>
        <w:tab/>
      </w:r>
      <w:r w:rsidRPr="00D7469C">
        <w:rPr>
          <w:szCs w:val="24"/>
        </w:rPr>
        <w:tab/>
      </w:r>
      <w:r w:rsidRPr="00D7469C">
        <w:rPr>
          <w:i/>
          <w:iCs/>
          <w:szCs w:val="24"/>
          <w:u w:val="single"/>
        </w:rPr>
        <w:t>/s/ John Finnigan</w:t>
      </w:r>
    </w:p>
    <w:p w:rsidR="00A6758B" w:rsidRPr="00D7469C" w:rsidP="00A6758B" w14:paraId="07DBF83F" w14:textId="77777777">
      <w:pPr>
        <w:rPr>
          <w:b/>
          <w:bCs w:val="0"/>
          <w:szCs w:val="24"/>
        </w:rPr>
      </w:pPr>
      <w:r w:rsidRPr="00D7469C">
        <w:rPr>
          <w:szCs w:val="24"/>
        </w:rPr>
        <w:tab/>
      </w:r>
      <w:r w:rsidRPr="00D7469C">
        <w:rPr>
          <w:szCs w:val="24"/>
        </w:rPr>
        <w:tab/>
      </w:r>
      <w:r w:rsidRPr="00D7469C">
        <w:rPr>
          <w:szCs w:val="24"/>
        </w:rPr>
        <w:tab/>
      </w:r>
      <w:r w:rsidRPr="00D7469C">
        <w:rPr>
          <w:szCs w:val="24"/>
        </w:rPr>
        <w:tab/>
      </w:r>
      <w:r w:rsidRPr="00D7469C">
        <w:rPr>
          <w:szCs w:val="24"/>
        </w:rPr>
        <w:tab/>
      </w:r>
      <w:r w:rsidRPr="00D7469C">
        <w:rPr>
          <w:szCs w:val="24"/>
        </w:rPr>
        <w:tab/>
        <w:t>John Finnigan (0018689)</w:t>
      </w:r>
    </w:p>
    <w:p w:rsidR="00A6758B" w:rsidRPr="00D7469C" w:rsidP="00A6758B" w14:paraId="1CCF2F1A" w14:textId="77777777">
      <w:pPr>
        <w:rPr>
          <w:b/>
          <w:bCs w:val="0"/>
          <w:szCs w:val="24"/>
        </w:rPr>
      </w:pPr>
      <w:r w:rsidRPr="00D7469C">
        <w:rPr>
          <w:szCs w:val="24"/>
        </w:rPr>
        <w:tab/>
      </w:r>
      <w:r w:rsidRPr="00D7469C">
        <w:rPr>
          <w:szCs w:val="24"/>
        </w:rPr>
        <w:tab/>
      </w:r>
      <w:r w:rsidRPr="00D7469C">
        <w:rPr>
          <w:szCs w:val="24"/>
        </w:rPr>
        <w:tab/>
      </w:r>
      <w:r w:rsidRPr="00D7469C">
        <w:rPr>
          <w:szCs w:val="24"/>
        </w:rPr>
        <w:tab/>
      </w:r>
      <w:r w:rsidRPr="00D7469C">
        <w:rPr>
          <w:szCs w:val="24"/>
        </w:rPr>
        <w:tab/>
      </w:r>
      <w:r w:rsidRPr="00D7469C">
        <w:rPr>
          <w:szCs w:val="24"/>
        </w:rPr>
        <w:tab/>
        <w:t>Assistant Consumers’ Counsel</w:t>
      </w:r>
    </w:p>
    <w:bookmarkEnd w:id="12"/>
    <w:p w:rsidR="00A6758B" w:rsidRPr="00D7469C" w:rsidP="00A6758B" w14:paraId="534EC459" w14:textId="77777777">
      <w:pPr>
        <w:rPr>
          <w:b/>
          <w:bCs w:val="0"/>
          <w:szCs w:val="24"/>
        </w:rPr>
      </w:pPr>
    </w:p>
    <w:p w:rsidR="00A6758B" w:rsidRPr="00D7469C" w:rsidP="00A6758B" w14:paraId="0FCF6440" w14:textId="77777777">
      <w:pPr>
        <w:rPr>
          <w:b/>
          <w:bCs w:val="0"/>
          <w:szCs w:val="24"/>
        </w:rPr>
      </w:pPr>
      <w:r w:rsidRPr="00D7469C">
        <w:rPr>
          <w:szCs w:val="24"/>
        </w:rPr>
        <w:t>The PUCO’s e-filing system will electronically serve notice of the filing of this document on the following parties:</w:t>
      </w:r>
    </w:p>
    <w:p w:rsidR="00A6758B" w:rsidRPr="00D7469C" w:rsidP="00A6758B" w14:paraId="22459D87" w14:textId="77777777">
      <w:pPr>
        <w:rPr>
          <w:b/>
          <w:bCs w:val="0"/>
          <w:szCs w:val="24"/>
        </w:rPr>
      </w:pPr>
    </w:p>
    <w:p w:rsidR="00A6758B" w:rsidRPr="00D7469C" w:rsidP="00A6758B" w14:paraId="63B9194F" w14:textId="77777777">
      <w:pPr>
        <w:pStyle w:val="CommentText"/>
        <w:jc w:val="center"/>
        <w:rPr>
          <w:b/>
          <w:bCs/>
          <w:sz w:val="24"/>
          <w:szCs w:val="24"/>
          <w:u w:val="single"/>
        </w:rPr>
      </w:pPr>
      <w:r w:rsidRPr="00D7469C">
        <w:rPr>
          <w:b/>
          <w:bCs/>
          <w:sz w:val="24"/>
          <w:szCs w:val="24"/>
          <w:u w:val="single"/>
        </w:rPr>
        <w:t>SERVICE LIST</w:t>
      </w:r>
    </w:p>
    <w:p w:rsidR="00A6758B" w:rsidRPr="00D7469C" w:rsidP="00A6758B" w14:paraId="4F0CE0A9" w14:textId="77777777">
      <w:pPr>
        <w:pStyle w:val="CommentText"/>
        <w:jc w:val="center"/>
        <w:rPr>
          <w:b/>
          <w:bCs/>
          <w:sz w:val="24"/>
          <w:szCs w:val="24"/>
          <w:u w:val="single"/>
        </w:rPr>
      </w:pPr>
    </w:p>
    <w:tbl>
      <w:tblPr>
        <w:tblW w:w="0" w:type="auto"/>
        <w:tblLook w:val="01E0"/>
      </w:tblPr>
      <w:tblGrid>
        <w:gridCol w:w="4428"/>
        <w:gridCol w:w="4428"/>
      </w:tblGrid>
      <w:tr w14:paraId="4D070717" w14:textId="77777777" w:rsidTr="005E4674">
        <w:tblPrEx>
          <w:tblW w:w="0" w:type="auto"/>
          <w:tblLook w:val="01E0"/>
        </w:tblPrEx>
        <w:tc>
          <w:tcPr>
            <w:tcW w:w="4428" w:type="dxa"/>
            <w:shd w:val="clear" w:color="auto" w:fill="auto"/>
          </w:tcPr>
          <w:p w:rsidR="00A6758B" w:rsidRPr="00D7469C" w:rsidP="005E4674" w14:paraId="3C13A1FD" w14:textId="77777777">
            <w:pPr>
              <w:pStyle w:val="BodyText"/>
              <w:spacing w:line="240" w:lineRule="auto"/>
              <w:rPr>
                <w:rStyle w:val="Hyperlink"/>
                <w:bCs/>
              </w:rPr>
            </w:pPr>
            <w:hyperlink r:id="rId19" w:history="1">
              <w:r w:rsidRPr="00D7469C">
                <w:rPr>
                  <w:rStyle w:val="Hyperlink"/>
                </w:rPr>
                <w:t>kyle</w:t>
              </w:r>
              <w:r w:rsidRPr="00D7469C">
                <w:rPr>
                  <w:rStyle w:val="Hyperlink"/>
                  <w:bCs/>
                </w:rPr>
                <w:t>.kern@ohioattorneygeneral.gov</w:t>
              </w:r>
            </w:hyperlink>
          </w:p>
          <w:p w:rsidR="00A6758B" w:rsidRPr="00D7469C" w:rsidP="005E4674" w14:paraId="583A44A5" w14:textId="77777777">
            <w:pPr>
              <w:pStyle w:val="BodyText"/>
              <w:spacing w:line="240" w:lineRule="auto"/>
              <w:rPr>
                <w:rStyle w:val="Hyperlink"/>
                <w:bCs/>
              </w:rPr>
            </w:pPr>
            <w:hyperlink r:id="rId20" w:history="1">
              <w:r w:rsidRPr="00D7469C">
                <w:rPr>
                  <w:rStyle w:val="Hyperlink"/>
                  <w:bCs/>
                </w:rPr>
                <w:t>thomas.lindgren@ohioattorneygeneral.gov</w:t>
              </w:r>
            </w:hyperlink>
          </w:p>
          <w:p w:rsidR="00A6758B" w:rsidRPr="00D7469C" w:rsidP="005E4674" w14:paraId="4E6850B2" w14:textId="77777777">
            <w:pPr>
              <w:autoSpaceDE w:val="0"/>
              <w:autoSpaceDN w:val="0"/>
              <w:adjustRightInd w:val="0"/>
              <w:rPr>
                <w:color w:val="0000FF"/>
                <w:szCs w:val="24"/>
              </w:rPr>
            </w:pPr>
            <w:hyperlink r:id="rId21" w:history="1">
              <w:r w:rsidRPr="00D7469C">
                <w:rPr>
                  <w:rStyle w:val="Hyperlink"/>
                  <w:szCs w:val="24"/>
                </w:rPr>
                <w:t>mkurtz@BKLlawfirm.com</w:t>
              </w:r>
            </w:hyperlink>
          </w:p>
          <w:p w:rsidR="00A6758B" w:rsidRPr="00D7469C" w:rsidP="005E4674" w14:paraId="12ECA5F1" w14:textId="77777777">
            <w:pPr>
              <w:autoSpaceDE w:val="0"/>
              <w:autoSpaceDN w:val="0"/>
              <w:adjustRightInd w:val="0"/>
              <w:rPr>
                <w:color w:val="0000FF"/>
                <w:szCs w:val="24"/>
              </w:rPr>
            </w:pPr>
            <w:hyperlink r:id="rId22" w:history="1">
              <w:r w:rsidRPr="00D7469C">
                <w:rPr>
                  <w:rStyle w:val="Hyperlink"/>
                  <w:szCs w:val="24"/>
                </w:rPr>
                <w:t>kboehm@BKLlawfirm.com</w:t>
              </w:r>
            </w:hyperlink>
          </w:p>
          <w:p w:rsidR="00A6758B" w:rsidRPr="00D7469C" w:rsidP="005E4674" w14:paraId="1BA6C9E6" w14:textId="3746A0E5">
            <w:pPr>
              <w:pStyle w:val="BodyText"/>
              <w:spacing w:line="240" w:lineRule="auto"/>
              <w:rPr>
                <w:rStyle w:val="Hyperlink"/>
                <w:rFonts w:eastAsiaTheme="minorHAnsi"/>
              </w:rPr>
            </w:pPr>
            <w:hyperlink r:id="rId23" w:history="1">
              <w:r w:rsidRPr="00D7469C">
                <w:rPr>
                  <w:rStyle w:val="Hyperlink"/>
                  <w:rFonts w:eastAsiaTheme="minorHAnsi"/>
                </w:rPr>
                <w:t>jkylercohn@BKLlawfirm.com</w:t>
              </w:r>
            </w:hyperlink>
          </w:p>
          <w:p w:rsidR="00543BA7" w:rsidP="005E4674" w14:paraId="2B973454" w14:textId="378920BE">
            <w:pPr>
              <w:pStyle w:val="BodyText"/>
              <w:spacing w:line="240" w:lineRule="auto"/>
              <w:rPr>
                <w:rStyle w:val="Hyperlink"/>
                <w:rFonts w:eastAsiaTheme="minorHAnsi"/>
              </w:rPr>
            </w:pPr>
            <w:hyperlink r:id="rId24" w:history="1">
              <w:r w:rsidRPr="00285144" w:rsidR="003736C3">
                <w:rPr>
                  <w:rStyle w:val="Hyperlink"/>
                  <w:rFonts w:eastAsiaTheme="minorHAnsi"/>
                </w:rPr>
                <w:t>rdove@keglerbrown.com</w:t>
              </w:r>
            </w:hyperlink>
          </w:p>
          <w:p w:rsidR="00A6758B" w:rsidRPr="00D7469C" w:rsidP="005E4674" w14:paraId="689C2AA2" w14:textId="77777777">
            <w:pPr>
              <w:pStyle w:val="BodyText"/>
              <w:spacing w:line="240" w:lineRule="auto"/>
              <w:rPr>
                <w:rStyle w:val="Hyperlink"/>
                <w:bCs/>
              </w:rPr>
            </w:pPr>
          </w:p>
          <w:p w:rsidR="00A6758B" w:rsidRPr="00D7469C" w:rsidP="00A6758B" w14:paraId="42166307" w14:textId="77777777">
            <w:pPr>
              <w:pStyle w:val="BodyText"/>
              <w:spacing w:line="240" w:lineRule="auto"/>
              <w:rPr>
                <w:bCs/>
              </w:rPr>
            </w:pPr>
            <w:r w:rsidRPr="00D7469C">
              <w:rPr>
                <w:bCs/>
              </w:rPr>
              <w:t>Attorney Examiners:</w:t>
            </w:r>
          </w:p>
          <w:p w:rsidR="00A6758B" w:rsidRPr="00D7469C" w:rsidP="00A6758B" w14:paraId="6FE1DD28" w14:textId="77777777">
            <w:pPr>
              <w:pStyle w:val="BodyText"/>
              <w:spacing w:line="240" w:lineRule="auto"/>
              <w:rPr>
                <w:bCs/>
              </w:rPr>
            </w:pPr>
            <w:hyperlink r:id="rId25" w:history="1">
              <w:r w:rsidRPr="00D7469C">
                <w:rPr>
                  <w:rStyle w:val="Hyperlink"/>
                </w:rPr>
                <w:t>s</w:t>
              </w:r>
              <w:r w:rsidRPr="00D7469C">
                <w:rPr>
                  <w:rStyle w:val="Hyperlink"/>
                  <w:bCs/>
                </w:rPr>
                <w:t>arah.parrot@puco.ohio.gov</w:t>
              </w:r>
            </w:hyperlink>
          </w:p>
          <w:p w:rsidR="00A6758B" w:rsidRPr="00D7469C" w:rsidP="00A6758B" w14:paraId="46EE2AA9" w14:textId="77777777">
            <w:pPr>
              <w:pStyle w:val="BodyText"/>
              <w:spacing w:line="240" w:lineRule="auto"/>
              <w:rPr>
                <w:bCs/>
              </w:rPr>
            </w:pPr>
            <w:hyperlink r:id="rId26" w:history="1">
              <w:r w:rsidRPr="00D7469C">
                <w:rPr>
                  <w:rStyle w:val="Hyperlink"/>
                </w:rPr>
                <w:t>g</w:t>
              </w:r>
              <w:r w:rsidRPr="00D7469C">
                <w:rPr>
                  <w:rStyle w:val="Hyperlink"/>
                  <w:bCs/>
                </w:rPr>
                <w:t>reta.see@puco.ohio.gov</w:t>
              </w:r>
            </w:hyperlink>
          </w:p>
          <w:p w:rsidR="00A6758B" w:rsidRPr="00D7469C" w:rsidP="005E4674" w14:paraId="39E77B39" w14:textId="77777777">
            <w:pPr>
              <w:pStyle w:val="BodyText"/>
              <w:rPr>
                <w:bCs/>
              </w:rPr>
            </w:pPr>
          </w:p>
        </w:tc>
        <w:tc>
          <w:tcPr>
            <w:tcW w:w="4428" w:type="dxa"/>
            <w:shd w:val="clear" w:color="auto" w:fill="auto"/>
          </w:tcPr>
          <w:p w:rsidR="00A6758B" w:rsidRPr="00D7469C" w:rsidP="005E4674" w14:paraId="006F0DC8" w14:textId="77777777">
            <w:pPr>
              <w:autoSpaceDE w:val="0"/>
              <w:autoSpaceDN w:val="0"/>
              <w:adjustRightInd w:val="0"/>
              <w:ind w:left="589"/>
              <w:rPr>
                <w:rStyle w:val="Hyperlink"/>
                <w:bCs w:val="0"/>
                <w:szCs w:val="24"/>
              </w:rPr>
            </w:pPr>
            <w:hyperlink r:id="rId27" w:history="1">
              <w:r w:rsidRPr="00D7469C">
                <w:rPr>
                  <w:rStyle w:val="Hyperlink"/>
                  <w:szCs w:val="24"/>
                </w:rPr>
                <w:t>stnourse@aep.com</w:t>
              </w:r>
            </w:hyperlink>
          </w:p>
          <w:p w:rsidR="00A6758B" w:rsidRPr="00D7469C" w:rsidP="005E4674" w14:paraId="3F705D7D" w14:textId="77777777">
            <w:pPr>
              <w:autoSpaceDE w:val="0"/>
              <w:autoSpaceDN w:val="0"/>
              <w:adjustRightInd w:val="0"/>
              <w:ind w:left="589"/>
              <w:rPr>
                <w:bCs w:val="0"/>
                <w:szCs w:val="24"/>
              </w:rPr>
            </w:pPr>
            <w:hyperlink r:id="rId28" w:history="1">
              <w:r w:rsidRPr="00D7469C">
                <w:rPr>
                  <w:rStyle w:val="Hyperlink"/>
                  <w:szCs w:val="24"/>
                </w:rPr>
                <w:t>mpritchard@mcneeslaw.com</w:t>
              </w:r>
            </w:hyperlink>
          </w:p>
          <w:p w:rsidR="00A6758B" w:rsidRPr="00D7469C" w:rsidP="005E4674" w14:paraId="54BF6837" w14:textId="5BFB4937">
            <w:pPr>
              <w:autoSpaceDE w:val="0"/>
              <w:autoSpaceDN w:val="0"/>
              <w:adjustRightInd w:val="0"/>
              <w:ind w:left="589"/>
              <w:rPr>
                <w:rStyle w:val="Hyperlink"/>
                <w:szCs w:val="24"/>
              </w:rPr>
            </w:pPr>
            <w:hyperlink r:id="rId29" w:history="1">
              <w:r w:rsidRPr="00D7469C">
                <w:rPr>
                  <w:rStyle w:val="Hyperlink"/>
                  <w:szCs w:val="24"/>
                </w:rPr>
                <w:t>rglover@mcneeslaw.com</w:t>
              </w:r>
            </w:hyperlink>
          </w:p>
          <w:p w:rsidR="00A6758B" w:rsidRPr="00D7469C" w:rsidP="005E4674" w14:paraId="523499D2" w14:textId="1C39086D">
            <w:pPr>
              <w:autoSpaceDE w:val="0"/>
              <w:autoSpaceDN w:val="0"/>
              <w:adjustRightInd w:val="0"/>
              <w:ind w:left="589"/>
              <w:rPr>
                <w:color w:val="0000FF"/>
                <w:szCs w:val="24"/>
              </w:rPr>
            </w:pPr>
            <w:hyperlink r:id="rId30" w:history="1">
              <w:r w:rsidRPr="00D7469C">
                <w:rPr>
                  <w:rStyle w:val="Hyperlink"/>
                  <w:szCs w:val="24"/>
                </w:rPr>
                <w:t>paul@carpenterlipps.com</w:t>
              </w:r>
            </w:hyperlink>
          </w:p>
          <w:p w:rsidR="00A6758B" w:rsidRPr="00D7469C" w:rsidP="00A6758B" w14:paraId="2F943DB1" w14:textId="3EC7EDF4">
            <w:pPr>
              <w:autoSpaceDE w:val="0"/>
              <w:autoSpaceDN w:val="0"/>
              <w:adjustRightInd w:val="0"/>
              <w:ind w:left="594"/>
              <w:rPr>
                <w:color w:val="0563C2"/>
                <w:szCs w:val="24"/>
              </w:rPr>
            </w:pPr>
            <w:hyperlink r:id="rId31" w:history="1">
              <w:r w:rsidRPr="00D7469C">
                <w:rPr>
                  <w:rStyle w:val="Hyperlink"/>
                  <w:szCs w:val="24"/>
                </w:rPr>
                <w:t>bojko@carpenterlipps.com</w:t>
              </w:r>
            </w:hyperlink>
          </w:p>
          <w:p w:rsidR="00A6758B" w:rsidRPr="00D7469C" w:rsidP="00A6758B" w14:paraId="5304ECE0" w14:textId="6DE95750">
            <w:pPr>
              <w:autoSpaceDE w:val="0"/>
              <w:autoSpaceDN w:val="0"/>
              <w:adjustRightInd w:val="0"/>
              <w:ind w:left="589"/>
              <w:rPr>
                <w:color w:val="0563C2"/>
                <w:szCs w:val="24"/>
              </w:rPr>
            </w:pPr>
            <w:hyperlink r:id="rId32" w:history="1">
              <w:r w:rsidRPr="00D7469C">
                <w:rPr>
                  <w:rStyle w:val="Hyperlink"/>
                  <w:szCs w:val="24"/>
                </w:rPr>
                <w:t>donadio@carpenterlipps.com</w:t>
              </w:r>
            </w:hyperlink>
          </w:p>
          <w:p w:rsidR="00A6758B" w:rsidRPr="00D7469C" w:rsidP="00A6758B" w14:paraId="0867E6E1" w14:textId="77777777">
            <w:pPr>
              <w:autoSpaceDE w:val="0"/>
              <w:autoSpaceDN w:val="0"/>
              <w:adjustRightInd w:val="0"/>
              <w:ind w:left="589"/>
              <w:rPr>
                <w:color w:val="0000FF"/>
                <w:szCs w:val="24"/>
              </w:rPr>
            </w:pPr>
          </w:p>
          <w:p w:rsidR="00A6758B" w:rsidRPr="00D7469C" w:rsidP="005E4674" w14:paraId="33FCE72A" w14:textId="77777777">
            <w:pPr>
              <w:autoSpaceDE w:val="0"/>
              <w:autoSpaceDN w:val="0"/>
              <w:adjustRightInd w:val="0"/>
              <w:ind w:left="589"/>
              <w:rPr>
                <w:bCs w:val="0"/>
                <w:szCs w:val="24"/>
              </w:rPr>
            </w:pPr>
          </w:p>
          <w:p w:rsidR="00A6758B" w:rsidRPr="00D7469C" w:rsidP="005E4674" w14:paraId="4E0DE92F" w14:textId="77777777">
            <w:pPr>
              <w:autoSpaceDE w:val="0"/>
              <w:autoSpaceDN w:val="0"/>
              <w:adjustRightInd w:val="0"/>
              <w:ind w:left="589"/>
              <w:rPr>
                <w:bCs w:val="0"/>
                <w:szCs w:val="24"/>
              </w:rPr>
            </w:pPr>
          </w:p>
          <w:p w:rsidR="00A6758B" w:rsidRPr="00D7469C" w:rsidP="005E4674" w14:paraId="06B79CCD" w14:textId="77777777">
            <w:pPr>
              <w:autoSpaceDE w:val="0"/>
              <w:autoSpaceDN w:val="0"/>
              <w:adjustRightInd w:val="0"/>
              <w:rPr>
                <w:bCs w:val="0"/>
                <w:szCs w:val="24"/>
              </w:rPr>
            </w:pPr>
          </w:p>
        </w:tc>
      </w:tr>
    </w:tbl>
    <w:p w:rsidR="00A6758B" w:rsidRPr="00D7469C" w:rsidP="00A6758B" w14:paraId="70E021E3" w14:textId="77777777">
      <w:pPr>
        <w:pStyle w:val="ListParagraph"/>
        <w:autoSpaceDE w:val="0"/>
        <w:autoSpaceDN w:val="0"/>
        <w:adjustRightInd w:val="0"/>
        <w:ind w:left="3600" w:firstLine="720"/>
        <w:rPr>
          <w:szCs w:val="24"/>
        </w:rPr>
      </w:pPr>
    </w:p>
    <w:p w:rsidR="00A6758B" w:rsidRPr="00D7469C" w:rsidP="00A6758B" w14:paraId="2C20A5E5" w14:textId="77777777">
      <w:pPr>
        <w:ind w:left="3600" w:firstLine="720"/>
        <w:rPr>
          <w:szCs w:val="24"/>
        </w:rPr>
      </w:pPr>
    </w:p>
    <w:p w:rsidR="004D27BD" w:rsidRPr="00D7469C" w:rsidP="004D27BD" w14:paraId="1B064DF8" w14:textId="77777777">
      <w:pPr>
        <w:rPr>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40E0" w14:paraId="04758DFA" w14:textId="156E68F8">
    <w:pPr>
      <w:pStyle w:val="Footer"/>
      <w:jc w:val="center"/>
    </w:pPr>
  </w:p>
  <w:p w:rsidR="005E4674" w14:paraId="463EF48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02154702"/>
      <w:docPartObj>
        <w:docPartGallery w:val="Page Numbers (Bottom of Page)"/>
        <w:docPartUnique/>
      </w:docPartObj>
    </w:sdtPr>
    <w:sdtEndPr>
      <w:rPr>
        <w:noProof/>
      </w:rPr>
    </w:sdtEndPr>
    <w:sdtContent>
      <w:p w:rsidR="00467DF9" w14:paraId="5ACBFE72" w14:textId="4F6E15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86749" w14:paraId="05F751E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53564665"/>
      <w:docPartObj>
        <w:docPartGallery w:val="Page Numbers (Bottom of Page)"/>
        <w:docPartUnique/>
      </w:docPartObj>
    </w:sdtPr>
    <w:sdtEndPr>
      <w:rPr>
        <w:noProof/>
      </w:rPr>
    </w:sdtEndPr>
    <w:sdtContent>
      <w:p w:rsidR="00467DF9" w14:paraId="00EDBE85" w14:textId="4EAE15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67DF9" w14:paraId="6F311BC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02069010"/>
      <w:docPartObj>
        <w:docPartGallery w:val="Page Numbers (Bottom of Page)"/>
        <w:docPartUnique/>
      </w:docPartObj>
    </w:sdtPr>
    <w:sdtEndPr>
      <w:rPr>
        <w:noProof/>
      </w:rPr>
    </w:sdtEndPr>
    <w:sdtContent>
      <w:p w:rsidR="00467DF9" w14:paraId="4A7E3292" w14:textId="14E017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26F8D" w14:paraId="438963B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24F50" w:rsidP="00076046" w14:paraId="06AE2F0F" w14:textId="77777777">
      <w:r>
        <w:separator/>
      </w:r>
    </w:p>
  </w:footnote>
  <w:footnote w:type="continuationSeparator" w:id="1">
    <w:p w:rsidR="00424F50" w:rsidP="00076046" w14:paraId="12AF27DD" w14:textId="77777777">
      <w:r>
        <w:continuationSeparator/>
      </w:r>
    </w:p>
  </w:footnote>
  <w:footnote w:id="2">
    <w:p w:rsidR="005E4674" w:rsidP="0037531B" w14:paraId="4774608B" w14:textId="0EA77574">
      <w:pPr>
        <w:pStyle w:val="FootnoteText"/>
        <w:spacing w:after="120"/>
      </w:pPr>
      <w:r>
        <w:rPr>
          <w:rStyle w:val="FootnoteReference"/>
        </w:rPr>
        <w:footnoteRef/>
      </w:r>
      <w:r>
        <w:t xml:space="preserve"> Ohio Adm. Code 4901-1-16(A).</w:t>
      </w:r>
    </w:p>
  </w:footnote>
  <w:footnote w:id="3">
    <w:p w:rsidR="005E4674" w:rsidP="0037531B" w14:paraId="249D6EE6" w14:textId="0BEC5F0F">
      <w:pPr>
        <w:pStyle w:val="FootnoteText"/>
        <w:spacing w:after="120"/>
      </w:pPr>
      <w:r>
        <w:rPr>
          <w:rStyle w:val="FootnoteReference"/>
        </w:rPr>
        <w:footnoteRef/>
      </w:r>
      <w:r>
        <w:t xml:space="preserve"> </w:t>
      </w:r>
      <w:r w:rsidRPr="00CB40E0">
        <w:rPr>
          <w:i/>
          <w:iCs/>
        </w:rPr>
        <w:t>Id</w:t>
      </w:r>
      <w:r>
        <w:t>.</w:t>
      </w:r>
    </w:p>
  </w:footnote>
  <w:footnote w:id="4">
    <w:p w:rsidR="005E4674" w:rsidP="0037531B" w14:paraId="0CDDFCED" w14:textId="5BD48426">
      <w:pPr>
        <w:pStyle w:val="FootnoteText"/>
        <w:spacing w:after="120"/>
      </w:pPr>
      <w:r>
        <w:rPr>
          <w:rStyle w:val="FootnoteReference"/>
        </w:rPr>
        <w:footnoteRef/>
      </w:r>
      <w:r>
        <w:t xml:space="preserve"> </w:t>
      </w:r>
      <w:r w:rsidRPr="00327386">
        <w:rPr>
          <w:i/>
          <w:iCs/>
        </w:rPr>
        <w:t>See In the Matter of the Application Seeking Approval of Ohio Power Company’s Proposal to Enter into an Affiliate Power Purchase Agreement for Inclusion in the Power Purchase Agreement Rider</w:t>
      </w:r>
      <w:r>
        <w:t xml:space="preserve">,  Case No. 14-1693-EL-RDR, Opinion and Order at 89 (Mar. 31, 2016) </w:t>
      </w:r>
    </w:p>
  </w:footnote>
  <w:footnote w:id="5">
    <w:p w:rsidR="005E4674" w:rsidRPr="00076046" w:rsidP="0037531B" w14:paraId="108130D3" w14:textId="04E56152">
      <w:pPr>
        <w:pStyle w:val="FootnoteText"/>
        <w:spacing w:after="120"/>
      </w:pPr>
      <w:r>
        <w:rPr>
          <w:rStyle w:val="FootnoteReference"/>
        </w:rPr>
        <w:footnoteRef/>
      </w:r>
      <w:r>
        <w:t xml:space="preserve"> London Economics International, LLC, </w:t>
      </w:r>
      <w:r>
        <w:rPr>
          <w:i/>
          <w:iCs/>
        </w:rPr>
        <w:t xml:space="preserve">Audit of the OVEC Power Purchase Agreement Rider of Ohio Power Company </w:t>
      </w:r>
      <w:r>
        <w:t>at 31 (Sept. 16, 2020).</w:t>
      </w:r>
    </w:p>
  </w:footnote>
  <w:footnote w:id="6">
    <w:p w:rsidR="005E4674" w:rsidRPr="00E94DF9" w:rsidP="0037531B" w14:paraId="473AD54F" w14:textId="3A4C3EE8">
      <w:pPr>
        <w:pStyle w:val="FootnoteText"/>
        <w:spacing w:after="120"/>
      </w:pPr>
      <w:r>
        <w:rPr>
          <w:rStyle w:val="FootnoteReference"/>
        </w:rPr>
        <w:footnoteRef/>
      </w:r>
      <w:r>
        <w:t xml:space="preserve"> </w:t>
      </w:r>
      <w:r>
        <w:rPr>
          <w:i/>
          <w:iCs/>
        </w:rPr>
        <w:t xml:space="preserve">Id. </w:t>
      </w:r>
      <w:r>
        <w:t>at 9.</w:t>
      </w:r>
    </w:p>
  </w:footnote>
  <w:footnote w:id="7">
    <w:p w:rsidR="005E4674" w:rsidRPr="00E94DF9" w:rsidP="0037531B" w14:paraId="37161C8E" w14:textId="7BDEF5DA">
      <w:pPr>
        <w:pStyle w:val="FootnoteText"/>
        <w:spacing w:after="120"/>
        <w:rPr>
          <w:i/>
          <w:iCs/>
        </w:rPr>
      </w:pPr>
      <w:r>
        <w:rPr>
          <w:rStyle w:val="FootnoteReference"/>
        </w:rPr>
        <w:footnoteRef/>
      </w:r>
      <w:r w:rsidR="000204FB">
        <w:t xml:space="preserve"> </w:t>
      </w:r>
      <w:r>
        <w:rPr>
          <w:i/>
          <w:iCs/>
        </w:rPr>
        <w:t>Id.</w:t>
      </w:r>
    </w:p>
  </w:footnote>
  <w:footnote w:id="8">
    <w:p w:rsidR="005E4674" w:rsidRPr="00327386" w:rsidP="0037531B" w14:paraId="07B114C3" w14:textId="338A9A7E">
      <w:pPr>
        <w:pStyle w:val="FootnoteText"/>
        <w:spacing w:after="120"/>
        <w:rPr>
          <w:color w:val="auto"/>
        </w:rPr>
      </w:pPr>
      <w:r>
        <w:rPr>
          <w:rStyle w:val="FootnoteReference"/>
        </w:rPr>
        <w:footnoteRef/>
      </w:r>
      <w:r>
        <w:t xml:space="preserve"> </w:t>
      </w:r>
      <w:r w:rsidRPr="000204FB" w:rsidR="00AC1136">
        <w:rPr>
          <w:i/>
          <w:iCs/>
          <w:color w:val="000000" w:themeColor="text1"/>
        </w:rPr>
        <w:t>Ohio Consumers’ Counsel v. Pub. Util. Comm</w:t>
      </w:r>
      <w:r w:rsidRPr="00327386" w:rsidR="00AC1136">
        <w:rPr>
          <w:color w:val="000000" w:themeColor="text1"/>
        </w:rPr>
        <w:t>., 111 Ohio St.3d 300, 2006-Ohio-5789</w:t>
      </w:r>
      <w:r w:rsidR="00AC1136">
        <w:rPr>
          <w:color w:val="000000" w:themeColor="text1"/>
        </w:rPr>
        <w:t>.</w:t>
      </w:r>
    </w:p>
  </w:footnote>
  <w:footnote w:id="9">
    <w:p w:rsidR="005E4674" w:rsidRPr="00AC1136" w:rsidP="0037531B" w14:paraId="49F44BFE" w14:textId="675595A2">
      <w:pPr>
        <w:pStyle w:val="FootnoteText"/>
        <w:spacing w:after="120"/>
      </w:pPr>
      <w:r>
        <w:rPr>
          <w:rStyle w:val="FootnoteReference"/>
        </w:rPr>
        <w:footnoteRef/>
      </w:r>
      <w:r>
        <w:t xml:space="preserve"> </w:t>
      </w:r>
      <w:r w:rsidR="00AC1136">
        <w:rPr>
          <w:i/>
          <w:iCs/>
        </w:rPr>
        <w:t>In the Matter of the Review of the Reconciliation Rider of Duke Energy Ohio, Inc.</w:t>
      </w:r>
      <w:r w:rsidR="00AC1136">
        <w:t>, Case No. 20-167-EL-RDR Deposition Transcript of John Swez (Jan. 12, 2021).</w:t>
      </w:r>
    </w:p>
  </w:footnote>
  <w:footnote w:id="10">
    <w:p w:rsidR="005E4674" w:rsidP="0037531B" w14:paraId="2CC0CEDE" w14:textId="50457560">
      <w:pPr>
        <w:pStyle w:val="FootnoteText"/>
        <w:spacing w:after="120"/>
      </w:pPr>
      <w:r>
        <w:rPr>
          <w:rStyle w:val="FootnoteReference"/>
        </w:rPr>
        <w:footnoteRef/>
      </w:r>
      <w:r>
        <w:t xml:space="preserve"> OCC will be filing a motion to compel AEP to provide the deponent. But the PUCO should rule against AEP and order the deposition to </w:t>
      </w:r>
      <w:r w:rsidR="003736C3">
        <w:t>proceed</w:t>
      </w:r>
      <w:r>
        <w:t xml:space="preserve"> without OCC having to expend more time on pleadings over this issue.</w:t>
      </w:r>
    </w:p>
  </w:footnote>
  <w:footnote w:id="11">
    <w:p w:rsidR="003149E8" w:rsidP="0037531B" w14:paraId="03C66199" w14:textId="5DD6683C">
      <w:pPr>
        <w:pStyle w:val="FootnoteText"/>
        <w:spacing w:after="120"/>
      </w:pPr>
      <w:r>
        <w:rPr>
          <w:rStyle w:val="FootnoteReference"/>
        </w:rPr>
        <w:footnoteRef/>
      </w:r>
      <w:r>
        <w:t xml:space="preserve"> </w:t>
      </w:r>
      <w:r>
        <w:rPr>
          <w:i/>
          <w:iCs/>
        </w:rPr>
        <w:t xml:space="preserve">Motion of Ohio Power Company for Protective Order </w:t>
      </w:r>
      <w:r>
        <w:t xml:space="preserve">at 4 (Jan. 11, 2021); Ohio Adm. Code. 4901-1-24(A).  </w:t>
      </w:r>
    </w:p>
  </w:footnote>
  <w:footnote w:id="12">
    <w:p w:rsidR="005E4674" w:rsidP="0037531B" w14:paraId="10E646C9" w14:textId="446250BE">
      <w:pPr>
        <w:pStyle w:val="FootnoteText"/>
        <w:spacing w:after="120"/>
      </w:pPr>
      <w:r>
        <w:rPr>
          <w:rStyle w:val="FootnoteReference"/>
        </w:rPr>
        <w:footnoteRef/>
      </w:r>
      <w:r>
        <w:t xml:space="preserve"> </w:t>
      </w:r>
      <w:r>
        <w:rPr>
          <w:i/>
          <w:iCs/>
        </w:rPr>
        <w:t xml:space="preserve">Motion of Ohio Power Company for Protective Order </w:t>
      </w:r>
      <w:r>
        <w:t>at 2 (Jan. 11, 2021).</w:t>
      </w:r>
    </w:p>
  </w:footnote>
  <w:footnote w:id="13">
    <w:p w:rsidR="000707B8" w:rsidP="0037531B" w14:paraId="6A54070E" w14:textId="1294BED7">
      <w:pPr>
        <w:pStyle w:val="FootnoteText"/>
        <w:spacing w:after="120"/>
      </w:pPr>
      <w:r>
        <w:rPr>
          <w:rStyle w:val="FootnoteReference"/>
        </w:rPr>
        <w:footnoteRef/>
      </w:r>
      <w:r>
        <w:t xml:space="preserve"> Ohio Adm. Code 4901-1-16(A).  </w:t>
      </w:r>
    </w:p>
  </w:footnote>
  <w:footnote w:id="14">
    <w:p w:rsidR="005E4674" w:rsidRPr="00341738" w:rsidP="0037531B" w14:paraId="665239CB" w14:textId="6DD9EDD1">
      <w:pPr>
        <w:pStyle w:val="FootnoteText"/>
        <w:spacing w:after="120"/>
      </w:pPr>
      <w:r>
        <w:rPr>
          <w:rStyle w:val="FootnoteReference"/>
        </w:rPr>
        <w:footnoteRef/>
      </w:r>
      <w:r>
        <w:t xml:space="preserve"> </w:t>
      </w:r>
      <w:r>
        <w:rPr>
          <w:i/>
          <w:iCs/>
        </w:rPr>
        <w:t>In the Matter of the Review of the Reconciliation Rider of Duke Energy Ohio, Inc.</w:t>
      </w:r>
      <w:r>
        <w:t>, Case No. 20-167-EL-RDR Reply Comments of Duke Energy Ohio, Inc. at 18 (Jan. 8, 2021).</w:t>
      </w:r>
    </w:p>
  </w:footnote>
  <w:footnote w:id="15">
    <w:p w:rsidR="005E4674" w:rsidRPr="0044451A" w:rsidP="0037531B" w14:paraId="7B800226" w14:textId="02B851E1">
      <w:pPr>
        <w:pStyle w:val="FootnoteText"/>
        <w:spacing w:after="120"/>
      </w:pPr>
      <w:r>
        <w:rPr>
          <w:rStyle w:val="FootnoteReference"/>
        </w:rPr>
        <w:footnoteRef/>
      </w:r>
      <w:r>
        <w:t xml:space="preserve"> </w:t>
      </w:r>
      <w:r>
        <w:rPr>
          <w:i/>
          <w:iCs/>
        </w:rPr>
        <w:t xml:space="preserve">Motion of Ohio Power Company for Protective Order </w:t>
      </w:r>
      <w:r>
        <w:t>at 4 (Jan. 11, 2021).</w:t>
      </w:r>
    </w:p>
  </w:footnote>
  <w:footnote w:id="16">
    <w:p w:rsidR="005E4674" w:rsidP="0037531B" w14:paraId="78DF7119" w14:textId="663A386D">
      <w:pPr>
        <w:pStyle w:val="FootnoteText"/>
        <w:spacing w:after="120"/>
      </w:pPr>
      <w:r>
        <w:rPr>
          <w:rStyle w:val="FootnoteReference"/>
        </w:rPr>
        <w:footnoteRef/>
      </w:r>
      <w:r>
        <w:t xml:space="preserve"> </w:t>
      </w:r>
      <w:r>
        <w:rPr>
          <w:i/>
          <w:iCs/>
        </w:rPr>
        <w:t>In the Matter of the Review of the Reconciliation Rider of The Dayton Power &amp; Light Company</w:t>
      </w:r>
      <w:r>
        <w:t>, Case No. 20-165-EL-RDR The Dayton Power &amp; Light Company’s Objections and Responses to the Ohio Consumers’ Counsel’s Interrogatories and Requests for Production of Documents (Second Set) at 3 (Jan. 6, 2021).</w:t>
      </w:r>
    </w:p>
  </w:footnote>
  <w:footnote w:id="17">
    <w:p w:rsidR="005E4674" w:rsidP="0037531B" w14:paraId="2F02D1AE" w14:textId="52691238">
      <w:pPr>
        <w:pStyle w:val="FootnoteText"/>
        <w:spacing w:after="120"/>
      </w:pPr>
      <w:r>
        <w:rPr>
          <w:rStyle w:val="FootnoteReference"/>
        </w:rPr>
        <w:footnoteRef/>
      </w:r>
      <w:r>
        <w:t xml:space="preserve"> </w:t>
      </w:r>
      <w:r>
        <w:rPr>
          <w:i/>
          <w:iCs/>
        </w:rPr>
        <w:t xml:space="preserve">Motion of Ohio Power Company for Protective Order </w:t>
      </w:r>
      <w:r>
        <w:t>at 4 (Jan. 11, 2021).</w:t>
      </w:r>
    </w:p>
  </w:footnote>
  <w:footnote w:id="18">
    <w:p w:rsidR="000707B8" w:rsidP="0037531B" w14:paraId="46A4C628" w14:textId="37BBE686">
      <w:pPr>
        <w:pStyle w:val="FootnoteText"/>
        <w:spacing w:after="120"/>
      </w:pPr>
      <w:r>
        <w:rPr>
          <w:rStyle w:val="FootnoteReference"/>
        </w:rPr>
        <w:footnoteRef/>
      </w:r>
      <w:r w:rsidR="00CB40E0">
        <w:t xml:space="preserve"> </w:t>
      </w:r>
      <w:r>
        <w:t xml:space="preserve">Ohio Adm. Code 4901-1-17.  </w:t>
      </w:r>
    </w:p>
  </w:footnote>
  <w:footnote w:id="19">
    <w:p w:rsidR="00E00ABA" w:rsidRPr="00AB6667" w:rsidP="0037531B" w14:paraId="6B81AF50" w14:textId="168036EF">
      <w:pPr>
        <w:pStyle w:val="FootnoteText"/>
        <w:spacing w:after="120"/>
      </w:pPr>
      <w:r>
        <w:rPr>
          <w:rStyle w:val="FootnoteReference"/>
        </w:rPr>
        <w:footnoteRef/>
      </w:r>
      <w:r>
        <w:t xml:space="preserve"> The PUCO has</w:t>
      </w:r>
      <w:r w:rsidR="00AB6667">
        <w:t xml:space="preserve"> ruled that parties make take depositions after the discovery cutoff date.  </w:t>
      </w:r>
      <w:r w:rsidR="00AB6667">
        <w:rPr>
          <w:i/>
          <w:iCs/>
        </w:rPr>
        <w:t>In the Matter of the Application of the Cincinnati Gas &amp; Electric Company for Approval of its Electric Transition Plan</w:t>
      </w:r>
      <w:r w:rsidR="00AB6667">
        <w:t>, Case No. 99-1658-EL-ETP Entry at 3-4 (Mar. 2, 2000) (“</w:t>
      </w:r>
      <w:r w:rsidR="00AB6667">
        <w:rPr>
          <w:rStyle w:val="ssleftalign"/>
        </w:rPr>
        <w:t>It should also be noted that the Commission's long-standing procedural rules for rate proceedings (</w:t>
      </w:r>
      <w:r w:rsidR="00AB6667">
        <w:rPr>
          <w:rStyle w:val="ssit"/>
        </w:rPr>
        <w:t>See, e.g.</w:t>
      </w:r>
      <w:r w:rsidR="00AB6667">
        <w:rPr>
          <w:rStyle w:val="ssleftalign"/>
        </w:rPr>
        <w:t xml:space="preserve">, Rules 4901-1-17(B) and 4901-1-29(A)(1)(a)(i), O.A.C.) include a </w:t>
      </w:r>
      <w:r w:rsidR="00AB6667">
        <w:rPr>
          <w:rStyle w:val="sssh"/>
        </w:rPr>
        <w:t>discovery cut</w:t>
      </w:r>
      <w:r w:rsidR="003736C3">
        <w:rPr>
          <w:rStyle w:val="sssh"/>
        </w:rPr>
        <w:t>-</w:t>
      </w:r>
      <w:r w:rsidR="00AB6667">
        <w:rPr>
          <w:rStyle w:val="sssh"/>
        </w:rPr>
        <w:t>off</w:t>
      </w:r>
      <w:r w:rsidR="00AB6667">
        <w:rPr>
          <w:rStyle w:val="ssleftalign"/>
        </w:rPr>
        <w:t xml:space="preserve"> date that precedes the filing of intervenor testimony. However, the Commission's procedural rules permit parties to notice </w:t>
      </w:r>
      <w:r w:rsidR="00AB6667">
        <w:rPr>
          <w:rStyle w:val="sssh"/>
        </w:rPr>
        <w:t>depositions</w:t>
      </w:r>
      <w:r w:rsidR="00AB6667">
        <w:rPr>
          <w:rStyle w:val="ssleftalign"/>
        </w:rPr>
        <w:t xml:space="preserve"> after the deadline for serving written discovery requests. As set forth in Rule 4901-1-21(B), O.A.C., any party may take the </w:t>
      </w:r>
      <w:r w:rsidR="00AB6667">
        <w:rPr>
          <w:rStyle w:val="sssh"/>
        </w:rPr>
        <w:t>deposition</w:t>
      </w:r>
      <w:r w:rsidR="00AB6667">
        <w:rPr>
          <w:rStyle w:val="ssleftalign"/>
        </w:rPr>
        <w:t xml:space="preserve"> of any person upon giving ‘reasonable notice in writing to the deponent, to all parties, and to the commission.’</w:t>
      </w:r>
      <w:r w:rsidR="00003814">
        <w:rPr>
          <w:rStyle w:val="ssleftalign"/>
        </w:rPr>
        <w:t>”</w:t>
      </w:r>
      <w:r w:rsidR="00AB6667">
        <w:rPr>
          <w:rStyle w:val="ssleftalign"/>
        </w:rPr>
        <w:t>).</w:t>
      </w:r>
    </w:p>
  </w:footnote>
  <w:footnote w:id="20">
    <w:p w:rsidR="005E4674" w:rsidRPr="00962F66" w:rsidP="0037531B" w14:paraId="1A32D4F5" w14:textId="4E4CBECC">
      <w:pPr>
        <w:pStyle w:val="FootnoteText"/>
        <w:spacing w:after="120"/>
        <w:rPr>
          <w:i/>
          <w:iCs/>
        </w:rPr>
      </w:pPr>
      <w:r>
        <w:rPr>
          <w:rStyle w:val="FootnoteReference"/>
        </w:rPr>
        <w:footnoteRef/>
      </w:r>
      <w:r>
        <w:t xml:space="preserve"> </w:t>
      </w:r>
      <w:r>
        <w:rPr>
          <w:i/>
          <w:iCs/>
        </w:rPr>
        <w:t>Id.</w:t>
      </w:r>
    </w:p>
  </w:footnote>
  <w:footnote w:id="21">
    <w:p w:rsidR="005E4674" w:rsidP="0037531B" w14:paraId="2B207F31" w14:textId="50A545D8">
      <w:pPr>
        <w:pStyle w:val="FootnoteText"/>
        <w:spacing w:after="120"/>
      </w:pPr>
      <w:r>
        <w:rPr>
          <w:rStyle w:val="FootnoteReference"/>
        </w:rPr>
        <w:footnoteRef/>
      </w:r>
      <w:r>
        <w:t xml:space="preserve"> Ohio Adm.Code 4901-1-21(A).</w:t>
      </w:r>
    </w:p>
  </w:footnote>
  <w:footnote w:id="22">
    <w:p w:rsidR="005E4674" w:rsidRPr="006A3823" w:rsidP="0037531B" w14:paraId="18BC3985" w14:textId="03EB91F5">
      <w:pPr>
        <w:pStyle w:val="FootnoteText"/>
        <w:spacing w:after="120"/>
        <w:rPr>
          <w:i/>
          <w:iCs/>
        </w:rPr>
      </w:pPr>
      <w:r>
        <w:rPr>
          <w:rStyle w:val="FootnoteReference"/>
        </w:rPr>
        <w:footnoteRef/>
      </w:r>
      <w:r>
        <w:t xml:space="preserve"> </w:t>
      </w:r>
      <w:r>
        <w:rPr>
          <w:i/>
          <w:iCs/>
        </w:rPr>
        <w:t xml:space="preserve">Id.  </w:t>
      </w:r>
    </w:p>
  </w:footnote>
  <w:footnote w:id="23">
    <w:p w:rsidR="005E4674" w:rsidP="0037531B" w14:paraId="07F75812" w14:textId="00128CE0">
      <w:pPr>
        <w:pStyle w:val="FootnoteText"/>
        <w:spacing w:after="120"/>
      </w:pPr>
      <w:r>
        <w:rPr>
          <w:rStyle w:val="FootnoteReference"/>
        </w:rPr>
        <w:footnoteRef/>
      </w:r>
      <w:r>
        <w:t xml:space="preserve"> </w:t>
      </w:r>
      <w:r>
        <w:rPr>
          <w:i/>
          <w:iCs/>
        </w:rPr>
        <w:t xml:space="preserve">Motion of Ohio Power Company for Protective Order </w:t>
      </w:r>
      <w:r>
        <w:t>at 5 (Jan. 11, 2021).</w:t>
      </w:r>
    </w:p>
  </w:footnote>
  <w:footnote w:id="24">
    <w:p w:rsidR="005E4674" w:rsidP="0037531B" w14:paraId="36FA5938" w14:textId="0CC69F75">
      <w:pPr>
        <w:pStyle w:val="FootnoteText"/>
        <w:spacing w:after="120"/>
      </w:pPr>
      <w:r>
        <w:rPr>
          <w:rStyle w:val="FootnoteReference"/>
        </w:rPr>
        <w:footnoteRef/>
      </w:r>
      <w:r>
        <w:t xml:space="preserve"> Ohio Adm.Code 4901-1-16(B).</w:t>
      </w:r>
    </w:p>
  </w:footnote>
  <w:footnote w:id="25">
    <w:p w:rsidR="005E4674" w:rsidP="0037531B" w14:paraId="3D3D9967" w14:textId="3AE011DD">
      <w:pPr>
        <w:pStyle w:val="FootnoteText"/>
        <w:tabs>
          <w:tab w:val="left" w:pos="2340"/>
        </w:tabs>
        <w:spacing w:after="120"/>
      </w:pPr>
      <w:r>
        <w:rPr>
          <w:rStyle w:val="FootnoteReference"/>
        </w:rPr>
        <w:footnoteRef/>
      </w:r>
      <w:r>
        <w:t xml:space="preserve"> London Economics International, LLC, </w:t>
      </w:r>
      <w:r>
        <w:rPr>
          <w:i/>
          <w:iCs/>
        </w:rPr>
        <w:t xml:space="preserve">Audit of the OVEC Power Purchase Agreement Rider of Ohio Power Company </w:t>
      </w:r>
      <w:r>
        <w:t xml:space="preserve">at 9 (Sept. 16, 2020).   </w:t>
      </w:r>
    </w:p>
  </w:footnote>
  <w:footnote w:id="26">
    <w:p w:rsidR="005E4674" w:rsidP="0037531B" w14:paraId="7F32D902" w14:textId="20884B66">
      <w:pPr>
        <w:pStyle w:val="FootnoteText"/>
        <w:spacing w:after="120"/>
      </w:pPr>
      <w:r>
        <w:rPr>
          <w:rStyle w:val="FootnoteReference"/>
        </w:rPr>
        <w:footnoteRef/>
      </w:r>
      <w:r>
        <w:t xml:space="preserve"> </w:t>
      </w:r>
      <w:r>
        <w:rPr>
          <w:i/>
          <w:iCs/>
        </w:rPr>
        <w:t xml:space="preserve">Motion of Ohio Power Company for Protective Order </w:t>
      </w:r>
      <w:r>
        <w:t>at 5 (Jan. 11, 2021).</w:t>
      </w:r>
    </w:p>
  </w:footnote>
  <w:footnote w:id="27">
    <w:p w:rsidR="005E4674" w:rsidP="0037531B" w14:paraId="5CBC24B3" w14:textId="79C31D54">
      <w:pPr>
        <w:pStyle w:val="FootnoteText"/>
        <w:spacing w:after="120"/>
      </w:pPr>
      <w:r>
        <w:rPr>
          <w:rStyle w:val="FootnoteReference"/>
        </w:rPr>
        <w:footnoteRef/>
      </w:r>
      <w:r>
        <w:t xml:space="preserve"> Ohio Adm.Code 4901-1-16(F).</w:t>
      </w:r>
    </w:p>
  </w:footnote>
  <w:footnote w:id="28">
    <w:p w:rsidR="005E4674" w:rsidP="0037531B" w14:paraId="38D8D459" w14:textId="1D576ECF">
      <w:pPr>
        <w:pStyle w:val="FootnoteText"/>
        <w:spacing w:after="120"/>
      </w:pPr>
      <w:r>
        <w:rPr>
          <w:rStyle w:val="FootnoteReference"/>
        </w:rPr>
        <w:footnoteRef/>
      </w:r>
      <w:r>
        <w:t xml:space="preserve"> Ohio Adm.Code 4901-1-16(A).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7034" w:rsidP="00327386" w14:paraId="4EAB698E" w14:textId="17ADBAF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4E53" w:rsidP="00327386" w14:paraId="4609DC20" w14:textId="7777777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4E53" w:rsidP="00327386" w14:paraId="047A707F" w14:textId="77777777">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6749" w:rsidP="00327386" w14:paraId="6111B309" w14:textId="77777777">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3FF3" w:rsidP="00327386" w14:paraId="5218CD7E"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356CA8"/>
    <w:multiLevelType w:val="hybridMultilevel"/>
    <w:tmpl w:val="F72AD2A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FD04E8"/>
    <w:multiLevelType w:val="hybridMultilevel"/>
    <w:tmpl w:val="EF94A92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C925DDE"/>
    <w:multiLevelType w:val="hybridMultilevel"/>
    <w:tmpl w:val="3F62E11E"/>
    <w:lvl w:ilvl="0">
      <w:start w:val="1"/>
      <w:numFmt w:val="decimal"/>
      <w:lvlText w:val="%1."/>
      <w:lvlJc w:val="left"/>
      <w:pPr>
        <w:ind w:left="1080" w:hanging="360"/>
      </w:pPr>
      <w:rPr>
        <w:rFonts w:hint="default"/>
        <w:b/>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41E36A37"/>
    <w:multiLevelType w:val="hybridMultilevel"/>
    <w:tmpl w:val="EB440CC4"/>
    <w:lvl w:ilvl="0">
      <w:start w:val="1"/>
      <w:numFmt w:val="upperRoman"/>
      <w:lvlText w:val="%1."/>
      <w:lvlJc w:val="left"/>
      <w:pPr>
        <w:ind w:left="1080" w:hanging="72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57D737D"/>
    <w:multiLevelType w:val="hybridMultilevel"/>
    <w:tmpl w:val="952EA290"/>
    <w:lvl w:ilvl="0">
      <w:start w:val="5"/>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7BD"/>
    <w:rsid w:val="0000289F"/>
    <w:rsid w:val="00003814"/>
    <w:rsid w:val="000204FB"/>
    <w:rsid w:val="0002503D"/>
    <w:rsid w:val="00045549"/>
    <w:rsid w:val="00046C5E"/>
    <w:rsid w:val="00062B83"/>
    <w:rsid w:val="000707B8"/>
    <w:rsid w:val="000727E7"/>
    <w:rsid w:val="00076046"/>
    <w:rsid w:val="00083454"/>
    <w:rsid w:val="00097DF3"/>
    <w:rsid w:val="000A7F3A"/>
    <w:rsid w:val="000B4BB9"/>
    <w:rsid w:val="000D0CE9"/>
    <w:rsid w:val="000E1BD7"/>
    <w:rsid w:val="000E7762"/>
    <w:rsid w:val="000F4AE4"/>
    <w:rsid w:val="00105F54"/>
    <w:rsid w:val="00110714"/>
    <w:rsid w:val="001275E3"/>
    <w:rsid w:val="001318B9"/>
    <w:rsid w:val="00140073"/>
    <w:rsid w:val="00167F13"/>
    <w:rsid w:val="00191720"/>
    <w:rsid w:val="001A4505"/>
    <w:rsid w:val="001B1818"/>
    <w:rsid w:val="00227E88"/>
    <w:rsid w:val="002514DA"/>
    <w:rsid w:val="00271D54"/>
    <w:rsid w:val="002814B4"/>
    <w:rsid w:val="002837DF"/>
    <w:rsid w:val="00285144"/>
    <w:rsid w:val="00286749"/>
    <w:rsid w:val="002867EA"/>
    <w:rsid w:val="00287737"/>
    <w:rsid w:val="002A2B80"/>
    <w:rsid w:val="002A486A"/>
    <w:rsid w:val="002C175B"/>
    <w:rsid w:val="002C2638"/>
    <w:rsid w:val="002E038F"/>
    <w:rsid w:val="002E3505"/>
    <w:rsid w:val="002E62E5"/>
    <w:rsid w:val="003149E8"/>
    <w:rsid w:val="00327386"/>
    <w:rsid w:val="00333CA3"/>
    <w:rsid w:val="00341738"/>
    <w:rsid w:val="0034773A"/>
    <w:rsid w:val="00350841"/>
    <w:rsid w:val="003534D4"/>
    <w:rsid w:val="003671A7"/>
    <w:rsid w:val="003736C3"/>
    <w:rsid w:val="003737CD"/>
    <w:rsid w:val="00374642"/>
    <w:rsid w:val="0037531B"/>
    <w:rsid w:val="003821FE"/>
    <w:rsid w:val="00385C1E"/>
    <w:rsid w:val="0038742D"/>
    <w:rsid w:val="00394F88"/>
    <w:rsid w:val="003A0071"/>
    <w:rsid w:val="003B1AE8"/>
    <w:rsid w:val="003B2018"/>
    <w:rsid w:val="003C788E"/>
    <w:rsid w:val="003D0D32"/>
    <w:rsid w:val="003E4E53"/>
    <w:rsid w:val="003F5DD5"/>
    <w:rsid w:val="003F62D8"/>
    <w:rsid w:val="00424F50"/>
    <w:rsid w:val="00426F8D"/>
    <w:rsid w:val="0044451A"/>
    <w:rsid w:val="00467DF9"/>
    <w:rsid w:val="00472902"/>
    <w:rsid w:val="0047514B"/>
    <w:rsid w:val="00475AEB"/>
    <w:rsid w:val="004961E3"/>
    <w:rsid w:val="004A72B4"/>
    <w:rsid w:val="004B603A"/>
    <w:rsid w:val="004C41D6"/>
    <w:rsid w:val="004D27BD"/>
    <w:rsid w:val="004D308F"/>
    <w:rsid w:val="004D33F1"/>
    <w:rsid w:val="004D53FB"/>
    <w:rsid w:val="004E47F0"/>
    <w:rsid w:val="004E512D"/>
    <w:rsid w:val="004F55AE"/>
    <w:rsid w:val="00501524"/>
    <w:rsid w:val="005037CA"/>
    <w:rsid w:val="00515DB4"/>
    <w:rsid w:val="005246AE"/>
    <w:rsid w:val="00537291"/>
    <w:rsid w:val="005436ED"/>
    <w:rsid w:val="00543BA7"/>
    <w:rsid w:val="00551726"/>
    <w:rsid w:val="00567CAB"/>
    <w:rsid w:val="005842A9"/>
    <w:rsid w:val="00584522"/>
    <w:rsid w:val="005B3B15"/>
    <w:rsid w:val="005C498B"/>
    <w:rsid w:val="005C784C"/>
    <w:rsid w:val="005E3405"/>
    <w:rsid w:val="005E4674"/>
    <w:rsid w:val="00605781"/>
    <w:rsid w:val="00606554"/>
    <w:rsid w:val="0060704C"/>
    <w:rsid w:val="006105B0"/>
    <w:rsid w:val="00633E90"/>
    <w:rsid w:val="0067180B"/>
    <w:rsid w:val="00681ED7"/>
    <w:rsid w:val="006821C2"/>
    <w:rsid w:val="006A3823"/>
    <w:rsid w:val="006B71AC"/>
    <w:rsid w:val="006B7AE1"/>
    <w:rsid w:val="006E2EB4"/>
    <w:rsid w:val="00703B3D"/>
    <w:rsid w:val="007735FF"/>
    <w:rsid w:val="00781FD8"/>
    <w:rsid w:val="00793E42"/>
    <w:rsid w:val="007A116B"/>
    <w:rsid w:val="007B478B"/>
    <w:rsid w:val="007D06E0"/>
    <w:rsid w:val="007D10AC"/>
    <w:rsid w:val="007D354A"/>
    <w:rsid w:val="007E3C8D"/>
    <w:rsid w:val="007E4E2E"/>
    <w:rsid w:val="007F025D"/>
    <w:rsid w:val="007F470F"/>
    <w:rsid w:val="007F76F1"/>
    <w:rsid w:val="00801729"/>
    <w:rsid w:val="00804861"/>
    <w:rsid w:val="0080518F"/>
    <w:rsid w:val="00815D87"/>
    <w:rsid w:val="00826AB2"/>
    <w:rsid w:val="00843F8F"/>
    <w:rsid w:val="0084732F"/>
    <w:rsid w:val="0086195D"/>
    <w:rsid w:val="0086438D"/>
    <w:rsid w:val="008710AD"/>
    <w:rsid w:val="008760AC"/>
    <w:rsid w:val="008836C9"/>
    <w:rsid w:val="008B0C0B"/>
    <w:rsid w:val="008D75E3"/>
    <w:rsid w:val="008E031B"/>
    <w:rsid w:val="008E5B86"/>
    <w:rsid w:val="008F0004"/>
    <w:rsid w:val="008F473D"/>
    <w:rsid w:val="00910EAB"/>
    <w:rsid w:val="009153ED"/>
    <w:rsid w:val="00921426"/>
    <w:rsid w:val="00921D10"/>
    <w:rsid w:val="00935273"/>
    <w:rsid w:val="0094428C"/>
    <w:rsid w:val="009618D1"/>
    <w:rsid w:val="00962F66"/>
    <w:rsid w:val="00967170"/>
    <w:rsid w:val="00985AF7"/>
    <w:rsid w:val="009B74B6"/>
    <w:rsid w:val="009C4AE6"/>
    <w:rsid w:val="009C7F23"/>
    <w:rsid w:val="009D2843"/>
    <w:rsid w:val="009D31B7"/>
    <w:rsid w:val="009D4936"/>
    <w:rsid w:val="009E6AFA"/>
    <w:rsid w:val="009F1308"/>
    <w:rsid w:val="00A01B20"/>
    <w:rsid w:val="00A01CB1"/>
    <w:rsid w:val="00A041C4"/>
    <w:rsid w:val="00A30692"/>
    <w:rsid w:val="00A322EE"/>
    <w:rsid w:val="00A47E99"/>
    <w:rsid w:val="00A6758B"/>
    <w:rsid w:val="00A72ECD"/>
    <w:rsid w:val="00A95FDA"/>
    <w:rsid w:val="00AA5C61"/>
    <w:rsid w:val="00AB0107"/>
    <w:rsid w:val="00AB36A8"/>
    <w:rsid w:val="00AB5FD2"/>
    <w:rsid w:val="00AB6667"/>
    <w:rsid w:val="00AC1136"/>
    <w:rsid w:val="00AE0EB5"/>
    <w:rsid w:val="00AF0655"/>
    <w:rsid w:val="00AF356E"/>
    <w:rsid w:val="00AF708D"/>
    <w:rsid w:val="00B217B0"/>
    <w:rsid w:val="00B227DD"/>
    <w:rsid w:val="00B23FF3"/>
    <w:rsid w:val="00B36B45"/>
    <w:rsid w:val="00B556CB"/>
    <w:rsid w:val="00B5638A"/>
    <w:rsid w:val="00B5638B"/>
    <w:rsid w:val="00B57034"/>
    <w:rsid w:val="00B57D4F"/>
    <w:rsid w:val="00B619FB"/>
    <w:rsid w:val="00B80DF1"/>
    <w:rsid w:val="00B91156"/>
    <w:rsid w:val="00BC703A"/>
    <w:rsid w:val="00BD75CF"/>
    <w:rsid w:val="00BE50D7"/>
    <w:rsid w:val="00BF27B5"/>
    <w:rsid w:val="00BF2810"/>
    <w:rsid w:val="00BF6E9D"/>
    <w:rsid w:val="00C0369D"/>
    <w:rsid w:val="00C03726"/>
    <w:rsid w:val="00C17A46"/>
    <w:rsid w:val="00C21F22"/>
    <w:rsid w:val="00C31740"/>
    <w:rsid w:val="00C5182C"/>
    <w:rsid w:val="00C66C97"/>
    <w:rsid w:val="00C74461"/>
    <w:rsid w:val="00C936EF"/>
    <w:rsid w:val="00C975EB"/>
    <w:rsid w:val="00C975F4"/>
    <w:rsid w:val="00CB40E0"/>
    <w:rsid w:val="00CD4616"/>
    <w:rsid w:val="00CF6EC1"/>
    <w:rsid w:val="00D04EC2"/>
    <w:rsid w:val="00D070AE"/>
    <w:rsid w:val="00D47814"/>
    <w:rsid w:val="00D7469C"/>
    <w:rsid w:val="00DA6595"/>
    <w:rsid w:val="00DB788D"/>
    <w:rsid w:val="00DD35E9"/>
    <w:rsid w:val="00DD6FA5"/>
    <w:rsid w:val="00DE51F6"/>
    <w:rsid w:val="00DE6065"/>
    <w:rsid w:val="00DF351D"/>
    <w:rsid w:val="00E00ABA"/>
    <w:rsid w:val="00E029D7"/>
    <w:rsid w:val="00E21969"/>
    <w:rsid w:val="00E3320C"/>
    <w:rsid w:val="00E33531"/>
    <w:rsid w:val="00E360BF"/>
    <w:rsid w:val="00E37877"/>
    <w:rsid w:val="00E72EA2"/>
    <w:rsid w:val="00E739B0"/>
    <w:rsid w:val="00E90013"/>
    <w:rsid w:val="00E9460C"/>
    <w:rsid w:val="00E94DF9"/>
    <w:rsid w:val="00E9716F"/>
    <w:rsid w:val="00EA04C0"/>
    <w:rsid w:val="00EB6D85"/>
    <w:rsid w:val="00EC0435"/>
    <w:rsid w:val="00EC7EBF"/>
    <w:rsid w:val="00ED4EC2"/>
    <w:rsid w:val="00EE47AC"/>
    <w:rsid w:val="00F16FC5"/>
    <w:rsid w:val="00F27379"/>
    <w:rsid w:val="00F31A2F"/>
    <w:rsid w:val="00F42FAA"/>
    <w:rsid w:val="00F4717B"/>
    <w:rsid w:val="00F533CE"/>
    <w:rsid w:val="00FC7C64"/>
    <w:rsid w:val="00FE4A78"/>
    <w:rsid w:val="00FE74FB"/>
    <w:rsid w:val="00FF785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bCs/>
        <w:color w:val="000000"/>
        <w:sz w:val="24"/>
        <w:szCs w:val="19"/>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CB40E0"/>
    <w:pPr>
      <w:keepNext/>
      <w:keepLines/>
      <w:spacing w:after="240"/>
      <w:ind w:left="720" w:hanging="720"/>
      <w:outlineLvl w:val="0"/>
    </w:pPr>
    <w:rPr>
      <w:rFonts w:ascii="Times New Roman Bold" w:hAnsi="Times New Roman Bold" w:eastAsiaTheme="majorEastAsia" w:cstheme="majorBidi"/>
      <w:b/>
      <w:color w:val="auto"/>
      <w:szCs w:val="32"/>
    </w:rPr>
  </w:style>
  <w:style w:type="paragraph" w:styleId="Heading2">
    <w:name w:val="heading 2"/>
    <w:basedOn w:val="Normal"/>
    <w:next w:val="Normal"/>
    <w:link w:val="Heading2Char"/>
    <w:autoRedefine/>
    <w:uiPriority w:val="9"/>
    <w:unhideWhenUsed/>
    <w:qFormat/>
    <w:rsid w:val="00CB40E0"/>
    <w:pPr>
      <w:keepNext/>
      <w:keepLines/>
      <w:spacing w:after="240"/>
      <w:ind w:left="1440" w:hanging="720"/>
      <w:outlineLvl w:val="1"/>
    </w:pPr>
    <w:rPr>
      <w:rFonts w:ascii="Times New Roman Bold" w:hAnsi="Times New Roman Bold" w:eastAsiaTheme="majorEastAsia" w:cstheme="majorBidi"/>
      <w:b/>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76046"/>
    <w:rPr>
      <w:sz w:val="20"/>
      <w:szCs w:val="20"/>
    </w:rPr>
  </w:style>
  <w:style w:type="character" w:customStyle="1" w:styleId="FootnoteTextChar">
    <w:name w:val="Footnote Text Char"/>
    <w:basedOn w:val="DefaultParagraphFont"/>
    <w:link w:val="FootnoteText"/>
    <w:uiPriority w:val="99"/>
    <w:semiHidden/>
    <w:rsid w:val="00076046"/>
    <w:rPr>
      <w:sz w:val="20"/>
      <w:szCs w:val="20"/>
    </w:rPr>
  </w:style>
  <w:style w:type="character" w:styleId="FootnoteReference">
    <w:name w:val="footnote reference"/>
    <w:basedOn w:val="DefaultParagraphFont"/>
    <w:uiPriority w:val="99"/>
    <w:semiHidden/>
    <w:unhideWhenUsed/>
    <w:rsid w:val="00076046"/>
    <w:rPr>
      <w:vertAlign w:val="superscript"/>
    </w:rPr>
  </w:style>
  <w:style w:type="paragraph" w:styleId="Header">
    <w:name w:val="header"/>
    <w:basedOn w:val="Normal"/>
    <w:link w:val="HeaderChar"/>
    <w:uiPriority w:val="99"/>
    <w:unhideWhenUsed/>
    <w:rsid w:val="00AE0EB5"/>
    <w:pPr>
      <w:tabs>
        <w:tab w:val="center" w:pos="4680"/>
        <w:tab w:val="right" w:pos="9360"/>
      </w:tabs>
    </w:pPr>
  </w:style>
  <w:style w:type="character" w:customStyle="1" w:styleId="HeaderChar">
    <w:name w:val="Header Char"/>
    <w:basedOn w:val="DefaultParagraphFont"/>
    <w:link w:val="Header"/>
    <w:uiPriority w:val="99"/>
    <w:rsid w:val="00AE0EB5"/>
  </w:style>
  <w:style w:type="paragraph" w:styleId="Footer">
    <w:name w:val="footer"/>
    <w:basedOn w:val="Normal"/>
    <w:link w:val="FooterChar"/>
    <w:uiPriority w:val="99"/>
    <w:unhideWhenUsed/>
    <w:rsid w:val="00AE0EB5"/>
    <w:pPr>
      <w:tabs>
        <w:tab w:val="center" w:pos="4680"/>
        <w:tab w:val="right" w:pos="9360"/>
      </w:tabs>
    </w:pPr>
  </w:style>
  <w:style w:type="character" w:customStyle="1" w:styleId="FooterChar">
    <w:name w:val="Footer Char"/>
    <w:basedOn w:val="DefaultParagraphFont"/>
    <w:link w:val="Footer"/>
    <w:uiPriority w:val="99"/>
    <w:rsid w:val="00AE0EB5"/>
  </w:style>
  <w:style w:type="paragraph" w:customStyle="1" w:styleId="Default">
    <w:name w:val="Default"/>
    <w:rsid w:val="00843F8F"/>
    <w:pPr>
      <w:autoSpaceDE w:val="0"/>
      <w:autoSpaceDN w:val="0"/>
      <w:adjustRightInd w:val="0"/>
    </w:pPr>
    <w:rPr>
      <w:szCs w:val="24"/>
    </w:rPr>
  </w:style>
  <w:style w:type="character" w:styleId="Hyperlink">
    <w:name w:val="Hyperlink"/>
    <w:basedOn w:val="DefaultParagraphFont"/>
    <w:uiPriority w:val="99"/>
    <w:unhideWhenUsed/>
    <w:rsid w:val="00962F66"/>
    <w:rPr>
      <w:color w:val="0000FF"/>
      <w:u w:val="single"/>
    </w:rPr>
  </w:style>
  <w:style w:type="paragraph" w:styleId="HTMLPreformatted">
    <w:name w:val="HTML Preformatted"/>
    <w:basedOn w:val="Normal"/>
    <w:link w:val="HTMLPreformattedChar"/>
    <w:rsid w:val="00703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color w:val="auto"/>
      <w:sz w:val="20"/>
      <w:szCs w:val="20"/>
    </w:rPr>
  </w:style>
  <w:style w:type="character" w:customStyle="1" w:styleId="HTMLPreformattedChar">
    <w:name w:val="HTML Preformatted Char"/>
    <w:basedOn w:val="DefaultParagraphFont"/>
    <w:link w:val="HTMLPreformatted"/>
    <w:rsid w:val="00703B3D"/>
    <w:rPr>
      <w:rFonts w:ascii="Courier New" w:eastAsia="Courier New" w:hAnsi="Courier New" w:cs="Courier New"/>
      <w:bCs w:val="0"/>
      <w:color w:val="auto"/>
      <w:sz w:val="20"/>
      <w:szCs w:val="20"/>
    </w:rPr>
  </w:style>
  <w:style w:type="paragraph" w:styleId="List">
    <w:name w:val="List"/>
    <w:basedOn w:val="Normal"/>
    <w:rsid w:val="00703B3D"/>
    <w:pPr>
      <w:ind w:left="360" w:hanging="360"/>
    </w:pPr>
    <w:rPr>
      <w:rFonts w:eastAsia="Times New Roman"/>
      <w:bCs w:val="0"/>
      <w:color w:val="auto"/>
      <w:szCs w:val="20"/>
    </w:rPr>
  </w:style>
  <w:style w:type="paragraph" w:styleId="ListParagraph">
    <w:name w:val="List Paragraph"/>
    <w:basedOn w:val="Normal"/>
    <w:uiPriority w:val="34"/>
    <w:qFormat/>
    <w:rsid w:val="00A6758B"/>
    <w:pPr>
      <w:ind w:left="720"/>
      <w:contextualSpacing/>
    </w:pPr>
  </w:style>
  <w:style w:type="paragraph" w:styleId="CommentText">
    <w:name w:val="annotation text"/>
    <w:basedOn w:val="Normal"/>
    <w:link w:val="CommentTextChar"/>
    <w:unhideWhenUsed/>
    <w:rsid w:val="00A6758B"/>
    <w:rPr>
      <w:rFonts w:eastAsia="Times New Roman"/>
      <w:bCs w:val="0"/>
      <w:color w:val="auto"/>
      <w:sz w:val="20"/>
      <w:szCs w:val="20"/>
    </w:rPr>
  </w:style>
  <w:style w:type="character" w:customStyle="1" w:styleId="CommentTextChar">
    <w:name w:val="Comment Text Char"/>
    <w:basedOn w:val="DefaultParagraphFont"/>
    <w:link w:val="CommentText"/>
    <w:rsid w:val="00A6758B"/>
    <w:rPr>
      <w:rFonts w:eastAsia="Times New Roman"/>
      <w:bCs w:val="0"/>
      <w:color w:val="auto"/>
      <w:sz w:val="20"/>
      <w:szCs w:val="20"/>
    </w:rPr>
  </w:style>
  <w:style w:type="paragraph" w:styleId="BodyText">
    <w:name w:val="Body Text"/>
    <w:basedOn w:val="Normal"/>
    <w:link w:val="BodyTextChar"/>
    <w:uiPriority w:val="99"/>
    <w:rsid w:val="00A6758B"/>
    <w:pPr>
      <w:tabs>
        <w:tab w:val="left" w:pos="-720"/>
      </w:tabs>
      <w:suppressAutoHyphens/>
      <w:spacing w:line="480" w:lineRule="auto"/>
      <w:jc w:val="both"/>
    </w:pPr>
    <w:rPr>
      <w:rFonts w:eastAsia="Times New Roman"/>
      <w:bCs w:val="0"/>
      <w:color w:val="auto"/>
      <w:szCs w:val="24"/>
    </w:rPr>
  </w:style>
  <w:style w:type="character" w:customStyle="1" w:styleId="BodyTextChar">
    <w:name w:val="Body Text Char"/>
    <w:basedOn w:val="DefaultParagraphFont"/>
    <w:link w:val="BodyText"/>
    <w:uiPriority w:val="99"/>
    <w:rsid w:val="00A6758B"/>
    <w:rPr>
      <w:rFonts w:eastAsia="Times New Roman"/>
      <w:bCs w:val="0"/>
      <w:color w:val="auto"/>
      <w:szCs w:val="24"/>
    </w:rPr>
  </w:style>
  <w:style w:type="character" w:customStyle="1" w:styleId="UnresolvedMention">
    <w:name w:val="Unresolved Mention"/>
    <w:basedOn w:val="DefaultParagraphFont"/>
    <w:uiPriority w:val="99"/>
    <w:semiHidden/>
    <w:unhideWhenUsed/>
    <w:rsid w:val="00A6758B"/>
    <w:rPr>
      <w:color w:val="605E5C"/>
      <w:shd w:val="clear" w:color="auto" w:fill="E1DFDD"/>
    </w:rPr>
  </w:style>
  <w:style w:type="character" w:styleId="CommentReference">
    <w:name w:val="annotation reference"/>
    <w:basedOn w:val="DefaultParagraphFont"/>
    <w:uiPriority w:val="99"/>
    <w:semiHidden/>
    <w:unhideWhenUsed/>
    <w:rsid w:val="00394F88"/>
    <w:rPr>
      <w:sz w:val="16"/>
      <w:szCs w:val="16"/>
    </w:rPr>
  </w:style>
  <w:style w:type="paragraph" w:styleId="CommentSubject">
    <w:name w:val="annotation subject"/>
    <w:basedOn w:val="CommentText"/>
    <w:next w:val="CommentText"/>
    <w:link w:val="CommentSubjectChar"/>
    <w:uiPriority w:val="99"/>
    <w:semiHidden/>
    <w:unhideWhenUsed/>
    <w:rsid w:val="00394F88"/>
    <w:rPr>
      <w:rFonts w:eastAsiaTheme="minorHAnsi"/>
      <w:b/>
      <w:bCs/>
      <w:color w:val="000000"/>
    </w:rPr>
  </w:style>
  <w:style w:type="character" w:customStyle="1" w:styleId="CommentSubjectChar">
    <w:name w:val="Comment Subject Char"/>
    <w:basedOn w:val="CommentTextChar"/>
    <w:link w:val="CommentSubject"/>
    <w:uiPriority w:val="99"/>
    <w:semiHidden/>
    <w:rsid w:val="00394F88"/>
    <w:rPr>
      <w:rFonts w:eastAsia="Times New Roman"/>
      <w:b/>
      <w:bCs/>
      <w:color w:val="auto"/>
      <w:sz w:val="20"/>
      <w:szCs w:val="20"/>
    </w:rPr>
  </w:style>
  <w:style w:type="paragraph" w:styleId="BalloonText">
    <w:name w:val="Balloon Text"/>
    <w:basedOn w:val="Normal"/>
    <w:link w:val="BalloonTextChar"/>
    <w:uiPriority w:val="99"/>
    <w:semiHidden/>
    <w:unhideWhenUsed/>
    <w:rsid w:val="00394F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F88"/>
    <w:rPr>
      <w:rFonts w:ascii="Segoe UI" w:hAnsi="Segoe UI" w:cs="Segoe UI"/>
      <w:sz w:val="18"/>
      <w:szCs w:val="18"/>
    </w:rPr>
  </w:style>
  <w:style w:type="paragraph" w:styleId="Revision">
    <w:name w:val="Revision"/>
    <w:hidden/>
    <w:uiPriority w:val="99"/>
    <w:semiHidden/>
    <w:rsid w:val="00167F13"/>
  </w:style>
  <w:style w:type="character" w:customStyle="1" w:styleId="ssleftalign">
    <w:name w:val="ss_leftalign"/>
    <w:basedOn w:val="DefaultParagraphFont"/>
    <w:rsid w:val="00AB6667"/>
  </w:style>
  <w:style w:type="character" w:customStyle="1" w:styleId="ssit">
    <w:name w:val="ss_it"/>
    <w:basedOn w:val="DefaultParagraphFont"/>
    <w:rsid w:val="00AB6667"/>
  </w:style>
  <w:style w:type="character" w:customStyle="1" w:styleId="sssh">
    <w:name w:val="ss_sh"/>
    <w:basedOn w:val="DefaultParagraphFont"/>
    <w:rsid w:val="00AB6667"/>
  </w:style>
  <w:style w:type="character" w:customStyle="1" w:styleId="Heading1Char">
    <w:name w:val="Heading 1 Char"/>
    <w:basedOn w:val="DefaultParagraphFont"/>
    <w:link w:val="Heading1"/>
    <w:uiPriority w:val="9"/>
    <w:rsid w:val="00CB40E0"/>
    <w:rPr>
      <w:rFonts w:ascii="Times New Roman Bold" w:hAnsi="Times New Roman Bold" w:eastAsiaTheme="majorEastAsia" w:cstheme="majorBidi"/>
      <w:b/>
      <w:color w:val="auto"/>
      <w:szCs w:val="32"/>
    </w:rPr>
  </w:style>
  <w:style w:type="character" w:customStyle="1" w:styleId="Heading2Char">
    <w:name w:val="Heading 2 Char"/>
    <w:basedOn w:val="DefaultParagraphFont"/>
    <w:link w:val="Heading2"/>
    <w:uiPriority w:val="9"/>
    <w:rsid w:val="00CB40E0"/>
    <w:rPr>
      <w:rFonts w:ascii="Times New Roman Bold" w:hAnsi="Times New Roman Bold" w:eastAsiaTheme="majorEastAsia" w:cstheme="majorBidi"/>
      <w:b/>
      <w:color w:val="auto"/>
      <w:szCs w:val="26"/>
    </w:rPr>
  </w:style>
  <w:style w:type="paragraph" w:styleId="TOC1">
    <w:name w:val="toc 1"/>
    <w:basedOn w:val="Normal"/>
    <w:next w:val="Normal"/>
    <w:autoRedefine/>
    <w:uiPriority w:val="39"/>
    <w:unhideWhenUsed/>
    <w:qFormat/>
    <w:rsid w:val="00CB40E0"/>
    <w:pPr>
      <w:spacing w:after="240"/>
      <w:ind w:left="720" w:hanging="720"/>
      <w:outlineLvl w:val="0"/>
    </w:pPr>
    <w:rPr>
      <w:caps/>
      <w:color w:val="auto"/>
    </w:rPr>
  </w:style>
  <w:style w:type="paragraph" w:styleId="TOC2">
    <w:name w:val="toc 2"/>
    <w:basedOn w:val="Normal"/>
    <w:next w:val="Normal"/>
    <w:autoRedefine/>
    <w:uiPriority w:val="39"/>
    <w:unhideWhenUsed/>
    <w:qFormat/>
    <w:rsid w:val="00CB40E0"/>
    <w:pPr>
      <w:spacing w:after="240"/>
      <w:ind w:left="1440" w:hanging="72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yperlink" Target="http://codes.ohio.gov/oac/4901-1-16" TargetMode="External" /><Relationship Id="rId16" Type="http://schemas.openxmlformats.org/officeDocument/2006/relationships/header" Target="header4.xml" /><Relationship Id="rId17" Type="http://schemas.openxmlformats.org/officeDocument/2006/relationships/footer" Target="footer4.xml" /><Relationship Id="rId18" Type="http://schemas.openxmlformats.org/officeDocument/2006/relationships/header" Target="header5.xml" /><Relationship Id="rId19" Type="http://schemas.openxmlformats.org/officeDocument/2006/relationships/hyperlink" Target="mailto:kyle.kern@ohioattorneygeneral.gov" TargetMode="External" /><Relationship Id="rId2" Type="http://schemas.openxmlformats.org/officeDocument/2006/relationships/settings" Target="settings.xml" /><Relationship Id="rId20" Type="http://schemas.openxmlformats.org/officeDocument/2006/relationships/hyperlink" Target="mailto:thomas.lindgren@ohioattorneygeneral.gov" TargetMode="External" /><Relationship Id="rId21" Type="http://schemas.openxmlformats.org/officeDocument/2006/relationships/hyperlink" Target="mailto:mkurtz@BKLlawfirm.com" TargetMode="External" /><Relationship Id="rId22" Type="http://schemas.openxmlformats.org/officeDocument/2006/relationships/hyperlink" Target="mailto:kboehm@BKLlawfirm.com" TargetMode="External" /><Relationship Id="rId23" Type="http://schemas.openxmlformats.org/officeDocument/2006/relationships/hyperlink" Target="mailto:jkylercohn@BKLlawfirm.com" TargetMode="External" /><Relationship Id="rId24" Type="http://schemas.openxmlformats.org/officeDocument/2006/relationships/hyperlink" Target="mailto:rdove@keglerbrown.com" TargetMode="External" /><Relationship Id="rId25" Type="http://schemas.openxmlformats.org/officeDocument/2006/relationships/hyperlink" Target="mailto:sarah.parrot@puco.ohio.gov" TargetMode="External" /><Relationship Id="rId26" Type="http://schemas.openxmlformats.org/officeDocument/2006/relationships/hyperlink" Target="mailto:greta.see@puco.ohio.gov" TargetMode="External" /><Relationship Id="rId27" Type="http://schemas.openxmlformats.org/officeDocument/2006/relationships/hyperlink" Target="mailto:stnourse@aep.com" TargetMode="External" /><Relationship Id="rId28" Type="http://schemas.openxmlformats.org/officeDocument/2006/relationships/hyperlink" Target="mailto:mpritchard@mcneeslaw.com" TargetMode="External" /><Relationship Id="rId29" Type="http://schemas.openxmlformats.org/officeDocument/2006/relationships/hyperlink" Target="mailto:rglover@mcneeslaw.com" TargetMode="External" /><Relationship Id="rId3" Type="http://schemas.openxmlformats.org/officeDocument/2006/relationships/webSettings" Target="webSettings.xml" /><Relationship Id="rId30" Type="http://schemas.openxmlformats.org/officeDocument/2006/relationships/hyperlink" Target="mailto:paul@carpenterlipps.com" TargetMode="External" /><Relationship Id="rId31" Type="http://schemas.openxmlformats.org/officeDocument/2006/relationships/hyperlink" Target="mailto:bojko@carpenterlipps.com" TargetMode="External" /><Relationship Id="rId32" Type="http://schemas.openxmlformats.org/officeDocument/2006/relationships/hyperlink" Target="mailto:donadio@carpenterlipps.com" TargetMode="Externa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christopher.healey@occ.ohio.gov" TargetMode="External" /><Relationship Id="rId7" Type="http://schemas.openxmlformats.org/officeDocument/2006/relationships/hyperlink" Target="mailto:william.michael@occ.ohio.gov" TargetMode="External" /><Relationship Id="rId8" Type="http://schemas.openxmlformats.org/officeDocument/2006/relationships/hyperlink" Target="mailto:john.finnigan@occ.ohio.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92F4B-C2E6-4775-B616-88D36AF4C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3270</Words>
  <Characters>18641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18-1004 memo contra to motion for protective order clean final.docx</vt:lpstr>
    </vt:vector>
  </TitlesOfParts>
  <Company/>
  <LinksUpToDate>false</LinksUpToDate>
  <CharactersWithSpaces>21868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2021-01-20T19:43:26Z</dcterms:created>
  <dcterms:modified xsi:type="dcterms:W3CDTF">2021-01-20T19:43:26Z</dcterms:modified>
</cp:coreProperties>
</file>