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DB0ACF" w:rsidRPr="004D5F5F" w:rsidP="009E4459" w14:paraId="488480F0" w14:textId="77777777">
      <w:pPr>
        <w:pStyle w:val="HTMLPreformatted"/>
        <w:jc w:val="center"/>
        <w:rPr>
          <w:rFonts w:ascii="Times New Roman" w:hAnsi="Times New Roman" w:cs="Times New Roman"/>
          <w:b/>
          <w:bCs/>
          <w:sz w:val="24"/>
          <w:szCs w:val="24"/>
        </w:rPr>
      </w:pPr>
      <w:r w:rsidRPr="004D5F5F">
        <w:rPr>
          <w:rFonts w:ascii="Times New Roman" w:hAnsi="Times New Roman" w:cs="Times New Roman"/>
          <w:b/>
          <w:bCs/>
          <w:sz w:val="24"/>
          <w:szCs w:val="24"/>
        </w:rPr>
        <w:t>BEFORE</w:t>
      </w:r>
    </w:p>
    <w:p w:rsidR="00DB0ACF" w:rsidRPr="004D5F5F" w14:paraId="1E53615D" w14:textId="77777777">
      <w:pPr>
        <w:pStyle w:val="HTMLPreformatted"/>
        <w:jc w:val="center"/>
        <w:rPr>
          <w:rFonts w:ascii="Times New Roman" w:hAnsi="Times New Roman" w:cs="Times New Roman"/>
          <w:sz w:val="24"/>
          <w:szCs w:val="24"/>
        </w:rPr>
      </w:pPr>
      <w:r w:rsidRPr="004D5F5F">
        <w:rPr>
          <w:rFonts w:ascii="Times New Roman" w:hAnsi="Times New Roman" w:cs="Times New Roman"/>
          <w:b/>
          <w:bCs/>
          <w:sz w:val="24"/>
          <w:szCs w:val="24"/>
        </w:rPr>
        <w:t>THE PUBLIC UTILITIES COMMISSION OF OHIO</w:t>
      </w:r>
    </w:p>
    <w:p w:rsidR="00DB0ACF" w:rsidRPr="004D5F5F" w14:paraId="7FCAEF05" w14:textId="77777777">
      <w:pPr>
        <w:pStyle w:val="HTMLPreformatted"/>
        <w:rPr>
          <w:rFonts w:ascii="Times New Roman"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528"/>
        <w:gridCol w:w="4232"/>
      </w:tblGrid>
      <w:tr w14:paraId="3791706C" w14:textId="77777777" w:rsidTr="004D31A2">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F6315F" w:rsidRPr="004D5F5F" w:rsidP="00F06797" w14:paraId="27408289" w14:textId="597A3AC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D5F5F">
              <w:rPr>
                <w:rFonts w:ascii="Times New Roman" w:eastAsia="Courier New" w:hAnsi="Times New Roman" w:cs="Times New Roman"/>
                <w:sz w:val="24"/>
                <w:szCs w:val="24"/>
                <w:lang w:val="en-US" w:eastAsia="en-US" w:bidi="ar-SA"/>
              </w:rPr>
              <w:t>In the Matter of the Review of the Non-Market-Based Services Rider Contained in the Tariffs of Ohio Edison Company, the Cleveland Electric Illuminating Company and the Toledo Edison Company.</w:t>
            </w:r>
          </w:p>
        </w:tc>
        <w:tc>
          <w:tcPr>
            <w:tcW w:w="528" w:type="dxa"/>
            <w:shd w:val="clear" w:color="auto" w:fill="auto"/>
          </w:tcPr>
          <w:p w:rsidR="00DB0ACF" w:rsidRPr="004D5F5F" w14:paraId="70DC950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D5F5F">
              <w:rPr>
                <w:rFonts w:ascii="Times New Roman" w:eastAsia="Courier New" w:hAnsi="Times New Roman" w:cs="Times New Roman"/>
                <w:sz w:val="24"/>
                <w:szCs w:val="24"/>
                <w:lang w:val="en-US" w:eastAsia="en-US" w:bidi="ar-SA"/>
              </w:rPr>
              <w:t>)</w:t>
            </w:r>
          </w:p>
          <w:p w:rsidR="00DB0ACF" w:rsidRPr="004D5F5F" w14:paraId="594D8CB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D5F5F">
              <w:rPr>
                <w:rFonts w:ascii="Times New Roman" w:eastAsia="Courier New" w:hAnsi="Times New Roman" w:cs="Times New Roman"/>
                <w:sz w:val="24"/>
                <w:szCs w:val="24"/>
                <w:lang w:val="en-US" w:eastAsia="en-US" w:bidi="ar-SA"/>
              </w:rPr>
              <w:t>)</w:t>
            </w:r>
          </w:p>
          <w:p w:rsidR="00005991" w:rsidRPr="004D5F5F" w14:paraId="0F1C802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D5F5F">
              <w:rPr>
                <w:rFonts w:ascii="Times New Roman" w:eastAsia="Courier New" w:hAnsi="Times New Roman" w:cs="Times New Roman"/>
                <w:sz w:val="24"/>
                <w:szCs w:val="24"/>
                <w:lang w:val="en-US" w:eastAsia="en-US" w:bidi="ar-SA"/>
              </w:rPr>
              <w:t>)</w:t>
            </w:r>
          </w:p>
          <w:p w:rsidR="00F6315F" w:rsidRPr="004D5F5F" w14:paraId="536C538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D5F5F">
              <w:rPr>
                <w:rFonts w:ascii="Times New Roman" w:eastAsia="Courier New" w:hAnsi="Times New Roman" w:cs="Times New Roman"/>
                <w:sz w:val="24"/>
                <w:szCs w:val="24"/>
                <w:lang w:val="en-US" w:eastAsia="en-US" w:bidi="ar-SA"/>
              </w:rPr>
              <w:t>)</w:t>
            </w:r>
          </w:p>
          <w:p w:rsidR="00DB1378" w:rsidRPr="004D5F5F" w14:paraId="7DCDE85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D5F5F">
              <w:rPr>
                <w:rFonts w:ascii="Times New Roman" w:eastAsia="Courier New" w:hAnsi="Times New Roman" w:cs="Times New Roman"/>
                <w:sz w:val="24"/>
                <w:szCs w:val="24"/>
                <w:lang w:val="en-US" w:eastAsia="en-US" w:bidi="ar-SA"/>
              </w:rPr>
              <w:t>)</w:t>
            </w:r>
          </w:p>
          <w:p w:rsidR="00DB1378" w:rsidRPr="004D5F5F" w:rsidP="00231929" w14:paraId="5F58351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D5F5F">
              <w:rPr>
                <w:rFonts w:ascii="Times New Roman" w:eastAsia="Courier New" w:hAnsi="Times New Roman" w:cs="Times New Roman"/>
                <w:sz w:val="24"/>
                <w:szCs w:val="24"/>
                <w:lang w:val="en-US" w:eastAsia="en-US" w:bidi="ar-SA"/>
              </w:rPr>
              <w:t>)</w:t>
            </w:r>
          </w:p>
          <w:p w:rsidR="00231929" w:rsidRPr="004D5F5F" w:rsidP="00231929" w14:paraId="55F89BA0"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c>
          <w:tcPr>
            <w:tcW w:w="4232" w:type="dxa"/>
            <w:shd w:val="clear" w:color="auto" w:fill="auto"/>
          </w:tcPr>
          <w:p w:rsidR="00DB0ACF" w:rsidRPr="004D5F5F" w14:paraId="3D7729C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005991" w:rsidRPr="004D5F5F" w14:paraId="1F8AC3A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941728" w:rsidRPr="004D5F5F" w:rsidP="00941728" w14:paraId="297FFFDC" w14:textId="5F02F888">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r w:rsidRPr="004D5F5F">
              <w:rPr>
                <w:rFonts w:ascii="Times New Roman" w:eastAsia="Courier New" w:hAnsi="Times New Roman" w:cs="Times New Roman"/>
                <w:sz w:val="24"/>
                <w:szCs w:val="24"/>
                <w:lang w:val="en-US" w:eastAsia="en-US" w:bidi="ar-SA"/>
              </w:rPr>
              <w:t xml:space="preserve">Case No. </w:t>
            </w:r>
            <w:r w:rsidRPr="004D5F5F" w:rsidR="00F06797">
              <w:rPr>
                <w:rFonts w:ascii="Times New Roman" w:eastAsia="Courier New" w:hAnsi="Times New Roman" w:cs="Times New Roman"/>
                <w:sz w:val="24"/>
                <w:szCs w:val="24"/>
                <w:lang w:val="en-US" w:eastAsia="en-US" w:bidi="ar-SA"/>
              </w:rPr>
              <w:t>24-22-EL-RDR</w:t>
            </w:r>
          </w:p>
          <w:p w:rsidR="00DB1378" w:rsidRPr="004D5F5F" w14:paraId="2E8764E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DB1378" w:rsidRPr="004D5F5F" w:rsidP="00DB1378" w14:paraId="1B35C9E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p w:rsidR="00DB1378" w:rsidRPr="004D5F5F" w14:paraId="7990802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ourier New" w:hAnsi="Times New Roman" w:cs="Times New Roman"/>
                <w:sz w:val="24"/>
                <w:szCs w:val="24"/>
                <w:lang w:val="en-US" w:eastAsia="en-US" w:bidi="ar-SA"/>
              </w:rPr>
            </w:pPr>
          </w:p>
        </w:tc>
      </w:tr>
    </w:tbl>
    <w:p w:rsidR="00DB0ACF" w:rsidRPr="004D5F5F" w14:paraId="6192BCAB" w14:textId="77777777">
      <w:pPr>
        <w:pStyle w:val="HTMLPreformatted"/>
        <w:pBdr>
          <w:top w:val="single" w:sz="12" w:space="1" w:color="auto"/>
        </w:pBdr>
        <w:rPr>
          <w:rFonts w:ascii="Times New Roman" w:hAnsi="Times New Roman" w:cs="Times New Roman"/>
          <w:sz w:val="24"/>
          <w:szCs w:val="24"/>
        </w:rPr>
      </w:pPr>
    </w:p>
    <w:p w:rsidR="00DB0ACF" w:rsidRPr="004D5F5F" w14:paraId="555CD95E" w14:textId="0EEE3F31">
      <w:pPr>
        <w:jc w:val="center"/>
        <w:rPr>
          <w:b/>
          <w:bCs/>
          <w:szCs w:val="24"/>
        </w:rPr>
      </w:pPr>
      <w:r w:rsidRPr="004D5F5F">
        <w:rPr>
          <w:b/>
          <w:bCs/>
          <w:szCs w:val="24"/>
        </w:rPr>
        <w:t>CONSUMER PROTECTION COMMENTS</w:t>
      </w:r>
    </w:p>
    <w:p w:rsidR="00DB0ACF" w:rsidRPr="004D5F5F" w14:paraId="660BBE8B" w14:textId="77777777">
      <w:pPr>
        <w:jc w:val="center"/>
        <w:rPr>
          <w:b/>
          <w:bCs/>
          <w:szCs w:val="24"/>
        </w:rPr>
      </w:pPr>
      <w:r w:rsidRPr="004D5F5F">
        <w:rPr>
          <w:b/>
          <w:bCs/>
          <w:szCs w:val="24"/>
        </w:rPr>
        <w:t>BY</w:t>
      </w:r>
    </w:p>
    <w:p w:rsidR="00DB0ACF" w:rsidRPr="004D5F5F" w14:paraId="6B99BAB4" w14:textId="24237273">
      <w:pPr>
        <w:jc w:val="center"/>
        <w:rPr>
          <w:b/>
          <w:bCs/>
          <w:szCs w:val="24"/>
        </w:rPr>
      </w:pPr>
      <w:r w:rsidRPr="004D5F5F">
        <w:rPr>
          <w:b/>
          <w:bCs/>
          <w:szCs w:val="24"/>
        </w:rPr>
        <w:t>OFFICE OF THE OHIO CONSUMERS</w:t>
      </w:r>
      <w:r w:rsidR="004D5F5F">
        <w:rPr>
          <w:b/>
          <w:bCs/>
          <w:szCs w:val="24"/>
        </w:rPr>
        <w:t>’</w:t>
      </w:r>
      <w:r w:rsidRPr="004D5F5F">
        <w:rPr>
          <w:b/>
          <w:bCs/>
          <w:szCs w:val="24"/>
        </w:rPr>
        <w:t xml:space="preserve"> COUNSEL</w:t>
      </w:r>
    </w:p>
    <w:p w:rsidR="00DB0ACF" w:rsidRPr="004D5F5F" w14:paraId="039C6DED" w14:textId="77777777">
      <w:pPr>
        <w:pBdr>
          <w:bottom w:val="single" w:sz="12" w:space="1" w:color="auto"/>
        </w:pBdr>
        <w:tabs>
          <w:tab w:val="left" w:pos="4320"/>
        </w:tabs>
        <w:rPr>
          <w:szCs w:val="24"/>
        </w:rPr>
      </w:pPr>
    </w:p>
    <w:p w:rsidR="00DB0ACF" w:rsidRPr="004D5F5F" w14:paraId="2331CB2E" w14:textId="77777777">
      <w:pPr>
        <w:tabs>
          <w:tab w:val="left" w:pos="4320"/>
        </w:tabs>
        <w:rPr>
          <w:szCs w:val="24"/>
        </w:rPr>
      </w:pPr>
    </w:p>
    <w:p w:rsidR="00440E51" w:rsidRPr="004D5F5F" w:rsidP="00440E51" w14:paraId="67C12F00" w14:textId="66BACB6B">
      <w:pPr>
        <w:pStyle w:val="Heading1"/>
      </w:pPr>
      <w:r w:rsidRPr="004D5F5F">
        <w:t>INTRODUCTION</w:t>
      </w:r>
    </w:p>
    <w:p w:rsidR="00BA0691" w:rsidRPr="004D5F5F" w:rsidP="00BA0691" w14:paraId="2932E299" w14:textId="008CEEBD">
      <w:pPr>
        <w:spacing w:line="480" w:lineRule="auto"/>
        <w:ind w:firstLine="720"/>
        <w:rPr>
          <w:szCs w:val="24"/>
        </w:rPr>
      </w:pPr>
      <w:r w:rsidRPr="004D5F5F">
        <w:rPr>
          <w:szCs w:val="24"/>
        </w:rPr>
        <w:t xml:space="preserve"> FirstEnergy</w:t>
      </w:r>
      <w:r>
        <w:rPr>
          <w:rStyle w:val="FootnoteReference"/>
          <w:szCs w:val="24"/>
        </w:rPr>
        <w:footnoteReference w:id="2"/>
      </w:r>
      <w:r w:rsidR="004D5F5F">
        <w:rPr>
          <w:szCs w:val="24"/>
        </w:rPr>
        <w:t xml:space="preserve"> </w:t>
      </w:r>
      <w:r w:rsidRPr="004D5F5F" w:rsidR="00B60605">
        <w:rPr>
          <w:szCs w:val="24"/>
        </w:rPr>
        <w:t>wants to</w:t>
      </w:r>
      <w:r w:rsidRPr="004D5F5F" w:rsidR="00D43CC8">
        <w:rPr>
          <w:szCs w:val="24"/>
        </w:rPr>
        <w:t xml:space="preserve"> </w:t>
      </w:r>
      <w:r w:rsidRPr="004D5F5F" w:rsidR="00667947">
        <w:rPr>
          <w:szCs w:val="24"/>
        </w:rPr>
        <w:t>substantially increas</w:t>
      </w:r>
      <w:r w:rsidRPr="004D5F5F" w:rsidR="00D43CC8">
        <w:rPr>
          <w:szCs w:val="24"/>
        </w:rPr>
        <w:t>e</w:t>
      </w:r>
      <w:r w:rsidRPr="004D5F5F" w:rsidR="00667947">
        <w:rPr>
          <w:szCs w:val="24"/>
        </w:rPr>
        <w:t xml:space="preserve"> </w:t>
      </w:r>
      <w:r w:rsidRPr="004D5F5F">
        <w:rPr>
          <w:szCs w:val="24"/>
        </w:rPr>
        <w:t xml:space="preserve">the </w:t>
      </w:r>
      <w:r w:rsidRPr="004D5F5F" w:rsidR="00D43CC8">
        <w:rPr>
          <w:szCs w:val="24"/>
        </w:rPr>
        <w:t xml:space="preserve">transmission </w:t>
      </w:r>
      <w:r w:rsidRPr="004D5F5F">
        <w:rPr>
          <w:szCs w:val="24"/>
        </w:rPr>
        <w:t xml:space="preserve">rates </w:t>
      </w:r>
      <w:r w:rsidRPr="004D5F5F" w:rsidR="00B60605">
        <w:rPr>
          <w:szCs w:val="24"/>
        </w:rPr>
        <w:t>it charges</w:t>
      </w:r>
      <w:r w:rsidRPr="004D5F5F" w:rsidR="00D43CC8">
        <w:rPr>
          <w:szCs w:val="24"/>
        </w:rPr>
        <w:t xml:space="preserve"> </w:t>
      </w:r>
      <w:r w:rsidRPr="004D5F5F" w:rsidR="00B60605">
        <w:rPr>
          <w:szCs w:val="24"/>
        </w:rPr>
        <w:t xml:space="preserve">residential </w:t>
      </w:r>
      <w:r w:rsidRPr="004D5F5F">
        <w:rPr>
          <w:szCs w:val="24"/>
        </w:rPr>
        <w:t xml:space="preserve">consumers under </w:t>
      </w:r>
      <w:r w:rsidRPr="004D5F5F" w:rsidR="00F339E1">
        <w:rPr>
          <w:szCs w:val="24"/>
        </w:rPr>
        <w:t xml:space="preserve">its </w:t>
      </w:r>
      <w:r w:rsidRPr="004D5F5F">
        <w:rPr>
          <w:szCs w:val="24"/>
        </w:rPr>
        <w:t>Non-Market-Based (</w:t>
      </w:r>
      <w:r w:rsidR="004D5F5F">
        <w:rPr>
          <w:szCs w:val="24"/>
        </w:rPr>
        <w:t>“</w:t>
      </w:r>
      <w:r w:rsidRPr="004D5F5F">
        <w:rPr>
          <w:szCs w:val="24"/>
        </w:rPr>
        <w:t>NMB</w:t>
      </w:r>
      <w:r w:rsidR="004D5F5F">
        <w:rPr>
          <w:szCs w:val="24"/>
        </w:rPr>
        <w:t>”</w:t>
      </w:r>
      <w:r w:rsidRPr="004D5F5F">
        <w:rPr>
          <w:szCs w:val="24"/>
        </w:rPr>
        <w:t>) Rider.</w:t>
      </w:r>
      <w:r w:rsidR="004D5F5F">
        <w:rPr>
          <w:szCs w:val="24"/>
        </w:rPr>
        <w:t xml:space="preserve"> </w:t>
      </w:r>
      <w:r w:rsidRPr="004D5F5F" w:rsidR="00D43CC8">
        <w:rPr>
          <w:szCs w:val="24"/>
        </w:rPr>
        <w:t>Th</w:t>
      </w:r>
      <w:r w:rsidRPr="004D5F5F" w:rsidR="00F339E1">
        <w:rPr>
          <w:szCs w:val="24"/>
        </w:rPr>
        <w:t>e rider</w:t>
      </w:r>
      <w:r w:rsidRPr="004D5F5F" w:rsidR="00B60605">
        <w:rPr>
          <w:szCs w:val="24"/>
        </w:rPr>
        <w:t xml:space="preserve">, which </w:t>
      </w:r>
      <w:r w:rsidRPr="004D5F5F" w:rsidR="00406BBA">
        <w:rPr>
          <w:szCs w:val="24"/>
        </w:rPr>
        <w:t xml:space="preserve">certain </w:t>
      </w:r>
      <w:r w:rsidRPr="004D5F5F" w:rsidR="00B60605">
        <w:rPr>
          <w:szCs w:val="24"/>
        </w:rPr>
        <w:t xml:space="preserve">non-residential consumers can </w:t>
      </w:r>
      <w:r w:rsidRPr="004D5F5F" w:rsidR="00366113">
        <w:rPr>
          <w:szCs w:val="24"/>
        </w:rPr>
        <w:t>opt out of paying</w:t>
      </w:r>
      <w:r w:rsidRPr="004D5F5F" w:rsidR="00B60605">
        <w:rPr>
          <w:szCs w:val="24"/>
        </w:rPr>
        <w:t xml:space="preserve">, </w:t>
      </w:r>
      <w:r w:rsidRPr="004D5F5F" w:rsidR="00366113">
        <w:rPr>
          <w:szCs w:val="24"/>
        </w:rPr>
        <w:t>is shifting costs to residential consumers who can</w:t>
      </w:r>
      <w:r w:rsidR="004D5F5F">
        <w:rPr>
          <w:szCs w:val="24"/>
        </w:rPr>
        <w:t>’</w:t>
      </w:r>
      <w:r w:rsidRPr="004D5F5F" w:rsidR="00366113">
        <w:rPr>
          <w:szCs w:val="24"/>
        </w:rPr>
        <w:t>t avoid the charge</w:t>
      </w:r>
      <w:r w:rsidRPr="004D5F5F">
        <w:rPr>
          <w:szCs w:val="24"/>
        </w:rPr>
        <w:t>.</w:t>
      </w:r>
      <w:r w:rsidR="004D5F5F">
        <w:rPr>
          <w:szCs w:val="24"/>
        </w:rPr>
        <w:t xml:space="preserve"> </w:t>
      </w:r>
      <w:r w:rsidRPr="004D5F5F">
        <w:rPr>
          <w:szCs w:val="24"/>
        </w:rPr>
        <w:t>The rider opt</w:t>
      </w:r>
      <w:r w:rsidR="009D5637">
        <w:rPr>
          <w:szCs w:val="24"/>
        </w:rPr>
        <w:t>-</w:t>
      </w:r>
      <w:r w:rsidRPr="004D5F5F">
        <w:rPr>
          <w:szCs w:val="24"/>
        </w:rPr>
        <w:t>out came from FirstEnergy</w:t>
      </w:r>
      <w:r w:rsidR="004D5F5F">
        <w:rPr>
          <w:szCs w:val="24"/>
        </w:rPr>
        <w:t>’</w:t>
      </w:r>
      <w:r w:rsidRPr="004D5F5F">
        <w:rPr>
          <w:szCs w:val="24"/>
        </w:rPr>
        <w:t xml:space="preserve">s 2016 electric security plan where the PUCO found evidence of undisclosed side deals between FirstEnergy and the former PUCO </w:t>
      </w:r>
      <w:r w:rsidR="00146278">
        <w:rPr>
          <w:szCs w:val="24"/>
        </w:rPr>
        <w:t>C</w:t>
      </w:r>
      <w:r w:rsidRPr="004D5F5F">
        <w:rPr>
          <w:szCs w:val="24"/>
        </w:rPr>
        <w:t>hair.</w:t>
      </w:r>
      <w:r>
        <w:rPr>
          <w:rStyle w:val="FootnoteReference"/>
          <w:szCs w:val="24"/>
        </w:rPr>
        <w:footnoteReference w:id="3"/>
      </w:r>
      <w:r w:rsidRPr="004D5F5F">
        <w:rPr>
          <w:szCs w:val="24"/>
        </w:rPr>
        <w:t xml:space="preserve"> The PUCO has put a hold on its side deal investigation</w:t>
      </w:r>
      <w:r w:rsidR="000742CC">
        <w:rPr>
          <w:szCs w:val="24"/>
        </w:rPr>
        <w:t>,</w:t>
      </w:r>
      <w:r>
        <w:rPr>
          <w:rStyle w:val="FootnoteReference"/>
          <w:szCs w:val="24"/>
        </w:rPr>
        <w:footnoteReference w:id="4"/>
      </w:r>
      <w:r w:rsidRPr="004D5F5F">
        <w:rPr>
          <w:szCs w:val="24"/>
        </w:rPr>
        <w:t xml:space="preserve"> yet opt</w:t>
      </w:r>
      <w:r w:rsidR="00162517">
        <w:rPr>
          <w:szCs w:val="24"/>
        </w:rPr>
        <w:t>-</w:t>
      </w:r>
      <w:r w:rsidRPr="004D5F5F">
        <w:rPr>
          <w:szCs w:val="24"/>
        </w:rPr>
        <w:t xml:space="preserve">out is in full swing. With the indictment of the former PUCO </w:t>
      </w:r>
      <w:r w:rsidR="00146278">
        <w:rPr>
          <w:szCs w:val="24"/>
        </w:rPr>
        <w:t>C</w:t>
      </w:r>
      <w:r w:rsidRPr="004D5F5F">
        <w:rPr>
          <w:szCs w:val="24"/>
        </w:rPr>
        <w:t>hair on both state and federal charges,</w:t>
      </w:r>
      <w:r>
        <w:rPr>
          <w:rStyle w:val="FootnoteReference"/>
          <w:szCs w:val="24"/>
        </w:rPr>
        <w:footnoteReference w:id="5"/>
      </w:r>
      <w:r w:rsidRPr="004D5F5F">
        <w:rPr>
          <w:szCs w:val="24"/>
        </w:rPr>
        <w:t xml:space="preserve"> the alleged side dealing between FirstEnergy and </w:t>
      </w:r>
      <w:r w:rsidR="000742CC">
        <w:rPr>
          <w:szCs w:val="24"/>
        </w:rPr>
        <w:t xml:space="preserve">the </w:t>
      </w:r>
      <w:r w:rsidRPr="004D5F5F">
        <w:rPr>
          <w:szCs w:val="24"/>
        </w:rPr>
        <w:t>former PUCO Chair squarely calls into question whether the opt out should end.</w:t>
      </w:r>
      <w:r w:rsidR="004D5F5F">
        <w:rPr>
          <w:szCs w:val="24"/>
        </w:rPr>
        <w:t xml:space="preserve"> </w:t>
      </w:r>
      <w:r w:rsidRPr="004D5F5F">
        <w:rPr>
          <w:szCs w:val="24"/>
        </w:rPr>
        <w:t xml:space="preserve">It should. </w:t>
      </w:r>
    </w:p>
    <w:p w:rsidR="00BA0691" w:rsidRPr="004D5F5F" w:rsidP="00BA0691" w14:paraId="202BD85B" w14:textId="77777777">
      <w:pPr>
        <w:rPr>
          <w:szCs w:val="24"/>
        </w:rPr>
      </w:pPr>
    </w:p>
    <w:p w:rsidR="00BA0691" w:rsidRPr="004D5F5F" w:rsidP="00BA0691" w14:paraId="4D17ED8E" w14:textId="77777777">
      <w:pPr>
        <w:pStyle w:val="Heading1"/>
      </w:pPr>
      <w:r w:rsidRPr="004D5F5F">
        <w:t>RECOMMENDATIONS</w:t>
      </w:r>
    </w:p>
    <w:p w:rsidR="00BA0691" w:rsidRPr="004D5F5F" w:rsidP="00BA0691" w14:paraId="2A0139E7" w14:textId="34514B8A">
      <w:pPr>
        <w:spacing w:line="480" w:lineRule="auto"/>
        <w:ind w:firstLine="720"/>
        <w:rPr>
          <w:szCs w:val="24"/>
        </w:rPr>
      </w:pPr>
      <w:r w:rsidRPr="004D5F5F">
        <w:rPr>
          <w:szCs w:val="24"/>
        </w:rPr>
        <w:t>In its application, FirstEnergy seeks to substantially increase the rates charged to consumers under Rider NMB. FirstEnergy seeks to charge consumers new rates for transmission-related costs through the NMB Rider beginning April 1, 2024. FirstEnergy</w:t>
      </w:r>
      <w:r w:rsidR="004D5F5F">
        <w:rPr>
          <w:szCs w:val="24"/>
        </w:rPr>
        <w:t>’</w:t>
      </w:r>
      <w:r w:rsidRPr="004D5F5F">
        <w:rPr>
          <w:szCs w:val="24"/>
        </w:rPr>
        <w:t>s proposed NMB charges increase charges for Toledo Edison consumers by 22% (from $20 per month to $24.64 per month), Ohio Edison consumers by 20% (from $19 per month to $22.49 per month), and Cleveland Electric Illuminating consumers by 12% (from $23 per month to $24.42 per month). In total, Toledo Edison consumers will be paying $65 million, Ohio Edison consumers $221 million, and Cleveland Electric Illuminating $140 million for FirstEnergy</w:t>
      </w:r>
      <w:r w:rsidR="004D5F5F">
        <w:rPr>
          <w:szCs w:val="24"/>
        </w:rPr>
        <w:t>’</w:t>
      </w:r>
      <w:r w:rsidRPr="004D5F5F">
        <w:rPr>
          <w:szCs w:val="24"/>
        </w:rPr>
        <w:t>s proposal.</w:t>
      </w:r>
      <w:r>
        <w:rPr>
          <w:rStyle w:val="FootnoteReference"/>
          <w:szCs w:val="24"/>
        </w:rPr>
        <w:footnoteReference w:id="6"/>
      </w:r>
      <w:r w:rsidRPr="004D5F5F">
        <w:rPr>
          <w:szCs w:val="24"/>
        </w:rPr>
        <w:t xml:space="preserve"> FirstEnergy supports its proposal based on demand forecasts.</w:t>
      </w:r>
      <w:r>
        <w:rPr>
          <w:rStyle w:val="FootnoteReference"/>
          <w:szCs w:val="24"/>
        </w:rPr>
        <w:footnoteReference w:id="7"/>
      </w:r>
    </w:p>
    <w:p w:rsidR="00E43371" w:rsidRPr="004D5F5F" w:rsidP="00BA0691" w14:paraId="45EE62D7" w14:textId="3282B92D">
      <w:pPr>
        <w:spacing w:line="480" w:lineRule="auto"/>
        <w:ind w:firstLine="720"/>
        <w:rPr>
          <w:szCs w:val="24"/>
        </w:rPr>
      </w:pPr>
      <w:r w:rsidRPr="004D5F5F">
        <w:rPr>
          <w:szCs w:val="24"/>
        </w:rPr>
        <w:t>Under the pilot program the PUCO approved under FirstEnergy</w:t>
      </w:r>
      <w:r w:rsidR="004D5F5F">
        <w:rPr>
          <w:szCs w:val="24"/>
        </w:rPr>
        <w:t>’</w:t>
      </w:r>
      <w:r w:rsidRPr="004D5F5F">
        <w:rPr>
          <w:szCs w:val="24"/>
        </w:rPr>
        <w:t xml:space="preserve">s last electric security plan, certain eligible business customers avoid paying </w:t>
      </w:r>
      <w:r w:rsidRPr="004D5F5F" w:rsidR="00A82AB6">
        <w:rPr>
          <w:szCs w:val="24"/>
        </w:rPr>
        <w:t xml:space="preserve">the Rider NMB charges </w:t>
      </w:r>
      <w:r w:rsidRPr="004D5F5F">
        <w:rPr>
          <w:szCs w:val="24"/>
        </w:rPr>
        <w:t>for transmission</w:t>
      </w:r>
      <w:r w:rsidRPr="004D5F5F" w:rsidR="00A82AB6">
        <w:rPr>
          <w:szCs w:val="24"/>
        </w:rPr>
        <w:t>.</w:t>
      </w:r>
      <w:r w:rsidRPr="004D5F5F">
        <w:rPr>
          <w:szCs w:val="24"/>
        </w:rPr>
        <w:t xml:space="preserve"> Regardless of its dubious origin, the PUCO should end the s</w:t>
      </w:r>
      <w:r w:rsidRPr="004D5F5F" w:rsidR="00F44C3D">
        <w:rPr>
          <w:szCs w:val="24"/>
        </w:rPr>
        <w:t>even</w:t>
      </w:r>
      <w:r w:rsidRPr="004D5F5F">
        <w:rPr>
          <w:szCs w:val="24"/>
        </w:rPr>
        <w:t>-year pilot because of the cost shifting that is occurring.</w:t>
      </w:r>
      <w:r w:rsidR="004D5F5F">
        <w:rPr>
          <w:szCs w:val="24"/>
        </w:rPr>
        <w:t xml:space="preserve"> </w:t>
      </w:r>
      <w:r w:rsidRPr="004D5F5F">
        <w:rPr>
          <w:szCs w:val="24"/>
        </w:rPr>
        <w:t>In this regard the PUCO-approved auditor in Case No.</w:t>
      </w:r>
      <w:r w:rsidRPr="004D5F5F" w:rsidR="00F44C3D">
        <w:rPr>
          <w:szCs w:val="24"/>
        </w:rPr>
        <w:t xml:space="preserve"> 22-391-EL-RDR</w:t>
      </w:r>
      <w:r w:rsidRPr="004D5F5F">
        <w:rPr>
          <w:szCs w:val="24"/>
        </w:rPr>
        <w:t xml:space="preserve"> determined that FirstEnergy</w:t>
      </w:r>
      <w:r w:rsidR="004D5F5F">
        <w:rPr>
          <w:szCs w:val="24"/>
        </w:rPr>
        <w:t>’</w:t>
      </w:r>
      <w:r w:rsidRPr="004D5F5F">
        <w:rPr>
          <w:szCs w:val="24"/>
        </w:rPr>
        <w:t xml:space="preserve">s pilot program shifts </w:t>
      </w:r>
      <w:r w:rsidRPr="004D5F5F">
        <w:rPr>
          <w:i/>
          <w:iCs/>
          <w:szCs w:val="24"/>
        </w:rPr>
        <w:t>over a million dollars</w:t>
      </w:r>
      <w:r w:rsidRPr="004D5F5F">
        <w:rPr>
          <w:szCs w:val="24"/>
        </w:rPr>
        <w:t xml:space="preserve"> per year to residential consumers who have </w:t>
      </w:r>
      <w:r w:rsidRPr="004D5F5F">
        <w:rPr>
          <w:i/>
          <w:iCs/>
          <w:szCs w:val="24"/>
        </w:rPr>
        <w:t>no choice</w:t>
      </w:r>
      <w:r w:rsidRPr="004D5F5F">
        <w:rPr>
          <w:szCs w:val="24"/>
        </w:rPr>
        <w:t xml:space="preserve"> but to pay Rider NMB rates.</w:t>
      </w:r>
      <w:r>
        <w:rPr>
          <w:rStyle w:val="FootnoteReference"/>
          <w:szCs w:val="24"/>
        </w:rPr>
        <w:footnoteReference w:id="8"/>
      </w:r>
      <w:r w:rsidRPr="004D5F5F">
        <w:rPr>
          <w:szCs w:val="24"/>
        </w:rPr>
        <w:t xml:space="preserve"> </w:t>
      </w:r>
      <w:r w:rsidRPr="004D5F5F" w:rsidR="00A82AB6">
        <w:rPr>
          <w:szCs w:val="24"/>
        </w:rPr>
        <w:t>That is unfair, unjust and unreasonable.</w:t>
      </w:r>
      <w:r w:rsidRPr="004D5F5F">
        <w:rPr>
          <w:szCs w:val="24"/>
        </w:rPr>
        <w:t xml:space="preserve"> Rider NMB should end. </w:t>
      </w:r>
    </w:p>
    <w:p w:rsidR="00007B2C" w:rsidRPr="004D5F5F" w:rsidP="00007B2C" w14:paraId="7B6928BF" w14:textId="114259DF">
      <w:pPr>
        <w:spacing w:line="480" w:lineRule="auto"/>
        <w:ind w:firstLine="720"/>
        <w:rPr>
          <w:szCs w:val="24"/>
        </w:rPr>
      </w:pPr>
      <w:r w:rsidRPr="004D5F5F">
        <w:rPr>
          <w:szCs w:val="24"/>
        </w:rPr>
        <w:t>When the Rider NMB pilot program was approved as part of FirstEnergy</w:t>
      </w:r>
      <w:r w:rsidR="004D5F5F">
        <w:rPr>
          <w:szCs w:val="24"/>
        </w:rPr>
        <w:t>’</w:t>
      </w:r>
      <w:r w:rsidRPr="004D5F5F">
        <w:rPr>
          <w:szCs w:val="24"/>
        </w:rPr>
        <w:t>s fourth electric security plan in 2016, the PUCO ordered its Staff to conduct a review of the program to determine if the program imposes unreasonable charges on residential consumers.</w:t>
      </w:r>
      <w:r>
        <w:rPr>
          <w:rStyle w:val="FootnoteReference"/>
          <w:szCs w:val="24"/>
        </w:rPr>
        <w:footnoteReference w:id="9"/>
      </w:r>
      <w:r w:rsidRPr="004D5F5F">
        <w:rPr>
          <w:szCs w:val="24"/>
        </w:rPr>
        <w:t xml:space="preserve"> After nearly seven years with no review and other delays, the initial audit of FirstEnergy</w:t>
      </w:r>
      <w:r w:rsidR="004D5F5F">
        <w:rPr>
          <w:szCs w:val="24"/>
        </w:rPr>
        <w:t>’</w:t>
      </w:r>
      <w:r w:rsidRPr="004D5F5F">
        <w:rPr>
          <w:szCs w:val="24"/>
        </w:rPr>
        <w:t xml:space="preserve">s Rider NMB pilot program </w:t>
      </w:r>
      <w:r w:rsidRPr="004D5F5F" w:rsidR="001C62D1">
        <w:rPr>
          <w:szCs w:val="24"/>
        </w:rPr>
        <w:t>was finally comp</w:t>
      </w:r>
      <w:r w:rsidRPr="004D5F5F">
        <w:rPr>
          <w:szCs w:val="24"/>
        </w:rPr>
        <w:t>leted</w:t>
      </w:r>
      <w:r w:rsidRPr="004D5F5F" w:rsidR="00A82AB6">
        <w:rPr>
          <w:szCs w:val="24"/>
        </w:rPr>
        <w:t>.</w:t>
      </w:r>
      <w:r w:rsidR="004D5F5F">
        <w:rPr>
          <w:szCs w:val="24"/>
        </w:rPr>
        <w:t xml:space="preserve"> </w:t>
      </w:r>
      <w:r w:rsidRPr="004D5F5F" w:rsidR="00A82AB6">
        <w:rPr>
          <w:szCs w:val="24"/>
        </w:rPr>
        <w:t>As OCC feared and warned of,</w:t>
      </w:r>
      <w:r>
        <w:rPr>
          <w:rStyle w:val="FootnoteReference"/>
          <w:szCs w:val="24"/>
        </w:rPr>
        <w:footnoteReference w:id="10"/>
      </w:r>
      <w:r w:rsidR="004D5F5F">
        <w:rPr>
          <w:szCs w:val="24"/>
        </w:rPr>
        <w:t xml:space="preserve"> </w:t>
      </w:r>
      <w:r w:rsidRPr="004D5F5F" w:rsidR="00A82AB6">
        <w:rPr>
          <w:szCs w:val="24"/>
        </w:rPr>
        <w:t xml:space="preserve">the opt out of Rider NMB caused </w:t>
      </w:r>
      <w:r w:rsidRPr="004D5F5F" w:rsidR="005745FD">
        <w:rPr>
          <w:szCs w:val="24"/>
        </w:rPr>
        <w:t>cost shifting to residential consumers</w:t>
      </w:r>
      <w:r w:rsidRPr="004D5F5F" w:rsidR="00A82AB6">
        <w:rPr>
          <w:szCs w:val="24"/>
        </w:rPr>
        <w:t>.</w:t>
      </w:r>
      <w:r w:rsidRPr="004D5F5F" w:rsidR="005745FD">
        <w:rPr>
          <w:szCs w:val="24"/>
        </w:rPr>
        <w:t xml:space="preserve"> </w:t>
      </w:r>
    </w:p>
    <w:p w:rsidR="00400ED2" w:rsidRPr="004D5F5F" w:rsidP="00BA0691" w14:paraId="05E996EB" w14:textId="4748B23C">
      <w:pPr>
        <w:spacing w:line="480" w:lineRule="auto"/>
        <w:ind w:firstLine="720"/>
        <w:rPr>
          <w:szCs w:val="24"/>
        </w:rPr>
      </w:pPr>
      <w:r w:rsidRPr="004D5F5F">
        <w:rPr>
          <w:szCs w:val="24"/>
        </w:rPr>
        <w:t xml:space="preserve">The Audit Report confirmed cost shifting burdens </w:t>
      </w:r>
      <w:r w:rsidRPr="004D5F5F" w:rsidR="00A338D3">
        <w:rPr>
          <w:szCs w:val="24"/>
        </w:rPr>
        <w:t xml:space="preserve">to </w:t>
      </w:r>
      <w:r w:rsidRPr="004D5F5F">
        <w:rPr>
          <w:szCs w:val="24"/>
        </w:rPr>
        <w:t xml:space="preserve">consumers who do not participate in the Rider NMB pilot program. The Auditor found that </w:t>
      </w:r>
      <w:r w:rsidR="004D5F5F">
        <w:rPr>
          <w:szCs w:val="24"/>
        </w:rPr>
        <w:t>“</w:t>
      </w:r>
      <w:r w:rsidRPr="004D5F5F">
        <w:rPr>
          <w:szCs w:val="24"/>
        </w:rPr>
        <w:t>[t]he existence of the Pilot reveals the shortcomings of Rider NMB in allocating certain PJM costs to non-participating customers based on the principle of cost causation.</w:t>
      </w:r>
      <w:r w:rsidR="004D5F5F">
        <w:rPr>
          <w:szCs w:val="24"/>
        </w:rPr>
        <w:t>”</w:t>
      </w:r>
      <w:r>
        <w:rPr>
          <w:rStyle w:val="FootnoteReference"/>
          <w:szCs w:val="24"/>
        </w:rPr>
        <w:footnoteReference w:id="11"/>
      </w:r>
      <w:r w:rsidRPr="004D5F5F">
        <w:rPr>
          <w:szCs w:val="24"/>
        </w:rPr>
        <w:t xml:space="preserve"> The Auditor identified cost shifts as occurring due to the structure of Rider NMB. According to the Auditor, </w:t>
      </w:r>
      <w:r w:rsidR="004D5F5F">
        <w:rPr>
          <w:szCs w:val="24"/>
        </w:rPr>
        <w:t>“</w:t>
      </w:r>
      <w:r w:rsidRPr="004D5F5F">
        <w:rPr>
          <w:szCs w:val="24"/>
        </w:rPr>
        <w:t xml:space="preserve">[s]ome, but not all, of the avoided transmission costs for the Pilot Program </w:t>
      </w:r>
      <w:r w:rsidR="006E35ED">
        <w:rPr>
          <w:szCs w:val="24"/>
        </w:rPr>
        <w:t>. . .</w:t>
      </w:r>
      <w:r w:rsidRPr="004D5F5F" w:rsidR="005510A8">
        <w:rPr>
          <w:szCs w:val="24"/>
        </w:rPr>
        <w:t xml:space="preserve"> </w:t>
      </w:r>
      <w:r w:rsidRPr="004D5F5F">
        <w:rPr>
          <w:szCs w:val="24"/>
        </w:rPr>
        <w:t>are shifted to the Companies</w:t>
      </w:r>
      <w:r w:rsidR="004D5F5F">
        <w:rPr>
          <w:szCs w:val="24"/>
        </w:rPr>
        <w:t>’</w:t>
      </w:r>
      <w:r w:rsidRPr="004D5F5F">
        <w:rPr>
          <w:szCs w:val="24"/>
        </w:rPr>
        <w:t xml:space="preserve"> non-participating customers under Rider NMB. The remainder of the transmission cost shift is borne by other loads in the ATSI zone that are not customers of the Companies.</w:t>
      </w:r>
      <w:r w:rsidR="004D5F5F">
        <w:rPr>
          <w:szCs w:val="24"/>
        </w:rPr>
        <w:t>”</w:t>
      </w:r>
    </w:p>
    <w:p w:rsidR="00400ED2" w:rsidRPr="004D5F5F" w:rsidP="00400ED2" w14:paraId="6D4F6F83" w14:textId="00056FBB">
      <w:pPr>
        <w:spacing w:line="480" w:lineRule="auto"/>
        <w:ind w:firstLine="720"/>
        <w:rPr>
          <w:szCs w:val="24"/>
        </w:rPr>
      </w:pPr>
      <w:r w:rsidRPr="004D5F5F">
        <w:rPr>
          <w:szCs w:val="24"/>
        </w:rPr>
        <w:t xml:space="preserve">The Auditor further concluded that </w:t>
      </w:r>
      <w:r w:rsidR="004D5F5F">
        <w:rPr>
          <w:szCs w:val="24"/>
        </w:rPr>
        <w:t>“</w:t>
      </w:r>
      <w:r w:rsidRPr="004D5F5F">
        <w:rPr>
          <w:szCs w:val="24"/>
        </w:rPr>
        <w:t>signals from the Pilot are too small and inconsistent to induce the [] long-term impact</w:t>
      </w:r>
      <w:r w:rsidR="004D5F5F">
        <w:rPr>
          <w:szCs w:val="24"/>
        </w:rPr>
        <w:t>”</w:t>
      </w:r>
      <w:r w:rsidRPr="004D5F5F">
        <w:rPr>
          <w:szCs w:val="24"/>
        </w:rPr>
        <w:t xml:space="preserve"> by deferring or eliminating transmission expansion needs in order to reduce transmission revenue requirements.</w:t>
      </w:r>
      <w:r>
        <w:rPr>
          <w:rStyle w:val="FootnoteReference"/>
          <w:szCs w:val="24"/>
        </w:rPr>
        <w:footnoteReference w:id="12"/>
      </w:r>
      <w:r w:rsidRPr="004D5F5F">
        <w:rPr>
          <w:szCs w:val="24"/>
        </w:rPr>
        <w:t xml:space="preserve"> The Auditor also concluded that the pilot program is </w:t>
      </w:r>
      <w:r w:rsidR="004D5F5F">
        <w:rPr>
          <w:szCs w:val="24"/>
        </w:rPr>
        <w:t>“</w:t>
      </w:r>
      <w:r w:rsidRPr="004D5F5F">
        <w:rPr>
          <w:szCs w:val="24"/>
        </w:rPr>
        <w:t>unlikely to provide direct reliability benefits</w:t>
      </w:r>
      <w:r w:rsidR="004D5F5F">
        <w:rPr>
          <w:szCs w:val="24"/>
        </w:rPr>
        <w:t>”</w:t>
      </w:r>
      <w:r w:rsidRPr="004D5F5F">
        <w:rPr>
          <w:szCs w:val="24"/>
        </w:rPr>
        <w:t xml:space="preserve"> and that the pilot program </w:t>
      </w:r>
      <w:r w:rsidR="004D5F5F">
        <w:rPr>
          <w:szCs w:val="24"/>
        </w:rPr>
        <w:t>“</w:t>
      </w:r>
      <w:r w:rsidRPr="004D5F5F">
        <w:rPr>
          <w:szCs w:val="24"/>
        </w:rPr>
        <w:t>does not resolve the typical causes of grid stress.</w:t>
      </w:r>
      <w:r w:rsidR="004D5F5F">
        <w:rPr>
          <w:szCs w:val="24"/>
        </w:rPr>
        <w:t>”</w:t>
      </w:r>
      <w:r>
        <w:rPr>
          <w:rStyle w:val="FootnoteReference"/>
          <w:szCs w:val="24"/>
        </w:rPr>
        <w:footnoteReference w:id="13"/>
      </w:r>
      <w:r w:rsidRPr="004D5F5F">
        <w:rPr>
          <w:szCs w:val="24"/>
        </w:rPr>
        <w:t xml:space="preserve"> </w:t>
      </w:r>
    </w:p>
    <w:p w:rsidR="00007B2C" w:rsidRPr="004D5F5F" w:rsidP="00B53737" w14:paraId="0C4D195B" w14:textId="56E04CCD">
      <w:pPr>
        <w:spacing w:line="480" w:lineRule="auto"/>
        <w:ind w:firstLine="720"/>
        <w:rPr>
          <w:szCs w:val="24"/>
        </w:rPr>
      </w:pPr>
      <w:r w:rsidRPr="004D5F5F">
        <w:rPr>
          <w:szCs w:val="24"/>
        </w:rPr>
        <w:t xml:space="preserve">OCC </w:t>
      </w:r>
      <w:r w:rsidRPr="004D5F5F">
        <w:rPr>
          <w:color w:val="1F1F1F"/>
          <w:szCs w:val="24"/>
        </w:rPr>
        <w:t>supports the Auditor</w:t>
      </w:r>
      <w:r w:rsidR="004D5F5F">
        <w:rPr>
          <w:color w:val="1F1F1F"/>
          <w:szCs w:val="24"/>
        </w:rPr>
        <w:t>’</w:t>
      </w:r>
      <w:r w:rsidRPr="004D5F5F">
        <w:rPr>
          <w:color w:val="1F1F1F"/>
          <w:szCs w:val="24"/>
        </w:rPr>
        <w:t>s recommendation to eliminate Rider NMB for all customers and to assign transmission charges to retail suppliers.</w:t>
      </w:r>
      <w:r>
        <w:rPr>
          <w:rStyle w:val="FootnoteReference"/>
          <w:color w:val="1F1F1F"/>
          <w:szCs w:val="24"/>
        </w:rPr>
        <w:footnoteReference w:id="14"/>
      </w:r>
      <w:r w:rsidRPr="004D5F5F">
        <w:rPr>
          <w:color w:val="1F1F1F"/>
          <w:szCs w:val="24"/>
        </w:rPr>
        <w:t xml:space="preserve"> </w:t>
      </w:r>
      <w:r w:rsidRPr="004D5F5F">
        <w:rPr>
          <w:szCs w:val="24"/>
        </w:rPr>
        <w:t xml:space="preserve">The PUCO should protect consumers who cannot participate in the Rider NMB pilot program from inappropriate cost shifting. </w:t>
      </w:r>
    </w:p>
    <w:p w:rsidR="00BA0691" w:rsidRPr="004D5F5F" w:rsidP="00BA0691" w14:paraId="0B549670" w14:textId="19F296A5">
      <w:pPr>
        <w:spacing w:line="480" w:lineRule="auto"/>
        <w:ind w:firstLine="720"/>
        <w:rPr>
          <w:szCs w:val="24"/>
        </w:rPr>
      </w:pPr>
      <w:r w:rsidRPr="004D5F5F">
        <w:rPr>
          <w:szCs w:val="24"/>
        </w:rPr>
        <w:t>While cost shifting is a good reason to end Rider NMB and the opt out program for business customers, there is more reason to put an end to it all.</w:t>
      </w:r>
      <w:r w:rsidR="004D5F5F">
        <w:rPr>
          <w:szCs w:val="24"/>
        </w:rPr>
        <w:t xml:space="preserve"> </w:t>
      </w:r>
      <w:r w:rsidRPr="004D5F5F">
        <w:rPr>
          <w:szCs w:val="24"/>
        </w:rPr>
        <w:t>The rider opt out came from FirstEnergy</w:t>
      </w:r>
      <w:r w:rsidR="004D5F5F">
        <w:rPr>
          <w:szCs w:val="24"/>
        </w:rPr>
        <w:t>’</w:t>
      </w:r>
      <w:r w:rsidRPr="004D5F5F">
        <w:rPr>
          <w:szCs w:val="24"/>
        </w:rPr>
        <w:t>s 2016 electric security plan where the PUCO found evidence  that</w:t>
      </w:r>
      <w:r w:rsidR="004D5F5F">
        <w:rPr>
          <w:szCs w:val="24"/>
        </w:rPr>
        <w:t xml:space="preserve"> “</w:t>
      </w:r>
      <w:r w:rsidRPr="004D5F5F" w:rsidR="00CF648E">
        <w:rPr>
          <w:szCs w:val="24"/>
        </w:rPr>
        <w:t>there is information in the docket and in the public domain which may demonstrate a potential violation of the Companies</w:t>
      </w:r>
      <w:r w:rsidR="004D5F5F">
        <w:rPr>
          <w:szCs w:val="24"/>
        </w:rPr>
        <w:t>’</w:t>
      </w:r>
      <w:r w:rsidRPr="004D5F5F" w:rsidR="00CF648E">
        <w:rPr>
          <w:szCs w:val="24"/>
        </w:rPr>
        <w:t xml:space="preserve"> obligation to disclose a </w:t>
      </w:r>
      <w:r w:rsidR="004D5F5F">
        <w:rPr>
          <w:szCs w:val="24"/>
        </w:rPr>
        <w:t>‘</w:t>
      </w:r>
      <w:r w:rsidRPr="004D5F5F" w:rsidR="00CF648E">
        <w:rPr>
          <w:szCs w:val="24"/>
        </w:rPr>
        <w:t>side agreement</w:t>
      </w:r>
      <w:r w:rsidR="004D5F5F">
        <w:rPr>
          <w:szCs w:val="24"/>
        </w:rPr>
        <w:t>’</w:t>
      </w:r>
      <w:r w:rsidRPr="004D5F5F" w:rsidR="00CF648E">
        <w:rPr>
          <w:szCs w:val="24"/>
        </w:rPr>
        <w:t xml:space="preserve"> during the </w:t>
      </w:r>
      <w:r w:rsidRPr="004D5F5F" w:rsidR="00CF648E">
        <w:rPr>
          <w:i/>
          <w:iCs/>
          <w:szCs w:val="24"/>
        </w:rPr>
        <w:t>ESP IV Case</w:t>
      </w:r>
      <w:r w:rsidR="004D5F5F">
        <w:rPr>
          <w:szCs w:val="24"/>
        </w:rPr>
        <w:t>”</w:t>
      </w:r>
      <w:r w:rsidRPr="004D5F5F" w:rsidR="00CF648E">
        <w:rPr>
          <w:szCs w:val="24"/>
        </w:rPr>
        <w:t xml:space="preserve"> and that </w:t>
      </w:r>
      <w:r w:rsidR="004D5F5F">
        <w:rPr>
          <w:szCs w:val="24"/>
        </w:rPr>
        <w:t>“</w:t>
      </w:r>
      <w:r w:rsidRPr="004D5F5F" w:rsidR="00CF648E">
        <w:rPr>
          <w:szCs w:val="24"/>
        </w:rPr>
        <w:t>(t)he Commission is aware that records of communications and other documents from the Companies provide additional corroboration that there was a side agreement between the Companies and parties to this proceeding.</w:t>
      </w:r>
      <w:r w:rsidR="004D5F5F">
        <w:rPr>
          <w:szCs w:val="24"/>
        </w:rPr>
        <w:t>”</w:t>
      </w:r>
      <w:r w:rsidRPr="004D5F5F" w:rsidR="00CF648E">
        <w:rPr>
          <w:rStyle w:val="FootnoteReference"/>
          <w:szCs w:val="24"/>
        </w:rPr>
        <w:t xml:space="preserve"> </w:t>
      </w:r>
      <w:r>
        <w:rPr>
          <w:rStyle w:val="FootnoteReference"/>
          <w:szCs w:val="24"/>
        </w:rPr>
        <w:footnoteReference w:id="15"/>
      </w:r>
      <w:r w:rsidRPr="004D5F5F">
        <w:rPr>
          <w:szCs w:val="24"/>
        </w:rPr>
        <w:t xml:space="preserve"> The PUCO has put a hold on its side deal investigation</w:t>
      </w:r>
      <w:r>
        <w:rPr>
          <w:rStyle w:val="FootnoteReference"/>
          <w:szCs w:val="24"/>
        </w:rPr>
        <w:footnoteReference w:id="16"/>
      </w:r>
      <w:r w:rsidRPr="004D5F5F">
        <w:rPr>
          <w:szCs w:val="24"/>
        </w:rPr>
        <w:t xml:space="preserve"> yet opt-out is in full swing. With the indictment of the former PUCO </w:t>
      </w:r>
      <w:r w:rsidR="00146278">
        <w:rPr>
          <w:szCs w:val="24"/>
        </w:rPr>
        <w:t>C</w:t>
      </w:r>
      <w:r w:rsidRPr="004D5F5F">
        <w:rPr>
          <w:szCs w:val="24"/>
        </w:rPr>
        <w:t>hair on both state and federal charges,</w:t>
      </w:r>
      <w:r>
        <w:rPr>
          <w:rStyle w:val="FootnoteReference"/>
          <w:szCs w:val="24"/>
        </w:rPr>
        <w:footnoteReference w:id="17"/>
      </w:r>
      <w:r w:rsidRPr="004D5F5F">
        <w:rPr>
          <w:szCs w:val="24"/>
        </w:rPr>
        <w:t xml:space="preserve"> the alleged side dealing between FirstEnergy and </w:t>
      </w:r>
      <w:r w:rsidR="00325D7C">
        <w:rPr>
          <w:szCs w:val="24"/>
        </w:rPr>
        <w:t xml:space="preserve">the </w:t>
      </w:r>
      <w:r w:rsidRPr="004D5F5F">
        <w:rPr>
          <w:szCs w:val="24"/>
        </w:rPr>
        <w:t>former PUCO Chair squarely calls into question whether the opt out should end.</w:t>
      </w:r>
      <w:r w:rsidR="004D5F5F">
        <w:rPr>
          <w:szCs w:val="24"/>
        </w:rPr>
        <w:t xml:space="preserve"> </w:t>
      </w:r>
      <w:r w:rsidRPr="004D5F5F">
        <w:rPr>
          <w:szCs w:val="24"/>
        </w:rPr>
        <w:t xml:space="preserve">It should. </w:t>
      </w:r>
    </w:p>
    <w:p w:rsidR="00400ED2" w:rsidRPr="004D5F5F" w:rsidP="005745FD" w14:paraId="4FB80918" w14:textId="76D7D16B">
      <w:pPr>
        <w:spacing w:line="480" w:lineRule="auto"/>
        <w:ind w:firstLine="720"/>
        <w:rPr>
          <w:szCs w:val="24"/>
        </w:rPr>
      </w:pPr>
      <w:r w:rsidRPr="004D5F5F">
        <w:rPr>
          <w:szCs w:val="24"/>
        </w:rPr>
        <w:t>T</w:t>
      </w:r>
      <w:r w:rsidRPr="004D5F5F">
        <w:rPr>
          <w:szCs w:val="24"/>
        </w:rPr>
        <w:t>he rates that residential consumers pay under FirstEnergy</w:t>
      </w:r>
      <w:r w:rsidR="004D5F5F">
        <w:rPr>
          <w:szCs w:val="24"/>
        </w:rPr>
        <w:t>’</w:t>
      </w:r>
      <w:r w:rsidRPr="004D5F5F">
        <w:rPr>
          <w:szCs w:val="24"/>
        </w:rPr>
        <w:t>s Rider NMB ar</w:t>
      </w:r>
      <w:r w:rsidRPr="004D5F5F" w:rsidR="00A05802">
        <w:rPr>
          <w:szCs w:val="24"/>
        </w:rPr>
        <w:t>e a</w:t>
      </w:r>
      <w:r w:rsidRPr="004D5F5F">
        <w:rPr>
          <w:szCs w:val="24"/>
        </w:rPr>
        <w:t xml:space="preserve"> product of the Rider NMB pilot program, which allows </w:t>
      </w:r>
      <w:r w:rsidRPr="004D5F5F">
        <w:rPr>
          <w:szCs w:val="24"/>
        </w:rPr>
        <w:t xml:space="preserve">certain non-residential </w:t>
      </w:r>
      <w:r w:rsidRPr="004D5F5F">
        <w:rPr>
          <w:szCs w:val="24"/>
        </w:rPr>
        <w:t xml:space="preserve">consumers to opt out of paying Rider NMB rates. </w:t>
      </w:r>
      <w:r w:rsidRPr="004D5F5F">
        <w:rPr>
          <w:szCs w:val="24"/>
        </w:rPr>
        <w:t xml:space="preserve">We know now, through the work of the PUCO-approved auditor, </w:t>
      </w:r>
      <w:r w:rsidRPr="004D5F5F" w:rsidR="00150F22">
        <w:rPr>
          <w:szCs w:val="24"/>
        </w:rPr>
        <w:t xml:space="preserve">that allowing </w:t>
      </w:r>
      <w:r w:rsidRPr="004D5F5F">
        <w:rPr>
          <w:szCs w:val="24"/>
        </w:rPr>
        <w:t xml:space="preserve">non-residential consumers to opt out </w:t>
      </w:r>
      <w:r w:rsidRPr="004D5F5F">
        <w:rPr>
          <w:szCs w:val="24"/>
        </w:rPr>
        <w:t>of</w:t>
      </w:r>
      <w:r w:rsidRPr="004D5F5F">
        <w:rPr>
          <w:szCs w:val="24"/>
        </w:rPr>
        <w:t xml:space="preserve"> Rider NMB</w:t>
      </w:r>
      <w:r w:rsidRPr="004D5F5F" w:rsidR="00150F22">
        <w:rPr>
          <w:szCs w:val="24"/>
        </w:rPr>
        <w:t xml:space="preserve"> has shifted </w:t>
      </w:r>
      <w:r w:rsidRPr="004D5F5F" w:rsidR="00667947">
        <w:rPr>
          <w:szCs w:val="24"/>
        </w:rPr>
        <w:t>costs</w:t>
      </w:r>
      <w:r w:rsidRPr="004D5F5F">
        <w:rPr>
          <w:szCs w:val="24"/>
        </w:rPr>
        <w:t xml:space="preserve"> to residential consumers</w:t>
      </w:r>
      <w:r w:rsidRPr="004D5F5F">
        <w:rPr>
          <w:szCs w:val="24"/>
        </w:rPr>
        <w:t>.</w:t>
      </w:r>
      <w:r w:rsidR="004D5F5F">
        <w:rPr>
          <w:szCs w:val="24"/>
        </w:rPr>
        <w:t xml:space="preserve"> </w:t>
      </w:r>
      <w:r w:rsidRPr="004D5F5F" w:rsidR="00A82AB6">
        <w:rPr>
          <w:szCs w:val="24"/>
        </w:rPr>
        <w:t xml:space="preserve">The cost shifting to </w:t>
      </w:r>
      <w:r w:rsidRPr="004D5F5F" w:rsidR="00A05802">
        <w:rPr>
          <w:szCs w:val="24"/>
        </w:rPr>
        <w:t>residential</w:t>
      </w:r>
      <w:r w:rsidRPr="004D5F5F" w:rsidR="00A82AB6">
        <w:rPr>
          <w:szCs w:val="24"/>
        </w:rPr>
        <w:t xml:space="preserve"> consumers should stop.</w:t>
      </w:r>
      <w:r w:rsidR="004D5F5F">
        <w:rPr>
          <w:szCs w:val="24"/>
        </w:rPr>
        <w:t xml:space="preserve"> </w:t>
      </w:r>
      <w:r w:rsidRPr="004D5F5F" w:rsidR="00A82AB6">
        <w:rPr>
          <w:szCs w:val="24"/>
        </w:rPr>
        <w:t xml:space="preserve">The </w:t>
      </w:r>
      <w:r w:rsidRPr="004D5F5F" w:rsidR="00150F22">
        <w:rPr>
          <w:szCs w:val="24"/>
        </w:rPr>
        <w:t xml:space="preserve">PUCO should end Rider NMB </w:t>
      </w:r>
      <w:r w:rsidRPr="004D5F5F" w:rsidR="00667947">
        <w:rPr>
          <w:szCs w:val="24"/>
        </w:rPr>
        <w:t xml:space="preserve">and the </w:t>
      </w:r>
      <w:r w:rsidRPr="004D5F5F" w:rsidR="00150F22">
        <w:rPr>
          <w:szCs w:val="24"/>
        </w:rPr>
        <w:t>pilot program.</w:t>
      </w:r>
      <w:r w:rsidR="004D5F5F">
        <w:rPr>
          <w:szCs w:val="24"/>
        </w:rPr>
        <w:t xml:space="preserve"> </w:t>
      </w:r>
      <w:r w:rsidRPr="004D5F5F" w:rsidR="00A82AB6">
        <w:rPr>
          <w:szCs w:val="24"/>
        </w:rPr>
        <w:t>Instead, the transmission charges should be assigned to retail suppliers.</w:t>
      </w:r>
      <w:r w:rsidR="004D5F5F">
        <w:rPr>
          <w:szCs w:val="24"/>
        </w:rPr>
        <w:t xml:space="preserve"> </w:t>
      </w:r>
    </w:p>
    <w:p w:rsidR="00083B58" w:rsidRPr="004D5F5F" w:rsidP="00083B58" w14:paraId="04046390" w14:textId="77777777">
      <w:pPr>
        <w:ind w:firstLine="720"/>
        <w:rPr>
          <w:szCs w:val="24"/>
        </w:rPr>
      </w:pPr>
    </w:p>
    <w:p w:rsidR="00656877" w:rsidRPr="004D5F5F" w:rsidP="00083B58" w14:paraId="4E00CAA9" w14:textId="2BBC59FF">
      <w:pPr>
        <w:pStyle w:val="Heading1"/>
      </w:pPr>
      <w:bookmarkStart w:id="0" w:name="_Toc93504276"/>
      <w:r w:rsidRPr="004D5F5F">
        <w:t>CONCLUSION</w:t>
      </w:r>
      <w:bookmarkEnd w:id="0"/>
    </w:p>
    <w:p w:rsidR="00440E51" w:rsidRPr="004D5F5F" w:rsidP="00980F62" w14:paraId="0EFA0AF1" w14:textId="0A89EF04">
      <w:pPr>
        <w:spacing w:line="480" w:lineRule="auto"/>
        <w:ind w:firstLine="720"/>
        <w:rPr>
          <w:b/>
          <w:bCs/>
          <w:szCs w:val="24"/>
        </w:rPr>
      </w:pPr>
      <w:r w:rsidRPr="004D5F5F">
        <w:rPr>
          <w:szCs w:val="24"/>
        </w:rPr>
        <w:t>The PUCO should protect consumers from unjust and unreasonable charges through FirstEnergy</w:t>
      </w:r>
      <w:r w:rsidR="004D5F5F">
        <w:rPr>
          <w:szCs w:val="24"/>
        </w:rPr>
        <w:t>’</w:t>
      </w:r>
      <w:r w:rsidRPr="004D5F5F">
        <w:rPr>
          <w:szCs w:val="24"/>
        </w:rPr>
        <w:t>s NMB rates. Consistent with OCC</w:t>
      </w:r>
      <w:r w:rsidR="004D5F5F">
        <w:rPr>
          <w:szCs w:val="24"/>
        </w:rPr>
        <w:t>’</w:t>
      </w:r>
      <w:r w:rsidRPr="004D5F5F">
        <w:rPr>
          <w:szCs w:val="24"/>
        </w:rPr>
        <w:t xml:space="preserve">s recommendations, the PUCO should </w:t>
      </w:r>
      <w:r w:rsidRPr="004D5F5F" w:rsidR="00475E06">
        <w:rPr>
          <w:szCs w:val="24"/>
        </w:rPr>
        <w:t>end Rider NMB</w:t>
      </w:r>
      <w:r w:rsidRPr="004D5F5F" w:rsidR="00980F62">
        <w:rPr>
          <w:szCs w:val="24"/>
        </w:rPr>
        <w:t xml:space="preserve"> and the pilot program</w:t>
      </w:r>
      <w:r w:rsidRPr="004D5F5F" w:rsidR="00475E06">
        <w:rPr>
          <w:szCs w:val="24"/>
        </w:rPr>
        <w:t xml:space="preserve"> </w:t>
      </w:r>
      <w:r w:rsidRPr="004D5F5F" w:rsidR="00980F62">
        <w:rPr>
          <w:szCs w:val="24"/>
        </w:rPr>
        <w:t>a</w:t>
      </w:r>
      <w:r w:rsidRPr="004D5F5F" w:rsidR="00475E06">
        <w:rPr>
          <w:szCs w:val="24"/>
        </w:rPr>
        <w:t xml:space="preserve">nd stop </w:t>
      </w:r>
      <w:r w:rsidRPr="004D5F5F">
        <w:rPr>
          <w:szCs w:val="24"/>
        </w:rPr>
        <w:t xml:space="preserve">the </w:t>
      </w:r>
      <w:r w:rsidRPr="004D5F5F" w:rsidR="00475E06">
        <w:rPr>
          <w:szCs w:val="24"/>
        </w:rPr>
        <w:t>increased cost</w:t>
      </w:r>
      <w:r w:rsidRPr="004D5F5F" w:rsidR="00980F62">
        <w:rPr>
          <w:szCs w:val="24"/>
        </w:rPr>
        <w:t>s</w:t>
      </w:r>
      <w:r w:rsidRPr="004D5F5F" w:rsidR="00475E06">
        <w:rPr>
          <w:szCs w:val="24"/>
        </w:rPr>
        <w:t xml:space="preserve"> that </w:t>
      </w:r>
      <w:r w:rsidRPr="004D5F5F">
        <w:rPr>
          <w:szCs w:val="24"/>
        </w:rPr>
        <w:t>residential consumers pay under NMB.</w:t>
      </w:r>
      <w:r w:rsidRPr="004D5F5F" w:rsidR="00A82AB6">
        <w:rPr>
          <w:szCs w:val="24"/>
        </w:rPr>
        <w:t xml:space="preserve"> This solution would solve the cost shifting to residential consumers and would be a just result especially given the origin of the opt out and its ties to potential side dealing between the former PUCO </w:t>
      </w:r>
      <w:r w:rsidR="00146278">
        <w:rPr>
          <w:szCs w:val="24"/>
        </w:rPr>
        <w:t>C</w:t>
      </w:r>
      <w:r w:rsidRPr="004D5F5F" w:rsidR="00A82AB6">
        <w:rPr>
          <w:szCs w:val="24"/>
        </w:rPr>
        <w:t>hair and FirstEnergy.</w:t>
      </w:r>
      <w:r w:rsidR="004D5F5F">
        <w:rPr>
          <w:szCs w:val="24"/>
        </w:rPr>
        <w:t xml:space="preserve"> </w:t>
      </w:r>
    </w:p>
    <w:p w:rsidR="00104E19" w:rsidRPr="004D5F5F" w14:paraId="57452CAB" w14:textId="77777777">
      <w:pPr>
        <w:rPr>
          <w:szCs w:val="24"/>
        </w:rPr>
      </w:pPr>
      <w:r w:rsidRPr="004D5F5F">
        <w:rPr>
          <w:szCs w:val="24"/>
        </w:rPr>
        <w:br w:type="page"/>
      </w:r>
    </w:p>
    <w:p w:rsidR="00A62209" w:rsidRPr="004D5F5F" w:rsidP="00A62209" w14:paraId="5D15B614" w14:textId="4C5AED0F">
      <w:pPr>
        <w:pStyle w:val="BodyTextIndent3"/>
        <w:widowControl w:val="0"/>
        <w:spacing w:line="240" w:lineRule="auto"/>
        <w:ind w:firstLine="4320"/>
        <w:rPr>
          <w:szCs w:val="24"/>
        </w:rPr>
      </w:pPr>
      <w:r w:rsidRPr="004D5F5F">
        <w:rPr>
          <w:szCs w:val="24"/>
        </w:rPr>
        <w:t>Respectfully submitted,</w:t>
      </w:r>
    </w:p>
    <w:p w:rsidR="00A62209" w:rsidRPr="004D5F5F" w:rsidP="00A62209" w14:paraId="24F7136E" w14:textId="77777777">
      <w:pPr>
        <w:pStyle w:val="BodyTextIndent3"/>
        <w:widowControl w:val="0"/>
        <w:spacing w:line="240" w:lineRule="auto"/>
        <w:ind w:firstLine="4320"/>
        <w:rPr>
          <w:szCs w:val="24"/>
        </w:rPr>
      </w:pPr>
    </w:p>
    <w:p w:rsidR="00A62209" w:rsidRPr="004D5F5F" w:rsidP="00A62209" w14:paraId="35B12799" w14:textId="77777777">
      <w:pPr>
        <w:tabs>
          <w:tab w:val="left" w:pos="8730"/>
        </w:tabs>
        <w:ind w:left="4320"/>
        <w:rPr>
          <w:szCs w:val="24"/>
        </w:rPr>
      </w:pPr>
      <w:r w:rsidRPr="004D5F5F">
        <w:rPr>
          <w:szCs w:val="24"/>
        </w:rPr>
        <w:t xml:space="preserve">Maureen R. Willis (0020847) </w:t>
      </w:r>
    </w:p>
    <w:p w:rsidR="00A62209" w:rsidRPr="004D5F5F" w:rsidP="00A62209" w14:paraId="6848DABE" w14:textId="79B72431">
      <w:pPr>
        <w:tabs>
          <w:tab w:val="left" w:pos="8730"/>
        </w:tabs>
        <w:ind w:left="4320"/>
        <w:rPr>
          <w:szCs w:val="24"/>
        </w:rPr>
      </w:pPr>
      <w:r w:rsidRPr="004D5F5F">
        <w:rPr>
          <w:szCs w:val="24"/>
        </w:rPr>
        <w:t>Ohio Consumers</w:t>
      </w:r>
      <w:r w:rsidR="004D5F5F">
        <w:rPr>
          <w:szCs w:val="24"/>
        </w:rPr>
        <w:t>’</w:t>
      </w:r>
      <w:r w:rsidRPr="004D5F5F">
        <w:rPr>
          <w:szCs w:val="24"/>
        </w:rPr>
        <w:t xml:space="preserve"> Counsel</w:t>
      </w:r>
    </w:p>
    <w:p w:rsidR="00A62209" w:rsidRPr="004D5F5F" w:rsidP="00A62209" w14:paraId="4DFC93C6" w14:textId="77777777">
      <w:pPr>
        <w:tabs>
          <w:tab w:val="left" w:pos="8730"/>
        </w:tabs>
        <w:ind w:left="4320"/>
        <w:rPr>
          <w:szCs w:val="24"/>
        </w:rPr>
      </w:pPr>
    </w:p>
    <w:p w:rsidR="00A62209" w:rsidRPr="004D5F5F" w:rsidP="00A62209" w14:paraId="6DBDEA38" w14:textId="77777777">
      <w:pPr>
        <w:tabs>
          <w:tab w:val="left" w:pos="8730"/>
        </w:tabs>
        <w:ind w:left="4320"/>
        <w:rPr>
          <w:szCs w:val="24"/>
        </w:rPr>
      </w:pPr>
      <w:r w:rsidRPr="004D5F5F">
        <w:rPr>
          <w:i/>
          <w:szCs w:val="24"/>
          <w:u w:val="single"/>
        </w:rPr>
        <w:t>/s/ William J. Michael</w:t>
      </w:r>
      <w:r w:rsidRPr="004D5F5F">
        <w:rPr>
          <w:i/>
          <w:szCs w:val="24"/>
        </w:rPr>
        <w:br/>
      </w:r>
      <w:r w:rsidRPr="004D5F5F">
        <w:rPr>
          <w:szCs w:val="24"/>
        </w:rPr>
        <w:t xml:space="preserve">William J. Michael (0070921) </w:t>
      </w:r>
      <w:r w:rsidRPr="004D5F5F">
        <w:rPr>
          <w:szCs w:val="24"/>
        </w:rPr>
        <w:br/>
        <w:t>Counsel of Record</w:t>
      </w:r>
      <w:r w:rsidRPr="004D5F5F">
        <w:rPr>
          <w:szCs w:val="24"/>
        </w:rPr>
        <w:br/>
        <w:t>Donald J. Kral (0042091)</w:t>
      </w:r>
    </w:p>
    <w:p w:rsidR="00A62209" w:rsidRPr="004D5F5F" w:rsidP="00A62209" w14:paraId="29CF57A3" w14:textId="152E7EBC">
      <w:pPr>
        <w:tabs>
          <w:tab w:val="left" w:pos="8730"/>
        </w:tabs>
        <w:ind w:left="4320"/>
        <w:rPr>
          <w:szCs w:val="24"/>
        </w:rPr>
      </w:pPr>
      <w:r w:rsidRPr="004D5F5F">
        <w:rPr>
          <w:szCs w:val="24"/>
        </w:rPr>
        <w:t>Assistant Consumers</w:t>
      </w:r>
      <w:r w:rsidR="004D5F5F">
        <w:rPr>
          <w:szCs w:val="24"/>
        </w:rPr>
        <w:t>’</w:t>
      </w:r>
      <w:r w:rsidRPr="004D5F5F">
        <w:rPr>
          <w:szCs w:val="24"/>
        </w:rPr>
        <w:t xml:space="preserve"> Counsel</w:t>
      </w:r>
    </w:p>
    <w:p w:rsidR="00A62209" w:rsidRPr="004D5F5F" w:rsidP="00A62209" w14:paraId="1261D445" w14:textId="77777777">
      <w:pPr>
        <w:tabs>
          <w:tab w:val="left" w:pos="8730"/>
        </w:tabs>
        <w:ind w:left="4320"/>
        <w:rPr>
          <w:szCs w:val="24"/>
        </w:rPr>
      </w:pPr>
    </w:p>
    <w:p w:rsidR="00A62209" w:rsidRPr="004D5F5F" w:rsidP="00A62209" w14:paraId="4E191C8E" w14:textId="04A0F7B3">
      <w:pPr>
        <w:tabs>
          <w:tab w:val="left" w:pos="8730"/>
        </w:tabs>
        <w:ind w:left="4320"/>
        <w:rPr>
          <w:b/>
          <w:bCs/>
          <w:szCs w:val="24"/>
        </w:rPr>
      </w:pPr>
      <w:r w:rsidRPr="004D5F5F">
        <w:rPr>
          <w:b/>
          <w:bCs/>
          <w:szCs w:val="24"/>
        </w:rPr>
        <w:t>Office of the Ohio Consumers</w:t>
      </w:r>
      <w:r w:rsidR="004D5F5F">
        <w:rPr>
          <w:b/>
          <w:bCs/>
          <w:szCs w:val="24"/>
        </w:rPr>
        <w:t>’</w:t>
      </w:r>
      <w:r w:rsidRPr="004D5F5F">
        <w:rPr>
          <w:b/>
          <w:bCs/>
          <w:szCs w:val="24"/>
        </w:rPr>
        <w:t xml:space="preserve"> Counsel</w:t>
      </w:r>
    </w:p>
    <w:p w:rsidR="00A62209" w:rsidRPr="004D5F5F" w:rsidP="00A62209" w14:paraId="346943FC" w14:textId="77777777">
      <w:pPr>
        <w:tabs>
          <w:tab w:val="left" w:pos="8730"/>
        </w:tabs>
        <w:ind w:left="4320"/>
        <w:rPr>
          <w:szCs w:val="24"/>
        </w:rPr>
      </w:pPr>
      <w:r w:rsidRPr="004D5F5F">
        <w:rPr>
          <w:szCs w:val="24"/>
        </w:rPr>
        <w:t>65 East State Street, Suite 700</w:t>
      </w:r>
    </w:p>
    <w:p w:rsidR="00A62209" w:rsidRPr="004D5F5F" w:rsidP="00A62209" w14:paraId="4561F091" w14:textId="77777777">
      <w:pPr>
        <w:tabs>
          <w:tab w:val="left" w:pos="8730"/>
        </w:tabs>
        <w:ind w:left="4320"/>
        <w:rPr>
          <w:szCs w:val="24"/>
        </w:rPr>
      </w:pPr>
      <w:r w:rsidRPr="004D5F5F">
        <w:rPr>
          <w:szCs w:val="24"/>
        </w:rPr>
        <w:t>Columbus, Ohio 43215</w:t>
      </w:r>
    </w:p>
    <w:p w:rsidR="00A62209" w:rsidRPr="004D5F5F" w:rsidP="00A62209" w14:paraId="5956B23B" w14:textId="025ED9CC">
      <w:pPr>
        <w:tabs>
          <w:tab w:val="left" w:pos="8730"/>
        </w:tabs>
        <w:ind w:left="4320"/>
        <w:rPr>
          <w:szCs w:val="24"/>
        </w:rPr>
      </w:pPr>
      <w:r w:rsidRPr="004D5F5F">
        <w:rPr>
          <w:szCs w:val="24"/>
        </w:rPr>
        <w:t>Telephone [Michael]: (614) 466-1291</w:t>
      </w:r>
    </w:p>
    <w:p w:rsidR="00A62209" w:rsidRPr="004D5F5F" w:rsidP="00A62209" w14:paraId="6E006D2E" w14:textId="0BD621A2">
      <w:pPr>
        <w:tabs>
          <w:tab w:val="left" w:pos="8730"/>
        </w:tabs>
        <w:ind w:left="4320"/>
        <w:rPr>
          <w:szCs w:val="24"/>
        </w:rPr>
      </w:pPr>
      <w:r w:rsidRPr="004D5F5F">
        <w:rPr>
          <w:szCs w:val="24"/>
        </w:rPr>
        <w:t>Telephone [Kral]: (614) 466-9571</w:t>
      </w:r>
    </w:p>
    <w:p w:rsidR="00A62209" w:rsidRPr="004D5F5F" w:rsidP="00A62209" w14:paraId="21695F32" w14:textId="77777777">
      <w:pPr>
        <w:tabs>
          <w:tab w:val="left" w:pos="8730"/>
        </w:tabs>
        <w:ind w:left="4320"/>
        <w:rPr>
          <w:color w:val="0000FF"/>
          <w:szCs w:val="24"/>
        </w:rPr>
      </w:pPr>
      <w:hyperlink r:id="rId6" w:history="1">
        <w:r w:rsidRPr="004D5F5F">
          <w:rPr>
            <w:rStyle w:val="Hyperlink"/>
            <w:szCs w:val="24"/>
          </w:rPr>
          <w:t>william.michael@occ.ohio.gov</w:t>
        </w:r>
      </w:hyperlink>
      <w:r w:rsidRPr="004D5F5F">
        <w:rPr>
          <w:color w:val="0000FF"/>
          <w:szCs w:val="24"/>
        </w:rPr>
        <w:t xml:space="preserve"> </w:t>
      </w:r>
    </w:p>
    <w:p w:rsidR="00A62209" w:rsidRPr="004D5F5F" w:rsidP="00A62209" w14:paraId="6275C0C7" w14:textId="77777777">
      <w:pPr>
        <w:tabs>
          <w:tab w:val="left" w:pos="8730"/>
        </w:tabs>
        <w:ind w:left="4320"/>
        <w:rPr>
          <w:rStyle w:val="Hyperlink"/>
          <w:szCs w:val="24"/>
        </w:rPr>
      </w:pPr>
      <w:r w:rsidRPr="004D5F5F">
        <w:rPr>
          <w:rStyle w:val="Hyperlink"/>
          <w:szCs w:val="24"/>
        </w:rPr>
        <w:t>donald.kral@occ.ohio.gov</w:t>
      </w:r>
    </w:p>
    <w:p w:rsidR="00104E19" w:rsidRPr="004D5F5F" w:rsidP="00A62209" w14:paraId="5A71744C" w14:textId="6F0709D7">
      <w:pPr>
        <w:tabs>
          <w:tab w:val="left" w:pos="8730"/>
        </w:tabs>
        <w:ind w:left="4320"/>
        <w:rPr>
          <w:szCs w:val="24"/>
        </w:rPr>
      </w:pPr>
      <w:r w:rsidRPr="004D5F5F">
        <w:rPr>
          <w:szCs w:val="24"/>
        </w:rPr>
        <w:t xml:space="preserve">(willing to accept service by e-mail) </w:t>
      </w:r>
    </w:p>
    <w:p w:rsidR="00104E19" w:rsidRPr="004D5F5F" w14:paraId="7C116361" w14:textId="77777777">
      <w:pPr>
        <w:rPr>
          <w:szCs w:val="24"/>
        </w:rPr>
      </w:pPr>
      <w:r w:rsidRPr="004D5F5F">
        <w:rPr>
          <w:szCs w:val="24"/>
        </w:rPr>
        <w:br w:type="page"/>
      </w:r>
    </w:p>
    <w:p w:rsidR="00DB0ACF" w:rsidRPr="004D5F5F" w:rsidP="00980F62" w14:paraId="1DFB6FDF" w14:textId="5C064ECE">
      <w:pPr>
        <w:jc w:val="center"/>
        <w:rPr>
          <w:b/>
          <w:bCs/>
          <w:szCs w:val="24"/>
          <w:u w:val="single"/>
        </w:rPr>
      </w:pPr>
      <w:r w:rsidRPr="004D5F5F">
        <w:rPr>
          <w:b/>
          <w:bCs/>
          <w:szCs w:val="24"/>
          <w:u w:val="single"/>
        </w:rPr>
        <w:t>CERTIFICATE OF SERVICE</w:t>
      </w:r>
    </w:p>
    <w:p w:rsidR="00DB0ACF" w:rsidRPr="004D5F5F" w14:paraId="51FF8378" w14:textId="1A994367">
      <w:pPr>
        <w:spacing w:line="480" w:lineRule="atLeast"/>
        <w:rPr>
          <w:szCs w:val="24"/>
        </w:rPr>
      </w:pPr>
      <w:r w:rsidRPr="004D5F5F">
        <w:rPr>
          <w:szCs w:val="24"/>
        </w:rPr>
        <w:tab/>
        <w:t>I hereby certify that a copy of th</w:t>
      </w:r>
      <w:r w:rsidRPr="004D5F5F" w:rsidR="00C430FF">
        <w:rPr>
          <w:szCs w:val="24"/>
        </w:rPr>
        <w:t>e foregoing Consumer Protection Comments</w:t>
      </w:r>
      <w:r w:rsidRPr="004D5F5F">
        <w:rPr>
          <w:szCs w:val="24"/>
        </w:rPr>
        <w:t xml:space="preserve"> was served on the persons stated below via electronic transmission, this </w:t>
      </w:r>
      <w:r w:rsidRPr="004D5F5F" w:rsidR="00C430FF">
        <w:rPr>
          <w:szCs w:val="24"/>
        </w:rPr>
        <w:t>26</w:t>
      </w:r>
      <w:r w:rsidRPr="004D5F5F" w:rsidR="00C430FF">
        <w:rPr>
          <w:szCs w:val="24"/>
          <w:vertAlign w:val="superscript"/>
        </w:rPr>
        <w:t>th</w:t>
      </w:r>
      <w:r w:rsidRPr="004D5F5F" w:rsidR="00C430FF">
        <w:rPr>
          <w:szCs w:val="24"/>
        </w:rPr>
        <w:t xml:space="preserve"> </w:t>
      </w:r>
      <w:r w:rsidRPr="004D5F5F">
        <w:rPr>
          <w:szCs w:val="24"/>
        </w:rPr>
        <w:t xml:space="preserve">day of </w:t>
      </w:r>
      <w:r w:rsidRPr="004D5F5F" w:rsidR="00475E06">
        <w:rPr>
          <w:szCs w:val="24"/>
        </w:rPr>
        <w:t xml:space="preserve">February </w:t>
      </w:r>
      <w:r w:rsidRPr="004D5F5F">
        <w:rPr>
          <w:szCs w:val="24"/>
        </w:rPr>
        <w:t>20</w:t>
      </w:r>
      <w:r w:rsidRPr="004D5F5F" w:rsidR="000B4817">
        <w:rPr>
          <w:szCs w:val="24"/>
        </w:rPr>
        <w:t>2</w:t>
      </w:r>
      <w:r w:rsidRPr="004D5F5F" w:rsidR="0078547A">
        <w:rPr>
          <w:szCs w:val="24"/>
        </w:rPr>
        <w:t>4</w:t>
      </w:r>
      <w:r w:rsidRPr="004D5F5F">
        <w:rPr>
          <w:szCs w:val="24"/>
        </w:rPr>
        <w:t>.</w:t>
      </w:r>
    </w:p>
    <w:p w:rsidR="00DB0ACF" w:rsidRPr="004D5F5F" w:rsidP="00FA2E6A" w14:paraId="52637B0B" w14:textId="77777777">
      <w:pPr>
        <w:rPr>
          <w:szCs w:val="24"/>
        </w:rPr>
      </w:pPr>
    </w:p>
    <w:p w:rsidR="0078547A" w:rsidRPr="004D5F5F" w:rsidP="0078547A" w14:paraId="5F535916" w14:textId="70129E76">
      <w:pPr>
        <w:ind w:left="4320"/>
        <w:rPr>
          <w:szCs w:val="24"/>
        </w:rPr>
      </w:pPr>
      <w:r w:rsidRPr="004D5F5F">
        <w:rPr>
          <w:i/>
          <w:szCs w:val="24"/>
          <w:u w:val="single"/>
        </w:rPr>
        <w:t>/s/ William J. Michael</w:t>
      </w:r>
    </w:p>
    <w:p w:rsidR="0078547A" w:rsidRPr="004D5F5F" w:rsidP="0078547A" w14:paraId="1B8D8E8A" w14:textId="77777777">
      <w:pPr>
        <w:tabs>
          <w:tab w:val="left" w:pos="4320"/>
        </w:tabs>
        <w:rPr>
          <w:szCs w:val="24"/>
        </w:rPr>
      </w:pPr>
      <w:r w:rsidRPr="004D5F5F">
        <w:rPr>
          <w:szCs w:val="24"/>
        </w:rPr>
        <w:tab/>
        <w:t>William J. Michael</w:t>
      </w:r>
    </w:p>
    <w:p w:rsidR="0078547A" w:rsidRPr="004D5F5F" w:rsidP="0078547A" w14:paraId="20A20D0A" w14:textId="15E95CE3">
      <w:pPr>
        <w:tabs>
          <w:tab w:val="left" w:pos="4320"/>
        </w:tabs>
        <w:rPr>
          <w:szCs w:val="24"/>
        </w:rPr>
      </w:pPr>
      <w:r w:rsidRPr="004D5F5F">
        <w:rPr>
          <w:szCs w:val="24"/>
        </w:rPr>
        <w:tab/>
        <w:t>Assistant Consumers</w:t>
      </w:r>
      <w:r w:rsidR="004D5F5F">
        <w:rPr>
          <w:szCs w:val="24"/>
        </w:rPr>
        <w:t>’</w:t>
      </w:r>
      <w:r w:rsidRPr="004D5F5F">
        <w:rPr>
          <w:szCs w:val="24"/>
        </w:rPr>
        <w:t xml:space="preserve"> Counsel</w:t>
      </w:r>
    </w:p>
    <w:p w:rsidR="005B057C" w:rsidRPr="004D5F5F" w:rsidP="0078547A" w14:paraId="7403EDCE" w14:textId="03DB085C">
      <w:pPr>
        <w:tabs>
          <w:tab w:val="left" w:pos="4320"/>
        </w:tabs>
        <w:rPr>
          <w:szCs w:val="24"/>
        </w:rPr>
      </w:pPr>
    </w:p>
    <w:p w:rsidR="005B057C" w:rsidRPr="004D5F5F" w:rsidP="005B057C" w14:paraId="302F4114" w14:textId="0BB7E362">
      <w:pPr>
        <w:pStyle w:val="CommentText"/>
      </w:pPr>
      <w:r w:rsidRPr="004D5F5F">
        <w:t>The PUCO</w:t>
      </w:r>
      <w:r w:rsidR="004D5F5F">
        <w:t>’</w:t>
      </w:r>
      <w:r w:rsidRPr="004D5F5F">
        <w:t>s e-filing system will electronically serve notice of the filing of this document on the following parties:</w:t>
      </w:r>
    </w:p>
    <w:p w:rsidR="00DB0ACF" w:rsidRPr="004D5F5F" w:rsidP="00FA2E6A" w14:paraId="2F62B265" w14:textId="77777777">
      <w:pPr>
        <w:pStyle w:val="CommentText"/>
      </w:pPr>
    </w:p>
    <w:p w:rsidR="00DB0ACF" w:rsidRPr="004D5F5F" w14:paraId="78629718" w14:textId="78389823">
      <w:pPr>
        <w:pStyle w:val="CommentText"/>
        <w:jc w:val="center"/>
        <w:rPr>
          <w:b/>
          <w:u w:val="single"/>
        </w:rPr>
      </w:pPr>
      <w:r w:rsidRPr="004D5F5F">
        <w:rPr>
          <w:b/>
          <w:u w:val="single"/>
        </w:rPr>
        <w:t>SERVICE LIST</w:t>
      </w:r>
    </w:p>
    <w:p w:rsidR="005B057C" w:rsidRPr="004D5F5F" w14:paraId="2E316DB4" w14:textId="394A56F3">
      <w:pPr>
        <w:pStyle w:val="CommentText"/>
        <w:jc w:val="center"/>
        <w:rPr>
          <w:b/>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15"/>
        <w:gridCol w:w="4315"/>
      </w:tblGrid>
      <w:tr w14:paraId="5A99ACBF" w14:textId="77777777" w:rsidTr="00243DD9">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315" w:type="dxa"/>
          </w:tcPr>
          <w:p w:rsidR="005B057C" w:rsidRPr="004D5F5F" w:rsidP="005B057C" w14:paraId="6328C4AD" w14:textId="200B8B20">
            <w:pPr>
              <w:pStyle w:val="CommentText"/>
              <w:rPr>
                <w:sz w:val="24"/>
                <w:szCs w:val="24"/>
                <w:lang w:val="en-US" w:eastAsia="en-US" w:bidi="ar-SA"/>
              </w:rPr>
            </w:pPr>
            <w:hyperlink r:id="rId7" w:history="1">
              <w:r w:rsidRPr="004D5F5F" w:rsidR="007B7B06">
                <w:rPr>
                  <w:rStyle w:val="Hyperlink"/>
                  <w:color w:val="0000FF"/>
                  <w:sz w:val="24"/>
                  <w:szCs w:val="24"/>
                  <w:u w:val="single"/>
                  <w:lang w:val="en-US" w:eastAsia="en-US" w:bidi="ar-SA"/>
                </w:rPr>
                <w:t>amy.botschnerobrien@ohioago.gov</w:t>
              </w:r>
            </w:hyperlink>
          </w:p>
          <w:p w:rsidR="007B7B06" w:rsidRPr="004D5F5F" w:rsidP="005B057C" w14:paraId="56F81BF8" w14:textId="77777777">
            <w:pPr>
              <w:pStyle w:val="CommentText"/>
              <w:rPr>
                <w:sz w:val="24"/>
                <w:szCs w:val="24"/>
                <w:lang w:val="en-US" w:eastAsia="en-US" w:bidi="ar-SA"/>
              </w:rPr>
            </w:pPr>
          </w:p>
          <w:p w:rsidR="007B7B06" w:rsidRPr="004D5F5F" w:rsidP="005B057C" w14:paraId="27585587" w14:textId="6295CD02">
            <w:pPr>
              <w:pStyle w:val="CommentText"/>
              <w:rPr>
                <w:sz w:val="24"/>
                <w:szCs w:val="24"/>
                <w:lang w:val="en-US" w:eastAsia="en-US" w:bidi="ar-SA"/>
              </w:rPr>
            </w:pPr>
            <w:r w:rsidRPr="004D5F5F">
              <w:rPr>
                <w:sz w:val="24"/>
                <w:szCs w:val="24"/>
                <w:lang w:val="en-US" w:eastAsia="en-US" w:bidi="ar-SA"/>
              </w:rPr>
              <w:t>Attorney Examiners:</w:t>
            </w:r>
          </w:p>
          <w:p w:rsidR="007B7B06" w:rsidRPr="004D5F5F" w:rsidP="005B057C" w14:paraId="56EE7F0D" w14:textId="08031A86">
            <w:pPr>
              <w:pStyle w:val="CommentText"/>
              <w:rPr>
                <w:sz w:val="24"/>
                <w:szCs w:val="24"/>
                <w:lang w:val="en-US" w:eastAsia="en-US" w:bidi="ar-SA"/>
              </w:rPr>
            </w:pPr>
            <w:hyperlink r:id="rId8" w:history="1">
              <w:r w:rsidRPr="004D5F5F">
                <w:rPr>
                  <w:rStyle w:val="Hyperlink"/>
                  <w:color w:val="0000FF"/>
                  <w:sz w:val="24"/>
                  <w:szCs w:val="24"/>
                  <w:u w:val="single"/>
                  <w:lang w:val="en-US" w:eastAsia="en-US" w:bidi="ar-SA"/>
                </w:rPr>
                <w:t>megan.addison@puco.ohio.gov</w:t>
              </w:r>
            </w:hyperlink>
          </w:p>
          <w:p w:rsidR="007B7B06" w:rsidRPr="004D5F5F" w:rsidP="005B057C" w14:paraId="798A00DD" w14:textId="4EAB4A86">
            <w:pPr>
              <w:pStyle w:val="CommentText"/>
              <w:rPr>
                <w:sz w:val="24"/>
                <w:szCs w:val="24"/>
                <w:lang w:val="en-US" w:eastAsia="en-US" w:bidi="ar-SA"/>
              </w:rPr>
            </w:pPr>
            <w:hyperlink r:id="rId9" w:history="1">
              <w:r w:rsidRPr="004D5F5F">
                <w:rPr>
                  <w:rStyle w:val="Hyperlink"/>
                  <w:color w:val="0000FF"/>
                  <w:sz w:val="24"/>
                  <w:szCs w:val="24"/>
                  <w:u w:val="single"/>
                  <w:lang w:val="en-US" w:eastAsia="en-US" w:bidi="ar-SA"/>
                </w:rPr>
                <w:t>greg.price@puco.ohio.gov</w:t>
              </w:r>
            </w:hyperlink>
          </w:p>
          <w:p w:rsidR="007B7B06" w:rsidRPr="004D5F5F" w:rsidP="005B057C" w14:paraId="213C7F0B" w14:textId="7E1F58FD">
            <w:pPr>
              <w:pStyle w:val="CommentText"/>
              <w:rPr>
                <w:sz w:val="24"/>
                <w:szCs w:val="24"/>
                <w:lang w:val="en-US" w:eastAsia="en-US" w:bidi="ar-SA"/>
              </w:rPr>
            </w:pPr>
            <w:hyperlink r:id="rId10" w:history="1">
              <w:r w:rsidRPr="004D5F5F">
                <w:rPr>
                  <w:rStyle w:val="Hyperlink"/>
                  <w:color w:val="0000FF"/>
                  <w:sz w:val="24"/>
                  <w:szCs w:val="24"/>
                  <w:u w:val="single"/>
                  <w:lang w:val="en-US" w:eastAsia="en-US" w:bidi="ar-SA"/>
                </w:rPr>
                <w:t>jacqueline.st.john@puco.ohio.gov</w:t>
              </w:r>
            </w:hyperlink>
          </w:p>
          <w:p w:rsidR="007B7B06" w:rsidRPr="004D5F5F" w:rsidP="005B057C" w14:paraId="10CB7856" w14:textId="77777777">
            <w:pPr>
              <w:pStyle w:val="CommentText"/>
              <w:rPr>
                <w:sz w:val="24"/>
                <w:szCs w:val="24"/>
                <w:lang w:val="en-US" w:eastAsia="en-US" w:bidi="ar-SA"/>
              </w:rPr>
            </w:pPr>
          </w:p>
          <w:p w:rsidR="007B7B06" w:rsidRPr="004D5F5F" w:rsidP="005B057C" w14:paraId="53DBA568" w14:textId="77777777">
            <w:pPr>
              <w:pStyle w:val="CommentText"/>
              <w:rPr>
                <w:sz w:val="24"/>
                <w:szCs w:val="24"/>
                <w:lang w:val="en-US" w:eastAsia="en-US" w:bidi="ar-SA"/>
              </w:rPr>
            </w:pPr>
          </w:p>
          <w:p w:rsidR="005B057C" w:rsidRPr="004D5F5F" w:rsidP="005B057C" w14:paraId="4B32177E" w14:textId="0BC36C92">
            <w:pPr>
              <w:pStyle w:val="CommentText"/>
              <w:rPr>
                <w:bCs/>
                <w:sz w:val="24"/>
                <w:szCs w:val="24"/>
                <w:lang w:val="en-US" w:eastAsia="en-US" w:bidi="ar-SA"/>
              </w:rPr>
            </w:pPr>
          </w:p>
        </w:tc>
        <w:tc>
          <w:tcPr>
            <w:tcW w:w="4315" w:type="dxa"/>
          </w:tcPr>
          <w:p w:rsidR="005B057C" w:rsidRPr="004D5F5F" w:rsidP="005B057C" w14:paraId="4205EC51" w14:textId="4A93B201">
            <w:pPr>
              <w:pStyle w:val="CommentText"/>
              <w:rPr>
                <w:sz w:val="24"/>
                <w:szCs w:val="24"/>
                <w:lang w:val="en-US" w:eastAsia="en-US" w:bidi="ar-SA"/>
              </w:rPr>
            </w:pPr>
            <w:hyperlink r:id="rId11" w:history="1">
              <w:r w:rsidRPr="004D5F5F" w:rsidR="00E83E3D">
                <w:rPr>
                  <w:rStyle w:val="Hyperlink"/>
                  <w:color w:val="0000FF"/>
                  <w:sz w:val="24"/>
                  <w:szCs w:val="24"/>
                  <w:u w:val="single"/>
                  <w:lang w:val="en-US" w:eastAsia="en-US" w:bidi="ar-SA"/>
                </w:rPr>
                <w:t>zwoltz@firstenergycorp.com</w:t>
              </w:r>
            </w:hyperlink>
          </w:p>
          <w:p w:rsidR="002F26AA" w:rsidRPr="004D5F5F" w:rsidP="005B057C" w14:paraId="1E9F5E82" w14:textId="4220F15A">
            <w:pPr>
              <w:pStyle w:val="CommentText"/>
              <w:rPr>
                <w:sz w:val="24"/>
                <w:szCs w:val="24"/>
                <w:lang w:val="en-US" w:eastAsia="en-US" w:bidi="ar-SA"/>
              </w:rPr>
            </w:pPr>
            <w:hyperlink r:id="rId12" w:history="1">
              <w:r w:rsidRPr="004D5F5F">
                <w:rPr>
                  <w:rStyle w:val="Hyperlink"/>
                  <w:color w:val="0000FF"/>
                  <w:sz w:val="24"/>
                  <w:szCs w:val="24"/>
                  <w:u w:val="single"/>
                  <w:lang w:val="en-US" w:eastAsia="en-US" w:bidi="ar-SA"/>
                </w:rPr>
                <w:t>mkurtz@BKLlawfirm.com</w:t>
              </w:r>
            </w:hyperlink>
          </w:p>
          <w:p w:rsidR="00E83E3D" w:rsidRPr="004D5F5F" w:rsidP="005B057C" w14:paraId="1C28B85F" w14:textId="28F8B9DD">
            <w:pPr>
              <w:pStyle w:val="CommentText"/>
              <w:rPr>
                <w:sz w:val="24"/>
                <w:szCs w:val="24"/>
                <w:lang w:val="en-US" w:eastAsia="en-US" w:bidi="ar-SA"/>
              </w:rPr>
            </w:pPr>
            <w:hyperlink r:id="rId13" w:history="1">
              <w:r w:rsidRPr="004D5F5F" w:rsidR="002F26AA">
                <w:rPr>
                  <w:rStyle w:val="Hyperlink"/>
                  <w:color w:val="0000FF"/>
                  <w:sz w:val="24"/>
                  <w:szCs w:val="24"/>
                  <w:u w:val="single"/>
                  <w:lang w:val="en-US" w:eastAsia="en-US" w:bidi="ar-SA"/>
                </w:rPr>
                <w:t>kylercohn@BKLlawfirm.com</w:t>
              </w:r>
            </w:hyperlink>
          </w:p>
          <w:p w:rsidR="002F26AA" w:rsidRPr="004D5F5F" w:rsidP="005B057C" w14:paraId="5D27F298" w14:textId="6EA9CBED">
            <w:pPr>
              <w:pStyle w:val="CommentText"/>
              <w:rPr>
                <w:sz w:val="24"/>
                <w:szCs w:val="24"/>
                <w:lang w:val="en-US" w:eastAsia="en-US" w:bidi="ar-SA"/>
              </w:rPr>
            </w:pPr>
            <w:hyperlink r:id="rId14" w:history="1">
              <w:r w:rsidRPr="004D5F5F">
                <w:rPr>
                  <w:rStyle w:val="Hyperlink"/>
                  <w:color w:val="0000FF"/>
                  <w:sz w:val="24"/>
                  <w:szCs w:val="24"/>
                  <w:u w:val="single"/>
                  <w:lang w:val="en-US" w:eastAsia="en-US" w:bidi="ar-SA"/>
                </w:rPr>
                <w:t>dproano@bakerlaw.com</w:t>
              </w:r>
            </w:hyperlink>
          </w:p>
          <w:p w:rsidR="002F26AA" w:rsidRPr="004D5F5F" w:rsidP="005B057C" w14:paraId="7B9F773E" w14:textId="01964784">
            <w:pPr>
              <w:pStyle w:val="CommentText"/>
              <w:rPr>
                <w:sz w:val="24"/>
                <w:szCs w:val="24"/>
                <w:lang w:val="en-US" w:eastAsia="en-US" w:bidi="ar-SA"/>
              </w:rPr>
            </w:pPr>
            <w:hyperlink r:id="rId15" w:history="1">
              <w:r w:rsidRPr="004D5F5F">
                <w:rPr>
                  <w:rStyle w:val="Hyperlink"/>
                  <w:color w:val="0000FF"/>
                  <w:sz w:val="24"/>
                  <w:szCs w:val="24"/>
                  <w:u w:val="single"/>
                  <w:lang w:val="en-US" w:eastAsia="en-US" w:bidi="ar-SA"/>
                </w:rPr>
                <w:t>pwillison@bakerlaw.com</w:t>
              </w:r>
            </w:hyperlink>
          </w:p>
          <w:p w:rsidR="002F26AA" w:rsidRPr="004D5F5F" w:rsidP="005B057C" w14:paraId="5BBC1C61" w14:textId="0EBA591C">
            <w:pPr>
              <w:pStyle w:val="CommentText"/>
              <w:rPr>
                <w:b/>
                <w:sz w:val="24"/>
                <w:szCs w:val="24"/>
                <w:u w:val="single"/>
                <w:lang w:val="en-US" w:eastAsia="en-US" w:bidi="ar-SA"/>
              </w:rPr>
            </w:pPr>
          </w:p>
        </w:tc>
      </w:tr>
    </w:tbl>
    <w:p w:rsidR="005B057C" w:rsidRPr="004D5F5F" w14:paraId="73F689D5" w14:textId="77777777">
      <w:pPr>
        <w:pStyle w:val="CommentText"/>
        <w:jc w:val="center"/>
        <w:rPr>
          <w:b/>
          <w:u w:val="single"/>
        </w:rPr>
      </w:pPr>
    </w:p>
    <w:p w:rsidR="007B535B" w:rsidRPr="004D5F5F" w:rsidP="00F6315F" w14:paraId="794B5BB7" w14:textId="77777777">
      <w:pPr>
        <w:pStyle w:val="CommentText"/>
        <w:rPr>
          <w:b/>
          <w:u w:val="single"/>
        </w:rPr>
      </w:pPr>
    </w:p>
    <w:tbl>
      <w:tblPr>
        <w:tblW w:w="0" w:type="auto"/>
        <w:tblInd w:w="0" w:type="dxa"/>
        <w:tblCellMar>
          <w:top w:w="0" w:type="dxa"/>
          <w:left w:w="108" w:type="dxa"/>
          <w:bottom w:w="0" w:type="dxa"/>
          <w:right w:w="108" w:type="dxa"/>
        </w:tblCellMar>
        <w:tblLook w:val="04A0"/>
      </w:tblPr>
      <w:tblGrid>
        <w:gridCol w:w="4320"/>
        <w:gridCol w:w="4320"/>
      </w:tblGrid>
      <w:tr w14:paraId="6B859895" w14:textId="77777777" w:rsidTr="002B1B79">
        <w:tblPrEx>
          <w:tblW w:w="0" w:type="auto"/>
          <w:tblInd w:w="0" w:type="dxa"/>
          <w:tblCellMar>
            <w:top w:w="0" w:type="dxa"/>
            <w:left w:w="108" w:type="dxa"/>
            <w:bottom w:w="0" w:type="dxa"/>
            <w:right w:w="108" w:type="dxa"/>
          </w:tblCellMar>
          <w:tblLook w:val="04A0"/>
        </w:tblPrEx>
        <w:tc>
          <w:tcPr>
            <w:tcW w:w="4428" w:type="dxa"/>
            <w:shd w:val="clear" w:color="auto" w:fill="auto"/>
          </w:tcPr>
          <w:p w:rsidR="00231929" w:rsidRPr="004D5F5F" w:rsidP="002B1B79" w14:paraId="72057BE9" w14:textId="373F8B4B">
            <w:pPr>
              <w:tabs>
                <w:tab w:val="left" w:pos="4320"/>
              </w:tabs>
              <w:rPr>
                <w:sz w:val="24"/>
                <w:szCs w:val="24"/>
                <w:lang w:val="en-US" w:eastAsia="en-US" w:bidi="ar-SA"/>
              </w:rPr>
            </w:pPr>
          </w:p>
        </w:tc>
        <w:tc>
          <w:tcPr>
            <w:tcW w:w="4428" w:type="dxa"/>
            <w:shd w:val="clear" w:color="auto" w:fill="auto"/>
          </w:tcPr>
          <w:p w:rsidR="00231929" w:rsidRPr="004D5F5F" w:rsidP="002B1B79" w14:paraId="576F7FC5" w14:textId="1600C984">
            <w:pPr>
              <w:tabs>
                <w:tab w:val="left" w:pos="4320"/>
              </w:tabs>
              <w:rPr>
                <w:sz w:val="24"/>
                <w:szCs w:val="24"/>
                <w:lang w:val="en-US" w:eastAsia="en-US" w:bidi="ar-SA"/>
              </w:rPr>
            </w:pPr>
          </w:p>
        </w:tc>
      </w:tr>
    </w:tbl>
    <w:p w:rsidR="00F6315F" w:rsidRPr="004D5F5F" w:rsidP="00F6315F" w14:paraId="7F3B7B2B" w14:textId="77777777">
      <w:pPr>
        <w:pStyle w:val="CommentText"/>
        <w:rPr>
          <w:b/>
          <w:u w:val="single"/>
        </w:rPr>
      </w:pPr>
    </w:p>
    <w:sectPr w:rsidSect="005A7E90">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C55" w14:paraId="5D7FBD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463838"/>
      <w:docPartObj>
        <w:docPartGallery w:val="Page Numbers (Bottom of Page)"/>
        <w:docPartUnique/>
      </w:docPartObj>
    </w:sdtPr>
    <w:sdtEndPr>
      <w:rPr>
        <w:noProof/>
        <w:sz w:val="24"/>
        <w:szCs w:val="24"/>
      </w:rPr>
    </w:sdtEndPr>
    <w:sdtContent>
      <w:p w:rsidR="0073747D" w:rsidRPr="0073747D" w14:paraId="3241D47D" w14:textId="77777777">
        <w:pPr>
          <w:pStyle w:val="Footer"/>
          <w:jc w:val="center"/>
          <w:rPr>
            <w:sz w:val="24"/>
            <w:szCs w:val="24"/>
          </w:rPr>
        </w:pPr>
        <w:r w:rsidRPr="0073747D">
          <w:rPr>
            <w:sz w:val="24"/>
            <w:szCs w:val="24"/>
          </w:rPr>
          <w:fldChar w:fldCharType="begin"/>
        </w:r>
        <w:r w:rsidRPr="0073747D">
          <w:rPr>
            <w:sz w:val="24"/>
            <w:szCs w:val="24"/>
          </w:rPr>
          <w:instrText xml:space="preserve"> PAGE   \* MERGEFORMAT </w:instrText>
        </w:r>
        <w:r w:rsidRPr="0073747D">
          <w:rPr>
            <w:sz w:val="24"/>
            <w:szCs w:val="24"/>
          </w:rPr>
          <w:fldChar w:fldCharType="separate"/>
        </w:r>
        <w:r w:rsidRPr="0073747D">
          <w:rPr>
            <w:noProof/>
            <w:sz w:val="24"/>
            <w:szCs w:val="24"/>
          </w:rPr>
          <w:t>4</w:t>
        </w:r>
        <w:r w:rsidRPr="0073747D">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C55" w14:paraId="799E9A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A7E90" w14:paraId="2F845BAA" w14:textId="77777777">
      <w:r>
        <w:separator/>
      </w:r>
    </w:p>
  </w:footnote>
  <w:footnote w:type="continuationSeparator" w:id="1">
    <w:p w:rsidR="005A7E90" w14:paraId="1240277C" w14:textId="77777777">
      <w:r>
        <w:continuationSeparator/>
      </w:r>
    </w:p>
  </w:footnote>
  <w:footnote w:id="2">
    <w:p w:rsidR="00F339E1" w:rsidP="004D5F5F" w14:paraId="2F9D6545" w14:textId="460E5E0B">
      <w:pPr>
        <w:pStyle w:val="FootnoteText"/>
        <w:spacing w:after="120"/>
      </w:pPr>
      <w:r>
        <w:rPr>
          <w:rStyle w:val="FootnoteReference"/>
        </w:rPr>
        <w:footnoteRef/>
      </w:r>
      <w:r>
        <w:t xml:space="preserve"> </w:t>
      </w:r>
      <w:r w:rsidR="004D5F5F">
        <w:t>“</w:t>
      </w:r>
      <w:r>
        <w:t>FirstEnergy</w:t>
      </w:r>
      <w:r w:rsidR="004D5F5F">
        <w:t>”</w:t>
      </w:r>
      <w:r>
        <w:t xml:space="preserve"> collectively refers to Ohio Edison Company, the Cleveland Electric Illuminating Company and the Toledo Edison Company.</w:t>
      </w:r>
    </w:p>
  </w:footnote>
  <w:footnote w:id="3">
    <w:p w:rsidR="00BA0691" w:rsidP="004D5F5F" w14:paraId="411809C2" w14:textId="7952FC28">
      <w:pPr>
        <w:pStyle w:val="FootnoteText"/>
        <w:spacing w:after="120"/>
      </w:pPr>
      <w:r>
        <w:rPr>
          <w:rStyle w:val="FootnoteReference"/>
        </w:rPr>
        <w:footnoteRef/>
      </w:r>
      <w:r>
        <w:t xml:space="preserve"> </w:t>
      </w:r>
      <w:r>
        <w:rPr>
          <w:i/>
          <w:iCs/>
        </w:rPr>
        <w:t xml:space="preserve">In the Matter of the 2020 Review of the Delivery Capital Recovery Rider of Ohio Edison Company, the Cleveland Electric Illuminating Company, and the Toledo Edison Company, </w:t>
      </w:r>
      <w:r>
        <w:t>Case No. 20-1629-EL-RDR, Entry (Dec. 15, 2021)</w:t>
      </w:r>
      <w:r w:rsidR="00251496">
        <w:t xml:space="preserve"> at </w:t>
      </w:r>
      <w:r w:rsidR="006561B2">
        <w:t xml:space="preserve">5 </w:t>
      </w:r>
      <w:r w:rsidR="00251496">
        <w:t xml:space="preserve">(stating that </w:t>
      </w:r>
      <w:r w:rsidR="004D5F5F">
        <w:t>“</w:t>
      </w:r>
      <w:r w:rsidR="00251496">
        <w:t>the Commission is aware the records of communications and other documents from the Companies provide additional corroboration that there was a side agreement between the Companies and parties to this proceeding</w:t>
      </w:r>
      <w:r w:rsidR="004D5F5F">
        <w:t>”</w:t>
      </w:r>
      <w:r w:rsidR="006561B2">
        <w:t>).</w:t>
      </w:r>
    </w:p>
  </w:footnote>
  <w:footnote w:id="4">
    <w:p w:rsidR="006561B2" w:rsidP="004D5F5F" w14:paraId="10471958" w14:textId="08237066">
      <w:pPr>
        <w:pStyle w:val="FootnoteText"/>
        <w:spacing w:after="120"/>
      </w:pPr>
      <w:r>
        <w:rPr>
          <w:rStyle w:val="FootnoteReference"/>
        </w:rPr>
        <w:footnoteRef/>
      </w:r>
      <w:r>
        <w:t xml:space="preserve"> </w:t>
      </w:r>
      <w:r>
        <w:t>PUCO Entries in Case No. 20-1629-EL-RDR</w:t>
      </w:r>
      <w:r w:rsidR="00424C7F">
        <w:t>,</w:t>
      </w:r>
      <w:r>
        <w:t xml:space="preserve"> dated Aug</w:t>
      </w:r>
      <w:r w:rsidR="001A2634">
        <w:t>.</w:t>
      </w:r>
      <w:r>
        <w:t xml:space="preserve"> 24, 2022</w:t>
      </w:r>
      <w:r w:rsidR="001A2634">
        <w:t>;</w:t>
      </w:r>
      <w:r>
        <w:t xml:space="preserve"> March 8, 2023 and Aug</w:t>
      </w:r>
      <w:r w:rsidR="001A2634">
        <w:t>.</w:t>
      </w:r>
      <w:r>
        <w:t xml:space="preserve"> 23, 2023 (each Entry staying Case No. 20-1629-EL-RDR for a period of six months).</w:t>
      </w:r>
    </w:p>
  </w:footnote>
  <w:footnote w:id="5">
    <w:p w:rsidR="00BF4217" w:rsidP="004D5F5F" w14:paraId="2CD4C79D" w14:textId="0E31B244">
      <w:pPr>
        <w:pStyle w:val="FootnoteText"/>
        <w:spacing w:after="120"/>
      </w:pPr>
      <w:r>
        <w:rPr>
          <w:rStyle w:val="FootnoteReference"/>
        </w:rPr>
        <w:footnoteRef/>
      </w:r>
      <w:r>
        <w:t xml:space="preserve"> </w:t>
      </w:r>
      <w:r w:rsidR="00251496">
        <w:t>U.S. Attorney</w:t>
      </w:r>
      <w:r w:rsidR="004D5F5F">
        <w:t>’</w:t>
      </w:r>
      <w:r w:rsidR="00251496">
        <w:t>s Office, Southern District of Ohio (De</w:t>
      </w:r>
      <w:r w:rsidR="00B5704E">
        <w:t>c.</w:t>
      </w:r>
      <w:r w:rsidR="00251496">
        <w:t xml:space="preserve"> 4, 2023)</w:t>
      </w:r>
      <w:r w:rsidR="00AB22E6">
        <w:t xml:space="preserve">, </w:t>
      </w:r>
      <w:hyperlink r:id="rId1" w:history="1">
        <w:r w:rsidRPr="008C1C20" w:rsidR="00AB22E6">
          <w:rPr>
            <w:rStyle w:val="Hyperlink"/>
          </w:rPr>
          <w:t>https://www.justice.gov/usao-sdoh/pr/grand-jury-indicts-former-state-public-utilities-chairman-federal-bribery-embezzlement</w:t>
        </w:r>
      </w:hyperlink>
      <w:r w:rsidR="00251496">
        <w:t>; Attorney General of the State of Ohio (Feb</w:t>
      </w:r>
      <w:r w:rsidR="00B5704E">
        <w:t>.</w:t>
      </w:r>
      <w:r w:rsidR="00251496">
        <w:t xml:space="preserve"> 12, 2024)</w:t>
      </w:r>
      <w:r>
        <w:t xml:space="preserve">, </w:t>
      </w:r>
      <w:hyperlink r:id="rId2" w:history="1">
        <w:r w:rsidRPr="008C1C20">
          <w:rPr>
            <w:rStyle w:val="Hyperlink"/>
          </w:rPr>
          <w:t>https://www.ohioattorneygeneral.gov/Media/News-Releases/February-2024/Former-PUCO-Chairman-Former-FirstEnergy-Executives</w:t>
        </w:r>
      </w:hyperlink>
      <w:r>
        <w:t>.</w:t>
      </w:r>
    </w:p>
  </w:footnote>
  <w:footnote w:id="6">
    <w:p w:rsidR="00BA0691" w:rsidRPr="00D8767A" w:rsidP="004D5F5F" w14:paraId="64223FCE" w14:textId="77777777">
      <w:pPr>
        <w:pStyle w:val="FootnoteText"/>
        <w:spacing w:after="120"/>
      </w:pPr>
      <w:r>
        <w:rPr>
          <w:rStyle w:val="FootnoteReference"/>
        </w:rPr>
        <w:footnoteRef/>
      </w:r>
      <w:r>
        <w:t xml:space="preserve"> </w:t>
      </w:r>
      <w:r>
        <w:rPr>
          <w:i/>
          <w:iCs/>
        </w:rPr>
        <w:t xml:space="preserve">See </w:t>
      </w:r>
      <w:r>
        <w:t>Application at Exhibit D.</w:t>
      </w:r>
    </w:p>
  </w:footnote>
  <w:footnote w:id="7">
    <w:p w:rsidR="00BA0691" w:rsidRPr="00D8767A" w:rsidP="004D5F5F" w14:paraId="10F6B082" w14:textId="77777777">
      <w:pPr>
        <w:pStyle w:val="FootnoteText"/>
        <w:spacing w:after="120"/>
      </w:pPr>
      <w:r>
        <w:rPr>
          <w:rStyle w:val="FootnoteReference"/>
        </w:rPr>
        <w:footnoteRef/>
      </w:r>
      <w:r>
        <w:t xml:space="preserve"> </w:t>
      </w:r>
      <w:r>
        <w:rPr>
          <w:i/>
          <w:iCs/>
        </w:rPr>
        <w:t xml:space="preserve">See id. </w:t>
      </w:r>
      <w:r>
        <w:t>at Exhibit A.</w:t>
      </w:r>
    </w:p>
  </w:footnote>
  <w:footnote w:id="8">
    <w:p w:rsidR="00BA0691" w:rsidP="004D5F5F" w14:paraId="62DE2991" w14:textId="77777777">
      <w:pPr>
        <w:pStyle w:val="FootnoteText"/>
        <w:spacing w:after="120"/>
      </w:pPr>
      <w:r>
        <w:rPr>
          <w:rStyle w:val="FootnoteReference"/>
        </w:rPr>
        <w:footnoteRef/>
      </w:r>
      <w:r>
        <w:t xml:space="preserve"> Audit Report at 20.</w:t>
      </w:r>
    </w:p>
  </w:footnote>
  <w:footnote w:id="9">
    <w:p w:rsidR="00007B2C" w:rsidP="004D5F5F" w14:paraId="7439AEF1" w14:textId="476AB781">
      <w:pPr>
        <w:pStyle w:val="FootnoteText"/>
        <w:spacing w:after="120"/>
      </w:pPr>
      <w:r>
        <w:rPr>
          <w:rStyle w:val="FootnoteReference"/>
        </w:rPr>
        <w:footnoteRef/>
      </w:r>
      <w:r>
        <w:t xml:space="preserve"> </w:t>
      </w:r>
      <w:r>
        <w:rPr>
          <w:i/>
          <w:iCs/>
        </w:rPr>
        <w:t xml:space="preserve">See </w:t>
      </w:r>
      <w:r w:rsidRPr="00370510">
        <w:rPr>
          <w:i/>
          <w:iCs/>
        </w:rPr>
        <w:t xml:space="preserve">In re Ohio Edison Co., </w:t>
      </w:r>
      <w:r>
        <w:rPr>
          <w:i/>
          <w:iCs/>
        </w:rPr>
        <w:t>t</w:t>
      </w:r>
      <w:r w:rsidRPr="00370510">
        <w:rPr>
          <w:i/>
          <w:iCs/>
        </w:rPr>
        <w:t xml:space="preserve">he Cleveland Elec. Illum. Co., and </w:t>
      </w:r>
      <w:r>
        <w:rPr>
          <w:i/>
          <w:iCs/>
        </w:rPr>
        <w:t>t</w:t>
      </w:r>
      <w:r w:rsidRPr="00370510">
        <w:rPr>
          <w:i/>
          <w:iCs/>
        </w:rPr>
        <w:t>he Toledo Edison Co.</w:t>
      </w:r>
      <w:r>
        <w:t>, Case No. 14-1297-EL-SSO (</w:t>
      </w:r>
      <w:r w:rsidR="004D5F5F">
        <w:t>“</w:t>
      </w:r>
      <w:r>
        <w:t>ESP IV Case</w:t>
      </w:r>
      <w:r w:rsidR="004D5F5F">
        <w:t>”</w:t>
      </w:r>
      <w:r>
        <w:t>), Fifth Entry on Rehearing (Oct</w:t>
      </w:r>
      <w:r w:rsidR="008D1553">
        <w:t>.</w:t>
      </w:r>
      <w:r>
        <w:t xml:space="preserve"> 12, 2016), at ¶ 310.</w:t>
      </w:r>
    </w:p>
  </w:footnote>
  <w:footnote w:id="10">
    <w:p w:rsidR="00A82AB6" w:rsidP="004D5F5F" w14:paraId="4B82C44A" w14:textId="6EBB8CE9">
      <w:pPr>
        <w:pStyle w:val="FootnoteText"/>
        <w:spacing w:after="120"/>
      </w:pPr>
      <w:r>
        <w:rPr>
          <w:rStyle w:val="FootnoteReference"/>
        </w:rPr>
        <w:footnoteRef/>
      </w:r>
      <w:r>
        <w:t xml:space="preserve"> </w:t>
      </w:r>
      <w:r w:rsidR="005510A8">
        <w:t>Audit Report at 3.</w:t>
      </w:r>
    </w:p>
  </w:footnote>
  <w:footnote w:id="11">
    <w:p w:rsidR="00400ED2" w:rsidP="004D5F5F" w14:paraId="16F7E499" w14:textId="106DD6BD">
      <w:pPr>
        <w:pStyle w:val="FootnoteText"/>
        <w:spacing w:after="120"/>
      </w:pPr>
      <w:r>
        <w:rPr>
          <w:rStyle w:val="FootnoteReference"/>
        </w:rPr>
        <w:footnoteRef/>
      </w:r>
      <w:r>
        <w:t xml:space="preserve"> Audit Report at 3</w:t>
      </w:r>
      <w:r w:rsidR="00623F61">
        <w:t>.</w:t>
      </w:r>
    </w:p>
  </w:footnote>
  <w:footnote w:id="12">
    <w:p w:rsidR="00400ED2" w:rsidP="004D5F5F" w14:paraId="0A95AECD" w14:textId="78E2A1B6">
      <w:pPr>
        <w:pStyle w:val="FootnoteText"/>
        <w:spacing w:after="120"/>
      </w:pPr>
      <w:r>
        <w:rPr>
          <w:rStyle w:val="FootnoteReference"/>
        </w:rPr>
        <w:footnoteRef/>
      </w:r>
      <w:r>
        <w:t xml:space="preserve"> </w:t>
      </w:r>
      <w:r w:rsidR="00623F61">
        <w:t xml:space="preserve">Audit Report </w:t>
      </w:r>
      <w:r>
        <w:t>at 36.</w:t>
      </w:r>
    </w:p>
  </w:footnote>
  <w:footnote w:id="13">
    <w:p w:rsidR="00400ED2" w:rsidRPr="008C5588" w:rsidP="004D5F5F" w14:paraId="2B5F91FE" w14:textId="77777777">
      <w:pPr>
        <w:pStyle w:val="FootnoteText"/>
        <w:spacing w:after="120"/>
      </w:pPr>
      <w:r>
        <w:rPr>
          <w:rStyle w:val="FootnoteReference"/>
        </w:rPr>
        <w:footnoteRef/>
      </w:r>
      <w:r>
        <w:t xml:space="preserve"> </w:t>
      </w:r>
      <w:r>
        <w:rPr>
          <w:i/>
          <w:iCs/>
        </w:rPr>
        <w:t>Id.</w:t>
      </w:r>
      <w:r>
        <w:t xml:space="preserve"> at 39.</w:t>
      </w:r>
    </w:p>
  </w:footnote>
  <w:footnote w:id="14">
    <w:p w:rsidR="00007B2C" w:rsidP="004D5F5F" w14:paraId="63F93B8D" w14:textId="43E8E4A6">
      <w:pPr>
        <w:pStyle w:val="FootnoteText"/>
        <w:spacing w:after="120"/>
      </w:pPr>
      <w:r>
        <w:rPr>
          <w:rStyle w:val="FootnoteReference"/>
        </w:rPr>
        <w:footnoteRef/>
      </w:r>
      <w:r>
        <w:t xml:space="preserve"> </w:t>
      </w:r>
      <w:r w:rsidR="00BD1CC7">
        <w:rPr>
          <w:i/>
          <w:iCs/>
        </w:rPr>
        <w:t>Id.</w:t>
      </w:r>
      <w:r>
        <w:t xml:space="preserve"> at 4.</w:t>
      </w:r>
    </w:p>
  </w:footnote>
  <w:footnote w:id="15">
    <w:p w:rsidR="00CF648E" w:rsidRPr="0059311A" w:rsidP="004D5F5F" w14:paraId="70DBEDEF" w14:textId="2DC557FF">
      <w:pPr>
        <w:pStyle w:val="FootnoteText"/>
        <w:spacing w:after="120"/>
      </w:pPr>
      <w:r>
        <w:rPr>
          <w:rStyle w:val="FootnoteReference"/>
        </w:rPr>
        <w:footnoteRef/>
      </w:r>
      <w:r>
        <w:t xml:space="preserve"> Case No. 20-1629-EL-RDR, Entry (Dec</w:t>
      </w:r>
      <w:r w:rsidR="00E44AB9">
        <w:t>.</w:t>
      </w:r>
      <w:r>
        <w:t xml:space="preserve"> 15, 2021) at 3, 5.</w:t>
      </w:r>
    </w:p>
  </w:footnote>
  <w:footnote w:id="16">
    <w:p w:rsidR="00F44C3D" w:rsidP="004D5F5F" w14:paraId="42352D78" w14:textId="71A12C66">
      <w:pPr>
        <w:pStyle w:val="FootnoteText"/>
        <w:spacing w:after="120"/>
      </w:pPr>
      <w:r>
        <w:rPr>
          <w:rStyle w:val="FootnoteReference"/>
        </w:rPr>
        <w:footnoteRef/>
      </w:r>
      <w:r>
        <w:t xml:space="preserve"> </w:t>
      </w:r>
      <w:r w:rsidR="0059311A">
        <w:t xml:space="preserve">Case No. 20-1629-EL-RDR, </w:t>
      </w:r>
      <w:r>
        <w:t>PUCO Entries</w:t>
      </w:r>
      <w:r w:rsidR="0059311A">
        <w:t xml:space="preserve"> </w:t>
      </w:r>
      <w:r>
        <w:t>dated Aug</w:t>
      </w:r>
      <w:r w:rsidR="00E44AB9">
        <w:t>.</w:t>
      </w:r>
      <w:r>
        <w:t xml:space="preserve"> 24, 2022</w:t>
      </w:r>
      <w:r w:rsidR="00E44AB9">
        <w:t>;</w:t>
      </w:r>
      <w:r>
        <w:t xml:space="preserve"> March 8, 2023 and Aug</w:t>
      </w:r>
      <w:r w:rsidR="00E44AB9">
        <w:t>.</w:t>
      </w:r>
      <w:r>
        <w:t xml:space="preserve"> 23, 2023</w:t>
      </w:r>
      <w:r w:rsidR="0099290C">
        <w:t>,</w:t>
      </w:r>
      <w:r>
        <w:t xml:space="preserve"> each extending the stay for six months.</w:t>
      </w:r>
    </w:p>
  </w:footnote>
  <w:footnote w:id="17">
    <w:p w:rsidR="0059311A" w:rsidP="004D5F5F" w14:paraId="32F28B9A" w14:textId="5F3D44A5">
      <w:pPr>
        <w:pStyle w:val="FootnoteText"/>
        <w:spacing w:after="120"/>
      </w:pPr>
      <w:r>
        <w:rPr>
          <w:rStyle w:val="FootnoteReference"/>
        </w:rPr>
        <w:footnoteRef/>
      </w:r>
      <w:r>
        <w:t xml:space="preserve"> United States Attorney</w:t>
      </w:r>
      <w:r w:rsidR="004D5F5F">
        <w:t>’</w:t>
      </w:r>
      <w:r>
        <w:t>s Office, Southern District of Ohio (Dec</w:t>
      </w:r>
      <w:r w:rsidR="007A6E66">
        <w:t>.</w:t>
      </w:r>
      <w:r>
        <w:t xml:space="preserve"> 4, 2023), </w:t>
      </w:r>
      <w:hyperlink r:id="rId1" w:history="1">
        <w:r w:rsidRPr="00DC6B37">
          <w:rPr>
            <w:rStyle w:val="Hyperlink"/>
          </w:rPr>
          <w:t>https://www.justice.gov/usao-sdoh/pr/grand-jury-indicts-former-state-public-utilities-chairman-federal-bribery-embezzlement</w:t>
        </w:r>
      </w:hyperlink>
      <w:r>
        <w:t xml:space="preserve">; Attorney General of the State of Ohio </w:t>
      </w:r>
      <w:r w:rsidR="00AB090E">
        <w:t>(</w:t>
      </w:r>
      <w:r w:rsidR="00173D03">
        <w:t>Feb.</w:t>
      </w:r>
      <w:r>
        <w:t xml:space="preserve"> 12, 2024</w:t>
      </w:r>
      <w:r w:rsidR="00AB090E">
        <w:t>),</w:t>
      </w:r>
      <w:r>
        <w:t xml:space="preserve"> </w:t>
      </w:r>
      <w:hyperlink r:id="rId2" w:history="1">
        <w:r w:rsidRPr="008C1C20" w:rsidR="00CA52D0">
          <w:rPr>
            <w:rStyle w:val="Hyperlink"/>
          </w:rPr>
          <w:t>https://www.ohioattorneygeneral.gov/Media/News-Releases/February-2024/Former-PUCO-Chairman-Former-FirstEnergy-Executives</w:t>
        </w:r>
      </w:hyperlink>
      <w:r w:rsidR="00CA52D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C55" w14:paraId="34A05A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C55" w14:paraId="1D0D2A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1C55" w14:paraId="50D5EC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63C0DE9"/>
    <w:multiLevelType w:val="hybridMultilevel"/>
    <w:tmpl w:val="E5E049AE"/>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681F74"/>
    <w:multiLevelType w:val="hybridMultilevel"/>
    <w:tmpl w:val="1F08E93A"/>
    <w:lvl w:ilvl="0">
      <w:start w:val="1"/>
      <w:numFmt w:val="upperLetter"/>
      <w:pStyle w:val="Heading2"/>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FA45688"/>
    <w:multiLevelType w:val="hybridMultilevel"/>
    <w:tmpl w:val="DB62B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5"/>
  </w:num>
  <w:num w:numId="2">
    <w:abstractNumId w:val="4"/>
  </w:num>
  <w:num w:numId="3">
    <w:abstractNumId w:val="7"/>
  </w:num>
  <w:num w:numId="4">
    <w:abstractNumId w:val="6"/>
  </w:num>
  <w:num w:numId="5">
    <w:abstractNumId w:val="0"/>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4D"/>
    <w:rsid w:val="00005991"/>
    <w:rsid w:val="00007B2C"/>
    <w:rsid w:val="00027250"/>
    <w:rsid w:val="000742CC"/>
    <w:rsid w:val="000821BD"/>
    <w:rsid w:val="00083B58"/>
    <w:rsid w:val="00092BC3"/>
    <w:rsid w:val="000A5FD6"/>
    <w:rsid w:val="000B1BA9"/>
    <w:rsid w:val="000B4817"/>
    <w:rsid w:val="000E0B37"/>
    <w:rsid w:val="000F4B24"/>
    <w:rsid w:val="00104E19"/>
    <w:rsid w:val="00114DF3"/>
    <w:rsid w:val="001424E6"/>
    <w:rsid w:val="00146278"/>
    <w:rsid w:val="00146658"/>
    <w:rsid w:val="001473CF"/>
    <w:rsid w:val="00150F22"/>
    <w:rsid w:val="00157206"/>
    <w:rsid w:val="00162517"/>
    <w:rsid w:val="00164EA5"/>
    <w:rsid w:val="00173D03"/>
    <w:rsid w:val="00180C7B"/>
    <w:rsid w:val="001816B7"/>
    <w:rsid w:val="00195FEA"/>
    <w:rsid w:val="001A2634"/>
    <w:rsid w:val="001C62D1"/>
    <w:rsid w:val="001E13EF"/>
    <w:rsid w:val="001E544D"/>
    <w:rsid w:val="002041F6"/>
    <w:rsid w:val="00231929"/>
    <w:rsid w:val="00243DD9"/>
    <w:rsid w:val="00251496"/>
    <w:rsid w:val="00255C10"/>
    <w:rsid w:val="002638D4"/>
    <w:rsid w:val="00281E04"/>
    <w:rsid w:val="002919F1"/>
    <w:rsid w:val="00291D5E"/>
    <w:rsid w:val="002A63FA"/>
    <w:rsid w:val="002B1B79"/>
    <w:rsid w:val="002B7CAE"/>
    <w:rsid w:val="002C5DAA"/>
    <w:rsid w:val="002E177A"/>
    <w:rsid w:val="002F26AA"/>
    <w:rsid w:val="00305024"/>
    <w:rsid w:val="00325D7C"/>
    <w:rsid w:val="0034326E"/>
    <w:rsid w:val="0035010B"/>
    <w:rsid w:val="00366113"/>
    <w:rsid w:val="00370510"/>
    <w:rsid w:val="00381A30"/>
    <w:rsid w:val="003832FB"/>
    <w:rsid w:val="003A38E0"/>
    <w:rsid w:val="00400ED2"/>
    <w:rsid w:val="0040380D"/>
    <w:rsid w:val="00406BBA"/>
    <w:rsid w:val="00417069"/>
    <w:rsid w:val="00424C7F"/>
    <w:rsid w:val="004357C1"/>
    <w:rsid w:val="00440E51"/>
    <w:rsid w:val="0046625C"/>
    <w:rsid w:val="00475E06"/>
    <w:rsid w:val="004862F6"/>
    <w:rsid w:val="00491D64"/>
    <w:rsid w:val="00495BDA"/>
    <w:rsid w:val="00497D7D"/>
    <w:rsid w:val="004C002C"/>
    <w:rsid w:val="004D31A2"/>
    <w:rsid w:val="004D5F5F"/>
    <w:rsid w:val="004F3F4A"/>
    <w:rsid w:val="0051221F"/>
    <w:rsid w:val="00521353"/>
    <w:rsid w:val="00530AEE"/>
    <w:rsid w:val="005510A8"/>
    <w:rsid w:val="00551C55"/>
    <w:rsid w:val="00557495"/>
    <w:rsid w:val="00565DD2"/>
    <w:rsid w:val="00574254"/>
    <w:rsid w:val="005745FD"/>
    <w:rsid w:val="005836FF"/>
    <w:rsid w:val="0059311A"/>
    <w:rsid w:val="005A7E90"/>
    <w:rsid w:val="005B057C"/>
    <w:rsid w:val="005C4D04"/>
    <w:rsid w:val="005E21D8"/>
    <w:rsid w:val="00611B0A"/>
    <w:rsid w:val="00623F61"/>
    <w:rsid w:val="00633A70"/>
    <w:rsid w:val="00642398"/>
    <w:rsid w:val="006561B2"/>
    <w:rsid w:val="00656877"/>
    <w:rsid w:val="00661118"/>
    <w:rsid w:val="00667947"/>
    <w:rsid w:val="00667CBC"/>
    <w:rsid w:val="006759D8"/>
    <w:rsid w:val="00690726"/>
    <w:rsid w:val="006962C1"/>
    <w:rsid w:val="006B306A"/>
    <w:rsid w:val="006D6CC4"/>
    <w:rsid w:val="006E17DA"/>
    <w:rsid w:val="006E270E"/>
    <w:rsid w:val="006E35ED"/>
    <w:rsid w:val="006E3A27"/>
    <w:rsid w:val="006F7AD8"/>
    <w:rsid w:val="00721F90"/>
    <w:rsid w:val="007369DE"/>
    <w:rsid w:val="0073747D"/>
    <w:rsid w:val="007467D0"/>
    <w:rsid w:val="00755651"/>
    <w:rsid w:val="0078547A"/>
    <w:rsid w:val="00797816"/>
    <w:rsid w:val="00797D99"/>
    <w:rsid w:val="007A18DE"/>
    <w:rsid w:val="007A6E66"/>
    <w:rsid w:val="007A70CA"/>
    <w:rsid w:val="007B535B"/>
    <w:rsid w:val="007B7B06"/>
    <w:rsid w:val="007C133D"/>
    <w:rsid w:val="007F42F1"/>
    <w:rsid w:val="00805DE9"/>
    <w:rsid w:val="008120DA"/>
    <w:rsid w:val="00812543"/>
    <w:rsid w:val="008342AA"/>
    <w:rsid w:val="00841A9F"/>
    <w:rsid w:val="008427C8"/>
    <w:rsid w:val="008A025F"/>
    <w:rsid w:val="008A7EC2"/>
    <w:rsid w:val="008B255B"/>
    <w:rsid w:val="008B3938"/>
    <w:rsid w:val="008C16F4"/>
    <w:rsid w:val="008C1C20"/>
    <w:rsid w:val="008C5588"/>
    <w:rsid w:val="008D1553"/>
    <w:rsid w:val="008D6060"/>
    <w:rsid w:val="008E28BF"/>
    <w:rsid w:val="00941728"/>
    <w:rsid w:val="0094728C"/>
    <w:rsid w:val="009553F0"/>
    <w:rsid w:val="00957A1B"/>
    <w:rsid w:val="00957BFA"/>
    <w:rsid w:val="0096066E"/>
    <w:rsid w:val="00965585"/>
    <w:rsid w:val="00980D8E"/>
    <w:rsid w:val="00980F62"/>
    <w:rsid w:val="00985F74"/>
    <w:rsid w:val="0099290C"/>
    <w:rsid w:val="009A3AC9"/>
    <w:rsid w:val="009B246C"/>
    <w:rsid w:val="009D5637"/>
    <w:rsid w:val="009E4459"/>
    <w:rsid w:val="009E4BD0"/>
    <w:rsid w:val="009F7C1D"/>
    <w:rsid w:val="00A05802"/>
    <w:rsid w:val="00A06D39"/>
    <w:rsid w:val="00A10751"/>
    <w:rsid w:val="00A239D3"/>
    <w:rsid w:val="00A338D3"/>
    <w:rsid w:val="00A33F96"/>
    <w:rsid w:val="00A47E86"/>
    <w:rsid w:val="00A55390"/>
    <w:rsid w:val="00A6091C"/>
    <w:rsid w:val="00A621EE"/>
    <w:rsid w:val="00A62209"/>
    <w:rsid w:val="00A64C9F"/>
    <w:rsid w:val="00A77E05"/>
    <w:rsid w:val="00A8078F"/>
    <w:rsid w:val="00A82AB6"/>
    <w:rsid w:val="00A8317A"/>
    <w:rsid w:val="00A869C5"/>
    <w:rsid w:val="00AB090E"/>
    <w:rsid w:val="00AB22E6"/>
    <w:rsid w:val="00AC5244"/>
    <w:rsid w:val="00B0383E"/>
    <w:rsid w:val="00B10CA8"/>
    <w:rsid w:val="00B10F7C"/>
    <w:rsid w:val="00B14D17"/>
    <w:rsid w:val="00B45E35"/>
    <w:rsid w:val="00B506D3"/>
    <w:rsid w:val="00B53737"/>
    <w:rsid w:val="00B5704E"/>
    <w:rsid w:val="00B60605"/>
    <w:rsid w:val="00B7237B"/>
    <w:rsid w:val="00B8674D"/>
    <w:rsid w:val="00B945DF"/>
    <w:rsid w:val="00BA0691"/>
    <w:rsid w:val="00BD1CC7"/>
    <w:rsid w:val="00BD44FF"/>
    <w:rsid w:val="00BD50CF"/>
    <w:rsid w:val="00BF3449"/>
    <w:rsid w:val="00BF4217"/>
    <w:rsid w:val="00C02064"/>
    <w:rsid w:val="00C30285"/>
    <w:rsid w:val="00C430FF"/>
    <w:rsid w:val="00C443C0"/>
    <w:rsid w:val="00C51351"/>
    <w:rsid w:val="00C66C7E"/>
    <w:rsid w:val="00C6767A"/>
    <w:rsid w:val="00C966F6"/>
    <w:rsid w:val="00CA52D0"/>
    <w:rsid w:val="00CC2DA7"/>
    <w:rsid w:val="00CE5546"/>
    <w:rsid w:val="00CF648E"/>
    <w:rsid w:val="00D13B5E"/>
    <w:rsid w:val="00D165B2"/>
    <w:rsid w:val="00D23CA9"/>
    <w:rsid w:val="00D26B88"/>
    <w:rsid w:val="00D43CC8"/>
    <w:rsid w:val="00D550B3"/>
    <w:rsid w:val="00D66FC3"/>
    <w:rsid w:val="00D67548"/>
    <w:rsid w:val="00D81705"/>
    <w:rsid w:val="00D8767A"/>
    <w:rsid w:val="00DA3AB3"/>
    <w:rsid w:val="00DA6A78"/>
    <w:rsid w:val="00DA6B0E"/>
    <w:rsid w:val="00DB0ACF"/>
    <w:rsid w:val="00DB1378"/>
    <w:rsid w:val="00DB576D"/>
    <w:rsid w:val="00DC6B37"/>
    <w:rsid w:val="00DD0291"/>
    <w:rsid w:val="00DD0440"/>
    <w:rsid w:val="00DE1342"/>
    <w:rsid w:val="00DE3DF0"/>
    <w:rsid w:val="00E024EC"/>
    <w:rsid w:val="00E241C1"/>
    <w:rsid w:val="00E34E71"/>
    <w:rsid w:val="00E37529"/>
    <w:rsid w:val="00E43371"/>
    <w:rsid w:val="00E43D3E"/>
    <w:rsid w:val="00E44AB9"/>
    <w:rsid w:val="00E511B4"/>
    <w:rsid w:val="00E562C9"/>
    <w:rsid w:val="00E71DF1"/>
    <w:rsid w:val="00E83E3D"/>
    <w:rsid w:val="00EA357B"/>
    <w:rsid w:val="00EB1267"/>
    <w:rsid w:val="00EC0C28"/>
    <w:rsid w:val="00EE1ADD"/>
    <w:rsid w:val="00F06797"/>
    <w:rsid w:val="00F14E19"/>
    <w:rsid w:val="00F1579B"/>
    <w:rsid w:val="00F339E1"/>
    <w:rsid w:val="00F44C3D"/>
    <w:rsid w:val="00F473B1"/>
    <w:rsid w:val="00F6315F"/>
    <w:rsid w:val="00FA2E6A"/>
    <w:rsid w:val="00FA43A5"/>
    <w:rsid w:val="00FC4647"/>
    <w:rsid w:val="00FD3B93"/>
    <w:rsid w:val="00FD7FE7"/>
    <w:rsid w:val="00FE05A8"/>
    <w:rsid w:val="00FE4C7F"/>
    <w:rsid w:val="00FE69DC"/>
    <w:rsid w:val="00FF7E2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0BA53C43"/>
  <w15:docId w15:val="{58C07528-D04E-4DB2-A45B-F69591F7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209"/>
    <w:rPr>
      <w:sz w:val="24"/>
    </w:rPr>
  </w:style>
  <w:style w:type="paragraph" w:styleId="Heading1">
    <w:name w:val="heading 1"/>
    <w:basedOn w:val="ListParagraph"/>
    <w:next w:val="Normal"/>
    <w:qFormat/>
    <w:rsid w:val="00797D99"/>
    <w:pPr>
      <w:numPr>
        <w:numId w:val="8"/>
      </w:numPr>
      <w:spacing w:after="240"/>
      <w:ind w:left="720"/>
      <w:contextualSpacing w:val="0"/>
      <w:outlineLvl w:val="0"/>
    </w:pPr>
    <w:rPr>
      <w:b/>
      <w:bCs/>
      <w:szCs w:val="24"/>
    </w:rPr>
  </w:style>
  <w:style w:type="paragraph" w:styleId="Heading2">
    <w:name w:val="heading 2"/>
    <w:basedOn w:val="ListParagraph"/>
    <w:next w:val="Normal"/>
    <w:qFormat/>
    <w:rsid w:val="00642398"/>
    <w:pPr>
      <w:numPr>
        <w:numId w:val="9"/>
      </w:numPr>
      <w:spacing w:after="240"/>
      <w:contextualSpacing w:val="0"/>
      <w:outlineLvl w:val="1"/>
    </w:pPr>
    <w:rPr>
      <w:b/>
      <w:bCs/>
      <w:szCs w:val="24"/>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aliases w:val=" Char1"/>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ALTS FOOTNOTE,Car,Footnote Text Char Char,Footnote Text Char Char Char Char,Footnote Text Char1,Footnote Text Char1 Char Char1,Footnote Text Char1 Char Char1 Char Char Char,Footnote Text Char2 Char Char Char Char1,fn"/>
    <w:basedOn w:val="Normal"/>
    <w:link w:val="FootnoteTextChar"/>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AB1DE9"/>
    <w:rPr>
      <w:color w:val="605E5C"/>
      <w:shd w:val="clear" w:color="auto" w:fill="E1DFDD"/>
    </w:rPr>
  </w:style>
  <w:style w:type="paragraph" w:styleId="Revision">
    <w:name w:val="Revision"/>
    <w:hidden/>
    <w:uiPriority w:val="99"/>
    <w:semiHidden/>
    <w:rsid w:val="003D7254"/>
    <w:rPr>
      <w:sz w:val="24"/>
    </w:rPr>
  </w:style>
  <w:style w:type="character" w:customStyle="1" w:styleId="FooterChar">
    <w:name w:val="Footer Char"/>
    <w:aliases w:val=" Char1 Char"/>
    <w:basedOn w:val="DefaultParagraphFont"/>
    <w:link w:val="Footer"/>
    <w:uiPriority w:val="99"/>
    <w:rsid w:val="0073747D"/>
  </w:style>
  <w:style w:type="character" w:customStyle="1" w:styleId="UnresolvedMention2">
    <w:name w:val="Unresolved Mention2"/>
    <w:basedOn w:val="DefaultParagraphFont"/>
    <w:rsid w:val="000A526E"/>
    <w:rPr>
      <w:color w:val="605E5C"/>
      <w:shd w:val="clear" w:color="auto" w:fill="E1DFDD"/>
    </w:rPr>
  </w:style>
  <w:style w:type="character" w:customStyle="1" w:styleId="UnresolvedMention3">
    <w:name w:val="Unresolved Mention3"/>
    <w:basedOn w:val="DefaultParagraphFont"/>
    <w:rsid w:val="005B057C"/>
    <w:rPr>
      <w:color w:val="605E5C"/>
      <w:shd w:val="clear" w:color="auto" w:fill="E1DFDD"/>
    </w:rPr>
  </w:style>
  <w:style w:type="character" w:customStyle="1" w:styleId="CommentTextChar">
    <w:name w:val="Comment Text Char"/>
    <w:basedOn w:val="DefaultParagraphFont"/>
    <w:link w:val="CommentText"/>
    <w:rsid w:val="005B057C"/>
    <w:rPr>
      <w:sz w:val="24"/>
      <w:szCs w:val="24"/>
    </w:rPr>
  </w:style>
  <w:style w:type="character" w:customStyle="1" w:styleId="HTMLPreformattedChar">
    <w:name w:val="HTML Preformatted Char"/>
    <w:basedOn w:val="DefaultParagraphFont"/>
    <w:link w:val="HTMLPreformatted"/>
    <w:rsid w:val="00291D5E"/>
    <w:rPr>
      <w:rFonts w:ascii="Courier New" w:eastAsia="Courier New" w:hAnsi="Courier New" w:cs="Courier New"/>
    </w:rPr>
  </w:style>
  <w:style w:type="character" w:customStyle="1" w:styleId="UnresolvedMention4">
    <w:name w:val="Unresolved Mention4"/>
    <w:basedOn w:val="DefaultParagraphFont"/>
    <w:rsid w:val="00D67548"/>
    <w:rPr>
      <w:color w:val="605E5C"/>
      <w:shd w:val="clear" w:color="auto" w:fill="E1DFDD"/>
    </w:rPr>
  </w:style>
  <w:style w:type="character" w:customStyle="1" w:styleId="BodyTextIndent3Char">
    <w:name w:val="Body Text Indent 3 Char"/>
    <w:basedOn w:val="DefaultParagraphFont"/>
    <w:link w:val="BodyTextIndent3"/>
    <w:rsid w:val="002B7CAE"/>
    <w:rPr>
      <w:sz w:val="24"/>
    </w:rPr>
  </w:style>
  <w:style w:type="character" w:customStyle="1" w:styleId="UnresolvedMention">
    <w:name w:val="Unresolved Mention"/>
    <w:basedOn w:val="DefaultParagraphFont"/>
    <w:rsid w:val="00E83E3D"/>
    <w:rPr>
      <w:color w:val="605E5C"/>
      <w:shd w:val="clear" w:color="auto" w:fill="E1DFDD"/>
    </w:rPr>
  </w:style>
  <w:style w:type="paragraph" w:styleId="ListParagraph">
    <w:name w:val="List Paragraph"/>
    <w:basedOn w:val="Normal"/>
    <w:uiPriority w:val="34"/>
    <w:qFormat/>
    <w:rsid w:val="00440E51"/>
    <w:pPr>
      <w:ind w:left="720"/>
      <w:contextualSpacing/>
    </w:pPr>
  </w:style>
  <w:style w:type="character" w:customStyle="1" w:styleId="FootnoteTextChar">
    <w:name w:val="Footnote Text Char"/>
    <w:aliases w:val="ALTS FOOTNOTE Char,Car Char,Footnote Text Char Char Char,Footnote Text Char Char Char Char Char,Footnote Text Char1 Char,Footnote Text Char1 Char Char1 Char,Footnote Text Char1 Char Char1 Char Char Char Char,fn Char"/>
    <w:basedOn w:val="DefaultParagraphFont"/>
    <w:link w:val="FootnoteText"/>
    <w:rsid w:val="00A77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acqueline.st.john@puco.ohio.gov" TargetMode="External" /><Relationship Id="rId11" Type="http://schemas.openxmlformats.org/officeDocument/2006/relationships/hyperlink" Target="mailto:zwoltz@firstenergycorp.com" TargetMode="External" /><Relationship Id="rId12" Type="http://schemas.openxmlformats.org/officeDocument/2006/relationships/hyperlink" Target="mailto:mkurtz@BKLlawfirm.com" TargetMode="External" /><Relationship Id="rId13" Type="http://schemas.openxmlformats.org/officeDocument/2006/relationships/hyperlink" Target="mailto:kylercohn@BKLlawfirm.com" TargetMode="External" /><Relationship Id="rId14" Type="http://schemas.openxmlformats.org/officeDocument/2006/relationships/hyperlink" Target="mailto:dproano@bakerlaw.com" TargetMode="External" /><Relationship Id="rId15" Type="http://schemas.openxmlformats.org/officeDocument/2006/relationships/hyperlink" Target="mailto:pwillison@bakerlaw.com"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y.botschnerobrien@ohioago.gov" TargetMode="External" /><Relationship Id="rId8" Type="http://schemas.openxmlformats.org/officeDocument/2006/relationships/hyperlink" Target="mailto:megan.addison@puco.ohio.gov" TargetMode="External" /><Relationship Id="rId9" Type="http://schemas.openxmlformats.org/officeDocument/2006/relationships/hyperlink" Target="mailto:greg.price@puco.ohio.go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justice.gov/usao-sdoh/pr/grand-jury-indicts-former-state-public-utilities-chairman-federal-bribery-embezzlement" TargetMode="External" /><Relationship Id="rId2" Type="http://schemas.openxmlformats.org/officeDocument/2006/relationships/hyperlink" Target="https://www.ohioattorneygeneral.gov/Media/News-Releases/February-2024/Former-PUCO-Chairman-Former-FirstEnergy-Executiv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46E1D-E0A9-49F0-8A03-655F49EF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2024-02-26T20:47:23Z</dcterms:created>
  <dcterms:modified xsi:type="dcterms:W3CDTF">2024-02-26T20:47:23Z</dcterms:modified>
</cp:coreProperties>
</file>