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88" w:rsidRPr="00AC46AE" w:rsidRDefault="007C3A88" w:rsidP="007C3A88">
      <w:pPr>
        <w:widowControl/>
        <w:tabs>
          <w:tab w:val="center" w:pos="4680"/>
          <w:tab w:val="right" w:pos="9360"/>
        </w:tabs>
        <w:spacing w:after="260"/>
        <w:rPr>
          <w:rFonts w:ascii="Times New Roman" w:hAnsi="Times New Roman"/>
          <w:snapToGrid/>
          <w:sz w:val="22"/>
          <w:szCs w:val="24"/>
        </w:rPr>
      </w:pPr>
    </w:p>
    <w:p w:rsidR="007C3A88" w:rsidRPr="00AC46AE" w:rsidRDefault="007C3A88" w:rsidP="007C3A88">
      <w:pPr>
        <w:widowControl/>
        <w:tabs>
          <w:tab w:val="center" w:pos="4680"/>
          <w:tab w:val="right" w:pos="9360"/>
        </w:tabs>
        <w:spacing w:after="260"/>
        <w:rPr>
          <w:rFonts w:ascii="Times New Roman" w:hAnsi="Times New Roman"/>
          <w:snapToGrid/>
          <w:sz w:val="22"/>
          <w:szCs w:val="24"/>
        </w:rPr>
      </w:pPr>
    </w:p>
    <w:p w:rsidR="007C3A88" w:rsidRPr="00AC46AE" w:rsidRDefault="007D70BE" w:rsidP="007C3A88">
      <w:pPr>
        <w:widowControl/>
        <w:tabs>
          <w:tab w:val="center" w:pos="4680"/>
          <w:tab w:val="right" w:pos="9360"/>
        </w:tabs>
        <w:spacing w:after="260"/>
        <w:rPr>
          <w:rFonts w:ascii="Times New Roman" w:hAnsi="Times New Roman"/>
          <w:snapToGrid/>
          <w:sz w:val="22"/>
          <w:szCs w:val="24"/>
        </w:rPr>
      </w:pPr>
      <w:r>
        <w:rPr>
          <w:rFonts w:ascii="Times New Roman" w:hAnsi="Times New Roman"/>
          <w:noProof/>
          <w:snapToGrid/>
          <w:sz w:val="22"/>
          <w:szCs w:val="24"/>
        </w:rPr>
        <w:t>April 30</w:t>
      </w:r>
      <w:r w:rsidR="007C3A88" w:rsidRPr="00AC46AE">
        <w:rPr>
          <w:rFonts w:ascii="Times New Roman" w:hAnsi="Times New Roman"/>
          <w:noProof/>
          <w:snapToGrid/>
          <w:sz w:val="22"/>
          <w:szCs w:val="24"/>
        </w:rPr>
        <w:t>, 2012</w:t>
      </w:r>
    </w:p>
    <w:p w:rsidR="007C3A88" w:rsidRPr="00AC46AE" w:rsidRDefault="007C3A88" w:rsidP="007C3A88">
      <w:pPr>
        <w:widowControl/>
        <w:tabs>
          <w:tab w:val="center" w:pos="4680"/>
          <w:tab w:val="right" w:pos="9360"/>
        </w:tabs>
        <w:spacing w:after="120"/>
        <w:rPr>
          <w:rFonts w:ascii="Times New Roman" w:hAnsi="Times New Roman"/>
          <w:snapToGrid/>
          <w:sz w:val="22"/>
          <w:szCs w:val="24"/>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7C3A88" w:rsidRPr="00AC46AE" w:rsidTr="00571ED5">
        <w:trPr>
          <w:cantSplit/>
          <w:jc w:val="center"/>
        </w:trPr>
        <w:tc>
          <w:tcPr>
            <w:tcW w:w="5400" w:type="dxa"/>
          </w:tcPr>
          <w:p w:rsidR="007C3A88" w:rsidRPr="00AC46AE" w:rsidRDefault="007C3A88" w:rsidP="00571ED5">
            <w:pPr>
              <w:widowControl/>
              <w:rPr>
                <w:rFonts w:ascii="Times New Roman" w:hAnsi="Times New Roman"/>
                <w:snapToGrid/>
                <w:sz w:val="22"/>
                <w:szCs w:val="24"/>
              </w:rPr>
            </w:pPr>
            <w:proofErr w:type="spellStart"/>
            <w:r w:rsidRPr="00AC46AE">
              <w:rPr>
                <w:rFonts w:ascii="Times New Roman" w:hAnsi="Times New Roman"/>
                <w:snapToGrid/>
                <w:sz w:val="22"/>
                <w:szCs w:val="24"/>
              </w:rPr>
              <w:t>Barcy</w:t>
            </w:r>
            <w:proofErr w:type="spellEnd"/>
            <w:r w:rsidRPr="00AC46AE">
              <w:rPr>
                <w:rFonts w:ascii="Times New Roman" w:hAnsi="Times New Roman"/>
                <w:snapToGrid/>
                <w:sz w:val="22"/>
                <w:szCs w:val="24"/>
              </w:rPr>
              <w:t xml:space="preserve"> McNeal, Secretary</w:t>
            </w:r>
          </w:p>
          <w:p w:rsidR="007C3A88" w:rsidRPr="00AC46AE" w:rsidRDefault="007C3A88" w:rsidP="00571ED5">
            <w:pPr>
              <w:widowControl/>
              <w:rPr>
                <w:rFonts w:ascii="Times New Roman" w:hAnsi="Times New Roman"/>
                <w:snapToGrid/>
                <w:sz w:val="22"/>
                <w:szCs w:val="24"/>
              </w:rPr>
            </w:pPr>
            <w:r w:rsidRPr="00AC46AE">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AC46AE">
                  <w:rPr>
                    <w:rFonts w:ascii="Times New Roman" w:hAnsi="Times New Roman"/>
                    <w:snapToGrid/>
                    <w:sz w:val="22"/>
                    <w:szCs w:val="24"/>
                  </w:rPr>
                  <w:t>Ohio</w:t>
                </w:r>
              </w:smartTag>
            </w:smartTag>
          </w:p>
          <w:p w:rsidR="007C3A88" w:rsidRPr="00AC46AE" w:rsidRDefault="007C3A88" w:rsidP="00571ED5">
            <w:pPr>
              <w:widowControl/>
              <w:rPr>
                <w:rFonts w:ascii="Times New Roman" w:hAnsi="Times New Roman"/>
                <w:snapToGrid/>
                <w:sz w:val="22"/>
                <w:szCs w:val="24"/>
              </w:rPr>
            </w:pPr>
            <w:smartTag w:uri="urn:schemas-microsoft-com:office:smarttags" w:element="Street">
              <w:smartTag w:uri="urn:schemas-microsoft-com:office:smarttags" w:element="address">
                <w:r w:rsidRPr="00AC46AE">
                  <w:rPr>
                    <w:rFonts w:ascii="Times New Roman" w:hAnsi="Times New Roman"/>
                    <w:snapToGrid/>
                    <w:sz w:val="22"/>
                    <w:szCs w:val="24"/>
                  </w:rPr>
                  <w:t>180 East Broad Street</w:t>
                </w:r>
              </w:smartTag>
            </w:smartTag>
          </w:p>
          <w:p w:rsidR="007C3A88" w:rsidRPr="00AC46AE" w:rsidRDefault="007C3A88" w:rsidP="00571ED5">
            <w:pPr>
              <w:widowControl/>
              <w:rPr>
                <w:rFonts w:ascii="Times New Roman" w:hAnsi="Times New Roman"/>
                <w:snapToGrid/>
                <w:sz w:val="22"/>
                <w:szCs w:val="24"/>
              </w:rPr>
            </w:pPr>
            <w:smartTag w:uri="urn:schemas-microsoft-com:office:smarttags" w:element="place">
              <w:smartTag w:uri="urn:schemas:contacts" w:element="nameSuffix">
                <w:r w:rsidRPr="00AC46AE">
                  <w:rPr>
                    <w:rFonts w:ascii="Times New Roman" w:hAnsi="Times New Roman"/>
                    <w:snapToGrid/>
                    <w:sz w:val="22"/>
                    <w:szCs w:val="24"/>
                  </w:rPr>
                  <w:t>Columbus</w:t>
                </w:r>
              </w:smartTag>
              <w:r w:rsidRPr="00AC46AE">
                <w:rPr>
                  <w:rFonts w:ascii="Times New Roman" w:hAnsi="Times New Roman"/>
                  <w:snapToGrid/>
                  <w:sz w:val="22"/>
                  <w:szCs w:val="24"/>
                </w:rPr>
                <w:t xml:space="preserve">, </w:t>
              </w:r>
              <w:smartTag w:uri="urn:schemas-microsoft-com:office:smarttags" w:element="State">
                <w:r w:rsidRPr="00AC46AE">
                  <w:rPr>
                    <w:rFonts w:ascii="Times New Roman" w:hAnsi="Times New Roman"/>
                    <w:snapToGrid/>
                    <w:sz w:val="22"/>
                    <w:szCs w:val="24"/>
                  </w:rPr>
                  <w:t>Ohio</w:t>
                </w:r>
              </w:smartTag>
              <w:r w:rsidRPr="00AC46AE">
                <w:rPr>
                  <w:rFonts w:ascii="Times New Roman" w:hAnsi="Times New Roman"/>
                  <w:snapToGrid/>
                  <w:sz w:val="22"/>
                  <w:szCs w:val="24"/>
                </w:rPr>
                <w:t xml:space="preserve"> </w:t>
              </w:r>
              <w:smartTag w:uri="urn:schemas-microsoft-com:office:smarttags" w:element="PostalCode">
                <w:r w:rsidRPr="00AC46AE">
                  <w:rPr>
                    <w:rFonts w:ascii="Times New Roman" w:hAnsi="Times New Roman"/>
                    <w:snapToGrid/>
                    <w:sz w:val="22"/>
                    <w:szCs w:val="24"/>
                  </w:rPr>
                  <w:t>43215</w:t>
                </w:r>
              </w:smartTag>
            </w:smartTag>
          </w:p>
        </w:tc>
        <w:tc>
          <w:tcPr>
            <w:tcW w:w="3960" w:type="dxa"/>
          </w:tcPr>
          <w:p w:rsidR="007C3A88" w:rsidRPr="00AC46AE" w:rsidRDefault="007C3A88" w:rsidP="00571ED5">
            <w:pPr>
              <w:widowControl/>
              <w:rPr>
                <w:rFonts w:ascii="Times New Roman" w:hAnsi="Times New Roman"/>
                <w:snapToGrid/>
                <w:sz w:val="24"/>
                <w:szCs w:val="24"/>
              </w:rPr>
            </w:pPr>
          </w:p>
        </w:tc>
      </w:tr>
    </w:tbl>
    <w:p w:rsidR="007C3A88" w:rsidRPr="00AC46AE" w:rsidRDefault="007C3A88" w:rsidP="007C3A88">
      <w:pPr>
        <w:widowControl/>
        <w:spacing w:after="360"/>
        <w:ind w:left="720" w:hanging="730"/>
        <w:rPr>
          <w:rFonts w:ascii="Times New Roman" w:hAnsi="Times New Roman"/>
          <w:snapToGrid/>
          <w:sz w:val="22"/>
          <w:szCs w:val="22"/>
          <w:u w:val="single"/>
        </w:rPr>
      </w:pPr>
      <w:r w:rsidRPr="00AC46AE">
        <w:rPr>
          <w:rFonts w:ascii="Times New Roman" w:hAnsi="Times New Roman"/>
          <w:smallCaps/>
          <w:snapToGrid/>
          <w:sz w:val="22"/>
          <w:szCs w:val="24"/>
        </w:rPr>
        <w:t>Re:</w:t>
      </w:r>
      <w:r w:rsidRPr="00AC46AE">
        <w:rPr>
          <w:rFonts w:ascii="Times New Roman" w:hAnsi="Times New Roman"/>
          <w:snapToGrid/>
          <w:sz w:val="22"/>
          <w:szCs w:val="24"/>
        </w:rPr>
        <w:tab/>
        <w:t xml:space="preserve">In the Matter of the Application of </w:t>
      </w:r>
      <w:r>
        <w:rPr>
          <w:rFonts w:ascii="Times New Roman" w:hAnsi="Times New Roman"/>
          <w:snapToGrid/>
          <w:sz w:val="22"/>
          <w:szCs w:val="24"/>
        </w:rPr>
        <w:t>McClure Communications Corporation for New Operating Authority,</w:t>
      </w:r>
      <w:r w:rsidRPr="00AC46AE">
        <w:rPr>
          <w:rFonts w:ascii="Times New Roman" w:hAnsi="Times New Roman"/>
          <w:snapToGrid/>
          <w:sz w:val="22"/>
          <w:szCs w:val="24"/>
        </w:rPr>
        <w:t xml:space="preserve"> </w:t>
      </w:r>
      <w:r>
        <w:rPr>
          <w:rFonts w:ascii="Times New Roman" w:hAnsi="Times New Roman"/>
          <w:snapToGrid/>
          <w:sz w:val="22"/>
          <w:szCs w:val="24"/>
        </w:rPr>
        <w:t>PUCO Case No. 12-1123</w:t>
      </w:r>
      <w:r w:rsidRPr="00AC46AE">
        <w:rPr>
          <w:rFonts w:ascii="Times New Roman" w:hAnsi="Times New Roman"/>
          <w:snapToGrid/>
          <w:sz w:val="22"/>
          <w:szCs w:val="24"/>
        </w:rPr>
        <w:t>-</w:t>
      </w:r>
      <w:proofErr w:type="spellStart"/>
      <w:r w:rsidRPr="00AC46AE">
        <w:rPr>
          <w:rFonts w:ascii="Times New Roman" w:hAnsi="Times New Roman"/>
          <w:snapToGrid/>
          <w:sz w:val="22"/>
          <w:szCs w:val="24"/>
        </w:rPr>
        <w:t>TP</w:t>
      </w:r>
      <w:proofErr w:type="spellEnd"/>
      <w:r w:rsidRPr="00AC46AE">
        <w:rPr>
          <w:rFonts w:ascii="Times New Roman" w:hAnsi="Times New Roman"/>
          <w:snapToGrid/>
          <w:sz w:val="22"/>
          <w:szCs w:val="24"/>
        </w:rPr>
        <w:t>-A</w:t>
      </w:r>
      <w:r>
        <w:rPr>
          <w:rFonts w:ascii="Times New Roman" w:hAnsi="Times New Roman"/>
          <w:snapToGrid/>
          <w:sz w:val="22"/>
          <w:szCs w:val="24"/>
        </w:rPr>
        <w:t>CE</w:t>
      </w:r>
    </w:p>
    <w:p w:rsidR="007C3A88" w:rsidRPr="00AC46AE" w:rsidRDefault="007C3A88" w:rsidP="007C3A88">
      <w:pPr>
        <w:widowControl/>
        <w:spacing w:after="260"/>
        <w:rPr>
          <w:rFonts w:ascii="Times New Roman" w:hAnsi="Times New Roman"/>
          <w:snapToGrid/>
          <w:sz w:val="22"/>
          <w:szCs w:val="24"/>
        </w:rPr>
      </w:pPr>
      <w:r w:rsidRPr="00AC46AE">
        <w:rPr>
          <w:rFonts w:ascii="Times New Roman" w:hAnsi="Times New Roman"/>
          <w:snapToGrid/>
          <w:sz w:val="22"/>
          <w:szCs w:val="24"/>
        </w:rPr>
        <w:t xml:space="preserve">Dear </w:t>
      </w:r>
      <w:smartTag w:uri="urn:schemas:contacts" w:element="title">
        <w:r w:rsidRPr="00AC46AE">
          <w:rPr>
            <w:rFonts w:ascii="Times New Roman" w:hAnsi="Times New Roman"/>
            <w:snapToGrid/>
            <w:sz w:val="22"/>
            <w:szCs w:val="24"/>
          </w:rPr>
          <w:t>Ms.</w:t>
        </w:r>
      </w:smartTag>
      <w:r w:rsidRPr="00AC46AE">
        <w:rPr>
          <w:rFonts w:ascii="Times New Roman" w:hAnsi="Times New Roman"/>
          <w:snapToGrid/>
          <w:sz w:val="22"/>
          <w:szCs w:val="24"/>
        </w:rPr>
        <w:t xml:space="preserve"> McNeal:</w:t>
      </w:r>
    </w:p>
    <w:p w:rsidR="007C3A88" w:rsidRDefault="007C3A88" w:rsidP="007C3A88">
      <w:pPr>
        <w:widowControl/>
        <w:spacing w:after="260"/>
        <w:rPr>
          <w:rFonts w:ascii="Times New Roman" w:hAnsi="Times New Roman"/>
          <w:snapToGrid/>
          <w:sz w:val="22"/>
          <w:szCs w:val="24"/>
        </w:rPr>
      </w:pPr>
      <w:r w:rsidRPr="00AC46AE">
        <w:rPr>
          <w:rFonts w:ascii="Times New Roman" w:hAnsi="Times New Roman"/>
          <w:snapToGrid/>
          <w:sz w:val="22"/>
          <w:szCs w:val="24"/>
        </w:rPr>
        <w:t xml:space="preserve">Attached </w:t>
      </w:r>
      <w:r w:rsidR="007D70BE">
        <w:rPr>
          <w:rFonts w:ascii="Times New Roman" w:hAnsi="Times New Roman"/>
          <w:snapToGrid/>
          <w:sz w:val="22"/>
          <w:szCs w:val="24"/>
        </w:rPr>
        <w:t>please find</w:t>
      </w:r>
      <w:r w:rsidR="002661BC">
        <w:rPr>
          <w:rFonts w:ascii="Times New Roman" w:hAnsi="Times New Roman"/>
          <w:snapToGrid/>
          <w:sz w:val="22"/>
          <w:szCs w:val="24"/>
        </w:rPr>
        <w:t xml:space="preserve"> the</w:t>
      </w:r>
      <w:bookmarkStart w:id="0" w:name="_GoBack"/>
      <w:bookmarkEnd w:id="0"/>
      <w:r w:rsidR="007D70BE">
        <w:rPr>
          <w:rFonts w:ascii="Times New Roman" w:hAnsi="Times New Roman"/>
          <w:snapToGrid/>
          <w:sz w:val="22"/>
          <w:szCs w:val="24"/>
        </w:rPr>
        <w:t xml:space="preserve"> </w:t>
      </w:r>
      <w:r>
        <w:rPr>
          <w:rFonts w:ascii="Times New Roman" w:hAnsi="Times New Roman"/>
          <w:snapToGrid/>
          <w:sz w:val="22"/>
          <w:szCs w:val="24"/>
        </w:rPr>
        <w:t xml:space="preserve">final </w:t>
      </w:r>
      <w:r w:rsidR="002661BC">
        <w:rPr>
          <w:rFonts w:ascii="Times New Roman" w:hAnsi="Times New Roman"/>
          <w:snapToGrid/>
          <w:sz w:val="22"/>
          <w:szCs w:val="24"/>
        </w:rPr>
        <w:t>Telecommunications Tariff</w:t>
      </w:r>
      <w:r w:rsidRPr="00AC46AE">
        <w:rPr>
          <w:rFonts w:ascii="Times New Roman" w:hAnsi="Times New Roman"/>
          <w:snapToGrid/>
          <w:sz w:val="22"/>
          <w:szCs w:val="24"/>
        </w:rPr>
        <w:t xml:space="preserve"> be filed on behalf of </w:t>
      </w:r>
      <w:r>
        <w:rPr>
          <w:rFonts w:ascii="Times New Roman" w:hAnsi="Times New Roman"/>
          <w:snapToGrid/>
          <w:sz w:val="22"/>
          <w:szCs w:val="24"/>
        </w:rPr>
        <w:t>McClure Communications Corporation</w:t>
      </w:r>
      <w:r w:rsidRPr="00AC46AE">
        <w:rPr>
          <w:rFonts w:ascii="Times New Roman" w:hAnsi="Times New Roman"/>
          <w:snapToGrid/>
          <w:sz w:val="22"/>
          <w:szCs w:val="24"/>
        </w:rPr>
        <w:t xml:space="preserve"> in the above-referenced mat</w:t>
      </w:r>
      <w:r>
        <w:rPr>
          <w:rFonts w:ascii="Times New Roman" w:hAnsi="Times New Roman"/>
          <w:snapToGrid/>
          <w:sz w:val="22"/>
          <w:szCs w:val="24"/>
        </w:rPr>
        <w:t xml:space="preserve">ter.  </w:t>
      </w:r>
    </w:p>
    <w:p w:rsidR="007C3A88" w:rsidRPr="00AC46AE" w:rsidRDefault="007C3A88" w:rsidP="007C3A88">
      <w:pPr>
        <w:widowControl/>
        <w:spacing w:after="260"/>
        <w:rPr>
          <w:rFonts w:ascii="Times New Roman" w:hAnsi="Times New Roman"/>
          <w:snapToGrid/>
          <w:sz w:val="22"/>
          <w:szCs w:val="24"/>
        </w:rPr>
      </w:pPr>
      <w:r w:rsidRPr="00AC46AE">
        <w:rPr>
          <w:rFonts w:ascii="Times New Roman" w:hAnsi="Times New Roman"/>
          <w:snapToGrid/>
          <w:sz w:val="22"/>
          <w:szCs w:val="24"/>
        </w:rPr>
        <w:t>Please contact me with any questions.</w:t>
      </w:r>
    </w:p>
    <w:p w:rsidR="007C3A88" w:rsidRPr="00AC46AE" w:rsidRDefault="007C3A88" w:rsidP="007C3A88">
      <w:pPr>
        <w:widowControl/>
        <w:rPr>
          <w:rFonts w:ascii="Times New Roman" w:hAnsi="Times New Roman"/>
          <w:snapToGrid/>
          <w:sz w:val="22"/>
          <w:szCs w:val="24"/>
        </w:rPr>
      </w:pPr>
      <w:r w:rsidRPr="00AC46AE">
        <w:rPr>
          <w:rFonts w:ascii="Times New Roman" w:hAnsi="Times New Roman"/>
          <w:snapToGrid/>
          <w:sz w:val="22"/>
          <w:szCs w:val="24"/>
        </w:rPr>
        <w:t>Very truly yours,</w:t>
      </w:r>
    </w:p>
    <w:p w:rsidR="007C3A88" w:rsidRPr="00AC46AE" w:rsidRDefault="007C3A88" w:rsidP="007C3A88">
      <w:pPr>
        <w:widowControl/>
        <w:rPr>
          <w:rFonts w:ascii="Times New Roman" w:hAnsi="Times New Roman"/>
          <w:snapToGrid/>
          <w:sz w:val="22"/>
          <w:szCs w:val="24"/>
        </w:rPr>
      </w:pPr>
    </w:p>
    <w:p w:rsidR="007C3A88" w:rsidRPr="00AC46AE" w:rsidRDefault="007C3A88" w:rsidP="007C3A88">
      <w:pPr>
        <w:widowControl/>
        <w:rPr>
          <w:rFonts w:ascii="Times New Roman" w:hAnsi="Times New Roman"/>
          <w:snapToGrid/>
          <w:sz w:val="22"/>
          <w:szCs w:val="24"/>
        </w:rPr>
      </w:pPr>
    </w:p>
    <w:p w:rsidR="007C3A88" w:rsidRPr="00AC46AE" w:rsidRDefault="007C3A88" w:rsidP="007C3A88">
      <w:pPr>
        <w:widowControl/>
        <w:rPr>
          <w:rFonts w:ascii="Times New Roman" w:hAnsi="Times New Roman"/>
          <w:snapToGrid/>
          <w:sz w:val="22"/>
          <w:szCs w:val="24"/>
        </w:rPr>
      </w:pPr>
    </w:p>
    <w:p w:rsidR="007C3A88" w:rsidRPr="00AC46AE" w:rsidRDefault="007C3A88" w:rsidP="007C3A88">
      <w:pPr>
        <w:widowControl/>
        <w:rPr>
          <w:rFonts w:ascii="Times New Roman" w:hAnsi="Times New Roman"/>
          <w:snapToGrid/>
          <w:sz w:val="22"/>
          <w:szCs w:val="24"/>
        </w:rPr>
      </w:pPr>
      <w:r w:rsidRPr="00AC46AE">
        <w:rPr>
          <w:rFonts w:ascii="Times New Roman" w:hAnsi="Times New Roman"/>
          <w:snapToGrid/>
          <w:sz w:val="22"/>
          <w:szCs w:val="24"/>
        </w:rPr>
        <w:t xml:space="preserve">/s/ </w:t>
      </w:r>
      <w:smartTag w:uri="urn:schemas-microsoft-com:office:smarttags" w:element="PersonName">
        <w:smartTag w:uri="urn:schemas:contacts" w:element="GivenName">
          <w:r w:rsidRPr="00AC46AE">
            <w:rPr>
              <w:rFonts w:ascii="Times New Roman" w:hAnsi="Times New Roman"/>
              <w:snapToGrid/>
              <w:sz w:val="22"/>
              <w:szCs w:val="24"/>
            </w:rPr>
            <w:t>Carolyn</w:t>
          </w:r>
        </w:smartTag>
        <w:r w:rsidRPr="00AC46AE">
          <w:rPr>
            <w:rFonts w:ascii="Times New Roman" w:hAnsi="Times New Roman"/>
            <w:snapToGrid/>
            <w:sz w:val="22"/>
            <w:szCs w:val="24"/>
          </w:rPr>
          <w:t xml:space="preserve"> </w:t>
        </w:r>
        <w:smartTag w:uri="urn:schemas:contacts" w:element="middlename">
          <w:r w:rsidRPr="00AC46AE">
            <w:rPr>
              <w:rFonts w:ascii="Times New Roman" w:hAnsi="Times New Roman"/>
              <w:snapToGrid/>
              <w:sz w:val="22"/>
              <w:szCs w:val="24"/>
            </w:rPr>
            <w:t>S.</w:t>
          </w:r>
        </w:smartTag>
        <w:r w:rsidRPr="00AC46AE">
          <w:rPr>
            <w:rFonts w:ascii="Times New Roman" w:hAnsi="Times New Roman"/>
            <w:snapToGrid/>
            <w:sz w:val="22"/>
            <w:szCs w:val="24"/>
          </w:rPr>
          <w:t xml:space="preserve"> </w:t>
        </w:r>
        <w:smartTag w:uri="urn:schemas:contacts" w:element="Sn">
          <w:r w:rsidRPr="00AC46AE">
            <w:rPr>
              <w:rFonts w:ascii="Times New Roman" w:hAnsi="Times New Roman"/>
              <w:snapToGrid/>
              <w:sz w:val="22"/>
              <w:szCs w:val="24"/>
            </w:rPr>
            <w:t>Flahive</w:t>
          </w:r>
        </w:smartTag>
      </w:smartTag>
    </w:p>
    <w:p w:rsidR="007C3A88" w:rsidRPr="00AC46AE" w:rsidRDefault="007C3A88" w:rsidP="007C3A88">
      <w:pPr>
        <w:widowControl/>
        <w:rPr>
          <w:rFonts w:ascii="Times New Roman" w:hAnsi="Times New Roman"/>
          <w:snapToGrid/>
          <w:sz w:val="22"/>
          <w:szCs w:val="24"/>
        </w:rPr>
      </w:pPr>
      <w:smartTag w:uri="urn:schemas-microsoft-com:office:smarttags" w:element="PersonName">
        <w:smartTag w:uri="urn:schemas:contacts" w:element="GivenName">
          <w:r w:rsidRPr="00AC46AE">
            <w:rPr>
              <w:rFonts w:ascii="Times New Roman" w:hAnsi="Times New Roman"/>
              <w:snapToGrid/>
              <w:sz w:val="22"/>
              <w:szCs w:val="24"/>
            </w:rPr>
            <w:t>Carolyn</w:t>
          </w:r>
        </w:smartTag>
        <w:r w:rsidRPr="00AC46AE">
          <w:rPr>
            <w:rFonts w:ascii="Times New Roman" w:hAnsi="Times New Roman"/>
            <w:snapToGrid/>
            <w:sz w:val="22"/>
            <w:szCs w:val="24"/>
          </w:rPr>
          <w:t xml:space="preserve"> </w:t>
        </w:r>
        <w:smartTag w:uri="urn:schemas:contacts" w:element="middlename">
          <w:r w:rsidRPr="00AC46AE">
            <w:rPr>
              <w:rFonts w:ascii="Times New Roman" w:hAnsi="Times New Roman"/>
              <w:snapToGrid/>
              <w:sz w:val="22"/>
              <w:szCs w:val="24"/>
            </w:rPr>
            <w:t>S.</w:t>
          </w:r>
        </w:smartTag>
        <w:r w:rsidRPr="00AC46AE">
          <w:rPr>
            <w:rFonts w:ascii="Times New Roman" w:hAnsi="Times New Roman"/>
            <w:snapToGrid/>
            <w:sz w:val="22"/>
            <w:szCs w:val="24"/>
          </w:rPr>
          <w:t xml:space="preserve"> </w:t>
        </w:r>
        <w:smartTag w:uri="urn:schemas:contacts" w:element="Sn">
          <w:r w:rsidRPr="00AC46AE">
            <w:rPr>
              <w:rFonts w:ascii="Times New Roman" w:hAnsi="Times New Roman"/>
              <w:snapToGrid/>
              <w:sz w:val="22"/>
              <w:szCs w:val="24"/>
            </w:rPr>
            <w:t>Flahive</w:t>
          </w:r>
        </w:smartTag>
      </w:smartTag>
    </w:p>
    <w:p w:rsidR="007C3A88" w:rsidRPr="00AC46AE" w:rsidRDefault="007C3A88" w:rsidP="007C3A88">
      <w:pPr>
        <w:widowControl/>
        <w:rPr>
          <w:rFonts w:ascii="Times New Roman" w:hAnsi="Times New Roman"/>
          <w:snapToGrid/>
          <w:sz w:val="22"/>
          <w:szCs w:val="24"/>
        </w:rPr>
      </w:pPr>
    </w:p>
    <w:p w:rsidR="007C3A88" w:rsidRPr="00AC46AE" w:rsidRDefault="007C3A88" w:rsidP="007C3A88">
      <w:pPr>
        <w:widowControl/>
        <w:rPr>
          <w:rFonts w:ascii="Times New Roman" w:hAnsi="Times New Roman"/>
          <w:snapToGrid/>
          <w:sz w:val="22"/>
          <w:szCs w:val="24"/>
        </w:rPr>
      </w:pPr>
    </w:p>
    <w:p w:rsidR="007C3A88" w:rsidRDefault="007C3A88" w:rsidP="007C3A88">
      <w:pPr>
        <w:widowControl/>
        <w:rPr>
          <w:rFonts w:ascii="Times New Roman" w:hAnsi="Times New Roman"/>
          <w:snapToGrid/>
          <w:sz w:val="22"/>
          <w:szCs w:val="24"/>
        </w:rPr>
      </w:pPr>
      <w:r>
        <w:rPr>
          <w:rFonts w:ascii="Times New Roman" w:hAnsi="Times New Roman"/>
          <w:snapToGrid/>
          <w:sz w:val="22"/>
          <w:szCs w:val="24"/>
        </w:rPr>
        <w:t>Enclosures</w:t>
      </w:r>
    </w:p>
    <w:p w:rsidR="007C3A88" w:rsidRDefault="007C3A88" w:rsidP="007C3A88">
      <w:pPr>
        <w:widowControl/>
        <w:rPr>
          <w:rFonts w:ascii="Times New Roman" w:hAnsi="Times New Roman"/>
          <w:snapToGrid/>
          <w:sz w:val="22"/>
          <w:szCs w:val="24"/>
        </w:rPr>
      </w:pPr>
    </w:p>
    <w:p w:rsidR="007C3A88" w:rsidRDefault="007C3A88" w:rsidP="007C3A88">
      <w:pPr>
        <w:widowControl/>
        <w:rPr>
          <w:rFonts w:ascii="Times New Roman" w:hAnsi="Times New Roman"/>
          <w:snapToGrid/>
          <w:sz w:val="22"/>
          <w:szCs w:val="24"/>
        </w:rPr>
        <w:sectPr w:rsidR="007C3A88" w:rsidSect="007C3A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7C3A88" w:rsidRDefault="007C3A88" w:rsidP="007C3A88"/>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roofErr w:type="spellStart"/>
      <w:r w:rsidRPr="007C3A88">
        <w:rPr>
          <w:rFonts w:asciiTheme="majorHAnsi" w:hAnsiTheme="majorHAnsi" w:cstheme="majorHAnsi"/>
          <w:sz w:val="22"/>
          <w:szCs w:val="22"/>
        </w:rPr>
        <w:t>McCLURE</w:t>
      </w:r>
      <w:proofErr w:type="spellEnd"/>
      <w:r w:rsidRPr="007C3A88">
        <w:rPr>
          <w:rFonts w:asciiTheme="majorHAnsi" w:hAnsiTheme="majorHAnsi" w:cstheme="majorHAnsi"/>
          <w:sz w:val="22"/>
          <w:szCs w:val="22"/>
        </w:rPr>
        <w:t xml:space="preserve"> COMMUNICATIONS CORPORATION</w:t>
      </w: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r w:rsidRPr="007C3A88">
        <w:rPr>
          <w:rFonts w:asciiTheme="majorHAnsi" w:hAnsiTheme="majorHAnsi" w:cstheme="majorHAnsi"/>
          <w:sz w:val="22"/>
          <w:szCs w:val="22"/>
        </w:rPr>
        <w:t xml:space="preserve">TELECOMMUNICATIONS TARIFF    </w:t>
      </w: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jc w:val="cente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sectPr w:rsidR="007C3A88" w:rsidRPr="007C3A8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5" w:other="15"/>
          <w:cols w:space="720"/>
          <w:docGrid w:linePitch="360"/>
        </w:sectPr>
      </w:pPr>
    </w:p>
    <w:tbl>
      <w:tblPr>
        <w:tblW w:w="10393" w:type="dxa"/>
        <w:tblLayout w:type="fixed"/>
        <w:tblLook w:val="0000" w:firstRow="0" w:lastRow="0" w:firstColumn="0" w:lastColumn="0" w:noHBand="0" w:noVBand="0"/>
      </w:tblPr>
      <w:tblGrid>
        <w:gridCol w:w="482"/>
        <w:gridCol w:w="561"/>
        <w:gridCol w:w="8553"/>
        <w:gridCol w:w="236"/>
        <w:gridCol w:w="561"/>
      </w:tblGrid>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9114" w:type="dxa"/>
            <w:gridSpan w:val="2"/>
          </w:tcPr>
          <w:p w:rsidR="007C3A88" w:rsidRPr="007C3A88" w:rsidRDefault="007C3A88" w:rsidP="00571ED5">
            <w:pPr>
              <w:jc w:val="center"/>
              <w:rPr>
                <w:rFonts w:asciiTheme="majorHAnsi" w:hAnsiTheme="majorHAnsi" w:cstheme="majorHAnsi"/>
                <w:sz w:val="22"/>
                <w:szCs w:val="22"/>
                <w:u w:val="single"/>
              </w:rPr>
            </w:pPr>
            <w:proofErr w:type="spellStart"/>
            <w:r w:rsidRPr="007C3A88">
              <w:rPr>
                <w:rFonts w:asciiTheme="majorHAnsi" w:hAnsiTheme="majorHAnsi" w:cstheme="majorHAnsi"/>
                <w:sz w:val="22"/>
                <w:szCs w:val="22"/>
                <w:u w:val="single"/>
              </w:rPr>
              <w:t>INTRALATA</w:t>
            </w:r>
            <w:proofErr w:type="spellEnd"/>
            <w:r w:rsidRPr="007C3A88">
              <w:rPr>
                <w:rFonts w:asciiTheme="majorHAnsi" w:hAnsiTheme="majorHAnsi" w:cstheme="majorHAnsi"/>
                <w:sz w:val="22"/>
                <w:szCs w:val="22"/>
                <w:u w:val="single"/>
              </w:rPr>
              <w:t xml:space="preserve"> PRESUBSCRIPTION</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9114" w:type="dxa"/>
            <w:gridSpan w:val="2"/>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   </w:t>
            </w: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1.</w:t>
            </w:r>
          </w:p>
        </w:tc>
        <w:tc>
          <w:tcPr>
            <w:tcW w:w="8553" w:type="dxa"/>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General</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is a procedure whereby a subscriber designates to the Telephone Company the carrier which the subscriber wishes to be the carrier of choice for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calls.  Such calls are automatically directed to the designated carrier, without the need to use carrier access codes or additional dialing to direct the calls to the designated carrier.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does not prevent a subscriber who has presubscribed to an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 from using carrier access codes or additional dialing to direct calls to an alternative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 on a per call basis.</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2.</w:t>
            </w:r>
          </w:p>
        </w:tc>
        <w:tc>
          <w:tcPr>
            <w:tcW w:w="8553" w:type="dxa"/>
          </w:tcPr>
          <w:p w:rsidR="007C3A88" w:rsidRPr="007C3A88" w:rsidRDefault="007C3A88" w:rsidP="00571ED5">
            <w:pPr>
              <w:spacing w:after="120"/>
              <w:rPr>
                <w:rFonts w:asciiTheme="majorHAnsi" w:hAnsiTheme="majorHAnsi" w:cstheme="majorHAnsi"/>
                <w:sz w:val="22"/>
                <w:szCs w:val="22"/>
              </w:rPr>
            </w:pP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Options</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c>
          <w:tcPr>
            <w:tcW w:w="8553" w:type="dxa"/>
          </w:tcPr>
          <w:p w:rsidR="007C3A88" w:rsidRPr="007C3A88" w:rsidRDefault="007C3A88" w:rsidP="00571ED5">
            <w:pPr>
              <w:spacing w:after="120"/>
              <w:ind w:left="720"/>
              <w:rPr>
                <w:rFonts w:asciiTheme="majorHAnsi" w:hAnsiTheme="majorHAnsi" w:cstheme="majorHAnsi"/>
                <w:sz w:val="22"/>
                <w:szCs w:val="22"/>
              </w:rPr>
            </w:pPr>
            <w:r w:rsidRPr="007C3A88">
              <w:rPr>
                <w:rFonts w:asciiTheme="majorHAnsi" w:hAnsiTheme="majorHAnsi" w:cstheme="majorHAnsi"/>
                <w:sz w:val="22"/>
                <w:szCs w:val="22"/>
              </w:rPr>
              <w:t>Option A.</w:t>
            </w:r>
            <w:r w:rsidRPr="007C3A88">
              <w:rPr>
                <w:rFonts w:asciiTheme="majorHAnsi" w:hAnsiTheme="majorHAnsi" w:cstheme="majorHAnsi"/>
                <w:sz w:val="22"/>
                <w:szCs w:val="22"/>
              </w:rPr>
              <w:tab/>
              <w:t xml:space="preserve">Subscriber may select the Telephone Company’s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carrier as the presubscribed carrier for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calls subject to presubscription.</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c>
          <w:tcPr>
            <w:tcW w:w="8553" w:type="dxa"/>
          </w:tcPr>
          <w:p w:rsidR="007C3A88" w:rsidRPr="007C3A88" w:rsidRDefault="007C3A88" w:rsidP="00571ED5">
            <w:pPr>
              <w:spacing w:after="120"/>
              <w:ind w:left="720"/>
              <w:rPr>
                <w:rFonts w:asciiTheme="majorHAnsi" w:hAnsiTheme="majorHAnsi" w:cstheme="majorHAnsi"/>
                <w:sz w:val="22"/>
                <w:szCs w:val="22"/>
              </w:rPr>
            </w:pPr>
            <w:r w:rsidRPr="007C3A88">
              <w:rPr>
                <w:rFonts w:asciiTheme="majorHAnsi" w:hAnsiTheme="majorHAnsi" w:cstheme="majorHAnsi"/>
                <w:sz w:val="22"/>
                <w:szCs w:val="22"/>
              </w:rPr>
              <w:t>Option B:</w:t>
            </w:r>
            <w:r w:rsidRPr="007C3A88">
              <w:rPr>
                <w:rFonts w:asciiTheme="majorHAnsi" w:hAnsiTheme="majorHAnsi" w:cstheme="majorHAnsi"/>
                <w:sz w:val="22"/>
                <w:szCs w:val="22"/>
              </w:rPr>
              <w:tab/>
              <w:t xml:space="preserve">Subscriber may select her/his </w:t>
            </w:r>
            <w:proofErr w:type="spellStart"/>
            <w:r w:rsidRPr="007C3A88">
              <w:rPr>
                <w:rFonts w:asciiTheme="majorHAnsi" w:hAnsiTheme="majorHAnsi" w:cstheme="majorHAnsi"/>
                <w:sz w:val="22"/>
                <w:szCs w:val="22"/>
              </w:rPr>
              <w:t>interLATA</w:t>
            </w:r>
            <w:proofErr w:type="spellEnd"/>
            <w:r w:rsidRPr="007C3A88">
              <w:rPr>
                <w:rFonts w:asciiTheme="majorHAnsi" w:hAnsiTheme="majorHAnsi" w:cstheme="majorHAnsi"/>
                <w:sz w:val="22"/>
                <w:szCs w:val="22"/>
              </w:rPr>
              <w:t xml:space="preserve"> toll carrier as the presubscribed carrier for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calls subject to presubscription.</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c>
          <w:tcPr>
            <w:tcW w:w="8553" w:type="dxa"/>
          </w:tcPr>
          <w:p w:rsidR="007C3A88" w:rsidRPr="007C3A88" w:rsidRDefault="007C3A88" w:rsidP="00571ED5">
            <w:pPr>
              <w:spacing w:after="120"/>
              <w:ind w:left="720"/>
              <w:rPr>
                <w:rFonts w:asciiTheme="majorHAnsi" w:hAnsiTheme="majorHAnsi" w:cstheme="majorHAnsi"/>
                <w:sz w:val="22"/>
                <w:szCs w:val="22"/>
              </w:rPr>
            </w:pPr>
            <w:r w:rsidRPr="007C3A88">
              <w:rPr>
                <w:rFonts w:asciiTheme="majorHAnsi" w:hAnsiTheme="majorHAnsi" w:cstheme="majorHAnsi"/>
                <w:sz w:val="22"/>
                <w:szCs w:val="22"/>
              </w:rPr>
              <w:t>Option C:</w:t>
            </w:r>
            <w:r w:rsidRPr="007C3A88">
              <w:rPr>
                <w:rFonts w:asciiTheme="majorHAnsi" w:hAnsiTheme="majorHAnsi" w:cstheme="majorHAnsi"/>
                <w:sz w:val="22"/>
                <w:szCs w:val="22"/>
              </w:rPr>
              <w:tab/>
              <w:t xml:space="preserve">Subscriber may select a carrier other than the Telephone Company’s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carrier or the subscriber’s </w:t>
            </w:r>
            <w:proofErr w:type="spellStart"/>
            <w:r w:rsidRPr="007C3A88">
              <w:rPr>
                <w:rFonts w:asciiTheme="majorHAnsi" w:hAnsiTheme="majorHAnsi" w:cstheme="majorHAnsi"/>
                <w:sz w:val="22"/>
                <w:szCs w:val="22"/>
              </w:rPr>
              <w:t>interLATA</w:t>
            </w:r>
            <w:proofErr w:type="spellEnd"/>
            <w:r w:rsidRPr="007C3A88">
              <w:rPr>
                <w:rFonts w:asciiTheme="majorHAnsi" w:hAnsiTheme="majorHAnsi" w:cstheme="majorHAnsi"/>
                <w:sz w:val="22"/>
                <w:szCs w:val="22"/>
              </w:rPr>
              <w:t xml:space="preserve"> toll carrier as the presubscribed carrier for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calls subject to presubscription.</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ind w:left="720"/>
              <w:rPr>
                <w:rFonts w:asciiTheme="majorHAnsi" w:hAnsiTheme="majorHAnsi" w:cstheme="majorHAnsi"/>
                <w:sz w:val="22"/>
                <w:szCs w:val="22"/>
              </w:rPr>
            </w:pPr>
            <w:r w:rsidRPr="007C3A88">
              <w:rPr>
                <w:rFonts w:asciiTheme="majorHAnsi" w:hAnsiTheme="majorHAnsi" w:cstheme="majorHAnsi"/>
                <w:sz w:val="22"/>
                <w:szCs w:val="22"/>
              </w:rPr>
              <w:t>Option D:</w:t>
            </w:r>
            <w:r w:rsidRPr="007C3A88">
              <w:rPr>
                <w:rFonts w:asciiTheme="majorHAnsi" w:hAnsiTheme="majorHAnsi" w:cstheme="majorHAnsi"/>
                <w:sz w:val="22"/>
                <w:szCs w:val="22"/>
              </w:rPr>
              <w:tab/>
              <w:t xml:space="preserve">Subscriber may select no presubscribed carrier for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calls subject to presubscription which will require the subscriber to dial a carrier access code to route all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calls to the carrier of choice of each call.</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ind w:left="720"/>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3.</w:t>
            </w:r>
          </w:p>
        </w:tc>
        <w:tc>
          <w:tcPr>
            <w:tcW w:w="8553" w:type="dxa"/>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Rules and Regulations</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Subscribers of record on the effective date of this tariff will retain their current dialing arrangements until they request that their dialing arrangements be changed.  Until an affirmative choice is made, all subscribers will be assigned to the Telephone Company’s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carrier.</w:t>
            </w:r>
          </w:p>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Subscribers of record or new subscribers may select either Options A, B, C, or D for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Subscribers may change their selected Option and/or their presubscribed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 at any time subject to charges specified in Paragraph 5 below.</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bl>
    <w:p w:rsidR="007C3A88" w:rsidRPr="007C3A88" w:rsidRDefault="007C3A88" w:rsidP="007C3A88">
      <w:pPr>
        <w:rPr>
          <w:rFonts w:asciiTheme="majorHAnsi" w:hAnsiTheme="majorHAnsi" w:cstheme="majorHAnsi"/>
          <w:sz w:val="22"/>
          <w:szCs w:val="22"/>
        </w:rPr>
        <w:sectPr w:rsidR="007C3A88" w:rsidRPr="007C3A88">
          <w:headerReference w:type="default" r:id="rId20"/>
          <w:pgSz w:w="12240" w:h="15840" w:code="1"/>
          <w:pgMar w:top="1440" w:right="1440" w:bottom="1440" w:left="1440" w:header="720" w:footer="720" w:gutter="0"/>
          <w:paperSrc w:first="15" w:other="15"/>
          <w:cols w:space="720"/>
          <w:docGrid w:linePitch="360"/>
        </w:sectPr>
      </w:pPr>
    </w:p>
    <w:tbl>
      <w:tblPr>
        <w:tblW w:w="10393" w:type="dxa"/>
        <w:tblLayout w:type="fixed"/>
        <w:tblLook w:val="0000" w:firstRow="0" w:lastRow="0" w:firstColumn="0" w:lastColumn="0" w:noHBand="0" w:noVBand="0"/>
      </w:tblPr>
      <w:tblGrid>
        <w:gridCol w:w="482"/>
        <w:gridCol w:w="561"/>
        <w:gridCol w:w="561"/>
        <w:gridCol w:w="7992"/>
        <w:gridCol w:w="236"/>
        <w:gridCol w:w="561"/>
      </w:tblGrid>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9114" w:type="dxa"/>
            <w:gridSpan w:val="3"/>
          </w:tcPr>
          <w:p w:rsidR="007C3A88" w:rsidRPr="007C3A88" w:rsidRDefault="007C3A88" w:rsidP="00571ED5">
            <w:pPr>
              <w:jc w:val="center"/>
              <w:rPr>
                <w:rFonts w:asciiTheme="majorHAnsi" w:hAnsiTheme="majorHAnsi" w:cstheme="majorHAnsi"/>
                <w:sz w:val="22"/>
                <w:szCs w:val="22"/>
              </w:rPr>
            </w:pPr>
            <w:proofErr w:type="spellStart"/>
            <w:r w:rsidRPr="007C3A88">
              <w:rPr>
                <w:rFonts w:asciiTheme="majorHAnsi" w:hAnsiTheme="majorHAnsi" w:cstheme="majorHAnsi"/>
                <w:sz w:val="22"/>
                <w:szCs w:val="22"/>
                <w:u w:val="single"/>
              </w:rPr>
              <w:t>INTRALATA</w:t>
            </w:r>
            <w:proofErr w:type="spellEnd"/>
            <w:r w:rsidRPr="007C3A88">
              <w:rPr>
                <w:rFonts w:asciiTheme="majorHAnsi" w:hAnsiTheme="majorHAnsi" w:cstheme="majorHAnsi"/>
                <w:sz w:val="22"/>
                <w:szCs w:val="22"/>
                <w:u w:val="single"/>
              </w:rPr>
              <w:t xml:space="preserve"> PRESUBSCRIPTION </w:t>
            </w:r>
            <w:r w:rsidRPr="007C3A88">
              <w:rPr>
                <w:rFonts w:asciiTheme="majorHAnsi" w:hAnsiTheme="majorHAnsi" w:cstheme="majorHAnsi"/>
                <w:sz w:val="22"/>
                <w:szCs w:val="22"/>
              </w:rPr>
              <w:t>(Continued)</w:t>
            </w:r>
          </w:p>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4.</w:t>
            </w:r>
          </w:p>
        </w:tc>
        <w:tc>
          <w:tcPr>
            <w:tcW w:w="8553" w:type="dxa"/>
            <w:gridSpan w:val="2"/>
          </w:tcPr>
          <w:p w:rsidR="007C3A88" w:rsidRPr="007C3A88" w:rsidRDefault="007C3A88" w:rsidP="00571ED5">
            <w:pPr>
              <w:spacing w:after="120"/>
              <w:rPr>
                <w:rFonts w:asciiTheme="majorHAnsi" w:hAnsiTheme="majorHAnsi" w:cstheme="majorHAnsi"/>
                <w:sz w:val="22"/>
                <w:szCs w:val="22"/>
              </w:rPr>
            </w:pP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Customer Notices</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gridSpan w:val="2"/>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The Telephone Company will notify subscribers that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is available no longer than sixty (60) days following the effective date of this tariff.  The notice will contain a description of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presubscription, how to make an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presubscription carrier selection, and a description of when and what charges apply related to the selection of an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8553" w:type="dxa"/>
            <w:gridSpan w:val="2"/>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5.</w:t>
            </w:r>
          </w:p>
        </w:tc>
        <w:tc>
          <w:tcPr>
            <w:tcW w:w="8553" w:type="dxa"/>
            <w:gridSpan w:val="2"/>
          </w:tcPr>
          <w:p w:rsidR="007C3A88" w:rsidRPr="007C3A88" w:rsidRDefault="007C3A88" w:rsidP="00571ED5">
            <w:pPr>
              <w:spacing w:after="120"/>
              <w:rPr>
                <w:rFonts w:asciiTheme="majorHAnsi" w:hAnsiTheme="majorHAnsi" w:cstheme="majorHAnsi"/>
                <w:sz w:val="22"/>
                <w:szCs w:val="22"/>
              </w:rPr>
            </w:pP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Charges</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a.</w:t>
            </w:r>
          </w:p>
        </w:tc>
        <w:tc>
          <w:tcPr>
            <w:tcW w:w="7992"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Application of Charges</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992"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There will be no charges for a subscriber’s initial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presubscription selection for a period beginning on the effective date of this tariff and ending no sooner than ninety (90) days following the mailing date of subscriber notification of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availability.</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992"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992"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New local service subscribers will be asked to select a carrier(s) for their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and </w:t>
            </w:r>
            <w:proofErr w:type="spellStart"/>
            <w:r w:rsidRPr="007C3A88">
              <w:rPr>
                <w:rFonts w:asciiTheme="majorHAnsi" w:hAnsiTheme="majorHAnsi" w:cstheme="majorHAnsi"/>
                <w:sz w:val="22"/>
                <w:szCs w:val="22"/>
              </w:rPr>
              <w:t>interLATA</w:t>
            </w:r>
            <w:proofErr w:type="spellEnd"/>
            <w:r w:rsidRPr="007C3A88">
              <w:rPr>
                <w:rFonts w:asciiTheme="majorHAnsi" w:hAnsiTheme="majorHAnsi" w:cstheme="majorHAnsi"/>
                <w:sz w:val="22"/>
                <w:szCs w:val="22"/>
              </w:rPr>
              <w:t xml:space="preserve"> calls subject to presubscription at the time they place an order with the Telephone Company for local exchange service.  If the new subscriber is unable to make a selection, at that time, the new subscriber will be read a random listing of all available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carriers to aid their selection.  If the new subscriber is still unable to make a selection, at that time, the Telephone Company will inform the new subscriber that he/she will be given ninety (90) days in which to inform the Telephone Company of an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presubscription carrier choice at no charge.  The new subscriber will also be informed that the Telephone Company will assess a charge for any selections made after the ninety (90) day window and that until a selection is made the subscriber will be required to dial a carrier access code to route all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calls.</w:t>
            </w:r>
          </w:p>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bookmarkStart w:id="1" w:name="OLE_LINK1"/>
            <w:bookmarkStart w:id="2" w:name="OLE_LINK2"/>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992"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New subscribers who do not make an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 presubscription choice at the time the new subscriber places an order establishing local exchange service with the Telephone Company will not be presubscribed to any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 but rather will be required to dial a carrier access code to route all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calls to the carrier of choice for each call.</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992"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992"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After a subscriber’s initial selection for a presubscribed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toll carrier, for any change thereafter, an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Change Charge will apply as follows:</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992" w:type="dxa"/>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bl>
    <w:p w:rsidR="007C3A88" w:rsidRPr="007C3A88" w:rsidRDefault="007C3A88" w:rsidP="007C3A88">
      <w:pPr>
        <w:rPr>
          <w:rFonts w:asciiTheme="majorHAnsi" w:hAnsiTheme="majorHAnsi" w:cstheme="majorHAnsi"/>
          <w:sz w:val="22"/>
          <w:szCs w:val="22"/>
        </w:rPr>
        <w:sectPr w:rsidR="007C3A88" w:rsidRPr="007C3A88">
          <w:headerReference w:type="default" r:id="rId21"/>
          <w:pgSz w:w="12240" w:h="15840" w:code="1"/>
          <w:pgMar w:top="1440" w:right="1440" w:bottom="1440" w:left="1440" w:header="720" w:footer="720" w:gutter="0"/>
          <w:paperSrc w:first="15" w:other="15"/>
          <w:cols w:space="720"/>
          <w:docGrid w:linePitch="360"/>
        </w:sectPr>
      </w:pPr>
    </w:p>
    <w:tbl>
      <w:tblPr>
        <w:tblW w:w="10393" w:type="dxa"/>
        <w:tblLayout w:type="fixed"/>
        <w:tblLook w:val="0000" w:firstRow="0" w:lastRow="0" w:firstColumn="0" w:lastColumn="0" w:noHBand="0" w:noVBand="0"/>
      </w:tblPr>
      <w:tblGrid>
        <w:gridCol w:w="482"/>
        <w:gridCol w:w="561"/>
        <w:gridCol w:w="561"/>
        <w:gridCol w:w="561"/>
        <w:gridCol w:w="103"/>
        <w:gridCol w:w="7328"/>
        <w:gridCol w:w="236"/>
        <w:gridCol w:w="561"/>
      </w:tblGrid>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9114" w:type="dxa"/>
            <w:gridSpan w:val="5"/>
          </w:tcPr>
          <w:p w:rsidR="007C3A88" w:rsidRPr="007C3A88" w:rsidRDefault="007C3A88" w:rsidP="00571ED5">
            <w:pPr>
              <w:jc w:val="center"/>
              <w:rPr>
                <w:rFonts w:asciiTheme="majorHAnsi" w:hAnsiTheme="majorHAnsi" w:cstheme="majorHAnsi"/>
                <w:sz w:val="22"/>
                <w:szCs w:val="22"/>
              </w:rPr>
            </w:pPr>
            <w:proofErr w:type="spellStart"/>
            <w:r w:rsidRPr="007C3A88">
              <w:rPr>
                <w:rFonts w:asciiTheme="majorHAnsi" w:hAnsiTheme="majorHAnsi" w:cstheme="majorHAnsi"/>
                <w:sz w:val="22"/>
                <w:szCs w:val="22"/>
                <w:u w:val="single"/>
              </w:rPr>
              <w:t>INTRALATA</w:t>
            </w:r>
            <w:proofErr w:type="spellEnd"/>
            <w:r w:rsidRPr="007C3A88">
              <w:rPr>
                <w:rFonts w:asciiTheme="majorHAnsi" w:hAnsiTheme="majorHAnsi" w:cstheme="majorHAnsi"/>
                <w:sz w:val="22"/>
                <w:szCs w:val="22"/>
                <w:u w:val="single"/>
              </w:rPr>
              <w:t xml:space="preserve"> PRESUBSCRIPTION </w:t>
            </w:r>
            <w:r w:rsidRPr="007C3A88">
              <w:rPr>
                <w:rFonts w:asciiTheme="majorHAnsi" w:hAnsiTheme="majorHAnsi" w:cstheme="majorHAnsi"/>
                <w:sz w:val="22"/>
                <w:szCs w:val="22"/>
              </w:rPr>
              <w:t>(Continued)</w:t>
            </w:r>
          </w:p>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a.</w:t>
            </w:r>
          </w:p>
        </w:tc>
        <w:tc>
          <w:tcPr>
            <w:tcW w:w="7992" w:type="dxa"/>
            <w:gridSpan w:val="3"/>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Application of Charges (Continued)</w:t>
            </w:r>
          </w:p>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664" w:type="dxa"/>
            <w:gridSpan w:val="2"/>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(1)</w:t>
            </w:r>
          </w:p>
        </w:tc>
        <w:tc>
          <w:tcPr>
            <w:tcW w:w="7328"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The charge shall be no greater than those set forth in Paragraph </w:t>
            </w:r>
            <w:proofErr w:type="spellStart"/>
            <w:r w:rsidRPr="007C3A88">
              <w:rPr>
                <w:rFonts w:asciiTheme="majorHAnsi" w:hAnsiTheme="majorHAnsi" w:cstheme="majorHAnsi"/>
                <w:sz w:val="22"/>
                <w:szCs w:val="22"/>
              </w:rPr>
              <w:t>5.b</w:t>
            </w:r>
            <w:proofErr w:type="spellEnd"/>
            <w:r w:rsidRPr="007C3A88">
              <w:rPr>
                <w:rFonts w:asciiTheme="majorHAnsi" w:hAnsiTheme="majorHAnsi" w:cstheme="majorHAnsi"/>
                <w:sz w:val="22"/>
                <w:szCs w:val="22"/>
              </w:rPr>
              <w:t>., unless modified by a company-specific Commission-approved tariff.</w:t>
            </w:r>
          </w:p>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664" w:type="dxa"/>
            <w:gridSpan w:val="2"/>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(2)</w:t>
            </w:r>
          </w:p>
        </w:tc>
        <w:tc>
          <w:tcPr>
            <w:tcW w:w="7328" w:type="dxa"/>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 xml:space="preserve">If a Subscriber changes both the </w:t>
            </w:r>
            <w:proofErr w:type="spellStart"/>
            <w:r w:rsidRPr="007C3A88">
              <w:rPr>
                <w:rFonts w:asciiTheme="majorHAnsi" w:hAnsiTheme="majorHAnsi" w:cstheme="majorHAnsi"/>
                <w:sz w:val="22"/>
                <w:szCs w:val="22"/>
              </w:rPr>
              <w:t>InterLATA</w:t>
            </w:r>
            <w:proofErr w:type="spellEnd"/>
            <w:r w:rsidRPr="007C3A88">
              <w:rPr>
                <w:rFonts w:asciiTheme="majorHAnsi" w:hAnsiTheme="majorHAnsi" w:cstheme="majorHAnsi"/>
                <w:sz w:val="22"/>
                <w:szCs w:val="22"/>
              </w:rPr>
              <w:t xml:space="preserve"> and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Presubscribed Interexchange Carrier at the same time, 50% of the otherwise applicable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Change Charge will apply.</w:t>
            </w:r>
          </w:p>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cantSplit/>
          <w:trHeight w:val="315"/>
        </w:trPr>
        <w:tc>
          <w:tcPr>
            <w:tcW w:w="482"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b.</w:t>
            </w:r>
          </w:p>
        </w:tc>
        <w:tc>
          <w:tcPr>
            <w:tcW w:w="7992" w:type="dxa"/>
            <w:gridSpan w:val="3"/>
          </w:tcPr>
          <w:p w:rsidR="007C3A88" w:rsidRPr="007C3A88" w:rsidRDefault="007C3A88" w:rsidP="00571ED5">
            <w:pPr>
              <w:spacing w:after="120"/>
              <w:rPr>
                <w:rFonts w:asciiTheme="majorHAnsi" w:hAnsiTheme="majorHAnsi" w:cstheme="majorHAnsi"/>
                <w:sz w:val="22"/>
                <w:szCs w:val="22"/>
              </w:rPr>
            </w:pPr>
            <w:r w:rsidRPr="007C3A88">
              <w:rPr>
                <w:rFonts w:asciiTheme="majorHAnsi" w:hAnsiTheme="majorHAnsi" w:cstheme="majorHAnsi"/>
                <w:sz w:val="22"/>
                <w:szCs w:val="22"/>
              </w:rPr>
              <w:t xml:space="preserve">Nonrecurring Charges </w:t>
            </w:r>
            <w:proofErr w:type="spellStart"/>
            <w:r w:rsidRPr="007C3A88">
              <w:rPr>
                <w:rFonts w:asciiTheme="majorHAnsi" w:hAnsiTheme="majorHAnsi" w:cstheme="majorHAnsi"/>
                <w:sz w:val="22"/>
                <w:szCs w:val="22"/>
              </w:rPr>
              <w:t>IntraLATA</w:t>
            </w:r>
            <w:proofErr w:type="spellEnd"/>
            <w:r w:rsidRPr="007C3A88">
              <w:rPr>
                <w:rFonts w:asciiTheme="majorHAnsi" w:hAnsiTheme="majorHAnsi" w:cstheme="majorHAnsi"/>
                <w:sz w:val="22"/>
                <w:szCs w:val="22"/>
              </w:rPr>
              <w:t xml:space="preserve"> Presubscription Change Charge</w:t>
            </w:r>
          </w:p>
        </w:tc>
        <w:tc>
          <w:tcPr>
            <w:tcW w:w="236" w:type="dxa"/>
          </w:tcPr>
          <w:p w:rsidR="007C3A88" w:rsidRPr="007C3A88" w:rsidRDefault="007C3A88" w:rsidP="00571ED5">
            <w:pPr>
              <w:spacing w:after="120"/>
              <w:rPr>
                <w:rFonts w:asciiTheme="majorHAnsi" w:hAnsiTheme="majorHAnsi" w:cstheme="majorHAnsi"/>
                <w:sz w:val="22"/>
                <w:szCs w:val="22"/>
              </w:rPr>
            </w:pPr>
          </w:p>
        </w:tc>
        <w:tc>
          <w:tcPr>
            <w:tcW w:w="561" w:type="dxa"/>
          </w:tcPr>
          <w:p w:rsidR="007C3A88" w:rsidRPr="007C3A88" w:rsidRDefault="007C3A88" w:rsidP="00571ED5">
            <w:pPr>
              <w:spacing w:after="120"/>
              <w:rPr>
                <w:rFonts w:asciiTheme="majorHAnsi" w:hAnsiTheme="majorHAnsi" w:cstheme="majorHAnsi"/>
                <w:sz w:val="22"/>
                <w:szCs w:val="22"/>
              </w:rPr>
            </w:pPr>
          </w:p>
        </w:tc>
      </w:tr>
      <w:tr w:rsidR="007C3A88" w:rsidRPr="007C3A88" w:rsidTr="00571ED5">
        <w:trPr>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431" w:type="dxa"/>
            <w:gridSpan w:val="2"/>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Per business or residence line, trunk, or port:</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431" w:type="dxa"/>
            <w:gridSpan w:val="2"/>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w:t>
            </w:r>
            <w:r w:rsidRPr="007C3A88">
              <w:rPr>
                <w:rFonts w:asciiTheme="majorHAnsi" w:hAnsiTheme="majorHAnsi" w:cstheme="majorHAnsi"/>
                <w:sz w:val="22"/>
                <w:szCs w:val="22"/>
              </w:rPr>
              <w:tab/>
              <w:t>Manual Process</w:t>
            </w:r>
            <w:r w:rsidRPr="007C3A88">
              <w:rPr>
                <w:rFonts w:asciiTheme="majorHAnsi" w:hAnsiTheme="majorHAnsi" w:cstheme="majorHAnsi"/>
                <w:sz w:val="22"/>
                <w:szCs w:val="22"/>
              </w:rPr>
              <w:tab/>
            </w:r>
            <w:r w:rsidRPr="007C3A88">
              <w:rPr>
                <w:rFonts w:asciiTheme="majorHAnsi" w:hAnsiTheme="majorHAnsi" w:cstheme="majorHAnsi"/>
                <w:sz w:val="22"/>
                <w:szCs w:val="22"/>
              </w:rPr>
              <w:tab/>
            </w:r>
            <w:r w:rsidRPr="007C3A88">
              <w:rPr>
                <w:rFonts w:asciiTheme="majorHAnsi" w:hAnsiTheme="majorHAnsi" w:cstheme="majorHAnsi"/>
                <w:sz w:val="22"/>
                <w:szCs w:val="22"/>
              </w:rPr>
              <w:tab/>
            </w:r>
            <w:r w:rsidRPr="007C3A88">
              <w:rPr>
                <w:rFonts w:asciiTheme="majorHAnsi" w:hAnsiTheme="majorHAnsi" w:cstheme="majorHAnsi"/>
                <w:sz w:val="22"/>
                <w:szCs w:val="22"/>
              </w:rPr>
              <w:tab/>
            </w:r>
            <w:r w:rsidRPr="007C3A88">
              <w:rPr>
                <w:rFonts w:asciiTheme="majorHAnsi" w:hAnsiTheme="majorHAnsi" w:cstheme="majorHAnsi"/>
                <w:sz w:val="22"/>
                <w:szCs w:val="22"/>
              </w:rPr>
              <w:tab/>
            </w:r>
            <w:r w:rsidRPr="007C3A88">
              <w:rPr>
                <w:rFonts w:asciiTheme="majorHAnsi" w:hAnsiTheme="majorHAnsi" w:cstheme="majorHAnsi"/>
                <w:sz w:val="22"/>
                <w:szCs w:val="22"/>
              </w:rPr>
              <w:tab/>
              <w:t>$5.50</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431" w:type="dxa"/>
            <w:gridSpan w:val="2"/>
          </w:tcPr>
          <w:p w:rsidR="007C3A88" w:rsidRPr="007C3A88" w:rsidRDefault="007C3A88" w:rsidP="00571ED5">
            <w:pPr>
              <w:rPr>
                <w:rFonts w:asciiTheme="majorHAnsi" w:hAnsiTheme="majorHAnsi" w:cstheme="majorHAnsi"/>
                <w:sz w:val="22"/>
                <w:szCs w:val="22"/>
              </w:rPr>
            </w:pPr>
            <w:r w:rsidRPr="007C3A88">
              <w:rPr>
                <w:rFonts w:asciiTheme="majorHAnsi" w:hAnsiTheme="majorHAnsi" w:cstheme="majorHAnsi"/>
                <w:sz w:val="22"/>
                <w:szCs w:val="22"/>
              </w:rPr>
              <w:t>--</w:t>
            </w:r>
            <w:r w:rsidRPr="007C3A88">
              <w:rPr>
                <w:rFonts w:asciiTheme="majorHAnsi" w:hAnsiTheme="majorHAnsi" w:cstheme="majorHAnsi"/>
                <w:sz w:val="22"/>
                <w:szCs w:val="22"/>
              </w:rPr>
              <w:tab/>
              <w:t>Electronic Process</w:t>
            </w:r>
            <w:r w:rsidRPr="007C3A88">
              <w:rPr>
                <w:rFonts w:asciiTheme="majorHAnsi" w:hAnsiTheme="majorHAnsi" w:cstheme="majorHAnsi"/>
                <w:sz w:val="22"/>
                <w:szCs w:val="22"/>
              </w:rPr>
              <w:tab/>
            </w:r>
            <w:r w:rsidRPr="007C3A88">
              <w:rPr>
                <w:rFonts w:asciiTheme="majorHAnsi" w:hAnsiTheme="majorHAnsi" w:cstheme="majorHAnsi"/>
                <w:sz w:val="22"/>
                <w:szCs w:val="22"/>
              </w:rPr>
              <w:tab/>
            </w:r>
            <w:r w:rsidRPr="007C3A88">
              <w:rPr>
                <w:rFonts w:asciiTheme="majorHAnsi" w:hAnsiTheme="majorHAnsi" w:cstheme="majorHAnsi"/>
                <w:sz w:val="22"/>
                <w:szCs w:val="22"/>
              </w:rPr>
              <w:tab/>
            </w:r>
            <w:r w:rsidRPr="007C3A88">
              <w:rPr>
                <w:rFonts w:asciiTheme="majorHAnsi" w:hAnsiTheme="majorHAnsi" w:cstheme="majorHAnsi"/>
                <w:sz w:val="22"/>
                <w:szCs w:val="22"/>
              </w:rPr>
              <w:tab/>
            </w:r>
            <w:r w:rsidRPr="007C3A88">
              <w:rPr>
                <w:rFonts w:asciiTheme="majorHAnsi" w:hAnsiTheme="majorHAnsi" w:cstheme="majorHAnsi"/>
                <w:sz w:val="22"/>
                <w:szCs w:val="22"/>
              </w:rPr>
              <w:tab/>
              <w:t>$1.25</w:t>
            </w: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431" w:type="dxa"/>
            <w:gridSpan w:val="2"/>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tr w:rsidR="007C3A88" w:rsidRPr="007C3A88" w:rsidTr="00571ED5">
        <w:trPr>
          <w:trHeight w:val="315"/>
        </w:trPr>
        <w:tc>
          <w:tcPr>
            <w:tcW w:w="482"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c>
          <w:tcPr>
            <w:tcW w:w="7431" w:type="dxa"/>
            <w:gridSpan w:val="2"/>
          </w:tcPr>
          <w:p w:rsidR="007C3A88" w:rsidRPr="007C3A88" w:rsidRDefault="007C3A88" w:rsidP="00571ED5">
            <w:pPr>
              <w:rPr>
                <w:rFonts w:asciiTheme="majorHAnsi" w:hAnsiTheme="majorHAnsi" w:cstheme="majorHAnsi"/>
                <w:sz w:val="22"/>
                <w:szCs w:val="22"/>
              </w:rPr>
            </w:pPr>
          </w:p>
        </w:tc>
        <w:tc>
          <w:tcPr>
            <w:tcW w:w="236" w:type="dxa"/>
          </w:tcPr>
          <w:p w:rsidR="007C3A88" w:rsidRPr="007C3A88" w:rsidRDefault="007C3A88" w:rsidP="00571ED5">
            <w:pPr>
              <w:rPr>
                <w:rFonts w:asciiTheme="majorHAnsi" w:hAnsiTheme="majorHAnsi" w:cstheme="majorHAnsi"/>
                <w:sz w:val="22"/>
                <w:szCs w:val="22"/>
              </w:rPr>
            </w:pPr>
          </w:p>
        </w:tc>
        <w:tc>
          <w:tcPr>
            <w:tcW w:w="561" w:type="dxa"/>
          </w:tcPr>
          <w:p w:rsidR="007C3A88" w:rsidRPr="007C3A88" w:rsidRDefault="007C3A88" w:rsidP="00571ED5">
            <w:pPr>
              <w:rPr>
                <w:rFonts w:asciiTheme="majorHAnsi" w:hAnsiTheme="majorHAnsi" w:cstheme="majorHAnsi"/>
                <w:sz w:val="22"/>
                <w:szCs w:val="22"/>
              </w:rPr>
            </w:pPr>
          </w:p>
        </w:tc>
      </w:tr>
      <w:bookmarkEnd w:id="1"/>
      <w:bookmarkEnd w:id="2"/>
    </w:tbl>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C3A88" w:rsidRPr="007C3A88" w:rsidRDefault="007C3A88" w:rsidP="007C3A88">
      <w:pPr>
        <w:rPr>
          <w:rFonts w:asciiTheme="majorHAnsi" w:hAnsiTheme="majorHAnsi" w:cstheme="majorHAnsi"/>
          <w:sz w:val="22"/>
          <w:szCs w:val="22"/>
        </w:rPr>
      </w:pPr>
    </w:p>
    <w:p w:rsidR="00757A43" w:rsidRPr="007C3A88" w:rsidRDefault="006A4DE2" w:rsidP="00D83C7D">
      <w:pPr>
        <w:pStyle w:val="Body1default"/>
        <w:rPr>
          <w:rFonts w:asciiTheme="majorHAnsi" w:hAnsiTheme="majorHAnsi" w:cstheme="majorHAnsi"/>
          <w:sz w:val="22"/>
          <w:szCs w:val="22"/>
        </w:rPr>
      </w:pPr>
    </w:p>
    <w:sectPr w:rsidR="00757A43" w:rsidRPr="007C3A88" w:rsidSect="007C3A88">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88" w:rsidRDefault="007C3A88" w:rsidP="00045AAE">
      <w:r>
        <w:separator/>
      </w:r>
    </w:p>
  </w:endnote>
  <w:endnote w:type="continuationSeparator" w:id="0">
    <w:p w:rsidR="007C3A88" w:rsidRDefault="007C3A88"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Default="007C3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Default="007C3A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Pr="007C3A88" w:rsidRDefault="007C3A88">
    <w:pPr>
      <w:pStyle w:val="Footer"/>
      <w:rPr>
        <w:sz w:val="18"/>
        <w:szCs w:val="18"/>
      </w:rPr>
    </w:pPr>
    <w:r w:rsidRPr="007C3A88">
      <w:rPr>
        <w:sz w:val="18"/>
        <w:szCs w:val="18"/>
      </w:rPr>
      <w:t xml:space="preserve">Carolyn.Flahive@ThompsonHine.com </w:t>
    </w:r>
    <w:proofErr w:type="spellStart"/>
    <w:r w:rsidRPr="007C3A88">
      <w:rPr>
        <w:sz w:val="18"/>
        <w:szCs w:val="18"/>
      </w:rPr>
      <w:t>Ph</w:t>
    </w:r>
    <w:proofErr w:type="spellEnd"/>
    <w:r w:rsidRPr="007C3A88">
      <w:rPr>
        <w:sz w:val="18"/>
        <w:szCs w:val="18"/>
      </w:rPr>
      <w:t>: 614-469-3294 Fax: 614-469-3361</w:t>
    </w:r>
    <w:r>
      <w:rPr>
        <w:sz w:val="18"/>
        <w:szCs w:val="18"/>
      </w:rPr>
      <w:t xml:space="preserve">            </w:t>
    </w:r>
    <w:r w:rsidR="002661BC">
      <w:rPr>
        <w:sz w:val="18"/>
        <w:szCs w:val="18"/>
      </w:rPr>
      <w:t xml:space="preserve">                                                    </w:t>
    </w:r>
    <w:r w:rsidR="002661BC" w:rsidRPr="002661BC">
      <w:rPr>
        <w:rStyle w:val="DocID"/>
      </w:rPr>
      <w:fldChar w:fldCharType="begin"/>
    </w:r>
    <w:r w:rsidR="002661BC" w:rsidRPr="002661BC">
      <w:rPr>
        <w:rStyle w:val="DocID"/>
      </w:rPr>
      <w:instrText xml:space="preserve"> DOCPROPERTY "DocID" \* MERGEFORMAT </w:instrText>
    </w:r>
    <w:r w:rsidR="002661BC" w:rsidRPr="002661BC">
      <w:rPr>
        <w:rStyle w:val="DocID"/>
      </w:rPr>
      <w:fldChar w:fldCharType="separate"/>
    </w:r>
    <w:r w:rsidR="002661BC" w:rsidRPr="002661BC">
      <w:rPr>
        <w:rStyle w:val="DocID"/>
      </w:rPr>
      <w:t>705634.1</w:t>
    </w:r>
    <w:r w:rsidR="002661BC" w:rsidRPr="002661BC">
      <w:rPr>
        <w:rStyle w:val="DocID"/>
      </w:rPr>
      <w:fldChar w:fldCharType="end"/>
    </w:r>
    <w:r w:rsidRPr="002661BC">
      <w:rPr>
        <w:rStyle w:val="DocID"/>
      </w:rPr>
      <w:t xml:space="preserve">                               </w:t>
    </w:r>
  </w:p>
  <w:p w:rsidR="007C3A88" w:rsidRDefault="007C3A88">
    <w:pPr>
      <w:pStyle w:val="Footer"/>
    </w:pPr>
  </w:p>
  <w:p w:rsidR="007C3A88" w:rsidRDefault="007C3A88">
    <w:pPr>
      <w:pStyle w:val="Footer"/>
    </w:pPr>
  </w:p>
  <w:p w:rsidR="007C3A88" w:rsidRDefault="007C3A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Default="007C3A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Pr="007C3A88" w:rsidRDefault="007C3A88">
    <w:pPr>
      <w:pBdr>
        <w:top w:val="single" w:sz="4" w:space="1" w:color="auto"/>
      </w:pBdr>
      <w:tabs>
        <w:tab w:val="right" w:pos="9360"/>
        <w:tab w:val="left" w:pos="9990"/>
      </w:tabs>
      <w:jc w:val="both"/>
      <w:rPr>
        <w:rFonts w:asciiTheme="majorHAnsi" w:hAnsiTheme="majorHAnsi" w:cstheme="majorHAnsi"/>
        <w:sz w:val="22"/>
      </w:rPr>
    </w:pPr>
    <w:r w:rsidRPr="007C3A88">
      <w:rPr>
        <w:rFonts w:asciiTheme="majorHAnsi" w:hAnsiTheme="majorHAnsi" w:cstheme="majorHAnsi"/>
        <w:sz w:val="22"/>
      </w:rPr>
      <w:t xml:space="preserve">Issued:  </w:t>
    </w:r>
    <w:r w:rsidR="00D01D58">
      <w:rPr>
        <w:rFonts w:asciiTheme="majorHAnsi" w:hAnsiTheme="majorHAnsi" w:cstheme="majorHAnsi"/>
        <w:sz w:val="22"/>
      </w:rPr>
      <w:t>April 30</w:t>
    </w:r>
    <w:r w:rsidRPr="007C3A88">
      <w:rPr>
        <w:rFonts w:asciiTheme="majorHAnsi" w:hAnsiTheme="majorHAnsi" w:cstheme="majorHAnsi"/>
        <w:sz w:val="22"/>
      </w:rPr>
      <w:t>, 2012</w:t>
    </w:r>
    <w:r w:rsidRPr="007C3A88">
      <w:rPr>
        <w:rFonts w:asciiTheme="majorHAnsi" w:hAnsiTheme="majorHAnsi" w:cstheme="majorHAnsi"/>
        <w:sz w:val="22"/>
      </w:rPr>
      <w:tab/>
      <w:t>Effective:  April 30, 2012</w:t>
    </w:r>
  </w:p>
  <w:p w:rsidR="007C3A88" w:rsidRPr="007C3A88" w:rsidRDefault="007C3A88">
    <w:pPr>
      <w:pStyle w:val="Footer"/>
      <w:jc w:val="center"/>
      <w:rPr>
        <w:rFonts w:asciiTheme="majorHAnsi" w:hAnsiTheme="majorHAnsi" w:cstheme="majorHAnsi"/>
        <w:sz w:val="22"/>
      </w:rPr>
    </w:pPr>
    <w:r w:rsidRPr="007C3A88">
      <w:rPr>
        <w:rFonts w:asciiTheme="majorHAnsi" w:hAnsiTheme="majorHAnsi" w:cstheme="majorHAnsi"/>
        <w:sz w:val="22"/>
      </w:rPr>
      <w:t>In Accordance with Case No. 12-1123-</w:t>
    </w:r>
    <w:proofErr w:type="spellStart"/>
    <w:r w:rsidRPr="007C3A88">
      <w:rPr>
        <w:rFonts w:asciiTheme="majorHAnsi" w:hAnsiTheme="majorHAnsi" w:cstheme="majorHAnsi"/>
        <w:sz w:val="22"/>
      </w:rPr>
      <w:t>TP</w:t>
    </w:r>
    <w:proofErr w:type="spellEnd"/>
    <w:r w:rsidRPr="007C3A88">
      <w:rPr>
        <w:rFonts w:asciiTheme="majorHAnsi" w:hAnsiTheme="majorHAnsi" w:cstheme="majorHAnsi"/>
        <w:sz w:val="22"/>
      </w:rPr>
      <w:t>-ACE</w:t>
    </w:r>
  </w:p>
  <w:p w:rsidR="007C3A88" w:rsidRPr="007C3A88" w:rsidRDefault="007C3A88">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7C3A88">
      <w:rPr>
        <w:rFonts w:asciiTheme="majorHAnsi" w:hAnsiTheme="majorHAnsi" w:cstheme="majorHAnsi"/>
        <w:sz w:val="22"/>
      </w:rPr>
      <w:t>Issued by the Public Utilities Commission of Ohio</w:t>
    </w:r>
  </w:p>
  <w:p w:rsidR="007C3A88" w:rsidRPr="007C3A88" w:rsidRDefault="007C3A88">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7C3A88">
      <w:rPr>
        <w:rFonts w:asciiTheme="majorHAnsi" w:hAnsiTheme="majorHAnsi" w:cstheme="majorHAnsi"/>
        <w:sz w:val="22"/>
      </w:rPr>
      <w:t>Lance Miller, President</w:t>
    </w:r>
  </w:p>
  <w:p w:rsidR="007C3A88" w:rsidRPr="007C3A88" w:rsidRDefault="007C3A88">
    <w:pPr>
      <w:pStyle w:val="Footer"/>
      <w:jc w:val="center"/>
      <w:rPr>
        <w:rFonts w:asciiTheme="majorHAnsi" w:hAnsiTheme="majorHAnsi" w:cstheme="majorHAnsi"/>
        <w:sz w:val="22"/>
      </w:rPr>
    </w:pPr>
    <w:r w:rsidRPr="007C3A88">
      <w:rPr>
        <w:rFonts w:asciiTheme="majorHAnsi" w:hAnsiTheme="majorHAnsi" w:cstheme="majorHAnsi"/>
        <w:sz w:val="22"/>
      </w:rPr>
      <w:t>McClure,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BE" w:rsidRPr="007C3A88" w:rsidRDefault="007D70BE" w:rsidP="007D70BE">
    <w:pPr>
      <w:pBdr>
        <w:top w:val="single" w:sz="4" w:space="1" w:color="auto"/>
      </w:pBdr>
      <w:tabs>
        <w:tab w:val="right" w:pos="9360"/>
        <w:tab w:val="left" w:pos="9990"/>
      </w:tabs>
      <w:jc w:val="both"/>
      <w:rPr>
        <w:rFonts w:asciiTheme="majorHAnsi" w:hAnsiTheme="majorHAnsi" w:cstheme="majorHAnsi"/>
        <w:sz w:val="22"/>
      </w:rPr>
    </w:pPr>
    <w:r w:rsidRPr="007C3A88">
      <w:rPr>
        <w:rFonts w:asciiTheme="majorHAnsi" w:hAnsiTheme="majorHAnsi" w:cstheme="majorHAnsi"/>
        <w:sz w:val="22"/>
      </w:rPr>
      <w:t xml:space="preserve">Issued:  </w:t>
    </w:r>
    <w:r w:rsidR="00D01D58">
      <w:rPr>
        <w:rFonts w:asciiTheme="majorHAnsi" w:hAnsiTheme="majorHAnsi" w:cstheme="majorHAnsi"/>
        <w:sz w:val="22"/>
      </w:rPr>
      <w:t>April</w:t>
    </w:r>
    <w:r w:rsidRPr="007C3A88">
      <w:rPr>
        <w:rFonts w:asciiTheme="majorHAnsi" w:hAnsiTheme="majorHAnsi" w:cstheme="majorHAnsi"/>
        <w:sz w:val="22"/>
      </w:rPr>
      <w:t xml:space="preserve"> 30, 2012</w:t>
    </w:r>
    <w:r w:rsidRPr="007C3A88">
      <w:rPr>
        <w:rFonts w:asciiTheme="majorHAnsi" w:hAnsiTheme="majorHAnsi" w:cstheme="majorHAnsi"/>
        <w:sz w:val="22"/>
      </w:rPr>
      <w:tab/>
      <w:t>Effective:  April 30, 2012</w:t>
    </w:r>
  </w:p>
  <w:p w:rsidR="007D70BE" w:rsidRPr="007C3A88" w:rsidRDefault="007D70BE" w:rsidP="007D70BE">
    <w:pPr>
      <w:pStyle w:val="Footer"/>
      <w:jc w:val="center"/>
      <w:rPr>
        <w:rFonts w:asciiTheme="majorHAnsi" w:hAnsiTheme="majorHAnsi" w:cstheme="majorHAnsi"/>
        <w:sz w:val="22"/>
      </w:rPr>
    </w:pPr>
    <w:r w:rsidRPr="007C3A88">
      <w:rPr>
        <w:rFonts w:asciiTheme="majorHAnsi" w:hAnsiTheme="majorHAnsi" w:cstheme="majorHAnsi"/>
        <w:sz w:val="22"/>
      </w:rPr>
      <w:t>In Accordance with Case No. 12-1123-</w:t>
    </w:r>
    <w:proofErr w:type="spellStart"/>
    <w:r w:rsidRPr="007C3A88">
      <w:rPr>
        <w:rFonts w:asciiTheme="majorHAnsi" w:hAnsiTheme="majorHAnsi" w:cstheme="majorHAnsi"/>
        <w:sz w:val="22"/>
      </w:rPr>
      <w:t>TP</w:t>
    </w:r>
    <w:proofErr w:type="spellEnd"/>
    <w:r w:rsidRPr="007C3A88">
      <w:rPr>
        <w:rFonts w:asciiTheme="majorHAnsi" w:hAnsiTheme="majorHAnsi" w:cstheme="majorHAnsi"/>
        <w:sz w:val="22"/>
      </w:rPr>
      <w:t>-ACE</w:t>
    </w:r>
  </w:p>
  <w:p w:rsidR="007D70BE" w:rsidRPr="007C3A88" w:rsidRDefault="007D70BE" w:rsidP="007D70BE">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7C3A88">
      <w:rPr>
        <w:rFonts w:asciiTheme="majorHAnsi" w:hAnsiTheme="majorHAnsi" w:cstheme="majorHAnsi"/>
        <w:sz w:val="22"/>
      </w:rPr>
      <w:t>Issued by the Public Utilities Commission of Ohio</w:t>
    </w:r>
  </w:p>
  <w:p w:rsidR="007D70BE" w:rsidRPr="007C3A88" w:rsidRDefault="007D70BE" w:rsidP="007D70BE">
    <w:pPr>
      <w:tabs>
        <w:tab w:val="left" w:pos="5940"/>
        <w:tab w:val="left" w:pos="7470"/>
        <w:tab w:val="left" w:pos="7560"/>
        <w:tab w:val="left" w:pos="7740"/>
        <w:tab w:val="left" w:pos="8640"/>
        <w:tab w:val="left" w:pos="9360"/>
        <w:tab w:val="left" w:pos="9990"/>
      </w:tabs>
      <w:jc w:val="center"/>
      <w:rPr>
        <w:rFonts w:asciiTheme="majorHAnsi" w:hAnsiTheme="majorHAnsi" w:cstheme="majorHAnsi"/>
        <w:sz w:val="22"/>
      </w:rPr>
    </w:pPr>
    <w:r w:rsidRPr="007C3A88">
      <w:rPr>
        <w:rFonts w:asciiTheme="majorHAnsi" w:hAnsiTheme="majorHAnsi" w:cstheme="majorHAnsi"/>
        <w:sz w:val="22"/>
      </w:rPr>
      <w:t>Lance Miller, President</w:t>
    </w:r>
  </w:p>
  <w:p w:rsidR="007C3A88" w:rsidRPr="007D70BE" w:rsidRDefault="007D70BE" w:rsidP="007D70BE">
    <w:pPr>
      <w:pStyle w:val="Footer"/>
      <w:jc w:val="center"/>
      <w:rPr>
        <w:rFonts w:asciiTheme="majorHAnsi" w:hAnsiTheme="majorHAnsi" w:cstheme="majorHAnsi"/>
        <w:sz w:val="22"/>
      </w:rPr>
    </w:pPr>
    <w:r>
      <w:rPr>
        <w:rFonts w:asciiTheme="majorHAnsi" w:hAnsiTheme="majorHAnsi" w:cstheme="majorHAnsi"/>
        <w:sz w:val="22"/>
      </w:rPr>
      <w:t>McClure,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88" w:rsidRDefault="007C3A88" w:rsidP="00045AAE">
      <w:r>
        <w:separator/>
      </w:r>
    </w:p>
  </w:footnote>
  <w:footnote w:type="continuationSeparator" w:id="0">
    <w:p w:rsidR="007C3A88" w:rsidRDefault="007C3A88"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Default="007C3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Default="007C3A88">
    <w:pPr>
      <w:pStyle w:val="Header"/>
    </w:pPr>
    <w:r>
      <w:rPr>
        <w:noProof/>
      </w:rPr>
      <mc:AlternateContent>
        <mc:Choice Requires="wps">
          <w:drawing>
            <wp:anchor distT="0" distB="0" distL="114300" distR="114300" simplePos="0" relativeHeight="251660288" behindDoc="0" locked="0" layoutInCell="1" allowOverlap="1" wp14:anchorId="33C70E20" wp14:editId="7675C068">
              <wp:simplePos x="0" y="0"/>
              <wp:positionH relativeFrom="page">
                <wp:posOffset>914400</wp:posOffset>
              </wp:positionH>
              <wp:positionV relativeFrom="page">
                <wp:posOffset>9180195</wp:posOffset>
              </wp:positionV>
              <wp:extent cx="5943600" cy="0"/>
              <wp:effectExtent l="0" t="0" r="19050" b="19050"/>
              <wp:wrapNone/>
              <wp:docPr id="3" name="THFooterLine1Rnd5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9525" cap="flat" cmpd="sng" algn="ctr">
                        <a:solidFill>
                          <a:srgbClr val="00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HFooterLine1Rnd579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722.85pt" to="540pt,7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">
              <o:lock v:ext="edit" shapetype="f"/>
              <w10:wrap anchorx="page" anchory="page"/>
            </v:line>
          </w:pict>
        </mc:Fallback>
      </mc:AlternateContent>
    </w:r>
    <w:r>
      <w:rPr>
        <w:noProof/>
      </w:rPr>
      <w:drawing>
        <wp:anchor distT="0" distB="0" distL="114300" distR="114300" simplePos="0" relativeHeight="251659264" behindDoc="0" locked="0" layoutInCell="1" allowOverlap="1" wp14:anchorId="1E634D5F" wp14:editId="629BE517">
          <wp:simplePos x="0" y="0"/>
          <wp:positionH relativeFrom="page">
            <wp:posOffset>877570</wp:posOffset>
          </wp:positionH>
          <wp:positionV relativeFrom="page">
            <wp:posOffset>484505</wp:posOffset>
          </wp:positionV>
          <wp:extent cx="5980309" cy="387118"/>
          <wp:effectExtent l="0" t="0" r="1905" b="0"/>
          <wp:wrapNone/>
          <wp:docPr id="2" name="THFooter1Rnd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5980309" cy="387118"/>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Default="007C3A88">
    <w:pPr>
      <w:pStyle w:val="Header"/>
    </w:pPr>
    <w:r>
      <w:rPr>
        <w:noProof/>
      </w:rPr>
      <w:drawing>
        <wp:anchor distT="0" distB="0" distL="114300" distR="114300" simplePos="0" relativeHeight="251661312" behindDoc="0" locked="0" layoutInCell="1" allowOverlap="1" wp14:anchorId="11B08A4F" wp14:editId="3CB6C234">
          <wp:simplePos x="0" y="0"/>
          <wp:positionH relativeFrom="page">
            <wp:align>center</wp:align>
          </wp:positionH>
          <wp:positionV relativeFrom="page">
            <wp:posOffset>9180195</wp:posOffset>
          </wp:positionV>
          <wp:extent cx="6020356" cy="600701"/>
          <wp:effectExtent l="0" t="0" r="0" b="9525"/>
          <wp:wrapNone/>
          <wp:docPr id="4" name="THLOGOColumbus5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020356" cy="600701"/>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A4525FF" wp14:editId="59CF910F">
          <wp:simplePos x="0" y="0"/>
          <wp:positionH relativeFrom="page">
            <wp:posOffset>859155</wp:posOffset>
          </wp:positionH>
          <wp:positionV relativeFrom="page">
            <wp:posOffset>365760</wp:posOffset>
          </wp:positionV>
          <wp:extent cx="6047054" cy="594026"/>
          <wp:effectExtent l="0" t="0" r="0" b="0"/>
          <wp:wrapNone/>
          <wp:docPr id="1" name="THHeader1Rnd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047054" cy="594026"/>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Default="007C3A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Pr="007D70BE" w:rsidRDefault="007C3A88">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Communications Corporation</w:t>
    </w:r>
    <w:r w:rsidRPr="007D70BE">
      <w:rPr>
        <w:rFonts w:asciiTheme="majorHAnsi" w:hAnsiTheme="majorHAnsi" w:cstheme="majorHAnsi"/>
        <w:sz w:val="22"/>
        <w:szCs w:val="22"/>
      </w:rPr>
      <w:tab/>
      <w:t>ORIGINAL TITLE SHEET</w:t>
    </w:r>
  </w:p>
  <w:p w:rsidR="007C3A88" w:rsidRPr="007D70BE" w:rsidRDefault="007C3A88">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Ohio</w:t>
    </w:r>
    <w:r w:rsidRPr="007D70BE">
      <w:rPr>
        <w:rFonts w:asciiTheme="majorHAnsi" w:hAnsiTheme="majorHAnsi" w:cstheme="majorHAnsi"/>
        <w:sz w:val="22"/>
        <w:szCs w:val="22"/>
      </w:rPr>
      <w:tab/>
    </w:r>
  </w:p>
  <w:p w:rsidR="007C3A88" w:rsidRPr="007D70BE" w:rsidRDefault="007C3A88">
    <w:pPr>
      <w:jc w:val="center"/>
      <w:rPr>
        <w:rFonts w:asciiTheme="majorHAnsi" w:hAnsiTheme="majorHAnsi" w:cstheme="majorHAnsi"/>
        <w:sz w:val="22"/>
        <w:szCs w:val="22"/>
      </w:rPr>
    </w:pPr>
    <w:proofErr w:type="spellStart"/>
    <w:r w:rsidRPr="007D70BE">
      <w:rPr>
        <w:rFonts w:asciiTheme="majorHAnsi" w:hAnsiTheme="majorHAnsi" w:cstheme="majorHAnsi"/>
        <w:sz w:val="22"/>
        <w:szCs w:val="22"/>
      </w:rPr>
      <w:t>P.U.C.O</w:t>
    </w:r>
    <w:proofErr w:type="spellEnd"/>
    <w:r w:rsidRPr="007D70BE">
      <w:rPr>
        <w:rFonts w:asciiTheme="majorHAnsi" w:hAnsiTheme="majorHAnsi" w:cstheme="majorHAnsi"/>
        <w:sz w:val="22"/>
        <w:szCs w:val="22"/>
      </w:rPr>
      <w:t>. NO. 1</w:t>
    </w:r>
  </w:p>
  <w:p w:rsidR="007C3A88" w:rsidRPr="007D70BE" w:rsidRDefault="007C3A88">
    <w:pPr>
      <w:pBdr>
        <w:bottom w:val="single" w:sz="12" w:space="1" w:color="auto"/>
      </w:pBdr>
      <w:jc w:val="center"/>
      <w:rPr>
        <w:rFonts w:asciiTheme="majorHAnsi" w:hAnsiTheme="majorHAnsi" w:cstheme="majorHAnsi"/>
        <w:sz w:val="22"/>
      </w:rPr>
    </w:pPr>
  </w:p>
  <w:p w:rsidR="007C3A88" w:rsidRDefault="007C3A88">
    <w:pPr>
      <w:rP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BE" w:rsidRPr="007D70BE" w:rsidRDefault="007D70BE" w:rsidP="007D70BE">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Communications Corporation</w:t>
    </w:r>
    <w:r w:rsidRPr="007D70BE">
      <w:rPr>
        <w:rFonts w:asciiTheme="majorHAnsi" w:hAnsiTheme="majorHAnsi" w:cstheme="majorHAnsi"/>
        <w:sz w:val="22"/>
        <w:szCs w:val="22"/>
      </w:rPr>
      <w:tab/>
      <w:t>SECTION NO. 1</w:t>
    </w:r>
  </w:p>
  <w:p w:rsidR="007D70BE" w:rsidRPr="007D70BE" w:rsidRDefault="007D70BE" w:rsidP="007D70BE">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Ohio</w:t>
    </w:r>
    <w:r w:rsidRPr="007D70BE">
      <w:rPr>
        <w:rFonts w:asciiTheme="majorHAnsi" w:hAnsiTheme="majorHAnsi" w:cstheme="majorHAnsi"/>
        <w:sz w:val="22"/>
        <w:szCs w:val="22"/>
      </w:rPr>
      <w:tab/>
      <w:t>Original Sheet No. 2</w:t>
    </w:r>
  </w:p>
  <w:p w:rsidR="007D70BE" w:rsidRPr="007D70BE" w:rsidRDefault="007D70BE" w:rsidP="007D70BE">
    <w:pPr>
      <w:tabs>
        <w:tab w:val="right" w:pos="9360"/>
      </w:tabs>
      <w:jc w:val="center"/>
      <w:rPr>
        <w:rFonts w:asciiTheme="majorHAnsi" w:hAnsiTheme="majorHAnsi" w:cstheme="majorHAnsi"/>
        <w:sz w:val="22"/>
        <w:szCs w:val="22"/>
      </w:rPr>
    </w:pPr>
    <w:proofErr w:type="spellStart"/>
    <w:r w:rsidRPr="007D70BE">
      <w:rPr>
        <w:rFonts w:asciiTheme="majorHAnsi" w:hAnsiTheme="majorHAnsi" w:cstheme="majorHAnsi"/>
        <w:sz w:val="22"/>
        <w:szCs w:val="22"/>
      </w:rPr>
      <w:t>P.U.C.O</w:t>
    </w:r>
    <w:proofErr w:type="spellEnd"/>
    <w:r w:rsidRPr="007D70BE">
      <w:rPr>
        <w:rFonts w:asciiTheme="majorHAnsi" w:hAnsiTheme="majorHAnsi" w:cstheme="majorHAnsi"/>
        <w:sz w:val="22"/>
        <w:szCs w:val="22"/>
      </w:rPr>
      <w:t>. NO. 1</w:t>
    </w:r>
  </w:p>
  <w:p w:rsidR="007D70BE" w:rsidRPr="007D70BE" w:rsidRDefault="007D70BE" w:rsidP="007D70BE">
    <w:pPr>
      <w:pBdr>
        <w:bottom w:val="single" w:sz="12" w:space="1" w:color="auto"/>
      </w:pBdr>
      <w:jc w:val="center"/>
      <w:rPr>
        <w:rFonts w:asciiTheme="majorHAnsi" w:hAnsiTheme="majorHAnsi" w:cstheme="majorHAnsi"/>
        <w:sz w:val="22"/>
      </w:rPr>
    </w:pPr>
  </w:p>
  <w:p w:rsidR="007C3A88" w:rsidRDefault="007C3A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Pr="007D70BE" w:rsidRDefault="007C3A88">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Communications Corporation</w:t>
    </w:r>
    <w:r w:rsidRPr="007D70BE">
      <w:rPr>
        <w:rFonts w:asciiTheme="majorHAnsi" w:hAnsiTheme="majorHAnsi" w:cstheme="majorHAnsi"/>
        <w:sz w:val="22"/>
        <w:szCs w:val="22"/>
      </w:rPr>
      <w:tab/>
      <w:t>SECTION NO. 1</w:t>
    </w:r>
  </w:p>
  <w:p w:rsidR="007C3A88" w:rsidRPr="007D70BE" w:rsidRDefault="007C3A88">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Ohio</w:t>
    </w:r>
    <w:r w:rsidRPr="007D70BE">
      <w:rPr>
        <w:rFonts w:asciiTheme="majorHAnsi" w:hAnsiTheme="majorHAnsi" w:cstheme="majorHAnsi"/>
        <w:sz w:val="22"/>
        <w:szCs w:val="22"/>
      </w:rPr>
      <w:tab/>
      <w:t>Original Sheet No. 1</w:t>
    </w:r>
  </w:p>
  <w:p w:rsidR="007C3A88" w:rsidRPr="007D70BE" w:rsidRDefault="007C3A88">
    <w:pPr>
      <w:tabs>
        <w:tab w:val="right" w:pos="9360"/>
      </w:tabs>
      <w:jc w:val="center"/>
      <w:rPr>
        <w:rFonts w:asciiTheme="majorHAnsi" w:hAnsiTheme="majorHAnsi" w:cstheme="majorHAnsi"/>
        <w:sz w:val="22"/>
        <w:szCs w:val="22"/>
      </w:rPr>
    </w:pPr>
    <w:proofErr w:type="spellStart"/>
    <w:r w:rsidRPr="007D70BE">
      <w:rPr>
        <w:rFonts w:asciiTheme="majorHAnsi" w:hAnsiTheme="majorHAnsi" w:cstheme="majorHAnsi"/>
        <w:sz w:val="22"/>
        <w:szCs w:val="22"/>
      </w:rPr>
      <w:t>P.U.C.O</w:t>
    </w:r>
    <w:proofErr w:type="spellEnd"/>
    <w:r w:rsidRPr="007D70BE">
      <w:rPr>
        <w:rFonts w:asciiTheme="majorHAnsi" w:hAnsiTheme="majorHAnsi" w:cstheme="majorHAnsi"/>
        <w:sz w:val="22"/>
        <w:szCs w:val="22"/>
      </w:rPr>
      <w:t>. NO. 1</w:t>
    </w:r>
  </w:p>
  <w:p w:rsidR="007C3A88" w:rsidRPr="007D70BE" w:rsidRDefault="007C3A88">
    <w:pPr>
      <w:pBdr>
        <w:bottom w:val="single" w:sz="12" w:space="1" w:color="auto"/>
      </w:pBdr>
      <w:jc w:val="center"/>
      <w:rPr>
        <w:rFonts w:asciiTheme="majorHAnsi" w:hAnsiTheme="majorHAnsi" w:cstheme="majorHAnsi"/>
        <w:sz w:val="22"/>
      </w:rPr>
    </w:pPr>
  </w:p>
  <w:p w:rsidR="007C3A88" w:rsidRDefault="007C3A8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88" w:rsidRPr="007D70BE" w:rsidRDefault="007C3A88">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Communications Corporation</w:t>
    </w:r>
    <w:r w:rsidRPr="007D70BE">
      <w:rPr>
        <w:rFonts w:asciiTheme="majorHAnsi" w:hAnsiTheme="majorHAnsi" w:cstheme="majorHAnsi"/>
        <w:sz w:val="22"/>
        <w:szCs w:val="22"/>
      </w:rPr>
      <w:tab/>
      <w:t>SECTION NO. 1</w:t>
    </w:r>
  </w:p>
  <w:p w:rsidR="007C3A88" w:rsidRPr="007D70BE" w:rsidRDefault="007C3A88">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Ohio</w:t>
    </w:r>
    <w:r w:rsidRPr="007D70BE">
      <w:rPr>
        <w:rFonts w:asciiTheme="majorHAnsi" w:hAnsiTheme="majorHAnsi" w:cstheme="majorHAnsi"/>
        <w:sz w:val="22"/>
        <w:szCs w:val="22"/>
      </w:rPr>
      <w:tab/>
      <w:t>Original Sheet No. 2</w:t>
    </w:r>
  </w:p>
  <w:p w:rsidR="007C3A88" w:rsidRPr="007D70BE" w:rsidRDefault="007C3A88">
    <w:pPr>
      <w:tabs>
        <w:tab w:val="right" w:pos="9360"/>
      </w:tabs>
      <w:jc w:val="center"/>
      <w:rPr>
        <w:rFonts w:asciiTheme="majorHAnsi" w:hAnsiTheme="majorHAnsi" w:cstheme="majorHAnsi"/>
        <w:sz w:val="22"/>
        <w:szCs w:val="22"/>
      </w:rPr>
    </w:pPr>
    <w:proofErr w:type="spellStart"/>
    <w:r w:rsidRPr="007D70BE">
      <w:rPr>
        <w:rFonts w:asciiTheme="majorHAnsi" w:hAnsiTheme="majorHAnsi" w:cstheme="majorHAnsi"/>
        <w:sz w:val="22"/>
        <w:szCs w:val="22"/>
      </w:rPr>
      <w:t>P.U.C.O</w:t>
    </w:r>
    <w:proofErr w:type="spellEnd"/>
    <w:r w:rsidRPr="007D70BE">
      <w:rPr>
        <w:rFonts w:asciiTheme="majorHAnsi" w:hAnsiTheme="majorHAnsi" w:cstheme="majorHAnsi"/>
        <w:sz w:val="22"/>
        <w:szCs w:val="22"/>
      </w:rPr>
      <w:t>. NO. 1</w:t>
    </w:r>
  </w:p>
  <w:p w:rsidR="007C3A88" w:rsidRPr="007D70BE" w:rsidRDefault="007C3A88">
    <w:pPr>
      <w:pBdr>
        <w:bottom w:val="single" w:sz="12" w:space="1" w:color="auto"/>
      </w:pBdr>
      <w:jc w:val="center"/>
      <w:rPr>
        <w:rFonts w:asciiTheme="majorHAnsi" w:hAnsiTheme="majorHAnsi" w:cstheme="majorHAnsi"/>
        <w:sz w:val="22"/>
      </w:rPr>
    </w:pPr>
  </w:p>
  <w:p w:rsidR="007C3A88" w:rsidRDefault="007C3A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BE" w:rsidRPr="007D70BE" w:rsidRDefault="007D70BE" w:rsidP="007D70BE">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McClure Communications Corporation</w:t>
    </w:r>
    <w:r w:rsidRPr="007D70BE">
      <w:rPr>
        <w:rFonts w:asciiTheme="majorHAnsi" w:hAnsiTheme="majorHAnsi" w:cstheme="majorHAnsi"/>
        <w:sz w:val="22"/>
        <w:szCs w:val="22"/>
      </w:rPr>
      <w:tab/>
      <w:t>SECTION NO. 1</w:t>
    </w:r>
  </w:p>
  <w:p w:rsidR="007D70BE" w:rsidRPr="007D70BE" w:rsidRDefault="007D70BE" w:rsidP="007D70BE">
    <w:pPr>
      <w:tabs>
        <w:tab w:val="right" w:pos="9360"/>
      </w:tabs>
      <w:rPr>
        <w:rFonts w:asciiTheme="majorHAnsi" w:hAnsiTheme="majorHAnsi" w:cstheme="majorHAnsi"/>
        <w:sz w:val="22"/>
        <w:szCs w:val="22"/>
      </w:rPr>
    </w:pPr>
    <w:r w:rsidRPr="007D70BE">
      <w:rPr>
        <w:rFonts w:asciiTheme="majorHAnsi" w:hAnsiTheme="majorHAnsi" w:cstheme="majorHAnsi"/>
        <w:sz w:val="22"/>
        <w:szCs w:val="22"/>
      </w:rPr>
      <w:t>Mc</w:t>
    </w:r>
    <w:r>
      <w:rPr>
        <w:rFonts w:asciiTheme="majorHAnsi" w:hAnsiTheme="majorHAnsi" w:cstheme="majorHAnsi"/>
        <w:sz w:val="22"/>
        <w:szCs w:val="22"/>
      </w:rPr>
      <w:t>Clure, Ohio</w:t>
    </w:r>
    <w:r>
      <w:rPr>
        <w:rFonts w:asciiTheme="majorHAnsi" w:hAnsiTheme="majorHAnsi" w:cstheme="majorHAnsi"/>
        <w:sz w:val="22"/>
        <w:szCs w:val="22"/>
      </w:rPr>
      <w:tab/>
      <w:t>Original Sheet No. 3</w:t>
    </w:r>
  </w:p>
  <w:p w:rsidR="007D70BE" w:rsidRPr="007D70BE" w:rsidRDefault="007D70BE" w:rsidP="007D70BE">
    <w:pPr>
      <w:tabs>
        <w:tab w:val="right" w:pos="9360"/>
      </w:tabs>
      <w:jc w:val="center"/>
      <w:rPr>
        <w:rFonts w:asciiTheme="majorHAnsi" w:hAnsiTheme="majorHAnsi" w:cstheme="majorHAnsi"/>
        <w:sz w:val="22"/>
        <w:szCs w:val="22"/>
      </w:rPr>
    </w:pPr>
    <w:proofErr w:type="spellStart"/>
    <w:r w:rsidRPr="007D70BE">
      <w:rPr>
        <w:rFonts w:asciiTheme="majorHAnsi" w:hAnsiTheme="majorHAnsi" w:cstheme="majorHAnsi"/>
        <w:sz w:val="22"/>
        <w:szCs w:val="22"/>
      </w:rPr>
      <w:t>P.U.C.O</w:t>
    </w:r>
    <w:proofErr w:type="spellEnd"/>
    <w:r w:rsidRPr="007D70BE">
      <w:rPr>
        <w:rFonts w:asciiTheme="majorHAnsi" w:hAnsiTheme="majorHAnsi" w:cstheme="majorHAnsi"/>
        <w:sz w:val="22"/>
        <w:szCs w:val="22"/>
      </w:rPr>
      <w:t>. NO. 1</w:t>
    </w:r>
  </w:p>
  <w:p w:rsidR="007D70BE" w:rsidRPr="007D70BE" w:rsidRDefault="007D70BE" w:rsidP="007D70BE">
    <w:pPr>
      <w:pBdr>
        <w:bottom w:val="single" w:sz="12" w:space="1" w:color="auto"/>
      </w:pBdr>
      <w:jc w:val="center"/>
      <w:rPr>
        <w:rFonts w:asciiTheme="majorHAnsi" w:hAnsiTheme="majorHAnsi" w:cstheme="majorHAnsi"/>
        <w:sz w:val="22"/>
      </w:rPr>
    </w:pPr>
  </w:p>
  <w:p w:rsidR="007D70BE" w:rsidRDefault="007D7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7C3A88"/>
    <w:rsid w:val="00045AAE"/>
    <w:rsid w:val="001726D8"/>
    <w:rsid w:val="00255CF7"/>
    <w:rsid w:val="002661BC"/>
    <w:rsid w:val="00280C50"/>
    <w:rsid w:val="003265B8"/>
    <w:rsid w:val="003B3E9A"/>
    <w:rsid w:val="006036E6"/>
    <w:rsid w:val="007C3A88"/>
    <w:rsid w:val="007D70BE"/>
    <w:rsid w:val="009512CC"/>
    <w:rsid w:val="00C66A5C"/>
    <w:rsid w:val="00C751CB"/>
    <w:rsid w:val="00CB6376"/>
    <w:rsid w:val="00D01D58"/>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contacts" w:name="GivenName"/>
  <w:smartTagType w:namespaceuri="urn:schemas-microsoft-com:office:smarttags" w:name="Street"/>
  <w:smartTagType w:namespaceuri="urn:schemas:contacts" w:name="nameSuffix"/>
  <w:smartTagType w:namespaceuri="urn:schemas-microsoft-com:office:smarttags" w:name="address"/>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A88"/>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widowControl/>
      <w:spacing w:after="240"/>
      <w:outlineLvl w:val="0"/>
    </w:pPr>
    <w:rPr>
      <w:rFonts w:ascii="Times New Roman" w:eastAsiaTheme="majorEastAsia" w:hAnsi="Times New Roman" w:cstheme="majorBidi"/>
      <w:b/>
      <w:bCs/>
      <w:snapToGrid/>
      <w:color w:val="000000" w:themeColor="text1"/>
      <w:sz w:val="24"/>
      <w:szCs w:val="28"/>
    </w:rPr>
  </w:style>
  <w:style w:type="paragraph" w:styleId="Heading2">
    <w:name w:val="heading 2"/>
    <w:basedOn w:val="Normal"/>
    <w:next w:val="Body1default"/>
    <w:link w:val="Heading2Char"/>
    <w:semiHidden/>
    <w:unhideWhenUsed/>
    <w:qFormat/>
    <w:rsid w:val="00EA1E19"/>
    <w:pPr>
      <w:keepNext/>
      <w:widowControl/>
      <w:spacing w:after="240"/>
      <w:outlineLvl w:val="1"/>
    </w:pPr>
    <w:rPr>
      <w:rFonts w:ascii="Times New Roman" w:eastAsiaTheme="majorEastAsia" w:hAnsi="Times New Roman" w:cstheme="majorBidi"/>
      <w:b/>
      <w:bCs/>
      <w:snapToGrid/>
      <w:color w:val="000000" w:themeColor="text1"/>
      <w:sz w:val="24"/>
      <w:szCs w:val="26"/>
    </w:rPr>
  </w:style>
  <w:style w:type="paragraph" w:styleId="Heading3">
    <w:name w:val="heading 3"/>
    <w:basedOn w:val="Normal"/>
    <w:next w:val="Body1default"/>
    <w:link w:val="Heading3Char"/>
    <w:semiHidden/>
    <w:unhideWhenUsed/>
    <w:qFormat/>
    <w:rsid w:val="00EA1E19"/>
    <w:pPr>
      <w:keepNext/>
      <w:widowControl/>
      <w:spacing w:after="240"/>
      <w:outlineLvl w:val="2"/>
    </w:pPr>
    <w:rPr>
      <w:rFonts w:ascii="Times New Roman" w:eastAsiaTheme="majorEastAsia" w:hAnsi="Times New Roman" w:cstheme="majorBidi"/>
      <w:b/>
      <w:bCs/>
      <w:snapToGrid/>
      <w:color w:val="000000" w:themeColor="text1"/>
      <w:sz w:val="24"/>
      <w:szCs w:val="24"/>
    </w:rPr>
  </w:style>
  <w:style w:type="paragraph" w:styleId="Heading4">
    <w:name w:val="heading 4"/>
    <w:basedOn w:val="Normal"/>
    <w:next w:val="Body1default"/>
    <w:link w:val="Heading4Char"/>
    <w:semiHidden/>
    <w:unhideWhenUsed/>
    <w:qFormat/>
    <w:rsid w:val="00EA1E19"/>
    <w:pPr>
      <w:keepNext/>
      <w:widowControl/>
      <w:spacing w:after="240"/>
      <w:outlineLvl w:val="3"/>
    </w:pPr>
    <w:rPr>
      <w:rFonts w:ascii="Times New Roman" w:eastAsiaTheme="majorEastAsia" w:hAnsi="Times New Roman" w:cstheme="majorBidi"/>
      <w:b/>
      <w:bCs/>
      <w:iCs/>
      <w:snapToGrid/>
      <w:color w:val="000000" w:themeColor="text1"/>
      <w:sz w:val="24"/>
      <w:szCs w:val="24"/>
    </w:rPr>
  </w:style>
  <w:style w:type="paragraph" w:styleId="Heading5">
    <w:name w:val="heading 5"/>
    <w:basedOn w:val="Normal"/>
    <w:next w:val="Body1default"/>
    <w:link w:val="Heading5Char"/>
    <w:semiHidden/>
    <w:unhideWhenUsed/>
    <w:qFormat/>
    <w:rsid w:val="00EA1E19"/>
    <w:pPr>
      <w:keepNext/>
      <w:widowControl/>
      <w:spacing w:after="240"/>
      <w:outlineLvl w:val="4"/>
    </w:pPr>
    <w:rPr>
      <w:rFonts w:ascii="Times New Roman" w:eastAsiaTheme="majorEastAsia" w:hAnsi="Times New Roman" w:cstheme="majorBidi"/>
      <w:snapToGrid/>
      <w:color w:val="000000" w:themeColor="text1"/>
      <w:sz w:val="24"/>
      <w:szCs w:val="24"/>
    </w:rPr>
  </w:style>
  <w:style w:type="paragraph" w:styleId="Heading6">
    <w:name w:val="heading 6"/>
    <w:basedOn w:val="Normal"/>
    <w:next w:val="Body1default"/>
    <w:link w:val="Heading6Char"/>
    <w:semiHidden/>
    <w:unhideWhenUsed/>
    <w:qFormat/>
    <w:rsid w:val="00EA1E19"/>
    <w:pPr>
      <w:keepNext/>
      <w:widowControl/>
      <w:spacing w:after="240"/>
      <w:outlineLvl w:val="5"/>
    </w:pPr>
    <w:rPr>
      <w:rFonts w:ascii="Times New Roman" w:eastAsiaTheme="majorEastAsia" w:hAnsi="Times New Roman" w:cstheme="majorBidi"/>
      <w:iCs/>
      <w:snapToGrid/>
      <w:color w:val="000000" w:themeColor="text1"/>
      <w:sz w:val="24"/>
      <w:szCs w:val="24"/>
    </w:rPr>
  </w:style>
  <w:style w:type="paragraph" w:styleId="Heading7">
    <w:name w:val="heading 7"/>
    <w:basedOn w:val="Normal"/>
    <w:next w:val="Body1default"/>
    <w:link w:val="Heading7Char"/>
    <w:semiHidden/>
    <w:unhideWhenUsed/>
    <w:qFormat/>
    <w:rsid w:val="00EA1E19"/>
    <w:pPr>
      <w:keepNext/>
      <w:keepLines/>
      <w:widowControl/>
      <w:spacing w:after="240"/>
      <w:outlineLvl w:val="6"/>
    </w:pPr>
    <w:rPr>
      <w:rFonts w:ascii="Times New Roman" w:eastAsiaTheme="majorEastAsia" w:hAnsi="Times New Roman" w:cstheme="majorBidi"/>
      <w:iCs/>
      <w:snapToGrid/>
      <w:color w:val="000000" w:themeColor="text1"/>
      <w:sz w:val="24"/>
      <w:szCs w:val="24"/>
    </w:rPr>
  </w:style>
  <w:style w:type="paragraph" w:styleId="Heading8">
    <w:name w:val="heading 8"/>
    <w:basedOn w:val="Normal"/>
    <w:next w:val="Body1default"/>
    <w:link w:val="Heading8Char"/>
    <w:semiHidden/>
    <w:unhideWhenUsed/>
    <w:qFormat/>
    <w:rsid w:val="00EA1E19"/>
    <w:pPr>
      <w:keepNext/>
      <w:keepLines/>
      <w:widowControl/>
      <w:spacing w:after="240"/>
      <w:outlineLvl w:val="7"/>
    </w:pPr>
    <w:rPr>
      <w:rFonts w:ascii="Times New Roman" w:eastAsiaTheme="majorEastAsia" w:hAnsi="Times New Roman" w:cstheme="majorBidi"/>
      <w:snapToGrid/>
      <w:color w:val="000000" w:themeColor="text1"/>
      <w:sz w:val="24"/>
    </w:rPr>
  </w:style>
  <w:style w:type="paragraph" w:styleId="Heading9">
    <w:name w:val="heading 9"/>
    <w:basedOn w:val="Normal"/>
    <w:next w:val="Body1default"/>
    <w:link w:val="Heading9Char"/>
    <w:semiHidden/>
    <w:unhideWhenUsed/>
    <w:qFormat/>
    <w:rsid w:val="00EA1E19"/>
    <w:pPr>
      <w:keepNext/>
      <w:keepLines/>
      <w:widowControl/>
      <w:spacing w:after="240"/>
      <w:outlineLvl w:val="8"/>
    </w:pPr>
    <w:rPr>
      <w:rFonts w:ascii="Times New Roman" w:eastAsiaTheme="majorEastAsia" w:hAnsi="Times New Roman" w:cstheme="majorBidi"/>
      <w:iCs/>
      <w:snapToGrid/>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widowControl/>
      <w:spacing w:after="240"/>
    </w:pPr>
    <w:rPr>
      <w:rFonts w:ascii="Times New Roman" w:eastAsiaTheme="minorHAnsi" w:hAnsi="Times New Roman" w:cstheme="minorBidi"/>
      <w:snapToGrid/>
      <w:color w:val="000000" w:themeColor="text1"/>
      <w:sz w:val="24"/>
      <w:szCs w:val="24"/>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widowControl/>
      <w:jc w:val="center"/>
    </w:pPr>
    <w:rPr>
      <w:rFonts w:ascii="Arial" w:eastAsiaTheme="minorHAnsi" w:hAnsi="Arial" w:cstheme="minorBidi"/>
      <w:b/>
      <w:snapToGrid/>
      <w:color w:val="000000" w:themeColor="text1"/>
      <w:sz w:val="28"/>
      <w:szCs w:val="24"/>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widowControl/>
      <w:spacing w:after="240"/>
      <w:ind w:left="720" w:right="720"/>
    </w:pPr>
    <w:rPr>
      <w:rFonts w:ascii="Times New Roman" w:eastAsiaTheme="minorHAnsi" w:hAnsi="Times New Roman" w:cstheme="minorBidi"/>
      <w:snapToGrid/>
      <w:color w:val="000000" w:themeColor="text1"/>
      <w:sz w:val="24"/>
      <w:szCs w:val="24"/>
    </w:rPr>
  </w:style>
  <w:style w:type="paragraph" w:customStyle="1" w:styleId="Block1">
    <w:name w:val="Block 1&quot;"/>
    <w:basedOn w:val="Normal"/>
    <w:qFormat/>
    <w:rsid w:val="00255CF7"/>
    <w:pPr>
      <w:widowControl/>
      <w:spacing w:after="240"/>
      <w:ind w:left="1440" w:right="1440"/>
    </w:pPr>
    <w:rPr>
      <w:rFonts w:ascii="Times New Roman" w:eastAsiaTheme="minorHAnsi" w:hAnsi="Times New Roman" w:cstheme="minorBidi"/>
      <w:snapToGrid/>
      <w:color w:val="000000" w:themeColor="text1"/>
      <w:sz w:val="24"/>
      <w:szCs w:val="24"/>
    </w:rPr>
  </w:style>
  <w:style w:type="paragraph" w:customStyle="1" w:styleId="Block15">
    <w:name w:val="Block 1.5&quot;"/>
    <w:basedOn w:val="Normal"/>
    <w:qFormat/>
    <w:rsid w:val="00255CF7"/>
    <w:pPr>
      <w:widowControl/>
      <w:spacing w:after="240"/>
      <w:ind w:left="2160" w:right="2160"/>
    </w:pPr>
    <w:rPr>
      <w:rFonts w:ascii="Times New Roman" w:eastAsiaTheme="minorHAnsi" w:hAnsi="Times New Roman" w:cstheme="minorBidi"/>
      <w:snapToGrid/>
      <w:color w:val="000000" w:themeColor="text1"/>
      <w:sz w:val="24"/>
      <w:szCs w:val="24"/>
    </w:rPr>
  </w:style>
  <w:style w:type="paragraph" w:customStyle="1" w:styleId="Body1Ind1F">
    <w:name w:val="Body 1 Ind 1: F"/>
    <w:basedOn w:val="Normal"/>
    <w:qFormat/>
    <w:rsid w:val="00255CF7"/>
    <w:pPr>
      <w:widowControl/>
      <w:spacing w:after="240"/>
      <w:ind w:firstLine="720"/>
    </w:pPr>
    <w:rPr>
      <w:rFonts w:ascii="Times New Roman" w:eastAsiaTheme="minorHAnsi" w:hAnsi="Times New Roman" w:cstheme="minorBidi"/>
      <w:snapToGrid/>
      <w:color w:val="000000" w:themeColor="text1"/>
      <w:sz w:val="24"/>
      <w:szCs w:val="24"/>
    </w:rPr>
  </w:style>
  <w:style w:type="paragraph" w:customStyle="1" w:styleId="Body1Ind2F">
    <w:name w:val="Body 1 Ind 2: F"/>
    <w:basedOn w:val="Normal"/>
    <w:qFormat/>
    <w:rsid w:val="00D83C7D"/>
    <w:pPr>
      <w:widowControl/>
      <w:spacing w:after="240"/>
      <w:ind w:left="720" w:firstLine="720"/>
    </w:pPr>
    <w:rPr>
      <w:rFonts w:ascii="Times New Roman" w:eastAsiaTheme="minorHAnsi" w:hAnsi="Times New Roman" w:cstheme="minorBidi"/>
      <w:snapToGrid/>
      <w:color w:val="000000" w:themeColor="text1"/>
      <w:sz w:val="24"/>
      <w:szCs w:val="24"/>
    </w:rPr>
  </w:style>
  <w:style w:type="paragraph" w:customStyle="1" w:styleId="Body1Ind1L">
    <w:name w:val="Body 1 Ind 1: L"/>
    <w:basedOn w:val="Normal"/>
    <w:qFormat/>
    <w:rsid w:val="00255CF7"/>
    <w:pPr>
      <w:widowControl/>
      <w:spacing w:after="240"/>
      <w:ind w:left="720"/>
    </w:pPr>
    <w:rPr>
      <w:rFonts w:ascii="Times New Roman" w:eastAsiaTheme="minorHAnsi" w:hAnsi="Times New Roman" w:cstheme="minorBidi"/>
      <w:snapToGrid/>
      <w:color w:val="000000" w:themeColor="text1"/>
      <w:sz w:val="24"/>
      <w:szCs w:val="24"/>
    </w:rPr>
  </w:style>
  <w:style w:type="paragraph" w:customStyle="1" w:styleId="Body1Ind2L">
    <w:name w:val="Body 1 Ind 2: L"/>
    <w:basedOn w:val="Normal"/>
    <w:qFormat/>
    <w:rsid w:val="001726D8"/>
    <w:pPr>
      <w:widowControl/>
      <w:spacing w:after="240"/>
      <w:ind w:left="1440"/>
    </w:pPr>
    <w:rPr>
      <w:rFonts w:ascii="Times New Roman" w:eastAsiaTheme="minorHAnsi" w:hAnsi="Times New Roman" w:cstheme="minorBidi"/>
      <w:snapToGrid/>
      <w:color w:val="000000" w:themeColor="text1"/>
      <w:sz w:val="24"/>
      <w:szCs w:val="24"/>
    </w:rPr>
  </w:style>
  <w:style w:type="paragraph" w:customStyle="1" w:styleId="Body2">
    <w:name w:val="Body 2"/>
    <w:basedOn w:val="Normal"/>
    <w:qFormat/>
    <w:rsid w:val="00255CF7"/>
    <w:pPr>
      <w:widowControl/>
      <w:spacing w:after="240" w:line="480" w:lineRule="auto"/>
    </w:pPr>
    <w:rPr>
      <w:rFonts w:ascii="Times New Roman" w:eastAsiaTheme="minorHAnsi" w:hAnsi="Times New Roman" w:cstheme="minorBidi"/>
      <w:snapToGrid/>
      <w:color w:val="000000" w:themeColor="text1"/>
      <w:sz w:val="24"/>
      <w:szCs w:val="24"/>
    </w:rPr>
  </w:style>
  <w:style w:type="paragraph" w:customStyle="1" w:styleId="Body2Ind1F">
    <w:name w:val="Body 2 Ind 1: F"/>
    <w:basedOn w:val="Normal"/>
    <w:qFormat/>
    <w:rsid w:val="00255CF7"/>
    <w:pPr>
      <w:widowControl/>
      <w:spacing w:line="480" w:lineRule="auto"/>
      <w:ind w:firstLine="720"/>
    </w:pPr>
    <w:rPr>
      <w:rFonts w:ascii="Times New Roman" w:eastAsiaTheme="minorHAnsi" w:hAnsi="Times New Roman" w:cstheme="minorBidi"/>
      <w:snapToGrid/>
      <w:color w:val="000000" w:themeColor="text1"/>
      <w:sz w:val="24"/>
      <w:szCs w:val="24"/>
    </w:rPr>
  </w:style>
  <w:style w:type="paragraph" w:customStyle="1" w:styleId="Body2Ind1FJ">
    <w:name w:val="Body 2 Ind 1: F J"/>
    <w:basedOn w:val="Normal"/>
    <w:qFormat/>
    <w:rsid w:val="003B3E9A"/>
    <w:pPr>
      <w:widowControl/>
      <w:spacing w:line="480" w:lineRule="auto"/>
      <w:ind w:firstLine="720"/>
      <w:jc w:val="both"/>
    </w:pPr>
    <w:rPr>
      <w:rFonts w:ascii="Times New Roman" w:eastAsiaTheme="minorHAnsi" w:hAnsi="Times New Roman" w:cstheme="minorBidi"/>
      <w:snapToGrid/>
      <w:color w:val="000000" w:themeColor="text1"/>
      <w:sz w:val="24"/>
      <w:szCs w:val="24"/>
    </w:rPr>
  </w:style>
  <w:style w:type="paragraph" w:customStyle="1" w:styleId="Body2Ind1L">
    <w:name w:val="Body 2 Ind 1: L"/>
    <w:basedOn w:val="Normal"/>
    <w:qFormat/>
    <w:rsid w:val="003B3E9A"/>
    <w:pPr>
      <w:widowControl/>
      <w:spacing w:after="240" w:line="480" w:lineRule="auto"/>
      <w:ind w:left="720"/>
    </w:pPr>
    <w:rPr>
      <w:rFonts w:ascii="Times New Roman" w:eastAsiaTheme="minorHAnsi" w:hAnsi="Times New Roman" w:cstheme="minorBidi"/>
      <w:snapToGrid/>
      <w:color w:val="000000" w:themeColor="text1"/>
      <w:sz w:val="24"/>
      <w:szCs w:val="24"/>
    </w:rPr>
  </w:style>
  <w:style w:type="paragraph" w:customStyle="1" w:styleId="Body2Ind2F">
    <w:name w:val="Body 2 Ind 2: F"/>
    <w:basedOn w:val="Normal"/>
    <w:qFormat/>
    <w:rsid w:val="003B3E9A"/>
    <w:pPr>
      <w:widowControl/>
      <w:spacing w:line="480" w:lineRule="auto"/>
      <w:ind w:firstLine="1440"/>
    </w:pPr>
    <w:rPr>
      <w:rFonts w:ascii="Times New Roman" w:eastAsiaTheme="minorHAnsi" w:hAnsi="Times New Roman" w:cstheme="minorBidi"/>
      <w:snapToGrid/>
      <w:color w:val="000000" w:themeColor="text1"/>
      <w:sz w:val="24"/>
      <w:szCs w:val="24"/>
    </w:rPr>
  </w:style>
  <w:style w:type="paragraph" w:customStyle="1" w:styleId="Body2Ind2FJ">
    <w:name w:val="Body 2 Ind 2: F J"/>
    <w:basedOn w:val="Normal"/>
    <w:qFormat/>
    <w:rsid w:val="003B3E9A"/>
    <w:pPr>
      <w:widowControl/>
      <w:spacing w:line="480" w:lineRule="auto"/>
      <w:ind w:firstLine="1440"/>
      <w:jc w:val="both"/>
    </w:pPr>
    <w:rPr>
      <w:rFonts w:ascii="Times New Roman" w:eastAsiaTheme="minorHAnsi" w:hAnsi="Times New Roman" w:cstheme="minorBidi"/>
      <w:snapToGrid/>
      <w:color w:val="000000" w:themeColor="text1"/>
      <w:sz w:val="24"/>
      <w:szCs w:val="24"/>
    </w:rPr>
  </w:style>
  <w:style w:type="paragraph" w:customStyle="1" w:styleId="Body5">
    <w:name w:val="Body 5"/>
    <w:basedOn w:val="Normal"/>
    <w:qFormat/>
    <w:rsid w:val="003B3E9A"/>
    <w:pPr>
      <w:widowControl/>
      <w:spacing w:after="240" w:line="360" w:lineRule="auto"/>
    </w:pPr>
    <w:rPr>
      <w:rFonts w:ascii="Times New Roman" w:eastAsiaTheme="minorHAnsi" w:hAnsi="Times New Roman" w:cstheme="minorBidi"/>
      <w:snapToGrid/>
      <w:color w:val="000000" w:themeColor="text1"/>
      <w:sz w:val="24"/>
      <w:szCs w:val="24"/>
    </w:rPr>
  </w:style>
  <w:style w:type="paragraph" w:customStyle="1" w:styleId="Body5Ind1F">
    <w:name w:val="Body 5 Ind 1: F"/>
    <w:basedOn w:val="Normal"/>
    <w:qFormat/>
    <w:rsid w:val="003B3E9A"/>
    <w:pPr>
      <w:widowControl/>
      <w:spacing w:line="360" w:lineRule="auto"/>
      <w:ind w:firstLine="720"/>
    </w:pPr>
    <w:rPr>
      <w:rFonts w:ascii="Times New Roman" w:eastAsiaTheme="minorHAnsi" w:hAnsi="Times New Roman" w:cstheme="minorBidi"/>
      <w:snapToGrid/>
      <w:color w:val="000000" w:themeColor="text1"/>
      <w:sz w:val="24"/>
      <w:szCs w:val="24"/>
    </w:rPr>
  </w:style>
  <w:style w:type="paragraph" w:customStyle="1" w:styleId="Body5Ind1L">
    <w:name w:val="Body 5 Ind 1: L"/>
    <w:basedOn w:val="Normal"/>
    <w:qFormat/>
    <w:rsid w:val="003B3E9A"/>
    <w:pPr>
      <w:widowControl/>
      <w:spacing w:after="240" w:line="360" w:lineRule="auto"/>
      <w:ind w:left="720"/>
    </w:pPr>
    <w:rPr>
      <w:rFonts w:ascii="Times New Roman" w:eastAsiaTheme="minorHAnsi" w:hAnsi="Times New Roman" w:cstheme="minorBidi"/>
      <w:snapToGrid/>
      <w:color w:val="000000" w:themeColor="text1"/>
      <w:sz w:val="24"/>
      <w:szCs w:val="24"/>
    </w:rPr>
  </w:style>
  <w:style w:type="paragraph" w:customStyle="1" w:styleId="Body5Ind2F">
    <w:name w:val="Body 5 Ind 2: F"/>
    <w:basedOn w:val="Normal"/>
    <w:qFormat/>
    <w:rsid w:val="003B3E9A"/>
    <w:pPr>
      <w:widowControl/>
      <w:spacing w:line="360" w:lineRule="auto"/>
      <w:ind w:firstLine="1440"/>
    </w:pPr>
    <w:rPr>
      <w:rFonts w:ascii="Times New Roman" w:eastAsiaTheme="minorHAnsi" w:hAnsi="Times New Roman" w:cstheme="minorBidi"/>
      <w:snapToGrid/>
      <w:color w:val="000000" w:themeColor="text1"/>
      <w:sz w:val="24"/>
      <w:szCs w:val="24"/>
    </w:rPr>
  </w:style>
  <w:style w:type="paragraph" w:customStyle="1" w:styleId="Body5Ind2L">
    <w:name w:val="Body 5 Ind 2: L"/>
    <w:basedOn w:val="Normal"/>
    <w:qFormat/>
    <w:rsid w:val="003B3E9A"/>
    <w:pPr>
      <w:widowControl/>
      <w:spacing w:after="240" w:line="360" w:lineRule="auto"/>
      <w:ind w:left="1440"/>
    </w:pPr>
    <w:rPr>
      <w:rFonts w:ascii="Times New Roman" w:eastAsiaTheme="minorHAnsi" w:hAnsi="Times New Roman" w:cstheme="minorBidi"/>
      <w:snapToGrid/>
      <w:color w:val="000000" w:themeColor="text1"/>
      <w:sz w:val="24"/>
      <w:szCs w:val="24"/>
    </w:rPr>
  </w:style>
  <w:style w:type="paragraph" w:customStyle="1" w:styleId="Title1">
    <w:name w:val="Title 1"/>
    <w:basedOn w:val="Normal"/>
    <w:next w:val="Body1default"/>
    <w:qFormat/>
    <w:rsid w:val="00E87729"/>
    <w:pPr>
      <w:widowControl/>
      <w:spacing w:after="240"/>
      <w:jc w:val="center"/>
    </w:pPr>
    <w:rPr>
      <w:rFonts w:ascii="Times New Roman" w:eastAsiaTheme="minorHAnsi" w:hAnsi="Times New Roman" w:cstheme="minorBidi"/>
      <w:b/>
      <w:caps/>
      <w:snapToGrid/>
      <w:color w:val="000000" w:themeColor="text1"/>
      <w:sz w:val="24"/>
      <w:szCs w:val="24"/>
    </w:rPr>
  </w:style>
  <w:style w:type="paragraph" w:styleId="EnvelopeReturn">
    <w:name w:val="envelope return"/>
    <w:basedOn w:val="Normal"/>
    <w:uiPriority w:val="99"/>
    <w:semiHidden/>
    <w:unhideWhenUsed/>
    <w:rsid w:val="00CB6376"/>
    <w:pPr>
      <w:widowControl/>
    </w:pPr>
    <w:rPr>
      <w:rFonts w:ascii="Times New Roman" w:eastAsiaTheme="majorEastAsia" w:hAnsi="Times New Roman" w:cstheme="majorBidi"/>
      <w:snapToGrid/>
      <w:color w:val="000000" w:themeColor="text1"/>
      <w:sz w:val="24"/>
    </w:rPr>
  </w:style>
  <w:style w:type="paragraph" w:styleId="EnvelopeAddress">
    <w:name w:val="envelope address"/>
    <w:basedOn w:val="Normal"/>
    <w:uiPriority w:val="99"/>
    <w:semiHidden/>
    <w:unhideWhenUsed/>
    <w:rsid w:val="00CB6376"/>
    <w:pPr>
      <w:framePr w:w="7920" w:h="1980" w:hRule="exact" w:hSpace="180" w:wrap="auto" w:hAnchor="page" w:xAlign="center" w:yAlign="bottom"/>
      <w:widowControl/>
      <w:ind w:left="2880"/>
    </w:pPr>
    <w:rPr>
      <w:rFonts w:ascii="Times New Roman" w:eastAsiaTheme="majorEastAsia" w:hAnsi="Times New Roman" w:cstheme="majorBidi"/>
      <w:snapToGrid/>
      <w:color w:val="000000" w:themeColor="text1"/>
      <w:sz w:val="24"/>
      <w:szCs w:val="24"/>
    </w:rPr>
  </w:style>
  <w:style w:type="paragraph" w:customStyle="1" w:styleId="Title2">
    <w:name w:val="Title 2"/>
    <w:basedOn w:val="Normal"/>
    <w:next w:val="Body1default"/>
    <w:qFormat/>
    <w:rsid w:val="00E87729"/>
    <w:pPr>
      <w:widowControl/>
      <w:spacing w:after="240"/>
      <w:jc w:val="center"/>
    </w:pPr>
    <w:rPr>
      <w:rFonts w:ascii="Times New Roman" w:eastAsiaTheme="minorHAnsi" w:hAnsi="Times New Roman" w:cstheme="minorBidi"/>
      <w:caps/>
      <w:snapToGrid/>
      <w:sz w:val="24"/>
      <w:szCs w:val="24"/>
      <w:u w:val="single"/>
    </w:rPr>
  </w:style>
  <w:style w:type="paragraph" w:customStyle="1" w:styleId="FootnoteText2">
    <w:name w:val="Footnote Text 2"/>
    <w:basedOn w:val="Normal"/>
    <w:unhideWhenUsed/>
    <w:qFormat/>
    <w:rsid w:val="00CB6376"/>
    <w:pPr>
      <w:widowControl/>
      <w:spacing w:after="120"/>
    </w:pPr>
    <w:rPr>
      <w:rFonts w:ascii="Times New Roman" w:eastAsiaTheme="minorHAnsi" w:hAnsi="Times New Roman" w:cstheme="minorBidi"/>
      <w:snapToGrid/>
      <w:color w:val="000000" w:themeColor="text1"/>
      <w:sz w:val="24"/>
      <w:szCs w:val="24"/>
    </w:rPr>
  </w:style>
  <w:style w:type="paragraph" w:styleId="Title">
    <w:name w:val="Title"/>
    <w:basedOn w:val="Normal"/>
    <w:next w:val="Normal"/>
    <w:link w:val="TitleChar"/>
    <w:uiPriority w:val="10"/>
    <w:semiHidden/>
    <w:qFormat/>
    <w:rsid w:val="00CB6376"/>
    <w:pPr>
      <w:widowControl/>
      <w:spacing w:after="240"/>
      <w:contextualSpacing/>
    </w:pPr>
    <w:rPr>
      <w:rFonts w:ascii="Times New Roman" w:eastAsiaTheme="majorEastAsia" w:hAnsi="Times New Roman" w:cstheme="majorBidi"/>
      <w:snapToGrid/>
      <w:color w:val="000000" w:themeColor="text1"/>
      <w:spacing w:val="5"/>
      <w:kern w:val="28"/>
      <w:sz w:val="24"/>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widowControl/>
      <w:spacing w:after="120"/>
    </w:pPr>
    <w:rPr>
      <w:rFonts w:ascii="Times New Roman" w:eastAsiaTheme="minorHAnsi" w:hAnsi="Times New Roman" w:cstheme="minorBidi"/>
      <w:snapToGrid/>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customStyle="1" w:styleId="Footer2Land">
    <w:name w:val="Foot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styleId="Header">
    <w:name w:val="header"/>
    <w:basedOn w:val="Normal"/>
    <w:link w:val="Head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widowControl/>
      <w:spacing w:after="240" w:line="480" w:lineRule="auto"/>
      <w:ind w:left="1440"/>
    </w:pPr>
    <w:rPr>
      <w:rFonts w:ascii="Times New Roman" w:eastAsiaTheme="minorHAnsi" w:hAnsi="Times New Roman" w:cstheme="minorBidi"/>
      <w:snapToGrid/>
      <w:sz w:val="24"/>
      <w:szCs w:val="24"/>
    </w:rPr>
  </w:style>
  <w:style w:type="paragraph" w:customStyle="1" w:styleId="TaxDisclaimer">
    <w:name w:val="TaxDisclaimer"/>
    <w:basedOn w:val="Normal"/>
    <w:qFormat/>
    <w:rsid w:val="00C66A5C"/>
    <w:pPr>
      <w:widowControl/>
      <w:spacing w:before="240" w:after="240"/>
    </w:pPr>
    <w:rPr>
      <w:rFonts w:ascii="Times New Roman" w:eastAsiaTheme="minorHAnsi" w:hAnsi="Times New Roman" w:cstheme="minorBidi"/>
      <w:b/>
      <w:snapToGrid/>
      <w:sz w:val="28"/>
      <w:szCs w:val="24"/>
    </w:rPr>
  </w:style>
  <w:style w:type="paragraph" w:styleId="BalloonText">
    <w:name w:val="Balloon Text"/>
    <w:basedOn w:val="Normal"/>
    <w:link w:val="BalloonTextChar"/>
    <w:uiPriority w:val="99"/>
    <w:semiHidden/>
    <w:unhideWhenUsed/>
    <w:rsid w:val="007C3A88"/>
    <w:rPr>
      <w:rFonts w:ascii="Tahoma" w:hAnsi="Tahoma" w:cs="Tahoma"/>
      <w:sz w:val="16"/>
      <w:szCs w:val="16"/>
    </w:rPr>
  </w:style>
  <w:style w:type="character" w:customStyle="1" w:styleId="BalloonTextChar">
    <w:name w:val="Balloon Text Char"/>
    <w:basedOn w:val="DefaultParagraphFont"/>
    <w:link w:val="BalloonText"/>
    <w:uiPriority w:val="99"/>
    <w:semiHidden/>
    <w:rsid w:val="007C3A88"/>
    <w:rPr>
      <w:rFonts w:ascii="Tahoma" w:eastAsia="Times New Roman" w:hAnsi="Tahoma" w:cs="Tahoma"/>
      <w:snapToGrid w:val="0"/>
      <w:sz w:val="16"/>
      <w:szCs w:val="16"/>
    </w:rPr>
  </w:style>
  <w:style w:type="character" w:styleId="Hyperlink">
    <w:name w:val="Hyperlink"/>
    <w:basedOn w:val="DefaultParagraphFont"/>
    <w:uiPriority w:val="99"/>
    <w:unhideWhenUsed/>
    <w:rsid w:val="007C3A88"/>
    <w:rPr>
      <w:color w:val="0000FF" w:themeColor="hyperlink"/>
      <w:u w:val="single"/>
    </w:rPr>
  </w:style>
  <w:style w:type="character" w:customStyle="1" w:styleId="DocID">
    <w:name w:val="DocID"/>
    <w:rsid w:val="007C3A88"/>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A88"/>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widowControl/>
      <w:spacing w:after="240"/>
      <w:outlineLvl w:val="0"/>
    </w:pPr>
    <w:rPr>
      <w:rFonts w:ascii="Times New Roman" w:eastAsiaTheme="majorEastAsia" w:hAnsi="Times New Roman" w:cstheme="majorBidi"/>
      <w:b/>
      <w:bCs/>
      <w:snapToGrid/>
      <w:color w:val="000000" w:themeColor="text1"/>
      <w:sz w:val="24"/>
      <w:szCs w:val="28"/>
    </w:rPr>
  </w:style>
  <w:style w:type="paragraph" w:styleId="Heading2">
    <w:name w:val="heading 2"/>
    <w:basedOn w:val="Normal"/>
    <w:next w:val="Body1default"/>
    <w:link w:val="Heading2Char"/>
    <w:semiHidden/>
    <w:unhideWhenUsed/>
    <w:qFormat/>
    <w:rsid w:val="00EA1E19"/>
    <w:pPr>
      <w:keepNext/>
      <w:widowControl/>
      <w:spacing w:after="240"/>
      <w:outlineLvl w:val="1"/>
    </w:pPr>
    <w:rPr>
      <w:rFonts w:ascii="Times New Roman" w:eastAsiaTheme="majorEastAsia" w:hAnsi="Times New Roman" w:cstheme="majorBidi"/>
      <w:b/>
      <w:bCs/>
      <w:snapToGrid/>
      <w:color w:val="000000" w:themeColor="text1"/>
      <w:sz w:val="24"/>
      <w:szCs w:val="26"/>
    </w:rPr>
  </w:style>
  <w:style w:type="paragraph" w:styleId="Heading3">
    <w:name w:val="heading 3"/>
    <w:basedOn w:val="Normal"/>
    <w:next w:val="Body1default"/>
    <w:link w:val="Heading3Char"/>
    <w:semiHidden/>
    <w:unhideWhenUsed/>
    <w:qFormat/>
    <w:rsid w:val="00EA1E19"/>
    <w:pPr>
      <w:keepNext/>
      <w:widowControl/>
      <w:spacing w:after="240"/>
      <w:outlineLvl w:val="2"/>
    </w:pPr>
    <w:rPr>
      <w:rFonts w:ascii="Times New Roman" w:eastAsiaTheme="majorEastAsia" w:hAnsi="Times New Roman" w:cstheme="majorBidi"/>
      <w:b/>
      <w:bCs/>
      <w:snapToGrid/>
      <w:color w:val="000000" w:themeColor="text1"/>
      <w:sz w:val="24"/>
      <w:szCs w:val="24"/>
    </w:rPr>
  </w:style>
  <w:style w:type="paragraph" w:styleId="Heading4">
    <w:name w:val="heading 4"/>
    <w:basedOn w:val="Normal"/>
    <w:next w:val="Body1default"/>
    <w:link w:val="Heading4Char"/>
    <w:semiHidden/>
    <w:unhideWhenUsed/>
    <w:qFormat/>
    <w:rsid w:val="00EA1E19"/>
    <w:pPr>
      <w:keepNext/>
      <w:widowControl/>
      <w:spacing w:after="240"/>
      <w:outlineLvl w:val="3"/>
    </w:pPr>
    <w:rPr>
      <w:rFonts w:ascii="Times New Roman" w:eastAsiaTheme="majorEastAsia" w:hAnsi="Times New Roman" w:cstheme="majorBidi"/>
      <w:b/>
      <w:bCs/>
      <w:iCs/>
      <w:snapToGrid/>
      <w:color w:val="000000" w:themeColor="text1"/>
      <w:sz w:val="24"/>
      <w:szCs w:val="24"/>
    </w:rPr>
  </w:style>
  <w:style w:type="paragraph" w:styleId="Heading5">
    <w:name w:val="heading 5"/>
    <w:basedOn w:val="Normal"/>
    <w:next w:val="Body1default"/>
    <w:link w:val="Heading5Char"/>
    <w:semiHidden/>
    <w:unhideWhenUsed/>
    <w:qFormat/>
    <w:rsid w:val="00EA1E19"/>
    <w:pPr>
      <w:keepNext/>
      <w:widowControl/>
      <w:spacing w:after="240"/>
      <w:outlineLvl w:val="4"/>
    </w:pPr>
    <w:rPr>
      <w:rFonts w:ascii="Times New Roman" w:eastAsiaTheme="majorEastAsia" w:hAnsi="Times New Roman" w:cstheme="majorBidi"/>
      <w:snapToGrid/>
      <w:color w:val="000000" w:themeColor="text1"/>
      <w:sz w:val="24"/>
      <w:szCs w:val="24"/>
    </w:rPr>
  </w:style>
  <w:style w:type="paragraph" w:styleId="Heading6">
    <w:name w:val="heading 6"/>
    <w:basedOn w:val="Normal"/>
    <w:next w:val="Body1default"/>
    <w:link w:val="Heading6Char"/>
    <w:semiHidden/>
    <w:unhideWhenUsed/>
    <w:qFormat/>
    <w:rsid w:val="00EA1E19"/>
    <w:pPr>
      <w:keepNext/>
      <w:widowControl/>
      <w:spacing w:after="240"/>
      <w:outlineLvl w:val="5"/>
    </w:pPr>
    <w:rPr>
      <w:rFonts w:ascii="Times New Roman" w:eastAsiaTheme="majorEastAsia" w:hAnsi="Times New Roman" w:cstheme="majorBidi"/>
      <w:iCs/>
      <w:snapToGrid/>
      <w:color w:val="000000" w:themeColor="text1"/>
      <w:sz w:val="24"/>
      <w:szCs w:val="24"/>
    </w:rPr>
  </w:style>
  <w:style w:type="paragraph" w:styleId="Heading7">
    <w:name w:val="heading 7"/>
    <w:basedOn w:val="Normal"/>
    <w:next w:val="Body1default"/>
    <w:link w:val="Heading7Char"/>
    <w:semiHidden/>
    <w:unhideWhenUsed/>
    <w:qFormat/>
    <w:rsid w:val="00EA1E19"/>
    <w:pPr>
      <w:keepNext/>
      <w:keepLines/>
      <w:widowControl/>
      <w:spacing w:after="240"/>
      <w:outlineLvl w:val="6"/>
    </w:pPr>
    <w:rPr>
      <w:rFonts w:ascii="Times New Roman" w:eastAsiaTheme="majorEastAsia" w:hAnsi="Times New Roman" w:cstheme="majorBidi"/>
      <w:iCs/>
      <w:snapToGrid/>
      <w:color w:val="000000" w:themeColor="text1"/>
      <w:sz w:val="24"/>
      <w:szCs w:val="24"/>
    </w:rPr>
  </w:style>
  <w:style w:type="paragraph" w:styleId="Heading8">
    <w:name w:val="heading 8"/>
    <w:basedOn w:val="Normal"/>
    <w:next w:val="Body1default"/>
    <w:link w:val="Heading8Char"/>
    <w:semiHidden/>
    <w:unhideWhenUsed/>
    <w:qFormat/>
    <w:rsid w:val="00EA1E19"/>
    <w:pPr>
      <w:keepNext/>
      <w:keepLines/>
      <w:widowControl/>
      <w:spacing w:after="240"/>
      <w:outlineLvl w:val="7"/>
    </w:pPr>
    <w:rPr>
      <w:rFonts w:ascii="Times New Roman" w:eastAsiaTheme="majorEastAsia" w:hAnsi="Times New Roman" w:cstheme="majorBidi"/>
      <w:snapToGrid/>
      <w:color w:val="000000" w:themeColor="text1"/>
      <w:sz w:val="24"/>
    </w:rPr>
  </w:style>
  <w:style w:type="paragraph" w:styleId="Heading9">
    <w:name w:val="heading 9"/>
    <w:basedOn w:val="Normal"/>
    <w:next w:val="Body1default"/>
    <w:link w:val="Heading9Char"/>
    <w:semiHidden/>
    <w:unhideWhenUsed/>
    <w:qFormat/>
    <w:rsid w:val="00EA1E19"/>
    <w:pPr>
      <w:keepNext/>
      <w:keepLines/>
      <w:widowControl/>
      <w:spacing w:after="240"/>
      <w:outlineLvl w:val="8"/>
    </w:pPr>
    <w:rPr>
      <w:rFonts w:ascii="Times New Roman" w:eastAsiaTheme="majorEastAsia" w:hAnsi="Times New Roman" w:cstheme="majorBidi"/>
      <w:iCs/>
      <w:snapToGrid/>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widowControl/>
      <w:spacing w:after="240"/>
    </w:pPr>
    <w:rPr>
      <w:rFonts w:ascii="Times New Roman" w:eastAsiaTheme="minorHAnsi" w:hAnsi="Times New Roman" w:cstheme="minorBidi"/>
      <w:snapToGrid/>
      <w:color w:val="000000" w:themeColor="text1"/>
      <w:sz w:val="24"/>
      <w:szCs w:val="24"/>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widowControl/>
      <w:jc w:val="center"/>
    </w:pPr>
    <w:rPr>
      <w:rFonts w:ascii="Arial" w:eastAsiaTheme="minorHAnsi" w:hAnsi="Arial" w:cstheme="minorBidi"/>
      <w:b/>
      <w:snapToGrid/>
      <w:color w:val="000000" w:themeColor="text1"/>
      <w:sz w:val="28"/>
      <w:szCs w:val="24"/>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widowControl/>
      <w:spacing w:after="240"/>
      <w:ind w:left="720" w:right="720"/>
    </w:pPr>
    <w:rPr>
      <w:rFonts w:ascii="Times New Roman" w:eastAsiaTheme="minorHAnsi" w:hAnsi="Times New Roman" w:cstheme="minorBidi"/>
      <w:snapToGrid/>
      <w:color w:val="000000" w:themeColor="text1"/>
      <w:sz w:val="24"/>
      <w:szCs w:val="24"/>
    </w:rPr>
  </w:style>
  <w:style w:type="paragraph" w:customStyle="1" w:styleId="Block1">
    <w:name w:val="Block 1&quot;"/>
    <w:basedOn w:val="Normal"/>
    <w:qFormat/>
    <w:rsid w:val="00255CF7"/>
    <w:pPr>
      <w:widowControl/>
      <w:spacing w:after="240"/>
      <w:ind w:left="1440" w:right="1440"/>
    </w:pPr>
    <w:rPr>
      <w:rFonts w:ascii="Times New Roman" w:eastAsiaTheme="minorHAnsi" w:hAnsi="Times New Roman" w:cstheme="minorBidi"/>
      <w:snapToGrid/>
      <w:color w:val="000000" w:themeColor="text1"/>
      <w:sz w:val="24"/>
      <w:szCs w:val="24"/>
    </w:rPr>
  </w:style>
  <w:style w:type="paragraph" w:customStyle="1" w:styleId="Block15">
    <w:name w:val="Block 1.5&quot;"/>
    <w:basedOn w:val="Normal"/>
    <w:qFormat/>
    <w:rsid w:val="00255CF7"/>
    <w:pPr>
      <w:widowControl/>
      <w:spacing w:after="240"/>
      <w:ind w:left="2160" w:right="2160"/>
    </w:pPr>
    <w:rPr>
      <w:rFonts w:ascii="Times New Roman" w:eastAsiaTheme="minorHAnsi" w:hAnsi="Times New Roman" w:cstheme="minorBidi"/>
      <w:snapToGrid/>
      <w:color w:val="000000" w:themeColor="text1"/>
      <w:sz w:val="24"/>
      <w:szCs w:val="24"/>
    </w:rPr>
  </w:style>
  <w:style w:type="paragraph" w:customStyle="1" w:styleId="Body1Ind1F">
    <w:name w:val="Body 1 Ind 1: F"/>
    <w:basedOn w:val="Normal"/>
    <w:qFormat/>
    <w:rsid w:val="00255CF7"/>
    <w:pPr>
      <w:widowControl/>
      <w:spacing w:after="240"/>
      <w:ind w:firstLine="720"/>
    </w:pPr>
    <w:rPr>
      <w:rFonts w:ascii="Times New Roman" w:eastAsiaTheme="minorHAnsi" w:hAnsi="Times New Roman" w:cstheme="minorBidi"/>
      <w:snapToGrid/>
      <w:color w:val="000000" w:themeColor="text1"/>
      <w:sz w:val="24"/>
      <w:szCs w:val="24"/>
    </w:rPr>
  </w:style>
  <w:style w:type="paragraph" w:customStyle="1" w:styleId="Body1Ind2F">
    <w:name w:val="Body 1 Ind 2: F"/>
    <w:basedOn w:val="Normal"/>
    <w:qFormat/>
    <w:rsid w:val="00D83C7D"/>
    <w:pPr>
      <w:widowControl/>
      <w:spacing w:after="240"/>
      <w:ind w:left="720" w:firstLine="720"/>
    </w:pPr>
    <w:rPr>
      <w:rFonts w:ascii="Times New Roman" w:eastAsiaTheme="minorHAnsi" w:hAnsi="Times New Roman" w:cstheme="minorBidi"/>
      <w:snapToGrid/>
      <w:color w:val="000000" w:themeColor="text1"/>
      <w:sz w:val="24"/>
      <w:szCs w:val="24"/>
    </w:rPr>
  </w:style>
  <w:style w:type="paragraph" w:customStyle="1" w:styleId="Body1Ind1L">
    <w:name w:val="Body 1 Ind 1: L"/>
    <w:basedOn w:val="Normal"/>
    <w:qFormat/>
    <w:rsid w:val="00255CF7"/>
    <w:pPr>
      <w:widowControl/>
      <w:spacing w:after="240"/>
      <w:ind w:left="720"/>
    </w:pPr>
    <w:rPr>
      <w:rFonts w:ascii="Times New Roman" w:eastAsiaTheme="minorHAnsi" w:hAnsi="Times New Roman" w:cstheme="minorBidi"/>
      <w:snapToGrid/>
      <w:color w:val="000000" w:themeColor="text1"/>
      <w:sz w:val="24"/>
      <w:szCs w:val="24"/>
    </w:rPr>
  </w:style>
  <w:style w:type="paragraph" w:customStyle="1" w:styleId="Body1Ind2L">
    <w:name w:val="Body 1 Ind 2: L"/>
    <w:basedOn w:val="Normal"/>
    <w:qFormat/>
    <w:rsid w:val="001726D8"/>
    <w:pPr>
      <w:widowControl/>
      <w:spacing w:after="240"/>
      <w:ind w:left="1440"/>
    </w:pPr>
    <w:rPr>
      <w:rFonts w:ascii="Times New Roman" w:eastAsiaTheme="minorHAnsi" w:hAnsi="Times New Roman" w:cstheme="minorBidi"/>
      <w:snapToGrid/>
      <w:color w:val="000000" w:themeColor="text1"/>
      <w:sz w:val="24"/>
      <w:szCs w:val="24"/>
    </w:rPr>
  </w:style>
  <w:style w:type="paragraph" w:customStyle="1" w:styleId="Body2">
    <w:name w:val="Body 2"/>
    <w:basedOn w:val="Normal"/>
    <w:qFormat/>
    <w:rsid w:val="00255CF7"/>
    <w:pPr>
      <w:widowControl/>
      <w:spacing w:after="240" w:line="480" w:lineRule="auto"/>
    </w:pPr>
    <w:rPr>
      <w:rFonts w:ascii="Times New Roman" w:eastAsiaTheme="minorHAnsi" w:hAnsi="Times New Roman" w:cstheme="minorBidi"/>
      <w:snapToGrid/>
      <w:color w:val="000000" w:themeColor="text1"/>
      <w:sz w:val="24"/>
      <w:szCs w:val="24"/>
    </w:rPr>
  </w:style>
  <w:style w:type="paragraph" w:customStyle="1" w:styleId="Body2Ind1F">
    <w:name w:val="Body 2 Ind 1: F"/>
    <w:basedOn w:val="Normal"/>
    <w:qFormat/>
    <w:rsid w:val="00255CF7"/>
    <w:pPr>
      <w:widowControl/>
      <w:spacing w:line="480" w:lineRule="auto"/>
      <w:ind w:firstLine="720"/>
    </w:pPr>
    <w:rPr>
      <w:rFonts w:ascii="Times New Roman" w:eastAsiaTheme="minorHAnsi" w:hAnsi="Times New Roman" w:cstheme="minorBidi"/>
      <w:snapToGrid/>
      <w:color w:val="000000" w:themeColor="text1"/>
      <w:sz w:val="24"/>
      <w:szCs w:val="24"/>
    </w:rPr>
  </w:style>
  <w:style w:type="paragraph" w:customStyle="1" w:styleId="Body2Ind1FJ">
    <w:name w:val="Body 2 Ind 1: F J"/>
    <w:basedOn w:val="Normal"/>
    <w:qFormat/>
    <w:rsid w:val="003B3E9A"/>
    <w:pPr>
      <w:widowControl/>
      <w:spacing w:line="480" w:lineRule="auto"/>
      <w:ind w:firstLine="720"/>
      <w:jc w:val="both"/>
    </w:pPr>
    <w:rPr>
      <w:rFonts w:ascii="Times New Roman" w:eastAsiaTheme="minorHAnsi" w:hAnsi="Times New Roman" w:cstheme="minorBidi"/>
      <w:snapToGrid/>
      <w:color w:val="000000" w:themeColor="text1"/>
      <w:sz w:val="24"/>
      <w:szCs w:val="24"/>
    </w:rPr>
  </w:style>
  <w:style w:type="paragraph" w:customStyle="1" w:styleId="Body2Ind1L">
    <w:name w:val="Body 2 Ind 1: L"/>
    <w:basedOn w:val="Normal"/>
    <w:qFormat/>
    <w:rsid w:val="003B3E9A"/>
    <w:pPr>
      <w:widowControl/>
      <w:spacing w:after="240" w:line="480" w:lineRule="auto"/>
      <w:ind w:left="720"/>
    </w:pPr>
    <w:rPr>
      <w:rFonts w:ascii="Times New Roman" w:eastAsiaTheme="minorHAnsi" w:hAnsi="Times New Roman" w:cstheme="minorBidi"/>
      <w:snapToGrid/>
      <w:color w:val="000000" w:themeColor="text1"/>
      <w:sz w:val="24"/>
      <w:szCs w:val="24"/>
    </w:rPr>
  </w:style>
  <w:style w:type="paragraph" w:customStyle="1" w:styleId="Body2Ind2F">
    <w:name w:val="Body 2 Ind 2: F"/>
    <w:basedOn w:val="Normal"/>
    <w:qFormat/>
    <w:rsid w:val="003B3E9A"/>
    <w:pPr>
      <w:widowControl/>
      <w:spacing w:line="480" w:lineRule="auto"/>
      <w:ind w:firstLine="1440"/>
    </w:pPr>
    <w:rPr>
      <w:rFonts w:ascii="Times New Roman" w:eastAsiaTheme="minorHAnsi" w:hAnsi="Times New Roman" w:cstheme="minorBidi"/>
      <w:snapToGrid/>
      <w:color w:val="000000" w:themeColor="text1"/>
      <w:sz w:val="24"/>
      <w:szCs w:val="24"/>
    </w:rPr>
  </w:style>
  <w:style w:type="paragraph" w:customStyle="1" w:styleId="Body2Ind2FJ">
    <w:name w:val="Body 2 Ind 2: F J"/>
    <w:basedOn w:val="Normal"/>
    <w:qFormat/>
    <w:rsid w:val="003B3E9A"/>
    <w:pPr>
      <w:widowControl/>
      <w:spacing w:line="480" w:lineRule="auto"/>
      <w:ind w:firstLine="1440"/>
      <w:jc w:val="both"/>
    </w:pPr>
    <w:rPr>
      <w:rFonts w:ascii="Times New Roman" w:eastAsiaTheme="minorHAnsi" w:hAnsi="Times New Roman" w:cstheme="minorBidi"/>
      <w:snapToGrid/>
      <w:color w:val="000000" w:themeColor="text1"/>
      <w:sz w:val="24"/>
      <w:szCs w:val="24"/>
    </w:rPr>
  </w:style>
  <w:style w:type="paragraph" w:customStyle="1" w:styleId="Body5">
    <w:name w:val="Body 5"/>
    <w:basedOn w:val="Normal"/>
    <w:qFormat/>
    <w:rsid w:val="003B3E9A"/>
    <w:pPr>
      <w:widowControl/>
      <w:spacing w:after="240" w:line="360" w:lineRule="auto"/>
    </w:pPr>
    <w:rPr>
      <w:rFonts w:ascii="Times New Roman" w:eastAsiaTheme="minorHAnsi" w:hAnsi="Times New Roman" w:cstheme="minorBidi"/>
      <w:snapToGrid/>
      <w:color w:val="000000" w:themeColor="text1"/>
      <w:sz w:val="24"/>
      <w:szCs w:val="24"/>
    </w:rPr>
  </w:style>
  <w:style w:type="paragraph" w:customStyle="1" w:styleId="Body5Ind1F">
    <w:name w:val="Body 5 Ind 1: F"/>
    <w:basedOn w:val="Normal"/>
    <w:qFormat/>
    <w:rsid w:val="003B3E9A"/>
    <w:pPr>
      <w:widowControl/>
      <w:spacing w:line="360" w:lineRule="auto"/>
      <w:ind w:firstLine="720"/>
    </w:pPr>
    <w:rPr>
      <w:rFonts w:ascii="Times New Roman" w:eastAsiaTheme="minorHAnsi" w:hAnsi="Times New Roman" w:cstheme="minorBidi"/>
      <w:snapToGrid/>
      <w:color w:val="000000" w:themeColor="text1"/>
      <w:sz w:val="24"/>
      <w:szCs w:val="24"/>
    </w:rPr>
  </w:style>
  <w:style w:type="paragraph" w:customStyle="1" w:styleId="Body5Ind1L">
    <w:name w:val="Body 5 Ind 1: L"/>
    <w:basedOn w:val="Normal"/>
    <w:qFormat/>
    <w:rsid w:val="003B3E9A"/>
    <w:pPr>
      <w:widowControl/>
      <w:spacing w:after="240" w:line="360" w:lineRule="auto"/>
      <w:ind w:left="720"/>
    </w:pPr>
    <w:rPr>
      <w:rFonts w:ascii="Times New Roman" w:eastAsiaTheme="minorHAnsi" w:hAnsi="Times New Roman" w:cstheme="minorBidi"/>
      <w:snapToGrid/>
      <w:color w:val="000000" w:themeColor="text1"/>
      <w:sz w:val="24"/>
      <w:szCs w:val="24"/>
    </w:rPr>
  </w:style>
  <w:style w:type="paragraph" w:customStyle="1" w:styleId="Body5Ind2F">
    <w:name w:val="Body 5 Ind 2: F"/>
    <w:basedOn w:val="Normal"/>
    <w:qFormat/>
    <w:rsid w:val="003B3E9A"/>
    <w:pPr>
      <w:widowControl/>
      <w:spacing w:line="360" w:lineRule="auto"/>
      <w:ind w:firstLine="1440"/>
    </w:pPr>
    <w:rPr>
      <w:rFonts w:ascii="Times New Roman" w:eastAsiaTheme="minorHAnsi" w:hAnsi="Times New Roman" w:cstheme="minorBidi"/>
      <w:snapToGrid/>
      <w:color w:val="000000" w:themeColor="text1"/>
      <w:sz w:val="24"/>
      <w:szCs w:val="24"/>
    </w:rPr>
  </w:style>
  <w:style w:type="paragraph" w:customStyle="1" w:styleId="Body5Ind2L">
    <w:name w:val="Body 5 Ind 2: L"/>
    <w:basedOn w:val="Normal"/>
    <w:qFormat/>
    <w:rsid w:val="003B3E9A"/>
    <w:pPr>
      <w:widowControl/>
      <w:spacing w:after="240" w:line="360" w:lineRule="auto"/>
      <w:ind w:left="1440"/>
    </w:pPr>
    <w:rPr>
      <w:rFonts w:ascii="Times New Roman" w:eastAsiaTheme="minorHAnsi" w:hAnsi="Times New Roman" w:cstheme="minorBidi"/>
      <w:snapToGrid/>
      <w:color w:val="000000" w:themeColor="text1"/>
      <w:sz w:val="24"/>
      <w:szCs w:val="24"/>
    </w:rPr>
  </w:style>
  <w:style w:type="paragraph" w:customStyle="1" w:styleId="Title1">
    <w:name w:val="Title 1"/>
    <w:basedOn w:val="Normal"/>
    <w:next w:val="Body1default"/>
    <w:qFormat/>
    <w:rsid w:val="00E87729"/>
    <w:pPr>
      <w:widowControl/>
      <w:spacing w:after="240"/>
      <w:jc w:val="center"/>
    </w:pPr>
    <w:rPr>
      <w:rFonts w:ascii="Times New Roman" w:eastAsiaTheme="minorHAnsi" w:hAnsi="Times New Roman" w:cstheme="minorBidi"/>
      <w:b/>
      <w:caps/>
      <w:snapToGrid/>
      <w:color w:val="000000" w:themeColor="text1"/>
      <w:sz w:val="24"/>
      <w:szCs w:val="24"/>
    </w:rPr>
  </w:style>
  <w:style w:type="paragraph" w:styleId="EnvelopeReturn">
    <w:name w:val="envelope return"/>
    <w:basedOn w:val="Normal"/>
    <w:uiPriority w:val="99"/>
    <w:semiHidden/>
    <w:unhideWhenUsed/>
    <w:rsid w:val="00CB6376"/>
    <w:pPr>
      <w:widowControl/>
    </w:pPr>
    <w:rPr>
      <w:rFonts w:ascii="Times New Roman" w:eastAsiaTheme="majorEastAsia" w:hAnsi="Times New Roman" w:cstheme="majorBidi"/>
      <w:snapToGrid/>
      <w:color w:val="000000" w:themeColor="text1"/>
      <w:sz w:val="24"/>
    </w:rPr>
  </w:style>
  <w:style w:type="paragraph" w:styleId="EnvelopeAddress">
    <w:name w:val="envelope address"/>
    <w:basedOn w:val="Normal"/>
    <w:uiPriority w:val="99"/>
    <w:semiHidden/>
    <w:unhideWhenUsed/>
    <w:rsid w:val="00CB6376"/>
    <w:pPr>
      <w:framePr w:w="7920" w:h="1980" w:hRule="exact" w:hSpace="180" w:wrap="auto" w:hAnchor="page" w:xAlign="center" w:yAlign="bottom"/>
      <w:widowControl/>
      <w:ind w:left="2880"/>
    </w:pPr>
    <w:rPr>
      <w:rFonts w:ascii="Times New Roman" w:eastAsiaTheme="majorEastAsia" w:hAnsi="Times New Roman" w:cstheme="majorBidi"/>
      <w:snapToGrid/>
      <w:color w:val="000000" w:themeColor="text1"/>
      <w:sz w:val="24"/>
      <w:szCs w:val="24"/>
    </w:rPr>
  </w:style>
  <w:style w:type="paragraph" w:customStyle="1" w:styleId="Title2">
    <w:name w:val="Title 2"/>
    <w:basedOn w:val="Normal"/>
    <w:next w:val="Body1default"/>
    <w:qFormat/>
    <w:rsid w:val="00E87729"/>
    <w:pPr>
      <w:widowControl/>
      <w:spacing w:after="240"/>
      <w:jc w:val="center"/>
    </w:pPr>
    <w:rPr>
      <w:rFonts w:ascii="Times New Roman" w:eastAsiaTheme="minorHAnsi" w:hAnsi="Times New Roman" w:cstheme="minorBidi"/>
      <w:caps/>
      <w:snapToGrid/>
      <w:sz w:val="24"/>
      <w:szCs w:val="24"/>
      <w:u w:val="single"/>
    </w:rPr>
  </w:style>
  <w:style w:type="paragraph" w:customStyle="1" w:styleId="FootnoteText2">
    <w:name w:val="Footnote Text 2"/>
    <w:basedOn w:val="Normal"/>
    <w:unhideWhenUsed/>
    <w:qFormat/>
    <w:rsid w:val="00CB6376"/>
    <w:pPr>
      <w:widowControl/>
      <w:spacing w:after="120"/>
    </w:pPr>
    <w:rPr>
      <w:rFonts w:ascii="Times New Roman" w:eastAsiaTheme="minorHAnsi" w:hAnsi="Times New Roman" w:cstheme="minorBidi"/>
      <w:snapToGrid/>
      <w:color w:val="000000" w:themeColor="text1"/>
      <w:sz w:val="24"/>
      <w:szCs w:val="24"/>
    </w:rPr>
  </w:style>
  <w:style w:type="paragraph" w:styleId="Title">
    <w:name w:val="Title"/>
    <w:basedOn w:val="Normal"/>
    <w:next w:val="Normal"/>
    <w:link w:val="TitleChar"/>
    <w:uiPriority w:val="10"/>
    <w:semiHidden/>
    <w:qFormat/>
    <w:rsid w:val="00CB6376"/>
    <w:pPr>
      <w:widowControl/>
      <w:spacing w:after="240"/>
      <w:contextualSpacing/>
    </w:pPr>
    <w:rPr>
      <w:rFonts w:ascii="Times New Roman" w:eastAsiaTheme="majorEastAsia" w:hAnsi="Times New Roman" w:cstheme="majorBidi"/>
      <w:snapToGrid/>
      <w:color w:val="000000" w:themeColor="text1"/>
      <w:spacing w:val="5"/>
      <w:kern w:val="28"/>
      <w:sz w:val="24"/>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widowControl/>
      <w:spacing w:after="120"/>
    </w:pPr>
    <w:rPr>
      <w:rFonts w:ascii="Times New Roman" w:eastAsiaTheme="minorHAnsi" w:hAnsi="Times New Roman" w:cstheme="minorBidi"/>
      <w:snapToGrid/>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customStyle="1" w:styleId="Footer2Land">
    <w:name w:val="Footer 2: Land"/>
    <w:basedOn w:val="Normal"/>
    <w:rsid w:val="00CB6376"/>
    <w:pPr>
      <w:widowControl/>
      <w:tabs>
        <w:tab w:val="center" w:pos="6480"/>
        <w:tab w:val="right" w:pos="12960"/>
      </w:tabs>
    </w:pPr>
    <w:rPr>
      <w:rFonts w:ascii="Times New Roman" w:eastAsiaTheme="minorHAnsi" w:hAnsi="Times New Roman" w:cstheme="minorBidi"/>
      <w:snapToGrid/>
      <w:color w:val="000000" w:themeColor="text1"/>
      <w:sz w:val="24"/>
      <w:szCs w:val="24"/>
    </w:rPr>
  </w:style>
  <w:style w:type="paragraph" w:styleId="Header">
    <w:name w:val="header"/>
    <w:basedOn w:val="Normal"/>
    <w:link w:val="Head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widowControl/>
      <w:tabs>
        <w:tab w:val="center" w:pos="4680"/>
        <w:tab w:val="right" w:pos="9360"/>
      </w:tabs>
    </w:pPr>
    <w:rPr>
      <w:rFonts w:ascii="Times New Roman" w:eastAsiaTheme="minorHAnsi" w:hAnsi="Times New Roman" w:cstheme="minorBidi"/>
      <w:snapToGrid/>
      <w:sz w:val="24"/>
      <w:szCs w:val="24"/>
    </w:r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widowControl/>
      <w:spacing w:after="240" w:line="480" w:lineRule="auto"/>
      <w:ind w:left="1440"/>
    </w:pPr>
    <w:rPr>
      <w:rFonts w:ascii="Times New Roman" w:eastAsiaTheme="minorHAnsi" w:hAnsi="Times New Roman" w:cstheme="minorBidi"/>
      <w:snapToGrid/>
      <w:sz w:val="24"/>
      <w:szCs w:val="24"/>
    </w:rPr>
  </w:style>
  <w:style w:type="paragraph" w:customStyle="1" w:styleId="TaxDisclaimer">
    <w:name w:val="TaxDisclaimer"/>
    <w:basedOn w:val="Normal"/>
    <w:qFormat/>
    <w:rsid w:val="00C66A5C"/>
    <w:pPr>
      <w:widowControl/>
      <w:spacing w:before="240" w:after="240"/>
    </w:pPr>
    <w:rPr>
      <w:rFonts w:ascii="Times New Roman" w:eastAsiaTheme="minorHAnsi" w:hAnsi="Times New Roman" w:cstheme="minorBidi"/>
      <w:b/>
      <w:snapToGrid/>
      <w:sz w:val="28"/>
      <w:szCs w:val="24"/>
    </w:rPr>
  </w:style>
  <w:style w:type="paragraph" w:styleId="BalloonText">
    <w:name w:val="Balloon Text"/>
    <w:basedOn w:val="Normal"/>
    <w:link w:val="BalloonTextChar"/>
    <w:uiPriority w:val="99"/>
    <w:semiHidden/>
    <w:unhideWhenUsed/>
    <w:rsid w:val="007C3A88"/>
    <w:rPr>
      <w:rFonts w:ascii="Tahoma" w:hAnsi="Tahoma" w:cs="Tahoma"/>
      <w:sz w:val="16"/>
      <w:szCs w:val="16"/>
    </w:rPr>
  </w:style>
  <w:style w:type="character" w:customStyle="1" w:styleId="BalloonTextChar">
    <w:name w:val="Balloon Text Char"/>
    <w:basedOn w:val="DefaultParagraphFont"/>
    <w:link w:val="BalloonText"/>
    <w:uiPriority w:val="99"/>
    <w:semiHidden/>
    <w:rsid w:val="007C3A88"/>
    <w:rPr>
      <w:rFonts w:ascii="Tahoma" w:eastAsia="Times New Roman" w:hAnsi="Tahoma" w:cs="Tahoma"/>
      <w:snapToGrid w:val="0"/>
      <w:sz w:val="16"/>
      <w:szCs w:val="16"/>
    </w:rPr>
  </w:style>
  <w:style w:type="character" w:styleId="Hyperlink">
    <w:name w:val="Hyperlink"/>
    <w:basedOn w:val="DefaultParagraphFont"/>
    <w:uiPriority w:val="99"/>
    <w:unhideWhenUsed/>
    <w:rsid w:val="007C3A88"/>
    <w:rPr>
      <w:color w:val="0000FF" w:themeColor="hyperlink"/>
      <w:u w:val="single"/>
    </w:rPr>
  </w:style>
  <w:style w:type="character" w:customStyle="1" w:styleId="DocID">
    <w:name w:val="DocID"/>
    <w:rsid w:val="007C3A88"/>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52AC-A80F-4882-8BFB-3F092AFF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883</Words>
  <Characters>5008</Characters>
  <Application>Microsoft Office Word</Application>
  <DocSecurity>0</DocSecurity>
  <Lines>385</Lines>
  <Paragraphs>66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2012-04-30T15:20:00Z</dcterms:created>
  <dcterms:modified xsi:type="dcterms:W3CDTF">2012-04-30T15:20:00Z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705634.1</vt:lpwstr>
  </property>
  <property fmtid="{D5CDD505-2E9C-101B-9397-08002B2CF9AE}" pid="3" name="DocumentType">
    <vt:lpwstr>pcgBlank</vt:lpwstr>
  </property>
</Properties>
</file>