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FF" w:rsidRPr="00AC6AE0" w:rsidRDefault="007C3439">
      <w:pPr>
        <w:spacing w:line="240" w:lineRule="auto"/>
        <w:jc w:val="center"/>
        <w:rPr>
          <w:rFonts w:cs="Arial"/>
          <w:b/>
          <w:smallCaps/>
          <w:sz w:val="28"/>
          <w:szCs w:val="28"/>
        </w:rPr>
      </w:pPr>
      <w:r w:rsidRPr="00AC6AE0">
        <w:rPr>
          <w:rFonts w:cs="Arial"/>
          <w:b/>
          <w:smallCaps/>
          <w:sz w:val="28"/>
          <w:szCs w:val="28"/>
        </w:rPr>
        <w:t>Before</w:t>
      </w:r>
    </w:p>
    <w:p w:rsidR="00C36106" w:rsidRDefault="007C3439" w:rsidP="00C36106">
      <w:pPr>
        <w:spacing w:line="240" w:lineRule="auto"/>
        <w:jc w:val="center"/>
        <w:rPr>
          <w:rFonts w:cs="Arial"/>
          <w:b/>
          <w:smallCaps/>
          <w:sz w:val="32"/>
          <w:szCs w:val="32"/>
        </w:rPr>
      </w:pPr>
      <w:r w:rsidRPr="00AC6AE0">
        <w:rPr>
          <w:rFonts w:cs="Arial"/>
          <w:b/>
          <w:smallCaps/>
          <w:sz w:val="28"/>
          <w:szCs w:val="28"/>
        </w:rPr>
        <w:t>The Public Utilities Commission of Ohio</w:t>
      </w:r>
    </w:p>
    <w:p w:rsidR="00CA02FF" w:rsidRDefault="00CA02FF">
      <w:pPr>
        <w:spacing w:line="240" w:lineRule="auto"/>
      </w:pPr>
    </w:p>
    <w:p w:rsidR="00C36106" w:rsidRDefault="00C36106">
      <w:pPr>
        <w:spacing w:line="240" w:lineRule="auto"/>
      </w:pPr>
    </w:p>
    <w:p w:rsidR="00CA02FF" w:rsidRDefault="00B60CF7" w:rsidP="00C36106">
      <w:pPr>
        <w:tabs>
          <w:tab w:val="left" w:pos="4320"/>
        </w:tabs>
        <w:spacing w:line="240" w:lineRule="auto"/>
        <w:rPr>
          <w:rFonts w:cs="Arial"/>
          <w:bCs/>
        </w:rPr>
      </w:pPr>
      <w:r>
        <w:rPr>
          <w:rFonts w:cs="Arial"/>
          <w:bCs/>
        </w:rPr>
        <w:t>Mark A. Whitt,</w:t>
      </w:r>
      <w:r>
        <w:rPr>
          <w:rFonts w:cs="Arial"/>
          <w:bCs/>
        </w:rPr>
        <w:tab/>
        <w:t>)</w:t>
      </w:r>
    </w:p>
    <w:p w:rsidR="00B60CF7" w:rsidRDefault="00C36106" w:rsidP="00C36106">
      <w:pPr>
        <w:tabs>
          <w:tab w:val="left" w:pos="4320"/>
          <w:tab w:val="left" w:pos="5040"/>
        </w:tabs>
        <w:spacing w:line="240" w:lineRule="auto"/>
        <w:rPr>
          <w:rFonts w:cs="Arial"/>
          <w:bCs/>
        </w:rPr>
      </w:pPr>
      <w:r>
        <w:rPr>
          <w:rFonts w:cs="Arial"/>
          <w:bCs/>
        </w:rPr>
        <w:tab/>
      </w:r>
      <w:r w:rsidR="00B60CF7">
        <w:rPr>
          <w:rFonts w:cs="Arial"/>
          <w:bCs/>
        </w:rPr>
        <w:t>)</w:t>
      </w:r>
    </w:p>
    <w:p w:rsidR="00B60CF7" w:rsidRDefault="00B60CF7" w:rsidP="00C36106">
      <w:pPr>
        <w:tabs>
          <w:tab w:val="left" w:pos="720"/>
          <w:tab w:val="left" w:pos="4320"/>
          <w:tab w:val="left" w:pos="5040"/>
        </w:tabs>
        <w:spacing w:line="240" w:lineRule="auto"/>
        <w:rPr>
          <w:rFonts w:cs="Arial"/>
          <w:bCs/>
        </w:rPr>
      </w:pPr>
      <w:r>
        <w:rPr>
          <w:rFonts w:cs="Arial"/>
          <w:bCs/>
        </w:rPr>
        <w:tab/>
        <w:t>Complainant,</w:t>
      </w:r>
      <w:r w:rsidR="00C36106">
        <w:rPr>
          <w:rFonts w:cs="Arial"/>
          <w:bCs/>
        </w:rPr>
        <w:tab/>
      </w:r>
      <w:r>
        <w:rPr>
          <w:rFonts w:cs="Arial"/>
          <w:bCs/>
        </w:rPr>
        <w:t>)</w:t>
      </w:r>
    </w:p>
    <w:p w:rsidR="00B60CF7" w:rsidRDefault="00C36106" w:rsidP="00C36106">
      <w:pPr>
        <w:tabs>
          <w:tab w:val="left" w:pos="720"/>
          <w:tab w:val="left" w:pos="4320"/>
          <w:tab w:val="left" w:pos="5040"/>
        </w:tabs>
        <w:spacing w:line="240" w:lineRule="auto"/>
        <w:rPr>
          <w:rFonts w:cs="Arial"/>
          <w:bCs/>
        </w:rPr>
      </w:pPr>
      <w:r>
        <w:rPr>
          <w:rFonts w:cs="Arial"/>
          <w:bCs/>
        </w:rPr>
        <w:tab/>
      </w:r>
      <w:r>
        <w:rPr>
          <w:rFonts w:cs="Arial"/>
          <w:bCs/>
        </w:rPr>
        <w:tab/>
      </w:r>
      <w:r w:rsidR="00B60CF7">
        <w:rPr>
          <w:rFonts w:cs="Arial"/>
          <w:bCs/>
        </w:rPr>
        <w:t>)</w:t>
      </w:r>
      <w:r w:rsidR="00B60CF7">
        <w:rPr>
          <w:rFonts w:cs="Arial"/>
          <w:bCs/>
        </w:rPr>
        <w:tab/>
        <w:t>Case No. 15-697-EL-CSS</w:t>
      </w:r>
    </w:p>
    <w:p w:rsidR="00B60CF7" w:rsidRDefault="00B60CF7" w:rsidP="00C36106">
      <w:pPr>
        <w:tabs>
          <w:tab w:val="left" w:pos="720"/>
          <w:tab w:val="left" w:pos="4320"/>
          <w:tab w:val="left" w:pos="5040"/>
        </w:tabs>
        <w:spacing w:line="240" w:lineRule="auto"/>
        <w:rPr>
          <w:rFonts w:cs="Arial"/>
          <w:bCs/>
        </w:rPr>
      </w:pPr>
      <w:r>
        <w:rPr>
          <w:rFonts w:cs="Arial"/>
          <w:bCs/>
        </w:rPr>
        <w:t>v.</w:t>
      </w:r>
      <w:r w:rsidR="00C36106">
        <w:rPr>
          <w:rFonts w:cs="Arial"/>
          <w:bCs/>
        </w:rPr>
        <w:tab/>
      </w:r>
      <w:r w:rsidR="00C36106">
        <w:rPr>
          <w:rFonts w:cs="Arial"/>
          <w:bCs/>
        </w:rPr>
        <w:tab/>
      </w:r>
      <w:r>
        <w:rPr>
          <w:rFonts w:cs="Arial"/>
          <w:bCs/>
        </w:rPr>
        <w:t>)</w:t>
      </w:r>
    </w:p>
    <w:p w:rsidR="00B60CF7" w:rsidRDefault="00B60CF7" w:rsidP="00C36106">
      <w:pPr>
        <w:tabs>
          <w:tab w:val="left" w:pos="720"/>
          <w:tab w:val="left" w:pos="432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s>
        <w:spacing w:line="240" w:lineRule="auto"/>
        <w:rPr>
          <w:rFonts w:cs="Arial"/>
          <w:bCs/>
        </w:rPr>
      </w:pPr>
      <w:r>
        <w:rPr>
          <w:rFonts w:cs="Arial"/>
          <w:bCs/>
        </w:rPr>
        <w:t>Nationwide Energy Partners,</w:t>
      </w:r>
      <w:r w:rsidR="001934CF">
        <w:rPr>
          <w:rFonts w:cs="Arial"/>
          <w:bCs/>
        </w:rPr>
        <w:t xml:space="preserve"> LLC,</w:t>
      </w:r>
      <w:r>
        <w:rPr>
          <w:rFonts w:cs="Arial"/>
          <w:bCs/>
        </w:rPr>
        <w:tab/>
        <w:t>)</w:t>
      </w:r>
    </w:p>
    <w:p w:rsidR="00B60CF7" w:rsidRDefault="00B60CF7" w:rsidP="00C36106">
      <w:pPr>
        <w:tabs>
          <w:tab w:val="left" w:pos="720"/>
          <w:tab w:val="left" w:pos="432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s>
        <w:spacing w:line="240" w:lineRule="auto"/>
        <w:rPr>
          <w:rFonts w:cs="Arial"/>
          <w:bCs/>
        </w:rPr>
      </w:pPr>
      <w:r>
        <w:rPr>
          <w:rFonts w:cs="Arial"/>
          <w:bCs/>
        </w:rPr>
        <w:tab/>
        <w:t>Respondent,</w:t>
      </w:r>
      <w:r>
        <w:rPr>
          <w:rFonts w:cs="Arial"/>
          <w:bCs/>
        </w:rPr>
        <w:tab/>
        <w:t>)</w:t>
      </w:r>
    </w:p>
    <w:p w:rsidR="00B60CF7" w:rsidRDefault="00B60CF7" w:rsidP="00B60CF7">
      <w:pPr>
        <w:tabs>
          <w:tab w:val="left" w:pos="720"/>
          <w:tab w:val="left" w:pos="5040"/>
        </w:tabs>
        <w:spacing w:line="240" w:lineRule="auto"/>
        <w:rPr>
          <w:rFonts w:cs="Arial"/>
          <w:bCs/>
        </w:rPr>
      </w:pPr>
    </w:p>
    <w:p w:rsidR="00B60CF7" w:rsidRDefault="00B60CF7" w:rsidP="00B60CF7">
      <w:pPr>
        <w:tabs>
          <w:tab w:val="left" w:pos="720"/>
          <w:tab w:val="left" w:pos="5040"/>
        </w:tabs>
        <w:spacing w:line="240" w:lineRule="auto"/>
        <w:rPr>
          <w:rFonts w:cs="Arial"/>
        </w:rPr>
      </w:pPr>
    </w:p>
    <w:p w:rsidR="00CA02FF" w:rsidRPr="00C8387C" w:rsidRDefault="00E8112A" w:rsidP="00C8387C">
      <w:pPr>
        <w:rPr>
          <w:b/>
        </w:rPr>
      </w:pPr>
      <w:r>
        <w:rPr>
          <w:b/>
        </w:rPr>
        <w:t>______________________________________________________________________</w:t>
      </w:r>
    </w:p>
    <w:p w:rsidR="00CA02FF" w:rsidRPr="00AC6AE0" w:rsidRDefault="007C3439">
      <w:pPr>
        <w:pStyle w:val="Heading1"/>
        <w:numPr>
          <w:ilvl w:val="0"/>
          <w:numId w:val="0"/>
        </w:numPr>
        <w:tabs>
          <w:tab w:val="left" w:pos="7320"/>
        </w:tabs>
        <w:spacing w:after="0"/>
        <w:jc w:val="center"/>
        <w:rPr>
          <w:smallCaps/>
          <w:sz w:val="28"/>
          <w:u w:val="none"/>
        </w:rPr>
      </w:pPr>
      <w:r w:rsidRPr="00AC6AE0">
        <w:rPr>
          <w:caps w:val="0"/>
          <w:smallCaps/>
          <w:sz w:val="28"/>
          <w:u w:val="none"/>
        </w:rPr>
        <w:t>Motion to Intervene and Memorandum in Support</w:t>
      </w:r>
    </w:p>
    <w:p w:rsidR="00CA02FF" w:rsidRPr="00C8387C" w:rsidRDefault="007C3439">
      <w:pPr>
        <w:pStyle w:val="Heading1"/>
        <w:numPr>
          <w:ilvl w:val="0"/>
          <w:numId w:val="0"/>
        </w:numPr>
        <w:tabs>
          <w:tab w:val="left" w:pos="7320"/>
        </w:tabs>
        <w:spacing w:after="0"/>
        <w:jc w:val="center"/>
        <w:rPr>
          <w:smallCaps/>
          <w:sz w:val="28"/>
          <w:u w:val="none"/>
        </w:rPr>
      </w:pPr>
      <w:r w:rsidRPr="00E80B1B">
        <w:rPr>
          <w:caps w:val="0"/>
          <w:smallCaps/>
          <w:sz w:val="28"/>
          <w:u w:val="none"/>
        </w:rPr>
        <w:t>of Industrial Energy Users-Ohio</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CA02FF" w:rsidP="00B60CF7">
      <w:pPr>
        <w:spacing w:line="240" w:lineRule="auto"/>
        <w:rPr>
          <w:rFonts w:cs="Arial"/>
          <w:b/>
          <w:smallCaps/>
          <w:u w:val="single"/>
        </w:rPr>
      </w:pPr>
    </w:p>
    <w:p w:rsidR="00CA02FF" w:rsidRDefault="00CA02FF">
      <w:pPr>
        <w:spacing w:line="240" w:lineRule="auto"/>
        <w:jc w:val="center"/>
        <w:rPr>
          <w:rFonts w:cs="Arial"/>
          <w:b/>
          <w:smallCaps/>
          <w:u w:val="single"/>
        </w:rPr>
      </w:pPr>
    </w:p>
    <w:p w:rsidR="00CA02FF" w:rsidRDefault="007C3439">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CA02FF" w:rsidRDefault="007C3439">
      <w:pPr>
        <w:widowControl w:val="0"/>
        <w:tabs>
          <w:tab w:val="left" w:pos="4320"/>
        </w:tabs>
        <w:spacing w:line="240" w:lineRule="auto"/>
        <w:ind w:left="4320"/>
        <w:rPr>
          <w:rFonts w:eastAsia="Calibri" w:cs="Arial"/>
          <w:bCs/>
        </w:rPr>
      </w:pPr>
      <w:r>
        <w:rPr>
          <w:rFonts w:eastAsia="Calibri" w:cs="Arial"/>
        </w:rPr>
        <w:t>(Counsel of Record)</w:t>
      </w:r>
    </w:p>
    <w:p w:rsidR="00CA02FF" w:rsidRDefault="007C3439">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CA02FF" w:rsidRDefault="007C3439">
      <w:pPr>
        <w:widowControl w:val="0"/>
        <w:tabs>
          <w:tab w:val="left" w:pos="4320"/>
        </w:tabs>
        <w:spacing w:line="240" w:lineRule="auto"/>
        <w:ind w:left="4320"/>
        <w:rPr>
          <w:rFonts w:eastAsia="Calibri" w:cs="Arial"/>
          <w:b/>
          <w:bCs/>
          <w:smallCaps/>
        </w:rPr>
      </w:pPr>
      <w:r>
        <w:rPr>
          <w:rFonts w:eastAsia="Calibri" w:cs="Arial"/>
          <w:bCs/>
          <w:smallCaps/>
        </w:rPr>
        <w:t>McNees Wallace &amp; Nurick LLC</w:t>
      </w:r>
    </w:p>
    <w:p w:rsidR="00CA02FF" w:rsidRDefault="007C3439">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CA02FF" w:rsidRDefault="007C3439">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CA02FF" w:rsidRDefault="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CA02FF" w:rsidRDefault="007C3439">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Pr="00D70E8C" w:rsidRDefault="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Default="00D70E8C">
      <w:pPr>
        <w:spacing w:line="240" w:lineRule="auto"/>
        <w:ind w:left="4320" w:hanging="4320"/>
        <w:rPr>
          <w:rFonts w:eastAsia="Calibri" w:cs="Arial"/>
          <w:b/>
        </w:rPr>
      </w:pPr>
    </w:p>
    <w:p w:rsidR="00C80791" w:rsidRDefault="00B60CF7">
      <w:pPr>
        <w:spacing w:line="240" w:lineRule="auto"/>
        <w:ind w:left="4320" w:hanging="4320"/>
        <w:rPr>
          <w:rFonts w:eastAsia="Calibri" w:cs="Arial"/>
          <w:b/>
        </w:rPr>
        <w:sectPr w:rsidR="00C80791" w:rsidSect="00D70E8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138" w:left="1440" w:header="720" w:footer="360" w:gutter="0"/>
          <w:pgNumType w:start="1"/>
          <w:cols w:space="720"/>
          <w:titlePg/>
          <w:docGrid w:linePitch="326"/>
        </w:sectPr>
      </w:pPr>
      <w:r>
        <w:rPr>
          <w:rFonts w:eastAsia="Calibri" w:cs="Arial"/>
          <w:b/>
        </w:rPr>
        <w:t xml:space="preserve">June </w:t>
      </w:r>
      <w:r w:rsidR="002C5195">
        <w:rPr>
          <w:rFonts w:eastAsia="Calibri" w:cs="Arial"/>
          <w:b/>
        </w:rPr>
        <w:t>23</w:t>
      </w:r>
      <w:r w:rsidR="007C3439">
        <w:rPr>
          <w:rFonts w:eastAsia="Calibri" w:cs="Arial"/>
          <w:b/>
        </w:rPr>
        <w:t>, 2015</w:t>
      </w:r>
      <w:r w:rsidR="007C3439">
        <w:rPr>
          <w:rFonts w:eastAsia="Calibri" w:cs="Arial"/>
          <w:b/>
        </w:rPr>
        <w:tab/>
        <w:t>Attorneys for Industrial Energy Users-Ohio</w:t>
      </w:r>
    </w:p>
    <w:p w:rsidR="00CA02FF" w:rsidRDefault="007C3439">
      <w:pPr>
        <w:spacing w:line="240" w:lineRule="auto"/>
        <w:jc w:val="center"/>
        <w:rPr>
          <w:rFonts w:ascii="Arial Bold" w:hAnsi="Arial Bold"/>
          <w:b/>
          <w:smallCaps/>
          <w:sz w:val="28"/>
          <w:szCs w:val="28"/>
        </w:rPr>
      </w:pPr>
      <w:r>
        <w:rPr>
          <w:rFonts w:ascii="Arial Bold" w:hAnsi="Arial Bold"/>
          <w:b/>
          <w:smallCaps/>
          <w:sz w:val="28"/>
          <w:szCs w:val="28"/>
        </w:rPr>
        <w:lastRenderedPageBreak/>
        <w:t>Before</w:t>
      </w:r>
    </w:p>
    <w:p w:rsidR="00CA02FF" w:rsidRDefault="007C3439">
      <w:pPr>
        <w:spacing w:line="240" w:lineRule="auto"/>
        <w:jc w:val="center"/>
        <w:rPr>
          <w:rFonts w:cs="Arial"/>
          <w:b/>
          <w:smallCaps/>
          <w:sz w:val="28"/>
          <w:szCs w:val="28"/>
        </w:rPr>
      </w:pPr>
      <w:r>
        <w:rPr>
          <w:rFonts w:cs="Arial"/>
          <w:b/>
          <w:smallCaps/>
          <w:sz w:val="28"/>
          <w:szCs w:val="28"/>
        </w:rPr>
        <w:t>The Public Utilities Commission of Ohio</w:t>
      </w:r>
    </w:p>
    <w:p w:rsidR="00CA02FF" w:rsidRDefault="00CA02FF">
      <w:pPr>
        <w:spacing w:line="240" w:lineRule="auto"/>
      </w:pPr>
    </w:p>
    <w:p w:rsidR="00C36106" w:rsidRDefault="00C36106">
      <w:pPr>
        <w:spacing w:line="240" w:lineRule="auto"/>
      </w:pPr>
    </w:p>
    <w:p w:rsidR="00B60CF7" w:rsidRDefault="00B60CF7" w:rsidP="00C36106">
      <w:pPr>
        <w:tabs>
          <w:tab w:val="left" w:pos="4320"/>
          <w:tab w:val="left" w:pos="5040"/>
        </w:tabs>
        <w:spacing w:line="240" w:lineRule="auto"/>
        <w:rPr>
          <w:rFonts w:cs="Arial"/>
          <w:bCs/>
        </w:rPr>
      </w:pPr>
      <w:r>
        <w:rPr>
          <w:rFonts w:cs="Arial"/>
          <w:bCs/>
        </w:rPr>
        <w:t>Mark A. Whitt,</w:t>
      </w:r>
      <w:r>
        <w:rPr>
          <w:rFonts w:cs="Arial"/>
          <w:bCs/>
        </w:rPr>
        <w:tab/>
        <w:t>)</w:t>
      </w:r>
    </w:p>
    <w:p w:rsidR="00B60CF7" w:rsidRDefault="00B60CF7" w:rsidP="00C36106">
      <w:pPr>
        <w:tabs>
          <w:tab w:val="left" w:pos="4320"/>
          <w:tab w:val="left" w:pos="5040"/>
        </w:tabs>
        <w:spacing w:line="240" w:lineRule="auto"/>
        <w:rPr>
          <w:rFonts w:cs="Arial"/>
          <w:bCs/>
        </w:rPr>
      </w:pP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t>Complainant,</w:t>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r>
        <w:rPr>
          <w:rFonts w:cs="Arial"/>
          <w:bCs/>
        </w:rPr>
        <w:tab/>
        <w:t>Case No. 15-697-EL-CSS</w:t>
      </w:r>
    </w:p>
    <w:p w:rsidR="00B60CF7" w:rsidRDefault="00B60CF7" w:rsidP="00C36106">
      <w:pPr>
        <w:tabs>
          <w:tab w:val="left" w:pos="720"/>
          <w:tab w:val="left" w:pos="4320"/>
          <w:tab w:val="left" w:pos="5040"/>
        </w:tabs>
        <w:spacing w:line="240" w:lineRule="auto"/>
        <w:rPr>
          <w:rFonts w:cs="Arial"/>
          <w:bCs/>
        </w:rPr>
      </w:pPr>
      <w:r>
        <w:rPr>
          <w:rFonts w:cs="Arial"/>
          <w:bCs/>
        </w:rPr>
        <w:t>v.</w:t>
      </w: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Nationwide Energy Partners,</w:t>
      </w:r>
      <w:r w:rsidR="001934CF">
        <w:rPr>
          <w:rFonts w:cs="Arial"/>
          <w:bCs/>
        </w:rPr>
        <w:t xml:space="preserve"> LLC,</w:t>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t>Respondent,</w:t>
      </w:r>
      <w:r>
        <w:rPr>
          <w:rFonts w:cs="Arial"/>
          <w:bCs/>
        </w:rPr>
        <w:tab/>
        <w:t>)</w:t>
      </w:r>
    </w:p>
    <w:p w:rsidR="00B60CF7" w:rsidRDefault="00B60CF7" w:rsidP="00B60CF7">
      <w:pPr>
        <w:tabs>
          <w:tab w:val="left" w:pos="720"/>
          <w:tab w:val="left" w:pos="5040"/>
        </w:tabs>
        <w:spacing w:line="240" w:lineRule="auto"/>
        <w:rPr>
          <w:rFonts w:cs="Arial"/>
          <w:bCs/>
        </w:rPr>
      </w:pPr>
    </w:p>
    <w:p w:rsidR="00B60CF7" w:rsidRDefault="00B60CF7" w:rsidP="00B60CF7">
      <w:pPr>
        <w:tabs>
          <w:tab w:val="left" w:pos="720"/>
          <w:tab w:val="left" w:pos="5040"/>
        </w:tabs>
        <w:spacing w:line="240" w:lineRule="auto"/>
        <w:rPr>
          <w:rFonts w:cs="Arial"/>
        </w:rPr>
      </w:pPr>
    </w:p>
    <w:p w:rsidR="00CA02FF" w:rsidRPr="00C8387C" w:rsidRDefault="00E8112A" w:rsidP="00C8387C">
      <w:pPr>
        <w:rPr>
          <w:b/>
        </w:rPr>
      </w:pPr>
      <w:r w:rsidRPr="00C8387C">
        <w:rPr>
          <w:b/>
        </w:rPr>
        <w:t>______________________________________________________________________</w:t>
      </w:r>
    </w:p>
    <w:p w:rsidR="00CA02FF" w:rsidRDefault="007C3439">
      <w:pPr>
        <w:pStyle w:val="Heading1"/>
        <w:numPr>
          <w:ilvl w:val="0"/>
          <w:numId w:val="0"/>
        </w:numPr>
        <w:tabs>
          <w:tab w:val="left" w:pos="7320"/>
        </w:tabs>
        <w:spacing w:after="0"/>
        <w:jc w:val="center"/>
        <w:rPr>
          <w:caps w:val="0"/>
          <w:smallCaps/>
          <w:sz w:val="28"/>
          <w:u w:val="none"/>
        </w:rPr>
      </w:pPr>
      <w:r>
        <w:rPr>
          <w:caps w:val="0"/>
          <w:smallCaps/>
          <w:sz w:val="28"/>
          <w:u w:val="none"/>
        </w:rPr>
        <w:t xml:space="preserve">Motion to Intervene of </w:t>
      </w:r>
    </w:p>
    <w:p w:rsidR="00CA02FF" w:rsidRDefault="007C3439">
      <w:pPr>
        <w:pStyle w:val="Heading1"/>
        <w:numPr>
          <w:ilvl w:val="0"/>
          <w:numId w:val="0"/>
        </w:numPr>
        <w:tabs>
          <w:tab w:val="left" w:pos="7320"/>
        </w:tabs>
        <w:spacing w:after="0"/>
        <w:jc w:val="center"/>
        <w:rPr>
          <w:smallCaps/>
          <w:sz w:val="28"/>
          <w:u w:val="none"/>
        </w:rPr>
      </w:pPr>
      <w:r>
        <w:rPr>
          <w:caps w:val="0"/>
          <w:smallCaps/>
          <w:sz w:val="28"/>
          <w:u w:val="none"/>
        </w:rPr>
        <w:t>Industrial Energy Users-Ohio</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CA02FF" w:rsidRDefault="007C3439">
      <w:pPr>
        <w:pStyle w:val="BodyTextIndent"/>
        <w:spacing w:before="120" w:after="0"/>
        <w:ind w:left="0" w:firstLine="720"/>
      </w:pPr>
      <w:r>
        <w:t>Industrial Energy Users-Ohio (“IEU-Ohio”) hereby respectfully moves the Public Utilities Commission of Ohio (“Commission”), pursuant to R.C. 4903.221 and Rule 4901-1-11, Ohio Administrative Code, for leave to intervene in the above-captioned matter with the full powers and rights granted by the Commission, specifically by statute or by the provisions of the Ohio Administrative Code, to intervening parties</w:t>
      </w:r>
      <w:r w:rsidR="0040232E">
        <w:t xml:space="preserve"> to address the contested legal issues raised by the Complaint</w:t>
      </w:r>
      <w:r w:rsidR="00966616">
        <w:t>.</w:t>
      </w:r>
    </w:p>
    <w:p w:rsidR="00CA02FF" w:rsidRDefault="007C3439" w:rsidP="005776E1">
      <w:pPr>
        <w:pStyle w:val="BodyText"/>
        <w:tabs>
          <w:tab w:val="left" w:pos="720"/>
          <w:tab w:val="left" w:pos="5040"/>
        </w:tabs>
        <w:spacing w:after="0" w:line="480" w:lineRule="auto"/>
        <w:ind w:firstLine="720"/>
        <w:jc w:val="both"/>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w:t>
      </w:r>
      <w:r>
        <w:lastRenderedPageBreak/>
        <w:t>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CA02FF" w:rsidRDefault="007C3439">
      <w:pPr>
        <w:tabs>
          <w:tab w:val="left" w:pos="4320"/>
          <w:tab w:val="right" w:pos="8640"/>
        </w:tabs>
        <w:spacing w:line="240" w:lineRule="auto"/>
        <w:rPr>
          <w:rFonts w:cs="Arial"/>
        </w:rPr>
      </w:pPr>
      <w:r>
        <w:rPr>
          <w:rFonts w:cs="Arial"/>
        </w:rPr>
        <w:tab/>
        <w:t>Respectfully submitted,</w:t>
      </w:r>
    </w:p>
    <w:p w:rsidR="00CA02FF" w:rsidRDefault="00CA02FF">
      <w:pPr>
        <w:tabs>
          <w:tab w:val="left" w:pos="4320"/>
          <w:tab w:val="right" w:pos="8640"/>
        </w:tabs>
        <w:spacing w:line="240" w:lineRule="auto"/>
        <w:rPr>
          <w:rFonts w:cs="Arial"/>
        </w:rPr>
      </w:pPr>
    </w:p>
    <w:p w:rsidR="00CA02FF" w:rsidRDefault="00CA02FF">
      <w:pPr>
        <w:tabs>
          <w:tab w:val="left" w:pos="4320"/>
          <w:tab w:val="right" w:pos="8640"/>
        </w:tabs>
        <w:spacing w:line="240" w:lineRule="auto"/>
        <w:rPr>
          <w:rFonts w:cs="Arial"/>
        </w:rPr>
      </w:pPr>
    </w:p>
    <w:p w:rsidR="00CA02FF" w:rsidRPr="00D70E8C" w:rsidRDefault="007C3439">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sidR="00B60CF7">
        <w:rPr>
          <w:rFonts w:cs="Arial"/>
          <w:i/>
          <w:u w:val="single"/>
        </w:rPr>
        <w:t>Frank P. Darr</w:t>
      </w:r>
      <w:r w:rsidRPr="00D70E8C">
        <w:rPr>
          <w:rFonts w:cs="Arial"/>
          <w:i/>
          <w:u w:val="single"/>
        </w:rPr>
        <w:tab/>
      </w:r>
    </w:p>
    <w:p w:rsidR="00D70E8C" w:rsidRDefault="00D70E8C" w:rsidP="00D70E8C">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McNees Wallace &amp; Nurick LLC</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P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CA02FF" w:rsidRDefault="007C3439">
      <w:pPr>
        <w:spacing w:line="240" w:lineRule="auto"/>
        <w:ind w:left="4320" w:hanging="4320"/>
        <w:rPr>
          <w:rFonts w:cs="Arial"/>
          <w:sz w:val="28"/>
          <w:u w:val="single"/>
        </w:rPr>
      </w:pPr>
      <w:r>
        <w:rPr>
          <w:rFonts w:eastAsia="Calibri" w:cs="Arial"/>
          <w:b/>
        </w:rPr>
        <w:tab/>
        <w:t>Attorneys for Industrial Energy Users-Ohio</w:t>
      </w:r>
    </w:p>
    <w:p w:rsidR="00CA02FF" w:rsidRDefault="00CA02FF">
      <w:pPr>
        <w:tabs>
          <w:tab w:val="left" w:pos="4320"/>
          <w:tab w:val="right" w:pos="8640"/>
        </w:tabs>
        <w:spacing w:line="240" w:lineRule="auto"/>
        <w:ind w:left="4320"/>
        <w:rPr>
          <w:rFonts w:cs="Arial"/>
          <w:b/>
        </w:rPr>
      </w:pPr>
    </w:p>
    <w:p w:rsidR="00CA02FF" w:rsidRDefault="007C3439">
      <w:pPr>
        <w:spacing w:line="240" w:lineRule="auto"/>
        <w:jc w:val="center"/>
        <w:rPr>
          <w:rFonts w:ascii="Arial Bold" w:hAnsi="Arial Bold"/>
          <w:b/>
          <w:smallCaps/>
          <w:sz w:val="28"/>
          <w:szCs w:val="28"/>
        </w:rPr>
      </w:pPr>
      <w:r>
        <w:br w:type="page"/>
      </w:r>
      <w:r>
        <w:rPr>
          <w:rFonts w:ascii="Arial Bold" w:hAnsi="Arial Bold"/>
          <w:b/>
          <w:smallCaps/>
          <w:sz w:val="28"/>
          <w:szCs w:val="28"/>
        </w:rPr>
        <w:lastRenderedPageBreak/>
        <w:t>Before</w:t>
      </w:r>
    </w:p>
    <w:p w:rsidR="00CA02FF" w:rsidRDefault="007C3439">
      <w:pPr>
        <w:spacing w:line="240" w:lineRule="auto"/>
        <w:jc w:val="center"/>
        <w:rPr>
          <w:rFonts w:cs="Arial"/>
          <w:b/>
          <w:smallCaps/>
          <w:sz w:val="28"/>
          <w:szCs w:val="28"/>
        </w:rPr>
      </w:pPr>
      <w:r>
        <w:rPr>
          <w:rFonts w:cs="Arial"/>
          <w:b/>
          <w:smallCaps/>
          <w:sz w:val="28"/>
          <w:szCs w:val="28"/>
        </w:rPr>
        <w:t>The Public Utilities Commission of Ohio</w:t>
      </w:r>
    </w:p>
    <w:p w:rsidR="00CA02FF" w:rsidRDefault="00CA02FF">
      <w:pPr>
        <w:spacing w:line="240" w:lineRule="auto"/>
      </w:pPr>
    </w:p>
    <w:p w:rsidR="00B60CF7" w:rsidRDefault="00B60CF7" w:rsidP="00C36106">
      <w:pPr>
        <w:tabs>
          <w:tab w:val="left" w:pos="4320"/>
          <w:tab w:val="left" w:pos="5040"/>
        </w:tabs>
        <w:spacing w:line="240" w:lineRule="auto"/>
        <w:rPr>
          <w:rFonts w:cs="Arial"/>
          <w:bCs/>
        </w:rPr>
      </w:pPr>
      <w:r>
        <w:rPr>
          <w:rFonts w:cs="Arial"/>
          <w:bCs/>
        </w:rPr>
        <w:t>Mark A. Whitt,</w:t>
      </w:r>
      <w:r>
        <w:rPr>
          <w:rFonts w:cs="Arial"/>
          <w:bCs/>
        </w:rPr>
        <w:tab/>
        <w:t>)</w:t>
      </w:r>
    </w:p>
    <w:p w:rsidR="00B60CF7" w:rsidRDefault="00B60CF7" w:rsidP="00C36106">
      <w:pPr>
        <w:tabs>
          <w:tab w:val="left" w:pos="4320"/>
          <w:tab w:val="left" w:pos="5040"/>
        </w:tabs>
        <w:spacing w:line="240" w:lineRule="auto"/>
        <w:rPr>
          <w:rFonts w:cs="Arial"/>
          <w:bCs/>
        </w:rPr>
      </w:pP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t>Complainant,</w:t>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r>
        <w:rPr>
          <w:rFonts w:cs="Arial"/>
          <w:bCs/>
        </w:rPr>
        <w:tab/>
        <w:t>Case No. 15-697-EL-CSS</w:t>
      </w:r>
    </w:p>
    <w:p w:rsidR="00B60CF7" w:rsidRDefault="00B60CF7" w:rsidP="00C36106">
      <w:pPr>
        <w:tabs>
          <w:tab w:val="left" w:pos="720"/>
          <w:tab w:val="left" w:pos="4320"/>
          <w:tab w:val="left" w:pos="5040"/>
        </w:tabs>
        <w:spacing w:line="240" w:lineRule="auto"/>
        <w:rPr>
          <w:rFonts w:cs="Arial"/>
          <w:bCs/>
        </w:rPr>
      </w:pPr>
      <w:r>
        <w:rPr>
          <w:rFonts w:cs="Arial"/>
          <w:bCs/>
        </w:rPr>
        <w:t>v.</w:t>
      </w: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Nationwide Energy Partners,</w:t>
      </w:r>
      <w:r w:rsidR="001934CF">
        <w:rPr>
          <w:rFonts w:cs="Arial"/>
          <w:bCs/>
        </w:rPr>
        <w:t xml:space="preserve"> LLC</w:t>
      </w:r>
      <w:r w:rsidR="002C5195">
        <w:rPr>
          <w:rFonts w:cs="Arial"/>
          <w:bCs/>
        </w:rPr>
        <w:t>,</w:t>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r>
      <w:r>
        <w:rPr>
          <w:rFonts w:cs="Arial"/>
          <w:bCs/>
        </w:rPr>
        <w:tab/>
        <w:t>)</w:t>
      </w:r>
    </w:p>
    <w:p w:rsidR="00B60CF7" w:rsidRDefault="00B60CF7" w:rsidP="00C36106">
      <w:pPr>
        <w:tabs>
          <w:tab w:val="left" w:pos="720"/>
          <w:tab w:val="left" w:pos="4320"/>
          <w:tab w:val="left" w:pos="5040"/>
        </w:tabs>
        <w:spacing w:line="240" w:lineRule="auto"/>
        <w:rPr>
          <w:rFonts w:cs="Arial"/>
          <w:bCs/>
        </w:rPr>
      </w:pPr>
      <w:r>
        <w:rPr>
          <w:rFonts w:cs="Arial"/>
          <w:bCs/>
        </w:rPr>
        <w:tab/>
        <w:t>Respondent,</w:t>
      </w:r>
      <w:r>
        <w:rPr>
          <w:rFonts w:cs="Arial"/>
          <w:bCs/>
        </w:rPr>
        <w:tab/>
        <w:t>)</w:t>
      </w:r>
    </w:p>
    <w:p w:rsidR="00B60CF7" w:rsidRDefault="00B60CF7" w:rsidP="00B60CF7">
      <w:pPr>
        <w:tabs>
          <w:tab w:val="left" w:pos="720"/>
          <w:tab w:val="left" w:pos="5040"/>
        </w:tabs>
        <w:spacing w:line="240" w:lineRule="auto"/>
        <w:rPr>
          <w:rFonts w:cs="Arial"/>
          <w:bCs/>
        </w:rPr>
      </w:pPr>
    </w:p>
    <w:p w:rsidR="00B60CF7" w:rsidRDefault="00B60CF7" w:rsidP="00B60CF7">
      <w:pPr>
        <w:tabs>
          <w:tab w:val="left" w:pos="720"/>
          <w:tab w:val="left" w:pos="5040"/>
        </w:tabs>
        <w:spacing w:line="240" w:lineRule="auto"/>
        <w:rPr>
          <w:rFonts w:cs="Arial"/>
        </w:rPr>
      </w:pPr>
    </w:p>
    <w:p w:rsidR="00CA02FF" w:rsidRDefault="00CA02FF">
      <w:pPr>
        <w:keepNext/>
        <w:pBdr>
          <w:top w:val="single" w:sz="12" w:space="1" w:color="auto"/>
        </w:pBdr>
        <w:tabs>
          <w:tab w:val="left" w:pos="7320"/>
        </w:tabs>
        <w:spacing w:line="240" w:lineRule="auto"/>
        <w:jc w:val="center"/>
        <w:outlineLvl w:val="0"/>
        <w:rPr>
          <w:rFonts w:cs="Arial"/>
          <w:b/>
          <w:smallCaps/>
        </w:rPr>
      </w:pPr>
    </w:p>
    <w:p w:rsidR="00CA02FF" w:rsidRDefault="007C3439">
      <w:pPr>
        <w:pStyle w:val="Heading1"/>
        <w:numPr>
          <w:ilvl w:val="0"/>
          <w:numId w:val="0"/>
        </w:numPr>
        <w:tabs>
          <w:tab w:val="left" w:pos="7320"/>
        </w:tabs>
        <w:spacing w:after="0"/>
        <w:jc w:val="center"/>
        <w:rPr>
          <w:smallCaps/>
          <w:sz w:val="28"/>
          <w:u w:val="none"/>
        </w:rPr>
      </w:pPr>
      <w:r>
        <w:rPr>
          <w:caps w:val="0"/>
          <w:smallCaps/>
          <w:sz w:val="28"/>
          <w:u w:val="none"/>
        </w:rPr>
        <w:t>Memorandum in Support</w:t>
      </w:r>
    </w:p>
    <w:p w:rsidR="00CA02FF" w:rsidRDefault="00CA02FF">
      <w:pPr>
        <w:pBdr>
          <w:bottom w:val="single" w:sz="12" w:space="1" w:color="auto"/>
        </w:pBdr>
        <w:spacing w:line="240" w:lineRule="auto"/>
        <w:jc w:val="center"/>
        <w:rPr>
          <w:rFonts w:cs="Arial"/>
          <w:b/>
          <w:smallCaps/>
          <w:u w:val="single"/>
        </w:rPr>
      </w:pPr>
    </w:p>
    <w:p w:rsidR="00CA02FF" w:rsidRDefault="00CA02FF">
      <w:pPr>
        <w:spacing w:line="240" w:lineRule="auto"/>
        <w:jc w:val="center"/>
        <w:rPr>
          <w:rFonts w:cs="Arial"/>
          <w:b/>
          <w:smallCaps/>
          <w:u w:val="single"/>
        </w:rPr>
      </w:pPr>
    </w:p>
    <w:p w:rsidR="00FB655B" w:rsidRDefault="00FB655B">
      <w:pPr>
        <w:spacing w:line="240" w:lineRule="auto"/>
        <w:jc w:val="center"/>
        <w:rPr>
          <w:rFonts w:cs="Arial"/>
          <w:b/>
          <w:smallCaps/>
          <w:u w:val="single"/>
        </w:rPr>
      </w:pPr>
    </w:p>
    <w:p w:rsidR="00B00241" w:rsidRDefault="00B00241" w:rsidP="005A58C3">
      <w:pPr>
        <w:pStyle w:val="Heading1"/>
      </w:pPr>
      <w:r>
        <w:t>introduction</w:t>
      </w:r>
    </w:p>
    <w:p w:rsidR="0040232E" w:rsidRDefault="00B00241" w:rsidP="00AB12E1">
      <w:pPr>
        <w:ind w:firstLine="720"/>
      </w:pPr>
      <w:r>
        <w:t xml:space="preserve">The Complaint filed by Mr. Whitt </w:t>
      </w:r>
      <w:r w:rsidR="00AB12E1">
        <w:t>alleges that Nationwide Energy Partners is billing Mr. Whitt in violation of regulatory requirements applicable to public utilities</w:t>
      </w:r>
      <w:r>
        <w:t xml:space="preserve">.  </w:t>
      </w:r>
      <w:r w:rsidR="00AB12E1">
        <w:t>The Complaint thus raises a fundamental question regarding the scope of the Commission’s authority to regulate and supervise</w:t>
      </w:r>
      <w:r w:rsidR="00626B44">
        <w:t xml:space="preserve"> the contested business relationship between the parties</w:t>
      </w:r>
      <w:r w:rsidR="00AB12E1">
        <w:t xml:space="preserve">.  </w:t>
      </w:r>
      <w:r w:rsidR="00626B44">
        <w:t xml:space="preserve">As framed by Mr. Whitt, however, the Complaint has broader implications.  </w:t>
      </w:r>
      <w:r w:rsidR="0040232E">
        <w:t xml:space="preserve">Not all arrangements that allow an ultimate consumer of electricity, natural gas, water, or wastewater treatment services to obtain such service from or through another consumer or separate entity have a purpose, nature, </w:t>
      </w:r>
      <w:r w:rsidR="00AB12E1">
        <w:t xml:space="preserve">or </w:t>
      </w:r>
      <w:r w:rsidR="0040232E">
        <w:t>scope that is sufficient to cause the arrangement to fall within the common law or statutory definition of a “public utility</w:t>
      </w:r>
      <w:r w:rsidR="00814007">
        <w:t>.</w:t>
      </w:r>
      <w:r w:rsidR="0040232E">
        <w:t xml:space="preserve">”  Similar observations apply to determinations regarding the applicability of requirements to </w:t>
      </w:r>
      <w:r w:rsidR="00261A31">
        <w:t xml:space="preserve">competitive retail electric service (“CRES”) </w:t>
      </w:r>
      <w:r w:rsidR="0040232E">
        <w:t xml:space="preserve">providers.  </w:t>
      </w:r>
    </w:p>
    <w:p w:rsidR="0040232E" w:rsidRDefault="0040232E" w:rsidP="00AB12E1">
      <w:pPr>
        <w:ind w:firstLine="720"/>
      </w:pPr>
      <w:r>
        <w:t xml:space="preserve">It is often the case in Ohio that multiple non-residential consumers are located on property, such as a campus, which includes facilities, plant, and equipment that allows </w:t>
      </w:r>
      <w:r>
        <w:lastRenderedPageBreak/>
        <w:t>each consumer to receive electricity, natural gas, water or wastewater treatment services through a “master-meter</w:t>
      </w:r>
      <w:r w:rsidR="00127080">
        <w:t>,</w:t>
      </w:r>
      <w:r>
        <w:t xml:space="preserve">” </w:t>
      </w:r>
      <w:r w:rsidR="00AB12E1">
        <w:t xml:space="preserve">or jointly or individually owned </w:t>
      </w:r>
      <w:r>
        <w:t>facilities, plant</w:t>
      </w:r>
      <w:r w:rsidR="00127080">
        <w:t>,</w:t>
      </w:r>
      <w:r>
        <w:t xml:space="preserve"> or equipment.  These arrangements arise voluntarily and have become more common over time </w:t>
      </w:r>
      <w:r w:rsidR="00BB0F07">
        <w:t>because</w:t>
      </w:r>
      <w:r>
        <w:t xml:space="preserve"> corporations have spun off or separated individual business units that may have separate corporate identities even if commonly owned.  Typically, these arrangements are </w:t>
      </w:r>
      <w:r w:rsidR="00B73AD8">
        <w:t>ancillary</w:t>
      </w:r>
      <w:r>
        <w:t xml:space="preserve"> to and not the primary purpose of the relationship between the individual non-residential consumers.  </w:t>
      </w:r>
    </w:p>
    <w:p w:rsidR="0040232E" w:rsidRPr="00B00241" w:rsidRDefault="0040232E" w:rsidP="00EE6BA3">
      <w:pPr>
        <w:spacing w:after="120"/>
        <w:ind w:firstLine="720"/>
      </w:pPr>
      <w:r>
        <w:t xml:space="preserve">Because this proceeding invites the Commission to draw the line between the scope and nature of activities that give rise to “public utility” </w:t>
      </w:r>
      <w:r w:rsidR="00026F2B">
        <w:t xml:space="preserve">or CRES provider </w:t>
      </w:r>
      <w:r>
        <w:t>status and those activities that do not, IEU-Ohio</w:t>
      </w:r>
      <w:r w:rsidR="00026F2B">
        <w:rPr>
          <w:rStyle w:val="FootnoteReference"/>
        </w:rPr>
        <w:footnoteReference w:id="1"/>
      </w:r>
      <w:r>
        <w:t xml:space="preserve"> has an interest in the outcome of this proceeding</w:t>
      </w:r>
      <w:r w:rsidR="00B73AD8">
        <w:t xml:space="preserve">.  Its interest is </w:t>
      </w:r>
      <w:r>
        <w:t xml:space="preserve">to assure that </w:t>
      </w:r>
      <w:r w:rsidR="00B73AD8">
        <w:t>voluntary</w:t>
      </w:r>
      <w:r w:rsidR="004059D9">
        <w:rPr>
          <w:rStyle w:val="FootnoteReference"/>
        </w:rPr>
        <w:footnoteReference w:id="2"/>
      </w:r>
      <w:r w:rsidR="00B73AD8">
        <w:t xml:space="preserve"> and ancillary arrangements such as those discussed above </w:t>
      </w:r>
      <w:r>
        <w:t xml:space="preserve">are not </w:t>
      </w:r>
      <w:r w:rsidR="00BB0F07">
        <w:t>impaired</w:t>
      </w:r>
      <w:r w:rsidR="00B73AD8">
        <w:t xml:space="preserve"> by the Commission’s decision</w:t>
      </w:r>
      <w:r>
        <w:t>.  Accordingly, IEU-Ohio should be granted intervention as a party for the purpose requested herein.</w:t>
      </w:r>
    </w:p>
    <w:p w:rsidR="00C560E8" w:rsidRPr="0076199B" w:rsidRDefault="00C560E8" w:rsidP="005A58C3">
      <w:pPr>
        <w:pStyle w:val="Heading1"/>
      </w:pPr>
      <w:r w:rsidRPr="0076199B">
        <w:t>The Complaint</w:t>
      </w:r>
      <w:r w:rsidR="00B00241">
        <w:t xml:space="preserve">, the </w:t>
      </w:r>
      <w:r w:rsidR="0076199B">
        <w:t>Answer</w:t>
      </w:r>
      <w:r w:rsidR="00B00241">
        <w:t>, and pending motions to intervene</w:t>
      </w:r>
    </w:p>
    <w:p w:rsidR="00C560E8" w:rsidRDefault="00C560E8" w:rsidP="005776E1">
      <w:pPr>
        <w:ind w:firstLine="720"/>
        <w:rPr>
          <w:rFonts w:cs="Arial"/>
        </w:rPr>
      </w:pPr>
      <w:r>
        <w:rPr>
          <w:rFonts w:cs="Arial"/>
        </w:rPr>
        <w:t xml:space="preserve">In his complaint, </w:t>
      </w:r>
      <w:r w:rsidR="004B7960">
        <w:rPr>
          <w:rFonts w:cs="Arial"/>
        </w:rPr>
        <w:t>Mr.</w:t>
      </w:r>
      <w:r>
        <w:rPr>
          <w:rFonts w:cs="Arial"/>
        </w:rPr>
        <w:t xml:space="preserve"> Whitt (“Complainant”) alleges that Nationwide Energy Partners</w:t>
      </w:r>
      <w:r w:rsidR="001934CF">
        <w:rPr>
          <w:rFonts w:cs="Arial"/>
        </w:rPr>
        <w:t>,</w:t>
      </w:r>
      <w:r w:rsidR="00234E15">
        <w:rPr>
          <w:rFonts w:cs="Arial"/>
        </w:rPr>
        <w:t xml:space="preserve"> LLC (“Respondent”) </w:t>
      </w:r>
      <w:r>
        <w:rPr>
          <w:rFonts w:cs="Arial"/>
        </w:rPr>
        <w:t>supplies or arranges for the supply of electricity service</w:t>
      </w:r>
      <w:r w:rsidR="00344ACF">
        <w:rPr>
          <w:rFonts w:cs="Arial"/>
        </w:rPr>
        <w:t>, water, and sewer service</w:t>
      </w:r>
      <w:r>
        <w:rPr>
          <w:rFonts w:cs="Arial"/>
        </w:rPr>
        <w:t xml:space="preserve"> that is provided to Complainant’s condominium.  </w:t>
      </w:r>
      <w:r w:rsidR="0076199B">
        <w:rPr>
          <w:rFonts w:cs="Arial"/>
        </w:rPr>
        <w:t xml:space="preserve">Complaint </w:t>
      </w:r>
      <w:r>
        <w:rPr>
          <w:rFonts w:cs="Arial"/>
        </w:rPr>
        <w:t xml:space="preserve">at ¶¶ 1, 2, </w:t>
      </w:r>
      <w:r w:rsidR="00344ACF">
        <w:rPr>
          <w:rFonts w:cs="Arial"/>
        </w:rPr>
        <w:t xml:space="preserve">7, </w:t>
      </w:r>
      <w:r>
        <w:rPr>
          <w:rFonts w:cs="Arial"/>
        </w:rPr>
        <w:t>&amp; 8</w:t>
      </w:r>
      <w:r w:rsidR="0076199B">
        <w:rPr>
          <w:rFonts w:cs="Arial"/>
        </w:rPr>
        <w:t xml:space="preserve"> (Apr. 10, 2015)</w:t>
      </w:r>
      <w:r w:rsidR="0076199B" w:rsidRPr="0076199B">
        <w:rPr>
          <w:rFonts w:cs="Arial"/>
        </w:rPr>
        <w:t xml:space="preserve"> </w:t>
      </w:r>
      <w:r w:rsidR="0076199B">
        <w:rPr>
          <w:rFonts w:cs="Arial"/>
        </w:rPr>
        <w:t>(“Complaint”)</w:t>
      </w:r>
      <w:r>
        <w:rPr>
          <w:rFonts w:cs="Arial"/>
        </w:rPr>
        <w:t xml:space="preserve">.  He further alleges that the Respondent is a public utility because it performs these services.  </w:t>
      </w:r>
      <w:r w:rsidRPr="00B00241">
        <w:rPr>
          <w:rFonts w:cs="Arial"/>
          <w:i/>
        </w:rPr>
        <w:t>Id</w:t>
      </w:r>
      <w:r>
        <w:rPr>
          <w:rFonts w:cs="Arial"/>
        </w:rPr>
        <w:t xml:space="preserve">. at ¶ 2.  Complainant </w:t>
      </w:r>
      <w:r w:rsidR="004B7960">
        <w:rPr>
          <w:rFonts w:cs="Arial"/>
        </w:rPr>
        <w:t>asserts</w:t>
      </w:r>
      <w:r>
        <w:rPr>
          <w:rFonts w:cs="Arial"/>
        </w:rPr>
        <w:t xml:space="preserve"> that he is being charged amounts that are greater than those available to </w:t>
      </w:r>
      <w:r w:rsidR="001934CF">
        <w:rPr>
          <w:rFonts w:cs="Arial"/>
        </w:rPr>
        <w:t xml:space="preserve">shopping </w:t>
      </w:r>
      <w:r>
        <w:rPr>
          <w:rFonts w:cs="Arial"/>
        </w:rPr>
        <w:lastRenderedPageBreak/>
        <w:t xml:space="preserve">customers in AEP-Ohio’s service territory and that the rates on which his bills are based have not been disclosed </w:t>
      </w:r>
      <w:r w:rsidR="003D598C">
        <w:rPr>
          <w:rFonts w:cs="Arial"/>
        </w:rPr>
        <w:t>or</w:t>
      </w:r>
      <w:r>
        <w:rPr>
          <w:rFonts w:cs="Arial"/>
        </w:rPr>
        <w:t xml:space="preserve"> approved by the Commission.  </w:t>
      </w:r>
      <w:r w:rsidRPr="00B00241">
        <w:rPr>
          <w:rFonts w:cs="Arial"/>
          <w:i/>
        </w:rPr>
        <w:t>Id</w:t>
      </w:r>
      <w:r>
        <w:rPr>
          <w:rFonts w:cs="Arial"/>
        </w:rPr>
        <w:t>. at ¶¶ 11-</w:t>
      </w:r>
      <w:r w:rsidR="00BC4CC1">
        <w:rPr>
          <w:rFonts w:cs="Arial"/>
        </w:rPr>
        <w:t xml:space="preserve">14.  Further, </w:t>
      </w:r>
      <w:r w:rsidR="000E77B4">
        <w:rPr>
          <w:rFonts w:cs="Arial"/>
        </w:rPr>
        <w:t xml:space="preserve">Complainant alleges that Respondent does not possess </w:t>
      </w:r>
      <w:r w:rsidR="00BB0F07">
        <w:rPr>
          <w:rFonts w:cs="Arial"/>
        </w:rPr>
        <w:t xml:space="preserve">necessary </w:t>
      </w:r>
      <w:r w:rsidR="000E77B4">
        <w:rPr>
          <w:rFonts w:cs="Arial"/>
        </w:rPr>
        <w:t>certificate</w:t>
      </w:r>
      <w:r w:rsidR="00AC0CF8">
        <w:rPr>
          <w:rFonts w:cs="Arial"/>
        </w:rPr>
        <w:t>s</w:t>
      </w:r>
      <w:r w:rsidR="000E77B4">
        <w:rPr>
          <w:rFonts w:cs="Arial"/>
        </w:rPr>
        <w:t xml:space="preserve"> of public convenience to provide</w:t>
      </w:r>
      <w:r w:rsidR="00324E45">
        <w:rPr>
          <w:rFonts w:cs="Arial"/>
        </w:rPr>
        <w:t xml:space="preserve"> </w:t>
      </w:r>
      <w:r w:rsidR="00AC0CF8">
        <w:rPr>
          <w:rFonts w:cs="Arial"/>
        </w:rPr>
        <w:t>utility services</w:t>
      </w:r>
      <w:r w:rsidR="00BB0F07">
        <w:rPr>
          <w:rFonts w:cs="Arial"/>
        </w:rPr>
        <w:t>,</w:t>
      </w:r>
      <w:r w:rsidR="00AC0CF8">
        <w:rPr>
          <w:rFonts w:cs="Arial"/>
        </w:rPr>
        <w:t xml:space="preserve"> a certified territory</w:t>
      </w:r>
      <w:r w:rsidR="00BB0F07">
        <w:rPr>
          <w:rFonts w:cs="Arial"/>
        </w:rPr>
        <w:t>,</w:t>
      </w:r>
      <w:r w:rsidR="00AC0CF8">
        <w:rPr>
          <w:rFonts w:cs="Arial"/>
        </w:rPr>
        <w:t xml:space="preserve"> or </w:t>
      </w:r>
      <w:r w:rsidR="004B7960">
        <w:rPr>
          <w:rFonts w:cs="Arial"/>
        </w:rPr>
        <w:t xml:space="preserve">a certificate to serve </w:t>
      </w:r>
      <w:r w:rsidR="000E77B4">
        <w:rPr>
          <w:rFonts w:cs="Arial"/>
        </w:rPr>
        <w:t xml:space="preserve">as a </w:t>
      </w:r>
      <w:r w:rsidR="00BB0F07">
        <w:rPr>
          <w:rFonts w:cs="Arial"/>
        </w:rPr>
        <w:t>CRES provider</w:t>
      </w:r>
      <w:r w:rsidR="000E77B4">
        <w:rPr>
          <w:rFonts w:cs="Arial"/>
        </w:rPr>
        <w:t xml:space="preserve">. </w:t>
      </w:r>
      <w:r w:rsidR="00C57A30">
        <w:rPr>
          <w:rFonts w:cs="Arial"/>
        </w:rPr>
        <w:t xml:space="preserve"> </w:t>
      </w:r>
      <w:r w:rsidR="000E77B4" w:rsidRPr="00B00241">
        <w:rPr>
          <w:rFonts w:cs="Arial"/>
          <w:i/>
        </w:rPr>
        <w:t>Id</w:t>
      </w:r>
      <w:r w:rsidR="000E77B4">
        <w:rPr>
          <w:rFonts w:cs="Arial"/>
        </w:rPr>
        <w:t>. at ¶</w:t>
      </w:r>
      <w:r w:rsidR="00AC0CF8">
        <w:rPr>
          <w:rFonts w:cs="Arial"/>
        </w:rPr>
        <w:t>¶</w:t>
      </w:r>
      <w:r w:rsidR="000E77B4">
        <w:rPr>
          <w:rFonts w:cs="Arial"/>
        </w:rPr>
        <w:t xml:space="preserve"> </w:t>
      </w:r>
      <w:r w:rsidR="00AC0CF8">
        <w:rPr>
          <w:rFonts w:cs="Arial"/>
        </w:rPr>
        <w:t>15-19</w:t>
      </w:r>
      <w:r w:rsidR="000E77B4">
        <w:rPr>
          <w:rFonts w:cs="Arial"/>
        </w:rPr>
        <w:t xml:space="preserve">.  Based on these allegations, </w:t>
      </w:r>
      <w:r w:rsidR="002E1C4D">
        <w:rPr>
          <w:rFonts w:cs="Arial"/>
        </w:rPr>
        <w:t xml:space="preserve">Complainant </w:t>
      </w:r>
      <w:r w:rsidR="000E77B4">
        <w:rPr>
          <w:rFonts w:cs="Arial"/>
        </w:rPr>
        <w:t xml:space="preserve">alleges in Count I that </w:t>
      </w:r>
      <w:r w:rsidR="002E1C4D">
        <w:rPr>
          <w:rFonts w:cs="Arial"/>
        </w:rPr>
        <w:t xml:space="preserve">Respondent </w:t>
      </w:r>
      <w:r w:rsidR="000E77B4">
        <w:rPr>
          <w:rFonts w:cs="Arial"/>
        </w:rPr>
        <w:t xml:space="preserve">is unlawfully engaging in the supply or arrangement of </w:t>
      </w:r>
      <w:r w:rsidR="00344ACF">
        <w:rPr>
          <w:rFonts w:cs="Arial"/>
        </w:rPr>
        <w:t xml:space="preserve">noncompetitive </w:t>
      </w:r>
      <w:r w:rsidR="000E77B4">
        <w:rPr>
          <w:rFonts w:cs="Arial"/>
        </w:rPr>
        <w:t xml:space="preserve">retail electric service.  </w:t>
      </w:r>
      <w:r w:rsidR="000E77B4" w:rsidRPr="00B00241">
        <w:rPr>
          <w:rFonts w:cs="Arial"/>
          <w:i/>
        </w:rPr>
        <w:t>Id</w:t>
      </w:r>
      <w:r w:rsidR="000E77B4">
        <w:rPr>
          <w:rFonts w:cs="Arial"/>
        </w:rPr>
        <w:t xml:space="preserve">. at ¶ 29. </w:t>
      </w:r>
      <w:r w:rsidR="00C57A30">
        <w:rPr>
          <w:rFonts w:cs="Arial"/>
        </w:rPr>
        <w:t xml:space="preserve"> </w:t>
      </w:r>
      <w:r w:rsidR="007B10DD">
        <w:rPr>
          <w:rFonts w:cs="Arial"/>
        </w:rPr>
        <w:t>In Count II, h</w:t>
      </w:r>
      <w:r w:rsidR="000E77B4">
        <w:rPr>
          <w:rFonts w:cs="Arial"/>
        </w:rPr>
        <w:t xml:space="preserve">e further alleges that Respondent is unlawfully </w:t>
      </w:r>
      <w:r w:rsidR="00BB0F07">
        <w:rPr>
          <w:rFonts w:cs="Arial"/>
        </w:rPr>
        <w:t>performing the functions of a CRES provider</w:t>
      </w:r>
      <w:r w:rsidR="000E77B4">
        <w:rPr>
          <w:rFonts w:cs="Arial"/>
        </w:rPr>
        <w:t xml:space="preserve">.  </w:t>
      </w:r>
      <w:r w:rsidR="000E77B4" w:rsidRPr="00B00241">
        <w:rPr>
          <w:rFonts w:cs="Arial"/>
          <w:i/>
        </w:rPr>
        <w:t>Id</w:t>
      </w:r>
      <w:r w:rsidR="000E77B4">
        <w:rPr>
          <w:rFonts w:cs="Arial"/>
        </w:rPr>
        <w:t xml:space="preserve">. at ¶ 34.  </w:t>
      </w:r>
      <w:r w:rsidR="00AC0CF8">
        <w:rPr>
          <w:rFonts w:cs="Arial"/>
        </w:rPr>
        <w:t xml:space="preserve">In Count III, </w:t>
      </w:r>
      <w:r w:rsidR="000E77B4">
        <w:rPr>
          <w:rFonts w:cs="Arial"/>
        </w:rPr>
        <w:t xml:space="preserve">Complainant alleges that </w:t>
      </w:r>
      <w:r w:rsidR="002E1C4D">
        <w:rPr>
          <w:rFonts w:cs="Arial"/>
        </w:rPr>
        <w:t xml:space="preserve">Respondent </w:t>
      </w:r>
      <w:r w:rsidR="000E77B4">
        <w:rPr>
          <w:rFonts w:cs="Arial"/>
        </w:rPr>
        <w:t xml:space="preserve">is </w:t>
      </w:r>
      <w:r w:rsidR="003D598C">
        <w:rPr>
          <w:rFonts w:cs="Arial"/>
        </w:rPr>
        <w:t>operating in</w:t>
      </w:r>
      <w:r w:rsidR="000E77B4">
        <w:rPr>
          <w:rFonts w:cs="Arial"/>
        </w:rPr>
        <w:t xml:space="preserve"> the certified territory of AEP-Ohio</w:t>
      </w:r>
      <w:r w:rsidR="003D598C">
        <w:rPr>
          <w:rFonts w:cs="Arial"/>
        </w:rPr>
        <w:t xml:space="preserve"> in violation of R.C. 4933.83</w:t>
      </w:r>
      <w:r w:rsidR="000E77B4">
        <w:rPr>
          <w:rFonts w:cs="Arial"/>
        </w:rPr>
        <w:t xml:space="preserve">.  </w:t>
      </w:r>
      <w:r w:rsidR="000E77B4" w:rsidRPr="00B00241">
        <w:rPr>
          <w:rFonts w:cs="Arial"/>
          <w:i/>
        </w:rPr>
        <w:t>Id</w:t>
      </w:r>
      <w:r w:rsidR="000E77B4">
        <w:rPr>
          <w:rFonts w:cs="Arial"/>
        </w:rPr>
        <w:t xml:space="preserve">. at ¶ 39.  </w:t>
      </w:r>
      <w:r w:rsidR="00AC0CF8">
        <w:rPr>
          <w:rFonts w:cs="Arial"/>
        </w:rPr>
        <w:t xml:space="preserve">In Counts IV and V, Complainant alleges that Respondent is engaging in the unlawful provision of water service and sewage disposal service.  </w:t>
      </w:r>
      <w:r w:rsidR="00AC0CF8" w:rsidRPr="00AC0CF8">
        <w:rPr>
          <w:rFonts w:cs="Arial"/>
          <w:i/>
        </w:rPr>
        <w:t>Id</w:t>
      </w:r>
      <w:r w:rsidR="00AC0CF8">
        <w:rPr>
          <w:rFonts w:cs="Arial"/>
        </w:rPr>
        <w:t xml:space="preserve">. at ¶¶ 44 &amp; 49.  </w:t>
      </w:r>
      <w:r w:rsidR="0076199B">
        <w:rPr>
          <w:rFonts w:cs="Arial"/>
        </w:rPr>
        <w:t xml:space="preserve">As relief for these </w:t>
      </w:r>
      <w:r w:rsidR="003D598C">
        <w:rPr>
          <w:rFonts w:cs="Arial"/>
        </w:rPr>
        <w:t>alleged</w:t>
      </w:r>
      <w:r w:rsidR="0076199B">
        <w:rPr>
          <w:rFonts w:cs="Arial"/>
        </w:rPr>
        <w:t xml:space="preserve"> violations, Complainant seeks findings that the </w:t>
      </w:r>
      <w:r w:rsidR="002E1C4D">
        <w:rPr>
          <w:rFonts w:cs="Arial"/>
        </w:rPr>
        <w:t xml:space="preserve">Respondent </w:t>
      </w:r>
      <w:r w:rsidR="0076199B">
        <w:rPr>
          <w:rFonts w:cs="Arial"/>
        </w:rPr>
        <w:t xml:space="preserve">knowingly </w:t>
      </w:r>
      <w:r w:rsidR="004B7960">
        <w:rPr>
          <w:rFonts w:cs="Arial"/>
        </w:rPr>
        <w:t xml:space="preserve">and unlawfully </w:t>
      </w:r>
      <w:r w:rsidR="0076199B">
        <w:rPr>
          <w:rFonts w:cs="Arial"/>
        </w:rPr>
        <w:t xml:space="preserve">engaged in the business of a public utility, </w:t>
      </w:r>
      <w:r w:rsidR="00AB12E1">
        <w:rPr>
          <w:rFonts w:cs="Arial"/>
        </w:rPr>
        <w:t xml:space="preserve">that the Respondent </w:t>
      </w:r>
      <w:r w:rsidR="0076199B">
        <w:rPr>
          <w:rFonts w:cs="Arial"/>
        </w:rPr>
        <w:t xml:space="preserve">knowingly </w:t>
      </w:r>
      <w:r w:rsidR="004B7960">
        <w:rPr>
          <w:rFonts w:cs="Arial"/>
        </w:rPr>
        <w:t xml:space="preserve">and unlawfully </w:t>
      </w:r>
      <w:r w:rsidR="0076199B">
        <w:rPr>
          <w:rFonts w:cs="Arial"/>
        </w:rPr>
        <w:t xml:space="preserve">engaged in the business of supplying </w:t>
      </w:r>
      <w:r w:rsidR="00127080">
        <w:rPr>
          <w:rFonts w:cs="Arial"/>
        </w:rPr>
        <w:t>CRES</w:t>
      </w:r>
      <w:r w:rsidR="0076199B">
        <w:rPr>
          <w:rFonts w:cs="Arial"/>
        </w:rPr>
        <w:t xml:space="preserve">, </w:t>
      </w:r>
      <w:r w:rsidR="004B7960">
        <w:rPr>
          <w:rFonts w:cs="Arial"/>
        </w:rPr>
        <w:t xml:space="preserve">and </w:t>
      </w:r>
      <w:r w:rsidR="0076199B">
        <w:rPr>
          <w:rFonts w:cs="Arial"/>
        </w:rPr>
        <w:t>that the Respondent’s charges are unjust, unreasonable, unfair, discriminatory, and in violation of law.  Further, Complainant seeks refunds</w:t>
      </w:r>
      <w:r w:rsidR="003D598C">
        <w:rPr>
          <w:rFonts w:cs="Arial"/>
        </w:rPr>
        <w:t>, damages, the opportunity to seek treble damages,</w:t>
      </w:r>
      <w:r w:rsidR="0076199B">
        <w:rPr>
          <w:rFonts w:cs="Arial"/>
        </w:rPr>
        <w:t xml:space="preserve"> and a determination that the </w:t>
      </w:r>
      <w:r w:rsidR="002E1C4D">
        <w:rPr>
          <w:rFonts w:cs="Arial"/>
        </w:rPr>
        <w:t xml:space="preserve">Respondent </w:t>
      </w:r>
      <w:r w:rsidR="0076199B">
        <w:rPr>
          <w:rFonts w:cs="Arial"/>
        </w:rPr>
        <w:t>is subject to penalties and forfeitures.</w:t>
      </w:r>
      <w:r w:rsidR="0076199B" w:rsidRPr="0076199B">
        <w:rPr>
          <w:rFonts w:cs="Arial"/>
        </w:rPr>
        <w:t xml:space="preserve"> </w:t>
      </w:r>
      <w:r w:rsidR="0076199B">
        <w:rPr>
          <w:rFonts w:cs="Arial"/>
        </w:rPr>
        <w:t xml:space="preserve"> </w:t>
      </w:r>
      <w:r w:rsidR="0076199B" w:rsidRPr="00B00241">
        <w:rPr>
          <w:rFonts w:cs="Arial"/>
          <w:i/>
        </w:rPr>
        <w:t>Id</w:t>
      </w:r>
      <w:r w:rsidR="0076199B">
        <w:rPr>
          <w:rFonts w:cs="Arial"/>
        </w:rPr>
        <w:t xml:space="preserve">. at pages 8-9.  </w:t>
      </w:r>
    </w:p>
    <w:p w:rsidR="0076199B" w:rsidRDefault="0076199B" w:rsidP="005776E1">
      <w:pPr>
        <w:ind w:firstLine="720"/>
        <w:rPr>
          <w:rFonts w:cs="Arial"/>
        </w:rPr>
      </w:pPr>
      <w:r>
        <w:rPr>
          <w:rFonts w:cs="Arial"/>
        </w:rPr>
        <w:t xml:space="preserve">Respondent denies that it is a public utility or provides </w:t>
      </w:r>
      <w:r w:rsidR="00220DCA">
        <w:rPr>
          <w:rFonts w:cs="Arial"/>
        </w:rPr>
        <w:t>CRES</w:t>
      </w:r>
      <w:r>
        <w:rPr>
          <w:rFonts w:cs="Arial"/>
        </w:rPr>
        <w:t>.  Answer at ¶¶ 2-3</w:t>
      </w:r>
      <w:r w:rsidR="00B00241">
        <w:rPr>
          <w:rFonts w:cs="Arial"/>
        </w:rPr>
        <w:t xml:space="preserve"> (Apr. 30, 2015) (“Answer”)</w:t>
      </w:r>
      <w:r>
        <w:rPr>
          <w:rFonts w:cs="Arial"/>
        </w:rPr>
        <w:t xml:space="preserve">.  Additionally, </w:t>
      </w:r>
      <w:r w:rsidR="002E1C4D">
        <w:rPr>
          <w:rFonts w:cs="Arial"/>
        </w:rPr>
        <w:t xml:space="preserve">Respondent </w:t>
      </w:r>
      <w:r>
        <w:rPr>
          <w:rFonts w:cs="Arial"/>
        </w:rPr>
        <w:t xml:space="preserve">denies many of the material allegations of the </w:t>
      </w:r>
      <w:r w:rsidR="002E1C4D">
        <w:rPr>
          <w:rFonts w:cs="Arial"/>
        </w:rPr>
        <w:t xml:space="preserve">Complaint </w:t>
      </w:r>
      <w:r>
        <w:rPr>
          <w:rFonts w:cs="Arial"/>
        </w:rPr>
        <w:t xml:space="preserve">concerning its relationship with the Complainant.  </w:t>
      </w:r>
      <w:r w:rsidRPr="00B00241">
        <w:rPr>
          <w:rFonts w:cs="Arial"/>
          <w:i/>
        </w:rPr>
        <w:t>Id</w:t>
      </w:r>
      <w:r>
        <w:rPr>
          <w:rFonts w:cs="Arial"/>
        </w:rPr>
        <w:t xml:space="preserve">. at ¶¶ 6-8.  </w:t>
      </w:r>
      <w:r w:rsidR="00925DC6">
        <w:rPr>
          <w:rFonts w:cs="Arial"/>
        </w:rPr>
        <w:t xml:space="preserve">Respondent, however, </w:t>
      </w:r>
      <w:r w:rsidR="00212BFE">
        <w:rPr>
          <w:rFonts w:cs="Arial"/>
        </w:rPr>
        <w:t>“</w:t>
      </w:r>
      <w:r w:rsidR="00925DC6">
        <w:rPr>
          <w:rFonts w:cs="Arial"/>
        </w:rPr>
        <w:t>admits that pursuant to its contract with the [</w:t>
      </w:r>
      <w:r w:rsidR="00660D73">
        <w:rPr>
          <w:rFonts w:cs="Arial"/>
        </w:rPr>
        <w:t xml:space="preserve">Complainant’s </w:t>
      </w:r>
      <w:r w:rsidR="00925DC6">
        <w:rPr>
          <w:rFonts w:cs="Arial"/>
        </w:rPr>
        <w:t xml:space="preserve">condominium association] it issues bills to the Complainant on a monthly basis.”  </w:t>
      </w:r>
      <w:r w:rsidR="00925DC6" w:rsidRPr="00B00241">
        <w:rPr>
          <w:rFonts w:cs="Arial"/>
          <w:i/>
        </w:rPr>
        <w:t>Id</w:t>
      </w:r>
      <w:r w:rsidR="00925DC6">
        <w:rPr>
          <w:rFonts w:cs="Arial"/>
        </w:rPr>
        <w:t xml:space="preserve">. at ¶ 9.  </w:t>
      </w:r>
      <w:r w:rsidR="00AD045E">
        <w:rPr>
          <w:rFonts w:cs="Arial"/>
        </w:rPr>
        <w:t xml:space="preserve">Respondent </w:t>
      </w:r>
      <w:r w:rsidR="00925DC6">
        <w:rPr>
          <w:rFonts w:cs="Arial"/>
        </w:rPr>
        <w:t>further admits that none of the charges</w:t>
      </w:r>
      <w:r w:rsidR="00324E45">
        <w:rPr>
          <w:rFonts w:cs="Arial"/>
        </w:rPr>
        <w:t xml:space="preserve"> is </w:t>
      </w:r>
      <w:r w:rsidR="00925DC6">
        <w:rPr>
          <w:rFonts w:cs="Arial"/>
        </w:rPr>
        <w:t xml:space="preserve">disclosed in monthly bills, that </w:t>
      </w:r>
      <w:r w:rsidR="00925DC6">
        <w:rPr>
          <w:rFonts w:cs="Arial"/>
        </w:rPr>
        <w:lastRenderedPageBreak/>
        <w:t xml:space="preserve">it </w:t>
      </w:r>
      <w:r w:rsidR="004B7960">
        <w:rPr>
          <w:rFonts w:cs="Arial"/>
        </w:rPr>
        <w:t xml:space="preserve">is </w:t>
      </w:r>
      <w:r w:rsidR="00660D73">
        <w:rPr>
          <w:rFonts w:cs="Arial"/>
        </w:rPr>
        <w:t xml:space="preserve">not </w:t>
      </w:r>
      <w:r w:rsidR="004B7960">
        <w:rPr>
          <w:rFonts w:cs="Arial"/>
        </w:rPr>
        <w:t>authorized or certified to provide</w:t>
      </w:r>
      <w:r w:rsidR="00660D73">
        <w:rPr>
          <w:rFonts w:cs="Arial"/>
        </w:rPr>
        <w:t xml:space="preserve"> </w:t>
      </w:r>
      <w:r w:rsidR="00344ACF">
        <w:rPr>
          <w:rFonts w:cs="Arial"/>
        </w:rPr>
        <w:t>utility services</w:t>
      </w:r>
      <w:r w:rsidR="00925DC6">
        <w:rPr>
          <w:rFonts w:cs="Arial"/>
        </w:rPr>
        <w:t xml:space="preserve">, that </w:t>
      </w:r>
      <w:r w:rsidR="004B7960">
        <w:rPr>
          <w:rFonts w:cs="Arial"/>
        </w:rPr>
        <w:t xml:space="preserve">its </w:t>
      </w:r>
      <w:r w:rsidR="00925DC6">
        <w:rPr>
          <w:rFonts w:cs="Arial"/>
        </w:rPr>
        <w:t xml:space="preserve">charges have not been approved or reviewed by the Commission, and that it is not certified as a supplier of </w:t>
      </w:r>
      <w:r w:rsidR="00AD045E">
        <w:rPr>
          <w:rFonts w:cs="Arial"/>
        </w:rPr>
        <w:t>CRES</w:t>
      </w:r>
      <w:r w:rsidR="004E00B4">
        <w:rPr>
          <w:rFonts w:cs="Arial"/>
        </w:rPr>
        <w:t xml:space="preserve"> or that it knowingly provides utility services</w:t>
      </w:r>
      <w:r w:rsidR="00925DC6">
        <w:rPr>
          <w:rFonts w:cs="Arial"/>
        </w:rPr>
        <w:t xml:space="preserve">.  </w:t>
      </w:r>
      <w:r w:rsidR="00925DC6" w:rsidRPr="00B00241">
        <w:rPr>
          <w:rFonts w:cs="Arial"/>
          <w:i/>
        </w:rPr>
        <w:t>Id</w:t>
      </w:r>
      <w:r w:rsidR="00925DC6">
        <w:rPr>
          <w:rFonts w:cs="Arial"/>
        </w:rPr>
        <w:t>. at ¶¶ 12-18</w:t>
      </w:r>
      <w:r w:rsidR="004E00B4">
        <w:rPr>
          <w:rFonts w:cs="Arial"/>
        </w:rPr>
        <w:t xml:space="preserve"> &amp; 22</w:t>
      </w:r>
      <w:r w:rsidR="00925DC6">
        <w:rPr>
          <w:rFonts w:cs="Arial"/>
        </w:rPr>
        <w:t>.  It then denies the material allegations of the Complaint’s Counts</w:t>
      </w:r>
      <w:r w:rsidR="004B7960">
        <w:rPr>
          <w:rFonts w:cs="Arial"/>
        </w:rPr>
        <w:t xml:space="preserve"> alleging that Respondent is acting illegally</w:t>
      </w:r>
      <w:r w:rsidR="00925DC6">
        <w:rPr>
          <w:rFonts w:cs="Arial"/>
        </w:rPr>
        <w:t xml:space="preserve">.  </w:t>
      </w:r>
      <w:r w:rsidR="00925DC6" w:rsidRPr="00B00241">
        <w:rPr>
          <w:rFonts w:cs="Arial"/>
          <w:i/>
        </w:rPr>
        <w:t>Id</w:t>
      </w:r>
      <w:r w:rsidR="00925DC6">
        <w:rPr>
          <w:rFonts w:cs="Arial"/>
        </w:rPr>
        <w:t xml:space="preserve">. at ¶¶ 23-49.  </w:t>
      </w:r>
      <w:r w:rsidR="00660D73">
        <w:rPr>
          <w:rFonts w:cs="Arial"/>
        </w:rPr>
        <w:t>Respondent</w:t>
      </w:r>
      <w:r w:rsidR="004B7960">
        <w:rPr>
          <w:rFonts w:cs="Arial"/>
        </w:rPr>
        <w:t xml:space="preserve"> </w:t>
      </w:r>
      <w:r w:rsidR="00660D73">
        <w:rPr>
          <w:rFonts w:cs="Arial"/>
        </w:rPr>
        <w:t>also</w:t>
      </w:r>
      <w:r w:rsidR="00925DC6">
        <w:rPr>
          <w:rFonts w:cs="Arial"/>
        </w:rPr>
        <w:t xml:space="preserve"> raises defenses that challenge the jurisdiction of the </w:t>
      </w:r>
      <w:r w:rsidR="00212BFE">
        <w:rPr>
          <w:rFonts w:cs="Arial"/>
        </w:rPr>
        <w:t xml:space="preserve">Commission </w:t>
      </w:r>
      <w:r w:rsidR="00925DC6">
        <w:rPr>
          <w:rFonts w:cs="Arial"/>
        </w:rPr>
        <w:t>and assert</w:t>
      </w:r>
      <w:r w:rsidR="004B7960">
        <w:rPr>
          <w:rFonts w:cs="Arial"/>
        </w:rPr>
        <w:t>s</w:t>
      </w:r>
      <w:r w:rsidR="00925DC6">
        <w:rPr>
          <w:rFonts w:cs="Arial"/>
        </w:rPr>
        <w:t xml:space="preserve"> that the </w:t>
      </w:r>
      <w:r w:rsidR="00212BFE">
        <w:rPr>
          <w:rFonts w:cs="Arial"/>
        </w:rPr>
        <w:t xml:space="preserve">Respondent </w:t>
      </w:r>
      <w:r w:rsidR="00925DC6">
        <w:rPr>
          <w:rFonts w:cs="Arial"/>
        </w:rPr>
        <w:t>is an agent</w:t>
      </w:r>
      <w:r w:rsidR="009713E2">
        <w:rPr>
          <w:rFonts w:cs="Arial"/>
        </w:rPr>
        <w:t xml:space="preserve"> for third parties providing utility service.  </w:t>
      </w:r>
      <w:r w:rsidR="009713E2" w:rsidRPr="00B00241">
        <w:rPr>
          <w:rFonts w:cs="Arial"/>
          <w:i/>
        </w:rPr>
        <w:t>Id</w:t>
      </w:r>
      <w:r w:rsidR="009713E2">
        <w:rPr>
          <w:rFonts w:cs="Arial"/>
        </w:rPr>
        <w:t>. at ¶¶ 50-56.</w:t>
      </w:r>
    </w:p>
    <w:p w:rsidR="00197655" w:rsidRDefault="00197655" w:rsidP="005776E1">
      <w:pPr>
        <w:ind w:firstLine="720"/>
        <w:rPr>
          <w:rFonts w:cs="Arial"/>
        </w:rPr>
      </w:pPr>
      <w:r>
        <w:rPr>
          <w:rFonts w:cs="Arial"/>
        </w:rPr>
        <w:t>Both the Office of the Ohio Consumers’ Counsel (“OCC”) and Ohio Partners for Affordable Energy (“OPAE”)</w:t>
      </w:r>
      <w:r w:rsidR="00B00241">
        <w:rPr>
          <w:rFonts w:cs="Arial"/>
        </w:rPr>
        <w:t xml:space="preserve"> filed motions to intervene</w:t>
      </w:r>
      <w:r>
        <w:rPr>
          <w:rFonts w:cs="Arial"/>
        </w:rPr>
        <w:t xml:space="preserve">.  </w:t>
      </w:r>
      <w:r w:rsidR="00B00241">
        <w:rPr>
          <w:rFonts w:cs="Arial"/>
        </w:rPr>
        <w:t xml:space="preserve">OCC sought intervention </w:t>
      </w:r>
      <w:r>
        <w:rPr>
          <w:rFonts w:cs="Arial"/>
        </w:rPr>
        <w:t>on behalf of residential customers</w:t>
      </w:r>
      <w:r w:rsidR="00BD3323">
        <w:rPr>
          <w:rFonts w:cs="Arial"/>
        </w:rPr>
        <w:t xml:space="preserve"> and state</w:t>
      </w:r>
      <w:r w:rsidR="00234E15">
        <w:rPr>
          <w:rFonts w:cs="Arial"/>
        </w:rPr>
        <w:t>d</w:t>
      </w:r>
      <w:r w:rsidR="00BD3323">
        <w:rPr>
          <w:rFonts w:cs="Arial"/>
        </w:rPr>
        <w:t xml:space="preserve"> that issues presented in this case </w:t>
      </w:r>
      <w:r w:rsidR="00B00241">
        <w:rPr>
          <w:rFonts w:cs="Arial"/>
        </w:rPr>
        <w:t>include</w:t>
      </w:r>
      <w:r w:rsidR="00BD3323">
        <w:rPr>
          <w:rFonts w:cs="Arial"/>
        </w:rPr>
        <w:t xml:space="preserve"> whether t</w:t>
      </w:r>
      <w:r w:rsidR="00B00241">
        <w:rPr>
          <w:rFonts w:cs="Arial"/>
        </w:rPr>
        <w:t>he R</w:t>
      </w:r>
      <w:r w:rsidR="00BD3323">
        <w:rPr>
          <w:rFonts w:cs="Arial"/>
        </w:rPr>
        <w:t>espondent is operating unlawfully as a public utility</w:t>
      </w:r>
      <w:r>
        <w:rPr>
          <w:rFonts w:cs="Arial"/>
        </w:rPr>
        <w:t xml:space="preserve">.  </w:t>
      </w:r>
      <w:r w:rsidR="00BD3323">
        <w:rPr>
          <w:rFonts w:cs="Arial"/>
        </w:rPr>
        <w:t>Motion to Intervene by the Office of the Ohio Consumers’</w:t>
      </w:r>
      <w:r w:rsidR="00B00241">
        <w:rPr>
          <w:rFonts w:cs="Arial"/>
        </w:rPr>
        <w:t xml:space="preserve"> Counsel, Memorandum in Support </w:t>
      </w:r>
      <w:r w:rsidR="00BD3323">
        <w:rPr>
          <w:rFonts w:cs="Arial"/>
        </w:rPr>
        <w:t xml:space="preserve">at 1 (May 6, 2015).  OPAE </w:t>
      </w:r>
      <w:r w:rsidR="00B00241">
        <w:rPr>
          <w:rFonts w:cs="Arial"/>
        </w:rPr>
        <w:t>sought intervention on behalf of</w:t>
      </w:r>
      <w:r w:rsidR="00BD3323">
        <w:rPr>
          <w:rFonts w:cs="Arial"/>
        </w:rPr>
        <w:t xml:space="preserve"> low and </w:t>
      </w:r>
      <w:r w:rsidR="00AD045E">
        <w:rPr>
          <w:rFonts w:cs="Arial"/>
        </w:rPr>
        <w:t>moderate-</w:t>
      </w:r>
      <w:r w:rsidR="00BD3323">
        <w:rPr>
          <w:rFonts w:cs="Arial"/>
        </w:rPr>
        <w:t xml:space="preserve">income residential customers </w:t>
      </w:r>
      <w:r w:rsidR="00982725">
        <w:rPr>
          <w:rFonts w:cs="Arial"/>
        </w:rPr>
        <w:t>and its agency members and noted</w:t>
      </w:r>
      <w:r w:rsidR="00BD3323">
        <w:rPr>
          <w:rFonts w:cs="Arial"/>
        </w:rPr>
        <w:t xml:space="preserve"> that the scope of the Commission’s jurisdiction to regulate public </w:t>
      </w:r>
      <w:r w:rsidR="00B00241">
        <w:rPr>
          <w:rFonts w:cs="Arial"/>
        </w:rPr>
        <w:t>utilities</w:t>
      </w:r>
      <w:r w:rsidR="00BD3323">
        <w:rPr>
          <w:rFonts w:cs="Arial"/>
        </w:rPr>
        <w:t xml:space="preserve"> is at issue.  Motion to Intervene by Ohio Partners for Affordable Energy, Memorandum in Support at 1-2 (May 19, 2015).  </w:t>
      </w:r>
    </w:p>
    <w:p w:rsidR="00B32F89" w:rsidRDefault="00594C5E" w:rsidP="00EE6BA3">
      <w:pPr>
        <w:spacing w:after="120"/>
        <w:ind w:firstLine="720"/>
        <w:rPr>
          <w:rFonts w:cs="Arial"/>
        </w:rPr>
      </w:pPr>
      <w:r>
        <w:rPr>
          <w:rFonts w:cs="Arial"/>
        </w:rPr>
        <w:t>The Ohio Power Company (“</w:t>
      </w:r>
      <w:r w:rsidR="00B32F89">
        <w:rPr>
          <w:rFonts w:cs="Arial"/>
        </w:rPr>
        <w:t>AEP-Ohio</w:t>
      </w:r>
      <w:r>
        <w:rPr>
          <w:rFonts w:cs="Arial"/>
        </w:rPr>
        <w:t>”)</w:t>
      </w:r>
      <w:r w:rsidR="00B32F89">
        <w:rPr>
          <w:rFonts w:cs="Arial"/>
        </w:rPr>
        <w:t xml:space="preserve"> </w:t>
      </w:r>
      <w:r w:rsidR="00BD3323">
        <w:rPr>
          <w:rFonts w:cs="Arial"/>
        </w:rPr>
        <w:t xml:space="preserve">also </w:t>
      </w:r>
      <w:r w:rsidR="00B32F89">
        <w:rPr>
          <w:rFonts w:cs="Arial"/>
        </w:rPr>
        <w:t>has sought to intervene on the basis that</w:t>
      </w:r>
      <w:r w:rsidR="00BD3323">
        <w:rPr>
          <w:rFonts w:cs="Arial"/>
        </w:rPr>
        <w:t xml:space="preserve"> it has rights under the Certified Territory A</w:t>
      </w:r>
      <w:r w:rsidR="00B32F89">
        <w:rPr>
          <w:rFonts w:cs="Arial"/>
        </w:rPr>
        <w:t xml:space="preserve">ct </w:t>
      </w:r>
      <w:r w:rsidR="00BD3323">
        <w:rPr>
          <w:rFonts w:cs="Arial"/>
        </w:rPr>
        <w:t>(R.C. 4933.81</w:t>
      </w:r>
      <w:r w:rsidR="00E8112A">
        <w:rPr>
          <w:rFonts w:cs="Arial"/>
        </w:rPr>
        <w:t>,</w:t>
      </w:r>
      <w:r w:rsidR="00BD3323">
        <w:rPr>
          <w:rFonts w:cs="Arial"/>
        </w:rPr>
        <w:t xml:space="preserve"> </w:t>
      </w:r>
      <w:r w:rsidR="00BD3323" w:rsidRPr="00BD3323">
        <w:rPr>
          <w:rFonts w:cs="Arial"/>
          <w:i/>
        </w:rPr>
        <w:t>et seq</w:t>
      </w:r>
      <w:r w:rsidR="00BD3323">
        <w:rPr>
          <w:rFonts w:cs="Arial"/>
        </w:rPr>
        <w:t xml:space="preserve">.) </w:t>
      </w:r>
      <w:r w:rsidR="004B7960">
        <w:rPr>
          <w:rFonts w:cs="Arial"/>
        </w:rPr>
        <w:t xml:space="preserve">that may be impaired </w:t>
      </w:r>
      <w:r w:rsidR="00BD3323">
        <w:rPr>
          <w:rFonts w:cs="Arial"/>
        </w:rPr>
        <w:t xml:space="preserve">and </w:t>
      </w:r>
      <w:r w:rsidR="00982725">
        <w:rPr>
          <w:rFonts w:cs="Arial"/>
        </w:rPr>
        <w:t xml:space="preserve">asserted </w:t>
      </w:r>
      <w:r w:rsidR="00BD3323">
        <w:rPr>
          <w:rFonts w:cs="Arial"/>
        </w:rPr>
        <w:t>that the C</w:t>
      </w:r>
      <w:r w:rsidR="00B32F89">
        <w:rPr>
          <w:rFonts w:cs="Arial"/>
        </w:rPr>
        <w:t>ommission should not decide this issue withou</w:t>
      </w:r>
      <w:r w:rsidR="00BD3323">
        <w:rPr>
          <w:rFonts w:cs="Arial"/>
        </w:rPr>
        <w:t>t hearing the legal position of AEP-Ohio</w:t>
      </w:r>
      <w:r w:rsidR="00127080">
        <w:rPr>
          <w:rFonts w:cs="Arial"/>
        </w:rPr>
        <w:t>.</w:t>
      </w:r>
      <w:r w:rsidR="00B32F89">
        <w:rPr>
          <w:rFonts w:cs="Arial"/>
        </w:rPr>
        <w:t xml:space="preserve">  Motion to Intervene of Ohio Power Company at </w:t>
      </w:r>
      <w:r w:rsidR="00644569">
        <w:rPr>
          <w:rFonts w:cs="Arial"/>
        </w:rPr>
        <w:t xml:space="preserve">3 </w:t>
      </w:r>
      <w:r w:rsidR="00B32F89">
        <w:rPr>
          <w:rFonts w:cs="Arial"/>
        </w:rPr>
        <w:t xml:space="preserve">(June 2, 2015).  </w:t>
      </w:r>
      <w:r w:rsidR="004B7960">
        <w:rPr>
          <w:rFonts w:cs="Arial"/>
        </w:rPr>
        <w:t>According to AEP-Ohio,</w:t>
      </w:r>
      <w:r w:rsidR="00B32F89">
        <w:rPr>
          <w:rFonts w:cs="Arial"/>
        </w:rPr>
        <w:t xml:space="preserve"> the issues in this case </w:t>
      </w:r>
      <w:r w:rsidR="00BD3323">
        <w:rPr>
          <w:rFonts w:cs="Arial"/>
        </w:rPr>
        <w:t>“</w:t>
      </w:r>
      <w:r w:rsidR="00B32F89">
        <w:rPr>
          <w:rFonts w:cs="Arial"/>
        </w:rPr>
        <w:t xml:space="preserve">implicate AEP Ohio’s interests as the utility that would have provided retail electric service in the absence of [the Respondent’s] allegedly unlawful actions.”  </w:t>
      </w:r>
      <w:r w:rsidR="00B32F89" w:rsidRPr="00982725">
        <w:rPr>
          <w:rFonts w:cs="Arial"/>
          <w:i/>
        </w:rPr>
        <w:t>Id</w:t>
      </w:r>
      <w:r w:rsidR="00B32F89">
        <w:rPr>
          <w:rFonts w:cs="Arial"/>
        </w:rPr>
        <w:t xml:space="preserve">. at 4.  AEP-Ohio concludes that the Complaint also “has the potential to affect AEP Ohio’s interest in business operations </w:t>
      </w:r>
      <w:r w:rsidR="00B32F89">
        <w:rPr>
          <w:rFonts w:cs="Arial"/>
        </w:rPr>
        <w:lastRenderedPageBreak/>
        <w:t xml:space="preserve">throughout its service territory because it raises substantial questions regarding the statutory definition of ‘public utility,’ R.C. 4905.02 and ‘electric light company,’ R.C. 4905.03(C).”  </w:t>
      </w:r>
      <w:r w:rsidR="00B32F89" w:rsidRPr="00982725">
        <w:rPr>
          <w:rFonts w:cs="Arial"/>
          <w:i/>
        </w:rPr>
        <w:t>Id</w:t>
      </w:r>
      <w:r w:rsidR="00B32F89">
        <w:rPr>
          <w:rFonts w:cs="Arial"/>
        </w:rPr>
        <w:t xml:space="preserve">. at 4-5.  </w:t>
      </w:r>
    </w:p>
    <w:p w:rsidR="001F003B" w:rsidRDefault="001F003B" w:rsidP="005A58C3">
      <w:pPr>
        <w:pStyle w:val="Heading1"/>
      </w:pPr>
      <w:r>
        <w:t xml:space="preserve">The Commission Should Grant IEU-Ohio’s Motion to Intervene </w:t>
      </w:r>
    </w:p>
    <w:p w:rsidR="00C56FFF" w:rsidRDefault="00C56FFF" w:rsidP="00C56FFF">
      <w:pPr>
        <w:pStyle w:val="Heading2"/>
      </w:pPr>
      <w:r>
        <w:t>Considerations Governing a Grant of a Motion to Intervene</w:t>
      </w:r>
    </w:p>
    <w:p w:rsidR="008C1C2C" w:rsidRDefault="001F003B" w:rsidP="00393EA2">
      <w:pPr>
        <w:ind w:firstLine="720"/>
        <w:rPr>
          <w:rFonts w:cs="Arial"/>
        </w:rPr>
      </w:pPr>
      <w:r>
        <w:rPr>
          <w:rFonts w:cs="Arial"/>
        </w:rPr>
        <w:t>The right to intervene is governed by statute and Commission rule.  R.C. 4903.221(A) provides that any pe</w:t>
      </w:r>
      <w:r w:rsidR="00982725">
        <w:rPr>
          <w:rFonts w:cs="Arial"/>
        </w:rPr>
        <w:t>rson tha</w:t>
      </w:r>
      <w:r>
        <w:rPr>
          <w:rFonts w:cs="Arial"/>
        </w:rPr>
        <w:t>t</w:t>
      </w:r>
      <w:r w:rsidR="00982725">
        <w:rPr>
          <w:rFonts w:cs="Arial"/>
        </w:rPr>
        <w:t xml:space="preserve"> </w:t>
      </w:r>
      <w:r>
        <w:rPr>
          <w:rFonts w:cs="Arial"/>
        </w:rPr>
        <w:t>may be adversely affected by a</w:t>
      </w:r>
      <w:r w:rsidR="00982725">
        <w:rPr>
          <w:rFonts w:cs="Arial"/>
        </w:rPr>
        <w:t xml:space="preserve"> </w:t>
      </w:r>
      <w:r>
        <w:rPr>
          <w:rFonts w:cs="Arial"/>
        </w:rPr>
        <w:t xml:space="preserve">decision of the Commission may move to intervene.  If a person moves to intervene, the Commission </w:t>
      </w:r>
      <w:r w:rsidRPr="001F003B">
        <w:rPr>
          <w:rFonts w:cs="Arial"/>
        </w:rPr>
        <w:t>shall consider the following criteria:</w:t>
      </w:r>
      <w:bookmarkStart w:id="0" w:name="4903.221(B)(1)"/>
      <w:r>
        <w:rPr>
          <w:rFonts w:cs="Arial"/>
        </w:rPr>
        <w:t xml:space="preserve"> </w:t>
      </w:r>
    </w:p>
    <w:p w:rsidR="008C1C2C" w:rsidRDefault="001F003B" w:rsidP="00393EA2">
      <w:pPr>
        <w:tabs>
          <w:tab w:val="left" w:pos="1260"/>
        </w:tabs>
        <w:spacing w:after="240" w:line="240" w:lineRule="auto"/>
        <w:ind w:left="720" w:right="720"/>
        <w:rPr>
          <w:rFonts w:cs="Arial"/>
        </w:rPr>
      </w:pPr>
      <w:r w:rsidRPr="001F003B">
        <w:rPr>
          <w:rFonts w:cs="Arial"/>
        </w:rPr>
        <w:t>(1)</w:t>
      </w:r>
      <w:bookmarkEnd w:id="0"/>
      <w:r w:rsidR="00E747C5">
        <w:rPr>
          <w:rFonts w:cs="Arial"/>
        </w:rPr>
        <w:tab/>
      </w:r>
      <w:r w:rsidRPr="001F003B">
        <w:rPr>
          <w:rFonts w:cs="Arial"/>
        </w:rPr>
        <w:t>The nature and extent of the prospective intervenor's interest;</w:t>
      </w:r>
      <w:bookmarkStart w:id="1" w:name="4903.221(B)(2)"/>
      <w:r>
        <w:rPr>
          <w:rFonts w:cs="Arial"/>
        </w:rPr>
        <w:t xml:space="preserve"> </w:t>
      </w:r>
    </w:p>
    <w:p w:rsidR="008C1C2C" w:rsidRDefault="001F003B" w:rsidP="00393EA2">
      <w:pPr>
        <w:tabs>
          <w:tab w:val="left" w:pos="1260"/>
        </w:tabs>
        <w:spacing w:after="240" w:line="240" w:lineRule="auto"/>
        <w:ind w:left="1260" w:right="720" w:hanging="540"/>
        <w:rPr>
          <w:rFonts w:cs="Arial"/>
        </w:rPr>
      </w:pPr>
      <w:r w:rsidRPr="001F003B">
        <w:rPr>
          <w:rFonts w:cs="Arial"/>
        </w:rPr>
        <w:t>(2)</w:t>
      </w:r>
      <w:bookmarkEnd w:id="1"/>
      <w:r w:rsidR="00E747C5">
        <w:rPr>
          <w:rFonts w:cs="Arial"/>
        </w:rPr>
        <w:tab/>
      </w:r>
      <w:r w:rsidRPr="001F003B">
        <w:rPr>
          <w:rFonts w:cs="Arial"/>
        </w:rPr>
        <w:t>The legal position advanced by the prospective intervenor and its probable relation to the merits of the case;</w:t>
      </w:r>
      <w:bookmarkStart w:id="2" w:name="4903.221(B)(3)"/>
      <w:r>
        <w:rPr>
          <w:rFonts w:cs="Arial"/>
        </w:rPr>
        <w:t xml:space="preserve"> </w:t>
      </w:r>
    </w:p>
    <w:p w:rsidR="008C1C2C" w:rsidRDefault="001F003B" w:rsidP="00393EA2">
      <w:pPr>
        <w:tabs>
          <w:tab w:val="left" w:pos="1260"/>
        </w:tabs>
        <w:spacing w:after="240" w:line="240" w:lineRule="auto"/>
        <w:ind w:left="1260" w:right="720" w:hanging="540"/>
        <w:rPr>
          <w:rFonts w:cs="Arial"/>
        </w:rPr>
      </w:pPr>
      <w:r w:rsidRPr="001F003B">
        <w:rPr>
          <w:rFonts w:cs="Arial"/>
        </w:rPr>
        <w:t>(3)</w:t>
      </w:r>
      <w:bookmarkEnd w:id="2"/>
      <w:r w:rsidR="00E747C5">
        <w:rPr>
          <w:rFonts w:cs="Arial"/>
        </w:rPr>
        <w:tab/>
      </w:r>
      <w:r w:rsidRPr="001F003B">
        <w:rPr>
          <w:rFonts w:cs="Arial"/>
        </w:rPr>
        <w:t>Whether the intervention by the prospective intervenor will unduly prolong or delay the proceedings;</w:t>
      </w:r>
      <w:bookmarkStart w:id="3" w:name="4903.221(B)(4)"/>
      <w:r>
        <w:rPr>
          <w:rFonts w:cs="Arial"/>
        </w:rPr>
        <w:t xml:space="preserve"> </w:t>
      </w:r>
    </w:p>
    <w:p w:rsidR="008C1C2C" w:rsidRPr="001F003B" w:rsidRDefault="001F003B" w:rsidP="00393EA2">
      <w:pPr>
        <w:tabs>
          <w:tab w:val="left" w:pos="1260"/>
        </w:tabs>
        <w:spacing w:after="240" w:line="240" w:lineRule="auto"/>
        <w:ind w:left="1260" w:right="720" w:hanging="540"/>
        <w:rPr>
          <w:rFonts w:cs="Arial"/>
        </w:rPr>
      </w:pPr>
      <w:r w:rsidRPr="001F003B">
        <w:rPr>
          <w:rFonts w:cs="Arial"/>
        </w:rPr>
        <w:t>(4)</w:t>
      </w:r>
      <w:bookmarkEnd w:id="3"/>
      <w:r w:rsidR="00E747C5">
        <w:rPr>
          <w:rFonts w:cs="Arial"/>
        </w:rPr>
        <w:tab/>
      </w:r>
      <w:r w:rsidRPr="001F003B">
        <w:rPr>
          <w:rFonts w:cs="Arial"/>
        </w:rPr>
        <w:t>Whether the prospective intervenor will significantly contribute to full development and equitable resolution of the factual issues.</w:t>
      </w:r>
    </w:p>
    <w:p w:rsidR="008C1C2C" w:rsidRDefault="008C1C2C" w:rsidP="008C1C2C">
      <w:pPr>
        <w:rPr>
          <w:rFonts w:cs="Arial"/>
        </w:rPr>
      </w:pPr>
      <w:r>
        <w:rPr>
          <w:rFonts w:cs="Arial"/>
        </w:rPr>
        <w:t>Rule 4901-1-11(B)</w:t>
      </w:r>
      <w:r w:rsidR="00C56FFF">
        <w:rPr>
          <w:rFonts w:cs="Arial"/>
        </w:rPr>
        <w:t xml:space="preserve">, </w:t>
      </w:r>
      <w:r w:rsidR="00E8112A">
        <w:rPr>
          <w:rFonts w:cs="Arial"/>
        </w:rPr>
        <w:t>Ohio Administrative Code</w:t>
      </w:r>
      <w:r w:rsidR="00C56FFF">
        <w:rPr>
          <w:rFonts w:cs="Arial"/>
        </w:rPr>
        <w:t>,</w:t>
      </w:r>
      <w:r w:rsidR="00982725">
        <w:rPr>
          <w:rFonts w:cs="Arial"/>
        </w:rPr>
        <w:t xml:space="preserve"> further provides that</w:t>
      </w:r>
      <w:r>
        <w:rPr>
          <w:rFonts w:cs="Arial"/>
        </w:rPr>
        <w:t xml:space="preserve"> intervention shall be granted if a person has a real and substantial interest in the proceeding and is so situated that disposition of the proceeding may, as a practical matter, impair or impede his or </w:t>
      </w:r>
      <w:r w:rsidR="005944A3">
        <w:rPr>
          <w:rFonts w:cs="Arial"/>
        </w:rPr>
        <w:t xml:space="preserve">her </w:t>
      </w:r>
      <w:r>
        <w:rPr>
          <w:rFonts w:cs="Arial"/>
        </w:rPr>
        <w:t>ability to protect that interest unless the person’s interest is adequa</w:t>
      </w:r>
      <w:r w:rsidR="00982725">
        <w:rPr>
          <w:rFonts w:cs="Arial"/>
        </w:rPr>
        <w:t>tely protected by another party</w:t>
      </w:r>
      <w:r>
        <w:rPr>
          <w:rFonts w:cs="Arial"/>
        </w:rPr>
        <w:t xml:space="preserve">.  Intervention is to be liberally granted </w:t>
      </w:r>
      <w:r w:rsidR="004B65BC">
        <w:rPr>
          <w:rFonts w:cs="Arial"/>
        </w:rPr>
        <w:t>to</w:t>
      </w:r>
      <w:r>
        <w:rPr>
          <w:rFonts w:cs="Arial"/>
        </w:rPr>
        <w:t xml:space="preserve"> assure that the positions of all persons with a real and substantial interest in the case will be considered by the Commission.  </w:t>
      </w:r>
      <w:r w:rsidRPr="00982725">
        <w:rPr>
          <w:rFonts w:cs="Arial"/>
          <w:i/>
        </w:rPr>
        <w:t>Ohio Consumers’ Counsel v. Pub. Util. Comm’n of Ohio</w:t>
      </w:r>
      <w:r>
        <w:rPr>
          <w:rFonts w:cs="Arial"/>
        </w:rPr>
        <w:t xml:space="preserve">, 111 Ohio St.3d </w:t>
      </w:r>
      <w:r w:rsidR="005944A3">
        <w:rPr>
          <w:rFonts w:cs="Arial"/>
        </w:rPr>
        <w:t>384</w:t>
      </w:r>
      <w:r>
        <w:rPr>
          <w:rFonts w:cs="Arial"/>
        </w:rPr>
        <w:t>, ¶ 16 (2006).</w:t>
      </w:r>
    </w:p>
    <w:p w:rsidR="009713E2" w:rsidRDefault="00324E45" w:rsidP="005A58C3">
      <w:pPr>
        <w:pStyle w:val="Heading2"/>
      </w:pPr>
      <w:r>
        <w:t xml:space="preserve">IEU-Ohio </w:t>
      </w:r>
      <w:r w:rsidR="00E8112A">
        <w:t xml:space="preserve">Has </w:t>
      </w:r>
      <w:r>
        <w:t xml:space="preserve">a </w:t>
      </w:r>
      <w:r w:rsidR="00E8112A">
        <w:t xml:space="preserve">Real </w:t>
      </w:r>
      <w:r>
        <w:t xml:space="preserve">and </w:t>
      </w:r>
      <w:r w:rsidR="00E8112A">
        <w:t xml:space="preserve">Substantial Interest </w:t>
      </w:r>
      <w:r>
        <w:t xml:space="preserve">in the </w:t>
      </w:r>
      <w:r w:rsidR="00E8112A">
        <w:t xml:space="preserve">Outcome </w:t>
      </w:r>
      <w:r>
        <w:t xml:space="preserve">of the </w:t>
      </w:r>
      <w:r w:rsidR="00E8112A">
        <w:t>Proceeding</w:t>
      </w:r>
    </w:p>
    <w:p w:rsidR="005A58C3" w:rsidRPr="005A58C3" w:rsidRDefault="005A58C3" w:rsidP="005A58C3">
      <w:pPr>
        <w:ind w:firstLine="720"/>
        <w:rPr>
          <w:rFonts w:cs="Arial"/>
        </w:rPr>
      </w:pPr>
      <w:r w:rsidRPr="005A58C3">
        <w:rPr>
          <w:rFonts w:cs="Arial"/>
        </w:rPr>
        <w:lastRenderedPageBreak/>
        <w:t>IEU-Ohio is an association of ultimate customers</w:t>
      </w:r>
      <w:r w:rsidR="00026F2B">
        <w:rPr>
          <w:rFonts w:cs="Arial"/>
        </w:rPr>
        <w:t xml:space="preserve"> and a Commission-certified CRES provider</w:t>
      </w:r>
      <w:r w:rsidRPr="005A58C3">
        <w:rPr>
          <w:rFonts w:cs="Arial"/>
        </w:rPr>
        <w:t>.  A current listing of IEU-Ohio member</w:t>
      </w:r>
      <w:r w:rsidR="00026F2B">
        <w:rPr>
          <w:rFonts w:cs="Arial"/>
        </w:rPr>
        <w:t>s</w:t>
      </w:r>
      <w:r w:rsidRPr="005A58C3">
        <w:rPr>
          <w:rFonts w:cs="Arial"/>
        </w:rPr>
        <w:t xml:space="preserve"> is available on IEU-Ohio's website at http://www.ieu-ohio.org/member_list.aspx.  IEU-Ohio’s members purchase substantial amounts of electric and </w:t>
      </w:r>
      <w:r w:rsidR="00594C5E">
        <w:rPr>
          <w:rFonts w:cs="Arial"/>
        </w:rPr>
        <w:t>other utility</w:t>
      </w:r>
      <w:r w:rsidR="00594C5E" w:rsidRPr="005A58C3">
        <w:rPr>
          <w:rFonts w:cs="Arial"/>
        </w:rPr>
        <w:t xml:space="preserve"> </w:t>
      </w:r>
      <w:r w:rsidRPr="005A58C3">
        <w:rPr>
          <w:rFonts w:cs="Arial"/>
        </w:rPr>
        <w:t xml:space="preserve">services including </w:t>
      </w:r>
      <w:r w:rsidR="00127080">
        <w:rPr>
          <w:rFonts w:cs="Arial"/>
        </w:rPr>
        <w:t xml:space="preserve">services provided by </w:t>
      </w:r>
      <w:r w:rsidRPr="005A58C3">
        <w:rPr>
          <w:rFonts w:cs="Arial"/>
        </w:rPr>
        <w:t>AEP-Ohio.</w:t>
      </w:r>
    </w:p>
    <w:p w:rsidR="005A58C3" w:rsidRPr="005A58C3" w:rsidRDefault="005A58C3" w:rsidP="005A58C3">
      <w:pPr>
        <w:ind w:firstLine="720"/>
        <w:rPr>
          <w:rFonts w:cs="Arial"/>
        </w:rPr>
      </w:pPr>
      <w:r w:rsidRPr="005A58C3">
        <w:rPr>
          <w:rFonts w:cs="Arial"/>
        </w:rPr>
        <w:t xml:space="preserve">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w:t>
      </w:r>
    </w:p>
    <w:p w:rsidR="000D2E91" w:rsidRDefault="007130D1" w:rsidP="000D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rPr>
      </w:pPr>
      <w:r>
        <w:rPr>
          <w:rFonts w:eastAsia="Times New Roman" w:cs="Arial"/>
        </w:rPr>
        <w:t>The members of IEU-Ohio</w:t>
      </w:r>
      <w:r w:rsidR="00660D73">
        <w:rPr>
          <w:rFonts w:eastAsia="Times New Roman" w:cs="Arial"/>
        </w:rPr>
        <w:t xml:space="preserve"> have a</w:t>
      </w:r>
      <w:r w:rsidR="00312F87">
        <w:rPr>
          <w:rFonts w:eastAsia="Times New Roman" w:cs="Arial"/>
        </w:rPr>
        <w:t>n</w:t>
      </w:r>
      <w:r w:rsidR="00660D73">
        <w:rPr>
          <w:rFonts w:eastAsia="Times New Roman" w:cs="Arial"/>
        </w:rPr>
        <w:t xml:space="preserve"> interest in minimizing </w:t>
      </w:r>
      <w:r w:rsidR="00312F87">
        <w:rPr>
          <w:rFonts w:eastAsia="Times New Roman" w:cs="Arial"/>
        </w:rPr>
        <w:t>the delivered costs of goods and services</w:t>
      </w:r>
      <w:r w:rsidR="00594C5E">
        <w:rPr>
          <w:rFonts w:eastAsia="Times New Roman" w:cs="Arial"/>
        </w:rPr>
        <w:t xml:space="preserve">.  Voluntary arrangements </w:t>
      </w:r>
      <w:r w:rsidR="00026F2B">
        <w:rPr>
          <w:rFonts w:eastAsia="Times New Roman" w:cs="Arial"/>
        </w:rPr>
        <w:t xml:space="preserve">for electric, water, or other services that are incidental to primary businesses among companies that are commonly owned or are located on a common property or contiguous properties </w:t>
      </w:r>
      <w:r w:rsidR="00B270E2">
        <w:rPr>
          <w:rFonts w:eastAsia="Times New Roman" w:cs="Arial"/>
        </w:rPr>
        <w:t>are</w:t>
      </w:r>
      <w:r w:rsidR="00594C5E">
        <w:rPr>
          <w:rFonts w:eastAsia="Times New Roman" w:cs="Arial"/>
        </w:rPr>
        <w:t xml:space="preserve"> </w:t>
      </w:r>
      <w:r w:rsidR="002C0BE4">
        <w:rPr>
          <w:rFonts w:eastAsia="Times New Roman" w:cs="Arial"/>
        </w:rPr>
        <w:t xml:space="preserve">a </w:t>
      </w:r>
      <w:r w:rsidR="00594C5E">
        <w:rPr>
          <w:rFonts w:eastAsia="Times New Roman" w:cs="Arial"/>
        </w:rPr>
        <w:t>recognized means of reducing costs</w:t>
      </w:r>
      <w:r w:rsidR="00026F2B">
        <w:rPr>
          <w:rFonts w:eastAsia="Times New Roman" w:cs="Arial"/>
        </w:rPr>
        <w:t xml:space="preserve"> through economies of scale and scope.  </w:t>
      </w:r>
      <w:r w:rsidR="00E5215C">
        <w:rPr>
          <w:rFonts w:eastAsia="Times New Roman" w:cs="Arial"/>
        </w:rPr>
        <w:t xml:space="preserve">Under well-understood Ohio statutes and judicial and administrative orders, these arrangements </w:t>
      </w:r>
      <w:r w:rsidR="00594C5E">
        <w:rPr>
          <w:rFonts w:eastAsia="Times New Roman" w:cs="Arial"/>
        </w:rPr>
        <w:t>are not subject to</w:t>
      </w:r>
      <w:r w:rsidR="00E5215C">
        <w:rPr>
          <w:rFonts w:eastAsia="Times New Roman" w:cs="Arial"/>
        </w:rPr>
        <w:t xml:space="preserve"> the Commission’s regulatory </w:t>
      </w:r>
      <w:r w:rsidR="004E00B4">
        <w:rPr>
          <w:rFonts w:eastAsia="Times New Roman" w:cs="Arial"/>
        </w:rPr>
        <w:t>supervision</w:t>
      </w:r>
      <w:r w:rsidR="00E5215C">
        <w:rPr>
          <w:rFonts w:eastAsia="Times New Roman" w:cs="Arial"/>
        </w:rPr>
        <w:t xml:space="preserve">.  </w:t>
      </w:r>
    </w:p>
    <w:p w:rsidR="00E2468E" w:rsidRDefault="00596D30" w:rsidP="00E2468E">
      <w:pPr>
        <w:pStyle w:val="Heading3"/>
        <w:rPr>
          <w:rFonts w:eastAsia="Times New Roman"/>
        </w:rPr>
      </w:pPr>
      <w:r>
        <w:rPr>
          <w:rFonts w:eastAsia="Times New Roman"/>
        </w:rPr>
        <w:t>“Traditional” public u</w:t>
      </w:r>
      <w:r w:rsidR="00E2468E">
        <w:rPr>
          <w:rFonts w:eastAsia="Times New Roman"/>
        </w:rPr>
        <w:t xml:space="preserve">tility </w:t>
      </w:r>
    </w:p>
    <w:p w:rsidR="00312F87" w:rsidRDefault="006C3696" w:rsidP="000D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szCs w:val="20"/>
        </w:rPr>
      </w:pPr>
      <w:r>
        <w:rPr>
          <w:rFonts w:eastAsia="Times New Roman" w:cs="Arial"/>
          <w:szCs w:val="20"/>
        </w:rPr>
        <w:t>A “p</w:t>
      </w:r>
      <w:r w:rsidR="00506999" w:rsidRPr="00506999">
        <w:rPr>
          <w:rFonts w:eastAsia="Times New Roman" w:cs="Arial"/>
          <w:szCs w:val="20"/>
        </w:rPr>
        <w:t>ublic utility</w:t>
      </w:r>
      <w:r w:rsidR="007B10DD">
        <w:rPr>
          <w:rFonts w:eastAsia="Times New Roman" w:cs="Arial"/>
          <w:szCs w:val="20"/>
        </w:rPr>
        <w:t>”</w:t>
      </w:r>
      <w:r w:rsidR="00506999" w:rsidRPr="00506999">
        <w:rPr>
          <w:rFonts w:eastAsia="Times New Roman" w:cs="Arial"/>
          <w:szCs w:val="20"/>
        </w:rPr>
        <w:t xml:space="preserve"> is defined in </w:t>
      </w:r>
      <w:r w:rsidR="00506999">
        <w:rPr>
          <w:rFonts w:eastAsia="Times New Roman" w:cs="Arial"/>
          <w:szCs w:val="20"/>
        </w:rPr>
        <w:t>R.C.</w:t>
      </w:r>
      <w:r w:rsidR="00506999" w:rsidRPr="00506999">
        <w:rPr>
          <w:rFonts w:eastAsia="Times New Roman" w:cs="Arial"/>
          <w:szCs w:val="20"/>
        </w:rPr>
        <w:t xml:space="preserve"> 4905.02</w:t>
      </w:r>
      <w:r w:rsidR="00506999">
        <w:rPr>
          <w:rFonts w:eastAsia="Times New Roman" w:cs="Arial"/>
          <w:szCs w:val="20"/>
        </w:rPr>
        <w:t xml:space="preserve"> as</w:t>
      </w:r>
      <w:r w:rsidR="00506999" w:rsidRPr="00506999">
        <w:rPr>
          <w:rFonts w:eastAsia="Times New Roman" w:cs="Arial"/>
          <w:szCs w:val="20"/>
        </w:rPr>
        <w:t xml:space="preserve"> </w:t>
      </w:r>
      <w:r w:rsidR="00506999">
        <w:rPr>
          <w:rFonts w:eastAsia="Times New Roman" w:cs="Arial"/>
          <w:szCs w:val="20"/>
        </w:rPr>
        <w:t>“</w:t>
      </w:r>
      <w:r w:rsidR="00506999" w:rsidRPr="00506999">
        <w:rPr>
          <w:rFonts w:eastAsia="Times New Roman" w:cs="Arial"/>
          <w:szCs w:val="20"/>
        </w:rPr>
        <w:t xml:space="preserve">every corporation, company, copartnership, person, or association, their lessees, trustees, or receivers, defined in </w:t>
      </w:r>
      <w:r w:rsidR="00506999">
        <w:rPr>
          <w:rFonts w:eastAsia="Times New Roman" w:cs="Arial"/>
          <w:szCs w:val="20"/>
        </w:rPr>
        <w:t>Section</w:t>
      </w:r>
      <w:r w:rsidR="00506999" w:rsidRPr="00506999">
        <w:rPr>
          <w:rFonts w:eastAsia="Times New Roman" w:cs="Arial"/>
          <w:szCs w:val="20"/>
        </w:rPr>
        <w:t xml:space="preserve"> 4905.03 of the Revised Code, including all public utilities that operate</w:t>
      </w:r>
      <w:r w:rsidR="00506999">
        <w:rPr>
          <w:rFonts w:eastAsia="Times New Roman" w:cs="Arial"/>
          <w:szCs w:val="20"/>
        </w:rPr>
        <w:t xml:space="preserve"> their utilities not for profit,” but excludes “[e]</w:t>
      </w:r>
      <w:r w:rsidR="00506999" w:rsidRPr="00506999">
        <w:rPr>
          <w:rFonts w:eastAsia="Times New Roman" w:cs="Arial"/>
          <w:szCs w:val="20"/>
        </w:rPr>
        <w:t>lectric light companies that operate</w:t>
      </w:r>
      <w:r w:rsidR="009D375B">
        <w:rPr>
          <w:rFonts w:eastAsia="Times New Roman" w:cs="Arial"/>
          <w:szCs w:val="20"/>
        </w:rPr>
        <w:t xml:space="preserve"> their utilities not for profit</w:t>
      </w:r>
      <w:r w:rsidR="00506999">
        <w:rPr>
          <w:rFonts w:eastAsia="Times New Roman" w:cs="Arial"/>
          <w:szCs w:val="20"/>
        </w:rPr>
        <w:t>”</w:t>
      </w:r>
      <w:r w:rsidR="009D375B">
        <w:rPr>
          <w:rFonts w:eastAsia="Times New Roman" w:cs="Arial"/>
          <w:szCs w:val="20"/>
        </w:rPr>
        <w:t xml:space="preserve"> and “a public utility … that is owned and operated exclusively by and sole</w:t>
      </w:r>
      <w:r w:rsidR="00DC7FBE">
        <w:rPr>
          <w:rFonts w:eastAsia="Times New Roman" w:cs="Arial"/>
          <w:szCs w:val="20"/>
        </w:rPr>
        <w:t>l</w:t>
      </w:r>
      <w:r w:rsidR="009D375B">
        <w:rPr>
          <w:rFonts w:eastAsia="Times New Roman" w:cs="Arial"/>
          <w:szCs w:val="20"/>
        </w:rPr>
        <w:t>y for the utility’s customers.”</w:t>
      </w:r>
      <w:r w:rsidR="00506999">
        <w:rPr>
          <w:rFonts w:eastAsia="Times New Roman" w:cs="Arial"/>
          <w:szCs w:val="20"/>
        </w:rPr>
        <w:t xml:space="preserve">  R.C.</w:t>
      </w:r>
      <w:r w:rsidR="00506999" w:rsidRPr="00506999">
        <w:rPr>
          <w:rFonts w:eastAsia="Times New Roman" w:cs="Arial"/>
          <w:szCs w:val="20"/>
        </w:rPr>
        <w:t xml:space="preserve"> 4905.03 </w:t>
      </w:r>
      <w:r w:rsidR="00506999">
        <w:rPr>
          <w:rFonts w:eastAsia="Times New Roman" w:cs="Arial"/>
          <w:szCs w:val="20"/>
        </w:rPr>
        <w:t>provides</w:t>
      </w:r>
      <w:r w:rsidR="00506999" w:rsidRPr="00506999">
        <w:rPr>
          <w:rFonts w:eastAsia="Times New Roman" w:cs="Arial"/>
          <w:szCs w:val="20"/>
        </w:rPr>
        <w:t xml:space="preserve"> the functional or operating characteristics for various types of public utilities such as a</w:t>
      </w:r>
      <w:r w:rsidR="00832D19">
        <w:rPr>
          <w:rFonts w:eastAsia="Times New Roman" w:cs="Arial"/>
          <w:szCs w:val="20"/>
        </w:rPr>
        <w:t xml:space="preserve"> water-works</w:t>
      </w:r>
      <w:r w:rsidR="00506999" w:rsidRPr="00506999">
        <w:rPr>
          <w:rFonts w:eastAsia="Times New Roman" w:cs="Arial"/>
          <w:szCs w:val="20"/>
        </w:rPr>
        <w:t xml:space="preserve"> company</w:t>
      </w:r>
      <w:r w:rsidR="00832D19">
        <w:rPr>
          <w:rFonts w:eastAsia="Times New Roman" w:cs="Arial"/>
          <w:szCs w:val="20"/>
        </w:rPr>
        <w:t xml:space="preserve">, </w:t>
      </w:r>
      <w:r w:rsidR="00832D19">
        <w:rPr>
          <w:rFonts w:eastAsia="Times New Roman" w:cs="Arial"/>
          <w:szCs w:val="20"/>
        </w:rPr>
        <w:lastRenderedPageBreak/>
        <w:t>sewage disposal company,</w:t>
      </w:r>
      <w:r w:rsidR="00506999" w:rsidRPr="00506999">
        <w:rPr>
          <w:rFonts w:eastAsia="Times New Roman" w:cs="Arial"/>
          <w:szCs w:val="20"/>
        </w:rPr>
        <w:t xml:space="preserve"> or an electric light company.</w:t>
      </w:r>
      <w:r w:rsidR="00506999">
        <w:rPr>
          <w:rStyle w:val="FootnoteReference"/>
          <w:rFonts w:eastAsia="Times New Roman" w:cs="Arial"/>
          <w:szCs w:val="20"/>
        </w:rPr>
        <w:footnoteReference w:id="3"/>
      </w:r>
      <w:r w:rsidR="00506999" w:rsidRPr="00506999">
        <w:rPr>
          <w:rFonts w:eastAsia="Times New Roman" w:cs="Arial"/>
          <w:szCs w:val="20"/>
        </w:rPr>
        <w:t xml:space="preserve">  </w:t>
      </w:r>
      <w:r w:rsidR="00312F87" w:rsidRPr="00312F87">
        <w:rPr>
          <w:rFonts w:eastAsia="Times New Roman" w:cs="Arial"/>
          <w:szCs w:val="20"/>
        </w:rPr>
        <w:t xml:space="preserve">In all cases relevant here, the functional definition also specifies that public utility status is confined to persons engaged in the business of performing the function with regard to consumers in Ohio.  </w:t>
      </w:r>
      <w:r w:rsidR="00312F87" w:rsidRPr="00312F87">
        <w:rPr>
          <w:rFonts w:eastAsia="Times New Roman" w:cs="Arial"/>
          <w:i/>
          <w:szCs w:val="20"/>
        </w:rPr>
        <w:t>In the Matter of the Application of The Procter &amp; Gamble Company</w:t>
      </w:r>
      <w:r w:rsidR="00B31603">
        <w:rPr>
          <w:rFonts w:eastAsia="Times New Roman" w:cs="Arial"/>
          <w:i/>
          <w:szCs w:val="20"/>
        </w:rPr>
        <w:t xml:space="preserve"> for Relief From Compliance With the Obligations Imposed by Title 49 of the Ohio Revised Code</w:t>
      </w:r>
      <w:r w:rsidR="00312F87" w:rsidRPr="00312F87">
        <w:rPr>
          <w:rFonts w:eastAsia="Times New Roman" w:cs="Arial"/>
          <w:szCs w:val="20"/>
        </w:rPr>
        <w:t>, Case No. 03-725-HC-ARJ</w:t>
      </w:r>
      <w:r w:rsidR="00457C5E">
        <w:rPr>
          <w:rFonts w:eastAsia="Times New Roman" w:cs="Arial"/>
          <w:szCs w:val="20"/>
        </w:rPr>
        <w:t>, Entry at 2 (Apr.</w:t>
      </w:r>
      <w:r w:rsidR="00312F87" w:rsidRPr="00312F87">
        <w:rPr>
          <w:rFonts w:eastAsia="Times New Roman" w:cs="Arial"/>
          <w:szCs w:val="20"/>
        </w:rPr>
        <w:t xml:space="preserve"> 10, 2003).  Thus, the statutory definitions of a public utility subject to the Commission’s regulation and supervision look beyond the function being performed and consider the purpose and scope of the activity.  </w:t>
      </w:r>
    </w:p>
    <w:p w:rsidR="00506999" w:rsidRPr="000D2E91" w:rsidRDefault="00393EA2" w:rsidP="000D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rPr>
      </w:pPr>
      <w:r>
        <w:rPr>
          <w:rFonts w:eastAsia="Times New Roman" w:cs="Arial"/>
          <w:szCs w:val="20"/>
        </w:rPr>
        <w:t xml:space="preserve">The General Assembly has further provided that a person providing </w:t>
      </w:r>
      <w:r w:rsidR="00312F87">
        <w:rPr>
          <w:rFonts w:eastAsia="Times New Roman" w:cs="Arial"/>
          <w:szCs w:val="20"/>
        </w:rPr>
        <w:t>“</w:t>
      </w:r>
      <w:r>
        <w:rPr>
          <w:rFonts w:eastAsia="Times New Roman" w:cs="Arial"/>
          <w:szCs w:val="20"/>
        </w:rPr>
        <w:t>competitive retail electric services,</w:t>
      </w:r>
      <w:r w:rsidR="00312F87">
        <w:rPr>
          <w:rFonts w:eastAsia="Times New Roman" w:cs="Arial"/>
          <w:szCs w:val="20"/>
        </w:rPr>
        <w:t>”</w:t>
      </w:r>
      <w:r w:rsidR="00312F87">
        <w:rPr>
          <w:rStyle w:val="FootnoteReference"/>
          <w:rFonts w:eastAsia="Times New Roman" w:cs="Arial"/>
          <w:szCs w:val="20"/>
        </w:rPr>
        <w:footnoteReference w:id="4"/>
      </w:r>
      <w:r>
        <w:rPr>
          <w:rFonts w:eastAsia="Times New Roman" w:cs="Arial"/>
          <w:szCs w:val="20"/>
        </w:rPr>
        <w:t xml:space="preserve"> an “electric service company,” is</w:t>
      </w:r>
      <w:r w:rsidR="00127080">
        <w:rPr>
          <w:rFonts w:eastAsia="Times New Roman" w:cs="Arial"/>
          <w:szCs w:val="20"/>
        </w:rPr>
        <w:t xml:space="preserve"> deemed to be </w:t>
      </w:r>
      <w:r w:rsidR="006C3696">
        <w:rPr>
          <w:rFonts w:eastAsia="Times New Roman" w:cs="Arial"/>
          <w:szCs w:val="20"/>
        </w:rPr>
        <w:t xml:space="preserve">an </w:t>
      </w:r>
      <w:r w:rsidR="00127080">
        <w:rPr>
          <w:rFonts w:eastAsia="Times New Roman" w:cs="Arial"/>
          <w:szCs w:val="20"/>
        </w:rPr>
        <w:t>electric light</w:t>
      </w:r>
      <w:r w:rsidR="00A85B7C">
        <w:rPr>
          <w:rFonts w:eastAsia="Times New Roman" w:cs="Arial"/>
          <w:szCs w:val="20"/>
        </w:rPr>
        <w:t xml:space="preserve"> </w:t>
      </w:r>
      <w:r w:rsidR="006C3696">
        <w:rPr>
          <w:rFonts w:eastAsia="Times New Roman" w:cs="Arial"/>
          <w:szCs w:val="20"/>
        </w:rPr>
        <w:t>company.</w:t>
      </w:r>
      <w:r w:rsidR="00127080">
        <w:rPr>
          <w:rFonts w:eastAsia="Times New Roman" w:cs="Arial"/>
          <w:szCs w:val="20"/>
        </w:rPr>
        <w:t xml:space="preserve"> </w:t>
      </w:r>
      <w:r w:rsidR="006C3696">
        <w:rPr>
          <w:rFonts w:eastAsia="Times New Roman" w:cs="Arial"/>
          <w:szCs w:val="20"/>
        </w:rPr>
        <w:t xml:space="preserve"> </w:t>
      </w:r>
      <w:r w:rsidR="00506999">
        <w:rPr>
          <w:rFonts w:eastAsia="Times New Roman" w:cs="Arial"/>
          <w:szCs w:val="20"/>
        </w:rPr>
        <w:t>R.C. 4928.01(A)</w:t>
      </w:r>
      <w:r w:rsidR="00A21CCC">
        <w:rPr>
          <w:rFonts w:eastAsia="Times New Roman" w:cs="Arial"/>
          <w:szCs w:val="20"/>
        </w:rPr>
        <w:t xml:space="preserve">(9).  </w:t>
      </w:r>
      <w:r w:rsidR="00312F87">
        <w:rPr>
          <w:rFonts w:eastAsia="Times New Roman" w:cs="Arial"/>
          <w:szCs w:val="20"/>
        </w:rPr>
        <w:t>A</w:t>
      </w:r>
      <w:r w:rsidR="00A21CCC">
        <w:rPr>
          <w:rFonts w:eastAsia="Times New Roman" w:cs="Arial"/>
          <w:szCs w:val="20"/>
        </w:rPr>
        <w:t>n “electric supplier”</w:t>
      </w:r>
      <w:r w:rsidR="00312F87">
        <w:rPr>
          <w:rFonts w:eastAsia="Times New Roman" w:cs="Arial"/>
          <w:szCs w:val="20"/>
        </w:rPr>
        <w:t xml:space="preserve"> also</w:t>
      </w:r>
      <w:r w:rsidR="00A21CCC">
        <w:rPr>
          <w:rFonts w:eastAsia="Times New Roman" w:cs="Arial"/>
          <w:szCs w:val="20"/>
        </w:rPr>
        <w:t xml:space="preserve"> is defined as an electric light company</w:t>
      </w:r>
      <w:r w:rsidR="00312F87">
        <w:rPr>
          <w:rFonts w:eastAsia="Times New Roman" w:cs="Arial"/>
          <w:szCs w:val="20"/>
        </w:rPr>
        <w:t>, but</w:t>
      </w:r>
      <w:r w:rsidR="00B31603">
        <w:rPr>
          <w:rFonts w:eastAsia="Times New Roman" w:cs="Arial"/>
          <w:szCs w:val="20"/>
        </w:rPr>
        <w:t xml:space="preserve"> </w:t>
      </w:r>
      <w:r w:rsidR="00A21CCC">
        <w:rPr>
          <w:rFonts w:eastAsia="Times New Roman" w:cs="Arial"/>
          <w:szCs w:val="20"/>
        </w:rPr>
        <w:t xml:space="preserve">the Certified </w:t>
      </w:r>
      <w:r w:rsidR="00644569">
        <w:rPr>
          <w:rFonts w:eastAsia="Times New Roman" w:cs="Arial"/>
          <w:szCs w:val="20"/>
        </w:rPr>
        <w:t xml:space="preserve">Territory </w:t>
      </w:r>
      <w:r w:rsidR="00A21CCC">
        <w:rPr>
          <w:rFonts w:eastAsia="Times New Roman" w:cs="Arial"/>
          <w:szCs w:val="20"/>
        </w:rPr>
        <w:t>Act limits the application of</w:t>
      </w:r>
      <w:r w:rsidR="000D2E91">
        <w:rPr>
          <w:rFonts w:eastAsia="Times New Roman" w:cs="Arial"/>
          <w:szCs w:val="20"/>
        </w:rPr>
        <w:t xml:space="preserve"> the Act to “electric service,” </w:t>
      </w:r>
      <w:r w:rsidR="00A21CCC">
        <w:rPr>
          <w:rFonts w:eastAsia="Times New Roman" w:cs="Arial"/>
          <w:szCs w:val="20"/>
        </w:rPr>
        <w:t xml:space="preserve">which does not include the furnishing of competitive </w:t>
      </w:r>
      <w:r w:rsidR="00B31603">
        <w:rPr>
          <w:rFonts w:eastAsia="Times New Roman" w:cs="Arial"/>
          <w:szCs w:val="20"/>
        </w:rPr>
        <w:t xml:space="preserve">retail </w:t>
      </w:r>
      <w:r w:rsidR="00A21CCC">
        <w:rPr>
          <w:rFonts w:eastAsia="Times New Roman" w:cs="Arial"/>
          <w:szCs w:val="20"/>
        </w:rPr>
        <w:t>electric service.  R.C. 4933.81(A) &amp; (F).</w:t>
      </w:r>
    </w:p>
    <w:p w:rsidR="00A21CCC" w:rsidRPr="00A21CCC" w:rsidRDefault="00B37887" w:rsidP="001460BB">
      <w:pPr>
        <w:ind w:firstLine="691"/>
        <w:rPr>
          <w:rFonts w:eastAsia="Times New Roman" w:cs="Arial"/>
          <w:szCs w:val="20"/>
        </w:rPr>
      </w:pPr>
      <w:r>
        <w:rPr>
          <w:rFonts w:eastAsia="Times New Roman" w:cs="Arial"/>
          <w:szCs w:val="20"/>
        </w:rPr>
        <w:t xml:space="preserve">“The statutory definitions, however, are not self-applying.”  </w:t>
      </w:r>
      <w:r w:rsidRPr="000D2E91">
        <w:rPr>
          <w:rFonts w:eastAsia="Times New Roman" w:cs="Arial"/>
          <w:i/>
          <w:szCs w:val="20"/>
        </w:rPr>
        <w:t>Pledger v. Pub. Util. Comm’n of Ohio</w:t>
      </w:r>
      <w:r>
        <w:rPr>
          <w:rFonts w:eastAsia="Times New Roman" w:cs="Arial"/>
          <w:szCs w:val="20"/>
        </w:rPr>
        <w:t>, 109 Ohio St.3d 463, 465 (2006)</w:t>
      </w:r>
      <w:r w:rsidR="00E8112A">
        <w:rPr>
          <w:rFonts w:eastAsia="Times New Roman" w:cs="Arial"/>
          <w:szCs w:val="20"/>
        </w:rPr>
        <w:t xml:space="preserve"> (“</w:t>
      </w:r>
      <w:r w:rsidR="00E8112A" w:rsidRPr="00393EA2">
        <w:rPr>
          <w:rFonts w:eastAsia="Times New Roman" w:cs="Arial"/>
          <w:i/>
          <w:szCs w:val="20"/>
        </w:rPr>
        <w:t>Pledger</w:t>
      </w:r>
      <w:r w:rsidR="00E8112A">
        <w:rPr>
          <w:rFonts w:eastAsia="Times New Roman" w:cs="Arial"/>
          <w:szCs w:val="20"/>
        </w:rPr>
        <w:t>”)</w:t>
      </w:r>
      <w:r>
        <w:rPr>
          <w:rFonts w:eastAsia="Times New Roman" w:cs="Arial"/>
          <w:szCs w:val="20"/>
        </w:rPr>
        <w:t>.  For example</w:t>
      </w:r>
      <w:r w:rsidR="00A21CCC">
        <w:rPr>
          <w:rFonts w:eastAsia="Times New Roman" w:cs="Arial"/>
          <w:szCs w:val="20"/>
        </w:rPr>
        <w:t xml:space="preserve">, the </w:t>
      </w:r>
      <w:r w:rsidR="00A21CCC">
        <w:rPr>
          <w:rFonts w:eastAsia="Times New Roman" w:cs="Arial"/>
          <w:szCs w:val="20"/>
        </w:rPr>
        <w:lastRenderedPageBreak/>
        <w:t>Commission</w:t>
      </w:r>
      <w:r>
        <w:rPr>
          <w:rFonts w:eastAsia="Times New Roman" w:cs="Arial"/>
          <w:szCs w:val="20"/>
        </w:rPr>
        <w:t xml:space="preserve"> </w:t>
      </w:r>
      <w:r w:rsidR="00954332">
        <w:rPr>
          <w:rFonts w:eastAsia="Times New Roman" w:cs="Arial"/>
          <w:szCs w:val="20"/>
        </w:rPr>
        <w:t>applies</w:t>
      </w:r>
      <w:r>
        <w:rPr>
          <w:rFonts w:eastAsia="Times New Roman" w:cs="Arial"/>
          <w:szCs w:val="20"/>
        </w:rPr>
        <w:t xml:space="preserve"> </w:t>
      </w:r>
      <w:r w:rsidR="00A21CCC" w:rsidRPr="00A21CCC">
        <w:rPr>
          <w:rFonts w:eastAsia="Times New Roman" w:cs="Arial"/>
          <w:szCs w:val="20"/>
        </w:rPr>
        <w:t xml:space="preserve">a </w:t>
      </w:r>
      <w:r>
        <w:rPr>
          <w:rFonts w:eastAsia="Times New Roman" w:cs="Arial"/>
          <w:szCs w:val="20"/>
        </w:rPr>
        <w:t>three</w:t>
      </w:r>
      <w:r w:rsidR="00A21CCC" w:rsidRPr="00A21CCC">
        <w:rPr>
          <w:rFonts w:eastAsia="Times New Roman" w:cs="Arial"/>
          <w:szCs w:val="20"/>
        </w:rPr>
        <w:t>-part test</w:t>
      </w:r>
      <w:r w:rsidR="00A21CCC" w:rsidRPr="00A21CCC">
        <w:rPr>
          <w:rFonts w:eastAsia="Times New Roman" w:cs="Arial"/>
          <w:szCs w:val="20"/>
          <w:vertAlign w:val="superscript"/>
        </w:rPr>
        <w:footnoteReference w:id="5"/>
      </w:r>
      <w:r w:rsidR="00A21CCC" w:rsidRPr="00A21CCC">
        <w:rPr>
          <w:rFonts w:eastAsia="Times New Roman" w:cs="Arial"/>
          <w:szCs w:val="20"/>
        </w:rPr>
        <w:t xml:space="preserve"> </w:t>
      </w:r>
      <w:r w:rsidR="00954332">
        <w:rPr>
          <w:rFonts w:eastAsia="Times New Roman" w:cs="Arial"/>
          <w:szCs w:val="20"/>
        </w:rPr>
        <w:t xml:space="preserve">(that the </w:t>
      </w:r>
      <w:r w:rsidR="009571AD">
        <w:rPr>
          <w:rFonts w:eastAsia="Times New Roman" w:cs="Arial"/>
          <w:szCs w:val="20"/>
        </w:rPr>
        <w:t xml:space="preserve">Ohio </w:t>
      </w:r>
      <w:r w:rsidR="005E77C0">
        <w:rPr>
          <w:rFonts w:eastAsia="Times New Roman" w:cs="Arial"/>
          <w:szCs w:val="20"/>
        </w:rPr>
        <w:t xml:space="preserve">Supreme </w:t>
      </w:r>
      <w:r w:rsidR="00954332">
        <w:rPr>
          <w:rFonts w:eastAsia="Times New Roman" w:cs="Arial"/>
          <w:szCs w:val="20"/>
        </w:rPr>
        <w:t xml:space="preserve">Court </w:t>
      </w:r>
      <w:r w:rsidR="009571AD">
        <w:rPr>
          <w:rFonts w:eastAsia="Times New Roman" w:cs="Arial"/>
          <w:szCs w:val="20"/>
        </w:rPr>
        <w:t xml:space="preserve">(“Court”) </w:t>
      </w:r>
      <w:r w:rsidR="00954332">
        <w:rPr>
          <w:rFonts w:eastAsia="Times New Roman" w:cs="Arial"/>
          <w:szCs w:val="20"/>
        </w:rPr>
        <w:t xml:space="preserve">has affirmed in </w:t>
      </w:r>
      <w:r w:rsidR="00954332" w:rsidRPr="00B37887">
        <w:rPr>
          <w:rFonts w:eastAsia="Times New Roman" w:cs="Arial"/>
          <w:i/>
          <w:szCs w:val="20"/>
        </w:rPr>
        <w:t>Pledger</w:t>
      </w:r>
      <w:r w:rsidR="00954332">
        <w:rPr>
          <w:rFonts w:eastAsia="Times New Roman" w:cs="Arial"/>
          <w:szCs w:val="20"/>
        </w:rPr>
        <w:t xml:space="preserve">) </w:t>
      </w:r>
      <w:r w:rsidR="00A21CCC" w:rsidRPr="00A21CCC">
        <w:rPr>
          <w:rFonts w:eastAsia="Times New Roman" w:cs="Arial"/>
          <w:szCs w:val="20"/>
        </w:rPr>
        <w:t xml:space="preserve">to determine if a </w:t>
      </w:r>
      <w:r w:rsidR="000D2E91">
        <w:rPr>
          <w:rFonts w:eastAsia="Times New Roman" w:cs="Arial"/>
          <w:szCs w:val="20"/>
        </w:rPr>
        <w:t xml:space="preserve">landlord </w:t>
      </w:r>
      <w:r w:rsidR="00954332">
        <w:rPr>
          <w:rFonts w:eastAsia="Times New Roman" w:cs="Arial"/>
          <w:szCs w:val="20"/>
        </w:rPr>
        <w:t>providing</w:t>
      </w:r>
      <w:r w:rsidR="000D2E91">
        <w:rPr>
          <w:rFonts w:eastAsia="Times New Roman" w:cs="Arial"/>
          <w:szCs w:val="20"/>
        </w:rPr>
        <w:t xml:space="preserve"> </w:t>
      </w:r>
      <w:r w:rsidR="00026F2B">
        <w:rPr>
          <w:rFonts w:eastAsia="Times New Roman" w:cs="Arial"/>
          <w:szCs w:val="20"/>
        </w:rPr>
        <w:t xml:space="preserve">certain </w:t>
      </w:r>
      <w:r w:rsidR="000D2E91">
        <w:rPr>
          <w:rFonts w:eastAsia="Times New Roman" w:cs="Arial"/>
          <w:szCs w:val="20"/>
        </w:rPr>
        <w:t>services to a tenant</w:t>
      </w:r>
      <w:r w:rsidR="00A21CCC" w:rsidRPr="00A21CCC">
        <w:rPr>
          <w:rFonts w:eastAsia="Times New Roman" w:cs="Arial"/>
          <w:szCs w:val="20"/>
        </w:rPr>
        <w:t xml:space="preserve"> </w:t>
      </w:r>
      <w:r w:rsidR="00026F2B">
        <w:rPr>
          <w:rFonts w:eastAsia="Times New Roman" w:cs="Arial"/>
          <w:szCs w:val="20"/>
        </w:rPr>
        <w:t>fell within the definition of a public utility subject to the Commission’s regulation and supervision</w:t>
      </w:r>
      <w:r w:rsidR="000D2E91">
        <w:rPr>
          <w:rFonts w:eastAsia="Times New Roman" w:cs="Arial"/>
          <w:szCs w:val="20"/>
        </w:rPr>
        <w:t>.  The three-part test requires a determination of the following:</w:t>
      </w:r>
    </w:p>
    <w:p w:rsidR="00A21CCC" w:rsidRPr="00A21CCC" w:rsidRDefault="00A21CCC" w:rsidP="00A21CCC">
      <w:pPr>
        <w:tabs>
          <w:tab w:val="left" w:pos="1026"/>
        </w:tabs>
        <w:spacing w:line="240" w:lineRule="auto"/>
        <w:ind w:left="1037" w:right="806" w:hanging="346"/>
        <w:rPr>
          <w:rFonts w:eastAsia="Times New Roman" w:cs="Arial"/>
          <w:szCs w:val="20"/>
        </w:rPr>
      </w:pPr>
      <w:r w:rsidRPr="00A21CCC">
        <w:rPr>
          <w:rFonts w:eastAsia="Times New Roman" w:cs="Arial"/>
          <w:szCs w:val="20"/>
        </w:rPr>
        <w:t>1.</w:t>
      </w:r>
      <w:r w:rsidRPr="00A21CCC">
        <w:rPr>
          <w:rFonts w:eastAsia="Times New Roman" w:cs="Arial"/>
          <w:szCs w:val="14"/>
        </w:rPr>
        <w:t xml:space="preserve"> </w:t>
      </w:r>
      <w:r w:rsidRPr="00A21CCC">
        <w:rPr>
          <w:rFonts w:eastAsia="Times New Roman" w:cs="Arial"/>
          <w:szCs w:val="14"/>
        </w:rPr>
        <w:tab/>
      </w:r>
      <w:r w:rsidRPr="00A21CCC">
        <w:rPr>
          <w:rFonts w:eastAsia="Times New Roman" w:cs="Arial"/>
          <w:szCs w:val="20"/>
        </w:rPr>
        <w:t>Does the landlord intend to be a public utility by availing himself of the special benefits available to public utilities such as accepting a public franchise grant, the use of a public right of way, or the right to use eminent domain in the construction or operation of its service?</w:t>
      </w:r>
    </w:p>
    <w:p w:rsidR="00A21CCC" w:rsidRPr="00A21CCC" w:rsidRDefault="00A21CCC" w:rsidP="00A21CCC">
      <w:pPr>
        <w:tabs>
          <w:tab w:val="left" w:pos="1026"/>
        </w:tabs>
        <w:spacing w:line="240" w:lineRule="auto"/>
        <w:ind w:right="810"/>
        <w:rPr>
          <w:rFonts w:eastAsia="Times New Roman" w:cs="Arial"/>
          <w:szCs w:val="20"/>
        </w:rPr>
      </w:pPr>
    </w:p>
    <w:p w:rsidR="00A21CCC" w:rsidRPr="00A21CCC" w:rsidRDefault="00A21CCC" w:rsidP="00A21CCC">
      <w:pPr>
        <w:tabs>
          <w:tab w:val="left" w:pos="1026"/>
        </w:tabs>
        <w:spacing w:line="240" w:lineRule="auto"/>
        <w:ind w:left="1026" w:right="810" w:hanging="342"/>
        <w:rPr>
          <w:rFonts w:eastAsia="Times New Roman" w:cs="Arial"/>
          <w:szCs w:val="20"/>
        </w:rPr>
      </w:pPr>
      <w:r w:rsidRPr="00A21CCC">
        <w:rPr>
          <w:rFonts w:eastAsia="Times New Roman" w:cs="Arial"/>
          <w:szCs w:val="20"/>
        </w:rPr>
        <w:t>2.</w:t>
      </w:r>
      <w:r w:rsidRPr="00A21CCC">
        <w:rPr>
          <w:rFonts w:eastAsia="Times New Roman" w:cs="Arial"/>
          <w:szCs w:val="14"/>
        </w:rPr>
        <w:t xml:space="preserve"> </w:t>
      </w:r>
      <w:r w:rsidRPr="00A21CCC">
        <w:rPr>
          <w:rFonts w:eastAsia="Times New Roman" w:cs="Arial"/>
          <w:szCs w:val="14"/>
        </w:rPr>
        <w:tab/>
      </w:r>
      <w:r w:rsidRPr="00A21CCC">
        <w:rPr>
          <w:rFonts w:eastAsia="Times New Roman" w:cs="Arial"/>
          <w:szCs w:val="20"/>
        </w:rPr>
        <w:t>Does the landlord only provide the utility service to his tenants rather than the general public?</w:t>
      </w:r>
    </w:p>
    <w:p w:rsidR="00A21CCC" w:rsidRPr="00A21CCC" w:rsidRDefault="00A21CCC" w:rsidP="00A21CCC">
      <w:pPr>
        <w:tabs>
          <w:tab w:val="left" w:pos="1026"/>
        </w:tabs>
        <w:spacing w:line="240" w:lineRule="auto"/>
        <w:ind w:right="810"/>
        <w:rPr>
          <w:rFonts w:eastAsia="Times New Roman" w:cs="Arial"/>
          <w:szCs w:val="20"/>
        </w:rPr>
      </w:pPr>
    </w:p>
    <w:p w:rsidR="00A21CCC" w:rsidRDefault="00A21CCC" w:rsidP="00A21CCC">
      <w:pPr>
        <w:tabs>
          <w:tab w:val="left" w:pos="1026"/>
        </w:tabs>
        <w:spacing w:line="240" w:lineRule="auto"/>
        <w:ind w:left="1026" w:right="810" w:hanging="342"/>
        <w:rPr>
          <w:rFonts w:eastAsia="Times New Roman" w:cs="Arial"/>
          <w:szCs w:val="20"/>
        </w:rPr>
      </w:pPr>
      <w:r w:rsidRPr="00A21CCC">
        <w:rPr>
          <w:rFonts w:eastAsia="Times New Roman" w:cs="Arial"/>
          <w:szCs w:val="20"/>
        </w:rPr>
        <w:t>3.</w:t>
      </w:r>
      <w:r w:rsidRPr="00A21CCC">
        <w:rPr>
          <w:rFonts w:eastAsia="Times New Roman" w:cs="Arial"/>
          <w:szCs w:val="14"/>
        </w:rPr>
        <w:tab/>
      </w:r>
      <w:r w:rsidRPr="00A21CCC">
        <w:rPr>
          <w:rFonts w:eastAsia="Times New Roman" w:cs="Arial"/>
          <w:szCs w:val="20"/>
        </w:rPr>
        <w:t>Is the provision of the utility service clearly ancillary to the landlord</w:t>
      </w:r>
      <w:r>
        <w:rPr>
          <w:rFonts w:eastAsia="Times New Roman" w:cs="Arial"/>
          <w:szCs w:val="20"/>
        </w:rPr>
        <w:t>’</w:t>
      </w:r>
      <w:r w:rsidRPr="00A21CCC">
        <w:rPr>
          <w:rFonts w:eastAsia="Times New Roman" w:cs="Arial"/>
          <w:szCs w:val="20"/>
        </w:rPr>
        <w:t>s primary business?</w:t>
      </w:r>
    </w:p>
    <w:p w:rsidR="00B37887" w:rsidRPr="00A21CCC" w:rsidRDefault="00B37887" w:rsidP="00A21CCC">
      <w:pPr>
        <w:tabs>
          <w:tab w:val="left" w:pos="1026"/>
        </w:tabs>
        <w:spacing w:line="240" w:lineRule="auto"/>
        <w:ind w:left="1026" w:right="810" w:hanging="342"/>
        <w:rPr>
          <w:rFonts w:eastAsia="Times New Roman" w:cs="Arial"/>
          <w:szCs w:val="20"/>
        </w:rPr>
      </w:pPr>
    </w:p>
    <w:p w:rsidR="00A21CCC" w:rsidRPr="00A21CCC" w:rsidRDefault="00A21CCC" w:rsidP="001460BB">
      <w:pPr>
        <w:rPr>
          <w:rFonts w:eastAsia="Times New Roman" w:cs="Arial"/>
          <w:szCs w:val="20"/>
        </w:rPr>
      </w:pPr>
      <w:r w:rsidRPr="00A21CCC">
        <w:rPr>
          <w:rFonts w:eastAsia="Times New Roman" w:cs="Arial"/>
          <w:i/>
          <w:iCs/>
          <w:szCs w:val="20"/>
        </w:rPr>
        <w:t>Inscho</w:t>
      </w:r>
      <w:r w:rsidR="00E8112A">
        <w:rPr>
          <w:rFonts w:eastAsia="Times New Roman" w:cs="Arial"/>
          <w:i/>
          <w:iCs/>
          <w:szCs w:val="20"/>
        </w:rPr>
        <w:t>,</w:t>
      </w:r>
      <w:r w:rsidRPr="00A21CCC">
        <w:rPr>
          <w:rFonts w:eastAsia="Times New Roman" w:cs="Arial"/>
          <w:i/>
          <w:iCs/>
          <w:szCs w:val="20"/>
        </w:rPr>
        <w:t xml:space="preserve"> et al. v. Shroyer's Mobile Homes</w:t>
      </w:r>
      <w:r w:rsidRPr="00A21CCC">
        <w:rPr>
          <w:rFonts w:eastAsia="Times New Roman" w:cs="Arial"/>
          <w:szCs w:val="20"/>
        </w:rPr>
        <w:t xml:space="preserve">, PUCO Case No. 90-182-WS-CSS </w:t>
      </w:r>
      <w:r w:rsidRPr="00A21CCC">
        <w:rPr>
          <w:rFonts w:eastAsia="Times New Roman" w:cs="Arial"/>
          <w:szCs w:val="20"/>
        </w:rPr>
        <w:br/>
        <w:t>(February 27, 1992)</w:t>
      </w:r>
      <w:r w:rsidR="00E8112A">
        <w:rPr>
          <w:rFonts w:eastAsia="Times New Roman" w:cs="Arial"/>
          <w:szCs w:val="20"/>
        </w:rPr>
        <w:t xml:space="preserve"> (“</w:t>
      </w:r>
      <w:r w:rsidR="00E8112A" w:rsidRPr="00393EA2">
        <w:rPr>
          <w:rFonts w:eastAsia="Times New Roman" w:cs="Arial"/>
          <w:i/>
          <w:szCs w:val="20"/>
        </w:rPr>
        <w:t>Shroyer</w:t>
      </w:r>
      <w:r w:rsidR="00E8112A">
        <w:rPr>
          <w:rFonts w:eastAsia="Times New Roman" w:cs="Arial"/>
          <w:szCs w:val="20"/>
        </w:rPr>
        <w:t>”)</w:t>
      </w:r>
      <w:r w:rsidRPr="00A21CCC">
        <w:rPr>
          <w:rFonts w:eastAsia="Times New Roman" w:cs="Arial"/>
          <w:szCs w:val="20"/>
        </w:rPr>
        <w:t xml:space="preserve">; </w:t>
      </w:r>
      <w:r w:rsidRPr="00A21CCC">
        <w:rPr>
          <w:rFonts w:eastAsia="Times New Roman" w:cs="Arial"/>
          <w:i/>
          <w:iCs/>
          <w:szCs w:val="20"/>
        </w:rPr>
        <w:t>Brooks</w:t>
      </w:r>
      <w:r w:rsidR="009571AD">
        <w:rPr>
          <w:rFonts w:eastAsia="Times New Roman" w:cs="Arial"/>
          <w:i/>
          <w:iCs/>
          <w:szCs w:val="20"/>
        </w:rPr>
        <w:t>,</w:t>
      </w:r>
      <w:r w:rsidRPr="00A21CCC">
        <w:rPr>
          <w:rFonts w:eastAsia="Times New Roman" w:cs="Arial"/>
          <w:i/>
          <w:iCs/>
          <w:szCs w:val="20"/>
        </w:rPr>
        <w:t xml:space="preserve"> et al. v. Toledo Edison Co.</w:t>
      </w:r>
      <w:r w:rsidRPr="00A21CCC">
        <w:rPr>
          <w:rFonts w:eastAsia="Times New Roman" w:cs="Arial"/>
          <w:szCs w:val="20"/>
        </w:rPr>
        <w:t>,</w:t>
      </w:r>
      <w:r w:rsidRPr="00A21CCC">
        <w:rPr>
          <w:rFonts w:eastAsia="Times New Roman" w:cs="Arial"/>
          <w:i/>
          <w:iCs/>
          <w:szCs w:val="20"/>
        </w:rPr>
        <w:t xml:space="preserve"> </w:t>
      </w:r>
      <w:r w:rsidR="00E2468E">
        <w:rPr>
          <w:rFonts w:eastAsia="Times New Roman" w:cs="Arial"/>
          <w:szCs w:val="20"/>
        </w:rPr>
        <w:t xml:space="preserve">1996 Ohio PUC Lexis 292 </w:t>
      </w:r>
      <w:r w:rsidRPr="00A21CCC">
        <w:rPr>
          <w:rFonts w:eastAsia="Times New Roman" w:cs="Arial"/>
          <w:szCs w:val="20"/>
        </w:rPr>
        <w:t>(May 8, 1996)</w:t>
      </w:r>
      <w:r w:rsidR="000D2E91">
        <w:rPr>
          <w:rFonts w:eastAsia="Times New Roman" w:cs="Arial"/>
          <w:szCs w:val="20"/>
        </w:rPr>
        <w:t xml:space="preserve"> (“</w:t>
      </w:r>
      <w:r w:rsidR="000D2E91" w:rsidRPr="000D2E91">
        <w:rPr>
          <w:rFonts w:eastAsia="Times New Roman" w:cs="Arial"/>
          <w:i/>
          <w:szCs w:val="20"/>
        </w:rPr>
        <w:t>Brooks</w:t>
      </w:r>
      <w:r w:rsidR="000D2E91">
        <w:rPr>
          <w:rFonts w:eastAsia="Times New Roman" w:cs="Arial"/>
          <w:szCs w:val="20"/>
        </w:rPr>
        <w:t>”)</w:t>
      </w:r>
      <w:r w:rsidRPr="00A21CCC">
        <w:rPr>
          <w:rFonts w:eastAsia="Times New Roman" w:cs="Arial"/>
          <w:szCs w:val="20"/>
        </w:rPr>
        <w:t>.</w:t>
      </w:r>
    </w:p>
    <w:p w:rsidR="00A21CCC" w:rsidRPr="00CE47D2" w:rsidRDefault="00A21CCC" w:rsidP="00CE47D2">
      <w:pPr>
        <w:ind w:firstLine="720"/>
        <w:rPr>
          <w:rFonts w:cs="Arial"/>
        </w:rPr>
      </w:pPr>
      <w:r w:rsidRPr="00A21CCC">
        <w:rPr>
          <w:rFonts w:eastAsia="Times New Roman" w:cs="Arial"/>
          <w:szCs w:val="20"/>
        </w:rPr>
        <w:t xml:space="preserve">In </w:t>
      </w:r>
      <w:r w:rsidRPr="00A21CCC">
        <w:rPr>
          <w:rFonts w:eastAsia="Times New Roman" w:cs="Arial"/>
          <w:i/>
          <w:iCs/>
          <w:szCs w:val="20"/>
        </w:rPr>
        <w:t>Brooks</w:t>
      </w:r>
      <w:r w:rsidRPr="00A21CCC">
        <w:rPr>
          <w:rFonts w:eastAsia="Times New Roman" w:cs="Arial"/>
          <w:szCs w:val="20"/>
        </w:rPr>
        <w:t>,</w:t>
      </w:r>
      <w:r w:rsidR="00D57311">
        <w:rPr>
          <w:rFonts w:eastAsia="Times New Roman" w:cs="Arial"/>
          <w:szCs w:val="20"/>
        </w:rPr>
        <w:t xml:space="preserve"> tenant</w:t>
      </w:r>
      <w:r w:rsidR="00612E04">
        <w:rPr>
          <w:rFonts w:eastAsia="Times New Roman" w:cs="Arial"/>
          <w:szCs w:val="20"/>
        </w:rPr>
        <w:t>s</w:t>
      </w:r>
      <w:r w:rsidR="00D57311">
        <w:rPr>
          <w:rFonts w:eastAsia="Times New Roman" w:cs="Arial"/>
          <w:szCs w:val="20"/>
        </w:rPr>
        <w:t xml:space="preserve"> in a landlord-tenant dispute complained that the landlord’s resale of electric service to the tenants was unlawful and caused the landlord to operate as an unregulated public utility.  </w:t>
      </w:r>
      <w:r w:rsidR="00612E04">
        <w:rPr>
          <w:rFonts w:eastAsia="Times New Roman" w:cs="Arial"/>
          <w:szCs w:val="20"/>
        </w:rPr>
        <w:t>The tenants also sued Toledo Edison because it failed to enforce its tariff that contained a restriction on resale of electric service.  The Commission dismissed the complaint</w:t>
      </w:r>
      <w:r w:rsidR="00D57311">
        <w:rPr>
          <w:rFonts w:eastAsia="Times New Roman" w:cs="Arial"/>
          <w:szCs w:val="20"/>
        </w:rPr>
        <w:t xml:space="preserve">, </w:t>
      </w:r>
      <w:r w:rsidR="00612E04">
        <w:rPr>
          <w:rFonts w:eastAsia="Times New Roman" w:cs="Arial"/>
          <w:szCs w:val="20"/>
        </w:rPr>
        <w:t>holding</w:t>
      </w:r>
      <w:r w:rsidRPr="00A21CCC">
        <w:rPr>
          <w:rFonts w:eastAsia="Times New Roman" w:cs="Arial"/>
          <w:szCs w:val="20"/>
        </w:rPr>
        <w:t xml:space="preserve"> that the utility company had no valid right or interest in restricting redistribution and resale by a landlord </w:t>
      </w:r>
      <w:r w:rsidR="000D2E91">
        <w:rPr>
          <w:rFonts w:eastAsia="Times New Roman" w:cs="Arial"/>
          <w:szCs w:val="20"/>
        </w:rPr>
        <w:t>if</w:t>
      </w:r>
      <w:r w:rsidRPr="00A21CCC">
        <w:rPr>
          <w:rFonts w:eastAsia="Times New Roman" w:cs="Arial"/>
          <w:szCs w:val="20"/>
        </w:rPr>
        <w:t xml:space="preserve"> the land</w:t>
      </w:r>
      <w:r>
        <w:rPr>
          <w:rFonts w:eastAsia="Times New Roman" w:cs="Arial"/>
          <w:szCs w:val="20"/>
        </w:rPr>
        <w:t xml:space="preserve">lord was not acting as a public </w:t>
      </w:r>
      <w:r w:rsidRPr="00A21CCC">
        <w:rPr>
          <w:rFonts w:eastAsia="Times New Roman" w:cs="Arial"/>
          <w:szCs w:val="20"/>
        </w:rPr>
        <w:t>utility and the landlord owned the property on which the redistribution took place.</w:t>
      </w:r>
      <w:r w:rsidR="001349B9">
        <w:rPr>
          <w:rFonts w:eastAsia="Times New Roman" w:cs="Arial"/>
          <w:szCs w:val="20"/>
        </w:rPr>
        <w:t xml:space="preserve">  </w:t>
      </w:r>
      <w:r w:rsidR="001349B9" w:rsidRPr="00D57311">
        <w:rPr>
          <w:rFonts w:eastAsia="Times New Roman" w:cs="Arial"/>
          <w:i/>
          <w:szCs w:val="20"/>
        </w:rPr>
        <w:t>Brooks</w:t>
      </w:r>
      <w:r w:rsidR="001349B9">
        <w:rPr>
          <w:rFonts w:eastAsia="Times New Roman" w:cs="Arial"/>
          <w:szCs w:val="20"/>
        </w:rPr>
        <w:t xml:space="preserve"> at * 32.</w:t>
      </w:r>
      <w:r w:rsidRPr="00A21CCC">
        <w:rPr>
          <w:rFonts w:eastAsia="Times New Roman" w:cs="Arial"/>
          <w:szCs w:val="20"/>
        </w:rPr>
        <w:t xml:space="preserve">  </w:t>
      </w:r>
      <w:r w:rsidR="000D2E91">
        <w:rPr>
          <w:rFonts w:cs="Arial"/>
        </w:rPr>
        <w:t xml:space="preserve">Further, </w:t>
      </w:r>
      <w:r w:rsidR="00D57311">
        <w:rPr>
          <w:rFonts w:cs="Arial"/>
        </w:rPr>
        <w:t xml:space="preserve">the Commission </w:t>
      </w:r>
      <w:r w:rsidR="00D57311">
        <w:rPr>
          <w:rFonts w:eastAsia="Times New Roman" w:cs="Arial"/>
          <w:szCs w:val="20"/>
        </w:rPr>
        <w:t>characterized</w:t>
      </w:r>
      <w:r w:rsidRPr="00A21CCC">
        <w:rPr>
          <w:rFonts w:eastAsia="Times New Roman" w:cs="Arial"/>
          <w:szCs w:val="20"/>
        </w:rPr>
        <w:t xml:space="preserve"> any redistribution restriction in the </w:t>
      </w:r>
      <w:r w:rsidR="00D57311">
        <w:rPr>
          <w:rFonts w:eastAsia="Times New Roman" w:cs="Arial"/>
          <w:szCs w:val="20"/>
        </w:rPr>
        <w:t>Toledo Edison’s</w:t>
      </w:r>
      <w:r w:rsidRPr="00A21CCC">
        <w:rPr>
          <w:rFonts w:eastAsia="Times New Roman" w:cs="Arial"/>
          <w:szCs w:val="20"/>
        </w:rPr>
        <w:t xml:space="preserve"> tariff as void </w:t>
      </w:r>
      <w:r w:rsidR="00D57311">
        <w:rPr>
          <w:rFonts w:eastAsia="Times New Roman" w:cs="Arial"/>
          <w:szCs w:val="20"/>
        </w:rPr>
        <w:t xml:space="preserve">because the company had no valid right </w:t>
      </w:r>
      <w:r w:rsidR="00D57311">
        <w:rPr>
          <w:rFonts w:eastAsia="Times New Roman" w:cs="Arial"/>
          <w:szCs w:val="20"/>
        </w:rPr>
        <w:lastRenderedPageBreak/>
        <w:t>or interest in attempting to prohibit or economically regulate resale or redistribution</w:t>
      </w:r>
      <w:r w:rsidRPr="00A21CCC">
        <w:rPr>
          <w:rFonts w:eastAsia="Times New Roman" w:cs="Arial"/>
          <w:szCs w:val="20"/>
        </w:rPr>
        <w:t>.</w:t>
      </w:r>
      <w:r w:rsidR="00E2468E">
        <w:rPr>
          <w:rFonts w:eastAsia="Times New Roman" w:cs="Arial"/>
          <w:szCs w:val="20"/>
        </w:rPr>
        <w:t xml:space="preserve">  </w:t>
      </w:r>
      <w:r w:rsidR="00E2468E" w:rsidRPr="00E2468E">
        <w:rPr>
          <w:rFonts w:eastAsia="Times New Roman" w:cs="Arial"/>
          <w:i/>
          <w:szCs w:val="20"/>
        </w:rPr>
        <w:t>Brooks</w:t>
      </w:r>
      <w:r w:rsidR="00E2468E">
        <w:rPr>
          <w:rFonts w:eastAsia="Times New Roman" w:cs="Arial"/>
          <w:szCs w:val="20"/>
        </w:rPr>
        <w:t xml:space="preserve"> at *41.</w:t>
      </w:r>
      <w:r w:rsidR="00026F2B">
        <w:rPr>
          <w:rStyle w:val="FootnoteReference"/>
          <w:rFonts w:eastAsia="Times New Roman" w:cs="Arial"/>
          <w:szCs w:val="20"/>
        </w:rPr>
        <w:footnoteReference w:id="6"/>
      </w:r>
    </w:p>
    <w:p w:rsidR="00BD022B" w:rsidRDefault="009F0B2C" w:rsidP="00C94290">
      <w:pPr>
        <w:ind w:firstLine="720"/>
        <w:rPr>
          <w:rFonts w:eastAsia="Times New Roman" w:cs="Arial"/>
          <w:szCs w:val="20"/>
        </w:rPr>
      </w:pPr>
      <w:r>
        <w:rPr>
          <w:rFonts w:eastAsia="Times New Roman" w:cs="Arial"/>
          <w:szCs w:val="20"/>
        </w:rPr>
        <w:t xml:space="preserve">The Commission’s three-part test in landlord-tenant cases follows from the Court’s admonition that the determination whether a person is a “public utility” is a mixed question of law and fact.  </w:t>
      </w:r>
      <w:r w:rsidRPr="009F0B2C">
        <w:rPr>
          <w:rFonts w:eastAsia="Times New Roman" w:cs="Arial"/>
          <w:i/>
          <w:iCs/>
          <w:szCs w:val="20"/>
        </w:rPr>
        <w:t>A &amp; B Refuse Disposers, Inc. v. Board of Ravenna Twp. Trustees</w:t>
      </w:r>
      <w:r w:rsidRPr="009F0B2C">
        <w:rPr>
          <w:rFonts w:eastAsia="Times New Roman" w:cs="Arial"/>
          <w:szCs w:val="20"/>
        </w:rPr>
        <w:t>, 64 Ohio St.3d 385</w:t>
      </w:r>
      <w:r>
        <w:rPr>
          <w:rFonts w:eastAsia="Times New Roman" w:cs="Arial"/>
          <w:szCs w:val="20"/>
        </w:rPr>
        <w:t>, 387</w:t>
      </w:r>
      <w:r w:rsidRPr="009F0B2C">
        <w:rPr>
          <w:rFonts w:eastAsia="Times New Roman" w:cs="Arial"/>
          <w:szCs w:val="20"/>
        </w:rPr>
        <w:t xml:space="preserve"> (1992).</w:t>
      </w:r>
      <w:r>
        <w:rPr>
          <w:rFonts w:eastAsia="Times New Roman" w:cs="Arial"/>
          <w:szCs w:val="20"/>
        </w:rPr>
        <w:t xml:space="preserve">  </w:t>
      </w:r>
      <w:r w:rsidR="00C94290">
        <w:rPr>
          <w:rFonts w:eastAsia="Times New Roman" w:cs="Arial"/>
          <w:szCs w:val="20"/>
        </w:rPr>
        <w:t>“</w:t>
      </w:r>
      <w:r w:rsidR="00C94290" w:rsidRPr="00C94290">
        <w:rPr>
          <w:rFonts w:eastAsia="Times New Roman" w:cs="Arial"/>
          <w:szCs w:val="20"/>
        </w:rPr>
        <w:t>The main and frequently most important attribute of a public utility is a devotion of an essential good or service to the general public which has a legal right to demand or receive this good or service.</w:t>
      </w:r>
      <w:r w:rsidR="00C94290">
        <w:rPr>
          <w:rFonts w:eastAsia="Times New Roman" w:cs="Arial"/>
          <w:szCs w:val="20"/>
        </w:rPr>
        <w:t xml:space="preserve">”  </w:t>
      </w:r>
      <w:r w:rsidR="00C94290" w:rsidRPr="004F521E">
        <w:rPr>
          <w:rFonts w:eastAsia="Times New Roman" w:cs="Arial"/>
          <w:i/>
          <w:szCs w:val="20"/>
        </w:rPr>
        <w:t>Id</w:t>
      </w:r>
      <w:r w:rsidR="00C94290">
        <w:rPr>
          <w:rFonts w:eastAsia="Times New Roman" w:cs="Arial"/>
          <w:szCs w:val="20"/>
        </w:rPr>
        <w:t xml:space="preserve">. </w:t>
      </w:r>
      <w:r w:rsidR="00C94290" w:rsidRPr="00C94290">
        <w:rPr>
          <w:rFonts w:eastAsia="Times New Roman" w:cs="Arial"/>
          <w:szCs w:val="20"/>
        </w:rPr>
        <w:t xml:space="preserve"> </w:t>
      </w:r>
      <w:r w:rsidR="00C94290">
        <w:rPr>
          <w:rFonts w:eastAsia="Times New Roman" w:cs="Arial"/>
          <w:i/>
          <w:iCs/>
          <w:szCs w:val="20"/>
        </w:rPr>
        <w:t>S</w:t>
      </w:r>
      <w:r w:rsidR="00C94290" w:rsidRPr="00BD022B">
        <w:rPr>
          <w:rFonts w:eastAsia="Times New Roman" w:cs="Arial"/>
          <w:i/>
          <w:iCs/>
          <w:szCs w:val="20"/>
        </w:rPr>
        <w:t>ee</w:t>
      </w:r>
      <w:r w:rsidR="00C94290">
        <w:rPr>
          <w:rFonts w:eastAsia="Times New Roman" w:cs="Arial"/>
          <w:i/>
          <w:iCs/>
          <w:szCs w:val="20"/>
        </w:rPr>
        <w:t>,</w:t>
      </w:r>
      <w:r w:rsidR="00C94290" w:rsidRPr="00BD022B">
        <w:rPr>
          <w:rFonts w:eastAsia="Times New Roman" w:cs="Arial"/>
          <w:i/>
          <w:iCs/>
          <w:szCs w:val="20"/>
        </w:rPr>
        <w:t xml:space="preserve"> also</w:t>
      </w:r>
      <w:r w:rsidR="00C94290">
        <w:rPr>
          <w:rFonts w:eastAsia="Times New Roman" w:cs="Arial"/>
          <w:i/>
          <w:iCs/>
          <w:szCs w:val="20"/>
        </w:rPr>
        <w:t>,</w:t>
      </w:r>
      <w:r w:rsidR="00C94290" w:rsidRPr="00BD022B">
        <w:rPr>
          <w:rFonts w:eastAsia="Times New Roman" w:cs="Arial"/>
          <w:i/>
          <w:iCs/>
          <w:szCs w:val="20"/>
        </w:rPr>
        <w:t xml:space="preserve"> </w:t>
      </w:r>
      <w:r w:rsidR="00C94290" w:rsidRPr="00BD022B">
        <w:rPr>
          <w:rFonts w:eastAsia="Times New Roman" w:cs="Arial"/>
          <w:i/>
          <w:szCs w:val="20"/>
        </w:rPr>
        <w:t>Southern Ohio Power Co. v. Public Util. Comm.</w:t>
      </w:r>
      <w:r w:rsidR="00C94290">
        <w:rPr>
          <w:rFonts w:eastAsia="Times New Roman" w:cs="Arial"/>
          <w:i/>
          <w:szCs w:val="20"/>
        </w:rPr>
        <w:t xml:space="preserve"> of Ohio</w:t>
      </w:r>
      <w:r w:rsidR="00C94290" w:rsidRPr="00BD022B">
        <w:rPr>
          <w:rFonts w:eastAsia="Times New Roman" w:cs="Arial"/>
          <w:szCs w:val="20"/>
        </w:rPr>
        <w:t>, 110 Ohio St. 246, 252</w:t>
      </w:r>
      <w:r w:rsidR="00C94290">
        <w:rPr>
          <w:rFonts w:eastAsia="Times New Roman" w:cs="Arial"/>
          <w:szCs w:val="20"/>
        </w:rPr>
        <w:t xml:space="preserve"> (1924)</w:t>
      </w:r>
      <w:r w:rsidR="00C94290" w:rsidRPr="00BD022B">
        <w:rPr>
          <w:rFonts w:eastAsia="Times New Roman" w:cs="Arial"/>
          <w:szCs w:val="20"/>
        </w:rPr>
        <w:t xml:space="preserve">.  This factor requires that the business, in order to qualify as a public utility, must "provide its good or service to the public indiscriminately and reasonably."  </w:t>
      </w:r>
      <w:r w:rsidR="00C94290" w:rsidRPr="00BD022B">
        <w:rPr>
          <w:rFonts w:eastAsia="Times New Roman" w:cs="Arial"/>
          <w:i/>
          <w:iCs/>
          <w:szCs w:val="20"/>
        </w:rPr>
        <w:t>A &amp; B Refuse Disposers</w:t>
      </w:r>
      <w:r w:rsidR="00C94290" w:rsidRPr="00C8387C">
        <w:rPr>
          <w:rFonts w:eastAsia="Times New Roman" w:cs="Arial"/>
          <w:i/>
          <w:szCs w:val="20"/>
        </w:rPr>
        <w:t>, Inc</w:t>
      </w:r>
      <w:r w:rsidR="00C94290">
        <w:rPr>
          <w:rFonts w:eastAsia="Times New Roman" w:cs="Arial"/>
          <w:szCs w:val="20"/>
        </w:rPr>
        <w:t>.,</w:t>
      </w:r>
      <w:r w:rsidR="00C94290" w:rsidRPr="00BD022B">
        <w:rPr>
          <w:rFonts w:eastAsia="Times New Roman" w:cs="Arial"/>
          <w:szCs w:val="20"/>
        </w:rPr>
        <w:t xml:space="preserve"> 62 Ohio St.3d at 387.</w:t>
      </w:r>
      <w:r w:rsidR="00C94290">
        <w:rPr>
          <w:rFonts w:eastAsia="Times New Roman" w:cs="Arial"/>
          <w:szCs w:val="20"/>
        </w:rPr>
        <w:t xml:space="preserve">  “</w:t>
      </w:r>
      <w:r w:rsidR="00C94290" w:rsidRPr="00C94290">
        <w:rPr>
          <w:rFonts w:eastAsia="Times New Roman" w:cs="Arial"/>
          <w:szCs w:val="20"/>
        </w:rPr>
        <w:t>The second characteristic of a public utility most often addressed by courts is whether the entity, public or private, conducts its operations in such a manner as to be a matter of public concern.</w:t>
      </w:r>
      <w:r w:rsidR="00C94290">
        <w:rPr>
          <w:rFonts w:eastAsia="Times New Roman" w:cs="Arial"/>
          <w:szCs w:val="20"/>
        </w:rPr>
        <w:t xml:space="preserve">”  </w:t>
      </w:r>
      <w:r w:rsidR="00C94290" w:rsidRPr="004F521E">
        <w:rPr>
          <w:rFonts w:eastAsia="Times New Roman" w:cs="Arial"/>
          <w:i/>
          <w:szCs w:val="20"/>
        </w:rPr>
        <w:t>Id</w:t>
      </w:r>
      <w:r w:rsidR="00C94290">
        <w:rPr>
          <w:rFonts w:eastAsia="Times New Roman" w:cs="Arial"/>
          <w:szCs w:val="20"/>
        </w:rPr>
        <w:t xml:space="preserve">. at 388.  </w:t>
      </w:r>
      <w:r w:rsidR="00BD022B" w:rsidRPr="00BD022B">
        <w:rPr>
          <w:rFonts w:eastAsia="Times New Roman" w:cs="Arial"/>
          <w:szCs w:val="20"/>
        </w:rPr>
        <w:t xml:space="preserve">The Court, however, noted that no one factor is controlling and several factors must be </w:t>
      </w:r>
      <w:r w:rsidR="00BD022B" w:rsidRPr="00BD022B">
        <w:rPr>
          <w:rFonts w:eastAsia="Times New Roman" w:cs="Arial"/>
          <w:szCs w:val="20"/>
        </w:rPr>
        <w:lastRenderedPageBreak/>
        <w:t xml:space="preserve">weighed to determine whether the company’s business is conducted in such a manner as to become a matter of public concern.  </w:t>
      </w:r>
      <w:r w:rsidR="00BD022B" w:rsidRPr="00BD022B">
        <w:rPr>
          <w:rFonts w:eastAsia="Times New Roman" w:cs="Arial"/>
          <w:i/>
          <w:iCs/>
          <w:szCs w:val="20"/>
        </w:rPr>
        <w:t>Id</w:t>
      </w:r>
      <w:r w:rsidR="00BD022B" w:rsidRPr="00BD022B">
        <w:rPr>
          <w:rFonts w:eastAsia="Times New Roman" w:cs="Arial"/>
          <w:szCs w:val="20"/>
        </w:rPr>
        <w:t>.</w:t>
      </w:r>
      <w:r w:rsidR="00C94290">
        <w:rPr>
          <w:rFonts w:eastAsia="Times New Roman" w:cs="Arial"/>
          <w:szCs w:val="20"/>
        </w:rPr>
        <w:t xml:space="preserve"> at 387.</w:t>
      </w:r>
      <w:r w:rsidR="00BD022B" w:rsidRPr="00BD022B">
        <w:rPr>
          <w:rFonts w:eastAsia="Times New Roman" w:cs="Arial"/>
          <w:szCs w:val="20"/>
        </w:rPr>
        <w:t xml:space="preserve"> </w:t>
      </w:r>
      <w:r w:rsidR="00BD022B" w:rsidRPr="00BD022B">
        <w:rPr>
          <w:rFonts w:eastAsia="Times New Roman" w:cs="Arial"/>
          <w:i/>
          <w:iCs/>
          <w:szCs w:val="20"/>
        </w:rPr>
        <w:t xml:space="preserve"> </w:t>
      </w:r>
    </w:p>
    <w:p w:rsidR="00E2468E" w:rsidRDefault="00E2468E" w:rsidP="00E2468E">
      <w:pPr>
        <w:pStyle w:val="Heading3"/>
        <w:rPr>
          <w:rFonts w:eastAsia="Times New Roman"/>
        </w:rPr>
      </w:pPr>
      <w:r>
        <w:rPr>
          <w:rFonts w:eastAsia="Times New Roman"/>
        </w:rPr>
        <w:t>Competitive retail electric services</w:t>
      </w:r>
    </w:p>
    <w:p w:rsidR="00A03DF9" w:rsidRDefault="008C2DB2" w:rsidP="00393EA2">
      <w:pPr>
        <w:ind w:firstLine="720"/>
        <w:rPr>
          <w:rFonts w:eastAsia="Times New Roman" w:cs="Arial"/>
          <w:szCs w:val="20"/>
        </w:rPr>
      </w:pPr>
      <w:r>
        <w:rPr>
          <w:rFonts w:eastAsia="Times New Roman" w:cs="Arial"/>
          <w:szCs w:val="20"/>
        </w:rPr>
        <w:t>In Amended Substitute Senate Bill 3</w:t>
      </w:r>
      <w:r w:rsidR="00022049">
        <w:rPr>
          <w:rFonts w:eastAsia="Times New Roman" w:cs="Arial"/>
          <w:szCs w:val="20"/>
        </w:rPr>
        <w:t xml:space="preserve"> (“SB</w:t>
      </w:r>
      <w:r w:rsidR="00966BB0">
        <w:rPr>
          <w:rFonts w:eastAsia="Times New Roman" w:cs="Arial"/>
          <w:szCs w:val="20"/>
        </w:rPr>
        <w:t xml:space="preserve"> </w:t>
      </w:r>
      <w:r w:rsidR="00022049">
        <w:rPr>
          <w:rFonts w:eastAsia="Times New Roman" w:cs="Arial"/>
          <w:szCs w:val="20"/>
        </w:rPr>
        <w:t>3”)</w:t>
      </w:r>
      <w:r>
        <w:rPr>
          <w:rFonts w:eastAsia="Times New Roman" w:cs="Arial"/>
          <w:szCs w:val="20"/>
        </w:rPr>
        <w:t>, the General Assembly declared that retail elec</w:t>
      </w:r>
      <w:r w:rsidR="00C7553A">
        <w:rPr>
          <w:rFonts w:eastAsia="Times New Roman" w:cs="Arial"/>
          <w:szCs w:val="20"/>
        </w:rPr>
        <w:t xml:space="preserve">tric generation, </w:t>
      </w:r>
      <w:r>
        <w:rPr>
          <w:rFonts w:eastAsia="Times New Roman" w:cs="Arial"/>
          <w:szCs w:val="20"/>
        </w:rPr>
        <w:t xml:space="preserve">aggregation, power marketing, and power brokerage services supplied to </w:t>
      </w:r>
      <w:r w:rsidR="00C7553A">
        <w:rPr>
          <w:rFonts w:eastAsia="Times New Roman" w:cs="Arial"/>
          <w:szCs w:val="20"/>
        </w:rPr>
        <w:t>consumers</w:t>
      </w:r>
      <w:r>
        <w:rPr>
          <w:rFonts w:eastAsia="Times New Roman" w:cs="Arial"/>
          <w:szCs w:val="20"/>
        </w:rPr>
        <w:t xml:space="preserve"> within a certified </w:t>
      </w:r>
      <w:r w:rsidR="00C7553A">
        <w:rPr>
          <w:rFonts w:eastAsia="Times New Roman" w:cs="Arial"/>
          <w:szCs w:val="20"/>
        </w:rPr>
        <w:t>territory</w:t>
      </w:r>
      <w:r>
        <w:rPr>
          <w:rFonts w:eastAsia="Times New Roman" w:cs="Arial"/>
          <w:szCs w:val="20"/>
        </w:rPr>
        <w:t xml:space="preserve"> of an electric utility are competitive retail electric services that consumers may obtain from any supplier.  R.C. 4928.03.  A company </w:t>
      </w:r>
      <w:r w:rsidR="00C7553A">
        <w:rPr>
          <w:rFonts w:eastAsia="Times New Roman" w:cs="Arial"/>
          <w:szCs w:val="20"/>
        </w:rPr>
        <w:t>supplying or arranging</w:t>
      </w:r>
      <w:r>
        <w:rPr>
          <w:rFonts w:eastAsia="Times New Roman" w:cs="Arial"/>
          <w:szCs w:val="20"/>
        </w:rPr>
        <w:t xml:space="preserve"> competitive services is an “electric services company,” commonly referred to as a CRES provider.  </w:t>
      </w:r>
    </w:p>
    <w:p w:rsidR="00E50FAC" w:rsidRDefault="00966BB0" w:rsidP="00393EA2">
      <w:pPr>
        <w:ind w:firstLine="720"/>
      </w:pPr>
      <w:r>
        <w:rPr>
          <w:rFonts w:eastAsia="Times New Roman" w:cs="Arial"/>
          <w:szCs w:val="20"/>
        </w:rPr>
        <w:t xml:space="preserve">The enactment of SB 3 did not alter the Commission’s determinations regarding the nature and scope of functional activities that give rise to public utility status.  </w:t>
      </w:r>
      <w:r w:rsidR="00CE629C">
        <w:rPr>
          <w:rFonts w:eastAsia="Times New Roman" w:cs="Arial"/>
          <w:szCs w:val="20"/>
        </w:rPr>
        <w:t xml:space="preserve">Following its decision in </w:t>
      </w:r>
      <w:r w:rsidR="00CE629C" w:rsidRPr="00CE629C">
        <w:rPr>
          <w:rFonts w:eastAsia="Times New Roman" w:cs="Arial"/>
          <w:i/>
          <w:szCs w:val="20"/>
        </w:rPr>
        <w:t>Brooks</w:t>
      </w:r>
      <w:r w:rsidR="00CE629C">
        <w:rPr>
          <w:rFonts w:eastAsia="Times New Roman" w:cs="Arial"/>
          <w:szCs w:val="20"/>
        </w:rPr>
        <w:t>, the Commission stated,</w:t>
      </w:r>
      <w:r w:rsidR="004C2352">
        <w:rPr>
          <w:rFonts w:eastAsia="Times New Roman" w:cs="Arial"/>
          <w:szCs w:val="20"/>
        </w:rPr>
        <w:t xml:space="preserve"> </w:t>
      </w:r>
      <w:r w:rsidR="008A7DE1">
        <w:rPr>
          <w:rFonts w:eastAsia="Times New Roman" w:cs="Arial"/>
          <w:szCs w:val="20"/>
        </w:rPr>
        <w:t>“</w:t>
      </w:r>
      <w:r w:rsidR="00CE629C">
        <w:rPr>
          <w:rFonts w:eastAsia="Times New Roman" w:cs="Arial"/>
          <w:szCs w:val="20"/>
        </w:rPr>
        <w:t>[N]</w:t>
      </w:r>
      <w:r w:rsidR="008A7DE1" w:rsidRPr="008A7DE1">
        <w:rPr>
          <w:rFonts w:eastAsia="Times New Roman" w:cs="Arial"/>
          <w:szCs w:val="20"/>
        </w:rPr>
        <w:t xml:space="preserve">othing in SB3 </w:t>
      </w:r>
      <w:r w:rsidR="00C7553A">
        <w:rPr>
          <w:rFonts w:eastAsia="Times New Roman" w:cs="Arial"/>
          <w:szCs w:val="20"/>
        </w:rPr>
        <w:t>…</w:t>
      </w:r>
      <w:r w:rsidR="008A7DE1" w:rsidRPr="008A7DE1">
        <w:rPr>
          <w:rFonts w:eastAsia="Times New Roman" w:cs="Arial"/>
          <w:szCs w:val="20"/>
        </w:rPr>
        <w:t xml:space="preserve"> requires or warrants the Commission to change its position that such landlords are not electric light companies.</w:t>
      </w:r>
      <w:r w:rsidR="008A7DE1">
        <w:rPr>
          <w:rFonts w:eastAsia="Times New Roman" w:cs="Arial"/>
          <w:szCs w:val="20"/>
        </w:rPr>
        <w:t xml:space="preserve">”  </w:t>
      </w:r>
      <w:r w:rsidR="00CA216A">
        <w:rPr>
          <w:i/>
          <w:iCs/>
        </w:rPr>
        <w:t>In the Matter of the Application of First</w:t>
      </w:r>
      <w:r w:rsidR="00D668E4">
        <w:rPr>
          <w:i/>
          <w:iCs/>
        </w:rPr>
        <w:t>-</w:t>
      </w:r>
      <w:r w:rsidR="00CA216A">
        <w:rPr>
          <w:i/>
          <w:iCs/>
        </w:rPr>
        <w:t xml:space="preserve">Energy Corp. on Behalf of Ohio Edison Company, The Cleveland Electric Illuminating Company, and The Toledo Edison Company for Approval of </w:t>
      </w:r>
      <w:r w:rsidR="00D668E4">
        <w:rPr>
          <w:i/>
          <w:iCs/>
        </w:rPr>
        <w:t xml:space="preserve">Their </w:t>
      </w:r>
      <w:r w:rsidR="00CA216A">
        <w:rPr>
          <w:i/>
          <w:iCs/>
        </w:rPr>
        <w:t>Transition Plans and for Authorization to Collect Transition Revenues</w:t>
      </w:r>
      <w:r w:rsidR="009571AD">
        <w:rPr>
          <w:i/>
          <w:iCs/>
        </w:rPr>
        <w:t>,</w:t>
      </w:r>
      <w:r w:rsidR="00CA216A">
        <w:rPr>
          <w:i/>
          <w:iCs/>
        </w:rPr>
        <w:t xml:space="preserve"> </w:t>
      </w:r>
      <w:r w:rsidR="00CA216A">
        <w:t xml:space="preserve">PUCO Case Nos. 99-1212-EL-ETP, </w:t>
      </w:r>
      <w:r w:rsidR="00CA216A" w:rsidRPr="00393EA2">
        <w:rPr>
          <w:i/>
        </w:rPr>
        <w:t>et al</w:t>
      </w:r>
      <w:r w:rsidR="00CA216A">
        <w:t xml:space="preserve">., Entry </w:t>
      </w:r>
      <w:r w:rsidR="008A7DE1">
        <w:t xml:space="preserve">at 3 </w:t>
      </w:r>
      <w:r w:rsidR="00CA216A">
        <w:t>(January 18, 2001) (“</w:t>
      </w:r>
      <w:r w:rsidR="00CA216A" w:rsidRPr="00DC7FBE">
        <w:rPr>
          <w:i/>
        </w:rPr>
        <w:t>FirstEnergy</w:t>
      </w:r>
      <w:r w:rsidR="00CA216A">
        <w:t>”)</w:t>
      </w:r>
      <w:r w:rsidR="00631FD8">
        <w:t>.</w:t>
      </w:r>
      <w:r w:rsidR="006A69EC" w:rsidRPr="006A69EC">
        <w:rPr>
          <w:vertAlign w:val="superscript"/>
        </w:rPr>
        <w:footnoteReference w:id="7"/>
      </w:r>
      <w:r w:rsidR="00022049">
        <w:t xml:space="preserve">  Additionally, the Commission concluded that </w:t>
      </w:r>
      <w:r w:rsidR="00F22FC4">
        <w:t>a</w:t>
      </w:r>
      <w:r w:rsidR="00022049">
        <w:t xml:space="preserve"> landlord </w:t>
      </w:r>
      <w:r w:rsidR="00F22FC4">
        <w:t xml:space="preserve">was not </w:t>
      </w:r>
      <w:r w:rsidR="00022049">
        <w:t xml:space="preserve">an </w:t>
      </w:r>
      <w:r w:rsidR="00F22FC4">
        <w:t>“</w:t>
      </w:r>
      <w:r w:rsidR="00022049">
        <w:t>aggregator</w:t>
      </w:r>
      <w:r w:rsidR="00F22FC4">
        <w:t>”</w:t>
      </w:r>
      <w:r w:rsidR="00022049">
        <w:t xml:space="preserve"> </w:t>
      </w:r>
      <w:r w:rsidR="00CE629C">
        <w:t>because that</w:t>
      </w:r>
      <w:r w:rsidR="00F22FC4">
        <w:t xml:space="preserve"> designation</w:t>
      </w:r>
      <w:r w:rsidR="00022049">
        <w:t xml:space="preserve"> was inconsistent with prior holdings and </w:t>
      </w:r>
      <w:r w:rsidR="00F22FC4">
        <w:t>would lead</w:t>
      </w:r>
      <w:r w:rsidR="00022049">
        <w:t xml:space="preserve"> to unnecessary regulation and possibly costly reconfiguration of electric facilities.  </w:t>
      </w:r>
      <w:r w:rsidR="00022049" w:rsidRPr="00022049">
        <w:rPr>
          <w:i/>
        </w:rPr>
        <w:t>Id</w:t>
      </w:r>
      <w:r w:rsidR="00022049">
        <w:t>.</w:t>
      </w:r>
    </w:p>
    <w:p w:rsidR="00D37810" w:rsidRDefault="00D37810" w:rsidP="00393EA2">
      <w:pPr>
        <w:pStyle w:val="Heading3"/>
        <w:spacing w:after="0" w:line="480" w:lineRule="auto"/>
      </w:pPr>
      <w:r>
        <w:t>Electric supplier</w:t>
      </w:r>
    </w:p>
    <w:p w:rsidR="00D37810" w:rsidRDefault="00D37810" w:rsidP="00393EA2">
      <w:pPr>
        <w:pStyle w:val="BodyText"/>
        <w:spacing w:after="0" w:line="480" w:lineRule="auto"/>
        <w:ind w:firstLine="720"/>
        <w:jc w:val="both"/>
        <w:rPr>
          <w:rFonts w:cs="Arial"/>
        </w:rPr>
      </w:pPr>
      <w:r>
        <w:rPr>
          <w:rFonts w:cs="Arial"/>
        </w:rPr>
        <w:lastRenderedPageBreak/>
        <w:t xml:space="preserve">Under the </w:t>
      </w:r>
      <w:r w:rsidR="00C7553A">
        <w:rPr>
          <w:rFonts w:cs="Arial"/>
        </w:rPr>
        <w:t xml:space="preserve">Certified Territory </w:t>
      </w:r>
      <w:r>
        <w:rPr>
          <w:rFonts w:cs="Arial"/>
        </w:rPr>
        <w:t>Act, an “electric supplier” may not “furnish, make available, render, or extend its electric service for use in electric loa</w:t>
      </w:r>
      <w:bookmarkStart w:id="7" w:name="_GoBack"/>
      <w:bookmarkEnd w:id="7"/>
      <w:r>
        <w:rPr>
          <w:rFonts w:cs="Arial"/>
        </w:rPr>
        <w:t xml:space="preserve">d centers located within the certified territory of another electric supplier.”  R.C. 4933.83(A).  An “electric supplier” is defined as “any electric light company as defined in section 4905.03 of the Revised Code, including electric light companies organized as nonprofit corporations.”  R.C. 4922.81(A).  </w:t>
      </w:r>
      <w:r w:rsidR="00026F2B">
        <w:rPr>
          <w:rFonts w:cs="Arial"/>
        </w:rPr>
        <w:t xml:space="preserve">The scope of the Act is specifically limited to the provision of noncompetitive electric services. </w:t>
      </w:r>
      <w:r w:rsidR="00B332A5">
        <w:rPr>
          <w:rFonts w:cs="Arial"/>
        </w:rPr>
        <w:t xml:space="preserve"> </w:t>
      </w:r>
      <w:r w:rsidR="00026F2B">
        <w:rPr>
          <w:rFonts w:cs="Arial"/>
        </w:rPr>
        <w:t>R.C. 4933.83(F).</w:t>
      </w:r>
      <w:r w:rsidR="00026F2B">
        <w:rPr>
          <w:rStyle w:val="FootnoteReference"/>
          <w:rFonts w:cs="Arial"/>
        </w:rPr>
        <w:footnoteReference w:id="8"/>
      </w:r>
    </w:p>
    <w:p w:rsidR="007130D1" w:rsidRDefault="00D37810" w:rsidP="007130D1">
      <w:pPr>
        <w:pStyle w:val="Heading3"/>
      </w:pPr>
      <w:r>
        <w:t>The issues presented in this case may impact or impair an interest of member</w:t>
      </w:r>
      <w:r w:rsidR="006751DC">
        <w:t>s</w:t>
      </w:r>
      <w:r>
        <w:t xml:space="preserve"> of IEU-Ohio</w:t>
      </w:r>
    </w:p>
    <w:p w:rsidR="008919A3" w:rsidRDefault="00FF12BC" w:rsidP="0037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rPr>
      </w:pPr>
      <w:r>
        <w:rPr>
          <w:rFonts w:eastAsia="Times New Roman" w:cs="Arial"/>
        </w:rPr>
        <w:t>T</w:t>
      </w:r>
      <w:r w:rsidR="003E49B7">
        <w:rPr>
          <w:rFonts w:eastAsia="Times New Roman" w:cs="Arial"/>
        </w:rPr>
        <w:t>he</w:t>
      </w:r>
      <w:r w:rsidR="00C94290">
        <w:rPr>
          <w:rFonts w:eastAsia="Times New Roman" w:cs="Arial"/>
        </w:rPr>
        <w:t xml:space="preserve"> Complaint alleges that the Respondent is </w:t>
      </w:r>
      <w:r w:rsidR="008973F7">
        <w:rPr>
          <w:rFonts w:eastAsia="Times New Roman" w:cs="Arial"/>
        </w:rPr>
        <w:t xml:space="preserve">operating </w:t>
      </w:r>
      <w:r w:rsidR="003E49B7">
        <w:rPr>
          <w:rFonts w:eastAsia="Times New Roman" w:cs="Arial"/>
        </w:rPr>
        <w:t xml:space="preserve">unlawfully </w:t>
      </w:r>
      <w:r w:rsidR="008973F7">
        <w:rPr>
          <w:rFonts w:eastAsia="Times New Roman" w:cs="Arial"/>
        </w:rPr>
        <w:t xml:space="preserve">as a public utility, CRES provider, </w:t>
      </w:r>
      <w:r w:rsidR="003E49B7">
        <w:rPr>
          <w:rFonts w:eastAsia="Times New Roman" w:cs="Arial"/>
        </w:rPr>
        <w:t>and</w:t>
      </w:r>
      <w:r w:rsidR="008973F7">
        <w:rPr>
          <w:rFonts w:eastAsia="Times New Roman" w:cs="Arial"/>
        </w:rPr>
        <w:t xml:space="preserve"> electric supplier.</w:t>
      </w:r>
      <w:r w:rsidR="002C34FF">
        <w:rPr>
          <w:rFonts w:eastAsia="Times New Roman" w:cs="Arial"/>
        </w:rPr>
        <w:t xml:space="preserve">  </w:t>
      </w:r>
      <w:r w:rsidR="00277083">
        <w:rPr>
          <w:rFonts w:eastAsia="Times New Roman" w:cs="Arial"/>
        </w:rPr>
        <w:t xml:space="preserve">The Respondent contests those claims.  </w:t>
      </w:r>
      <w:r>
        <w:rPr>
          <w:rFonts w:eastAsia="Times New Roman" w:cs="Arial"/>
        </w:rPr>
        <w:t xml:space="preserve">Thus, </w:t>
      </w:r>
      <w:r w:rsidR="00277083">
        <w:t xml:space="preserve">this proceeding invites the Commission to </w:t>
      </w:r>
      <w:r>
        <w:t>consider</w:t>
      </w:r>
      <w:r w:rsidR="00277083">
        <w:t xml:space="preserve"> the scope and nature of activities that give rise to “public utility” or CRES provider </w:t>
      </w:r>
      <w:r>
        <w:t xml:space="preserve">status.  The </w:t>
      </w:r>
      <w:r w:rsidR="00CE629C">
        <w:t>decision</w:t>
      </w:r>
      <w:r>
        <w:t xml:space="preserve"> whether the Re</w:t>
      </w:r>
      <w:r w:rsidR="006751DC">
        <w:t>s</w:t>
      </w:r>
      <w:r>
        <w:t xml:space="preserve">pondent is acting </w:t>
      </w:r>
      <w:r w:rsidR="00CE629C">
        <w:t>in such a way as to trigger Commission supervision</w:t>
      </w:r>
      <w:r>
        <w:t xml:space="preserve">, however, </w:t>
      </w:r>
      <w:r w:rsidR="006751DC">
        <w:t>may affect the interests of IEU-Ohio’s members</w:t>
      </w:r>
      <w:r>
        <w:t>.  As noted above,</w:t>
      </w:r>
      <w:r w:rsidR="006751DC">
        <w:t xml:space="preserve"> </w:t>
      </w:r>
      <w:r w:rsidR="006751DC" w:rsidRPr="006751DC">
        <w:t xml:space="preserve">multiple non-residential consumers located on property, such as a campus, </w:t>
      </w:r>
      <w:r w:rsidR="006751DC">
        <w:t>may enter into voluntary arrangements that allow</w:t>
      </w:r>
      <w:r w:rsidR="006751DC" w:rsidRPr="006751DC">
        <w:t xml:space="preserve"> each consumer to receive electricity, natural gas, water or wastewater treatment services through </w:t>
      </w:r>
      <w:r w:rsidR="00CE629C">
        <w:t>various arrangements</w:t>
      </w:r>
      <w:r w:rsidR="006751DC">
        <w:t>.</w:t>
      </w:r>
      <w:r w:rsidRPr="00FF12BC">
        <w:t xml:space="preserve"> </w:t>
      </w:r>
      <w:r w:rsidR="006751DC">
        <w:t xml:space="preserve"> </w:t>
      </w:r>
      <w:r w:rsidR="00CE629C">
        <w:t>T</w:t>
      </w:r>
      <w:r w:rsidRPr="00FF12BC">
        <w:t xml:space="preserve">hese arrangements are </w:t>
      </w:r>
      <w:r w:rsidR="00022049">
        <w:t>ancillary</w:t>
      </w:r>
      <w:r w:rsidRPr="00FF12BC">
        <w:t xml:space="preserve"> to and not the primary purpose of the relationship between the individ</w:t>
      </w:r>
      <w:r w:rsidR="006751DC">
        <w:t>ual non-</w:t>
      </w:r>
      <w:r w:rsidR="006751DC">
        <w:lastRenderedPageBreak/>
        <w:t xml:space="preserve">residential consumers. </w:t>
      </w:r>
      <w:r w:rsidR="00277083">
        <w:t xml:space="preserve"> </w:t>
      </w:r>
      <w:r w:rsidR="00966BB0" w:rsidRPr="00966BB0">
        <w:rPr>
          <w:i/>
        </w:rPr>
        <w:t>In the Matter of the Application of The Procter &amp; Gamble Company</w:t>
      </w:r>
      <w:r w:rsidR="00A21D07">
        <w:rPr>
          <w:i/>
        </w:rPr>
        <w:t xml:space="preserve"> </w:t>
      </w:r>
      <w:r w:rsidR="00A21D07">
        <w:rPr>
          <w:rFonts w:eastAsia="Times New Roman" w:cs="Arial"/>
          <w:i/>
          <w:szCs w:val="20"/>
        </w:rPr>
        <w:t>for Relief From Compliance With the Obligations Imposed by Title 49 of the Ohio Revised Code</w:t>
      </w:r>
      <w:r w:rsidR="00966BB0" w:rsidRPr="00966BB0">
        <w:t>, Ca</w:t>
      </w:r>
      <w:r w:rsidR="00966BB0">
        <w:t>se No. 03-725-HC-ARJ, Entry at 2 (Apr.</w:t>
      </w:r>
      <w:r w:rsidR="00966BB0" w:rsidRPr="00966BB0">
        <w:t xml:space="preserve"> 10, 2003).</w:t>
      </w:r>
      <w:r w:rsidR="00966BB0">
        <w:t xml:space="preserve">  </w:t>
      </w:r>
      <w:r w:rsidR="00277083">
        <w:t xml:space="preserve">IEU-Ohio has an interest in the outcome of this proceeding to assure that </w:t>
      </w:r>
      <w:r w:rsidR="006751DC">
        <w:t xml:space="preserve">these common and useful </w:t>
      </w:r>
      <w:r w:rsidR="00277083">
        <w:t>arrangements are not impaired</w:t>
      </w:r>
      <w:r w:rsidR="006751DC">
        <w:t xml:space="preserve"> by the resolution of this case</w:t>
      </w:r>
      <w:r w:rsidR="00277083">
        <w:t>.</w:t>
      </w:r>
    </w:p>
    <w:p w:rsidR="005A58C3" w:rsidRDefault="005A58C3" w:rsidP="0065175B">
      <w:pPr>
        <w:pStyle w:val="Heading2"/>
        <w:rPr>
          <w:rFonts w:eastAsia="Times New Roman"/>
        </w:rPr>
      </w:pPr>
      <w:r>
        <w:rPr>
          <w:rFonts w:eastAsia="Times New Roman"/>
        </w:rPr>
        <w:t>IEU-Ohio’s Interests Are Not Represented by Other Parties</w:t>
      </w:r>
    </w:p>
    <w:p w:rsidR="006511A1" w:rsidRPr="00FB6532" w:rsidRDefault="00982725" w:rsidP="00DA4850">
      <w:pPr>
        <w:pStyle w:val="Heading2"/>
        <w:numPr>
          <w:ilvl w:val="0"/>
          <w:numId w:val="0"/>
        </w:numPr>
        <w:spacing w:line="480" w:lineRule="auto"/>
        <w:ind w:firstLine="720"/>
        <w:rPr>
          <w:rFonts w:eastAsia="Times New Roman"/>
          <w:b w:val="0"/>
        </w:rPr>
      </w:pPr>
      <w:r w:rsidRPr="00FB6532">
        <w:rPr>
          <w:rFonts w:eastAsia="Times New Roman"/>
          <w:b w:val="0"/>
        </w:rPr>
        <w:t>Complainant</w:t>
      </w:r>
      <w:r w:rsidR="00026F2B" w:rsidRPr="00FB6532">
        <w:rPr>
          <w:rFonts w:eastAsia="Times New Roman"/>
          <w:b w:val="0"/>
        </w:rPr>
        <w:t xml:space="preserve">, </w:t>
      </w:r>
      <w:r w:rsidR="005A58C3" w:rsidRPr="00FB6532">
        <w:rPr>
          <w:rFonts w:eastAsia="Times New Roman"/>
          <w:b w:val="0"/>
        </w:rPr>
        <w:t>Respondent</w:t>
      </w:r>
      <w:r w:rsidR="00026F2B" w:rsidRPr="00FB6532">
        <w:rPr>
          <w:rFonts w:eastAsia="Times New Roman"/>
          <w:b w:val="0"/>
        </w:rPr>
        <w:t>, and the other parties seeking intervention</w:t>
      </w:r>
      <w:r w:rsidR="005A58C3" w:rsidRPr="00FB6532">
        <w:rPr>
          <w:rFonts w:eastAsia="Times New Roman"/>
          <w:b w:val="0"/>
        </w:rPr>
        <w:t xml:space="preserve"> </w:t>
      </w:r>
      <w:r w:rsidR="008F445E" w:rsidRPr="00FB6532">
        <w:rPr>
          <w:rFonts w:eastAsia="Times New Roman"/>
          <w:b w:val="0"/>
        </w:rPr>
        <w:t>do not share</w:t>
      </w:r>
      <w:r w:rsidR="005A58C3" w:rsidRPr="00FB6532">
        <w:rPr>
          <w:rFonts w:eastAsia="Times New Roman"/>
          <w:b w:val="0"/>
        </w:rPr>
        <w:t xml:space="preserve"> the same interests as IEU-Ohio and its members in the outcome of this proceeding.  </w:t>
      </w:r>
      <w:r w:rsidR="00026F2B" w:rsidRPr="00FB6532">
        <w:rPr>
          <w:rFonts w:eastAsia="Times New Roman"/>
          <w:b w:val="0"/>
        </w:rPr>
        <w:t xml:space="preserve">None is </w:t>
      </w:r>
      <w:r w:rsidR="00DA4850" w:rsidRPr="00FB6532">
        <w:rPr>
          <w:rFonts w:eastAsia="Times New Roman"/>
          <w:b w:val="0"/>
        </w:rPr>
        <w:t>a Commission-certified CRES provider</w:t>
      </w:r>
      <w:r w:rsidR="00DA4850">
        <w:rPr>
          <w:rFonts w:eastAsia="Times New Roman"/>
          <w:b w:val="0"/>
        </w:rPr>
        <w:t xml:space="preserve">, and none is or represents </w:t>
      </w:r>
      <w:r w:rsidR="00026F2B" w:rsidRPr="00FB6532">
        <w:rPr>
          <w:rFonts w:eastAsia="Times New Roman"/>
          <w:b w:val="0"/>
        </w:rPr>
        <w:t>energy-intensive industrial or commercial customer</w:t>
      </w:r>
      <w:r w:rsidR="00A21D07">
        <w:rPr>
          <w:rFonts w:eastAsia="Times New Roman"/>
          <w:b w:val="0"/>
        </w:rPr>
        <w:t>s</w:t>
      </w:r>
      <w:r w:rsidR="00026F2B" w:rsidRPr="00FB6532">
        <w:rPr>
          <w:rFonts w:eastAsia="Times New Roman"/>
          <w:b w:val="0"/>
        </w:rPr>
        <w:t xml:space="preserve">.  </w:t>
      </w:r>
      <w:r w:rsidR="00277083">
        <w:rPr>
          <w:rFonts w:eastAsia="Times New Roman"/>
          <w:b w:val="0"/>
        </w:rPr>
        <w:t>Accordingly, IEU-Ohio’s interests are not represented by another party.</w:t>
      </w:r>
    </w:p>
    <w:p w:rsidR="005A58C3" w:rsidRDefault="005A58C3" w:rsidP="00FB6532">
      <w:pPr>
        <w:pStyle w:val="Heading2"/>
        <w:rPr>
          <w:rFonts w:eastAsia="Times New Roman"/>
        </w:rPr>
      </w:pPr>
      <w:r>
        <w:rPr>
          <w:rFonts w:eastAsia="Times New Roman"/>
        </w:rPr>
        <w:t xml:space="preserve">IEU-Ohio’s Participation Will </w:t>
      </w:r>
      <w:r w:rsidR="0065175B">
        <w:rPr>
          <w:rFonts w:eastAsia="Times New Roman"/>
        </w:rPr>
        <w:t xml:space="preserve">Assist in the </w:t>
      </w:r>
      <w:r w:rsidR="00197655">
        <w:rPr>
          <w:rFonts w:eastAsia="Times New Roman"/>
        </w:rPr>
        <w:t>Full Development and Equitable Resolution of the Issues</w:t>
      </w:r>
      <w:r w:rsidR="0065175B">
        <w:rPr>
          <w:rFonts w:eastAsia="Times New Roman"/>
        </w:rPr>
        <w:t xml:space="preserve"> and </w:t>
      </w:r>
      <w:r w:rsidR="00197655">
        <w:rPr>
          <w:rFonts w:eastAsia="Times New Roman"/>
        </w:rPr>
        <w:t xml:space="preserve">Will </w:t>
      </w:r>
      <w:r>
        <w:rPr>
          <w:rFonts w:eastAsia="Times New Roman"/>
        </w:rPr>
        <w:t>Not Unduly Prolong or Delay the Proceeding</w:t>
      </w:r>
    </w:p>
    <w:p w:rsidR="005A58C3" w:rsidRDefault="00CE629C" w:rsidP="00C8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rFonts w:eastAsia="Times New Roman" w:cs="Arial"/>
        </w:rPr>
      </w:pPr>
      <w:r>
        <w:rPr>
          <w:rFonts w:eastAsia="Times New Roman" w:cs="Arial"/>
        </w:rPr>
        <w:t xml:space="preserve">The interest of </w:t>
      </w:r>
      <w:r w:rsidR="004E4708">
        <w:rPr>
          <w:rFonts w:eastAsia="Times New Roman" w:cs="Arial"/>
        </w:rPr>
        <w:t xml:space="preserve">IEU-Ohio’s members </w:t>
      </w:r>
      <w:r>
        <w:rPr>
          <w:rFonts w:eastAsia="Times New Roman" w:cs="Arial"/>
        </w:rPr>
        <w:t xml:space="preserve">is focused on </w:t>
      </w:r>
      <w:r w:rsidR="004E4708">
        <w:rPr>
          <w:rFonts w:eastAsia="Times New Roman" w:cs="Arial"/>
        </w:rPr>
        <w:t xml:space="preserve">assuring that arrangements that are </w:t>
      </w:r>
      <w:r w:rsidR="00022049">
        <w:rPr>
          <w:rFonts w:eastAsia="Times New Roman" w:cs="Arial"/>
        </w:rPr>
        <w:t>ancillary</w:t>
      </w:r>
      <w:r w:rsidR="002A5A40">
        <w:rPr>
          <w:rFonts w:eastAsia="Times New Roman" w:cs="Arial"/>
        </w:rPr>
        <w:t xml:space="preserve"> or incidental</w:t>
      </w:r>
      <w:r w:rsidR="004E4708">
        <w:rPr>
          <w:rFonts w:eastAsia="Times New Roman" w:cs="Arial"/>
        </w:rPr>
        <w:t xml:space="preserve"> to the primary businesses of commercial and industrial customers are not impaired by the Commission’s decision in this case</w:t>
      </w:r>
      <w:r>
        <w:rPr>
          <w:rFonts w:eastAsia="Times New Roman" w:cs="Arial"/>
        </w:rPr>
        <w:t>.</w:t>
      </w:r>
      <w:r w:rsidR="00026F2B">
        <w:rPr>
          <w:rFonts w:eastAsia="Times New Roman" w:cs="Arial"/>
        </w:rPr>
        <w:t xml:space="preserve"> </w:t>
      </w:r>
      <w:r>
        <w:rPr>
          <w:rFonts w:eastAsia="Times New Roman" w:cs="Arial"/>
        </w:rPr>
        <w:t xml:space="preserve"> IEU-Ohio is seeking to intervene at an early point in this matter.  </w:t>
      </w:r>
      <w:r w:rsidR="00197655">
        <w:rPr>
          <w:rFonts w:eastAsia="Times New Roman" w:cs="Arial"/>
        </w:rPr>
        <w:t xml:space="preserve">Because IEU-Ohio’s interest is </w:t>
      </w:r>
      <w:r w:rsidR="009D3A40">
        <w:rPr>
          <w:rFonts w:eastAsia="Times New Roman" w:cs="Arial"/>
        </w:rPr>
        <w:t xml:space="preserve">focused </w:t>
      </w:r>
      <w:r w:rsidR="00197655">
        <w:rPr>
          <w:rFonts w:eastAsia="Times New Roman" w:cs="Arial"/>
        </w:rPr>
        <w:t xml:space="preserve">and it seeks intervention at this early </w:t>
      </w:r>
      <w:r>
        <w:rPr>
          <w:rFonts w:eastAsia="Times New Roman" w:cs="Arial"/>
        </w:rPr>
        <w:t>time</w:t>
      </w:r>
      <w:r w:rsidR="0065175B">
        <w:rPr>
          <w:rFonts w:eastAsia="Times New Roman" w:cs="Arial"/>
        </w:rPr>
        <w:t>,</w:t>
      </w:r>
      <w:r w:rsidR="008F445E">
        <w:rPr>
          <w:rFonts w:eastAsia="Times New Roman" w:cs="Arial"/>
        </w:rPr>
        <w:t xml:space="preserve"> IEU-Ohio’s intervention</w:t>
      </w:r>
      <w:r w:rsidR="00277083">
        <w:rPr>
          <w:rFonts w:eastAsia="Times New Roman" w:cs="Arial"/>
        </w:rPr>
        <w:t xml:space="preserve"> will assist in the full development of the issues and</w:t>
      </w:r>
      <w:r w:rsidR="008F445E">
        <w:rPr>
          <w:rFonts w:eastAsia="Times New Roman" w:cs="Arial"/>
        </w:rPr>
        <w:t xml:space="preserve"> will not unduly prolong this proceeding</w:t>
      </w:r>
      <w:r w:rsidR="0065175B">
        <w:rPr>
          <w:rFonts w:eastAsia="Times New Roman" w:cs="Arial"/>
        </w:rPr>
        <w:t>.</w:t>
      </w:r>
    </w:p>
    <w:p w:rsidR="00D628B1" w:rsidRDefault="00D628B1" w:rsidP="00D628B1">
      <w:pPr>
        <w:pStyle w:val="Heading1"/>
        <w:rPr>
          <w:rFonts w:eastAsia="Times New Roman"/>
        </w:rPr>
      </w:pPr>
      <w:r>
        <w:rPr>
          <w:rFonts w:eastAsia="Times New Roman"/>
        </w:rPr>
        <w:t>Conclusion</w:t>
      </w:r>
    </w:p>
    <w:p w:rsidR="00D628B1" w:rsidRPr="00B60CF7" w:rsidRDefault="00D628B1" w:rsidP="0037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Arial"/>
        </w:rPr>
      </w:pPr>
      <w:r>
        <w:rPr>
          <w:rFonts w:eastAsia="Times New Roman" w:cs="Arial"/>
        </w:rPr>
        <w:t xml:space="preserve">For the reasons discussed above, IEU-Ohio requests that the Commission grant its </w:t>
      </w:r>
      <w:r w:rsidR="007F4849">
        <w:rPr>
          <w:rFonts w:eastAsia="Times New Roman" w:cs="Arial"/>
        </w:rPr>
        <w:t xml:space="preserve">Motion </w:t>
      </w:r>
      <w:r>
        <w:rPr>
          <w:rFonts w:eastAsia="Times New Roman" w:cs="Arial"/>
        </w:rPr>
        <w:t xml:space="preserve">to </w:t>
      </w:r>
      <w:r w:rsidR="007F4849">
        <w:rPr>
          <w:rFonts w:eastAsia="Times New Roman" w:cs="Arial"/>
        </w:rPr>
        <w:t>Intervene</w:t>
      </w:r>
      <w:r>
        <w:rPr>
          <w:rFonts w:eastAsia="Times New Roman" w:cs="Arial"/>
        </w:rPr>
        <w:t>.</w:t>
      </w:r>
    </w:p>
    <w:p w:rsidR="00CA02FF" w:rsidRDefault="007C3439">
      <w:pPr>
        <w:pStyle w:val="BodyText2"/>
        <w:spacing w:after="0" w:line="240" w:lineRule="auto"/>
      </w:pPr>
      <w:r>
        <w:tab/>
      </w:r>
      <w:r>
        <w:tab/>
      </w:r>
      <w:r>
        <w:tab/>
      </w:r>
      <w:r>
        <w:tab/>
      </w:r>
      <w:r>
        <w:tab/>
      </w:r>
      <w:r>
        <w:tab/>
        <w:t>Respectfully submitted,</w:t>
      </w:r>
    </w:p>
    <w:p w:rsidR="00CA02FF" w:rsidRPr="00D70E8C" w:rsidRDefault="007C3439">
      <w:pPr>
        <w:tabs>
          <w:tab w:val="left" w:pos="-1440"/>
          <w:tab w:val="left" w:pos="-720"/>
          <w:tab w:val="left" w:pos="4320"/>
          <w:tab w:val="left" w:pos="4680"/>
          <w:tab w:val="left" w:pos="8640"/>
        </w:tabs>
        <w:spacing w:line="240" w:lineRule="auto"/>
        <w:rPr>
          <w:rFonts w:cs="Arial"/>
          <w:i/>
          <w:u w:val="single"/>
        </w:rPr>
      </w:pPr>
      <w:r w:rsidRPr="00D70E8C">
        <w:rPr>
          <w:rFonts w:cs="Arial"/>
          <w:i/>
        </w:rPr>
        <w:tab/>
      </w:r>
      <w:r w:rsidRPr="00D70E8C">
        <w:rPr>
          <w:rFonts w:cs="Arial"/>
          <w:i/>
          <w:u w:val="single"/>
        </w:rPr>
        <w:t xml:space="preserve">/s/ </w:t>
      </w:r>
      <w:r w:rsidR="00B60CF7">
        <w:rPr>
          <w:rFonts w:cs="Arial"/>
          <w:i/>
          <w:u w:val="single"/>
        </w:rPr>
        <w:t>Frank P. Darr</w:t>
      </w:r>
      <w:r w:rsidRPr="00D70E8C">
        <w:rPr>
          <w:rFonts w:cs="Arial"/>
          <w:i/>
          <w:u w:val="single"/>
        </w:rPr>
        <w:tab/>
      </w:r>
    </w:p>
    <w:p w:rsidR="00D70E8C" w:rsidRDefault="00D70E8C" w:rsidP="00D70E8C">
      <w:pPr>
        <w:widowControl w:val="0"/>
        <w:tabs>
          <w:tab w:val="left" w:pos="4320"/>
        </w:tabs>
        <w:spacing w:line="240" w:lineRule="auto"/>
        <w:ind w:left="4320"/>
        <w:rPr>
          <w:rFonts w:eastAsia="Calibri" w:cs="Arial"/>
        </w:rPr>
      </w:pPr>
      <w:r>
        <w:rPr>
          <w:rFonts w:eastAsia="Calibri" w:cs="Arial"/>
          <w:bCs/>
        </w:rPr>
        <w:t>Frank P. Darr (Reg. No. 0025469)</w:t>
      </w:r>
      <w:r>
        <w:rPr>
          <w:rFonts w:eastAsia="Calibri" w:cs="Arial"/>
        </w:rPr>
        <w:t xml:space="preserve"> </w:t>
      </w:r>
    </w:p>
    <w:p w:rsidR="00D70E8C" w:rsidRDefault="00D70E8C" w:rsidP="00D70E8C">
      <w:pPr>
        <w:widowControl w:val="0"/>
        <w:tabs>
          <w:tab w:val="left" w:pos="4320"/>
        </w:tabs>
        <w:spacing w:line="240" w:lineRule="auto"/>
        <w:ind w:left="4320"/>
        <w:rPr>
          <w:rFonts w:eastAsia="Calibri" w:cs="Arial"/>
          <w:bCs/>
        </w:rPr>
      </w:pPr>
      <w:r>
        <w:rPr>
          <w:rFonts w:eastAsia="Calibri" w:cs="Arial"/>
        </w:rPr>
        <w:lastRenderedPageBreak/>
        <w:t>(Counsel of Record)</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Matthew R. Pritchard (Reg. No. 0088070)</w:t>
      </w:r>
    </w:p>
    <w:p w:rsidR="00D70E8C" w:rsidRDefault="00D70E8C" w:rsidP="00D70E8C">
      <w:pPr>
        <w:widowControl w:val="0"/>
        <w:tabs>
          <w:tab w:val="left" w:pos="4320"/>
        </w:tabs>
        <w:spacing w:line="240" w:lineRule="auto"/>
        <w:ind w:left="4320"/>
        <w:rPr>
          <w:rFonts w:eastAsia="Calibri" w:cs="Arial"/>
          <w:bCs/>
        </w:rPr>
      </w:pPr>
      <w:r>
        <w:rPr>
          <w:rFonts w:eastAsia="Calibri" w:cs="Arial"/>
          <w:bCs/>
        </w:rPr>
        <w:t>Samuel C. Randazzo (Reg. No. 0016386)</w:t>
      </w:r>
    </w:p>
    <w:p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McNees Wallace &amp; Nurick LLC</w:t>
      </w:r>
    </w:p>
    <w:p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D70E8C" w:rsidRP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themeColor="text1"/>
        </w:rPr>
      </w:pPr>
      <w:r w:rsidRPr="004337A6">
        <w:rPr>
          <w:rFonts w:eastAsia="Calibri" w:cs="Arial"/>
          <w:color w:val="000000" w:themeColor="text1"/>
        </w:rPr>
        <w:t>sam@mwncmh.com</w:t>
      </w:r>
    </w:p>
    <w:p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(willing to accept service by e-mail)</w:t>
      </w:r>
    </w:p>
    <w:p w:rsidR="00CA02FF" w:rsidRDefault="00CA02FF" w:rsidP="00C8387C">
      <w:pPr>
        <w:tabs>
          <w:tab w:val="left" w:pos="-1440"/>
          <w:tab w:val="left" w:pos="-720"/>
          <w:tab w:val="left" w:pos="5040"/>
          <w:tab w:val="center" w:pos="7200"/>
        </w:tabs>
        <w:overflowPunct w:val="0"/>
        <w:autoSpaceDE w:val="0"/>
        <w:autoSpaceDN w:val="0"/>
        <w:adjustRightInd w:val="0"/>
        <w:spacing w:line="240" w:lineRule="auto"/>
        <w:rPr>
          <w:rFonts w:eastAsia="Calibri" w:cs="Arial"/>
          <w:b/>
          <w:smallCaps/>
        </w:rPr>
      </w:pPr>
    </w:p>
    <w:p w:rsidR="00CA02FF" w:rsidRDefault="007C3439" w:rsidP="00EE6BA3">
      <w:pPr>
        <w:spacing w:line="240" w:lineRule="auto"/>
        <w:ind w:left="4320" w:hanging="4320"/>
        <w:rPr>
          <w:rFonts w:cs="Arial"/>
          <w:sz w:val="28"/>
          <w:u w:val="single"/>
        </w:rPr>
      </w:pPr>
      <w:r>
        <w:rPr>
          <w:rFonts w:eastAsia="Calibri" w:cs="Arial"/>
          <w:b/>
        </w:rPr>
        <w:tab/>
        <w:t>Attorneys for Industrial Energy Users-Ohio</w:t>
      </w:r>
    </w:p>
    <w:p w:rsidR="00CA02FF" w:rsidRDefault="00CA02FF">
      <w:pPr>
        <w:tabs>
          <w:tab w:val="left" w:pos="4320"/>
          <w:tab w:val="right" w:pos="8640"/>
        </w:tabs>
        <w:spacing w:line="240" w:lineRule="auto"/>
        <w:rPr>
          <w:rFonts w:cs="Arial"/>
        </w:rPr>
        <w:sectPr w:rsidR="00CA02FF" w:rsidSect="00C80791">
          <w:pgSz w:w="12240" w:h="15840" w:code="1"/>
          <w:pgMar w:top="1440" w:right="1440" w:bottom="1141" w:left="1440" w:header="720" w:footer="720" w:gutter="0"/>
          <w:pgNumType w:start="1"/>
          <w:cols w:space="720"/>
          <w:titlePg/>
          <w:docGrid w:linePitch="326"/>
        </w:sectPr>
      </w:pPr>
    </w:p>
    <w:p w:rsidR="00CA02FF" w:rsidRDefault="007C3439">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rsidR="00CA02FF" w:rsidRDefault="00CA02FF">
      <w:pPr>
        <w:spacing w:line="240" w:lineRule="auto"/>
        <w:rPr>
          <w:rFonts w:cs="Arial"/>
        </w:rPr>
      </w:pPr>
    </w:p>
    <w:p w:rsidR="00CA02FF" w:rsidRDefault="007C3439">
      <w:pPr>
        <w:pStyle w:val="BodyText"/>
        <w:spacing w:line="480" w:lineRule="auto"/>
        <w:ind w:firstLine="720"/>
        <w:jc w:val="both"/>
        <w:rPr>
          <w:b/>
          <w:smallCaps/>
        </w:rPr>
      </w:pPr>
      <w:r>
        <w:t xml:space="preserve">In accordance with Rule 4901-1-05, Ohio Administrative Code, the </w:t>
      </w:r>
      <w:r w:rsidR="0059556C">
        <w:t xml:space="preserve">Commission’s </w:t>
      </w:r>
      <w:r>
        <w:t>e</w:t>
      </w:r>
      <w:r>
        <w:noBreakHyphen/>
        <w:t xml:space="preserve">filing system will electronically serve notice of the filing of this document upon the following parties.  In addition, I hereby certify that a service copy of the foregoing </w:t>
      </w:r>
      <w:r>
        <w:rPr>
          <w:i/>
        </w:rPr>
        <w:t xml:space="preserve">Motion to Intervene and Memorandum in Support of Industrial Energy Users-Ohio </w:t>
      </w:r>
      <w:r>
        <w:t xml:space="preserve">was sent by, or on behalf of, the undersigned counsel for IEU-Ohio to the following parties of record this </w:t>
      </w:r>
      <w:r w:rsidR="00B71524">
        <w:t>23</w:t>
      </w:r>
      <w:r w:rsidR="00457C5E">
        <w:t>d</w:t>
      </w:r>
      <w:r w:rsidR="00B71524">
        <w:t xml:space="preserve"> </w:t>
      </w:r>
      <w:r>
        <w:t xml:space="preserve">day of </w:t>
      </w:r>
      <w:r w:rsidR="00B60CF7">
        <w:t>June</w:t>
      </w:r>
      <w:r>
        <w:t xml:space="preserve"> 2015, </w:t>
      </w:r>
      <w:r>
        <w:rPr>
          <w:i/>
        </w:rPr>
        <w:t>via</w:t>
      </w:r>
      <w:r>
        <w:t xml:space="preserve"> electronic transmission. </w:t>
      </w:r>
    </w:p>
    <w:p w:rsidR="00CA02FF" w:rsidRDefault="007C3439">
      <w:pPr>
        <w:tabs>
          <w:tab w:val="center" w:pos="7200"/>
          <w:tab w:val="right" w:pos="9360"/>
        </w:tabs>
        <w:spacing w:line="240" w:lineRule="auto"/>
        <w:ind w:left="5040"/>
        <w:rPr>
          <w:rFonts w:cs="Arial"/>
          <w:i/>
          <w:u w:val="single"/>
        </w:rPr>
      </w:pPr>
      <w:r>
        <w:rPr>
          <w:rFonts w:cs="Arial"/>
          <w:i/>
          <w:u w:val="single"/>
        </w:rPr>
        <w:t xml:space="preserve">/s/ </w:t>
      </w:r>
      <w:r w:rsidR="00B60CF7">
        <w:rPr>
          <w:rFonts w:cs="Arial"/>
          <w:i/>
          <w:u w:val="single"/>
        </w:rPr>
        <w:t>Frank P. Darr</w:t>
      </w:r>
      <w:r w:rsidR="00B60CF7">
        <w:rPr>
          <w:rFonts w:cs="Arial"/>
          <w:i/>
          <w:u w:val="single"/>
        </w:rPr>
        <w:tab/>
      </w:r>
      <w:r>
        <w:rPr>
          <w:rFonts w:cs="Arial"/>
          <w:i/>
          <w:u w:val="single"/>
        </w:rPr>
        <w:tab/>
      </w:r>
    </w:p>
    <w:p w:rsidR="00CA02FF" w:rsidRDefault="007C3439">
      <w:pPr>
        <w:tabs>
          <w:tab w:val="center" w:pos="7200"/>
          <w:tab w:val="right" w:pos="9360"/>
        </w:tabs>
        <w:spacing w:line="240" w:lineRule="auto"/>
        <w:ind w:left="5040"/>
        <w:rPr>
          <w:rFonts w:cs="Arial"/>
        </w:rPr>
      </w:pPr>
      <w:r>
        <w:rPr>
          <w:rFonts w:cs="Arial"/>
        </w:rPr>
        <w:tab/>
      </w:r>
      <w:r w:rsidR="00B60CF7">
        <w:rPr>
          <w:rFonts w:cs="Arial"/>
        </w:rPr>
        <w:t>Frank P. Darr</w:t>
      </w:r>
    </w:p>
    <w:p w:rsidR="00CA02FF" w:rsidRDefault="00CA02FF">
      <w:pPr>
        <w:spacing w:line="240" w:lineRule="auto"/>
        <w:rPr>
          <w:rFonts w:cs="Arial"/>
        </w:rPr>
      </w:pPr>
    </w:p>
    <w:p w:rsidR="00CA02FF" w:rsidRDefault="00CA02FF">
      <w:pPr>
        <w:spacing w:line="240" w:lineRule="auto"/>
        <w:rPr>
          <w:rFonts w:cs="Arial"/>
        </w:rPr>
        <w:sectPr w:rsidR="00CA02F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p>
    <w:p w:rsidR="00CA02FF" w:rsidRPr="00AC6AE0" w:rsidRDefault="00A53605" w:rsidP="00B60CF7">
      <w:pPr>
        <w:spacing w:line="240" w:lineRule="auto"/>
        <w:jc w:val="left"/>
        <w:rPr>
          <w:rFonts w:eastAsia="Calibri"/>
          <w:smallCaps/>
          <w:sz w:val="22"/>
          <w:szCs w:val="22"/>
        </w:rPr>
      </w:pPr>
      <w:r w:rsidRPr="00AC6AE0">
        <w:rPr>
          <w:rFonts w:eastAsia="Calibri"/>
          <w:sz w:val="22"/>
          <w:szCs w:val="22"/>
        </w:rPr>
        <w:lastRenderedPageBreak/>
        <w:t xml:space="preserve">Mark A. Whitt </w:t>
      </w:r>
      <w:r w:rsidRPr="00AC6AE0">
        <w:rPr>
          <w:rFonts w:eastAsia="Calibri"/>
          <w:smallCaps/>
          <w:sz w:val="22"/>
          <w:szCs w:val="22"/>
        </w:rPr>
        <w:t>(0067996)</w:t>
      </w:r>
    </w:p>
    <w:p w:rsidR="00A53605" w:rsidRDefault="00A53605" w:rsidP="00B60CF7">
      <w:pPr>
        <w:spacing w:line="240" w:lineRule="auto"/>
        <w:jc w:val="left"/>
        <w:rPr>
          <w:rFonts w:eastAsia="Calibri"/>
          <w:sz w:val="22"/>
          <w:szCs w:val="22"/>
        </w:rPr>
      </w:pPr>
      <w:r>
        <w:rPr>
          <w:rFonts w:eastAsia="Calibri"/>
          <w:sz w:val="22"/>
          <w:szCs w:val="22"/>
        </w:rPr>
        <w:t>Whitt Sturtevant LLP</w:t>
      </w:r>
    </w:p>
    <w:p w:rsidR="00A53605" w:rsidRDefault="00A53605" w:rsidP="00B60CF7">
      <w:pPr>
        <w:spacing w:line="240" w:lineRule="auto"/>
        <w:jc w:val="left"/>
        <w:rPr>
          <w:rFonts w:eastAsia="Calibri"/>
          <w:sz w:val="22"/>
          <w:szCs w:val="22"/>
        </w:rPr>
      </w:pPr>
      <w:r>
        <w:rPr>
          <w:rFonts w:eastAsia="Calibri"/>
          <w:sz w:val="22"/>
          <w:szCs w:val="22"/>
        </w:rPr>
        <w:t>The KeyBank Building</w:t>
      </w:r>
    </w:p>
    <w:p w:rsidR="00A53605" w:rsidRDefault="00A53605" w:rsidP="00B60CF7">
      <w:pPr>
        <w:spacing w:line="240" w:lineRule="auto"/>
        <w:jc w:val="left"/>
        <w:rPr>
          <w:rFonts w:eastAsia="Calibri"/>
          <w:sz w:val="22"/>
          <w:szCs w:val="22"/>
        </w:rPr>
      </w:pPr>
      <w:r>
        <w:rPr>
          <w:rFonts w:eastAsia="Calibri"/>
          <w:sz w:val="22"/>
          <w:szCs w:val="22"/>
        </w:rPr>
        <w:t>88 East Broad Street, Suite 1590</w:t>
      </w:r>
    </w:p>
    <w:p w:rsidR="00A53605" w:rsidRDefault="00A53605" w:rsidP="00B60CF7">
      <w:pPr>
        <w:spacing w:line="240" w:lineRule="auto"/>
        <w:jc w:val="left"/>
        <w:rPr>
          <w:rFonts w:eastAsia="Calibri"/>
          <w:sz w:val="22"/>
          <w:szCs w:val="22"/>
        </w:rPr>
      </w:pPr>
      <w:r>
        <w:rPr>
          <w:rFonts w:eastAsia="Calibri"/>
          <w:sz w:val="22"/>
          <w:szCs w:val="22"/>
        </w:rPr>
        <w:t>Columbus, OH  43215</w:t>
      </w:r>
    </w:p>
    <w:p w:rsidR="00A53605" w:rsidRDefault="0001512C" w:rsidP="00B60CF7">
      <w:pPr>
        <w:spacing w:line="240" w:lineRule="auto"/>
        <w:jc w:val="left"/>
        <w:rPr>
          <w:rFonts w:eastAsia="Calibri"/>
          <w:sz w:val="22"/>
          <w:szCs w:val="22"/>
        </w:rPr>
      </w:pPr>
      <w:hyperlink r:id="rId21" w:history="1">
        <w:r w:rsidR="00A53605" w:rsidRPr="00920754">
          <w:rPr>
            <w:rStyle w:val="Hyperlink"/>
            <w:rFonts w:eastAsia="Calibri"/>
            <w:sz w:val="22"/>
            <w:szCs w:val="22"/>
          </w:rPr>
          <w:t>whit@whitt-sturtevant.com</w:t>
        </w:r>
      </w:hyperlink>
    </w:p>
    <w:p w:rsidR="00A53605" w:rsidRDefault="00A53605" w:rsidP="00B60CF7">
      <w:pPr>
        <w:spacing w:line="240" w:lineRule="auto"/>
        <w:jc w:val="left"/>
        <w:rPr>
          <w:rFonts w:eastAsia="Calibri"/>
          <w:sz w:val="22"/>
          <w:szCs w:val="22"/>
        </w:rPr>
      </w:pPr>
    </w:p>
    <w:p w:rsidR="00A53605" w:rsidRPr="00AC6AE0" w:rsidRDefault="00467927"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Complainant</w:t>
      </w:r>
    </w:p>
    <w:p w:rsidR="00467927" w:rsidRDefault="00467927" w:rsidP="00B60CF7">
      <w:pPr>
        <w:spacing w:line="240" w:lineRule="auto"/>
        <w:jc w:val="left"/>
        <w:rPr>
          <w:rFonts w:eastAsia="Calibri"/>
          <w:sz w:val="22"/>
          <w:szCs w:val="22"/>
        </w:rPr>
      </w:pPr>
    </w:p>
    <w:p w:rsidR="00467927" w:rsidRDefault="00467927" w:rsidP="00B60CF7">
      <w:pPr>
        <w:spacing w:line="240" w:lineRule="auto"/>
        <w:jc w:val="left"/>
        <w:rPr>
          <w:rFonts w:eastAsia="Calibri"/>
          <w:sz w:val="22"/>
          <w:szCs w:val="22"/>
        </w:rPr>
      </w:pPr>
      <w:r>
        <w:rPr>
          <w:rFonts w:eastAsia="Calibri"/>
          <w:sz w:val="22"/>
          <w:szCs w:val="22"/>
        </w:rPr>
        <w:t>M. Howard Petricoff</w:t>
      </w:r>
    </w:p>
    <w:p w:rsidR="00467927" w:rsidRDefault="00467927" w:rsidP="00B60CF7">
      <w:pPr>
        <w:spacing w:line="240" w:lineRule="auto"/>
        <w:jc w:val="left"/>
        <w:rPr>
          <w:rFonts w:eastAsia="Calibri"/>
          <w:sz w:val="22"/>
          <w:szCs w:val="22"/>
        </w:rPr>
      </w:pPr>
      <w:r>
        <w:rPr>
          <w:rFonts w:eastAsia="Calibri"/>
          <w:sz w:val="22"/>
          <w:szCs w:val="22"/>
        </w:rPr>
        <w:t>Trial Attorney</w:t>
      </w:r>
    </w:p>
    <w:p w:rsidR="00467927" w:rsidRDefault="00467927" w:rsidP="00B60CF7">
      <w:pPr>
        <w:spacing w:line="240" w:lineRule="auto"/>
        <w:jc w:val="left"/>
        <w:rPr>
          <w:rFonts w:eastAsia="Calibri"/>
          <w:sz w:val="22"/>
          <w:szCs w:val="22"/>
        </w:rPr>
      </w:pPr>
      <w:r>
        <w:rPr>
          <w:rFonts w:eastAsia="Calibri"/>
          <w:sz w:val="22"/>
          <w:szCs w:val="22"/>
        </w:rPr>
        <w:t>Vorys, Sater, Seymour and Pease LLP</w:t>
      </w:r>
    </w:p>
    <w:p w:rsidR="00467927" w:rsidRDefault="00467927" w:rsidP="00B60CF7">
      <w:pPr>
        <w:spacing w:line="240" w:lineRule="auto"/>
        <w:jc w:val="left"/>
        <w:rPr>
          <w:rFonts w:eastAsia="Calibri"/>
          <w:sz w:val="22"/>
          <w:szCs w:val="22"/>
        </w:rPr>
      </w:pPr>
      <w:r>
        <w:rPr>
          <w:rFonts w:eastAsia="Calibri"/>
          <w:sz w:val="22"/>
          <w:szCs w:val="22"/>
        </w:rPr>
        <w:t>52 E. Gay Street</w:t>
      </w:r>
    </w:p>
    <w:p w:rsidR="00467927" w:rsidRDefault="00467927" w:rsidP="00B60CF7">
      <w:pPr>
        <w:spacing w:line="240" w:lineRule="auto"/>
        <w:jc w:val="left"/>
        <w:rPr>
          <w:rFonts w:eastAsia="Calibri"/>
          <w:sz w:val="22"/>
          <w:szCs w:val="22"/>
        </w:rPr>
      </w:pPr>
      <w:r>
        <w:rPr>
          <w:rFonts w:eastAsia="Calibri"/>
          <w:sz w:val="22"/>
          <w:szCs w:val="22"/>
        </w:rPr>
        <w:t>P.O. Box 1008</w:t>
      </w:r>
    </w:p>
    <w:p w:rsidR="00467927" w:rsidRDefault="00467927" w:rsidP="00B60CF7">
      <w:pPr>
        <w:spacing w:line="240" w:lineRule="auto"/>
        <w:jc w:val="left"/>
        <w:rPr>
          <w:rFonts w:eastAsia="Calibri"/>
          <w:sz w:val="22"/>
          <w:szCs w:val="22"/>
        </w:rPr>
      </w:pPr>
      <w:r>
        <w:rPr>
          <w:rFonts w:eastAsia="Calibri"/>
          <w:sz w:val="22"/>
          <w:szCs w:val="22"/>
        </w:rPr>
        <w:t>Columbus, OH  43216-1008</w:t>
      </w:r>
    </w:p>
    <w:p w:rsidR="00467927" w:rsidRDefault="0001512C" w:rsidP="00B60CF7">
      <w:pPr>
        <w:spacing w:line="240" w:lineRule="auto"/>
        <w:jc w:val="left"/>
        <w:rPr>
          <w:rFonts w:eastAsia="Calibri"/>
          <w:sz w:val="22"/>
          <w:szCs w:val="22"/>
        </w:rPr>
      </w:pPr>
      <w:hyperlink r:id="rId22" w:history="1">
        <w:r w:rsidR="00467927" w:rsidRPr="00920754">
          <w:rPr>
            <w:rStyle w:val="Hyperlink"/>
            <w:rFonts w:eastAsia="Calibri"/>
            <w:sz w:val="22"/>
            <w:szCs w:val="22"/>
          </w:rPr>
          <w:t>mhpetricoff@vorys.com</w:t>
        </w:r>
      </w:hyperlink>
    </w:p>
    <w:p w:rsidR="00467927" w:rsidRDefault="00467927" w:rsidP="00B60CF7">
      <w:pPr>
        <w:spacing w:line="240" w:lineRule="auto"/>
        <w:jc w:val="left"/>
        <w:rPr>
          <w:rFonts w:eastAsia="Calibri"/>
          <w:sz w:val="22"/>
          <w:szCs w:val="22"/>
        </w:rPr>
      </w:pPr>
    </w:p>
    <w:p w:rsidR="00467927" w:rsidRPr="00AC6AE0" w:rsidRDefault="00467927"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On Behalf of Respondent, Nationwide Energy Partners, LLC</w:t>
      </w:r>
    </w:p>
    <w:p w:rsidR="00467927" w:rsidRDefault="00467927" w:rsidP="00B60CF7">
      <w:pPr>
        <w:spacing w:line="240" w:lineRule="auto"/>
        <w:jc w:val="left"/>
        <w:rPr>
          <w:rFonts w:eastAsia="Calibri"/>
          <w:sz w:val="22"/>
          <w:szCs w:val="22"/>
        </w:rPr>
      </w:pPr>
    </w:p>
    <w:p w:rsidR="00467927" w:rsidRDefault="00287EDF" w:rsidP="00B60CF7">
      <w:pPr>
        <w:spacing w:line="240" w:lineRule="auto"/>
        <w:jc w:val="left"/>
        <w:rPr>
          <w:rFonts w:eastAsia="Calibri"/>
          <w:sz w:val="22"/>
          <w:szCs w:val="22"/>
        </w:rPr>
      </w:pPr>
      <w:r>
        <w:rPr>
          <w:rFonts w:eastAsia="Calibri"/>
          <w:sz w:val="22"/>
          <w:szCs w:val="22"/>
        </w:rPr>
        <w:br w:type="column"/>
      </w:r>
      <w:r w:rsidR="00467927">
        <w:rPr>
          <w:rFonts w:eastAsia="Calibri"/>
          <w:sz w:val="22"/>
          <w:szCs w:val="22"/>
        </w:rPr>
        <w:lastRenderedPageBreak/>
        <w:t>Bruce J. Weston</w:t>
      </w:r>
    </w:p>
    <w:p w:rsidR="00467927" w:rsidRDefault="00467927" w:rsidP="00B60CF7">
      <w:pPr>
        <w:spacing w:line="240" w:lineRule="auto"/>
        <w:jc w:val="left"/>
        <w:rPr>
          <w:rFonts w:eastAsia="Calibri"/>
          <w:sz w:val="22"/>
          <w:szCs w:val="22"/>
        </w:rPr>
      </w:pPr>
      <w:r>
        <w:rPr>
          <w:rFonts w:eastAsia="Calibri"/>
          <w:sz w:val="22"/>
          <w:szCs w:val="22"/>
        </w:rPr>
        <w:t>Ohio Consumers’ Counsel</w:t>
      </w:r>
    </w:p>
    <w:p w:rsidR="00467927" w:rsidRDefault="00467927" w:rsidP="00B60CF7">
      <w:pPr>
        <w:spacing w:line="240" w:lineRule="auto"/>
        <w:jc w:val="left"/>
        <w:rPr>
          <w:rFonts w:eastAsia="Calibri"/>
          <w:sz w:val="22"/>
          <w:szCs w:val="22"/>
        </w:rPr>
      </w:pPr>
    </w:p>
    <w:p w:rsidR="00467927" w:rsidRDefault="00467927" w:rsidP="00B60CF7">
      <w:pPr>
        <w:spacing w:line="240" w:lineRule="auto"/>
        <w:jc w:val="left"/>
        <w:rPr>
          <w:rFonts w:eastAsia="Calibri"/>
          <w:sz w:val="22"/>
          <w:szCs w:val="22"/>
        </w:rPr>
      </w:pPr>
      <w:r>
        <w:rPr>
          <w:rFonts w:eastAsia="Calibri"/>
          <w:sz w:val="22"/>
          <w:szCs w:val="22"/>
        </w:rPr>
        <w:t>Michael J. Schuler (0082390)</w:t>
      </w:r>
    </w:p>
    <w:p w:rsidR="00467927" w:rsidRDefault="00467927" w:rsidP="00B60CF7">
      <w:pPr>
        <w:spacing w:line="240" w:lineRule="auto"/>
        <w:jc w:val="left"/>
        <w:rPr>
          <w:rFonts w:eastAsia="Calibri"/>
          <w:sz w:val="22"/>
          <w:szCs w:val="22"/>
        </w:rPr>
      </w:pPr>
      <w:r>
        <w:rPr>
          <w:rFonts w:eastAsia="Calibri"/>
          <w:sz w:val="22"/>
          <w:szCs w:val="22"/>
        </w:rPr>
        <w:t>Assistant Consumers’ Counsel</w:t>
      </w:r>
    </w:p>
    <w:p w:rsidR="00467927" w:rsidRDefault="00467927" w:rsidP="00B60CF7">
      <w:pPr>
        <w:spacing w:line="240" w:lineRule="auto"/>
        <w:jc w:val="left"/>
        <w:rPr>
          <w:rFonts w:eastAsia="Calibri"/>
          <w:sz w:val="22"/>
          <w:szCs w:val="22"/>
        </w:rPr>
      </w:pPr>
      <w:r>
        <w:rPr>
          <w:rFonts w:eastAsia="Calibri"/>
          <w:sz w:val="22"/>
          <w:szCs w:val="22"/>
        </w:rPr>
        <w:t>10 West Broad Street, Suite 1800</w:t>
      </w:r>
    </w:p>
    <w:p w:rsidR="00467927" w:rsidRDefault="00467927" w:rsidP="00B60CF7">
      <w:pPr>
        <w:spacing w:line="240" w:lineRule="auto"/>
        <w:jc w:val="left"/>
        <w:rPr>
          <w:rFonts w:eastAsia="Calibri"/>
          <w:sz w:val="22"/>
          <w:szCs w:val="22"/>
        </w:rPr>
      </w:pPr>
      <w:r>
        <w:rPr>
          <w:rFonts w:eastAsia="Calibri"/>
          <w:sz w:val="22"/>
          <w:szCs w:val="22"/>
        </w:rPr>
        <w:t>Columbus, OH  43215-3485</w:t>
      </w:r>
    </w:p>
    <w:p w:rsidR="00467927" w:rsidRDefault="0001512C" w:rsidP="00B60CF7">
      <w:pPr>
        <w:spacing w:line="240" w:lineRule="auto"/>
        <w:jc w:val="left"/>
        <w:rPr>
          <w:rFonts w:eastAsia="Calibri"/>
          <w:sz w:val="22"/>
          <w:szCs w:val="22"/>
        </w:rPr>
      </w:pPr>
      <w:hyperlink r:id="rId23" w:history="1">
        <w:r w:rsidR="00467927" w:rsidRPr="00920754">
          <w:rPr>
            <w:rStyle w:val="Hyperlink"/>
            <w:rFonts w:eastAsia="Calibri"/>
            <w:sz w:val="22"/>
            <w:szCs w:val="22"/>
          </w:rPr>
          <w:t>Michael.schuler@occ.ohio.gov</w:t>
        </w:r>
      </w:hyperlink>
    </w:p>
    <w:p w:rsidR="00467927" w:rsidRDefault="00467927" w:rsidP="00B60CF7">
      <w:pPr>
        <w:spacing w:line="240" w:lineRule="auto"/>
        <w:jc w:val="left"/>
        <w:rPr>
          <w:rFonts w:eastAsia="Calibri"/>
          <w:sz w:val="22"/>
          <w:szCs w:val="22"/>
        </w:rPr>
      </w:pPr>
    </w:p>
    <w:p w:rsidR="00467927" w:rsidRDefault="00467927" w:rsidP="00B60CF7">
      <w:pPr>
        <w:spacing w:line="240" w:lineRule="auto"/>
        <w:jc w:val="left"/>
        <w:rPr>
          <w:rFonts w:eastAsia="Calibri"/>
          <w:sz w:val="22"/>
          <w:szCs w:val="22"/>
        </w:rPr>
      </w:pPr>
      <w:r>
        <w:rPr>
          <w:rFonts w:eastAsia="Calibri"/>
          <w:sz w:val="22"/>
          <w:szCs w:val="22"/>
        </w:rPr>
        <w:t>Kimberly W. Bojko (0069402)</w:t>
      </w:r>
    </w:p>
    <w:p w:rsidR="00467927" w:rsidRDefault="00467927" w:rsidP="00B60CF7">
      <w:pPr>
        <w:spacing w:line="240" w:lineRule="auto"/>
        <w:jc w:val="left"/>
        <w:rPr>
          <w:rFonts w:eastAsia="Calibri"/>
          <w:sz w:val="22"/>
          <w:szCs w:val="22"/>
        </w:rPr>
      </w:pPr>
      <w:r>
        <w:rPr>
          <w:rFonts w:eastAsia="Calibri"/>
          <w:sz w:val="22"/>
          <w:szCs w:val="22"/>
        </w:rPr>
        <w:t>Carpenter Lipps &amp; Leland LLP</w:t>
      </w:r>
    </w:p>
    <w:p w:rsidR="00467927" w:rsidRDefault="00467927" w:rsidP="00B60CF7">
      <w:pPr>
        <w:spacing w:line="240" w:lineRule="auto"/>
        <w:jc w:val="left"/>
        <w:rPr>
          <w:rFonts w:eastAsia="Calibri"/>
          <w:sz w:val="22"/>
          <w:szCs w:val="22"/>
        </w:rPr>
      </w:pPr>
      <w:r>
        <w:rPr>
          <w:rFonts w:eastAsia="Calibri"/>
          <w:sz w:val="22"/>
          <w:szCs w:val="22"/>
        </w:rPr>
        <w:t>280 Plaza, Suite 1300</w:t>
      </w:r>
    </w:p>
    <w:p w:rsidR="00467927" w:rsidRDefault="00467927" w:rsidP="00B60CF7">
      <w:pPr>
        <w:spacing w:line="240" w:lineRule="auto"/>
        <w:jc w:val="left"/>
        <w:rPr>
          <w:rFonts w:eastAsia="Calibri"/>
          <w:sz w:val="22"/>
          <w:szCs w:val="22"/>
        </w:rPr>
      </w:pPr>
      <w:r>
        <w:rPr>
          <w:rFonts w:eastAsia="Calibri"/>
          <w:sz w:val="22"/>
          <w:szCs w:val="22"/>
        </w:rPr>
        <w:t>280 North High Street</w:t>
      </w:r>
    </w:p>
    <w:p w:rsidR="00467927" w:rsidRDefault="00467927" w:rsidP="00B60CF7">
      <w:pPr>
        <w:spacing w:line="240" w:lineRule="auto"/>
        <w:jc w:val="left"/>
        <w:rPr>
          <w:rFonts w:eastAsia="Calibri"/>
          <w:sz w:val="22"/>
          <w:szCs w:val="22"/>
        </w:rPr>
      </w:pPr>
      <w:r>
        <w:rPr>
          <w:rFonts w:eastAsia="Calibri"/>
          <w:sz w:val="22"/>
          <w:szCs w:val="22"/>
        </w:rPr>
        <w:t>Columbus, OH  43215</w:t>
      </w:r>
    </w:p>
    <w:p w:rsidR="00467927" w:rsidRDefault="0001512C" w:rsidP="00B60CF7">
      <w:pPr>
        <w:spacing w:line="240" w:lineRule="auto"/>
        <w:jc w:val="left"/>
        <w:rPr>
          <w:rFonts w:eastAsia="Calibri"/>
          <w:sz w:val="22"/>
          <w:szCs w:val="22"/>
        </w:rPr>
      </w:pPr>
      <w:hyperlink r:id="rId24" w:history="1">
        <w:r w:rsidR="00467927" w:rsidRPr="00920754">
          <w:rPr>
            <w:rStyle w:val="Hyperlink"/>
            <w:rFonts w:eastAsia="Calibri"/>
            <w:sz w:val="22"/>
            <w:szCs w:val="22"/>
          </w:rPr>
          <w:t>Bojko@carpenterlipps.com</w:t>
        </w:r>
      </w:hyperlink>
    </w:p>
    <w:p w:rsidR="00467927" w:rsidRDefault="00467927" w:rsidP="00B60CF7">
      <w:pPr>
        <w:spacing w:line="240" w:lineRule="auto"/>
        <w:jc w:val="left"/>
        <w:rPr>
          <w:rFonts w:eastAsia="Calibri"/>
          <w:sz w:val="22"/>
          <w:szCs w:val="22"/>
        </w:rPr>
      </w:pPr>
    </w:p>
    <w:p w:rsidR="00467927" w:rsidRPr="00AC6AE0" w:rsidRDefault="00467927"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On Behalf of the Office of the Ohio Consumers’ Counsel</w:t>
      </w:r>
    </w:p>
    <w:p w:rsidR="00467927" w:rsidRDefault="00467927" w:rsidP="00B60CF7">
      <w:pPr>
        <w:spacing w:line="240" w:lineRule="auto"/>
        <w:jc w:val="left"/>
        <w:rPr>
          <w:rFonts w:eastAsia="Calibri"/>
          <w:sz w:val="22"/>
          <w:szCs w:val="22"/>
        </w:rPr>
      </w:pPr>
    </w:p>
    <w:p w:rsidR="00467927" w:rsidRDefault="00467927" w:rsidP="00B60CF7">
      <w:pPr>
        <w:spacing w:line="240" w:lineRule="auto"/>
        <w:jc w:val="left"/>
        <w:rPr>
          <w:rFonts w:eastAsia="Calibri"/>
          <w:sz w:val="22"/>
          <w:szCs w:val="22"/>
        </w:rPr>
      </w:pPr>
      <w:r>
        <w:rPr>
          <w:rFonts w:eastAsia="Calibri"/>
          <w:sz w:val="22"/>
          <w:szCs w:val="22"/>
        </w:rPr>
        <w:t>Colleen L. Mooney (0015668)</w:t>
      </w:r>
    </w:p>
    <w:p w:rsidR="00467927" w:rsidRDefault="00467927" w:rsidP="00B60CF7">
      <w:pPr>
        <w:spacing w:line="240" w:lineRule="auto"/>
        <w:jc w:val="left"/>
        <w:rPr>
          <w:rFonts w:eastAsia="Calibri"/>
          <w:sz w:val="22"/>
          <w:szCs w:val="22"/>
        </w:rPr>
      </w:pPr>
      <w:r>
        <w:rPr>
          <w:rFonts w:eastAsia="Calibri"/>
          <w:sz w:val="22"/>
          <w:szCs w:val="22"/>
        </w:rPr>
        <w:t>Ohio Partners for Affordable Energy</w:t>
      </w:r>
    </w:p>
    <w:p w:rsidR="00467927" w:rsidRDefault="00467927" w:rsidP="00B60CF7">
      <w:pPr>
        <w:spacing w:line="240" w:lineRule="auto"/>
        <w:jc w:val="left"/>
        <w:rPr>
          <w:rFonts w:eastAsia="Calibri"/>
          <w:sz w:val="22"/>
          <w:szCs w:val="22"/>
        </w:rPr>
      </w:pPr>
      <w:r>
        <w:rPr>
          <w:rFonts w:eastAsia="Calibri"/>
          <w:sz w:val="22"/>
          <w:szCs w:val="22"/>
        </w:rPr>
        <w:t>231 West Lima Street</w:t>
      </w:r>
    </w:p>
    <w:p w:rsidR="00467927" w:rsidRDefault="00467927" w:rsidP="00B60CF7">
      <w:pPr>
        <w:spacing w:line="240" w:lineRule="auto"/>
        <w:jc w:val="left"/>
        <w:rPr>
          <w:rFonts w:eastAsia="Calibri"/>
          <w:sz w:val="22"/>
          <w:szCs w:val="22"/>
        </w:rPr>
      </w:pPr>
      <w:r>
        <w:rPr>
          <w:rFonts w:eastAsia="Calibri"/>
          <w:sz w:val="22"/>
          <w:szCs w:val="22"/>
        </w:rPr>
        <w:t>Findlay, OH  45839-1793</w:t>
      </w:r>
    </w:p>
    <w:p w:rsidR="00467927" w:rsidRDefault="0001512C" w:rsidP="00B60CF7">
      <w:pPr>
        <w:spacing w:line="240" w:lineRule="auto"/>
        <w:jc w:val="left"/>
        <w:rPr>
          <w:rFonts w:eastAsia="Calibri"/>
          <w:sz w:val="22"/>
          <w:szCs w:val="22"/>
        </w:rPr>
      </w:pPr>
      <w:hyperlink r:id="rId25" w:history="1">
        <w:r w:rsidR="00467927" w:rsidRPr="00920754">
          <w:rPr>
            <w:rStyle w:val="Hyperlink"/>
            <w:rFonts w:eastAsia="Calibri"/>
            <w:sz w:val="22"/>
            <w:szCs w:val="22"/>
          </w:rPr>
          <w:t>cmooney@ohiopartners.org</w:t>
        </w:r>
      </w:hyperlink>
    </w:p>
    <w:p w:rsidR="00467927" w:rsidRDefault="00467927" w:rsidP="00B60CF7">
      <w:pPr>
        <w:spacing w:line="240" w:lineRule="auto"/>
        <w:jc w:val="left"/>
        <w:rPr>
          <w:rFonts w:eastAsia="Calibri"/>
          <w:sz w:val="22"/>
          <w:szCs w:val="22"/>
        </w:rPr>
      </w:pPr>
    </w:p>
    <w:p w:rsidR="00467927" w:rsidRPr="00AC6AE0" w:rsidRDefault="00287EDF"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On Behalf of Ohio Partners for Affordable Energy</w:t>
      </w:r>
    </w:p>
    <w:p w:rsidR="00287EDF" w:rsidRDefault="00287EDF" w:rsidP="00B60CF7">
      <w:pPr>
        <w:spacing w:line="240" w:lineRule="auto"/>
        <w:jc w:val="left"/>
        <w:rPr>
          <w:rFonts w:eastAsia="Calibri"/>
          <w:sz w:val="22"/>
          <w:szCs w:val="22"/>
        </w:rPr>
      </w:pPr>
    </w:p>
    <w:p w:rsidR="00287EDF" w:rsidRDefault="00287EDF" w:rsidP="00B60CF7">
      <w:pPr>
        <w:spacing w:line="240" w:lineRule="auto"/>
        <w:jc w:val="left"/>
        <w:rPr>
          <w:rFonts w:eastAsia="Calibri"/>
          <w:sz w:val="22"/>
          <w:szCs w:val="22"/>
        </w:rPr>
        <w:sectPr w:rsidR="00287EDF">
          <w:type w:val="continuous"/>
          <w:pgSz w:w="12240" w:h="15840" w:code="1"/>
          <w:pgMar w:top="1440" w:right="1440" w:bottom="1440" w:left="1440" w:header="720" w:footer="720" w:gutter="0"/>
          <w:cols w:num="2" w:space="720"/>
          <w:titlePg/>
          <w:docGrid w:linePitch="360"/>
        </w:sectPr>
      </w:pPr>
    </w:p>
    <w:p w:rsidR="00F252CA" w:rsidRDefault="00F252CA" w:rsidP="00B60CF7">
      <w:pPr>
        <w:spacing w:line="240" w:lineRule="auto"/>
        <w:jc w:val="left"/>
        <w:rPr>
          <w:rFonts w:eastAsia="Calibri"/>
          <w:sz w:val="22"/>
          <w:szCs w:val="22"/>
        </w:rPr>
      </w:pPr>
      <w:r>
        <w:rPr>
          <w:rFonts w:eastAsia="Calibri"/>
          <w:sz w:val="22"/>
          <w:szCs w:val="22"/>
        </w:rPr>
        <w:lastRenderedPageBreak/>
        <w:t>Steven T. Nourse</w:t>
      </w:r>
    </w:p>
    <w:p w:rsidR="00F252CA" w:rsidRDefault="00F252CA" w:rsidP="00B60CF7">
      <w:pPr>
        <w:spacing w:line="240" w:lineRule="auto"/>
        <w:jc w:val="left"/>
        <w:rPr>
          <w:rFonts w:eastAsia="Calibri"/>
          <w:sz w:val="22"/>
          <w:szCs w:val="22"/>
        </w:rPr>
      </w:pPr>
      <w:r>
        <w:rPr>
          <w:rFonts w:eastAsia="Calibri"/>
          <w:sz w:val="22"/>
          <w:szCs w:val="22"/>
        </w:rPr>
        <w:t>Matthew J. Satterwhite</w:t>
      </w:r>
    </w:p>
    <w:p w:rsidR="00F252CA" w:rsidRDefault="00F252CA" w:rsidP="00B60CF7">
      <w:pPr>
        <w:spacing w:line="240" w:lineRule="auto"/>
        <w:jc w:val="left"/>
        <w:rPr>
          <w:rFonts w:eastAsia="Calibri"/>
          <w:sz w:val="22"/>
          <w:szCs w:val="22"/>
        </w:rPr>
      </w:pPr>
      <w:r>
        <w:rPr>
          <w:rFonts w:eastAsia="Calibri"/>
          <w:sz w:val="22"/>
          <w:szCs w:val="22"/>
        </w:rPr>
        <w:t>American Electric Power Service Corporation</w:t>
      </w:r>
    </w:p>
    <w:p w:rsidR="00F252CA" w:rsidRDefault="00F252CA" w:rsidP="00B60CF7">
      <w:pPr>
        <w:spacing w:line="240" w:lineRule="auto"/>
        <w:jc w:val="left"/>
        <w:rPr>
          <w:rFonts w:eastAsia="Calibri"/>
          <w:sz w:val="22"/>
          <w:szCs w:val="22"/>
        </w:rPr>
      </w:pPr>
      <w:r>
        <w:rPr>
          <w:rFonts w:eastAsia="Calibri"/>
          <w:sz w:val="22"/>
          <w:szCs w:val="22"/>
        </w:rPr>
        <w:t>1 Riverside Plaza, 29</w:t>
      </w:r>
      <w:r w:rsidRPr="00AC6AE0">
        <w:rPr>
          <w:rFonts w:eastAsia="Calibri"/>
          <w:sz w:val="22"/>
          <w:szCs w:val="22"/>
          <w:vertAlign w:val="superscript"/>
        </w:rPr>
        <w:t>th</w:t>
      </w:r>
      <w:r>
        <w:rPr>
          <w:rFonts w:eastAsia="Calibri"/>
          <w:sz w:val="22"/>
          <w:szCs w:val="22"/>
        </w:rPr>
        <w:t xml:space="preserve"> Floor</w:t>
      </w:r>
    </w:p>
    <w:p w:rsidR="00F252CA" w:rsidRDefault="00F252CA" w:rsidP="00B60CF7">
      <w:pPr>
        <w:spacing w:line="240" w:lineRule="auto"/>
        <w:jc w:val="left"/>
        <w:rPr>
          <w:rFonts w:eastAsia="Calibri"/>
          <w:sz w:val="22"/>
          <w:szCs w:val="22"/>
        </w:rPr>
      </w:pPr>
      <w:r>
        <w:rPr>
          <w:rFonts w:eastAsia="Calibri"/>
          <w:sz w:val="22"/>
          <w:szCs w:val="22"/>
        </w:rPr>
        <w:t>Columbus, OH  43215</w:t>
      </w:r>
    </w:p>
    <w:p w:rsidR="00F252CA" w:rsidRDefault="0001512C" w:rsidP="00B60CF7">
      <w:pPr>
        <w:spacing w:line="240" w:lineRule="auto"/>
        <w:jc w:val="left"/>
        <w:rPr>
          <w:rFonts w:eastAsia="Calibri"/>
          <w:sz w:val="22"/>
          <w:szCs w:val="22"/>
        </w:rPr>
      </w:pPr>
      <w:hyperlink r:id="rId26" w:history="1">
        <w:r w:rsidR="00F252CA" w:rsidRPr="00920754">
          <w:rPr>
            <w:rStyle w:val="Hyperlink"/>
            <w:rFonts w:eastAsia="Calibri"/>
            <w:sz w:val="22"/>
            <w:szCs w:val="22"/>
          </w:rPr>
          <w:t>stnourse@aep.com</w:t>
        </w:r>
      </w:hyperlink>
    </w:p>
    <w:p w:rsidR="00F252CA" w:rsidRDefault="0001512C" w:rsidP="00B60CF7">
      <w:pPr>
        <w:spacing w:line="240" w:lineRule="auto"/>
        <w:jc w:val="left"/>
        <w:rPr>
          <w:rFonts w:eastAsia="Calibri"/>
          <w:sz w:val="22"/>
          <w:szCs w:val="22"/>
        </w:rPr>
      </w:pPr>
      <w:hyperlink r:id="rId27" w:history="1">
        <w:r w:rsidR="00F252CA" w:rsidRPr="00920754">
          <w:rPr>
            <w:rStyle w:val="Hyperlink"/>
            <w:rFonts w:eastAsia="Calibri"/>
            <w:sz w:val="22"/>
            <w:szCs w:val="22"/>
          </w:rPr>
          <w:t>mjsatterwhite@aep.com</w:t>
        </w:r>
      </w:hyperlink>
    </w:p>
    <w:p w:rsidR="00F252CA" w:rsidRDefault="00F252CA" w:rsidP="00B60CF7">
      <w:pPr>
        <w:spacing w:line="240" w:lineRule="auto"/>
        <w:jc w:val="left"/>
        <w:rPr>
          <w:rFonts w:eastAsia="Calibri"/>
          <w:sz w:val="22"/>
          <w:szCs w:val="22"/>
        </w:rPr>
      </w:pPr>
    </w:p>
    <w:p w:rsidR="00F252CA" w:rsidRPr="00AC6AE0" w:rsidRDefault="00F252CA"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On Behalf of Ohio Power Company</w:t>
      </w:r>
    </w:p>
    <w:p w:rsidR="00F252CA" w:rsidRDefault="00F252CA" w:rsidP="00B60CF7">
      <w:pPr>
        <w:spacing w:line="240" w:lineRule="auto"/>
        <w:jc w:val="left"/>
        <w:rPr>
          <w:rFonts w:eastAsia="Calibri"/>
          <w:sz w:val="22"/>
          <w:szCs w:val="22"/>
        </w:rPr>
      </w:pPr>
    </w:p>
    <w:p w:rsidR="00287EDF" w:rsidRDefault="00287EDF" w:rsidP="00B60CF7">
      <w:pPr>
        <w:spacing w:line="240" w:lineRule="auto"/>
        <w:jc w:val="left"/>
        <w:rPr>
          <w:rFonts w:eastAsia="Calibri"/>
          <w:sz w:val="22"/>
          <w:szCs w:val="22"/>
        </w:rPr>
      </w:pPr>
      <w:r>
        <w:rPr>
          <w:rFonts w:eastAsia="Calibri"/>
          <w:sz w:val="22"/>
          <w:szCs w:val="22"/>
        </w:rPr>
        <w:t>William Wright</w:t>
      </w:r>
    </w:p>
    <w:p w:rsidR="00287EDF" w:rsidRDefault="00287EDF" w:rsidP="00B60CF7">
      <w:pPr>
        <w:spacing w:line="240" w:lineRule="auto"/>
        <w:jc w:val="left"/>
        <w:rPr>
          <w:rFonts w:eastAsia="Calibri"/>
          <w:sz w:val="22"/>
          <w:szCs w:val="22"/>
        </w:rPr>
      </w:pPr>
      <w:r>
        <w:rPr>
          <w:rFonts w:eastAsia="Calibri"/>
          <w:sz w:val="22"/>
          <w:szCs w:val="22"/>
        </w:rPr>
        <w:t>Attorney General’s Office</w:t>
      </w:r>
    </w:p>
    <w:p w:rsidR="00287EDF" w:rsidRDefault="00287EDF" w:rsidP="00B60CF7">
      <w:pPr>
        <w:spacing w:line="240" w:lineRule="auto"/>
        <w:jc w:val="left"/>
        <w:rPr>
          <w:rFonts w:eastAsia="Calibri"/>
          <w:sz w:val="22"/>
          <w:szCs w:val="22"/>
        </w:rPr>
      </w:pPr>
      <w:r>
        <w:rPr>
          <w:rFonts w:eastAsia="Calibri"/>
          <w:sz w:val="22"/>
          <w:szCs w:val="22"/>
        </w:rPr>
        <w:t>Public Utilities Commission of Ohio</w:t>
      </w:r>
    </w:p>
    <w:p w:rsidR="00287EDF" w:rsidRDefault="00287EDF" w:rsidP="00B60CF7">
      <w:pPr>
        <w:spacing w:line="240" w:lineRule="auto"/>
        <w:jc w:val="left"/>
        <w:rPr>
          <w:rFonts w:eastAsia="Calibri"/>
          <w:sz w:val="22"/>
          <w:szCs w:val="22"/>
        </w:rPr>
      </w:pPr>
      <w:r>
        <w:rPr>
          <w:rFonts w:eastAsia="Calibri"/>
          <w:sz w:val="22"/>
          <w:szCs w:val="22"/>
        </w:rPr>
        <w:t>180 E. Broad St., 6</w:t>
      </w:r>
      <w:r w:rsidRPr="00AC6AE0">
        <w:rPr>
          <w:rFonts w:eastAsia="Calibri"/>
          <w:sz w:val="22"/>
          <w:szCs w:val="22"/>
          <w:vertAlign w:val="superscript"/>
        </w:rPr>
        <w:t>th</w:t>
      </w:r>
      <w:r>
        <w:rPr>
          <w:rFonts w:eastAsia="Calibri"/>
          <w:sz w:val="22"/>
          <w:szCs w:val="22"/>
        </w:rPr>
        <w:t xml:space="preserve"> Floor</w:t>
      </w:r>
    </w:p>
    <w:p w:rsidR="00287EDF" w:rsidRDefault="00287EDF" w:rsidP="00B60CF7">
      <w:pPr>
        <w:spacing w:line="240" w:lineRule="auto"/>
        <w:jc w:val="left"/>
        <w:rPr>
          <w:rFonts w:eastAsia="Calibri"/>
          <w:sz w:val="22"/>
          <w:szCs w:val="22"/>
        </w:rPr>
      </w:pPr>
      <w:r>
        <w:rPr>
          <w:rFonts w:eastAsia="Calibri"/>
          <w:sz w:val="22"/>
          <w:szCs w:val="22"/>
        </w:rPr>
        <w:t>Columbus, OH  43215</w:t>
      </w:r>
    </w:p>
    <w:p w:rsidR="00287EDF" w:rsidRDefault="0001512C" w:rsidP="00B60CF7">
      <w:pPr>
        <w:spacing w:line="240" w:lineRule="auto"/>
        <w:jc w:val="left"/>
        <w:rPr>
          <w:rFonts w:eastAsia="Calibri"/>
          <w:sz w:val="22"/>
          <w:szCs w:val="22"/>
        </w:rPr>
      </w:pPr>
      <w:hyperlink r:id="rId28" w:history="1">
        <w:r w:rsidR="00287EDF" w:rsidRPr="00920754">
          <w:rPr>
            <w:rStyle w:val="Hyperlink"/>
            <w:rFonts w:eastAsia="Calibri"/>
            <w:sz w:val="22"/>
            <w:szCs w:val="22"/>
          </w:rPr>
          <w:t>William.wright@puc.state.oh.us</w:t>
        </w:r>
      </w:hyperlink>
    </w:p>
    <w:p w:rsidR="00287EDF" w:rsidRDefault="00287EDF" w:rsidP="00B60CF7">
      <w:pPr>
        <w:spacing w:line="240" w:lineRule="auto"/>
        <w:jc w:val="left"/>
        <w:rPr>
          <w:rFonts w:eastAsia="Calibri"/>
          <w:sz w:val="22"/>
          <w:szCs w:val="22"/>
        </w:rPr>
      </w:pPr>
    </w:p>
    <w:p w:rsidR="00287EDF" w:rsidRPr="00AC6AE0" w:rsidRDefault="00287EDF"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On Behalf of the Public Utilities Commission of Ohio</w:t>
      </w:r>
    </w:p>
    <w:p w:rsidR="00287EDF" w:rsidRDefault="00287EDF" w:rsidP="00B60CF7">
      <w:pPr>
        <w:spacing w:line="240" w:lineRule="auto"/>
        <w:jc w:val="left"/>
        <w:rPr>
          <w:rFonts w:eastAsia="Calibri"/>
          <w:sz w:val="22"/>
          <w:szCs w:val="22"/>
        </w:rPr>
      </w:pPr>
    </w:p>
    <w:p w:rsidR="00287EDF" w:rsidRDefault="00287EDF" w:rsidP="00B60CF7">
      <w:pPr>
        <w:spacing w:line="240" w:lineRule="auto"/>
        <w:jc w:val="left"/>
        <w:rPr>
          <w:rFonts w:eastAsia="Calibri"/>
          <w:sz w:val="22"/>
          <w:szCs w:val="22"/>
        </w:rPr>
      </w:pPr>
      <w:r>
        <w:rPr>
          <w:rFonts w:eastAsia="Calibri"/>
          <w:sz w:val="22"/>
          <w:szCs w:val="22"/>
        </w:rPr>
        <w:t>Bryce McKenney</w:t>
      </w:r>
    </w:p>
    <w:p w:rsidR="00287EDF" w:rsidRDefault="00287EDF" w:rsidP="00B60CF7">
      <w:pPr>
        <w:spacing w:line="240" w:lineRule="auto"/>
        <w:jc w:val="left"/>
        <w:rPr>
          <w:rFonts w:eastAsia="Calibri"/>
          <w:sz w:val="22"/>
          <w:szCs w:val="22"/>
        </w:rPr>
      </w:pPr>
      <w:r>
        <w:rPr>
          <w:rFonts w:eastAsia="Calibri"/>
          <w:sz w:val="22"/>
          <w:szCs w:val="22"/>
        </w:rPr>
        <w:t>Attorney Examiner</w:t>
      </w:r>
    </w:p>
    <w:p w:rsidR="00287EDF" w:rsidRDefault="00287EDF" w:rsidP="00B60CF7">
      <w:pPr>
        <w:spacing w:line="240" w:lineRule="auto"/>
        <w:jc w:val="left"/>
        <w:rPr>
          <w:rFonts w:eastAsia="Calibri"/>
          <w:sz w:val="22"/>
          <w:szCs w:val="22"/>
        </w:rPr>
      </w:pPr>
      <w:r>
        <w:rPr>
          <w:rFonts w:eastAsia="Calibri"/>
          <w:sz w:val="22"/>
          <w:szCs w:val="22"/>
        </w:rPr>
        <w:t>180 E. Broad St., 6</w:t>
      </w:r>
      <w:r w:rsidRPr="00AC6AE0">
        <w:rPr>
          <w:rFonts w:eastAsia="Calibri"/>
          <w:sz w:val="22"/>
          <w:szCs w:val="22"/>
          <w:vertAlign w:val="superscript"/>
        </w:rPr>
        <w:t>th</w:t>
      </w:r>
      <w:r>
        <w:rPr>
          <w:rFonts w:eastAsia="Calibri"/>
          <w:sz w:val="22"/>
          <w:szCs w:val="22"/>
        </w:rPr>
        <w:t xml:space="preserve"> Floor</w:t>
      </w:r>
    </w:p>
    <w:p w:rsidR="00287EDF" w:rsidRDefault="00287EDF" w:rsidP="00B60CF7">
      <w:pPr>
        <w:spacing w:line="240" w:lineRule="auto"/>
        <w:jc w:val="left"/>
        <w:rPr>
          <w:rFonts w:eastAsia="Calibri"/>
          <w:sz w:val="22"/>
          <w:szCs w:val="22"/>
        </w:rPr>
      </w:pPr>
      <w:r>
        <w:rPr>
          <w:rFonts w:eastAsia="Calibri"/>
          <w:sz w:val="22"/>
          <w:szCs w:val="22"/>
        </w:rPr>
        <w:t>Columbus, OH  43215</w:t>
      </w:r>
    </w:p>
    <w:p w:rsidR="00287EDF" w:rsidRDefault="0001512C" w:rsidP="00B60CF7">
      <w:pPr>
        <w:spacing w:line="240" w:lineRule="auto"/>
        <w:jc w:val="left"/>
        <w:rPr>
          <w:rFonts w:eastAsia="Calibri"/>
          <w:sz w:val="22"/>
          <w:szCs w:val="22"/>
        </w:rPr>
      </w:pPr>
      <w:hyperlink r:id="rId29" w:history="1">
        <w:r w:rsidR="00287EDF" w:rsidRPr="00920754">
          <w:rPr>
            <w:rStyle w:val="Hyperlink"/>
            <w:rFonts w:eastAsia="Calibri"/>
            <w:sz w:val="22"/>
            <w:szCs w:val="22"/>
          </w:rPr>
          <w:t>Bryce.mckenney@puc.state.oh.us</w:t>
        </w:r>
      </w:hyperlink>
    </w:p>
    <w:p w:rsidR="00287EDF" w:rsidRDefault="00287EDF" w:rsidP="00B60CF7">
      <w:pPr>
        <w:spacing w:line="240" w:lineRule="auto"/>
        <w:jc w:val="left"/>
        <w:rPr>
          <w:rFonts w:eastAsia="Calibri"/>
          <w:sz w:val="22"/>
          <w:szCs w:val="22"/>
        </w:rPr>
      </w:pPr>
    </w:p>
    <w:p w:rsidR="00287EDF" w:rsidRPr="00AC6AE0" w:rsidRDefault="00287EDF" w:rsidP="00B60CF7">
      <w:pPr>
        <w:spacing w:line="240" w:lineRule="auto"/>
        <w:jc w:val="left"/>
        <w:rPr>
          <w:rFonts w:ascii="Arial Bold" w:eastAsia="Calibri" w:hAnsi="Arial Bold"/>
          <w:b/>
          <w:smallCaps/>
          <w:sz w:val="22"/>
          <w:szCs w:val="22"/>
        </w:rPr>
      </w:pPr>
      <w:r w:rsidRPr="00AC6AE0">
        <w:rPr>
          <w:rFonts w:ascii="Arial Bold" w:eastAsia="Calibri" w:hAnsi="Arial Bold"/>
          <w:b/>
          <w:smallCaps/>
          <w:sz w:val="22"/>
          <w:szCs w:val="22"/>
        </w:rPr>
        <w:t>Attorney Examiner</w:t>
      </w:r>
    </w:p>
    <w:sectPr w:rsidR="00287EDF" w:rsidRPr="00AC6AE0" w:rsidSect="00287EDF">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41" w:rsidRDefault="00B00241">
      <w:r>
        <w:separator/>
      </w:r>
    </w:p>
  </w:endnote>
  <w:endnote w:type="continuationSeparator" w:id="0">
    <w:p w:rsidR="00B00241" w:rsidRDefault="00B0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00241" w:rsidRDefault="00B00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Footer"/>
      <w:framePr w:wrap="around" w:vAnchor="text" w:hAnchor="margin" w:xAlign="center" w:y="1"/>
      <w:rPr>
        <w:rStyle w:val="PageNumber"/>
        <w:rFonts w:cs="Arial"/>
        <w:noProof/>
      </w:rPr>
    </w:pPr>
    <w:r w:rsidRPr="00C80791">
      <w:rPr>
        <w:rStyle w:val="PageNumber"/>
        <w:rFonts w:cs="Arial"/>
        <w:noProof/>
      </w:rPr>
      <w:fldChar w:fldCharType="begin"/>
    </w:r>
    <w:r w:rsidRPr="00C80791">
      <w:rPr>
        <w:rStyle w:val="PageNumber"/>
        <w:rFonts w:cs="Arial"/>
        <w:noProof/>
      </w:rPr>
      <w:instrText xml:space="preserve"> PAGE   \* MERGEFORMAT </w:instrText>
    </w:r>
    <w:r w:rsidRPr="00C80791">
      <w:rPr>
        <w:rStyle w:val="PageNumber"/>
        <w:rFonts w:cs="Arial"/>
        <w:noProof/>
      </w:rPr>
      <w:fldChar w:fldCharType="separate"/>
    </w:r>
    <w:r w:rsidR="0001512C">
      <w:rPr>
        <w:rStyle w:val="PageNumber"/>
        <w:rFonts w:cs="Arial"/>
        <w:noProof/>
      </w:rPr>
      <w:t>15</w:t>
    </w:r>
    <w:r w:rsidRPr="00C80791">
      <w:rPr>
        <w:rStyle w:val="PageNumber"/>
        <w:rFonts w:cs="Arial"/>
        <w:noProof/>
      </w:rPr>
      <w:fldChar w:fldCharType="end"/>
    </w:r>
  </w:p>
  <w:p w:rsidR="00B00241" w:rsidRDefault="0001512C">
    <w:pPr>
      <w:pStyle w:val="Footer"/>
    </w:pPr>
    <w:r w:rsidRPr="0001512C">
      <w:rPr>
        <w:sz w:val="16"/>
      </w:rPr>
      <w:t>{C47485:2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01512C">
    <w:pPr>
      <w:pStyle w:val="Footer"/>
    </w:pPr>
    <w:r w:rsidRPr="0001512C">
      <w:rPr>
        <w:noProof/>
        <w:sz w:val="16"/>
      </w:rPr>
      <w:t>{C47485:2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01512C">
    <w:pPr>
      <w:pStyle w:val="Footer"/>
      <w:rPr>
        <w:rFonts w:cs="Arial"/>
      </w:rPr>
    </w:pPr>
    <w:r w:rsidRPr="0001512C">
      <w:rPr>
        <w:rFonts w:cs="Arial"/>
        <w:noProof/>
        <w:sz w:val="16"/>
      </w:rPr>
      <w:t>{C47485:2 }</w:t>
    </w:r>
    <w:sdt>
      <w:sdtPr>
        <w:rPr>
          <w:rFonts w:cs="Arial"/>
        </w:rPr>
        <w:id w:val="137851187"/>
        <w:docPartObj>
          <w:docPartGallery w:val="Page Numbers (Bottom of Page)"/>
          <w:docPartUnique/>
        </w:docPartObj>
      </w:sdtPr>
      <w:sdtEndPr>
        <w:rPr>
          <w:noProof/>
        </w:rPr>
      </w:sdtEndPr>
      <w:sdtContent>
        <w:r w:rsidR="00B00241">
          <w:rPr>
            <w:rFonts w:cs="Arial"/>
          </w:rPr>
          <w:tab/>
        </w:r>
        <w:r w:rsidR="00B00241">
          <w:rPr>
            <w:rFonts w:cs="Arial"/>
          </w:rPr>
          <w:fldChar w:fldCharType="begin"/>
        </w:r>
        <w:r w:rsidR="00B00241">
          <w:rPr>
            <w:rFonts w:cs="Arial"/>
          </w:rPr>
          <w:instrText xml:space="preserve"> PAGE   \* MERGEFORMAT </w:instrText>
        </w:r>
        <w:r w:rsidR="00B00241">
          <w:rPr>
            <w:rFonts w:cs="Arial"/>
          </w:rPr>
          <w:fldChar w:fldCharType="separate"/>
        </w:r>
        <w:r w:rsidR="0088765A">
          <w:rPr>
            <w:rFonts w:cs="Arial"/>
            <w:noProof/>
          </w:rPr>
          <w:t>11</w:t>
        </w:r>
        <w:r w:rsidR="00B00241">
          <w:rPr>
            <w:rFonts w:cs="Arial"/>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01512C">
    <w:pPr>
      <w:pStyle w:val="Footer"/>
      <w:rPr>
        <w:rFonts w:cs="Arial"/>
      </w:rPr>
    </w:pPr>
    <w:r w:rsidRPr="0001512C">
      <w:rPr>
        <w:rFonts w:cs="Arial"/>
        <w:noProof/>
        <w:sz w:val="16"/>
      </w:rPr>
      <w:t>{C47485:2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41" w:rsidRDefault="00B00241">
      <w:pPr>
        <w:rPr>
          <w:noProof/>
        </w:rPr>
      </w:pPr>
      <w:r>
        <w:rPr>
          <w:noProof/>
        </w:rPr>
        <w:separator/>
      </w:r>
    </w:p>
  </w:footnote>
  <w:footnote w:type="continuationSeparator" w:id="0">
    <w:p w:rsidR="00B00241" w:rsidRDefault="00B00241">
      <w:r>
        <w:continuationSeparator/>
      </w:r>
    </w:p>
  </w:footnote>
  <w:footnote w:id="1">
    <w:p w:rsidR="00026F2B" w:rsidRDefault="00026F2B">
      <w:pPr>
        <w:pStyle w:val="FootnoteText"/>
      </w:pPr>
      <w:r>
        <w:rPr>
          <w:rStyle w:val="FootnoteReference"/>
        </w:rPr>
        <w:footnoteRef/>
      </w:r>
      <w:r>
        <w:t xml:space="preserve"> IEU-Ohio is a Commission-certified CRES provider.</w:t>
      </w:r>
      <w:r w:rsidR="00C441F9">
        <w:t xml:space="preserve">  Certificate Number 00-001E(8), issued in Case No. 00-1711-EL-AGG (Oct. 27, 2014).</w:t>
      </w:r>
    </w:p>
  </w:footnote>
  <w:footnote w:id="2">
    <w:p w:rsidR="004059D9" w:rsidRDefault="004059D9">
      <w:pPr>
        <w:pStyle w:val="FootnoteText"/>
      </w:pPr>
      <w:r>
        <w:rPr>
          <w:rStyle w:val="FootnoteReference"/>
        </w:rPr>
        <w:footnoteRef/>
      </w:r>
      <w:r>
        <w:t xml:space="preserve"> Agreements or deed restrictions that contain provisions compelling a consumer to buy energy from a particular supplier may </w:t>
      </w:r>
      <w:r w:rsidR="00CD79D5">
        <w:t xml:space="preserve">be </w:t>
      </w:r>
      <w:r>
        <w:t xml:space="preserve">unlawful irrespective of how particular arrangements might be viewed for purposes of determining if the arrangements subject a supplier of goods or services to public utility status.  </w:t>
      </w:r>
      <w:r w:rsidRPr="00457C5E">
        <w:rPr>
          <w:i/>
        </w:rPr>
        <w:t>Orwel</w:t>
      </w:r>
      <w:r w:rsidR="00CD79D5">
        <w:rPr>
          <w:i/>
        </w:rPr>
        <w:t>l Natural Gas Co., Inc. v Fredon</w:t>
      </w:r>
      <w:r w:rsidRPr="00457C5E">
        <w:rPr>
          <w:i/>
        </w:rPr>
        <w:t xml:space="preserve"> Corp.</w:t>
      </w:r>
      <w:r w:rsidR="00CD79D5">
        <w:t>, 2015-Ohio-1212 (11th Dist. Ct. App. Mar.</w:t>
      </w:r>
      <w:r>
        <w:t xml:space="preserve"> 31, 2015).</w:t>
      </w:r>
    </w:p>
  </w:footnote>
  <w:footnote w:id="3">
    <w:p w:rsidR="00506999" w:rsidRDefault="00506999">
      <w:pPr>
        <w:pStyle w:val="FootnoteText"/>
      </w:pPr>
      <w:r>
        <w:rPr>
          <w:rStyle w:val="FootnoteReference"/>
        </w:rPr>
        <w:footnoteRef/>
      </w:r>
      <w:r>
        <w:t xml:space="preserve"> </w:t>
      </w:r>
      <w:r w:rsidRPr="00506999">
        <w:t>R.C. 4905.03 provides</w:t>
      </w:r>
      <w:r>
        <w:t>:</w:t>
      </w:r>
    </w:p>
    <w:p w:rsidR="00506999" w:rsidRPr="00506999" w:rsidRDefault="00506999" w:rsidP="001460BB">
      <w:pPr>
        <w:pStyle w:val="NormalWeb"/>
        <w:shd w:val="clear" w:color="auto" w:fill="FFFFFF"/>
        <w:spacing w:line="240" w:lineRule="auto"/>
        <w:rPr>
          <w:rFonts w:ascii="Arial" w:hAnsi="Arial" w:cs="Arial"/>
          <w:color w:val="000000"/>
          <w:sz w:val="20"/>
          <w:szCs w:val="20"/>
        </w:rPr>
      </w:pPr>
      <w:r w:rsidRPr="00506999">
        <w:rPr>
          <w:rFonts w:ascii="Arial" w:hAnsi="Arial" w:cs="Arial"/>
          <w:color w:val="000000"/>
          <w:sz w:val="20"/>
          <w:szCs w:val="20"/>
        </w:rPr>
        <w:t>As used in this chapter, any person, firm, copartnership, voluntary association, joint-stock association, company, or corporation, wherever organized or incorporated, is:</w:t>
      </w:r>
    </w:p>
    <w:p w:rsidR="00506999" w:rsidRPr="00506999" w:rsidRDefault="00506999" w:rsidP="001460BB">
      <w:pPr>
        <w:pStyle w:val="NormalWeb"/>
        <w:shd w:val="clear" w:color="auto" w:fill="FFFFFF"/>
        <w:spacing w:line="240" w:lineRule="auto"/>
        <w:rPr>
          <w:rFonts w:ascii="Arial" w:hAnsi="Arial" w:cs="Arial"/>
          <w:color w:val="000000"/>
          <w:sz w:val="20"/>
          <w:szCs w:val="20"/>
        </w:rPr>
      </w:pPr>
      <w:r w:rsidRPr="00506999">
        <w:rPr>
          <w:rFonts w:ascii="Arial" w:hAnsi="Arial" w:cs="Arial"/>
          <w:color w:val="00008B"/>
          <w:sz w:val="20"/>
          <w:szCs w:val="20"/>
        </w:rPr>
        <w:t>…</w:t>
      </w:r>
    </w:p>
    <w:p w:rsidR="00506999" w:rsidRPr="00506999" w:rsidRDefault="00506999" w:rsidP="001460BB">
      <w:pPr>
        <w:pStyle w:val="NormalWeb"/>
        <w:shd w:val="clear" w:color="auto" w:fill="FFFFFF"/>
        <w:spacing w:line="240" w:lineRule="auto"/>
        <w:rPr>
          <w:rFonts w:ascii="Arial" w:hAnsi="Arial" w:cs="Arial"/>
          <w:color w:val="000000"/>
          <w:sz w:val="20"/>
          <w:szCs w:val="20"/>
        </w:rPr>
      </w:pPr>
      <w:bookmarkStart w:id="4" w:name="4905.03(C)"/>
      <w:r w:rsidRPr="00C8387C">
        <w:rPr>
          <w:rFonts w:ascii="Arial" w:hAnsi="Arial" w:cs="Arial"/>
          <w:sz w:val="20"/>
          <w:szCs w:val="20"/>
        </w:rPr>
        <w:t>(C)</w:t>
      </w:r>
      <w:bookmarkEnd w:id="4"/>
      <w:r w:rsidRPr="00506999">
        <w:rPr>
          <w:rStyle w:val="apple-converted-space"/>
          <w:rFonts w:ascii="Arial" w:hAnsi="Arial" w:cs="Arial"/>
          <w:color w:val="000000"/>
          <w:sz w:val="20"/>
          <w:szCs w:val="20"/>
        </w:rPr>
        <w:t> </w:t>
      </w:r>
      <w:r w:rsidR="003E3F4E">
        <w:rPr>
          <w:rStyle w:val="apple-converted-space"/>
          <w:rFonts w:ascii="Arial" w:hAnsi="Arial" w:cs="Arial"/>
          <w:color w:val="000000"/>
          <w:sz w:val="20"/>
          <w:szCs w:val="20"/>
        </w:rPr>
        <w:t xml:space="preserve"> </w:t>
      </w:r>
      <w:r w:rsidRPr="00506999">
        <w:rPr>
          <w:rFonts w:ascii="Arial" w:hAnsi="Arial" w:cs="Arial"/>
          <w:color w:val="000000"/>
          <w:sz w:val="20"/>
          <w:szCs w:val="20"/>
        </w:rPr>
        <w:t>An electric light company, when engaged in the business of supplying electricity for light, heat, or power purposes to consumers within this state, including supplying electric transmission service for electricity delivered to consumers in this state, but excluding a regional transmission organization approved by the federal energy regulatory commission;</w:t>
      </w:r>
    </w:p>
    <w:p w:rsidR="00506999" w:rsidRPr="00506999" w:rsidRDefault="00506999" w:rsidP="001460BB">
      <w:pPr>
        <w:pStyle w:val="NormalWeb"/>
        <w:shd w:val="clear" w:color="auto" w:fill="FFFFFF"/>
        <w:spacing w:line="240" w:lineRule="auto"/>
        <w:rPr>
          <w:rFonts w:ascii="Arial" w:hAnsi="Arial" w:cs="Arial"/>
          <w:color w:val="000000"/>
          <w:sz w:val="20"/>
          <w:szCs w:val="20"/>
        </w:rPr>
      </w:pPr>
      <w:r w:rsidRPr="00506999">
        <w:rPr>
          <w:rFonts w:ascii="Arial" w:hAnsi="Arial" w:cs="Arial"/>
          <w:color w:val="00008B"/>
          <w:sz w:val="20"/>
          <w:szCs w:val="20"/>
        </w:rPr>
        <w:t>…</w:t>
      </w:r>
    </w:p>
    <w:p w:rsidR="00506999" w:rsidRPr="00506999" w:rsidRDefault="00506999" w:rsidP="001460BB">
      <w:pPr>
        <w:pStyle w:val="NormalWeb"/>
        <w:shd w:val="clear" w:color="auto" w:fill="FFFFFF"/>
        <w:spacing w:line="240" w:lineRule="auto"/>
        <w:rPr>
          <w:rFonts w:ascii="Arial" w:hAnsi="Arial" w:cs="Arial"/>
          <w:color w:val="000000"/>
          <w:sz w:val="20"/>
          <w:szCs w:val="20"/>
        </w:rPr>
      </w:pPr>
      <w:bookmarkStart w:id="5" w:name="4905.03(G)"/>
      <w:r w:rsidRPr="00C8387C">
        <w:rPr>
          <w:rFonts w:ascii="Arial" w:hAnsi="Arial" w:cs="Arial"/>
          <w:sz w:val="20"/>
          <w:szCs w:val="20"/>
        </w:rPr>
        <w:t>(G)</w:t>
      </w:r>
      <w:bookmarkEnd w:id="5"/>
      <w:r w:rsidRPr="00506999">
        <w:rPr>
          <w:rStyle w:val="apple-converted-space"/>
          <w:rFonts w:ascii="Arial" w:hAnsi="Arial" w:cs="Arial"/>
          <w:color w:val="000000"/>
          <w:sz w:val="20"/>
          <w:szCs w:val="20"/>
        </w:rPr>
        <w:t> </w:t>
      </w:r>
      <w:r w:rsidR="003E3F4E">
        <w:rPr>
          <w:rStyle w:val="apple-converted-space"/>
          <w:rFonts w:ascii="Arial" w:hAnsi="Arial" w:cs="Arial"/>
          <w:color w:val="000000"/>
          <w:sz w:val="20"/>
          <w:szCs w:val="20"/>
        </w:rPr>
        <w:t xml:space="preserve"> </w:t>
      </w:r>
      <w:r w:rsidRPr="00506999">
        <w:rPr>
          <w:rFonts w:ascii="Arial" w:hAnsi="Arial" w:cs="Arial"/>
          <w:color w:val="000000"/>
          <w:sz w:val="20"/>
          <w:szCs w:val="20"/>
        </w:rPr>
        <w:t>A water-works company, when engaged in the business of supplying water through pipes or tubing, or in a similar manner, to consumers within this state;</w:t>
      </w:r>
    </w:p>
    <w:p w:rsidR="00506999" w:rsidRPr="00506999" w:rsidRDefault="00506999" w:rsidP="001460BB">
      <w:pPr>
        <w:pStyle w:val="NormalWeb"/>
        <w:shd w:val="clear" w:color="auto" w:fill="FFFFFF"/>
        <w:spacing w:line="240" w:lineRule="auto"/>
        <w:rPr>
          <w:rFonts w:ascii="Arial" w:hAnsi="Arial" w:cs="Arial"/>
          <w:color w:val="000000"/>
          <w:sz w:val="20"/>
          <w:szCs w:val="20"/>
        </w:rPr>
      </w:pPr>
      <w:r w:rsidRPr="00506999">
        <w:rPr>
          <w:rFonts w:ascii="Arial" w:hAnsi="Arial" w:cs="Arial"/>
          <w:color w:val="00008B"/>
          <w:sz w:val="20"/>
          <w:szCs w:val="20"/>
        </w:rPr>
        <w:t>…</w:t>
      </w:r>
    </w:p>
    <w:p w:rsidR="00506999" w:rsidRPr="00506999" w:rsidRDefault="00506999" w:rsidP="00C8387C">
      <w:pPr>
        <w:pStyle w:val="NormalWeb"/>
        <w:shd w:val="clear" w:color="auto" w:fill="FFFFFF"/>
        <w:spacing w:line="240" w:lineRule="auto"/>
      </w:pPr>
      <w:bookmarkStart w:id="6" w:name="4905.03(M)"/>
      <w:r w:rsidRPr="00C8387C">
        <w:rPr>
          <w:rFonts w:cs="Arial"/>
          <w:sz w:val="20"/>
          <w:szCs w:val="20"/>
        </w:rPr>
        <w:t>(M)</w:t>
      </w:r>
      <w:bookmarkEnd w:id="6"/>
      <w:r w:rsidRPr="00506999">
        <w:rPr>
          <w:rStyle w:val="apple-converted-space"/>
          <w:rFonts w:ascii="Arial" w:hAnsi="Arial" w:cs="Arial"/>
          <w:color w:val="000000"/>
          <w:sz w:val="20"/>
          <w:szCs w:val="20"/>
        </w:rPr>
        <w:t> </w:t>
      </w:r>
      <w:r w:rsidR="003E3F4E">
        <w:rPr>
          <w:rStyle w:val="apple-converted-space"/>
          <w:rFonts w:ascii="Arial" w:hAnsi="Arial" w:cs="Arial"/>
          <w:color w:val="000000"/>
          <w:sz w:val="20"/>
          <w:szCs w:val="20"/>
        </w:rPr>
        <w:t xml:space="preserve"> </w:t>
      </w:r>
      <w:r w:rsidRPr="00506999">
        <w:rPr>
          <w:rFonts w:ascii="Arial" w:hAnsi="Arial" w:cs="Arial"/>
          <w:color w:val="000000"/>
          <w:sz w:val="20"/>
          <w:szCs w:val="20"/>
        </w:rPr>
        <w:t>A sewage disposal system company, when engaged in the business of sewage disposal services through pipes or tubing, and treatment works, or in a similar manner, within this state.</w:t>
      </w:r>
    </w:p>
  </w:footnote>
  <w:footnote w:id="4">
    <w:p w:rsidR="00312F87" w:rsidRDefault="00312F87">
      <w:pPr>
        <w:pStyle w:val="FootnoteText"/>
      </w:pPr>
      <w:r>
        <w:rPr>
          <w:rStyle w:val="FootnoteReference"/>
        </w:rPr>
        <w:footnoteRef/>
      </w:r>
      <w:r>
        <w:t xml:space="preserve"> R.C.4928.01(A)(4).</w:t>
      </w:r>
    </w:p>
  </w:footnote>
  <w:footnote w:id="5">
    <w:p w:rsidR="00A21CCC" w:rsidRDefault="00A21CCC" w:rsidP="00A21CCC">
      <w:pPr>
        <w:pStyle w:val="FootnoteText"/>
      </w:pPr>
      <w:r>
        <w:rPr>
          <w:rStyle w:val="FootnoteReference"/>
        </w:rPr>
        <w:footnoteRef/>
      </w:r>
      <w:r>
        <w:t xml:space="preserve"> </w:t>
      </w:r>
      <w:r w:rsidR="00B37887">
        <w:t>The test originally contained a fourth element addressing the reasonableness of the landlord’s charges.</w:t>
      </w:r>
      <w:r w:rsidR="00E80B1B">
        <w:t xml:space="preserve"> </w:t>
      </w:r>
      <w:r w:rsidR="00B37887">
        <w:t xml:space="preserve"> </w:t>
      </w:r>
      <w:r>
        <w:t xml:space="preserve">The Commission has reduced their adopted test to a three-part test, eliminating the fourth element.  </w:t>
      </w:r>
      <w:r>
        <w:rPr>
          <w:i/>
          <w:iCs/>
        </w:rPr>
        <w:t>See Brooks</w:t>
      </w:r>
      <w:r w:rsidR="009571AD">
        <w:rPr>
          <w:i/>
          <w:iCs/>
        </w:rPr>
        <w:t>,</w:t>
      </w:r>
      <w:r>
        <w:rPr>
          <w:i/>
          <w:iCs/>
        </w:rPr>
        <w:t xml:space="preserve"> et al. v. Toledo Edison Co.</w:t>
      </w:r>
      <w:r>
        <w:t xml:space="preserve">, </w:t>
      </w:r>
      <w:r w:rsidR="001349B9">
        <w:rPr>
          <w:rFonts w:eastAsia="Times New Roman" w:cs="Arial"/>
        </w:rPr>
        <w:t>1996 Ohio PUC Lexis 292</w:t>
      </w:r>
      <w:r>
        <w:t xml:space="preserve"> at </w:t>
      </w:r>
      <w:r w:rsidR="001349B9">
        <w:t>*23</w:t>
      </w:r>
      <w:r>
        <w:t xml:space="preserve"> (May 8, 1996).</w:t>
      </w:r>
    </w:p>
  </w:footnote>
  <w:footnote w:id="6">
    <w:p w:rsidR="00026F2B" w:rsidRDefault="00026F2B">
      <w:pPr>
        <w:pStyle w:val="FootnoteText"/>
      </w:pPr>
      <w:r>
        <w:rPr>
          <w:rStyle w:val="FootnoteReference"/>
        </w:rPr>
        <w:footnoteRef/>
      </w:r>
      <w:r>
        <w:t xml:space="preserve"> Subsequently, the General A</w:t>
      </w:r>
      <w:r w:rsidR="00C441F9">
        <w:t xml:space="preserve">ssembly enacted R.C. 4928.40(D). </w:t>
      </w:r>
      <w:r w:rsidR="008D70CB">
        <w:t xml:space="preserve"> </w:t>
      </w:r>
      <w:r w:rsidR="00C441F9">
        <w:t>That division</w:t>
      </w:r>
      <w:r>
        <w:t xml:space="preserve"> </w:t>
      </w:r>
      <w:r w:rsidR="00C441F9">
        <w:t>provides</w:t>
      </w:r>
      <w:r>
        <w:t>: “</w:t>
      </w:r>
      <w:r w:rsidRPr="007E0087">
        <w:t>Beginning on the starting date of competitive retail electric service, no electric utility in this state shall prohibit the resale of electric generation service or impose unreasonable or discriminatory conditions or limitations on the resale of electric generation service.</w:t>
      </w:r>
      <w:r>
        <w:t>”</w:t>
      </w:r>
      <w:r w:rsidR="009F0B2C" w:rsidRPr="009F0B2C">
        <w:rPr>
          <w:rFonts w:eastAsia="Times New Roman" w:cs="Arial"/>
        </w:rPr>
        <w:t xml:space="preserve"> </w:t>
      </w:r>
      <w:r w:rsidR="009F0B2C">
        <w:rPr>
          <w:rFonts w:eastAsia="Times New Roman" w:cs="Arial"/>
        </w:rPr>
        <w:t xml:space="preserve"> Statutory exceptions also may prevent the Commission from exercising regulatory authority over the distribution of services.  Under a statutory exception, t</w:t>
      </w:r>
      <w:r w:rsidR="009F0B2C" w:rsidRPr="00BD022B">
        <w:rPr>
          <w:rFonts w:eastAsia="Times New Roman" w:cs="Arial"/>
        </w:rPr>
        <w:t xml:space="preserve">he Commission concluded that </w:t>
      </w:r>
      <w:r w:rsidR="009F0B2C">
        <w:rPr>
          <w:rFonts w:eastAsia="Times New Roman" w:cs="Arial"/>
        </w:rPr>
        <w:t>a non-profit cooperative arrangement</w:t>
      </w:r>
      <w:r w:rsidR="009F0B2C" w:rsidRPr="00BD022B">
        <w:rPr>
          <w:rFonts w:eastAsia="Times New Roman" w:cs="Arial"/>
        </w:rPr>
        <w:t xml:space="preserve"> </w:t>
      </w:r>
      <w:r w:rsidR="009F0B2C">
        <w:rPr>
          <w:rFonts w:eastAsia="Times New Roman" w:cs="Arial"/>
        </w:rPr>
        <w:t>for the joint operation of a sewage treatment facility</w:t>
      </w:r>
      <w:r w:rsidR="009F0B2C" w:rsidRPr="00BD022B">
        <w:rPr>
          <w:rFonts w:eastAsia="Times New Roman" w:cs="Arial"/>
        </w:rPr>
        <w:t xml:space="preserve"> by industrial customers </w:t>
      </w:r>
      <w:r w:rsidR="009F0B2C">
        <w:rPr>
          <w:rFonts w:eastAsia="Times New Roman" w:cs="Arial"/>
        </w:rPr>
        <w:t>was</w:t>
      </w:r>
      <w:r w:rsidR="009F0B2C" w:rsidRPr="00BD022B">
        <w:rPr>
          <w:rFonts w:eastAsia="Times New Roman" w:cs="Arial"/>
        </w:rPr>
        <w:t xml:space="preserve"> not subject to the Commission’s regulatory jurisdiction.  </w:t>
      </w:r>
      <w:r w:rsidR="009F0B2C" w:rsidRPr="00BD022B">
        <w:rPr>
          <w:rFonts w:eastAsia="Times New Roman" w:cs="Arial"/>
          <w:i/>
        </w:rPr>
        <w:t>In the Matter of the Application of Hissong-Kenworth, Inc. Requesting a Declaration Regarding its Public Utility Status</w:t>
      </w:r>
      <w:r w:rsidR="009F0B2C" w:rsidRPr="00BD022B">
        <w:rPr>
          <w:rFonts w:eastAsia="Times New Roman" w:cs="Arial"/>
        </w:rPr>
        <w:t>, Case No. 84-565-ST-ARJ, Entry at 1 (May 22, 1984).</w:t>
      </w:r>
      <w:r w:rsidR="009F0B2C">
        <w:rPr>
          <w:rFonts w:eastAsia="Times New Roman" w:cs="Arial"/>
        </w:rPr>
        <w:t>)</w:t>
      </w:r>
      <w:r w:rsidR="00312F87">
        <w:rPr>
          <w:rFonts w:eastAsia="Times New Roman" w:cs="Arial"/>
        </w:rPr>
        <w:t xml:space="preserve">  </w:t>
      </w:r>
      <w:r w:rsidR="00312F87" w:rsidRPr="00312F87">
        <w:rPr>
          <w:rFonts w:eastAsia="Times New Roman" w:cs="Arial"/>
        </w:rPr>
        <w:t xml:space="preserve">Also, </w:t>
      </w:r>
      <w:r w:rsidR="00312F87">
        <w:rPr>
          <w:rFonts w:eastAsia="Times New Roman" w:cs="Arial"/>
        </w:rPr>
        <w:t>R.C. 4905.03(E)</w:t>
      </w:r>
      <w:r w:rsidR="00A03DF9">
        <w:rPr>
          <w:rFonts w:eastAsia="Times New Roman" w:cs="Arial"/>
        </w:rPr>
        <w:t xml:space="preserve"> </w:t>
      </w:r>
      <w:r w:rsidR="00312F87" w:rsidRPr="00312F87">
        <w:rPr>
          <w:rFonts w:eastAsia="Times New Roman" w:cs="Arial"/>
        </w:rPr>
        <w:t xml:space="preserve">provides that </w:t>
      </w:r>
      <w:r w:rsidR="00A03DF9">
        <w:rPr>
          <w:rFonts w:eastAsia="Times New Roman" w:cs="Arial"/>
        </w:rPr>
        <w:t>“</w:t>
      </w:r>
      <w:r w:rsidR="00312F87" w:rsidRPr="00312F87">
        <w:rPr>
          <w:rFonts w:eastAsia="Times New Roman" w:cs="Arial"/>
        </w:rPr>
        <w:t xml:space="preserve">upon application, the commission may relieve any producer or natural gas, which producer is defined in that section as a gas or natural gas company, of compliance with obligations imposed by Chapters 4901, 4903, 4905, 4907, 4909, and 4923, Revised Code, so long as such producer is not affiliated with or under the control of a gas company or natural gas company engaged in the transportation or distribution of natural gas, or so long as such producer does not engage in the distribution of natural gas to customers.”  </w:t>
      </w:r>
      <w:r w:rsidR="00A03DF9">
        <w:rPr>
          <w:rFonts w:eastAsia="Times New Roman" w:cs="Arial"/>
          <w:i/>
        </w:rPr>
        <w:t xml:space="preserve">See, e.g., </w:t>
      </w:r>
      <w:r w:rsidR="00312F87" w:rsidRPr="00312F87">
        <w:rPr>
          <w:rFonts w:eastAsia="Times New Roman" w:cs="Arial"/>
          <w:i/>
        </w:rPr>
        <w:t>In the Matter of the Application of American Landfill Gas Company</w:t>
      </w:r>
      <w:r w:rsidR="00312F87" w:rsidRPr="00312F87">
        <w:rPr>
          <w:rFonts w:eastAsia="Times New Roman" w:cs="Arial"/>
        </w:rPr>
        <w:t>, Case No. 97-194</w:t>
      </w:r>
      <w:r w:rsidR="00A03DF9">
        <w:rPr>
          <w:rFonts w:eastAsia="Times New Roman" w:cs="Arial"/>
        </w:rPr>
        <w:t>-GA-ARJ at 2 (Apr.</w:t>
      </w:r>
      <w:r w:rsidR="00312F87" w:rsidRPr="00312F87">
        <w:rPr>
          <w:rFonts w:eastAsia="Times New Roman" w:cs="Arial"/>
        </w:rPr>
        <w:t xml:space="preserve"> 18, 1997)</w:t>
      </w:r>
    </w:p>
  </w:footnote>
  <w:footnote w:id="7">
    <w:p w:rsidR="006A69EC" w:rsidRDefault="006A69EC" w:rsidP="006A69EC">
      <w:pPr>
        <w:pStyle w:val="FootnoteText"/>
      </w:pPr>
      <w:r>
        <w:rPr>
          <w:rStyle w:val="FootnoteReference"/>
        </w:rPr>
        <w:footnoteRef/>
      </w:r>
      <w:r>
        <w:t xml:space="preserve"> </w:t>
      </w:r>
      <w:r w:rsidR="004C2352">
        <w:rPr>
          <w:i/>
        </w:rPr>
        <w:t>See, also,</w:t>
      </w:r>
      <w:r w:rsidRPr="00FE665C">
        <w:rPr>
          <w:i/>
        </w:rPr>
        <w:t xml:space="preserve"> Orwell Natural Gas Co. v. Fredon Corp</w:t>
      </w:r>
      <w:r>
        <w:t xml:space="preserve">., 2015-Ohio-1212 </w:t>
      </w:r>
      <w:r>
        <w:rPr>
          <w:rFonts w:cs="Arial"/>
        </w:rPr>
        <w:t>¶¶</w:t>
      </w:r>
      <w:r>
        <w:t xml:space="preserve"> 60-72 (11th Dist. Ct. App. Mar. 11, 2015)</w:t>
      </w:r>
      <w:r w:rsidR="004C2352">
        <w:t xml:space="preserve"> (deed restriction limiting right to procure natural gas violates public policy)</w:t>
      </w:r>
      <w:r>
        <w:t>.</w:t>
      </w:r>
    </w:p>
  </w:footnote>
  <w:footnote w:id="8">
    <w:p w:rsidR="00026F2B" w:rsidRDefault="00026F2B">
      <w:pPr>
        <w:pStyle w:val="FootnoteText"/>
      </w:pPr>
      <w:r>
        <w:rPr>
          <w:rStyle w:val="FootnoteReference"/>
        </w:rPr>
        <w:footnoteRef/>
      </w:r>
      <w:r>
        <w:t xml:space="preserve"> </w:t>
      </w:r>
      <w:r w:rsidR="00966BB0">
        <w:t xml:space="preserve">See, also, </w:t>
      </w:r>
      <w:r w:rsidR="00966BB0" w:rsidRPr="00966BB0">
        <w:rPr>
          <w:i/>
        </w:rPr>
        <w:t>U.S. Steel Corp. v. Northern Indiana Pub. Service Co.</w:t>
      </w:r>
      <w:r w:rsidR="00966BB0">
        <w:t xml:space="preserve">, 482 N.E.2d 501 (In. 1985), in which the Indiana Court of Appeals </w:t>
      </w:r>
      <w:r w:rsidR="00966BB0" w:rsidRPr="00966BB0">
        <w:t xml:space="preserve">held that </w:t>
      </w:r>
      <w:r w:rsidR="00966BB0">
        <w:t>an industrial customer</w:t>
      </w:r>
      <w:r w:rsidR="00966BB0" w:rsidRPr="00966BB0">
        <w:t xml:space="preserve"> that distributed electricity to itself across assigned service areas, that distributed electricity to itself across state lines, that resold electricity to other industrial customers located within its own larger industrial complex, and that resold electricity to adjacent industrial customers w</w:t>
      </w:r>
      <w:r w:rsidR="00A21D07">
        <w:t>as</w:t>
      </w:r>
      <w:r w:rsidR="00966BB0" w:rsidRPr="00966BB0">
        <w:t xml:space="preserve"> not </w:t>
      </w:r>
      <w:r w:rsidR="00A21D07">
        <w:t xml:space="preserve">a </w:t>
      </w:r>
      <w:r w:rsidR="00966BB0" w:rsidRPr="00966BB0">
        <w:t>public utilit</w:t>
      </w:r>
      <w:r w:rsidR="00A21D07">
        <w:t>y</w:t>
      </w:r>
      <w:r w:rsidR="00966BB0" w:rsidRPr="00966BB0">
        <w:t xml:space="preserve"> subject to the </w:t>
      </w:r>
      <w:r w:rsidR="00457C5E">
        <w:t xml:space="preserve">Indiana </w:t>
      </w:r>
      <w:r w:rsidR="00966BB0" w:rsidRPr="00966BB0">
        <w:t>Service Area Assignments Act</w:t>
      </w:r>
      <w:r w:rsidR="00966BB0">
        <w:t xml:space="preserve">.  </w:t>
      </w:r>
      <w:r>
        <w:t>Additionally, some customers in a</w:t>
      </w:r>
      <w:r w:rsidR="00A21D07">
        <w:t>n Ohio</w:t>
      </w:r>
      <w:r>
        <w:t xml:space="preserve"> certified territory may secure </w:t>
      </w:r>
      <w:r w:rsidR="00A21D07">
        <w:t xml:space="preserve">electric </w:t>
      </w:r>
      <w:r>
        <w:t xml:space="preserve">service from more than one supplier of electricity.  The “home rule” authority of Ohio municipalities can be exercised in ways that allow multiple electric suppliers to extend service to load centers within the municipality irrespective of the certified service areas.  </w:t>
      </w:r>
      <w:r w:rsidRPr="0071516B">
        <w:rPr>
          <w:i/>
        </w:rPr>
        <w:t>In the Matter of the Complaint of Ohio Power Company</w:t>
      </w:r>
      <w:r>
        <w:t>, Case No.06-890-EL-CSS, (July 25,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95" w:rsidRDefault="00615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95" w:rsidRDefault="00615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95" w:rsidRDefault="006154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41" w:rsidRDefault="00B00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1F8D1A3C"/>
    <w:multiLevelType w:val="singleLevel"/>
    <w:tmpl w:val="2B1E7576"/>
    <w:lvl w:ilvl="0">
      <w:start w:val="1"/>
      <w:numFmt w:val="upperLetter"/>
      <w:lvlText w:val="(%1)"/>
      <w:lvlJc w:val="left"/>
      <w:pPr>
        <w:tabs>
          <w:tab w:val="num" w:pos="1185"/>
        </w:tabs>
        <w:ind w:left="1185" w:hanging="465"/>
      </w:pPr>
      <w:rPr>
        <w:rFonts w:hint="default"/>
      </w:rPr>
    </w:lvl>
  </w:abstractNum>
  <w:abstractNum w:abstractNumId="3">
    <w:nsid w:val="22F37929"/>
    <w:multiLevelType w:val="hybridMultilevel"/>
    <w:tmpl w:val="656A11C0"/>
    <w:lvl w:ilvl="0" w:tplc="B7E67420">
      <w:start w:val="4"/>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71568"/>
    <w:multiLevelType w:val="multilevel"/>
    <w:tmpl w:val="EF3EC2D8"/>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0"/>
  </w:num>
  <w:num w:numId="21">
    <w:abstractNumId w:val="5"/>
  </w:num>
  <w:num w:numId="22">
    <w:abstractNumId w:val="5"/>
  </w:num>
  <w:num w:numId="23">
    <w:abstractNumId w:val="5"/>
  </w:num>
  <w:num w:numId="24">
    <w:abstractNumId w:val="5"/>
  </w:num>
  <w:num w:numId="25">
    <w:abstractNumId w:val="5"/>
  </w:num>
  <w:num w:numId="26">
    <w:abstractNumId w:val="4"/>
  </w:num>
  <w:num w:numId="27">
    <w:abstractNumId w:val="0"/>
  </w:num>
  <w:num w:numId="28">
    <w:abstractNumId w:val="5"/>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gnword-docGUID" w:val="{72ED305E-4355-4A7B-B133-7FB191D480B0}"/>
    <w:docVar w:name="dgnword-eventsink" w:val="254220312"/>
    <w:docVar w:name="LastSchemeChoice" w:val="Ind. Energy Users Group"/>
    <w:docVar w:name="LastSchemeUniqueID" w:val="1"/>
    <w:docVar w:name="Option0True" w:val="False"/>
    <w:docVar w:name="Option1True" w:val="False"/>
    <w:docVar w:name="Option2True" w:val="False"/>
  </w:docVars>
  <w:rsids>
    <w:rsidRoot w:val="00CA02FF"/>
    <w:rsid w:val="0001512C"/>
    <w:rsid w:val="00022049"/>
    <w:rsid w:val="00026F2B"/>
    <w:rsid w:val="00040FEF"/>
    <w:rsid w:val="000B11A7"/>
    <w:rsid w:val="000B7054"/>
    <w:rsid w:val="000C4CD3"/>
    <w:rsid w:val="000D2E91"/>
    <w:rsid w:val="000E77B4"/>
    <w:rsid w:val="00127080"/>
    <w:rsid w:val="001349B9"/>
    <w:rsid w:val="001460BB"/>
    <w:rsid w:val="001627D7"/>
    <w:rsid w:val="001934CF"/>
    <w:rsid w:val="00197655"/>
    <w:rsid w:val="001D4252"/>
    <w:rsid w:val="001D6AA0"/>
    <w:rsid w:val="001F003B"/>
    <w:rsid w:val="001F26F3"/>
    <w:rsid w:val="00200002"/>
    <w:rsid w:val="00212BFE"/>
    <w:rsid w:val="00220DCA"/>
    <w:rsid w:val="00234E15"/>
    <w:rsid w:val="00261A31"/>
    <w:rsid w:val="00277083"/>
    <w:rsid w:val="00287EDF"/>
    <w:rsid w:val="002A5A40"/>
    <w:rsid w:val="002C0BE4"/>
    <w:rsid w:val="002C34FF"/>
    <w:rsid w:val="002C5195"/>
    <w:rsid w:val="002E1C4D"/>
    <w:rsid w:val="00312F87"/>
    <w:rsid w:val="00324E45"/>
    <w:rsid w:val="003368F1"/>
    <w:rsid w:val="00344ACF"/>
    <w:rsid w:val="00371C57"/>
    <w:rsid w:val="00375F34"/>
    <w:rsid w:val="00393EA2"/>
    <w:rsid w:val="00395878"/>
    <w:rsid w:val="003A050E"/>
    <w:rsid w:val="003B203E"/>
    <w:rsid w:val="003B721A"/>
    <w:rsid w:val="003D0C99"/>
    <w:rsid w:val="003D598C"/>
    <w:rsid w:val="003E3F4E"/>
    <w:rsid w:val="003E49B7"/>
    <w:rsid w:val="0040232E"/>
    <w:rsid w:val="004059D9"/>
    <w:rsid w:val="00424939"/>
    <w:rsid w:val="004337A6"/>
    <w:rsid w:val="00437E27"/>
    <w:rsid w:val="00457C5E"/>
    <w:rsid w:val="00467927"/>
    <w:rsid w:val="004971DB"/>
    <w:rsid w:val="004A15C9"/>
    <w:rsid w:val="004A7EE1"/>
    <w:rsid w:val="004B65BC"/>
    <w:rsid w:val="004B7960"/>
    <w:rsid w:val="004C2352"/>
    <w:rsid w:val="004E00B4"/>
    <w:rsid w:val="004E4708"/>
    <w:rsid w:val="004F521E"/>
    <w:rsid w:val="00506999"/>
    <w:rsid w:val="00532C88"/>
    <w:rsid w:val="00535D50"/>
    <w:rsid w:val="00535D77"/>
    <w:rsid w:val="00565DC8"/>
    <w:rsid w:val="00573F03"/>
    <w:rsid w:val="005776E1"/>
    <w:rsid w:val="00582A5F"/>
    <w:rsid w:val="005944A3"/>
    <w:rsid w:val="00594C5E"/>
    <w:rsid w:val="0059556C"/>
    <w:rsid w:val="00596D30"/>
    <w:rsid w:val="005A58C3"/>
    <w:rsid w:val="005D04CF"/>
    <w:rsid w:val="005E77C0"/>
    <w:rsid w:val="00612E04"/>
    <w:rsid w:val="00613628"/>
    <w:rsid w:val="00615495"/>
    <w:rsid w:val="00626B44"/>
    <w:rsid w:val="00631FD8"/>
    <w:rsid w:val="00644569"/>
    <w:rsid w:val="006511A1"/>
    <w:rsid w:val="0065175B"/>
    <w:rsid w:val="00660D73"/>
    <w:rsid w:val="006621F1"/>
    <w:rsid w:val="006751DC"/>
    <w:rsid w:val="00690A39"/>
    <w:rsid w:val="006A69EC"/>
    <w:rsid w:val="006B025F"/>
    <w:rsid w:val="006C3696"/>
    <w:rsid w:val="007130D1"/>
    <w:rsid w:val="00730EB8"/>
    <w:rsid w:val="0076199B"/>
    <w:rsid w:val="007B10DD"/>
    <w:rsid w:val="007C3439"/>
    <w:rsid w:val="007F4849"/>
    <w:rsid w:val="00814007"/>
    <w:rsid w:val="00832D19"/>
    <w:rsid w:val="0088765A"/>
    <w:rsid w:val="008919A3"/>
    <w:rsid w:val="008973F7"/>
    <w:rsid w:val="008A7DE1"/>
    <w:rsid w:val="008C1C2C"/>
    <w:rsid w:val="008C2DB2"/>
    <w:rsid w:val="008D70CB"/>
    <w:rsid w:val="008E285F"/>
    <w:rsid w:val="008F445E"/>
    <w:rsid w:val="00905074"/>
    <w:rsid w:val="00925DC6"/>
    <w:rsid w:val="00932B52"/>
    <w:rsid w:val="00954332"/>
    <w:rsid w:val="009571AD"/>
    <w:rsid w:val="00966616"/>
    <w:rsid w:val="00966BB0"/>
    <w:rsid w:val="009713E2"/>
    <w:rsid w:val="00982725"/>
    <w:rsid w:val="009D0644"/>
    <w:rsid w:val="009D375B"/>
    <w:rsid w:val="009D3A40"/>
    <w:rsid w:val="009E06E0"/>
    <w:rsid w:val="009F0B2C"/>
    <w:rsid w:val="00A03DF9"/>
    <w:rsid w:val="00A04C54"/>
    <w:rsid w:val="00A21CCC"/>
    <w:rsid w:val="00A21D07"/>
    <w:rsid w:val="00A53605"/>
    <w:rsid w:val="00A85B7C"/>
    <w:rsid w:val="00AA6A88"/>
    <w:rsid w:val="00AB12E1"/>
    <w:rsid w:val="00AC0CF8"/>
    <w:rsid w:val="00AC6AE0"/>
    <w:rsid w:val="00AD045E"/>
    <w:rsid w:val="00B00241"/>
    <w:rsid w:val="00B270E2"/>
    <w:rsid w:val="00B31603"/>
    <w:rsid w:val="00B32F89"/>
    <w:rsid w:val="00B332A5"/>
    <w:rsid w:val="00B37887"/>
    <w:rsid w:val="00B60CF7"/>
    <w:rsid w:val="00B71524"/>
    <w:rsid w:val="00B739F0"/>
    <w:rsid w:val="00B73AD8"/>
    <w:rsid w:val="00B76BEA"/>
    <w:rsid w:val="00B87B0F"/>
    <w:rsid w:val="00BA0AFD"/>
    <w:rsid w:val="00BB0F07"/>
    <w:rsid w:val="00BC4CC1"/>
    <w:rsid w:val="00BD022B"/>
    <w:rsid w:val="00BD3323"/>
    <w:rsid w:val="00C07737"/>
    <w:rsid w:val="00C326C2"/>
    <w:rsid w:val="00C36106"/>
    <w:rsid w:val="00C441F9"/>
    <w:rsid w:val="00C560E8"/>
    <w:rsid w:val="00C56FFF"/>
    <w:rsid w:val="00C57A30"/>
    <w:rsid w:val="00C7553A"/>
    <w:rsid w:val="00C80791"/>
    <w:rsid w:val="00C8387C"/>
    <w:rsid w:val="00C92537"/>
    <w:rsid w:val="00C94290"/>
    <w:rsid w:val="00CA02FF"/>
    <w:rsid w:val="00CA216A"/>
    <w:rsid w:val="00CB6A1D"/>
    <w:rsid w:val="00CD79D5"/>
    <w:rsid w:val="00CE47D2"/>
    <w:rsid w:val="00CE629C"/>
    <w:rsid w:val="00D31FDE"/>
    <w:rsid w:val="00D37810"/>
    <w:rsid w:val="00D57311"/>
    <w:rsid w:val="00D628B1"/>
    <w:rsid w:val="00D668E4"/>
    <w:rsid w:val="00D70E8C"/>
    <w:rsid w:val="00DA4850"/>
    <w:rsid w:val="00DC7FBE"/>
    <w:rsid w:val="00E2468E"/>
    <w:rsid w:val="00E50FAC"/>
    <w:rsid w:val="00E5215C"/>
    <w:rsid w:val="00E747C5"/>
    <w:rsid w:val="00E80B1B"/>
    <w:rsid w:val="00E8112A"/>
    <w:rsid w:val="00ED7848"/>
    <w:rsid w:val="00EE6BA3"/>
    <w:rsid w:val="00F22FC4"/>
    <w:rsid w:val="00F252CA"/>
    <w:rsid w:val="00F4403F"/>
    <w:rsid w:val="00FB6532"/>
    <w:rsid w:val="00FB655B"/>
    <w:rsid w:val="00FE665C"/>
    <w:rsid w:val="00FF12BC"/>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HTML Preformatted" w:uiPriority="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5A58C3"/>
    <w:pPr>
      <w:numPr>
        <w:numId w:val="29"/>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A58C3"/>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A58C3"/>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rsid w:val="005A58C3"/>
    <w:pPr>
      <w:numPr>
        <w:ilvl w:val="3"/>
        <w:numId w:val="29"/>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rsid w:val="005A58C3"/>
    <w:pPr>
      <w:numPr>
        <w:ilvl w:val="4"/>
        <w:numId w:val="2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A58C3"/>
    <w:pPr>
      <w:numPr>
        <w:ilvl w:val="5"/>
        <w:numId w:val="2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A58C3"/>
    <w:pPr>
      <w:numPr>
        <w:ilvl w:val="6"/>
        <w:numId w:val="2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A58C3"/>
    <w:pPr>
      <w:numPr>
        <w:ilvl w:val="7"/>
        <w:numId w:val="2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A58C3"/>
    <w:pPr>
      <w:numPr>
        <w:ilvl w:val="8"/>
        <w:numId w:val="2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A58C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A58C3"/>
    <w:rPr>
      <w:rFonts w:ascii="Arial" w:eastAsiaTheme="majorEastAsia" w:hAnsi="Arial" w:cs="Arial"/>
      <w:b/>
      <w:bCs/>
      <w:sz w:val="24"/>
    </w:rPr>
  </w:style>
  <w:style w:type="character" w:customStyle="1" w:styleId="Heading4Char">
    <w:name w:val="Heading 4 Char"/>
    <w:basedOn w:val="DefaultParagraphFont"/>
    <w:link w:val="Heading4"/>
    <w:uiPriority w:val="4"/>
    <w:rsid w:val="005A58C3"/>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Heading5Char">
    <w:name w:val="Heading 5 Char"/>
    <w:basedOn w:val="DefaultParagraphFont"/>
    <w:link w:val="Heading5"/>
    <w:uiPriority w:val="9"/>
    <w:semiHidden/>
    <w:rsid w:val="005A58C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A58C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A58C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A58C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A58C3"/>
    <w:rPr>
      <w:rFonts w:asciiTheme="majorHAnsi" w:eastAsiaTheme="majorEastAsia" w:hAnsiTheme="majorHAnsi" w:cs="Arial"/>
      <w:iCs/>
      <w:color w:val="404040" w:themeColor="text1" w:themeTint="BF"/>
      <w:sz w:val="24"/>
    </w:rPr>
  </w:style>
  <w:style w:type="paragraph" w:styleId="BodyTextIndent3">
    <w:name w:val="Body Text Indent 3"/>
    <w:basedOn w:val="Normal"/>
    <w:link w:val="BodyTextIndent3Char"/>
    <w:uiPriority w:val="99"/>
    <w:semiHidden/>
    <w:unhideWhenUsed/>
    <w:rsid w:val="00506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6999"/>
    <w:rPr>
      <w:rFonts w:ascii="Arial" w:eastAsiaTheme="minorHAnsi" w:hAnsi="Arial" w:cstheme="minorBidi"/>
      <w:sz w:val="16"/>
      <w:szCs w:val="16"/>
    </w:rPr>
  </w:style>
  <w:style w:type="paragraph" w:styleId="BodyText3">
    <w:name w:val="Body Text 3"/>
    <w:basedOn w:val="Normal"/>
    <w:link w:val="BodyText3Char"/>
    <w:uiPriority w:val="99"/>
    <w:semiHidden/>
    <w:unhideWhenUsed/>
    <w:rsid w:val="00506999"/>
    <w:pPr>
      <w:spacing w:after="120"/>
    </w:pPr>
    <w:rPr>
      <w:sz w:val="16"/>
      <w:szCs w:val="16"/>
    </w:rPr>
  </w:style>
  <w:style w:type="character" w:customStyle="1" w:styleId="BodyText3Char">
    <w:name w:val="Body Text 3 Char"/>
    <w:basedOn w:val="DefaultParagraphFont"/>
    <w:link w:val="BodyText3"/>
    <w:uiPriority w:val="99"/>
    <w:semiHidden/>
    <w:rsid w:val="00506999"/>
    <w:rPr>
      <w:rFonts w:ascii="Arial" w:eastAsiaTheme="minorHAnsi" w:hAnsi="Arial" w:cstheme="minorBidi"/>
      <w:sz w:val="16"/>
      <w:szCs w:val="16"/>
    </w:rPr>
  </w:style>
  <w:style w:type="character" w:customStyle="1" w:styleId="apple-converted-space">
    <w:name w:val="apple-converted-space"/>
    <w:basedOn w:val="DefaultParagraphFont"/>
    <w:rsid w:val="00506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HTML Preformatted" w:uiPriority="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5A58C3"/>
    <w:pPr>
      <w:numPr>
        <w:numId w:val="29"/>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A58C3"/>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A58C3"/>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rsid w:val="005A58C3"/>
    <w:pPr>
      <w:numPr>
        <w:ilvl w:val="3"/>
        <w:numId w:val="29"/>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rsid w:val="005A58C3"/>
    <w:pPr>
      <w:numPr>
        <w:ilvl w:val="4"/>
        <w:numId w:val="2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A58C3"/>
    <w:pPr>
      <w:numPr>
        <w:ilvl w:val="5"/>
        <w:numId w:val="2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A58C3"/>
    <w:pPr>
      <w:numPr>
        <w:ilvl w:val="6"/>
        <w:numId w:val="2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A58C3"/>
    <w:pPr>
      <w:numPr>
        <w:ilvl w:val="7"/>
        <w:numId w:val="2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A58C3"/>
    <w:pPr>
      <w:numPr>
        <w:ilvl w:val="8"/>
        <w:numId w:val="2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A58C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A58C3"/>
    <w:rPr>
      <w:rFonts w:ascii="Arial" w:eastAsiaTheme="majorEastAsia" w:hAnsi="Arial" w:cs="Arial"/>
      <w:b/>
      <w:bCs/>
      <w:sz w:val="24"/>
    </w:rPr>
  </w:style>
  <w:style w:type="character" w:customStyle="1" w:styleId="Heading4Char">
    <w:name w:val="Heading 4 Char"/>
    <w:basedOn w:val="DefaultParagraphFont"/>
    <w:link w:val="Heading4"/>
    <w:uiPriority w:val="4"/>
    <w:rsid w:val="005A58C3"/>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Heading5Char">
    <w:name w:val="Heading 5 Char"/>
    <w:basedOn w:val="DefaultParagraphFont"/>
    <w:link w:val="Heading5"/>
    <w:uiPriority w:val="9"/>
    <w:semiHidden/>
    <w:rsid w:val="005A58C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A58C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A58C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A58C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A58C3"/>
    <w:rPr>
      <w:rFonts w:asciiTheme="majorHAnsi" w:eastAsiaTheme="majorEastAsia" w:hAnsiTheme="majorHAnsi" w:cs="Arial"/>
      <w:iCs/>
      <w:color w:val="404040" w:themeColor="text1" w:themeTint="BF"/>
      <w:sz w:val="24"/>
    </w:rPr>
  </w:style>
  <w:style w:type="paragraph" w:styleId="BodyTextIndent3">
    <w:name w:val="Body Text Indent 3"/>
    <w:basedOn w:val="Normal"/>
    <w:link w:val="BodyTextIndent3Char"/>
    <w:uiPriority w:val="99"/>
    <w:semiHidden/>
    <w:unhideWhenUsed/>
    <w:rsid w:val="00506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6999"/>
    <w:rPr>
      <w:rFonts w:ascii="Arial" w:eastAsiaTheme="minorHAnsi" w:hAnsi="Arial" w:cstheme="minorBidi"/>
      <w:sz w:val="16"/>
      <w:szCs w:val="16"/>
    </w:rPr>
  </w:style>
  <w:style w:type="paragraph" w:styleId="BodyText3">
    <w:name w:val="Body Text 3"/>
    <w:basedOn w:val="Normal"/>
    <w:link w:val="BodyText3Char"/>
    <w:uiPriority w:val="99"/>
    <w:semiHidden/>
    <w:unhideWhenUsed/>
    <w:rsid w:val="00506999"/>
    <w:pPr>
      <w:spacing w:after="120"/>
    </w:pPr>
    <w:rPr>
      <w:sz w:val="16"/>
      <w:szCs w:val="16"/>
    </w:rPr>
  </w:style>
  <w:style w:type="character" w:customStyle="1" w:styleId="BodyText3Char">
    <w:name w:val="Body Text 3 Char"/>
    <w:basedOn w:val="DefaultParagraphFont"/>
    <w:link w:val="BodyText3"/>
    <w:uiPriority w:val="99"/>
    <w:semiHidden/>
    <w:rsid w:val="00506999"/>
    <w:rPr>
      <w:rFonts w:ascii="Arial" w:eastAsiaTheme="minorHAnsi" w:hAnsi="Arial" w:cstheme="minorBidi"/>
      <w:sz w:val="16"/>
      <w:szCs w:val="16"/>
    </w:rPr>
  </w:style>
  <w:style w:type="character" w:customStyle="1" w:styleId="apple-converted-space">
    <w:name w:val="apple-converted-space"/>
    <w:basedOn w:val="DefaultParagraphFont"/>
    <w:rsid w:val="0050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800542390">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 w:id="19914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stnourse@aep.com" TargetMode="External"/><Relationship Id="rId3" Type="http://schemas.openxmlformats.org/officeDocument/2006/relationships/styles" Target="styles.xml"/><Relationship Id="rId21" Type="http://schemas.openxmlformats.org/officeDocument/2006/relationships/hyperlink" Target="mailto:whit@whitt-sturtevant.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cmooney@ohiopartners.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Bryce.mckenney@puc.state.oh.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ojko@carpenterlipps.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Michael.schuler@occ.ohio.gov" TargetMode="External"/><Relationship Id="rId28" Type="http://schemas.openxmlformats.org/officeDocument/2006/relationships/hyperlink" Target="mailto:William.wright@puc.state.oh.u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hpetricoff@vorys.com" TargetMode="External"/><Relationship Id="rId27" Type="http://schemas.openxmlformats.org/officeDocument/2006/relationships/hyperlink" Target="mailto:mjsatterwhite@aep.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9F62-A3C7-46F5-B1C2-EDA911B3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18</Pages>
  <Words>3783</Words>
  <Characters>21237</Characters>
  <Application>Microsoft Office Word</Application>
  <DocSecurity>0</DocSecurity>
  <PresentationFormat/>
  <Lines>488</Lines>
  <Paragraphs>198</Paragraphs>
  <ScaleCrop>false</ScaleCrop>
  <HeadingPairs>
    <vt:vector size="2" baseType="variant">
      <vt:variant>
        <vt:lpstr>Title</vt:lpstr>
      </vt:variant>
      <vt:variant>
        <vt:i4>1</vt:i4>
      </vt:variant>
    </vt:vector>
  </HeadingPairs>
  <TitlesOfParts>
    <vt:vector size="1" baseType="lpstr">
      <vt:lpstr>IEU-Ohio's Motion to Intervene (15-697-EL-CSS) new file number (C47485-2).DOCX</vt:lpstr>
    </vt:vector>
  </TitlesOfParts>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IEU-Ohio's Motion to Intervene (15-697-EL-CSS) new file number (C47485-2).DOCX</dc:title>
  <dc:subject>C47485:2 /font=8</dc:subject>
  <dc:creator>Karen Bowman</dc:creator>
  <cp:keywords/>
  <dc:description/>
  <cp:lastModifiedBy>_</cp:lastModifiedBy>
  <cp:revision>43</cp:revision>
  <cp:lastPrinted>2015-06-18T18:30:00Z</cp:lastPrinted>
  <dcterms:created xsi:type="dcterms:W3CDTF">2015-06-11T21:12:00Z</dcterms:created>
  <dcterms:modified xsi:type="dcterms:W3CDTF">2015-06-23T18:29:00Z</dcterms:modified>
</cp:coreProperties>
</file>