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630A2" w:rsidRPr="004A7370" w:rsidP="00C619CE">
      <w:pPr>
        <w:pStyle w:val="Header"/>
        <w:jc w:val="right"/>
        <w:rPr>
          <w:b/>
          <w:bCs/>
          <w:i/>
          <w:iCs/>
        </w:rPr>
      </w:pPr>
      <w:bookmarkStart w:id="0" w:name="_GoBack"/>
      <w:bookmarkEnd w:id="0"/>
      <w:r w:rsidRPr="004A7370">
        <w:rPr>
          <w:b/>
          <w:bCs/>
          <w:i/>
          <w:iCs/>
        </w:rPr>
        <w:t>OCC EXHIBIT NO. ______</w:t>
      </w:r>
    </w:p>
    <w:p w:rsidR="004630A2" w:rsidRPr="00C571FE">
      <w:pPr>
        <w:jc w:val="center"/>
        <w:rPr>
          <w:rFonts w:cs="Times New Roman"/>
          <w:b/>
          <w:bCs/>
          <w:szCs w:val="24"/>
        </w:rPr>
      </w:pPr>
    </w:p>
    <w:p w:rsidR="004630A2" w:rsidRPr="00C571FE">
      <w:pPr>
        <w:jc w:val="center"/>
        <w:rPr>
          <w:rFonts w:cs="Times New Roman"/>
          <w:b/>
          <w:bCs/>
          <w:szCs w:val="24"/>
        </w:rPr>
      </w:pPr>
      <w:r>
        <w:rPr>
          <w:rFonts w:cs="Times New Roman"/>
          <w:b/>
          <w:bCs/>
          <w:szCs w:val="24"/>
        </w:rPr>
        <w:t>BEFORE</w:t>
      </w:r>
    </w:p>
    <w:p w:rsidR="004630A2">
      <w:pPr>
        <w:jc w:val="center"/>
        <w:rPr>
          <w:rFonts w:cs="Times New Roman"/>
          <w:b/>
          <w:bCs/>
          <w:szCs w:val="24"/>
        </w:rPr>
      </w:pPr>
      <w:r w:rsidRPr="00C571FE">
        <w:rPr>
          <w:rFonts w:cs="Times New Roman"/>
          <w:b/>
          <w:bCs/>
          <w:szCs w:val="24"/>
        </w:rPr>
        <w:t>THE PUBLIC UTILITIES COMMISSION OF OHIO</w:t>
      </w:r>
    </w:p>
    <w:p w:rsidR="004630A2" w:rsidRPr="00C571FE">
      <w:pPr>
        <w:jc w:val="center"/>
        <w:rPr>
          <w:rFonts w:cs="Times New Roman"/>
          <w:b/>
          <w:bCs/>
          <w:szCs w:val="24"/>
        </w:rPr>
      </w:pPr>
    </w:p>
    <w:p w:rsidR="005052FC" w:rsidRPr="004C21BA" w:rsidP="005052FC">
      <w:pPr>
        <w:jc w:val="center"/>
        <w:rPr>
          <w:rFonts w:eastAsia="PMingLiU"/>
          <w:b/>
          <w:bCs/>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Application of Dayton Power and Light Company for Approval of Its Plan to Modernize Its Distribution Grid.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Case No. 18-1875-EL-GRD</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 </w:t>
            </w:r>
          </w:p>
          <w:p w:rsidR="005052FC" w:rsidRPr="004C21BA" w:rsidP="00804B16">
            <w:pPr>
              <w:autoSpaceDE w:val="0"/>
              <w:autoSpaceDN w:val="0"/>
              <w:adjustRightInd w:val="0"/>
              <w:rPr>
                <w:rFonts w:eastAsia="PMingLiU"/>
              </w:rPr>
            </w:pPr>
          </w:p>
        </w:tc>
      </w:tr>
    </w:tbl>
    <w:p w:rsidR="005052FC" w:rsidRPr="004C21BA" w:rsidP="005052FC">
      <w:pPr>
        <w:jc w:val="center"/>
        <w:rPr>
          <w:rFonts w:eastAsia="PMingLiU"/>
          <w:b/>
          <w:iCs/>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Dayton Power and Light Company for Approval of A Limited Waiver of Ohio Adm. Code 4901:1-18-06(A)(2).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Case No. 18-1876-EL-WVR </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 </w:t>
            </w:r>
          </w:p>
          <w:p w:rsidR="005052FC" w:rsidRPr="004C21BA" w:rsidP="00804B16">
            <w:pPr>
              <w:autoSpaceDE w:val="0"/>
              <w:autoSpaceDN w:val="0"/>
              <w:adjustRightInd w:val="0"/>
              <w:rPr>
                <w:rFonts w:eastAsia="PMingLiU"/>
              </w:rPr>
            </w:pPr>
          </w:p>
        </w:tc>
      </w:tr>
    </w:tbl>
    <w:p w:rsidR="005052FC" w:rsidRPr="004C21BA" w:rsidP="005052FC">
      <w:pPr>
        <w:jc w:val="center"/>
        <w:rPr>
          <w:rFonts w:eastAsia="PMingLiU"/>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Dayton Power and Light Company for Approval of Certain Accounting Methods.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Case No. 18-1877-EL-AAM</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autoSpaceDE w:val="0"/>
              <w:autoSpaceDN w:val="0"/>
              <w:adjustRightInd w:val="0"/>
              <w:rPr>
                <w:rFonts w:eastAsia="PMingLiU"/>
              </w:rPr>
            </w:pPr>
          </w:p>
        </w:tc>
      </w:tr>
    </w:tbl>
    <w:p w:rsidR="005052FC" w:rsidRPr="004C21BA" w:rsidP="005052FC">
      <w:pPr>
        <w:jc w:val="center"/>
        <w:rPr>
          <w:rFonts w:eastAsia="PMingLiU"/>
          <w:b/>
          <w:iCs/>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Dayton Power and Light Company for Administration of the Significantly Excessive Earnings Test under R.C. 4928.143(F) and Ohio Adm. Code 4901:1-35-10 for 2018.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Case No. 19-1121-EL-UNC </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autoSpaceDE w:val="0"/>
              <w:autoSpaceDN w:val="0"/>
              <w:adjustRightInd w:val="0"/>
              <w:rPr>
                <w:rFonts w:eastAsia="PMingLiU"/>
              </w:rPr>
            </w:pPr>
          </w:p>
        </w:tc>
      </w:tr>
    </w:tbl>
    <w:p w:rsidR="005052FC" w:rsidRPr="004C21BA" w:rsidP="005052FC">
      <w:pPr>
        <w:jc w:val="center"/>
        <w:rPr>
          <w:rFonts w:eastAsia="PMingLiU"/>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Dayton Power and Light Company for A Finding That Its Current Electric Security Plan Passes the Significantly Excessive Earnings Test and More Favorable in the Aggregate Test in R.C. 4928.143(E).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Case No. 20-680-EL-UNC </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autoSpaceDE w:val="0"/>
              <w:autoSpaceDN w:val="0"/>
              <w:adjustRightInd w:val="0"/>
              <w:rPr>
                <w:rFonts w:eastAsia="PMingLiU"/>
              </w:rPr>
            </w:pPr>
          </w:p>
        </w:tc>
      </w:tr>
    </w:tbl>
    <w:p w:rsidR="005052FC" w:rsidRPr="004C21BA" w:rsidP="005052FC">
      <w:pPr>
        <w:jc w:val="center"/>
        <w:rPr>
          <w:rFonts w:eastAsia="PMingLiU"/>
          <w:b/>
          <w:iCs/>
        </w:rPr>
      </w:pPr>
    </w:p>
    <w:tbl>
      <w:tblPr>
        <w:tblW w:w="9092" w:type="dxa"/>
        <w:tblLook w:val="01E0"/>
      </w:tblPr>
      <w:tblGrid>
        <w:gridCol w:w="4332"/>
        <w:gridCol w:w="360"/>
        <w:gridCol w:w="4400"/>
      </w:tblGrid>
      <w:tr w:rsidTr="00804B16">
        <w:tblPrEx>
          <w:tblW w:w="9092" w:type="dxa"/>
          <w:tblLook w:val="01E0"/>
        </w:tblPrEx>
        <w:trPr>
          <w:trHeight w:val="807"/>
        </w:trPr>
        <w:tc>
          <w:tcPr>
            <w:tcW w:w="4332" w:type="dxa"/>
            <w:shd w:val="clear" w:color="auto" w:fill="auto"/>
          </w:tcPr>
          <w:p w:rsidR="005052FC" w:rsidRPr="004C21BA" w:rsidP="00804B16">
            <w:pPr>
              <w:autoSpaceDE w:val="0"/>
              <w:autoSpaceDN w:val="0"/>
              <w:adjustRightInd w:val="0"/>
              <w:rPr>
                <w:rFonts w:eastAsia="PMingLiU"/>
              </w:rPr>
            </w:pPr>
            <w:r w:rsidRPr="004C21BA">
              <w:rPr>
                <w:rFonts w:eastAsia="PMingLiU"/>
              </w:rPr>
              <w:t xml:space="preserve">In the Matter of the Application of the Dayton Power and Light Company for Administration of the Significantly Excessive Earnings Test under R.C. 4928.143(F) and Ohio Adm. Code 4901:1-35-10 for 2019. </w:t>
            </w:r>
          </w:p>
        </w:tc>
        <w:tc>
          <w:tcPr>
            <w:tcW w:w="36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w:t>
            </w:r>
          </w:p>
        </w:tc>
        <w:tc>
          <w:tcPr>
            <w:tcW w:w="4400" w:type="dxa"/>
            <w:shd w:val="clear" w:color="auto" w:fill="auto"/>
          </w:tcPr>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4C21BA">
              <w:rPr>
                <w:rFonts w:eastAsia="Courier New"/>
              </w:rPr>
              <w:t xml:space="preserve">Case No. 20-1041-EL-UNC </w:t>
            </w: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5052FC" w:rsidRPr="004C21BA" w:rsidP="00804B16">
            <w:pPr>
              <w:autoSpaceDE w:val="0"/>
              <w:autoSpaceDN w:val="0"/>
              <w:adjustRightInd w:val="0"/>
              <w:rPr>
                <w:rFonts w:eastAsia="PMingLiU"/>
              </w:rPr>
            </w:pPr>
          </w:p>
        </w:tc>
      </w:tr>
    </w:tbl>
    <w:p w:rsidR="005052FC" w:rsidP="005052FC">
      <w:pPr>
        <w:pStyle w:val="HTMLPreformatted"/>
        <w:jc w:val="center"/>
        <w:rPr>
          <w:rFonts w:ascii="Times New Roman" w:hAnsi="Times New Roman" w:cs="Times New Roman"/>
          <w:b/>
          <w:bCs/>
          <w:sz w:val="24"/>
          <w:szCs w:val="24"/>
        </w:rPr>
      </w:pPr>
    </w:p>
    <w:p w:rsidR="005052FC" w:rsidP="005052FC">
      <w:pPr>
        <w:pStyle w:val="HTMLPreformatted"/>
        <w:jc w:val="center"/>
        <w:rPr>
          <w:rFonts w:ascii="Times New Roman" w:hAnsi="Times New Roman" w:cs="Times New Roman"/>
          <w:b/>
          <w:bCs/>
          <w:sz w:val="24"/>
          <w:szCs w:val="24"/>
        </w:rPr>
      </w:pPr>
    </w:p>
    <w:p w:rsidR="004630A2" w:rsidRPr="00C571FE">
      <w:pPr>
        <w:rPr>
          <w:rFonts w:cs="Times New Roman"/>
          <w:b/>
          <w:bCs/>
          <w:szCs w:val="24"/>
        </w:rPr>
      </w:pPr>
    </w:p>
    <w:p w:rsidR="004630A2" w:rsidRPr="00C571FE">
      <w:pPr>
        <w:rPr>
          <w:rFonts w:cs="Times New Roman"/>
          <w:szCs w:val="24"/>
        </w:rPr>
      </w:pPr>
    </w:p>
    <w:p w:rsidR="004A7370" w:rsidRPr="00C571FE" w:rsidP="004A7370">
      <w:pPr>
        <w:jc w:val="center"/>
        <w:rPr>
          <w:rFonts w:cs="Times New Roman"/>
          <w:b/>
          <w:caps/>
          <w:szCs w:val="24"/>
        </w:rPr>
      </w:pPr>
    </w:p>
    <w:p w:rsidR="004630A2" w:rsidRPr="00C571FE" w:rsidP="004A7370">
      <w:pPr>
        <w:jc w:val="center"/>
        <w:rPr>
          <w:rFonts w:cs="Times New Roman"/>
          <w:b/>
          <w:bCs/>
          <w:szCs w:val="24"/>
        </w:rPr>
      </w:pPr>
    </w:p>
    <w:p w:rsidR="004630A2" w:rsidRPr="00C571FE">
      <w:pPr>
        <w:rPr>
          <w:rFonts w:cs="Times New Roman"/>
          <w:b/>
          <w:bCs/>
          <w:szCs w:val="24"/>
        </w:rPr>
      </w:pPr>
    </w:p>
    <w:p w:rsidR="004630A2" w:rsidRPr="00C571FE">
      <w:pPr>
        <w:jc w:val="center"/>
        <w:rPr>
          <w:rFonts w:cs="Times New Roman"/>
          <w:b/>
          <w:bCs/>
          <w:szCs w:val="24"/>
        </w:rPr>
      </w:pPr>
      <w:r>
        <w:rPr>
          <w:rFonts w:cs="Times New Roman"/>
          <w:b/>
          <w:bCs/>
          <w:szCs w:val="24"/>
        </w:rPr>
        <w:t xml:space="preserve">SUPPLEMENTAL </w:t>
      </w:r>
      <w:r w:rsidRPr="00C571FE">
        <w:rPr>
          <w:rFonts w:cs="Times New Roman"/>
          <w:b/>
          <w:bCs/>
          <w:szCs w:val="24"/>
        </w:rPr>
        <w:t xml:space="preserve">DIRECT TESTIMONY </w:t>
      </w:r>
    </w:p>
    <w:p w:rsidR="004630A2" w:rsidRPr="00C571FE">
      <w:pPr>
        <w:jc w:val="center"/>
        <w:rPr>
          <w:rFonts w:cs="Times New Roman"/>
          <w:b/>
          <w:bCs/>
          <w:szCs w:val="24"/>
        </w:rPr>
      </w:pPr>
      <w:r w:rsidRPr="00C571FE">
        <w:rPr>
          <w:rFonts w:cs="Times New Roman"/>
          <w:b/>
          <w:bCs/>
          <w:szCs w:val="24"/>
        </w:rPr>
        <w:t>OF</w:t>
      </w:r>
    </w:p>
    <w:p w:rsidR="004630A2" w:rsidRPr="00C571FE">
      <w:pPr>
        <w:jc w:val="center"/>
        <w:rPr>
          <w:rFonts w:cs="Times New Roman"/>
          <w:b/>
          <w:bCs/>
          <w:szCs w:val="24"/>
        </w:rPr>
      </w:pPr>
      <w:r w:rsidRPr="00C571FE">
        <w:rPr>
          <w:rFonts w:cs="Times New Roman"/>
          <w:b/>
          <w:bCs/>
          <w:szCs w:val="24"/>
        </w:rPr>
        <w:t>MATTHEW I. KAHAL</w:t>
      </w:r>
    </w:p>
    <w:p w:rsidR="004630A2" w:rsidRPr="00C571FE">
      <w:pPr>
        <w:jc w:val="center"/>
        <w:rPr>
          <w:rFonts w:cs="Times New Roman"/>
          <w:b/>
          <w:bCs/>
          <w:szCs w:val="24"/>
        </w:rPr>
      </w:pPr>
    </w:p>
    <w:p w:rsidR="004630A2" w:rsidRPr="00C571FE">
      <w:pPr>
        <w:jc w:val="center"/>
        <w:rPr>
          <w:rFonts w:cs="Times New Roman"/>
          <w:b/>
          <w:bCs/>
          <w:szCs w:val="24"/>
        </w:rPr>
      </w:pPr>
    </w:p>
    <w:p w:rsidR="004630A2" w:rsidRPr="00C571FE">
      <w:pPr>
        <w:jc w:val="center"/>
        <w:rPr>
          <w:rFonts w:cs="Times New Roman"/>
          <w:b/>
          <w:bCs/>
          <w:szCs w:val="24"/>
        </w:rPr>
      </w:pPr>
    </w:p>
    <w:p w:rsidR="004630A2" w:rsidRPr="00C571FE">
      <w:pPr>
        <w:jc w:val="center"/>
        <w:rPr>
          <w:rFonts w:cs="Times New Roman"/>
          <w:b/>
          <w:bCs/>
          <w:szCs w:val="24"/>
        </w:rPr>
      </w:pPr>
      <w:r w:rsidRPr="00C571FE">
        <w:rPr>
          <w:rFonts w:cs="Times New Roman"/>
          <w:b/>
          <w:bCs/>
          <w:szCs w:val="24"/>
        </w:rPr>
        <w:t>On Behalf of the</w:t>
      </w:r>
    </w:p>
    <w:p w:rsidR="004630A2" w:rsidRPr="00C571FE">
      <w:pPr>
        <w:jc w:val="center"/>
        <w:rPr>
          <w:rFonts w:cs="Times New Roman"/>
          <w:b/>
          <w:bCs/>
          <w:szCs w:val="24"/>
        </w:rPr>
      </w:pPr>
      <w:r w:rsidRPr="00C571FE">
        <w:rPr>
          <w:rFonts w:cs="Times New Roman"/>
          <w:b/>
          <w:bCs/>
          <w:szCs w:val="24"/>
        </w:rPr>
        <w:t>Office of the Ohio Consumers’ Counsel</w:t>
      </w:r>
    </w:p>
    <w:p w:rsidR="004630A2" w:rsidRPr="00C571FE">
      <w:pPr>
        <w:jc w:val="center"/>
        <w:rPr>
          <w:rFonts w:cs="Times New Roman"/>
          <w:i/>
          <w:szCs w:val="24"/>
        </w:rPr>
      </w:pPr>
      <w:r>
        <w:rPr>
          <w:rFonts w:cs="Times New Roman"/>
          <w:i/>
          <w:szCs w:val="24"/>
        </w:rPr>
        <w:t>6</w:t>
      </w:r>
      <w:r w:rsidR="0051426D">
        <w:rPr>
          <w:rFonts w:cs="Times New Roman"/>
          <w:i/>
          <w:szCs w:val="24"/>
        </w:rPr>
        <w:t>5</w:t>
      </w:r>
      <w:r w:rsidRPr="00C571FE">
        <w:rPr>
          <w:rFonts w:cs="Times New Roman"/>
          <w:i/>
          <w:szCs w:val="24"/>
        </w:rPr>
        <w:t xml:space="preserve"> </w:t>
      </w:r>
      <w:r w:rsidR="0051426D">
        <w:rPr>
          <w:rFonts w:cs="Times New Roman"/>
          <w:i/>
          <w:szCs w:val="24"/>
        </w:rPr>
        <w:t>East</w:t>
      </w:r>
      <w:r w:rsidRPr="00C571FE">
        <w:rPr>
          <w:rFonts w:cs="Times New Roman"/>
          <w:i/>
          <w:szCs w:val="24"/>
        </w:rPr>
        <w:t xml:space="preserve"> </w:t>
      </w:r>
      <w:r>
        <w:rPr>
          <w:rFonts w:cs="Times New Roman"/>
          <w:i/>
          <w:szCs w:val="24"/>
        </w:rPr>
        <w:t>State</w:t>
      </w:r>
      <w:r w:rsidRPr="00C571FE">
        <w:rPr>
          <w:rFonts w:cs="Times New Roman"/>
          <w:i/>
          <w:szCs w:val="24"/>
        </w:rPr>
        <w:t xml:space="preserve"> Street, </w:t>
      </w:r>
      <w:r w:rsidR="0051426D">
        <w:rPr>
          <w:rFonts w:cs="Times New Roman"/>
          <w:i/>
          <w:szCs w:val="24"/>
        </w:rPr>
        <w:t>7th Floor</w:t>
      </w:r>
    </w:p>
    <w:p w:rsidR="004630A2" w:rsidRPr="00C571FE">
      <w:pPr>
        <w:jc w:val="center"/>
        <w:rPr>
          <w:rFonts w:cs="Times New Roman"/>
          <w:i/>
          <w:szCs w:val="24"/>
        </w:rPr>
      </w:pPr>
      <w:r w:rsidRPr="00C571FE">
        <w:rPr>
          <w:rFonts w:cs="Times New Roman"/>
          <w:i/>
          <w:szCs w:val="24"/>
        </w:rPr>
        <w:t>Columbus, Ohio 43215</w:t>
      </w:r>
    </w:p>
    <w:p w:rsidR="004630A2" w:rsidRPr="00C571FE">
      <w:pPr>
        <w:jc w:val="center"/>
        <w:rPr>
          <w:rFonts w:cs="Times New Roman"/>
          <w:b/>
          <w:bCs/>
          <w:szCs w:val="24"/>
        </w:rPr>
      </w:pPr>
    </w:p>
    <w:p w:rsidR="004630A2" w:rsidRPr="00C571FE">
      <w:pPr>
        <w:rPr>
          <w:rFonts w:cs="Times New Roman"/>
          <w:szCs w:val="24"/>
        </w:rPr>
      </w:pPr>
    </w:p>
    <w:p w:rsidR="004630A2" w:rsidRPr="00C571FE">
      <w:pPr>
        <w:rPr>
          <w:rFonts w:cs="Times New Roman"/>
          <w:b/>
          <w:szCs w:val="24"/>
        </w:rPr>
      </w:pPr>
    </w:p>
    <w:p w:rsidR="00DD54E0" w:rsidRPr="00C571FE">
      <w:pPr>
        <w:rPr>
          <w:rFonts w:cs="Times New Roman"/>
          <w:b/>
          <w:szCs w:val="24"/>
        </w:rPr>
      </w:pPr>
    </w:p>
    <w:p w:rsidR="00DD54E0" w:rsidRPr="00C571FE">
      <w:pPr>
        <w:rPr>
          <w:rFonts w:cs="Times New Roman"/>
          <w:b/>
          <w:szCs w:val="24"/>
        </w:rPr>
      </w:pPr>
    </w:p>
    <w:p w:rsidR="00DD54E0" w:rsidRPr="00C571FE">
      <w:pPr>
        <w:rPr>
          <w:rFonts w:cs="Times New Roman"/>
          <w:b/>
          <w:szCs w:val="24"/>
        </w:rPr>
      </w:pPr>
    </w:p>
    <w:p w:rsidR="004630A2">
      <w:pPr>
        <w:jc w:val="center"/>
        <w:rPr>
          <w:rFonts w:cs="Times New Roman"/>
          <w:b/>
          <w:caps/>
          <w:szCs w:val="24"/>
        </w:rPr>
      </w:pPr>
      <w:bookmarkStart w:id="1" w:name="_Toc282164191"/>
      <w:bookmarkStart w:id="2" w:name="_Toc282173287"/>
      <w:bookmarkStart w:id="3" w:name="_Toc282176721"/>
      <w:bookmarkStart w:id="4" w:name="_Toc282779575"/>
      <w:bookmarkStart w:id="5" w:name="_Toc282780336"/>
      <w:bookmarkStart w:id="6" w:name="_Toc283117178"/>
      <w:bookmarkStart w:id="7" w:name="_Toc283973516"/>
      <w:bookmarkStart w:id="8" w:name="_Toc324941554"/>
      <w:bookmarkStart w:id="9" w:name="_Toc324951657"/>
      <w:bookmarkStart w:id="10" w:name="_Toc325109871"/>
      <w:bookmarkStart w:id="11" w:name="_Toc325111643"/>
      <w:bookmarkStart w:id="12" w:name="_Toc325382379"/>
      <w:r>
        <w:rPr>
          <w:rFonts w:cs="Times New Roman"/>
          <w:b/>
          <w:caps/>
          <w:szCs w:val="24"/>
        </w:rPr>
        <w:t>December 1</w:t>
      </w:r>
      <w:r w:rsidR="00C75069">
        <w:rPr>
          <w:rFonts w:cs="Times New Roman"/>
          <w:b/>
          <w:caps/>
          <w:szCs w:val="24"/>
        </w:rPr>
        <w:t>7</w:t>
      </w:r>
      <w:r w:rsidR="0051426D">
        <w:rPr>
          <w:rFonts w:cs="Times New Roman"/>
          <w:b/>
          <w:caps/>
          <w:szCs w:val="24"/>
        </w:rPr>
        <w:t>, 2020</w:t>
      </w:r>
    </w:p>
    <w:p w:rsidR="001A3355">
      <w:pPr>
        <w:jc w:val="center"/>
        <w:rPr>
          <w:rFonts w:cs="Times New Roman"/>
          <w:b/>
          <w:caps/>
          <w:szCs w:val="24"/>
        </w:rPr>
      </w:pPr>
    </w:p>
    <w:p w:rsidR="004630A2" w:rsidRPr="00C571FE">
      <w:pPr>
        <w:jc w:val="center"/>
        <w:rPr>
          <w:rFonts w:cs="Times New Roman"/>
          <w:b/>
          <w:caps/>
          <w:szCs w:val="24"/>
        </w:rPr>
      </w:pPr>
    </w:p>
    <w:p w:rsidR="004630A2">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pPr>
        <w:jc w:val="center"/>
        <w:rPr>
          <w:rFonts w:cs="Times New Roman"/>
          <w:b/>
          <w:u w:val="single"/>
        </w:rPr>
      </w:pPr>
    </w:p>
    <w:p w:rsidR="00000463" w:rsidRPr="00C571FE">
      <w:pPr>
        <w:jc w:val="center"/>
        <w:rPr>
          <w:rFonts w:cs="Times New Roman"/>
          <w:b/>
          <w:u w:val="single"/>
        </w:rPr>
        <w:sectPr w:rsidSect="00011674">
          <w:type w:val="continuous"/>
          <w:pgSz w:w="12240" w:h="15840"/>
          <w:pgMar w:top="1440" w:right="1440" w:bottom="1440" w:left="1440" w:header="720" w:footer="720" w:gutter="0"/>
          <w:cols w:space="720"/>
          <w:titlePg/>
          <w:docGrid w:linePitch="360"/>
        </w:sectPr>
      </w:pPr>
    </w:p>
    <w:p w:rsidR="00011674">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72541A">
      <w:pPr>
        <w:rPr>
          <w:rFonts w:cs="Times New Roman"/>
          <w:b/>
        </w:rPr>
      </w:pPr>
    </w:p>
    <w:p w:rsidR="005D49DE" w:rsidP="005D49DE">
      <w:pPr>
        <w:jc w:val="center"/>
        <w:rPr>
          <w:rFonts w:cs="Times New Roman"/>
          <w:b/>
          <w:u w:val="single"/>
        </w:rPr>
      </w:pPr>
      <w:r>
        <w:rPr>
          <w:rFonts w:cs="Times New Roman"/>
          <w:b/>
          <w:u w:val="single"/>
        </w:rPr>
        <w:t>TABLE OF CONTENTS</w:t>
      </w:r>
    </w:p>
    <w:p w:rsidR="005D49DE" w:rsidP="005D49DE">
      <w:pPr>
        <w:jc w:val="right"/>
        <w:rPr>
          <w:rFonts w:cs="Times New Roman"/>
          <w:b/>
        </w:rPr>
      </w:pPr>
      <w:r>
        <w:rPr>
          <w:rFonts w:cs="Times New Roman"/>
          <w:b/>
        </w:rPr>
        <w:t>PAGE</w:t>
      </w:r>
    </w:p>
    <w:p w:rsidR="005D49DE" w:rsidP="005D49DE">
      <w:pPr>
        <w:jc w:val="right"/>
        <w:rPr>
          <w:rFonts w:cs="Times New Roman"/>
          <w:b/>
        </w:rPr>
      </w:pPr>
    </w:p>
    <w:p w:rsidR="00FE7026">
      <w:pPr>
        <w:pStyle w:val="TOC1"/>
        <w:rPr>
          <w:rFonts w:asciiTheme="minorHAnsi" w:eastAsiaTheme="minorEastAsia" w:hAnsiTheme="minorHAnsi" w:cstheme="minorBidi"/>
          <w:caps w:val="0"/>
          <w:sz w:val="22"/>
          <w:szCs w:val="22"/>
        </w:rPr>
      </w:pPr>
      <w:r>
        <w:rPr>
          <w:b/>
        </w:rPr>
        <w:fldChar w:fldCharType="begin"/>
      </w:r>
      <w:r w:rsidR="005D49DE">
        <w:rPr>
          <w:b/>
        </w:rPr>
        <w:instrText xml:space="preserve"> TOC \o "1-3" \h \z \u </w:instrText>
      </w:r>
      <w:r>
        <w:rPr>
          <w:b/>
        </w:rPr>
        <w:fldChar w:fldCharType="separate"/>
      </w:r>
      <w:hyperlink w:anchor="_Toc59107215" w:history="1">
        <w:r w:rsidRPr="00252087">
          <w:rPr>
            <w:rStyle w:val="Hyperlink"/>
          </w:rPr>
          <w:t>I.</w:t>
        </w:r>
        <w:r>
          <w:rPr>
            <w:rFonts w:asciiTheme="minorHAnsi" w:eastAsiaTheme="minorEastAsia" w:hAnsiTheme="minorHAnsi" w:cstheme="minorBidi"/>
            <w:caps w:val="0"/>
            <w:sz w:val="22"/>
            <w:szCs w:val="22"/>
          </w:rPr>
          <w:tab/>
        </w:r>
        <w:r w:rsidRPr="00252087">
          <w:rPr>
            <w:rStyle w:val="Hyperlink"/>
          </w:rPr>
          <w:t>OVERVIEW OF STIPULATION</w:t>
        </w:r>
        <w:r>
          <w:rPr>
            <w:webHidden/>
          </w:rPr>
          <w:tab/>
        </w:r>
        <w:r>
          <w:rPr>
            <w:webHidden/>
          </w:rPr>
          <w:fldChar w:fldCharType="begin"/>
        </w:r>
        <w:r>
          <w:rPr>
            <w:webHidden/>
          </w:rPr>
          <w:instrText xml:space="preserve"> PAGEREF _Toc59107215 \h </w:instrText>
        </w:r>
        <w:r>
          <w:rPr>
            <w:webHidden/>
          </w:rPr>
          <w:fldChar w:fldCharType="separate"/>
        </w:r>
        <w:r>
          <w:rPr>
            <w:webHidden/>
          </w:rPr>
          <w:t>1</w:t>
        </w:r>
        <w:r>
          <w:rPr>
            <w:webHidden/>
          </w:rPr>
          <w:fldChar w:fldCharType="end"/>
        </w:r>
      </w:hyperlink>
    </w:p>
    <w:p w:rsidR="00FE7026">
      <w:pPr>
        <w:pStyle w:val="TOC1"/>
        <w:rPr>
          <w:rFonts w:asciiTheme="minorHAnsi" w:eastAsiaTheme="minorEastAsia" w:hAnsiTheme="minorHAnsi" w:cstheme="minorBidi"/>
          <w:caps w:val="0"/>
          <w:sz w:val="22"/>
          <w:szCs w:val="22"/>
        </w:rPr>
      </w:pPr>
      <w:hyperlink w:anchor="_Toc59107216" w:history="1">
        <w:r w:rsidRPr="00252087">
          <w:rPr>
            <w:rStyle w:val="Hyperlink"/>
          </w:rPr>
          <w:t>II.</w:t>
        </w:r>
        <w:r>
          <w:rPr>
            <w:rFonts w:asciiTheme="minorHAnsi" w:eastAsiaTheme="minorEastAsia" w:hAnsiTheme="minorHAnsi" w:cstheme="minorBidi"/>
            <w:caps w:val="0"/>
            <w:sz w:val="22"/>
            <w:szCs w:val="22"/>
          </w:rPr>
          <w:tab/>
        </w:r>
        <w:r w:rsidRPr="00252087">
          <w:rPr>
            <w:rStyle w:val="Hyperlink"/>
          </w:rPr>
          <w:t>THE PUCO’S THREE-PRONG TEST FOR SETTLEMENTS</w:t>
        </w:r>
        <w:r>
          <w:rPr>
            <w:webHidden/>
          </w:rPr>
          <w:tab/>
        </w:r>
        <w:r>
          <w:rPr>
            <w:webHidden/>
          </w:rPr>
          <w:fldChar w:fldCharType="begin"/>
        </w:r>
        <w:r>
          <w:rPr>
            <w:webHidden/>
          </w:rPr>
          <w:instrText xml:space="preserve"> PAGEREF _Toc59107216 \h </w:instrText>
        </w:r>
        <w:r>
          <w:rPr>
            <w:webHidden/>
          </w:rPr>
          <w:fldChar w:fldCharType="separate"/>
        </w:r>
        <w:r>
          <w:rPr>
            <w:webHidden/>
          </w:rPr>
          <w:t>14</w:t>
        </w:r>
        <w:r>
          <w:rPr>
            <w:webHidden/>
          </w:rPr>
          <w:fldChar w:fldCharType="end"/>
        </w:r>
      </w:hyperlink>
    </w:p>
    <w:p w:rsidR="00FE7026">
      <w:pPr>
        <w:pStyle w:val="TOC1"/>
        <w:rPr>
          <w:rFonts w:asciiTheme="minorHAnsi" w:eastAsiaTheme="minorEastAsia" w:hAnsiTheme="minorHAnsi" w:cstheme="minorBidi"/>
          <w:caps w:val="0"/>
          <w:sz w:val="22"/>
          <w:szCs w:val="22"/>
        </w:rPr>
      </w:pPr>
      <w:hyperlink w:anchor="_Toc59107217" w:history="1">
        <w:r w:rsidRPr="00252087">
          <w:rPr>
            <w:rStyle w:val="Hyperlink"/>
          </w:rPr>
          <w:t>III.</w:t>
        </w:r>
        <w:r>
          <w:rPr>
            <w:rFonts w:asciiTheme="minorHAnsi" w:eastAsiaTheme="minorEastAsia" w:hAnsiTheme="minorHAnsi" w:cstheme="minorBidi"/>
            <w:caps w:val="0"/>
            <w:sz w:val="22"/>
            <w:szCs w:val="22"/>
          </w:rPr>
          <w:tab/>
        </w:r>
        <w:r w:rsidRPr="00252087">
          <w:rPr>
            <w:rStyle w:val="Hyperlink"/>
          </w:rPr>
          <w:t>ADDITIONAL ANALYSIS OF THE ISSUES</w:t>
        </w:r>
        <w:r>
          <w:rPr>
            <w:webHidden/>
          </w:rPr>
          <w:tab/>
        </w:r>
        <w:r>
          <w:rPr>
            <w:webHidden/>
          </w:rPr>
          <w:fldChar w:fldCharType="begin"/>
        </w:r>
        <w:r>
          <w:rPr>
            <w:webHidden/>
          </w:rPr>
          <w:instrText xml:space="preserve"> PAGEREF _Toc59107217 \h </w:instrText>
        </w:r>
        <w:r>
          <w:rPr>
            <w:webHidden/>
          </w:rPr>
          <w:fldChar w:fldCharType="separate"/>
        </w:r>
        <w:r>
          <w:rPr>
            <w:webHidden/>
          </w:rPr>
          <w:t>27</w:t>
        </w:r>
        <w:r>
          <w:rPr>
            <w:webHidden/>
          </w:rPr>
          <w:fldChar w:fldCharType="end"/>
        </w:r>
      </w:hyperlink>
    </w:p>
    <w:p w:rsidR="005D49DE" w:rsidRPr="005D49DE" w:rsidP="005D49DE">
      <w:pPr>
        <w:jc w:val="right"/>
        <w:rPr>
          <w:rFonts w:cs="Times New Roman"/>
          <w:b/>
        </w:rPr>
      </w:pPr>
      <w:r>
        <w:rPr>
          <w:rFonts w:cs="Times New Roman"/>
          <w:b/>
        </w:rPr>
        <w:fldChar w:fldCharType="end"/>
      </w:r>
    </w:p>
    <w:p w:rsidR="005D49DE">
      <w:pPr>
        <w:rPr>
          <w:rFonts w:cs="Times New Roman"/>
          <w:b/>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pPr>
    </w:p>
    <w:p w:rsidR="005D49DE">
      <w:pPr>
        <w:suppressLineNumbers/>
        <w:jc w:val="center"/>
        <w:rPr>
          <w:rFonts w:cs="Times New Roman"/>
          <w:b/>
          <w:u w:val="single"/>
        </w:rPr>
        <w:sectPr w:rsidSect="00011674">
          <w:headerReference w:type="even" r:id="rId6"/>
          <w:headerReference w:type="default" r:id="rId7"/>
          <w:footerReference w:type="default" r:id="rId8"/>
          <w:headerReference w:type="first" r:id="rId9"/>
          <w:type w:val="continuous"/>
          <w:pgSz w:w="12240" w:h="15840" w:code="1"/>
          <w:pgMar w:top="1440" w:right="1440" w:bottom="1440" w:left="1440" w:header="720" w:footer="720" w:gutter="0"/>
          <w:pgNumType w:fmt="lowerRoman" w:start="1"/>
          <w:cols w:space="720"/>
          <w:docGrid w:linePitch="360"/>
        </w:sectPr>
      </w:pPr>
    </w:p>
    <w:p w:rsidR="004630A2" w:rsidRPr="00537623" w:rsidP="007C3F3F">
      <w:pPr>
        <w:pStyle w:val="Heading1"/>
        <w:rPr>
          <w:rFonts w:hint="eastAsia"/>
        </w:rPr>
      </w:pPr>
      <w:bookmarkStart w:id="13" w:name="_Toc385584287"/>
      <w:bookmarkStart w:id="14" w:name="_Toc54271721"/>
      <w:bookmarkStart w:id="15" w:name="_Toc59107215"/>
      <w:r>
        <w:t>OVERVIEW OF STIPULATION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37623" w:rsidRPr="00537623" w:rsidP="006C719B">
      <w:pPr>
        <w:spacing w:line="480" w:lineRule="auto"/>
      </w:pPr>
    </w:p>
    <w:p w:rsidR="004630A2" w:rsidRPr="00C571FE" w:rsidP="00C75069">
      <w:pPr>
        <w:pStyle w:val="DirectQuestion"/>
      </w:pPr>
      <w:r w:rsidRPr="00C571FE">
        <w:t>PLEASE STATE YOUR NAME AND BUSINESS ADDRESS.</w:t>
      </w:r>
    </w:p>
    <w:p w:rsidR="004630A2" w:rsidP="00C75069">
      <w:pPr>
        <w:pStyle w:val="DirectAnswer"/>
      </w:pPr>
      <w:r w:rsidRPr="00C75069">
        <w:rPr>
          <w:b/>
          <w:i/>
        </w:rPr>
        <w:t>A1</w:t>
      </w:r>
      <w:r>
        <w:rPr>
          <w:b/>
        </w:rPr>
        <w:t>.</w:t>
      </w:r>
      <w:r>
        <w:rPr>
          <w:b/>
        </w:rPr>
        <w:tab/>
      </w:r>
      <w:r w:rsidRPr="00C571FE">
        <w:t>My name is Matthew I. Kahal</w:t>
      </w:r>
      <w:r w:rsidR="00011674">
        <w:t xml:space="preserve">. </w:t>
      </w:r>
      <w:r w:rsidRPr="00C571FE">
        <w:t xml:space="preserve">I am employed as an independent consultant retained by the Office of the Ohio Consumers’ Counsel (“OCC”) to address certain issues in this </w:t>
      </w:r>
      <w:r w:rsidR="00011674">
        <w:t xml:space="preserve">case. </w:t>
      </w:r>
      <w:r w:rsidRPr="00C571FE">
        <w:t>My business address is 1108 Pheasant Crossing, Charlottesville, VA 22901.</w:t>
      </w:r>
    </w:p>
    <w:p w:rsidR="00684273" w:rsidP="00C75069">
      <w:pPr>
        <w:pStyle w:val="DirectQuestion"/>
        <w:numPr>
          <w:ilvl w:val="0"/>
          <w:numId w:val="0"/>
        </w:numPr>
        <w:ind w:left="720"/>
      </w:pPr>
    </w:p>
    <w:p w:rsidR="004630A2" w:rsidRPr="00C571FE" w:rsidP="00C75069">
      <w:pPr>
        <w:pStyle w:val="DirectQuestion"/>
      </w:pPr>
      <w:r>
        <w:t>have you previously submitted testimony in this proceeding?</w:t>
      </w:r>
    </w:p>
    <w:p w:rsidR="00971086" w:rsidRPr="00971086" w:rsidP="00C75069">
      <w:pPr>
        <w:pStyle w:val="DirectAnswer"/>
      </w:pPr>
      <w:r>
        <w:rPr>
          <w:b/>
          <w:i/>
        </w:rPr>
        <w:t>A2.</w:t>
      </w:r>
      <w:r>
        <w:rPr>
          <w:b/>
          <w:i/>
        </w:rPr>
        <w:tab/>
      </w:r>
      <w:r w:rsidR="000E6855">
        <w:t>Yes</w:t>
      </w:r>
      <w:r>
        <w:t xml:space="preserve">. </w:t>
      </w:r>
      <w:r w:rsidR="000E6855">
        <w:t>On October 22, 2020, OCC submitted testimony that I prepared in Case No. 20-680-EL-UNC</w:t>
      </w:r>
      <w:r>
        <w:t xml:space="preserve">. </w:t>
      </w:r>
      <w:r w:rsidR="000E6855">
        <w:t xml:space="preserve">That docket was initiated by a filing by Dayton Power and Light Company (“DP&amp;L” or “Utility”) </w:t>
      </w:r>
      <w:r w:rsidR="00DE5E5E">
        <w:t>to determine whether it can</w:t>
      </w:r>
      <w:r w:rsidR="000E6855">
        <w:t xml:space="preserve"> continue its Electric Security Plan I (“ESP I”)</w:t>
      </w:r>
      <w:r>
        <w:t xml:space="preserve">. </w:t>
      </w:r>
      <w:r w:rsidR="00DE5E5E">
        <w:t>T</w:t>
      </w:r>
      <w:r w:rsidR="000E6855">
        <w:t xml:space="preserve">o do so, the Utility </w:t>
      </w:r>
      <w:r w:rsidR="00DE5E5E">
        <w:t xml:space="preserve">is required </w:t>
      </w:r>
      <w:r w:rsidR="000E6855">
        <w:t xml:space="preserve">to demonstrate (1) that ESP I going forward is “more favorable in the aggregate” (the statutory “MFA” test) </w:t>
      </w:r>
      <w:r w:rsidR="00840436">
        <w:t xml:space="preserve">for consumers </w:t>
      </w:r>
      <w:r w:rsidR="000E6855">
        <w:t>than the alternative of a Market Rate Offer (“MRO”); and (2) that the ESP I is not</w:t>
      </w:r>
      <w:r w:rsidR="006E47B8">
        <w:t xml:space="preserve"> </w:t>
      </w:r>
      <w:r w:rsidR="000E6855">
        <w:t>likely to lead to significantly excessive earnings</w:t>
      </w:r>
      <w:r>
        <w:t xml:space="preserve">. </w:t>
      </w:r>
      <w:r w:rsidR="000E6855">
        <w:t>The Utility’s filing asserts that ESP I passes these two statutory tests, while my October 22 Direct Testimony demonstrates that it does not</w:t>
      </w:r>
      <w:r w:rsidR="00840436">
        <w:t xml:space="preserve"> and would harm customers</w:t>
      </w:r>
      <w:r w:rsidR="000E6855">
        <w:t xml:space="preserve">. </w:t>
      </w:r>
      <w:r w:rsidR="00BF4FB8">
        <w:t xml:space="preserve">Therefore, the Public Utilities Commission of Ohio (“PUCO”) should reject DP&amp;L’s request to </w:t>
      </w:r>
      <w:r w:rsidR="00684273">
        <w:t xml:space="preserve">continue </w:t>
      </w:r>
      <w:r w:rsidR="00BF4FB8">
        <w:t>ESP I under the PUCO’s quadrennial review (more favorable in the aggregate test)</w:t>
      </w:r>
      <w:r w:rsidR="00684273">
        <w:t>. Because DP&amp;L fails this statutory test, the PUCO need not even evaluate it in the context of the Settlement or the three-prong test and can order the immediate transition from ESP I to the more advantageous alternative, a market rate offer</w:t>
      </w:r>
      <w:r w:rsidR="006E0C41">
        <w:t xml:space="preserve">. </w:t>
      </w:r>
      <w:r w:rsidR="00BF4FB8">
        <w:t>However, if the PUCO decides it</w:t>
      </w:r>
      <w:r w:rsidR="00B27DC5">
        <w:t xml:space="preserve"> is</w:t>
      </w:r>
      <w:r w:rsidR="00BF4FB8">
        <w:t xml:space="preserve"> necessary to review the </w:t>
      </w:r>
      <w:r w:rsidR="00684273">
        <w:t>S</w:t>
      </w:r>
      <w:r w:rsidR="00BF4FB8">
        <w:t xml:space="preserve">ettlement under its three-prong standard, my Supplemental Direct Testimony (and other OCC testimony) explains why the Settlement fails the PUCO’s three-prong test. </w:t>
      </w:r>
    </w:p>
    <w:p w:rsidR="00C75069" w:rsidP="00C75069">
      <w:pPr>
        <w:pStyle w:val="DirectAnswer"/>
      </w:pPr>
    </w:p>
    <w:p w:rsidR="008E5121" w:rsidP="00C75069">
      <w:pPr>
        <w:pStyle w:val="DirectAnswer"/>
        <w:ind w:firstLine="0"/>
      </w:pPr>
      <w:r>
        <w:t>My Direct Testimony includes a statement of my qualifications and list of prior testimony</w:t>
      </w:r>
      <w:r w:rsidR="00971086">
        <w:t xml:space="preserve">. </w:t>
      </w:r>
    </w:p>
    <w:p w:rsidR="00B00D30" w:rsidRPr="00B00D30" w:rsidP="00B00D30">
      <w:pPr>
        <w:pStyle w:val="DirectNext"/>
        <w:spacing w:before="0"/>
      </w:pPr>
    </w:p>
    <w:p w:rsidR="004630A2" w:rsidRPr="00C571FE" w:rsidP="00C75069">
      <w:pPr>
        <w:pStyle w:val="DirectQuestion"/>
      </w:pPr>
      <w:r w:rsidRPr="00C571FE">
        <w:t xml:space="preserve">WHAT IS </w:t>
      </w:r>
      <w:r w:rsidR="000E7DCB">
        <w:t>the purpose of your supplemental testimony?</w:t>
      </w:r>
    </w:p>
    <w:p w:rsidR="00684273" w:rsidP="00C75069">
      <w:pPr>
        <w:pStyle w:val="DirectAnswer"/>
      </w:pPr>
      <w:r w:rsidRPr="00C75069">
        <w:rPr>
          <w:b/>
          <w:i/>
        </w:rPr>
        <w:t>A3.</w:t>
      </w:r>
      <w:r>
        <w:t xml:space="preserve"> </w:t>
      </w:r>
      <w:r w:rsidR="00C75069">
        <w:tab/>
      </w:r>
      <w:r w:rsidR="0088696E">
        <w:t>On October 23, 2020, DP&amp;L submitted a Stipulation and Recommendation (“Settlement”) that it entered into with the PUCO Staff and some intervening parties covering several pending DP&amp;L dockets, principally including the ESP I continuation in which my direct testimony was submitted (mentioned above), the Utility’s proposed Smart Grid Plan (“SGP”), and dockets pertaining to the potential for customer refunds in 2018 and 2019 for too high profits DP&amp;L earned under its electric security plan</w:t>
      </w:r>
      <w:r w:rsidR="00B27DC5">
        <w:t>.</w:t>
      </w:r>
    </w:p>
    <w:p w:rsidR="00C75069" w:rsidP="00C75069">
      <w:pPr>
        <w:pStyle w:val="DirectAnswer"/>
      </w:pPr>
    </w:p>
    <w:p w:rsidR="00647660" w:rsidP="00647660">
      <w:pPr>
        <w:pStyle w:val="DirectAnswer"/>
        <w:ind w:firstLine="0"/>
        <w:rPr>
          <w:bCs w:val="0"/>
        </w:rPr>
      </w:pPr>
      <w:r>
        <w:t>On November 30, 2020, the Utility filed testimony in support of the Settlement of witness Sharon Schroder, explaining the terms of the Settlement and recommending its approval, as filed.</w:t>
      </w:r>
      <w:r>
        <w:rPr>
          <w:rStyle w:val="FootnoteReference"/>
        </w:rPr>
        <w:footnoteReference w:id="3"/>
      </w:r>
      <w:r w:rsidR="00F30A02">
        <w:t xml:space="preserve"> And despite the number of other parties signing the Settlement, other than the utility, just one other party (the Mission: Data Coalition) filed testimony in support of the Settlement.</w:t>
      </w:r>
      <w:r>
        <w:br w:type="page"/>
      </w:r>
    </w:p>
    <w:p w:rsidR="00684273" w:rsidP="00C75069">
      <w:pPr>
        <w:pStyle w:val="DirectAnswer"/>
        <w:ind w:firstLine="0"/>
      </w:pPr>
      <w:r>
        <w:t xml:space="preserve">At issue in this proceeding is whether </w:t>
      </w:r>
      <w:r w:rsidR="00B52E26">
        <w:t xml:space="preserve">under the PUCO’s standard for reviewing settlements, </w:t>
      </w:r>
      <w:r>
        <w:t xml:space="preserve">the PUCO should approve or reject </w:t>
      </w:r>
      <w:r w:rsidR="00B52E26">
        <w:t>this</w:t>
      </w:r>
      <w:r>
        <w:t xml:space="preserve"> Settlement</w:t>
      </w:r>
      <w:r w:rsidR="00840436">
        <w:t xml:space="preserve"> that DP&amp;L reached with parties to the case</w:t>
      </w:r>
      <w:r>
        <w:t xml:space="preserve"> or in the alternative </w:t>
      </w:r>
      <w:r w:rsidR="00B52E26">
        <w:t>reject or</w:t>
      </w:r>
      <w:r w:rsidR="00840436">
        <w:t xml:space="preserve"> modify the settlement. </w:t>
      </w:r>
      <w:r>
        <w:t>To protect Ohio’s consumers, I recommend that the PUCO reject the Settlement</w:t>
      </w:r>
      <w:r w:rsidR="00170040">
        <w:t>.</w:t>
      </w:r>
    </w:p>
    <w:p w:rsidR="00684273" w:rsidP="00C75069">
      <w:pPr>
        <w:pStyle w:val="DirectAnswer"/>
      </w:pPr>
    </w:p>
    <w:p w:rsidR="00B27DC5" w:rsidP="00C75069">
      <w:pPr>
        <w:pStyle w:val="DirectAnswer"/>
        <w:ind w:firstLine="0"/>
      </w:pPr>
      <w:r>
        <w:t xml:space="preserve">The Settlement </w:t>
      </w:r>
      <w:r w:rsidR="000B0754">
        <w:t>will allow DP&amp;L t</w:t>
      </w:r>
      <w:r w:rsidR="00085EB4">
        <w:t xml:space="preserve">o </w:t>
      </w:r>
      <w:r w:rsidR="001C3B0F">
        <w:t xml:space="preserve">needlessly </w:t>
      </w:r>
      <w:r w:rsidR="00840436">
        <w:t xml:space="preserve">charge </w:t>
      </w:r>
      <w:r w:rsidR="00085EB4">
        <w:t>customer</w:t>
      </w:r>
      <w:r w:rsidR="001C3B0F">
        <w:t>s</w:t>
      </w:r>
      <w:r w:rsidR="00085EB4">
        <w:t xml:space="preserve"> at least $300 million for</w:t>
      </w:r>
      <w:r w:rsidR="004E4A9F">
        <w:t xml:space="preserve"> what are </w:t>
      </w:r>
      <w:r>
        <w:t xml:space="preserve">unlawful </w:t>
      </w:r>
      <w:r w:rsidR="00BF4FB8">
        <w:t xml:space="preserve">stability </w:t>
      </w:r>
      <w:r>
        <w:t>charges</w:t>
      </w:r>
      <w:r w:rsidR="004E4A9F">
        <w:t xml:space="preserve"> to customers</w:t>
      </w:r>
      <w:r w:rsidR="006E0C41">
        <w:t xml:space="preserve">. </w:t>
      </w:r>
      <w:r>
        <w:t xml:space="preserve">Since the PUCO approved DP&amp;L’s stability charge in its ESP I (2009), the Ohio Supreme Court has struck down </w:t>
      </w:r>
      <w:r w:rsidR="004E4A9F">
        <w:t xml:space="preserve">(in a number of cases) stability or financial integrity charges that various utilities sought to charge customers through </w:t>
      </w:r>
      <w:r w:rsidR="00B52E26">
        <w:t xml:space="preserve">their </w:t>
      </w:r>
      <w:r w:rsidR="004E4A9F">
        <w:t>electric security plans</w:t>
      </w:r>
      <w:r w:rsidR="006E0C41">
        <w:t xml:space="preserve">. </w:t>
      </w:r>
      <w:r w:rsidR="004E4A9F">
        <w:t xml:space="preserve">For instance the Court struck down DP&amp;L’s successor stability charge in </w:t>
      </w:r>
      <w:r w:rsidR="00B23BC2">
        <w:t>2016</w:t>
      </w:r>
      <w:r w:rsidR="004E4A9F">
        <w:t xml:space="preserve">, called </w:t>
      </w:r>
      <w:r w:rsidR="00B23BC2">
        <w:t>the “service stability rider,” based on a similar ruling the Court had made with respect to AEP’s “retail stability rider.”</w:t>
      </w:r>
      <w:r>
        <w:rPr>
          <w:rStyle w:val="FootnoteReference"/>
        </w:rPr>
        <w:footnoteReference w:id="4"/>
      </w:r>
      <w:r w:rsidR="00B23BC2">
        <w:t xml:space="preserve"> The Court later overturned another financial integrity charge, this time the so-called “distribution modernization charge” that the PUCO approved for FirstEnergy.</w:t>
      </w:r>
      <w:r>
        <w:rPr>
          <w:rStyle w:val="FootnoteReference"/>
        </w:rPr>
        <w:footnoteReference w:id="5"/>
      </w:r>
      <w:r w:rsidR="00B23BC2">
        <w:t xml:space="preserve"> The PUCO then ruled that the Court’s </w:t>
      </w:r>
      <w:r>
        <w:t xml:space="preserve">FirstEnergy </w:t>
      </w:r>
      <w:r w:rsidR="00B23BC2">
        <w:t>ruling applied to DP&amp;L’s own so-called “distribution modernization rider” and ordered it removed from DP&amp;L’s ESP III.</w:t>
      </w:r>
      <w:r>
        <w:rPr>
          <w:rStyle w:val="FootnoteReference"/>
        </w:rPr>
        <w:footnoteReference w:id="6"/>
      </w:r>
      <w:r w:rsidR="004E4A9F">
        <w:t xml:space="preserve"> </w:t>
      </w:r>
    </w:p>
    <w:p w:rsidR="00B27DC5" w:rsidP="00C75069">
      <w:pPr>
        <w:pStyle w:val="DirectAnswer"/>
        <w:ind w:firstLine="0"/>
      </w:pPr>
    </w:p>
    <w:p w:rsidR="00684273" w:rsidP="00C75069">
      <w:pPr>
        <w:pStyle w:val="DirectAnswer"/>
        <w:ind w:firstLine="0"/>
      </w:pPr>
      <w:r>
        <w:t xml:space="preserve">It has become quite clear that regardless of the name, non-cost-based charges that are designed as mere financial support for utilities are </w:t>
      </w:r>
      <w:r w:rsidR="00B27DC5">
        <w:t>not allowed</w:t>
      </w:r>
      <w:r>
        <w:t xml:space="preserve"> in Ohio.</w:t>
      </w:r>
      <w:r w:rsidR="00170040">
        <w:t xml:space="preserve"> The </w:t>
      </w:r>
      <w:r>
        <w:t xml:space="preserve">“rate stabilization charge” </w:t>
      </w:r>
      <w:r w:rsidR="00170040">
        <w:t xml:space="preserve">approved long ago (2009) </w:t>
      </w:r>
      <w:r w:rsidR="004E4A9F">
        <w:t>as part of DP&amp;L’s ESP I</w:t>
      </w:r>
      <w:r>
        <w:t>—and explicitly being allowed to continue under the Settlement—</w:t>
      </w:r>
      <w:r w:rsidR="004E4A9F">
        <w:t>is no different than the stability charges</w:t>
      </w:r>
      <w:r>
        <w:t xml:space="preserve"> consistently</w:t>
      </w:r>
      <w:r w:rsidR="004E4A9F">
        <w:t xml:space="preserve"> ruled unlawful </w:t>
      </w:r>
      <w:r>
        <w:t>by the Court and the PUCO</w:t>
      </w:r>
      <w:r w:rsidR="004E4A9F">
        <w:t xml:space="preserve">. </w:t>
      </w:r>
      <w:r w:rsidR="009A5B6E">
        <w:t>That alone makes</w:t>
      </w:r>
      <w:r w:rsidR="00B27DC5">
        <w:t xml:space="preserve"> be believe that</w:t>
      </w:r>
      <w:r w:rsidR="009A5B6E">
        <w:t xml:space="preserve"> the Settlement </w:t>
      </w:r>
      <w:r w:rsidR="00B27DC5">
        <w:t xml:space="preserve">is </w:t>
      </w:r>
      <w:r w:rsidR="009A5B6E">
        <w:t>unlawful.</w:t>
      </w:r>
      <w:r w:rsidR="004E4A9F">
        <w:t xml:space="preserve"> </w:t>
      </w:r>
    </w:p>
    <w:p w:rsidR="0007321B" w:rsidP="00C75069">
      <w:pPr>
        <w:pStyle w:val="DirectAnswer"/>
      </w:pPr>
    </w:p>
    <w:p w:rsidR="00684273" w:rsidP="00C75069">
      <w:pPr>
        <w:pStyle w:val="DirectAnswer"/>
        <w:ind w:firstLine="0"/>
      </w:pPr>
      <w:r>
        <w:t xml:space="preserve">Another problem with </w:t>
      </w:r>
      <w:r w:rsidR="009A5B6E">
        <w:t>the</w:t>
      </w:r>
      <w:r>
        <w:t xml:space="preserve"> </w:t>
      </w:r>
      <w:r w:rsidR="009A5B6E">
        <w:t>S</w:t>
      </w:r>
      <w:r>
        <w:t xml:space="preserve">ettlement is that </w:t>
      </w:r>
      <w:r w:rsidR="009A5B6E">
        <w:t xml:space="preserve">it </w:t>
      </w:r>
      <w:r w:rsidR="00840436">
        <w:t xml:space="preserve">will cause customers to </w:t>
      </w:r>
      <w:r>
        <w:t xml:space="preserve">be denied </w:t>
      </w:r>
      <w:r w:rsidR="00085EB4">
        <w:t xml:space="preserve">approximately $150 million in </w:t>
      </w:r>
      <w:r w:rsidR="00840436">
        <w:t xml:space="preserve">refunds from </w:t>
      </w:r>
      <w:r>
        <w:t xml:space="preserve">DP&amp;L’s </w:t>
      </w:r>
      <w:r w:rsidR="00840436">
        <w:t xml:space="preserve">too high profits earned in 2018 and 2019 </w:t>
      </w:r>
      <w:r>
        <w:t>under its</w:t>
      </w:r>
      <w:r w:rsidR="00840436">
        <w:t xml:space="preserve"> electric security plan.</w:t>
      </w:r>
      <w:r>
        <w:rPr>
          <w:rStyle w:val="FootnoteReference"/>
        </w:rPr>
        <w:footnoteReference w:id="7"/>
      </w:r>
      <w:r w:rsidR="00840436">
        <w:t xml:space="preserve"> If the Settlement is approved</w:t>
      </w:r>
      <w:r w:rsidR="009A5B6E">
        <w:t>,</w:t>
      </w:r>
      <w:r w:rsidR="00840436">
        <w:t xml:space="preserve"> DP&amp;L’s 530,00 customer</w:t>
      </w:r>
      <w:r w:rsidR="004013C5">
        <w:t>, on average,</w:t>
      </w:r>
      <w:r w:rsidR="00840436">
        <w:t xml:space="preserve"> will have to pay nearly </w:t>
      </w:r>
      <w:r w:rsidR="001C3B0F">
        <w:t xml:space="preserve">$900 per </w:t>
      </w:r>
      <w:r w:rsidR="00840436">
        <w:t>year more than they should otherwise pay</w:t>
      </w:r>
      <w:r w:rsidR="006E0C41">
        <w:t xml:space="preserve">. </w:t>
      </w:r>
      <w:r w:rsidR="00840436">
        <w:t xml:space="preserve">In other words, the </w:t>
      </w:r>
      <w:r w:rsidR="009A5B6E">
        <w:t>S</w:t>
      </w:r>
      <w:r w:rsidR="00840436">
        <w:t>ettlement does not benefit ratepayers and the public interest under the PUCO’s settlement criteria</w:t>
      </w:r>
      <w:r w:rsidR="006E0C41">
        <w:t xml:space="preserve">. </w:t>
      </w:r>
    </w:p>
    <w:p w:rsidR="00840436" w:rsidP="00C75069">
      <w:pPr>
        <w:pStyle w:val="DirectAnswer"/>
      </w:pPr>
    </w:p>
    <w:p w:rsidR="00647660" w:rsidP="00647660">
      <w:pPr>
        <w:pStyle w:val="DirectAnswer"/>
        <w:ind w:firstLine="0"/>
        <w:rPr>
          <w:bCs w:val="0"/>
        </w:rPr>
      </w:pPr>
      <w:r>
        <w:t>But there are more problems for customers under the Settlement. T</w:t>
      </w:r>
      <w:r w:rsidR="00071787">
        <w:t xml:space="preserve">he Settlement </w:t>
      </w:r>
      <w:r w:rsidR="001C3B0F">
        <w:t xml:space="preserve">departs </w:t>
      </w:r>
      <w:r w:rsidR="00071787">
        <w:t>from</w:t>
      </w:r>
      <w:r w:rsidR="001C3B0F">
        <w:t xml:space="preserve"> fundamental </w:t>
      </w:r>
      <w:r w:rsidR="00B515E1">
        <w:t xml:space="preserve">regulatory </w:t>
      </w:r>
      <w:r w:rsidR="001C3B0F">
        <w:t>principles</w:t>
      </w:r>
      <w:r w:rsidR="00B515E1">
        <w:t xml:space="preserve"> and practices</w:t>
      </w:r>
      <w:r w:rsidR="00071787">
        <w:t xml:space="preserve"> </w:t>
      </w:r>
      <w:r>
        <w:t xml:space="preserve">by </w:t>
      </w:r>
      <w:r w:rsidR="001C3B0F">
        <w:t xml:space="preserve">improperly </w:t>
      </w:r>
      <w:r>
        <w:t xml:space="preserve">and unlawfully </w:t>
      </w:r>
      <w:r w:rsidR="001C3B0F">
        <w:t>subsidiz</w:t>
      </w:r>
      <w:r>
        <w:t xml:space="preserve">ing </w:t>
      </w:r>
      <w:r w:rsidR="001C3B0F">
        <w:t>AES Corporation</w:t>
      </w:r>
      <w:r w:rsidR="001C3B0F">
        <w:t xml:space="preserve"> </w:t>
      </w:r>
      <w:r w:rsidR="00071787">
        <w:t xml:space="preserve">(DP&amp;L’s </w:t>
      </w:r>
      <w:r>
        <w:t>owner</w:t>
      </w:r>
      <w:r w:rsidR="00071787">
        <w:t>)</w:t>
      </w:r>
      <w:r w:rsidR="00B27DC5">
        <w:t>.</w:t>
      </w:r>
      <w:r w:rsidR="004013C5">
        <w:t xml:space="preserve"> </w:t>
      </w:r>
      <w:r w:rsidR="00954F5D">
        <w:t xml:space="preserve">Because of the subsidy, the </w:t>
      </w:r>
      <w:r w:rsidR="0088696E">
        <w:t>S</w:t>
      </w:r>
      <w:r w:rsidR="00954F5D">
        <w:t xml:space="preserve">ettlement fails to meet the PUCO’s settlement criteria that the Settlement </w:t>
      </w:r>
      <w:r w:rsidR="0072541A">
        <w:t>does not violate</w:t>
      </w:r>
      <w:r w:rsidR="00954F5D">
        <w:t xml:space="preserve"> important regulatory policies and practices</w:t>
      </w:r>
      <w:r w:rsidR="00B27DC5">
        <w:t>.</w:t>
      </w:r>
      <w:r>
        <w:br w:type="page"/>
      </w:r>
    </w:p>
    <w:p w:rsidR="004630A2" w:rsidRPr="00C571FE" w:rsidP="00C75069">
      <w:pPr>
        <w:pStyle w:val="DirectQuestion"/>
        <w:keepNext/>
      </w:pPr>
      <w:r>
        <w:t xml:space="preserve">are other occ witnesses submitting testimony concerning various aspects of the </w:t>
      </w:r>
      <w:r w:rsidR="00DE5E5E">
        <w:t>SETTLEMENT</w:t>
      </w:r>
      <w:r w:rsidR="001311DB">
        <w:t xml:space="preserve"> and why the settlement fails the three prong standard and is harmful to customers</w:t>
      </w:r>
      <w:r>
        <w:t>?</w:t>
      </w:r>
    </w:p>
    <w:p w:rsidR="009F3D97" w:rsidP="00C75069">
      <w:pPr>
        <w:pStyle w:val="DirectAnswer"/>
      </w:pPr>
      <w:r>
        <w:rPr>
          <w:b/>
          <w:i/>
        </w:rPr>
        <w:t>A4.</w:t>
      </w:r>
      <w:r>
        <w:rPr>
          <w:b/>
          <w:i/>
        </w:rPr>
        <w:tab/>
      </w:r>
      <w:r w:rsidRPr="00C571FE" w:rsidR="004630A2">
        <w:t>Yes</w:t>
      </w:r>
      <w:r w:rsidR="00011674">
        <w:t xml:space="preserve">. </w:t>
      </w:r>
      <w:r w:rsidR="007B3B95">
        <w:t xml:space="preserve">Dr. Daniel Duann’s testimony provides calculations of the appropriate refunds </w:t>
      </w:r>
      <w:r w:rsidR="00954F5D">
        <w:t xml:space="preserve">that are owed to customers </w:t>
      </w:r>
      <w:r w:rsidR="007B3B95">
        <w:t xml:space="preserve">for 2018 and 2019 due to </w:t>
      </w:r>
      <w:r w:rsidR="001311DB">
        <w:t>DP&amp;L</w:t>
      </w:r>
      <w:r w:rsidR="007B3B95">
        <w:t xml:space="preserve"> </w:t>
      </w:r>
      <w:r w:rsidR="00954F5D">
        <w:t xml:space="preserve">earning too high profits under its electric security plan. </w:t>
      </w:r>
      <w:r w:rsidR="007B3B95">
        <w:t xml:space="preserve">OCC witness Dr. </w:t>
      </w:r>
      <w:r w:rsidR="00DE5E5E">
        <w:t xml:space="preserve">Ned </w:t>
      </w:r>
      <w:r w:rsidR="007B3B95">
        <w:t>H</w:t>
      </w:r>
      <w:r w:rsidR="00DE5E5E">
        <w:t>i</w:t>
      </w:r>
      <w:r w:rsidR="007B3B95">
        <w:t xml:space="preserve">ll evaluates the appropriateness of the </w:t>
      </w:r>
      <w:r w:rsidR="00954F5D">
        <w:t xml:space="preserve">cash or cash equivalent payments </w:t>
      </w:r>
      <w:r w:rsidR="007B3B95">
        <w:t xml:space="preserve">to specific customers or parties, as incentives for parties to support the </w:t>
      </w:r>
      <w:r w:rsidR="00195DB2">
        <w:t>Settlement</w:t>
      </w:r>
      <w:r w:rsidR="00971086">
        <w:t xml:space="preserve">. </w:t>
      </w:r>
      <w:r w:rsidR="00954F5D">
        <w:t xml:space="preserve">Note these payments have not been made available </w:t>
      </w:r>
      <w:r w:rsidR="00437E58">
        <w:t xml:space="preserve">to </w:t>
      </w:r>
      <w:r w:rsidR="00B27DC5">
        <w:t xml:space="preserve">all </w:t>
      </w:r>
      <w:r w:rsidR="001311DB">
        <w:t xml:space="preserve">residential customers. </w:t>
      </w:r>
      <w:r w:rsidR="007B3B95">
        <w:t xml:space="preserve">Mr. James Williams addresses the issue of service reliability as Utility witnesses argue that </w:t>
      </w:r>
      <w:r w:rsidR="00F97787">
        <w:t xml:space="preserve">provisions in the </w:t>
      </w:r>
      <w:r w:rsidR="00195DB2">
        <w:t>Settlement</w:t>
      </w:r>
      <w:r w:rsidR="00F97787">
        <w:t xml:space="preserve"> (including the continuation of ESP I) are needed </w:t>
      </w:r>
      <w:r w:rsidR="001311DB">
        <w:t xml:space="preserve">so </w:t>
      </w:r>
      <w:r w:rsidR="00F97787">
        <w:t xml:space="preserve">that high levels of infrastructure investment and </w:t>
      </w:r>
      <w:r w:rsidR="003F0D33">
        <w:t xml:space="preserve">service </w:t>
      </w:r>
      <w:r w:rsidR="00F97787">
        <w:t>reliability can continue</w:t>
      </w:r>
      <w:r w:rsidR="001311DB">
        <w:t xml:space="preserve"> to be funded by customers </w:t>
      </w:r>
      <w:r w:rsidR="00F97787">
        <w:t>in the future</w:t>
      </w:r>
      <w:r w:rsidR="00971086">
        <w:t xml:space="preserve">. </w:t>
      </w:r>
      <w:r w:rsidR="00F97787">
        <w:t>OCC witness Mr. Paul Alvarez presents testimony evaluating and critiquing the S</w:t>
      </w:r>
      <w:r w:rsidR="00437E58">
        <w:t xml:space="preserve">mart </w:t>
      </w:r>
      <w:r w:rsidR="00F97787">
        <w:t>G</w:t>
      </w:r>
      <w:r w:rsidR="00437E58">
        <w:t xml:space="preserve">rid </w:t>
      </w:r>
      <w:r w:rsidR="00F97787">
        <w:t>P</w:t>
      </w:r>
      <w:r w:rsidR="00437E58">
        <w:t>lan (“SGP”</w:t>
      </w:r>
      <w:r w:rsidR="004013C5">
        <w:t>)</w:t>
      </w:r>
      <w:r w:rsidR="00F97787">
        <w:t xml:space="preserve"> set forth in the </w:t>
      </w:r>
      <w:r w:rsidR="00195DB2">
        <w:t>Settlement</w:t>
      </w:r>
      <w:r w:rsidR="00F97787">
        <w:t>, including the claimed net benefits</w:t>
      </w:r>
      <w:r w:rsidR="001311DB">
        <w:t xml:space="preserve"> to consumers</w:t>
      </w:r>
      <w:r w:rsidR="00971086">
        <w:t xml:space="preserve">. </w:t>
      </w:r>
      <w:r w:rsidR="00F97787">
        <w:t xml:space="preserve">I note that a very large portion of the </w:t>
      </w:r>
      <w:r w:rsidR="00195DB2">
        <w:t>Settlement</w:t>
      </w:r>
      <w:r w:rsidR="00F97787">
        <w:t xml:space="preserve"> and witness Schroder’s testimony are devoted to the </w:t>
      </w:r>
      <w:r w:rsidR="00B27DC5">
        <w:t>smart grid plan</w:t>
      </w:r>
      <w:r w:rsidR="00F97787">
        <w:t xml:space="preserve"> agreed to by the signatory parties</w:t>
      </w:r>
      <w:r w:rsidR="001311DB">
        <w:t>, yet funded in large part by residential customers, who did not join the settlement</w:t>
      </w:r>
      <w:r w:rsidR="00971086">
        <w:t xml:space="preserve">. </w:t>
      </w:r>
    </w:p>
    <w:p w:rsidR="008E5121" w:rsidP="00C75069">
      <w:pPr>
        <w:pStyle w:val="DirectQuestion"/>
        <w:numPr>
          <w:ilvl w:val="0"/>
          <w:numId w:val="0"/>
        </w:numPr>
        <w:ind w:left="720"/>
      </w:pPr>
    </w:p>
    <w:p w:rsidR="004630A2" w:rsidRPr="00C571FE" w:rsidP="00C75069">
      <w:pPr>
        <w:pStyle w:val="DirectQuestion"/>
      </w:pPr>
      <w:r>
        <w:t xml:space="preserve">before turning to the </w:t>
      </w:r>
      <w:r w:rsidR="001311DB">
        <w:t>settlement</w:t>
      </w:r>
      <w:r>
        <w:t>, please summarize the utility’s request</w:t>
      </w:r>
      <w:r w:rsidR="001311DB">
        <w:t xml:space="preserve"> to continue charging customers under its </w:t>
      </w:r>
      <w:r>
        <w:t>esp i.</w:t>
      </w:r>
    </w:p>
    <w:p w:rsidR="00D21FA5" w:rsidP="00C75069">
      <w:pPr>
        <w:pStyle w:val="DirectAnswer"/>
      </w:pPr>
      <w:r>
        <w:rPr>
          <w:b/>
          <w:i/>
        </w:rPr>
        <w:t>A5.</w:t>
      </w:r>
      <w:r>
        <w:rPr>
          <w:b/>
          <w:i/>
        </w:rPr>
        <w:tab/>
      </w:r>
      <w:r w:rsidR="00F97787">
        <w:t>DP&amp;L’s April 1, 2020 filing seeking</w:t>
      </w:r>
      <w:r w:rsidR="001311DB">
        <w:t xml:space="preserve"> to continue charging customers under rates approved in its</w:t>
      </w:r>
      <w:r w:rsidR="00F97787">
        <w:t xml:space="preserve"> ESP I consist</w:t>
      </w:r>
      <w:r w:rsidR="003F0D33">
        <w:t>s</w:t>
      </w:r>
      <w:r w:rsidR="00F97787">
        <w:t xml:space="preserve"> of the testimony of its witnesses Mr. Garavaglia and Mr. Malinak</w:t>
      </w:r>
      <w:r w:rsidR="006E0C41">
        <w:t xml:space="preserve">. </w:t>
      </w:r>
      <w:r w:rsidR="001311DB">
        <w:t>These two DP&amp;L witnesses</w:t>
      </w:r>
      <w:r w:rsidR="00F97787">
        <w:t xml:space="preserve"> focus on the</w:t>
      </w:r>
      <w:r>
        <w:t xml:space="preserve"> alleged</w:t>
      </w:r>
      <w:r w:rsidR="00F97787">
        <w:t xml:space="preserve"> financial needs and credit quality of DP&amp;L and its </w:t>
      </w:r>
      <w:r>
        <w:t>parent</w:t>
      </w:r>
      <w:r w:rsidR="00F97787">
        <w:t>, DPL, Inc</w:t>
      </w:r>
      <w:r w:rsidR="00B27DC5">
        <w:t>.</w:t>
      </w:r>
    </w:p>
    <w:p w:rsidR="00684273" w:rsidP="00C75069">
      <w:pPr>
        <w:pStyle w:val="DirectAnswer"/>
      </w:pPr>
    </w:p>
    <w:p w:rsidR="00D21FA5" w:rsidP="00C75069">
      <w:pPr>
        <w:pStyle w:val="DirectAnswer"/>
        <w:ind w:firstLine="0"/>
      </w:pPr>
      <w:r>
        <w:t>DPL, Inc. is wholly-owned by the massive and diversified energy company AES Corporation, making DP&amp;L an indirect</w:t>
      </w:r>
      <w:r w:rsidR="003F0D33">
        <w:t>, wholly-owned</w:t>
      </w:r>
      <w:r>
        <w:t xml:space="preserve"> subsidiary of AES Corporation</w:t>
      </w:r>
      <w:r w:rsidR="00971086">
        <w:t xml:space="preserve">. </w:t>
      </w:r>
      <w:r>
        <w:t xml:space="preserve">Mr. Malinak presents financial projections of DP&amp;L and DPL, Inc. through 2023 that attempt to demonstrate that the $79 million Rate Stability Charge (“RSC”) </w:t>
      </w:r>
      <w:r>
        <w:t>to customer</w:t>
      </w:r>
      <w:r w:rsidR="00437E58">
        <w:t>s</w:t>
      </w:r>
      <w:r>
        <w:t xml:space="preserve"> </w:t>
      </w:r>
      <w:r>
        <w:t>should continue</w:t>
      </w:r>
      <w:r w:rsidR="00971086">
        <w:t xml:space="preserve">. </w:t>
      </w:r>
      <w:r>
        <w:t xml:space="preserve">This is a charge that over the </w:t>
      </w:r>
      <w:r w:rsidR="003F0D33">
        <w:t xml:space="preserve">four-year </w:t>
      </w:r>
      <w:r>
        <w:t xml:space="preserve">term of his study will collect from utility customers an estimated $314 million </w:t>
      </w:r>
      <w:r w:rsidR="003F0D33">
        <w:t>that</w:t>
      </w:r>
      <w:r>
        <w:t xml:space="preserve"> is unrelated to any utility cost.</w:t>
      </w:r>
      <w:r>
        <w:rPr>
          <w:rStyle w:val="FootnoteReference"/>
        </w:rPr>
        <w:footnoteReference w:id="8"/>
      </w:r>
      <w:r w:rsidR="000E6873">
        <w:t xml:space="preserve"> </w:t>
      </w:r>
      <w:r>
        <w:t xml:space="preserve">The rate stability charge is a charge that dates back to </w:t>
      </w:r>
      <w:r w:rsidR="00B27DC5">
        <w:t xml:space="preserve">at least </w:t>
      </w:r>
      <w:r w:rsidR="00437E58">
        <w:t>2009</w:t>
      </w:r>
      <w:r>
        <w:t xml:space="preserve">, when DP&amp;L was providing provider of last resort </w:t>
      </w:r>
      <w:r w:rsidR="00437E58">
        <w:t xml:space="preserve">(“POLR”) </w:t>
      </w:r>
      <w:r>
        <w:t xml:space="preserve">service to customers who shopped </w:t>
      </w:r>
      <w:r w:rsidR="00437E58">
        <w:t>for their generation service with a marketer</w:t>
      </w:r>
      <w:r w:rsidR="006E0C41">
        <w:t xml:space="preserve">. </w:t>
      </w:r>
      <w:r w:rsidR="00B515E1">
        <w:t xml:space="preserve">However, today, DP&amp;L is no longer providing POLR service to </w:t>
      </w:r>
      <w:r w:rsidR="00827B5C">
        <w:t>customers who shop for their generation service</w:t>
      </w:r>
      <w:r w:rsidR="006E0C41">
        <w:t xml:space="preserve">. </w:t>
      </w:r>
      <w:r w:rsidR="00827B5C">
        <w:t>So</w:t>
      </w:r>
      <w:r w:rsidR="004013C5">
        <w:t>,</w:t>
      </w:r>
      <w:r w:rsidR="00827B5C">
        <w:t xml:space="preserve"> authorizing DP&amp;L to charge its customers the Rate Stability Charge would allow the Utility to collect $79 million per year from its customers for nothing that could be characterized as a covering cost or risk for DP&amp;L or a benefit for its consumers.</w:t>
      </w:r>
      <w:r w:rsidR="00B515E1">
        <w:t xml:space="preserve"> </w:t>
      </w:r>
    </w:p>
    <w:p w:rsidR="00D21FA5" w:rsidP="00C75069">
      <w:pPr>
        <w:pStyle w:val="DirectAnswer"/>
      </w:pPr>
    </w:p>
    <w:p w:rsidR="004630A2" w:rsidP="00C75069">
      <w:pPr>
        <w:pStyle w:val="DirectAnswer"/>
        <w:ind w:firstLine="0"/>
      </w:pPr>
      <w:r>
        <w:t xml:space="preserve">Mr. Malinak argues that </w:t>
      </w:r>
      <w:r w:rsidR="003F0D33">
        <w:t>this charge</w:t>
      </w:r>
      <w:r>
        <w:t xml:space="preserve"> is needed to maintain acceptable credit ratings and access to capital for inve</w:t>
      </w:r>
      <w:r w:rsidR="00437E58">
        <w:t>st</w:t>
      </w:r>
      <w:r>
        <w:t>ment purposes</w:t>
      </w:r>
      <w:r w:rsidR="00971086">
        <w:t xml:space="preserve">. </w:t>
      </w:r>
      <w:r>
        <w:t xml:space="preserve">He proceeds to argue that ESP I, with its $314 million </w:t>
      </w:r>
      <w:r w:rsidR="00D21FA5">
        <w:t>stability charge</w:t>
      </w:r>
      <w:r>
        <w:t>, passes the</w:t>
      </w:r>
      <w:r w:rsidR="00D21FA5">
        <w:t xml:space="preserve"> statutory</w:t>
      </w:r>
      <w:r w:rsidR="006E0C41">
        <w:t xml:space="preserve"> </w:t>
      </w:r>
      <w:r w:rsidR="004013C5">
        <w:t>MFA</w:t>
      </w:r>
      <w:r>
        <w:t xml:space="preserve"> test because under </w:t>
      </w:r>
      <w:r w:rsidR="00D21FA5">
        <w:t>a market</w:t>
      </w:r>
      <w:r w:rsidR="00437E58">
        <w:t xml:space="preserve"> rate offer</w:t>
      </w:r>
      <w:r w:rsidR="00D21FA5">
        <w:t xml:space="preserve"> </w:t>
      </w:r>
      <w:r>
        <w:t>(with no</w:t>
      </w:r>
      <w:r w:rsidR="00D21FA5">
        <w:t xml:space="preserve"> stability charge</w:t>
      </w:r>
      <w:r w:rsidR="00437E58">
        <w:t xml:space="preserve">) </w:t>
      </w:r>
      <w:r>
        <w:t xml:space="preserve">the PUCO would approve a </w:t>
      </w:r>
      <w:r w:rsidR="00E821E8">
        <w:t>“</w:t>
      </w:r>
      <w:r>
        <w:t>Financial Integrity Charge</w:t>
      </w:r>
      <w:r w:rsidR="00E821E8">
        <w:t>”</w:t>
      </w:r>
      <w:r>
        <w:t xml:space="preserve"> (“FIC”)</w:t>
      </w:r>
      <w:r w:rsidR="000327CA">
        <w:t>, which</w:t>
      </w:r>
      <w:r>
        <w:t xml:space="preserve"> would be substantially larger than the </w:t>
      </w:r>
      <w:r w:rsidR="00E821E8">
        <w:t>stability charge allowed through the electric security plan.</w:t>
      </w:r>
      <w:r w:rsidR="00437E58">
        <w:t xml:space="preserve"> </w:t>
      </w:r>
      <w:r>
        <w:t xml:space="preserve">He therefore concludes that ESP I (with the RSC) is significantly less expensive </w:t>
      </w:r>
      <w:r w:rsidR="00EF716B">
        <w:t xml:space="preserve">for utility customers </w:t>
      </w:r>
      <w:r>
        <w:t xml:space="preserve">than the </w:t>
      </w:r>
      <w:r w:rsidR="00E821E8">
        <w:t xml:space="preserve">market </w:t>
      </w:r>
      <w:r w:rsidR="00437E58">
        <w:t xml:space="preserve">rate </w:t>
      </w:r>
      <w:r w:rsidR="00E821E8">
        <w:t>offer with assumed added financial integrity charge</w:t>
      </w:r>
      <w:r w:rsidR="00437E58">
        <w:t>.</w:t>
      </w:r>
      <w:r w:rsidR="00971086">
        <w:t xml:space="preserve"> </w:t>
      </w:r>
      <w:r w:rsidR="00EF716B">
        <w:t xml:space="preserve">Additionally, </w:t>
      </w:r>
      <w:r w:rsidR="00E821E8">
        <w:t xml:space="preserve">when he is comparing the electric security plan rates to the market rate, </w:t>
      </w:r>
      <w:r w:rsidR="00EF716B">
        <w:t xml:space="preserve">he identifies certain non-quantified benefits </w:t>
      </w:r>
      <w:r w:rsidR="00E821E8">
        <w:t>that add to the value of the electric security plan</w:t>
      </w:r>
      <w:r w:rsidR="006E0C41">
        <w:t xml:space="preserve">. </w:t>
      </w:r>
      <w:r w:rsidR="00EF716B">
        <w:t>Finally, Mr. Malinak, citing to his financial projections</w:t>
      </w:r>
      <w:r w:rsidR="00013684">
        <w:t>,</w:t>
      </w:r>
      <w:r w:rsidR="00EF716B">
        <w:t xml:space="preserve"> asserts that ESP I is not likely</w:t>
      </w:r>
      <w:r w:rsidR="00E821E8">
        <w:t xml:space="preserve"> in the future</w:t>
      </w:r>
      <w:r w:rsidR="00EF716B">
        <w:t xml:space="preserve"> to produce significantly excessive earnings, particularly with his recommendation </w:t>
      </w:r>
      <w:r w:rsidR="00E821E8">
        <w:t xml:space="preserve">that refunds to customers should not be made unless DP&amp;L’s profits are above </w:t>
      </w:r>
      <w:r w:rsidR="00EF716B">
        <w:t>16</w:t>
      </w:r>
      <w:r w:rsidR="000327CA">
        <w:t>%.</w:t>
      </w:r>
      <w:r w:rsidR="00971086">
        <w:t xml:space="preserve"> </w:t>
      </w:r>
    </w:p>
    <w:p w:rsidR="008E5121" w:rsidP="00C75069">
      <w:pPr>
        <w:pStyle w:val="DirectQuestion"/>
        <w:numPr>
          <w:ilvl w:val="0"/>
          <w:numId w:val="0"/>
        </w:numPr>
        <w:ind w:left="720"/>
      </w:pPr>
    </w:p>
    <w:p w:rsidR="004630A2" w:rsidP="00C75069">
      <w:pPr>
        <w:pStyle w:val="DirectQuestion"/>
      </w:pPr>
      <w:r>
        <w:t xml:space="preserve">how does your direct testimony respond to the utility’s filing and </w:t>
      </w:r>
      <w:r w:rsidR="00827B5C">
        <w:t>MORE FAVORABLE IN THE AGGREGATE</w:t>
      </w:r>
      <w:r>
        <w:t xml:space="preserve"> test results?</w:t>
      </w:r>
    </w:p>
    <w:p w:rsidR="000F6326" w:rsidP="00C75069">
      <w:pPr>
        <w:pStyle w:val="DirectAnswer"/>
      </w:pPr>
      <w:r>
        <w:rPr>
          <w:b/>
          <w:i/>
        </w:rPr>
        <w:t>A6.</w:t>
      </w:r>
      <w:r>
        <w:rPr>
          <w:b/>
          <w:i/>
        </w:rPr>
        <w:tab/>
      </w:r>
      <w:r w:rsidR="00EF716B">
        <w:t>My testimony recognize</w:t>
      </w:r>
      <w:r w:rsidR="00013684">
        <w:t>s</w:t>
      </w:r>
      <w:r w:rsidR="00EF716B">
        <w:t xml:space="preserve"> that DPL, Inc. </w:t>
      </w:r>
      <w:r w:rsidR="00E821E8">
        <w:t xml:space="preserve">(not DP&amp;L the utility) </w:t>
      </w:r>
      <w:r w:rsidR="00EF716B">
        <w:t>does have a massive amount of non-utility debt (more than $800 million) that is not supported by any productive non-utility assets or revenue stream</w:t>
      </w:r>
      <w:r w:rsidR="00971086">
        <w:t xml:space="preserve">. </w:t>
      </w:r>
      <w:r w:rsidR="00EF716B">
        <w:t xml:space="preserve">However, I find that it is improper and unnecessary to impose this </w:t>
      </w:r>
      <w:r w:rsidR="00013684">
        <w:t xml:space="preserve">debt obligation problem </w:t>
      </w:r>
      <w:r w:rsidR="00EF716B">
        <w:t xml:space="preserve">on </w:t>
      </w:r>
      <w:r w:rsidR="00013684">
        <w:t xml:space="preserve">DP&amp;L </w:t>
      </w:r>
      <w:r w:rsidR="00B27DC5">
        <w:t>utility customers—</w:t>
      </w:r>
      <w:r w:rsidR="00EF716B">
        <w:t xml:space="preserve">a burden of about $1,500 per </w:t>
      </w:r>
      <w:r w:rsidR="00B27DC5">
        <w:t>customer—</w:t>
      </w:r>
      <w:r w:rsidR="00EF716B">
        <w:t>as DP&amp;L seek</w:t>
      </w:r>
      <w:r w:rsidR="00013684">
        <w:t>s</w:t>
      </w:r>
      <w:r w:rsidR="00EF716B">
        <w:t xml:space="preserve"> to do </w:t>
      </w:r>
      <w:r w:rsidR="00D21FA5">
        <w:t>under the Settlement.</w:t>
      </w:r>
    </w:p>
    <w:p w:rsidR="00C75069" w:rsidP="00C75069">
      <w:pPr>
        <w:pStyle w:val="DirectAnswer"/>
      </w:pPr>
    </w:p>
    <w:p w:rsidR="00E821E8" w:rsidP="00C75069">
      <w:pPr>
        <w:pStyle w:val="DirectAnswer"/>
        <w:ind w:firstLine="0"/>
      </w:pPr>
      <w:r>
        <w:t xml:space="preserve">My testimony </w:t>
      </w:r>
      <w:r w:rsidR="00D21FA5">
        <w:t xml:space="preserve">also </w:t>
      </w:r>
      <w:r>
        <w:t>disputes Mr. Malinak’s analysis and financial projections concerning DP&amp;L/DPL, Inc</w:t>
      </w:r>
      <w:r w:rsidR="00971086">
        <w:t xml:space="preserve">. </w:t>
      </w:r>
      <w:r>
        <w:t>I determined that his projections are far too pessimistic because the assumed interest expense in his projections is too high (</w:t>
      </w:r>
      <w:r w:rsidR="00013684">
        <w:t>as it does not</w:t>
      </w:r>
      <w:r>
        <w:t xml:space="preserve"> account for the recent interest rate declines)</w:t>
      </w:r>
      <w:r w:rsidR="00DE0566">
        <w:t xml:space="preserve">. In addition, </w:t>
      </w:r>
      <w:r w:rsidR="0075535A">
        <w:t>he inexplicably assume</w:t>
      </w:r>
      <w:r w:rsidR="00013684">
        <w:t>s</w:t>
      </w:r>
      <w:r w:rsidR="0075535A">
        <w:t xml:space="preserve"> that over the </w:t>
      </w:r>
      <w:r w:rsidR="00013684">
        <w:t xml:space="preserve">four-year </w:t>
      </w:r>
      <w:r w:rsidR="0075535A">
        <w:t xml:space="preserve">study period the Utility would not file for an increase in distribution base rates to cover its cost of service and </w:t>
      </w:r>
      <w:r w:rsidR="00013684">
        <w:t xml:space="preserve">to </w:t>
      </w:r>
      <w:r w:rsidR="0075535A">
        <w:t>maintain earnings</w:t>
      </w:r>
      <w:r w:rsidR="00013684">
        <w:t xml:space="preserve"> at reasonable levels</w:t>
      </w:r>
      <w:r w:rsidR="006E0C41">
        <w:t xml:space="preserve">. </w:t>
      </w:r>
      <w:r w:rsidR="006E4B48">
        <w:t xml:space="preserve">However, on </w:t>
      </w:r>
      <w:r w:rsidR="00661BE5">
        <w:t>November</w:t>
      </w:r>
      <w:r w:rsidR="006E4B48">
        <w:t xml:space="preserve"> 30, 2020, DP&amp;L did file a distribution rate increase seeking a $</w:t>
      </w:r>
      <w:r w:rsidR="00661BE5">
        <w:t>120.8</w:t>
      </w:r>
      <w:r w:rsidR="006E4B48">
        <w:t xml:space="preserve"> million increase in those rates.</w:t>
      </w:r>
    </w:p>
    <w:p w:rsidR="00E821E8" w:rsidP="00C75069">
      <w:pPr>
        <w:pStyle w:val="DirectAnswer"/>
      </w:pPr>
    </w:p>
    <w:p w:rsidR="00AE2BDC" w:rsidP="00C75069">
      <w:pPr>
        <w:pStyle w:val="DirectAnswer"/>
        <w:ind w:firstLine="0"/>
      </w:pPr>
      <w:r>
        <w:t xml:space="preserve">My testimony </w:t>
      </w:r>
      <w:r w:rsidR="00E821E8">
        <w:t xml:space="preserve">also </w:t>
      </w:r>
      <w:r>
        <w:t xml:space="preserve">disputes Mr. Malinak’s assertion that under </w:t>
      </w:r>
      <w:r w:rsidR="00E821E8">
        <w:t>a market rate offer</w:t>
      </w:r>
      <w:r w:rsidR="00437E58">
        <w:t>,</w:t>
      </w:r>
      <w:r w:rsidR="00E821E8">
        <w:t xml:space="preserve"> </w:t>
      </w:r>
      <w:r>
        <w:t xml:space="preserve">the PUCO would </w:t>
      </w:r>
      <w:r w:rsidR="00E821E8">
        <w:t xml:space="preserve">find that there is a financial emergency that threatens </w:t>
      </w:r>
      <w:r w:rsidR="00437E58">
        <w:t>DP&amp;L’s</w:t>
      </w:r>
      <w:r w:rsidR="00E821E8">
        <w:t xml:space="preserve"> financial integrity so as to allow DP&amp;L to adjust its standard offer price by adding on a financial integrity charge, </w:t>
      </w:r>
      <w:r>
        <w:t xml:space="preserve">let alone </w:t>
      </w:r>
      <w:r w:rsidR="00E821E8">
        <w:t>a charge that is even</w:t>
      </w:r>
      <w:r>
        <w:t xml:space="preserve"> larger than the </w:t>
      </w:r>
      <w:r w:rsidR="00E821E8">
        <w:t>stability charge currently paid by customers</w:t>
      </w:r>
      <w:r w:rsidR="006E0C41">
        <w:t xml:space="preserve">. </w:t>
      </w:r>
      <w:r>
        <w:t xml:space="preserve">This </w:t>
      </w:r>
      <w:r w:rsidR="00013684">
        <w:t xml:space="preserve">assertion </w:t>
      </w:r>
      <w:r>
        <w:t xml:space="preserve">not only is at best speculation but is highly implausible </w:t>
      </w:r>
      <w:r w:rsidR="00071787">
        <w:t>because</w:t>
      </w:r>
      <w:r w:rsidR="00DE0566">
        <w:t xml:space="preserve"> </w:t>
      </w:r>
      <w:r>
        <w:t xml:space="preserve">the only purpose of </w:t>
      </w:r>
      <w:r>
        <w:t xml:space="preserve">DP&amp;L’s financial integrity charge </w:t>
      </w:r>
      <w:r>
        <w:t xml:space="preserve">(even assuming such a charge to be lawful) would be to subsidize the </w:t>
      </w:r>
      <w:r w:rsidR="00013684">
        <w:t>U</w:t>
      </w:r>
      <w:r>
        <w:t>tility’s non-utility affiliate</w:t>
      </w:r>
      <w:r w:rsidR="00B27DC5">
        <w:t>, DP</w:t>
      </w:r>
      <w:r>
        <w:t>L Inc</w:t>
      </w:r>
      <w:r w:rsidR="00437E58">
        <w:t>.</w:t>
      </w:r>
    </w:p>
    <w:p w:rsidR="00AE2BDC" w:rsidP="00C75069">
      <w:pPr>
        <w:pStyle w:val="DirectAnswer"/>
      </w:pPr>
    </w:p>
    <w:p w:rsidR="00013684" w:rsidP="00C75069">
      <w:pPr>
        <w:pStyle w:val="DirectAnswer"/>
        <w:ind w:firstLine="0"/>
      </w:pPr>
      <w:r>
        <w:t xml:space="preserve">My </w:t>
      </w:r>
      <w:r>
        <w:t xml:space="preserve">October direct </w:t>
      </w:r>
      <w:r>
        <w:t>testimony and the evidence demonstrate that DP&amp;L</w:t>
      </w:r>
      <w:r w:rsidR="00437E58">
        <w:t>—the utility—</w:t>
      </w:r>
      <w:r>
        <w:t xml:space="preserve">on a stand-alone basis does not need </w:t>
      </w:r>
      <w:r w:rsidR="00AE2BDC">
        <w:t xml:space="preserve">customer funding of either a stability charge or a financial integrity charge </w:t>
      </w:r>
      <w:r>
        <w:t>as its own financial statements (</w:t>
      </w:r>
      <w:r w:rsidRPr="00B27DC5">
        <w:rPr>
          <w:i/>
        </w:rPr>
        <w:t>e.g.</w:t>
      </w:r>
      <w:r>
        <w:t>, cash flow, balance sheet, earnings) and secured debt credit ratings are quite strong</w:t>
      </w:r>
      <w:r w:rsidR="00971086">
        <w:t xml:space="preserve">. </w:t>
      </w:r>
      <w:r>
        <w:t xml:space="preserve">The Utility can maintain a reasonable financial strength and performance by filing distribution base rate cases, </w:t>
      </w:r>
      <w:r w:rsidR="00AE2BDC">
        <w:t xml:space="preserve">if </w:t>
      </w:r>
      <w:r>
        <w:t>needed</w:t>
      </w:r>
      <w:r w:rsidR="004013C5">
        <w:t>,</w:t>
      </w:r>
      <w:r>
        <w:t xml:space="preserve"> to cover its cost of service</w:t>
      </w:r>
      <w:r w:rsidR="00971086">
        <w:t xml:space="preserve">. </w:t>
      </w:r>
      <w:r>
        <w:t>The DPL, Inc. “debt problem” should be addressed by AES Corporation</w:t>
      </w:r>
      <w:r w:rsidR="000B0754">
        <w:t>,</w:t>
      </w:r>
      <w:r>
        <w:t xml:space="preserve"> which has both the financial means and responsibility to do so.</w:t>
      </w:r>
    </w:p>
    <w:p w:rsidR="000F6326" w:rsidP="00C75069">
      <w:pPr>
        <w:pStyle w:val="DirectAnswer"/>
      </w:pPr>
    </w:p>
    <w:p w:rsidR="004630A2" w:rsidP="00C75069">
      <w:pPr>
        <w:pStyle w:val="DirectAnswer"/>
        <w:ind w:firstLine="0"/>
      </w:pPr>
      <w:r>
        <w:t xml:space="preserve">In addition, </w:t>
      </w:r>
      <w:r w:rsidR="0075535A">
        <w:t>Mr. Malinak relies on his flawed financial projections to support his assertion that DP&amp;L under ESP I is not likely to experience significantly excessive earnings</w:t>
      </w:r>
      <w:r w:rsidR="00971086">
        <w:t xml:space="preserve">. </w:t>
      </w:r>
      <w:r w:rsidR="0075535A">
        <w:t>This finding, however, is unlikely to be correct if he were to relax his assumption of “no base rate case” during the study period</w:t>
      </w:r>
      <w:r w:rsidR="00971086">
        <w:t xml:space="preserve">. </w:t>
      </w:r>
    </w:p>
    <w:p w:rsidR="00B00D30" w:rsidRPr="00B00D30" w:rsidP="00B00D30">
      <w:pPr>
        <w:pStyle w:val="DirectNext"/>
        <w:spacing w:before="0"/>
      </w:pPr>
    </w:p>
    <w:p w:rsidR="008D2661" w:rsidP="00B00D30">
      <w:pPr>
        <w:pStyle w:val="DirectNext"/>
        <w:spacing w:before="0"/>
      </w:pPr>
      <w:r>
        <w:t xml:space="preserve">As discussed below, the Settlement does not change anything about DP&amp;L’s litigation position regarding the </w:t>
      </w:r>
      <w:r w:rsidR="006E4B48">
        <w:t>more favorable in the aggregate</w:t>
      </w:r>
      <w:r>
        <w:t xml:space="preserve"> test and prospective SEET test. And DP&amp;L continues to rely on the same Malinak testimony that it filed in early 2020. Thus, my October 2</w:t>
      </w:r>
      <w:r w:rsidR="00195DB2">
        <w:t>2</w:t>
      </w:r>
      <w:r>
        <w:t>, 2020 testimony, which rebuts Mr. Malinak’s testimony in its entirety, applies equally in showing that the PUCO should not approve the Settlement. I have reiterated parts of my original testimony throughout this supplemental testimony, and I incorporate that testimony by reference in its entirety.</w:t>
      </w:r>
    </w:p>
    <w:p w:rsidR="00A558B5" w:rsidRPr="00A558B5" w:rsidP="00A558B5">
      <w:pPr>
        <w:spacing w:line="480" w:lineRule="auto"/>
      </w:pPr>
    </w:p>
    <w:p w:rsidR="004630A2" w:rsidRPr="00C571FE" w:rsidP="00C75069">
      <w:pPr>
        <w:pStyle w:val="DirectQuestion"/>
      </w:pPr>
      <w:r w:rsidRPr="00C571FE">
        <w:t xml:space="preserve">WHAT </w:t>
      </w:r>
      <w:r w:rsidR="007B6845">
        <w:t>are the main provisions of the s</w:t>
      </w:r>
      <w:r w:rsidR="002C1FA8">
        <w:t>ettlement</w:t>
      </w:r>
      <w:r w:rsidR="00C75069">
        <w:t>?</w:t>
      </w:r>
    </w:p>
    <w:p w:rsidR="007B6845" w:rsidP="00C75069">
      <w:pPr>
        <w:pStyle w:val="DirectAnswer"/>
      </w:pPr>
      <w:r>
        <w:rPr>
          <w:b/>
          <w:i/>
        </w:rPr>
        <w:t>A7.</w:t>
      </w:r>
      <w:r>
        <w:rPr>
          <w:b/>
          <w:i/>
        </w:rPr>
        <w:tab/>
      </w:r>
      <w:r>
        <w:t xml:space="preserve">The provisions of the </w:t>
      </w:r>
      <w:r w:rsidR="00195DB2">
        <w:t>Settlement</w:t>
      </w:r>
      <w:r>
        <w:t xml:space="preserve"> are described in detail in the testimony of DP&amp;L witness Schroder and are summarized in the Utility’s most recent SEC Form 10-Q.</w:t>
      </w:r>
      <w:r>
        <w:rPr>
          <w:rStyle w:val="FootnoteReference"/>
        </w:rPr>
        <w:footnoteReference w:id="9"/>
      </w:r>
      <w:r w:rsidR="000E6873">
        <w:t xml:space="preserve"> </w:t>
      </w:r>
    </w:p>
    <w:p w:rsidR="00C75069" w:rsidP="00C75069">
      <w:pPr>
        <w:pStyle w:val="DirectAnswer"/>
      </w:pPr>
    </w:p>
    <w:p w:rsidR="00684273" w:rsidP="00C75069">
      <w:pPr>
        <w:pStyle w:val="DirectAnswer"/>
        <w:ind w:firstLine="0"/>
      </w:pPr>
      <w:r>
        <w:t xml:space="preserve">The </w:t>
      </w:r>
      <w:r w:rsidR="00195DB2">
        <w:t>Settlement</w:t>
      </w:r>
      <w:r>
        <w:t xml:space="preserve"> provides for approval of the Utility’s </w:t>
      </w:r>
      <w:r w:rsidR="002C1FA8">
        <w:t xml:space="preserve">smart grid </w:t>
      </w:r>
      <w:r w:rsidR="00437E58">
        <w:t>plan</w:t>
      </w:r>
      <w:r>
        <w:t xml:space="preserve"> for an initial four-year period (Phase I), subject to the modifications of that plan in the </w:t>
      </w:r>
      <w:r w:rsidR="00195DB2">
        <w:t>Settlement</w:t>
      </w:r>
      <w:r w:rsidR="00971086">
        <w:t xml:space="preserve">. </w:t>
      </w:r>
      <w:r>
        <w:t xml:space="preserve">This includes total Phase I plan expenditures of $267.6 million (inclusive of capital investment of $249 million). </w:t>
      </w:r>
      <w:r w:rsidR="00B703E1">
        <w:t xml:space="preserve">Customers will pay more than $108 million over four years for DP&amp;L’s smart grid plan, with residential customers paying more than $71 million. </w:t>
      </w:r>
      <w:r w:rsidR="006E4B48">
        <w:t>The smart grid plan</w:t>
      </w:r>
      <w:r w:rsidR="00013684">
        <w:t xml:space="preserve"> c</w:t>
      </w:r>
      <w:r>
        <w:t xml:space="preserve">ost </w:t>
      </w:r>
      <w:r w:rsidR="006E4B48">
        <w:t>collection from customers</w:t>
      </w:r>
      <w:r>
        <w:t xml:space="preserve"> on a cost-of-service basis is provided for </w:t>
      </w:r>
      <w:r w:rsidR="00013684">
        <w:t xml:space="preserve">during the </w:t>
      </w:r>
      <w:r w:rsidR="000E6873">
        <w:t>four-year</w:t>
      </w:r>
      <w:r w:rsidR="00013684">
        <w:t xml:space="preserve"> </w:t>
      </w:r>
      <w:r>
        <w:t xml:space="preserve">Phase I period through the Infrastructure Investment Rider (“IIR”). </w:t>
      </w:r>
      <w:r w:rsidR="006E4B48">
        <w:t>However, DP&amp;L’s reliance on this rider for the collection of smart grid plan costs from customers is challenged in the testimony of OCC witness</w:t>
      </w:r>
      <w:r w:rsidR="00B27DC5">
        <w:t>es</w:t>
      </w:r>
      <w:r w:rsidR="006E4B48">
        <w:t xml:space="preserve"> Williams</w:t>
      </w:r>
      <w:r w:rsidR="00B27DC5">
        <w:t xml:space="preserve"> and Alvarez</w:t>
      </w:r>
      <w:r w:rsidR="006E4B48">
        <w:t xml:space="preserve">. </w:t>
      </w:r>
    </w:p>
    <w:p w:rsidR="00C75069" w:rsidP="00C75069">
      <w:pPr>
        <w:pStyle w:val="DirectNext"/>
        <w:numPr>
          <w:ilvl w:val="0"/>
          <w:numId w:val="93"/>
        </w:numPr>
        <w:spacing w:before="0"/>
        <w:ind w:hanging="720"/>
      </w:pPr>
      <w:r>
        <w:t xml:space="preserve">DP&amp;L will develop and implement a new customer information system (“CIS”) </w:t>
      </w:r>
      <w:r w:rsidR="002C1FA8">
        <w:t>charged to customers in a</w:t>
      </w:r>
      <w:r>
        <w:t xml:space="preserve"> future base rate proceeding.</w:t>
      </w:r>
    </w:p>
    <w:p w:rsidR="00C75069" w:rsidP="00C75069">
      <w:pPr>
        <w:pStyle w:val="DirectNext"/>
        <w:numPr>
          <w:ilvl w:val="0"/>
          <w:numId w:val="93"/>
        </w:numPr>
        <w:spacing w:before="0"/>
        <w:ind w:hanging="720"/>
      </w:pPr>
      <w:r>
        <w:t>ESP I</w:t>
      </w:r>
      <w:r w:rsidR="002C1FA8">
        <w:t xml:space="preserve"> </w:t>
      </w:r>
      <w:r>
        <w:t xml:space="preserve">will continue with a </w:t>
      </w:r>
      <w:r w:rsidR="00F00CA9">
        <w:t xml:space="preserve">PUCO </w:t>
      </w:r>
      <w:r>
        <w:t xml:space="preserve">finding that </w:t>
      </w:r>
      <w:r w:rsidR="002C1FA8">
        <w:t xml:space="preserve">it </w:t>
      </w:r>
      <w:r w:rsidR="00F00CA9">
        <w:t>continues to be</w:t>
      </w:r>
      <w:r w:rsidR="002C1FA8">
        <w:t xml:space="preserve"> more favorable in the aggregate than a market rate offer</w:t>
      </w:r>
      <w:r w:rsidR="00B27DC5">
        <w:t>.</w:t>
      </w:r>
      <w:r w:rsidR="00F00CA9">
        <w:t xml:space="preserve"> Additionally, the Settlement provides that </w:t>
      </w:r>
      <w:r w:rsidR="00B27DC5">
        <w:t>“</w:t>
      </w:r>
      <w:r w:rsidR="00B703E1">
        <w:t>DP&amp;L’s ESP I as currently implemented passes the more favorable in the aggregate test and the prospective significantly excessive earnings test in R.C. 4928.143(E)</w:t>
      </w:r>
      <w:r>
        <w:t>.</w:t>
      </w:r>
      <w:r w:rsidR="00B703E1">
        <w:t>”</w:t>
      </w:r>
      <w:r>
        <w:rPr>
          <w:rStyle w:val="FootnoteReference"/>
        </w:rPr>
        <w:footnoteReference w:id="10"/>
      </w:r>
      <w:r w:rsidR="000F6326">
        <w:t xml:space="preserve"> Although the Settlement does not mention the </w:t>
      </w:r>
      <w:r w:rsidR="006E4B48">
        <w:t>Rate Stabilization Charge</w:t>
      </w:r>
      <w:r w:rsidR="000F6326">
        <w:t xml:space="preserve"> and its $314 million cost to customers, the signatory parties, by agreeing that ESP passes the </w:t>
      </w:r>
      <w:r w:rsidR="006E4B48">
        <w:t>more favorable in the aggregate</w:t>
      </w:r>
      <w:r w:rsidR="000F6326">
        <w:t xml:space="preserve"> and SEET tests, are </w:t>
      </w:r>
      <w:r w:rsidR="006E4B48">
        <w:t xml:space="preserve">agreeing to </w:t>
      </w:r>
      <w:r w:rsidR="000F6326">
        <w:t>allow DP&amp;L to continue charging the R</w:t>
      </w:r>
      <w:r w:rsidR="006E4B48">
        <w:t xml:space="preserve">ate </w:t>
      </w:r>
      <w:r w:rsidR="000F6326">
        <w:t>S</w:t>
      </w:r>
      <w:r w:rsidR="006E4B48">
        <w:t xml:space="preserve">tabilization </w:t>
      </w:r>
      <w:r w:rsidR="000F6326">
        <w:t>C</w:t>
      </w:r>
      <w:r w:rsidR="006E4B48">
        <w:t>harge</w:t>
      </w:r>
      <w:r w:rsidR="000F6326">
        <w:t xml:space="preserve"> for at </w:t>
      </w:r>
      <w:r w:rsidR="00B27DC5">
        <w:t>least three to four more years.</w:t>
      </w:r>
    </w:p>
    <w:p w:rsidR="00C75069" w:rsidP="00C75069">
      <w:pPr>
        <w:pStyle w:val="DirectNext"/>
        <w:numPr>
          <w:ilvl w:val="0"/>
          <w:numId w:val="93"/>
        </w:numPr>
        <w:spacing w:before="0"/>
        <w:ind w:hanging="720"/>
      </w:pPr>
      <w:r>
        <w:t xml:space="preserve">The </w:t>
      </w:r>
      <w:r w:rsidR="00195DB2">
        <w:t>Settlement</w:t>
      </w:r>
      <w:r>
        <w:t xml:space="preserve"> includes a </w:t>
      </w:r>
      <w:r w:rsidR="00B703E1">
        <w:t xml:space="preserve">recommendation </w:t>
      </w:r>
      <w:r>
        <w:t xml:space="preserve">by the parties that </w:t>
      </w:r>
      <w:r w:rsidR="00B703E1">
        <w:t xml:space="preserve">DP&amp;L’s applications in Case Nos. 19-1121-EL-UNC and 20-1041-EL-UNC be approved as filed. The effect of this is that </w:t>
      </w:r>
      <w:r>
        <w:t xml:space="preserve">customer </w:t>
      </w:r>
      <w:r w:rsidR="00B703E1">
        <w:t xml:space="preserve">would receive no </w:t>
      </w:r>
      <w:r>
        <w:t>refunds associated with the 2018 and 2019 earnings.</w:t>
      </w:r>
    </w:p>
    <w:p w:rsidR="00C75069" w:rsidP="00C75069">
      <w:pPr>
        <w:pStyle w:val="DirectNext"/>
        <w:numPr>
          <w:ilvl w:val="0"/>
          <w:numId w:val="93"/>
        </w:numPr>
        <w:spacing w:before="0"/>
        <w:ind w:hanging="720"/>
      </w:pPr>
      <w:r>
        <w:t>The Utility will file for a new ESP no later than October 1, 2023</w:t>
      </w:r>
      <w:r w:rsidR="00B27DC5">
        <w:t>,</w:t>
      </w:r>
      <w:r>
        <w:t xml:space="preserve"> </w:t>
      </w:r>
      <w:r w:rsidR="00B27DC5">
        <w:t>and</w:t>
      </w:r>
      <w:r>
        <w:t xml:space="preserve"> such filing </w:t>
      </w:r>
      <w:r w:rsidR="00DD2A20">
        <w:t xml:space="preserve">will not allow DP&amp;L to </w:t>
      </w:r>
      <w:r>
        <w:t xml:space="preserve">not to </w:t>
      </w:r>
      <w:r w:rsidR="00DD2A20">
        <w:t xml:space="preserve">seek </w:t>
      </w:r>
      <w:r>
        <w:t>a</w:t>
      </w:r>
      <w:r w:rsidR="006C5E61">
        <w:t xml:space="preserve"> nonbypassable stability </w:t>
      </w:r>
      <w:r>
        <w:t>RSC or FIC (</w:t>
      </w:r>
      <w:r w:rsidRPr="00C75069" w:rsidR="00E22542">
        <w:rPr>
          <w:i/>
        </w:rPr>
        <w:t>i.e.</w:t>
      </w:r>
      <w:r>
        <w:t>, non-cost of service) type of charge.</w:t>
      </w:r>
      <w:r w:rsidR="00DD2A20">
        <w:t xml:space="preserve"> (This </w:t>
      </w:r>
      <w:r w:rsidR="00B27DC5">
        <w:t>seemingly would</w:t>
      </w:r>
      <w:r w:rsidR="00DD2A20">
        <w:t xml:space="preserve"> allow DP&amp;L to seek a bypassable RSC</w:t>
      </w:r>
      <w:r w:rsidR="00B27DC5">
        <w:t>, however</w:t>
      </w:r>
      <w:r w:rsidR="00F461B5">
        <w:t>.</w:t>
      </w:r>
      <w:r w:rsidR="00DD2A20">
        <w:t xml:space="preserve">) </w:t>
      </w:r>
    </w:p>
    <w:p w:rsidR="00C75069" w:rsidP="00C75069">
      <w:pPr>
        <w:pStyle w:val="DirectNext"/>
        <w:numPr>
          <w:ilvl w:val="0"/>
          <w:numId w:val="93"/>
        </w:numPr>
        <w:spacing w:before="0"/>
        <w:ind w:hanging="720"/>
      </w:pPr>
      <w:r>
        <w:t xml:space="preserve">The </w:t>
      </w:r>
      <w:r w:rsidR="00195DB2">
        <w:t>Settlement</w:t>
      </w:r>
      <w:r>
        <w:t xml:space="preserve"> provides for a variety of </w:t>
      </w:r>
      <w:r w:rsidR="005B6733">
        <w:t>shareholder-funded</w:t>
      </w:r>
      <w:r w:rsidR="00CA63B0">
        <w:t xml:space="preserve"> grants,</w:t>
      </w:r>
      <w:r w:rsidR="005B6733">
        <w:t xml:space="preserve"> </w:t>
      </w:r>
      <w:r>
        <w:t>subsidies, rate discounts and other financial or technical benefits to individual customers or signatory parties</w:t>
      </w:r>
      <w:r w:rsidR="00971086">
        <w:t xml:space="preserve">. </w:t>
      </w:r>
      <w:r>
        <w:t xml:space="preserve">The Utility </w:t>
      </w:r>
      <w:r w:rsidR="005B6733">
        <w:t xml:space="preserve">in its SEC 10-Q </w:t>
      </w:r>
      <w:r>
        <w:t>estimates that these</w:t>
      </w:r>
      <w:r w:rsidR="005B6733">
        <w:t xml:space="preserve"> shareholder-funded benefits</w:t>
      </w:r>
      <w:r>
        <w:t xml:space="preserve"> total to about $30 million over four years. </w:t>
      </w:r>
    </w:p>
    <w:p w:rsidR="001601A4" w:rsidRPr="00CA1861" w:rsidP="00C75069">
      <w:pPr>
        <w:pStyle w:val="DirectNext"/>
        <w:numPr>
          <w:ilvl w:val="0"/>
          <w:numId w:val="93"/>
        </w:numPr>
        <w:spacing w:before="0"/>
        <w:ind w:hanging="720"/>
      </w:pPr>
      <w:r>
        <w:t>Witness Schroder describes the demand side programs (</w:t>
      </w:r>
      <w:r w:rsidRPr="00C75069" w:rsidR="00E22542">
        <w:rPr>
          <w:i/>
        </w:rPr>
        <w:t>e.g.</w:t>
      </w:r>
      <w:r>
        <w:t xml:space="preserve">, electric vehicle, and low-income weatherization) </w:t>
      </w:r>
      <w:r w:rsidR="00CA63B0">
        <w:t xml:space="preserve">related to the SGP </w:t>
      </w:r>
      <w:r>
        <w:t xml:space="preserve">identified in the </w:t>
      </w:r>
      <w:r w:rsidR="00195DB2">
        <w:t>Settlement</w:t>
      </w:r>
      <w:r>
        <w:t>.</w:t>
      </w:r>
    </w:p>
    <w:p w:rsidR="00216957" w:rsidP="00804320">
      <w:pPr>
        <w:pStyle w:val="DirectNext"/>
        <w:spacing w:before="0"/>
        <w:rPr>
          <w:bCs w:val="0"/>
        </w:rPr>
      </w:pPr>
    </w:p>
    <w:p w:rsidR="003D7E42" w:rsidRPr="00C571FE" w:rsidP="00C75069">
      <w:pPr>
        <w:pStyle w:val="DirectQuestion"/>
      </w:pPr>
      <w:r>
        <w:t xml:space="preserve">what are your findings and recommendation concerning this </w:t>
      </w:r>
      <w:r w:rsidR="00085EB4">
        <w:t>SETTLEMENT</w:t>
      </w:r>
      <w:r>
        <w:t>?</w:t>
      </w:r>
    </w:p>
    <w:p w:rsidR="00C75069" w:rsidP="00C75069">
      <w:pPr>
        <w:pStyle w:val="DirectAnswer"/>
      </w:pPr>
      <w:r>
        <w:rPr>
          <w:b/>
          <w:i/>
        </w:rPr>
        <w:t>A8.</w:t>
      </w:r>
      <w:r>
        <w:rPr>
          <w:b/>
          <w:i/>
        </w:rPr>
        <w:tab/>
      </w:r>
      <w:r w:rsidR="001601A4">
        <w:t xml:space="preserve">Witness Schroder </w:t>
      </w:r>
      <w:r w:rsidR="00CA63B0">
        <w:t>describes</w:t>
      </w:r>
      <w:r w:rsidR="001601A4">
        <w:t xml:space="preserve"> the PUCO’s three-prong test and argues that the </w:t>
      </w:r>
      <w:r w:rsidR="00195DB2">
        <w:t>Settlement</w:t>
      </w:r>
      <w:r w:rsidR="001601A4">
        <w:t xml:space="preserve"> meets this test due to the various benefits that it provides</w:t>
      </w:r>
      <w:r w:rsidR="00971086">
        <w:t xml:space="preserve">. </w:t>
      </w:r>
      <w:r w:rsidR="001601A4">
        <w:t xml:space="preserve">Importantly, her testimony does not </w:t>
      </w:r>
      <w:r w:rsidR="00292E2B">
        <w:t xml:space="preserve">provide any analysis or evidence </w:t>
      </w:r>
      <w:r w:rsidR="00DD2A20">
        <w:t xml:space="preserve">that </w:t>
      </w:r>
      <w:r w:rsidR="001601A4">
        <w:t>the</w:t>
      </w:r>
      <w:r w:rsidR="00DD2A20">
        <w:t xml:space="preserve"> current existing pricing under ESP I </w:t>
      </w:r>
      <w:r w:rsidR="006A170C">
        <w:t>will continue to be more favorable in the aggregate than a market rate offer</w:t>
      </w:r>
      <w:r w:rsidR="006E0C41">
        <w:t xml:space="preserve">. </w:t>
      </w:r>
      <w:r w:rsidR="006A170C">
        <w:t xml:space="preserve">Additionally, she does not provide analysis or evidence showing that the prospective effect of the current existing electric security plan is </w:t>
      </w:r>
      <w:r w:rsidR="00B27DC5">
        <w:t xml:space="preserve">not </w:t>
      </w:r>
      <w:r w:rsidR="006A170C">
        <w:t>substantially</w:t>
      </w:r>
      <w:r w:rsidR="00B03B97">
        <w:t xml:space="preserve"> </w:t>
      </w:r>
      <w:r w:rsidR="006A170C">
        <w:t>likely to provide the utility with significantly excessive profits</w:t>
      </w:r>
      <w:r>
        <w:t>.</w:t>
      </w:r>
    </w:p>
    <w:p w:rsidR="00C75069" w:rsidP="00C75069">
      <w:pPr>
        <w:pStyle w:val="DirectAnswer"/>
      </w:pPr>
    </w:p>
    <w:p w:rsidR="00684273" w:rsidP="00C75069">
      <w:pPr>
        <w:pStyle w:val="DirectAnswer"/>
        <w:ind w:firstLine="0"/>
      </w:pPr>
      <w:r>
        <w:t>Instead, the Utility appears to be relying entirely on the Malinak testimony from April 1, 2020 and his supporting financial projections</w:t>
      </w:r>
      <w:r w:rsidR="00971086">
        <w:t xml:space="preserve">. </w:t>
      </w:r>
      <w:r>
        <w:t xml:space="preserve">While the </w:t>
      </w:r>
      <w:r w:rsidR="00195DB2">
        <w:t>Settlement</w:t>
      </w:r>
      <w:r>
        <w:t xml:space="preserve"> may express agreements among the signatory parties that ESP I passes the </w:t>
      </w:r>
      <w:r w:rsidR="006A170C">
        <w:t xml:space="preserve">statutory </w:t>
      </w:r>
      <w:r>
        <w:t>test</w:t>
      </w:r>
      <w:r w:rsidR="00CA63B0">
        <w:t>s</w:t>
      </w:r>
      <w:r>
        <w:t>, merely stating such does not make it so</w:t>
      </w:r>
      <w:r w:rsidR="00971086">
        <w:t xml:space="preserve">. </w:t>
      </w:r>
      <w:r>
        <w:t xml:space="preserve">The Utility has a burden of proof of </w:t>
      </w:r>
      <w:r w:rsidR="00292E2B">
        <w:t xml:space="preserve">actually </w:t>
      </w:r>
      <w:r>
        <w:t>demonst</w:t>
      </w:r>
      <w:r w:rsidR="00292E2B">
        <w:t xml:space="preserve">rating that the </w:t>
      </w:r>
      <w:r w:rsidR="006A170C">
        <w:t xml:space="preserve">current </w:t>
      </w:r>
      <w:r w:rsidR="00292E2B">
        <w:t xml:space="preserve">ESP provides greater benefits </w:t>
      </w:r>
      <w:r w:rsidR="006A170C">
        <w:t xml:space="preserve">to customers </w:t>
      </w:r>
      <w:r w:rsidR="00292E2B">
        <w:t xml:space="preserve">than </w:t>
      </w:r>
      <w:r w:rsidR="006A170C">
        <w:t>a market rate offer</w:t>
      </w:r>
      <w:r w:rsidR="006E0C41">
        <w:t xml:space="preserve">. </w:t>
      </w:r>
      <w:r w:rsidR="00292E2B">
        <w:t>Including ESP</w:t>
      </w:r>
      <w:r w:rsidR="00CA63B0">
        <w:t xml:space="preserve"> I</w:t>
      </w:r>
      <w:r w:rsidR="00292E2B">
        <w:t xml:space="preserve"> in a </w:t>
      </w:r>
      <w:r w:rsidR="00195DB2">
        <w:t>Settlement</w:t>
      </w:r>
      <w:r w:rsidR="00292E2B">
        <w:t xml:space="preserve"> does not alter that explicit obligation. </w:t>
      </w:r>
      <w:r w:rsidR="00B03B97">
        <w:t>That burden has not been met.</w:t>
      </w:r>
    </w:p>
    <w:p w:rsidR="00CA63B0" w:rsidRPr="00CA63B0" w:rsidP="00140323">
      <w:pPr>
        <w:pStyle w:val="DirectNext"/>
        <w:spacing w:before="0"/>
      </w:pPr>
    </w:p>
    <w:p w:rsidR="00140323" w:rsidP="00C75069">
      <w:pPr>
        <w:pStyle w:val="DirectAnswer"/>
        <w:ind w:firstLine="0"/>
      </w:pPr>
      <w:r>
        <w:t xml:space="preserve">Contrary to witness Schroder, I find that the </w:t>
      </w:r>
      <w:r w:rsidR="00195DB2">
        <w:t>Settlement</w:t>
      </w:r>
      <w:r>
        <w:t xml:space="preserve">, as filed, fails to pass the </w:t>
      </w:r>
      <w:r w:rsidR="00195DB2">
        <w:t>PUCO</w:t>
      </w:r>
      <w:r>
        <w:t>’s three-prong test and therefore should be rejected</w:t>
      </w:r>
      <w:r w:rsidR="00971086">
        <w:t xml:space="preserve">. </w:t>
      </w:r>
      <w:r>
        <w:t xml:space="preserve">While the </w:t>
      </w:r>
      <w:r w:rsidR="00195DB2">
        <w:t>Settlement</w:t>
      </w:r>
      <w:r>
        <w:t xml:space="preserve"> provides $30 million in shareholder subsidies to some individual customers and/or signatory parties, it imposes an unwarranted cost penalty on utility customers on the order of</w:t>
      </w:r>
      <w:r w:rsidR="00CA63B0">
        <w:t xml:space="preserve"> roughly</w:t>
      </w:r>
      <w:r>
        <w:t xml:space="preserve"> $</w:t>
      </w:r>
      <w:r w:rsidR="00CA63B0">
        <w:t>4</w:t>
      </w:r>
      <w:r>
        <w:t>50 million over four years</w:t>
      </w:r>
      <w:r w:rsidR="00971086">
        <w:t xml:space="preserve">. </w:t>
      </w:r>
      <w:r>
        <w:t>This $</w:t>
      </w:r>
      <w:r w:rsidR="00CA63B0">
        <w:t>4</w:t>
      </w:r>
      <w:r>
        <w:t>50 million customer penalty (</w:t>
      </w:r>
      <w:bookmarkStart w:id="16" w:name="_Hlk58415402"/>
      <w:r>
        <w:t>nearly $</w:t>
      </w:r>
      <w:r w:rsidR="00CA63B0">
        <w:t>900</w:t>
      </w:r>
      <w:r>
        <w:t xml:space="preserve"> per customer</w:t>
      </w:r>
      <w:r w:rsidR="00710CB1">
        <w:t xml:space="preserve"> for DP&amp;L’s 530,000 retail customers</w:t>
      </w:r>
      <w:bookmarkEnd w:id="16"/>
      <w:r w:rsidR="00710CB1">
        <w:t>)</w:t>
      </w:r>
      <w:r>
        <w:rPr>
          <w:rStyle w:val="FootnoteReference"/>
        </w:rPr>
        <w:footnoteReference w:id="11"/>
      </w:r>
      <w:r w:rsidR="00710CB1">
        <w:t xml:space="preserve"> constitute</w:t>
      </w:r>
      <w:r w:rsidR="00CA63B0">
        <w:t>s</w:t>
      </w:r>
      <w:r w:rsidR="00710CB1">
        <w:t xml:space="preserve"> (pre-tax) </w:t>
      </w:r>
      <w:r w:rsidR="00CA63B0">
        <w:t xml:space="preserve">excess profits </w:t>
      </w:r>
      <w:r w:rsidR="00710CB1">
        <w:t>for DP&amp;L and its ultimate parent, AES Corporation</w:t>
      </w:r>
      <w:r w:rsidR="00971086">
        <w:t xml:space="preserve">. </w:t>
      </w:r>
      <w:r w:rsidR="00710CB1">
        <w:t>The roughly $</w:t>
      </w:r>
      <w:r w:rsidR="00CA63B0">
        <w:t>4</w:t>
      </w:r>
      <w:r w:rsidR="00710CB1">
        <w:t xml:space="preserve">50 million utility customer penalty under this </w:t>
      </w:r>
      <w:r w:rsidR="00195DB2">
        <w:t>Settlement</w:t>
      </w:r>
      <w:r w:rsidR="00710CB1">
        <w:t xml:space="preserve"> </w:t>
      </w:r>
      <w:bookmarkStart w:id="17" w:name="_Hlk58415071"/>
      <w:r w:rsidR="00710CB1">
        <w:t>consists of at least $300 million for the R</w:t>
      </w:r>
      <w:r w:rsidR="00B03B97">
        <w:t xml:space="preserve">ate </w:t>
      </w:r>
      <w:r w:rsidR="00710CB1">
        <w:t>S</w:t>
      </w:r>
      <w:r w:rsidR="00B03B97">
        <w:t xml:space="preserve">tabilization </w:t>
      </w:r>
      <w:r w:rsidR="00710CB1">
        <w:t>C</w:t>
      </w:r>
      <w:r w:rsidR="00B03B97">
        <w:t>harge</w:t>
      </w:r>
      <w:r w:rsidR="00710CB1">
        <w:t xml:space="preserve"> payments over four year</w:t>
      </w:r>
      <w:r w:rsidR="00CA63B0">
        <w:t xml:space="preserve"> term of the </w:t>
      </w:r>
      <w:r w:rsidR="00195DB2">
        <w:t>Settlement</w:t>
      </w:r>
      <w:r w:rsidR="00710CB1">
        <w:t xml:space="preserve"> plus approximately $150 million in foregone SEET refunds </w:t>
      </w:r>
      <w:bookmarkEnd w:id="17"/>
      <w:r w:rsidR="00710CB1">
        <w:t>calculated by Dr. Duann</w:t>
      </w:r>
      <w:r w:rsidR="00B27DC5">
        <w:t>,</w:t>
      </w:r>
      <w:r w:rsidR="00710CB1">
        <w:t xml:space="preserve"> to which customers are entitled.</w:t>
      </w:r>
      <w:r>
        <w:rPr>
          <w:rStyle w:val="FootnoteReference"/>
        </w:rPr>
        <w:footnoteReference w:id="12"/>
      </w:r>
      <w:r w:rsidR="000E6873">
        <w:t xml:space="preserve"> </w:t>
      </w:r>
      <w:r w:rsidR="00710CB1">
        <w:t xml:space="preserve">Imposing this additional onerous cost on customers is entirely unnecessary as well as improper since the purpose of </w:t>
      </w:r>
      <w:r w:rsidR="00CA63B0">
        <w:t>the R</w:t>
      </w:r>
      <w:r w:rsidR="00B03B97">
        <w:t xml:space="preserve">ate </w:t>
      </w:r>
      <w:r w:rsidR="00CA63B0">
        <w:t>S</w:t>
      </w:r>
      <w:r w:rsidR="00B03B97">
        <w:t xml:space="preserve">tabilization </w:t>
      </w:r>
      <w:r w:rsidR="00CA63B0">
        <w:t>C</w:t>
      </w:r>
      <w:r w:rsidR="00B03B97">
        <w:t>harge</w:t>
      </w:r>
      <w:r w:rsidR="00CA63B0">
        <w:t xml:space="preserve"> and foregone refunds</w:t>
      </w:r>
      <w:r w:rsidR="00710CB1">
        <w:t xml:space="preserve"> is to provide a massive profit subsidy to unregulated entit</w:t>
      </w:r>
      <w:r w:rsidR="00B27DC5">
        <w:t>ies—</w:t>
      </w:r>
      <w:r w:rsidR="00B03B97">
        <w:t>DPL, Inc</w:t>
      </w:r>
      <w:r w:rsidR="00B27DC5">
        <w:t>.</w:t>
      </w:r>
      <w:r w:rsidR="00B03B97">
        <w:t xml:space="preserve"> and AES Corporation.</w:t>
      </w:r>
      <w:r w:rsidR="00971086">
        <w:t xml:space="preserve"> </w:t>
      </w:r>
      <w:r w:rsidR="00710CB1">
        <w:t xml:space="preserve">While some of the signatory parties may appreciate the shareholder-funded subsidies they receive under the </w:t>
      </w:r>
      <w:r w:rsidR="00195DB2">
        <w:t>Settlement</w:t>
      </w:r>
      <w:r w:rsidR="00710CB1">
        <w:t xml:space="preserve">, the </w:t>
      </w:r>
      <w:r w:rsidR="002D7936">
        <w:t>$</w:t>
      </w:r>
      <w:r w:rsidR="00CA63B0">
        <w:t>4</w:t>
      </w:r>
      <w:r w:rsidR="002D7936">
        <w:t xml:space="preserve">50 million cost </w:t>
      </w:r>
      <w:r w:rsidR="001C3B0F">
        <w:t xml:space="preserve">to consumers </w:t>
      </w:r>
      <w:r w:rsidR="002D7936">
        <w:t xml:space="preserve">outweighs those asserted customer/party-specific benefits by a ratio of </w:t>
      </w:r>
      <w:r w:rsidR="00CA63B0">
        <w:t>about</w:t>
      </w:r>
      <w:r w:rsidR="002D7936">
        <w:t xml:space="preserve"> 15 to 1.</w:t>
      </w:r>
    </w:p>
    <w:p w:rsidR="008908A4" w:rsidP="00C75069">
      <w:pPr>
        <w:pStyle w:val="DirectAnswer"/>
        <w:ind w:firstLine="0"/>
      </w:pPr>
      <w:r>
        <w:t xml:space="preserve">Witness Schroder does not mention this massive customer cost penalty but instead advocates for the </w:t>
      </w:r>
      <w:r w:rsidR="00195DB2">
        <w:t>Settlement</w:t>
      </w:r>
      <w:r>
        <w:t xml:space="preserve"> mainly based on provisions related to the </w:t>
      </w:r>
      <w:r w:rsidR="00B27DC5">
        <w:t>Smart Grid Plan</w:t>
      </w:r>
      <w:r w:rsidR="00CA63B0">
        <w:t xml:space="preserve"> and $30 million of shareholder</w:t>
      </w:r>
      <w:r w:rsidR="00B83584">
        <w:t>-funded</w:t>
      </w:r>
      <w:r w:rsidR="00CA63B0">
        <w:t xml:space="preserve"> subsidies</w:t>
      </w:r>
      <w:r w:rsidR="00B83584">
        <w:t xml:space="preserve"> to signatory parties</w:t>
      </w:r>
      <w:r w:rsidR="00971086">
        <w:t xml:space="preserve">. </w:t>
      </w:r>
      <w:r>
        <w:t xml:space="preserve">Under the </w:t>
      </w:r>
      <w:r w:rsidR="00195DB2">
        <w:t>Settlement</w:t>
      </w:r>
      <w:r>
        <w:t xml:space="preserve">, the Utility will be compensated for </w:t>
      </w:r>
      <w:r w:rsidR="004011B2">
        <w:t xml:space="preserve">its </w:t>
      </w:r>
      <w:r w:rsidR="00862EB2">
        <w:t xml:space="preserve">actual </w:t>
      </w:r>
      <w:r>
        <w:t>Phase I SGP expenditures through the IIR mechanism</w:t>
      </w:r>
      <w:r w:rsidR="00971086">
        <w:t xml:space="preserve">. </w:t>
      </w:r>
      <w:r>
        <w:t>Her testimony appears to assume that the benefits of the S</w:t>
      </w:r>
      <w:r w:rsidR="00B03B97">
        <w:t xml:space="preserve">mart </w:t>
      </w:r>
      <w:r>
        <w:t>G</w:t>
      </w:r>
      <w:r w:rsidR="00B03B97">
        <w:t xml:space="preserve">rid </w:t>
      </w:r>
      <w:r>
        <w:t>P</w:t>
      </w:r>
      <w:r w:rsidR="00B03B97">
        <w:t>lan</w:t>
      </w:r>
      <w:r>
        <w:t xml:space="preserve"> cannot be achieved absent this </w:t>
      </w:r>
      <w:r w:rsidR="00195DB2">
        <w:t>Settlement</w:t>
      </w:r>
      <w:r>
        <w:t>.</w:t>
      </w:r>
      <w:r>
        <w:rPr>
          <w:rStyle w:val="FootnoteReference"/>
        </w:rPr>
        <w:footnoteReference w:id="13"/>
      </w:r>
      <w:r w:rsidR="000E6873">
        <w:t xml:space="preserve"> </w:t>
      </w:r>
      <w:r>
        <w:t>There is no justification for that assumption, and the S</w:t>
      </w:r>
      <w:r w:rsidR="00B03B97">
        <w:t xml:space="preserve">mart </w:t>
      </w:r>
      <w:r>
        <w:t>G</w:t>
      </w:r>
      <w:r w:rsidR="00B03B97">
        <w:t>rid</w:t>
      </w:r>
      <w:r>
        <w:t xml:space="preserve"> provisions cannot be used to support imposing cost penalties on customers or subsidizing AES</w:t>
      </w:r>
      <w:r w:rsidR="00862EB2">
        <w:t xml:space="preserve"> Corporation</w:t>
      </w:r>
      <w:r w:rsidR="00971086">
        <w:t xml:space="preserve">. </w:t>
      </w:r>
    </w:p>
    <w:p w:rsidR="008D2661" w:rsidP="00140323">
      <w:pPr>
        <w:pStyle w:val="DirectNext"/>
        <w:spacing w:before="0"/>
      </w:pPr>
    </w:p>
    <w:p w:rsidR="003D7E42" w:rsidRPr="00C571FE" w:rsidP="00C75069">
      <w:pPr>
        <w:pStyle w:val="DirectQuestion"/>
      </w:pPr>
      <w:r w:rsidRPr="00C571FE">
        <w:t xml:space="preserve">what </w:t>
      </w:r>
      <w:r w:rsidR="002D7936">
        <w:t>does the remainder of your testimony cover?</w:t>
      </w:r>
    </w:p>
    <w:p w:rsidR="00C75069" w:rsidP="00FE7026">
      <w:pPr>
        <w:pStyle w:val="DirectAnswer"/>
        <w:rPr>
          <w:bCs w:val="0"/>
        </w:rPr>
      </w:pPr>
      <w:r>
        <w:rPr>
          <w:b/>
          <w:i/>
        </w:rPr>
        <w:t>A9.</w:t>
      </w:r>
      <w:r>
        <w:rPr>
          <w:b/>
          <w:i/>
        </w:rPr>
        <w:tab/>
      </w:r>
      <w:r w:rsidR="002D7936">
        <w:t xml:space="preserve">Section II of my testimony discusses the PUCO’s three-prong test and why I find that the </w:t>
      </w:r>
      <w:r w:rsidR="00195DB2">
        <w:t>Settlement</w:t>
      </w:r>
      <w:r w:rsidR="002D7936">
        <w:t xml:space="preserve"> does not meet that test</w:t>
      </w:r>
      <w:r w:rsidR="00971086">
        <w:t xml:space="preserve">. </w:t>
      </w:r>
      <w:r w:rsidR="00C25811">
        <w:t>Section III of my testimony provides my analysis of the issues pertaining to the ESP I issues</w:t>
      </w:r>
      <w:r w:rsidR="00971086">
        <w:t xml:space="preserve">. </w:t>
      </w:r>
      <w:r>
        <w:br w:type="page"/>
      </w:r>
    </w:p>
    <w:p w:rsidR="00DE1485" w:rsidRPr="007C3F3F" w:rsidP="007C3F3F">
      <w:pPr>
        <w:pStyle w:val="Heading1"/>
        <w:rPr>
          <w:rFonts w:hint="eastAsia"/>
        </w:rPr>
      </w:pPr>
      <w:bookmarkStart w:id="18" w:name="_Toc59107216"/>
      <w:r w:rsidRPr="007C3F3F">
        <w:t>THE PUCO’S THREE-PRONG TEST FOR SETTLEMENTS</w:t>
      </w:r>
      <w:bookmarkEnd w:id="18"/>
      <w:r w:rsidRPr="007C3F3F" w:rsidR="000E6873">
        <w:t xml:space="preserve"> </w:t>
      </w:r>
    </w:p>
    <w:p w:rsidR="007C3F3F" w:rsidRPr="007C3F3F" w:rsidP="007C3F3F">
      <w:pPr>
        <w:spacing w:line="480" w:lineRule="auto"/>
      </w:pPr>
    </w:p>
    <w:p w:rsidR="00F11232" w:rsidP="00C75069">
      <w:pPr>
        <w:pStyle w:val="DirectQuestion"/>
      </w:pPr>
      <w:r>
        <w:t>has the puco established standards of review for the evaluation of proposed settlements</w:t>
      </w:r>
      <w:r w:rsidR="00D40030">
        <w:t>?</w:t>
      </w:r>
    </w:p>
    <w:p w:rsidR="008D2661" w:rsidP="00C75069">
      <w:pPr>
        <w:pStyle w:val="DirectAnswer"/>
      </w:pPr>
      <w:r>
        <w:rPr>
          <w:b/>
          <w:i/>
        </w:rPr>
        <w:t>A10.</w:t>
      </w:r>
      <w:r>
        <w:rPr>
          <w:b/>
          <w:i/>
        </w:rPr>
        <w:tab/>
      </w:r>
      <w:r w:rsidR="008A05DA">
        <w:t>Yes, it has</w:t>
      </w:r>
      <w:r w:rsidR="00971086">
        <w:t xml:space="preserve">. </w:t>
      </w:r>
      <w:r w:rsidR="008A05DA">
        <w:t xml:space="preserve">The PUCO </w:t>
      </w:r>
      <w:r w:rsidR="004011B2">
        <w:t>considers three criteria, all of which must be satisfied to approve a settlement:</w:t>
      </w:r>
    </w:p>
    <w:p w:rsidR="00C75069" w:rsidP="00C75069">
      <w:pPr>
        <w:pStyle w:val="DirectAnswer"/>
        <w:numPr>
          <w:ilvl w:val="0"/>
          <w:numId w:val="95"/>
        </w:numPr>
        <w:ind w:left="2160" w:hanging="720"/>
      </w:pPr>
      <w:r>
        <w:t>Is the settlement a product of serious bargaining among capable, knowledgeable parties?</w:t>
      </w:r>
    </w:p>
    <w:p w:rsidR="00C75069" w:rsidP="00C75069">
      <w:pPr>
        <w:pStyle w:val="DirectAnswer"/>
        <w:numPr>
          <w:ilvl w:val="0"/>
          <w:numId w:val="95"/>
        </w:numPr>
        <w:ind w:left="2160" w:hanging="720"/>
      </w:pPr>
      <w:r>
        <w:t>Does the settlement, as a package, benefit ratepayers and the public interest?”</w:t>
      </w:r>
    </w:p>
    <w:p w:rsidR="00291EA0" w:rsidP="00C75069">
      <w:pPr>
        <w:pStyle w:val="DirectAnswer"/>
        <w:numPr>
          <w:ilvl w:val="0"/>
          <w:numId w:val="95"/>
        </w:numPr>
        <w:ind w:left="2160" w:hanging="720"/>
      </w:pPr>
      <w:r>
        <w:t>Does the settlement package violate any important regulatory principle or practice?</w:t>
      </w:r>
      <w:r>
        <w:rPr>
          <w:rStyle w:val="FootnoteReference"/>
        </w:rPr>
        <w:footnoteReference w:id="14"/>
      </w:r>
    </w:p>
    <w:p w:rsidR="004011B2" w:rsidP="00C75069">
      <w:pPr>
        <w:pStyle w:val="DirectAnswer"/>
      </w:pPr>
    </w:p>
    <w:p w:rsidR="00291EA0" w:rsidP="00C75069">
      <w:pPr>
        <w:pStyle w:val="DirectAnswer"/>
        <w:ind w:firstLine="0"/>
      </w:pPr>
      <w:r>
        <w:t xml:space="preserve">In addition to these three criteria, the PUCO also routinely considers whether the parties to a settlement represent diverse </w:t>
      </w:r>
      <w:r w:rsidR="00862EB2">
        <w:t>interests</w:t>
      </w:r>
      <w:r w:rsidR="00971086">
        <w:t xml:space="preserve">. </w:t>
      </w:r>
    </w:p>
    <w:p w:rsidR="004011B2" w:rsidP="00C75069">
      <w:pPr>
        <w:pStyle w:val="DirectAnswer"/>
      </w:pPr>
    </w:p>
    <w:p w:rsidR="00502D12" w:rsidRPr="00502D12" w:rsidP="00C75069">
      <w:pPr>
        <w:pStyle w:val="DirectAnswer"/>
        <w:ind w:firstLine="0"/>
      </w:pPr>
      <w:r>
        <w:t xml:space="preserve">My testimony applies these three PUCO criteria to the proposed </w:t>
      </w:r>
      <w:r w:rsidR="00195DB2">
        <w:t>Settlement</w:t>
      </w:r>
      <w:r>
        <w:t>, and in doing so I respond to DP&amp;L witness S</w:t>
      </w:r>
      <w:r w:rsidR="00300D7C">
        <w:t>c</w:t>
      </w:r>
      <w:r>
        <w:t>hroder’s testimony</w:t>
      </w:r>
      <w:r w:rsidR="00300D7C">
        <w:t xml:space="preserve"> on the three-prong test</w:t>
      </w:r>
      <w:r w:rsidR="00971086">
        <w:t xml:space="preserve">. </w:t>
      </w:r>
      <w:r w:rsidR="00300D7C">
        <w:t xml:space="preserve">I find that the proposed </w:t>
      </w:r>
      <w:r w:rsidR="00195DB2">
        <w:t>Settlement</w:t>
      </w:r>
      <w:r w:rsidR="00300D7C">
        <w:t xml:space="preserve"> does not pass the three-prong test in that it departs </w:t>
      </w:r>
      <w:r w:rsidR="00862EB2">
        <w:t xml:space="preserve">in a fundamental way </w:t>
      </w:r>
      <w:r w:rsidR="00300D7C">
        <w:t xml:space="preserve">from accepted </w:t>
      </w:r>
      <w:r w:rsidR="00B03B97">
        <w:t>regulatory</w:t>
      </w:r>
      <w:r w:rsidR="00300D7C">
        <w:t xml:space="preserve"> principles</w:t>
      </w:r>
      <w:r w:rsidR="00862EB2">
        <w:t>,</w:t>
      </w:r>
      <w:r w:rsidR="00300D7C">
        <w:t xml:space="preserve"> improperly subsidizes the profits of AES Corporation and unnecessarily imposes large </w:t>
      </w:r>
      <w:r w:rsidR="00862EB2">
        <w:t xml:space="preserve">and burdensome </w:t>
      </w:r>
      <w:r w:rsidR="00300D7C">
        <w:t>cost penalties on customers</w:t>
      </w:r>
      <w:r w:rsidR="00971086">
        <w:t xml:space="preserve">. </w:t>
      </w:r>
      <w:r w:rsidR="00300D7C">
        <w:t xml:space="preserve">In addition to </w:t>
      </w:r>
      <w:r w:rsidR="00862EB2">
        <w:t xml:space="preserve">failing </w:t>
      </w:r>
      <w:r w:rsidR="00300D7C">
        <w:t xml:space="preserve">the three-prong test, the </w:t>
      </w:r>
      <w:r w:rsidR="00195DB2">
        <w:t>Settlement</w:t>
      </w:r>
      <w:r w:rsidR="00300D7C">
        <w:t xml:space="preserve"> is improper because it fails to demonstrate that the ESP I continuation (which is </w:t>
      </w:r>
      <w:r w:rsidR="00B03B97">
        <w:t>recommended</w:t>
      </w:r>
      <w:r w:rsidR="00300D7C">
        <w:t xml:space="preserve"> under </w:t>
      </w:r>
      <w:r w:rsidR="00862EB2">
        <w:t xml:space="preserve">provisions of </w:t>
      </w:r>
      <w:r w:rsidR="00300D7C">
        <w:t xml:space="preserve">the </w:t>
      </w:r>
      <w:r w:rsidR="00195DB2">
        <w:t>Settlement</w:t>
      </w:r>
      <w:r w:rsidR="00300D7C">
        <w:t>) pass</w:t>
      </w:r>
      <w:r w:rsidR="004011B2">
        <w:t>es</w:t>
      </w:r>
      <w:r w:rsidR="00300D7C">
        <w:t xml:space="preserve"> the statutory M</w:t>
      </w:r>
      <w:r w:rsidR="00B03B97">
        <w:t xml:space="preserve">ore </w:t>
      </w:r>
      <w:r w:rsidR="00300D7C">
        <w:t>F</w:t>
      </w:r>
      <w:r w:rsidR="00B03B97">
        <w:t xml:space="preserve">avorable in the </w:t>
      </w:r>
      <w:r w:rsidR="00300D7C">
        <w:t>A</w:t>
      </w:r>
      <w:r w:rsidR="00B03B97">
        <w:t>ggregate</w:t>
      </w:r>
      <w:r w:rsidR="00300D7C">
        <w:t xml:space="preserve"> test</w:t>
      </w:r>
      <w:r w:rsidR="004011B2">
        <w:t xml:space="preserve"> and prospective SEET test</w:t>
      </w:r>
      <w:r w:rsidR="00971086">
        <w:t xml:space="preserve">. </w:t>
      </w:r>
    </w:p>
    <w:p w:rsidR="00DE1485" w:rsidP="00D76DB1">
      <w:pPr>
        <w:pStyle w:val="DirectNext"/>
        <w:spacing w:before="0"/>
      </w:pPr>
    </w:p>
    <w:p w:rsidR="00BC35A7" w:rsidRPr="00C571FE" w:rsidP="00C75069">
      <w:pPr>
        <w:pStyle w:val="DirectQuestion"/>
      </w:pPr>
      <w:r>
        <w:t xml:space="preserve">does witness schroder maintain that the </w:t>
      </w:r>
      <w:r w:rsidR="00071787">
        <w:t xml:space="preserve">SETTLEMENT </w:t>
      </w:r>
      <w:r>
        <w:t>comports with the first prong of the puco’s test?</w:t>
      </w:r>
    </w:p>
    <w:p w:rsidR="00502D12" w:rsidP="00C75069">
      <w:pPr>
        <w:pStyle w:val="DirectAnswer"/>
      </w:pPr>
      <w:r>
        <w:rPr>
          <w:b/>
          <w:i/>
        </w:rPr>
        <w:t>A11.</w:t>
      </w:r>
      <w:r>
        <w:rPr>
          <w:b/>
          <w:i/>
        </w:rPr>
        <w:tab/>
      </w:r>
      <w:r w:rsidR="00EC3F5C">
        <w:t xml:space="preserve">The first prong asks whether the </w:t>
      </w:r>
      <w:r w:rsidR="00195DB2">
        <w:t>Settlement</w:t>
      </w:r>
      <w:r w:rsidR="00EC3F5C">
        <w:t xml:space="preserve"> is the product of serious bargaining among capable and diverse parties</w:t>
      </w:r>
      <w:r w:rsidR="00971086">
        <w:t xml:space="preserve">. </w:t>
      </w:r>
      <w:r w:rsidR="00EC3F5C">
        <w:t xml:space="preserve">Witness Schroder observes that there </w:t>
      </w:r>
      <w:r w:rsidR="00862EB2">
        <w:t xml:space="preserve">are </w:t>
      </w:r>
      <w:r w:rsidR="00EC3F5C">
        <w:t>20 parties</w:t>
      </w:r>
      <w:r w:rsidR="000E6873">
        <w:t xml:space="preserve"> </w:t>
      </w:r>
      <w:r w:rsidR="00EC3F5C">
        <w:t xml:space="preserve">supporting the </w:t>
      </w:r>
      <w:r w:rsidR="00195DB2">
        <w:t>Settlement</w:t>
      </w:r>
      <w:r w:rsidR="00EC3F5C">
        <w:t xml:space="preserve">, which includes DP&amp;L, the </w:t>
      </w:r>
      <w:r w:rsidR="004011B2">
        <w:t xml:space="preserve">PUCO </w:t>
      </w:r>
      <w:r w:rsidR="00EC3F5C">
        <w:t>Staff and intervening parties representing “a wide range of interests</w:t>
      </w:r>
      <w:r w:rsidR="004011B2">
        <w:t>.</w:t>
      </w:r>
      <w:r w:rsidR="00EC3F5C">
        <w:t>”</w:t>
      </w:r>
      <w:r>
        <w:rPr>
          <w:rStyle w:val="FootnoteReference"/>
        </w:rPr>
        <w:footnoteReference w:id="15"/>
      </w:r>
      <w:r w:rsidR="000E6873">
        <w:t xml:space="preserve"> </w:t>
      </w:r>
      <w:r w:rsidR="00EC3F5C">
        <w:t xml:space="preserve">She further states that the </w:t>
      </w:r>
      <w:r w:rsidR="00195DB2">
        <w:t>Settlement</w:t>
      </w:r>
      <w:r w:rsidR="00EC3F5C">
        <w:t xml:space="preserve"> resulted from an extensive</w:t>
      </w:r>
      <w:r w:rsidR="00862EB2">
        <w:t xml:space="preserve"> and inclusive</w:t>
      </w:r>
      <w:r w:rsidR="00EC3F5C">
        <w:t xml:space="preserve"> bargaining process over numerous settlement meetings</w:t>
      </w:r>
      <w:r w:rsidR="00971086">
        <w:t xml:space="preserve">. </w:t>
      </w:r>
      <w:r w:rsidR="00EC3F5C">
        <w:t xml:space="preserve">The settling parties </w:t>
      </w:r>
      <w:r w:rsidR="00862EB2">
        <w:t>are</w:t>
      </w:r>
      <w:r w:rsidR="00EC3F5C">
        <w:t xml:space="preserve"> represented by knowledgeable and experienced counsel, </w:t>
      </w:r>
      <w:r w:rsidR="00862EB2">
        <w:t xml:space="preserve">and the bargaining process </w:t>
      </w:r>
      <w:r w:rsidR="00EC3F5C">
        <w:t>result</w:t>
      </w:r>
      <w:r w:rsidR="00862EB2">
        <w:t>s</w:t>
      </w:r>
      <w:r w:rsidR="00EC3F5C">
        <w:t xml:space="preserve"> in a compromise in positions</w:t>
      </w:r>
      <w:r w:rsidR="00971086">
        <w:t xml:space="preserve">. </w:t>
      </w:r>
      <w:r w:rsidR="00EC3F5C">
        <w:t xml:space="preserve">She states that the </w:t>
      </w:r>
      <w:r w:rsidR="00195DB2">
        <w:t>Settlement</w:t>
      </w:r>
      <w:r w:rsidR="00EC3F5C">
        <w:t xml:space="preserve"> “strikes a reasonable balance that benefits customers and the public interest.”</w:t>
      </w:r>
      <w:r>
        <w:rPr>
          <w:rStyle w:val="FootnoteReference"/>
        </w:rPr>
        <w:footnoteReference w:id="16"/>
      </w:r>
      <w:r w:rsidR="000E6873">
        <w:t xml:space="preserve"> </w:t>
      </w:r>
      <w:r w:rsidR="00EC3F5C">
        <w:t xml:space="preserve">Consequently, she argues that the </w:t>
      </w:r>
      <w:r w:rsidR="00195DB2">
        <w:t>Settlement</w:t>
      </w:r>
      <w:r w:rsidR="00EC3F5C">
        <w:t xml:space="preserve"> satisfies the first prong</w:t>
      </w:r>
      <w:r w:rsidR="00971086">
        <w:t xml:space="preserve">. </w:t>
      </w:r>
    </w:p>
    <w:p w:rsidR="008D2661" w:rsidP="007C3F3F">
      <w:pPr>
        <w:pStyle w:val="DirectNext"/>
        <w:spacing w:before="0"/>
      </w:pPr>
    </w:p>
    <w:p w:rsidR="00C437F8" w:rsidRPr="00C571FE" w:rsidP="00C75069">
      <w:pPr>
        <w:pStyle w:val="DirectQuestion"/>
      </w:pPr>
      <w:r>
        <w:t xml:space="preserve">you dispute </w:t>
      </w:r>
      <w:r w:rsidR="00EC3F5C">
        <w:t>her assertions on the first prong?</w:t>
      </w:r>
    </w:p>
    <w:p w:rsidR="007574FD" w:rsidRPr="007574FD" w:rsidP="007574FD">
      <w:pPr>
        <w:pStyle w:val="DirectAnswer"/>
      </w:pPr>
      <w:r>
        <w:rPr>
          <w:b/>
          <w:i/>
        </w:rPr>
        <w:t>A12.</w:t>
      </w:r>
      <w:r>
        <w:rPr>
          <w:b/>
          <w:i/>
        </w:rPr>
        <w:tab/>
      </w:r>
      <w:r w:rsidR="009451AD">
        <w:t>I d</w:t>
      </w:r>
      <w:r w:rsidR="00EC3F5C">
        <w:t>id not participate in the settlement process and do</w:t>
      </w:r>
      <w:r w:rsidR="00643A1C">
        <w:t xml:space="preserve"> not contest her factual assertions concerning the capabilities of the settling parties and the bargaining process that culminated in the Settlement</w:t>
      </w:r>
      <w:r w:rsidR="00971086">
        <w:t xml:space="preserve">. </w:t>
      </w:r>
      <w:r w:rsidR="00643A1C">
        <w:t xml:space="preserve">While I do not take issue with her statement that numerous parties representing a range of interests are signatories to the settlement, in many cases their support may be due </w:t>
      </w:r>
      <w:r w:rsidR="00BD0947">
        <w:t xml:space="preserve">to </w:t>
      </w:r>
      <w:r w:rsidR="00643A1C">
        <w:t xml:space="preserve">very narrow and customer-specific provisions in the </w:t>
      </w:r>
      <w:r w:rsidR="00071787">
        <w:t>S</w:t>
      </w:r>
      <w:r w:rsidR="00643A1C">
        <w:t>ettlement such as substantial rate discounts available to a small group of large customers</w:t>
      </w:r>
      <w:r w:rsidR="00971086">
        <w:t xml:space="preserve">. </w:t>
      </w:r>
      <w:r w:rsidR="00643A1C">
        <w:t>Given these potential narrow interests, the PUCO should take note of the active opposition to this settlement of the OCC, the party explicitly charged with representing the interests of DP&amp;L residential customers who are the majority of the Utility’s retail customers and account for a very large percentage of the total distribution revenue</w:t>
      </w:r>
      <w:r w:rsidR="006C1B97">
        <w:t xml:space="preserve">, and who bear the burden of paying </w:t>
      </w:r>
      <w:r w:rsidR="00F445A9">
        <w:t>the proposed unjust and un</w:t>
      </w:r>
      <w:r w:rsidR="00BD0947">
        <w:t xml:space="preserve">reasonable charges included in </w:t>
      </w:r>
      <w:r w:rsidR="00F445A9">
        <w:t>the Settlement.</w:t>
      </w:r>
    </w:p>
    <w:p w:rsidR="007574FD" w:rsidP="007574FD">
      <w:pPr>
        <w:pStyle w:val="DirectAnswer"/>
        <w:ind w:firstLine="0"/>
      </w:pPr>
    </w:p>
    <w:p w:rsidR="004011B2" w:rsidP="007574FD">
      <w:pPr>
        <w:pStyle w:val="DirectAnswer"/>
        <w:ind w:firstLine="0"/>
      </w:pPr>
      <w:r>
        <w:t xml:space="preserve">Finally, while it may be correct, as witness Schroder argues, that the </w:t>
      </w:r>
      <w:r w:rsidR="00195DB2">
        <w:t>Settlement</w:t>
      </w:r>
      <w:r>
        <w:t xml:space="preserve"> in fact is the product of bargaining by a diverse group of highly capable parties, I do not agree that this means the </w:t>
      </w:r>
      <w:r w:rsidR="00195DB2">
        <w:t>Settlement</w:t>
      </w:r>
      <w:r>
        <w:t xml:space="preserve"> necessarily represents a balanced compromise </w:t>
      </w:r>
      <w:r w:rsidR="00BD0947">
        <w:t>or</w:t>
      </w:r>
      <w:r>
        <w:t xml:space="preserve"> on balance benefits customers and the public interest, as </w:t>
      </w:r>
      <w:r w:rsidR="00862EB2">
        <w:t xml:space="preserve">she </w:t>
      </w:r>
      <w:r>
        <w:t>assert</w:t>
      </w:r>
      <w:r w:rsidR="00862EB2">
        <w:t>s</w:t>
      </w:r>
      <w:r>
        <w:t xml:space="preserve"> on page 14</w:t>
      </w:r>
      <w:r w:rsidR="00971086">
        <w:t xml:space="preserve">. </w:t>
      </w:r>
      <w:r>
        <w:t xml:space="preserve">While it </w:t>
      </w:r>
      <w:r>
        <w:t>may be</w:t>
      </w:r>
      <w:r>
        <w:t xml:space="preserve"> true that the </w:t>
      </w:r>
      <w:r w:rsidR="00195DB2">
        <w:t>Settlement</w:t>
      </w:r>
      <w:r>
        <w:t xml:space="preserve"> modif</w:t>
      </w:r>
      <w:r>
        <w:t>ies</w:t>
      </w:r>
      <w:r>
        <w:t xml:space="preserve"> what DP&amp;L was seeking in its filed S</w:t>
      </w:r>
      <w:r w:rsidR="00F445A9">
        <w:t xml:space="preserve">mart </w:t>
      </w:r>
      <w:r>
        <w:t>G</w:t>
      </w:r>
      <w:r w:rsidR="00F445A9">
        <w:t xml:space="preserve">rid </w:t>
      </w:r>
      <w:r>
        <w:t>P</w:t>
      </w:r>
      <w:r w:rsidR="00F445A9">
        <w:t>lan</w:t>
      </w:r>
      <w:r>
        <w:t xml:space="preserve"> docket, under the </w:t>
      </w:r>
      <w:r w:rsidR="00195DB2">
        <w:t>Settlement</w:t>
      </w:r>
      <w:r>
        <w:t xml:space="preserve"> the Utility will receive full and timely collection of the S</w:t>
      </w:r>
      <w:r w:rsidR="00F445A9">
        <w:t xml:space="preserve">mart </w:t>
      </w:r>
      <w:r>
        <w:t>G</w:t>
      </w:r>
      <w:r w:rsidR="00F445A9">
        <w:t xml:space="preserve">rid </w:t>
      </w:r>
      <w:r>
        <w:t>P</w:t>
      </w:r>
      <w:r w:rsidR="00F445A9">
        <w:t>lan</w:t>
      </w:r>
      <w:r>
        <w:t xml:space="preserve"> revenue requirements </w:t>
      </w:r>
      <w:r w:rsidR="00862EB2">
        <w:t xml:space="preserve">for appropriate SGP costs </w:t>
      </w:r>
      <w:r>
        <w:t>through the IIR</w:t>
      </w:r>
      <w:r w:rsidR="00971086">
        <w:t xml:space="preserve">. </w:t>
      </w:r>
      <w:r w:rsidR="00862EB2">
        <w:t>Even with the referenced modifications, t</w:t>
      </w:r>
      <w:r>
        <w:t>his is a very favorable outcome for DP&amp;L</w:t>
      </w:r>
      <w:r w:rsidR="00971086">
        <w:t xml:space="preserve">. </w:t>
      </w:r>
    </w:p>
    <w:p w:rsidR="004011B2" w:rsidP="00C75069">
      <w:pPr>
        <w:pStyle w:val="DirectAnswer"/>
      </w:pPr>
    </w:p>
    <w:p w:rsidR="00647660" w:rsidP="00647660">
      <w:pPr>
        <w:pStyle w:val="DirectAnswer"/>
        <w:ind w:firstLine="0"/>
        <w:rPr>
          <w:bCs w:val="0"/>
        </w:rPr>
      </w:pPr>
      <w:r>
        <w:t>Moreover, t</w:t>
      </w:r>
      <w:r w:rsidR="00862EB2">
        <w:t>wo</w:t>
      </w:r>
      <w:r>
        <w:t xml:space="preserve"> other </w:t>
      </w:r>
      <w:r w:rsidR="00862EB2">
        <w:t>key</w:t>
      </w:r>
      <w:r>
        <w:t xml:space="preserve"> portions of the </w:t>
      </w:r>
      <w:r w:rsidR="00195DB2">
        <w:t>Settlement</w:t>
      </w:r>
      <w:r>
        <w:t xml:space="preserve"> pertain to the ESP I </w:t>
      </w:r>
      <w:r w:rsidR="00862EB2">
        <w:t xml:space="preserve">continuation </w:t>
      </w:r>
      <w:r>
        <w:t>case and the SEET 2018 and 2019 review dockets</w:t>
      </w:r>
      <w:r w:rsidR="00971086">
        <w:t xml:space="preserve">. </w:t>
      </w:r>
      <w:r>
        <w:t xml:space="preserve">It is hard to see in these two areas of the </w:t>
      </w:r>
      <w:r w:rsidR="00195DB2">
        <w:t>Settlement</w:t>
      </w:r>
      <w:r>
        <w:t xml:space="preserve"> where there is any compromise or DP&amp;L conceding on anything</w:t>
      </w:r>
      <w:r w:rsidR="00971086">
        <w:t xml:space="preserve">. </w:t>
      </w:r>
      <w:r>
        <w:t xml:space="preserve">It appears for these dockets that the Utility will receive every dollar that it is requesting, with the dollars at issue in these cases </w:t>
      </w:r>
      <w:r w:rsidR="00F12F64">
        <w:t xml:space="preserve">much </w:t>
      </w:r>
      <w:r>
        <w:t>larger than the Phase I S</w:t>
      </w:r>
      <w:r w:rsidR="00F445A9">
        <w:t xml:space="preserve">mart </w:t>
      </w:r>
      <w:r>
        <w:t>G</w:t>
      </w:r>
      <w:r w:rsidR="00F445A9">
        <w:t xml:space="preserve">rid </w:t>
      </w:r>
      <w:r>
        <w:t>P</w:t>
      </w:r>
      <w:r w:rsidR="00F445A9">
        <w:t>lan</w:t>
      </w:r>
      <w:r w:rsidR="00971086">
        <w:t xml:space="preserve">. </w:t>
      </w:r>
      <w:r w:rsidR="000245B4">
        <w:t xml:space="preserve">The only “concession” that DP&amp;L seems to make is that it will file for a new ESP in October 2023 (which will provide </w:t>
      </w:r>
      <w:r w:rsidR="00F12F64">
        <w:t xml:space="preserve">the Utility </w:t>
      </w:r>
      <w:r w:rsidR="000245B4">
        <w:t>an opportunity to request additional riders</w:t>
      </w:r>
      <w:r w:rsidR="00F445A9">
        <w:t xml:space="preserve"> and collect additional charges from consumers</w:t>
      </w:r>
      <w:r w:rsidR="000245B4">
        <w:t>)</w:t>
      </w:r>
      <w:r w:rsidR="00F12F64">
        <w:t>,</w:t>
      </w:r>
      <w:r w:rsidR="000245B4">
        <w:t xml:space="preserve"> and it </w:t>
      </w:r>
      <w:r w:rsidR="00F12F64">
        <w:t>agrees</w:t>
      </w:r>
      <w:r w:rsidR="000245B4">
        <w:t xml:space="preserve"> not </w:t>
      </w:r>
      <w:r w:rsidR="00F12F64">
        <w:t xml:space="preserve">to </w:t>
      </w:r>
      <w:r w:rsidR="000245B4">
        <w:t>seek in the successor ESP a</w:t>
      </w:r>
      <w:r w:rsidR="00B703E1">
        <w:t xml:space="preserve"> </w:t>
      </w:r>
      <w:r w:rsidR="00071787">
        <w:t>n</w:t>
      </w:r>
      <w:r w:rsidR="00B703E1">
        <w:t>onbypassable</w:t>
      </w:r>
      <w:r w:rsidR="000245B4">
        <w:t xml:space="preserve"> </w:t>
      </w:r>
      <w:r w:rsidR="00BD0947">
        <w:t>r</w:t>
      </w:r>
      <w:r w:rsidR="00F445A9">
        <w:t xml:space="preserve">ate </w:t>
      </w:r>
      <w:r w:rsidR="00BD0947">
        <w:t>s</w:t>
      </w:r>
      <w:r w:rsidR="00F445A9">
        <w:t>tabilization</w:t>
      </w:r>
      <w:r w:rsidR="000245B4">
        <w:t>-type</w:t>
      </w:r>
      <w:r w:rsidR="00F445A9">
        <w:t xml:space="preserve"> charge</w:t>
      </w:r>
      <w:r w:rsidR="000245B4">
        <w:t xml:space="preserve"> mechanism</w:t>
      </w:r>
      <w:r w:rsidR="00971086">
        <w:t xml:space="preserve">. </w:t>
      </w:r>
      <w:r w:rsidR="004011B2">
        <w:t>I would hardly consider this a concession because (i) it allows DP&amp;L to charge customers $79 million a year for four more years under the RSC, and (ii) the agreement not to include a R</w:t>
      </w:r>
      <w:r w:rsidR="00F445A9">
        <w:t xml:space="preserve">ate </w:t>
      </w:r>
      <w:r w:rsidR="004011B2">
        <w:t>S</w:t>
      </w:r>
      <w:r w:rsidR="00F445A9">
        <w:t>tabilization</w:t>
      </w:r>
      <w:r w:rsidR="004011B2">
        <w:t>-type charge has little value, given that the Supreme Court of Ohio</w:t>
      </w:r>
      <w:r>
        <w:rPr>
          <w:rStyle w:val="FootnoteReference"/>
        </w:rPr>
        <w:footnoteReference w:id="17"/>
      </w:r>
      <w:r w:rsidR="004011B2">
        <w:t xml:space="preserve"> and PUCO</w:t>
      </w:r>
      <w:r>
        <w:rPr>
          <w:rStyle w:val="FootnoteReference"/>
        </w:rPr>
        <w:footnoteReference w:id="18"/>
      </w:r>
      <w:r w:rsidR="004011B2">
        <w:t xml:space="preserve"> have already ruled that those types of charges are unlawful.</w:t>
      </w:r>
      <w:r w:rsidR="000245B4">
        <w:t xml:space="preserve"> </w:t>
      </w:r>
      <w:r w:rsidR="00B703E1">
        <w:t xml:space="preserve">Further, the Settlement provides only that DP&amp;L cannot seek a nonbypassable financial integrity charge. Apparently, the signatory parties have agreed that DP&amp;L’s next ESP application can include </w:t>
      </w:r>
      <w:r w:rsidR="00B703E1">
        <w:rPr>
          <w:i/>
        </w:rPr>
        <w:t>another</w:t>
      </w:r>
      <w:r w:rsidR="00B703E1">
        <w:t xml:space="preserve"> unlawful financial integrity charge, as long as it is paid only by standard service offer customers. </w:t>
      </w:r>
      <w:r w:rsidR="000245B4">
        <w:t xml:space="preserve">Far from being a balanced compromise, the </w:t>
      </w:r>
      <w:r w:rsidR="00195DB2">
        <w:t>Settlement</w:t>
      </w:r>
      <w:r w:rsidR="000245B4">
        <w:t xml:space="preserve"> is not balanced at all and gives DP&amp;L the vast majorit</w:t>
      </w:r>
      <w:r w:rsidR="00BD0947">
        <w:t>y of what it has been seeking—</w:t>
      </w:r>
      <w:r w:rsidR="000245B4">
        <w:t xml:space="preserve">but </w:t>
      </w:r>
      <w:r w:rsidR="00F12F64">
        <w:t xml:space="preserve">which it absolutely </w:t>
      </w:r>
      <w:r w:rsidR="000245B4">
        <w:t xml:space="preserve">should not receive </w:t>
      </w:r>
      <w:r>
        <w:br w:type="page"/>
      </w:r>
    </w:p>
    <w:p w:rsidR="00B06122" w:rsidP="007574FD">
      <w:pPr>
        <w:pStyle w:val="DirectQuestion"/>
        <w:keepNext/>
      </w:pPr>
      <w:r>
        <w:t xml:space="preserve">how does witness schroder address the second prong pertaining to whether the stipulation </w:t>
      </w:r>
      <w:r w:rsidR="008E2745">
        <w:t xml:space="preserve">BENEFITS CUSTOMERS AND </w:t>
      </w:r>
      <w:r>
        <w:t>the public interest?</w:t>
      </w:r>
    </w:p>
    <w:p w:rsidR="008C14D3" w:rsidP="00C75069">
      <w:pPr>
        <w:pStyle w:val="DirectAnswer"/>
      </w:pPr>
      <w:r>
        <w:rPr>
          <w:b/>
          <w:i/>
        </w:rPr>
        <w:t>A13.</w:t>
      </w:r>
      <w:r>
        <w:rPr>
          <w:b/>
          <w:i/>
        </w:rPr>
        <w:tab/>
      </w:r>
      <w:r w:rsidR="000245B4">
        <w:t xml:space="preserve">Witness Schroder claims that the </w:t>
      </w:r>
      <w:r w:rsidR="00195DB2">
        <w:t>Settlement</w:t>
      </w:r>
      <w:r w:rsidR="000245B4">
        <w:t xml:space="preserve"> meets the </w:t>
      </w:r>
      <w:r w:rsidR="008E2745">
        <w:t>second prong of the</w:t>
      </w:r>
      <w:r w:rsidR="000245B4">
        <w:t xml:space="preserve"> test by accomplishing the following:</w:t>
      </w:r>
      <w:r w:rsidR="000E6873">
        <w:t xml:space="preserve"> </w:t>
      </w:r>
      <w:r w:rsidR="000245B4">
        <w:t>(1) enabling DP&amp;L to proceed with a grid modernization plan and thereby providing an extensive range of benefits for customers, (2) ensuring that DP&amp;L’s financial integrity needs are addressed</w:t>
      </w:r>
      <w:r w:rsidR="008E2745">
        <w:t>,</w:t>
      </w:r>
      <w:r w:rsidR="000245B4">
        <w:t xml:space="preserve"> thereby ensuring that the Utility has the financial capability to provide reliable service, and (3) providing numerous other benefits such as low-income assistance,</w:t>
      </w:r>
      <w:r w:rsidR="00A156ED">
        <w:t xml:space="preserve"> renewable resource investment,</w:t>
      </w:r>
      <w:r w:rsidR="000245B4">
        <w:t xml:space="preserve"> promotion of economic recovery</w:t>
      </w:r>
      <w:r w:rsidR="00BD0947">
        <w:t>,</w:t>
      </w:r>
      <w:r w:rsidR="000245B4">
        <w:t xml:space="preserve"> and customers discounts.</w:t>
      </w:r>
      <w:r>
        <w:rPr>
          <w:rStyle w:val="FootnoteReference"/>
        </w:rPr>
        <w:footnoteReference w:id="19"/>
      </w:r>
      <w:r w:rsidR="000E6873">
        <w:t xml:space="preserve"> </w:t>
      </w:r>
      <w:r w:rsidR="00A156ED">
        <w:t>In particular, she cites to the S</w:t>
      </w:r>
      <w:r w:rsidR="00F445A9">
        <w:t xml:space="preserve">mart </w:t>
      </w:r>
      <w:r w:rsidR="00A156ED">
        <w:t>G</w:t>
      </w:r>
      <w:r w:rsidR="00F445A9">
        <w:t xml:space="preserve">rid </w:t>
      </w:r>
      <w:r w:rsidR="00A156ED">
        <w:t>P</w:t>
      </w:r>
      <w:r w:rsidR="00F445A9">
        <w:t>lan</w:t>
      </w:r>
      <w:r w:rsidR="00A156ED">
        <w:t xml:space="preserve"> study results of $63 million customer </w:t>
      </w:r>
      <w:r w:rsidR="00071787">
        <w:t>net present value (“</w:t>
      </w:r>
      <w:r w:rsidR="00A156ED">
        <w:t>NPV</w:t>
      </w:r>
      <w:r w:rsidR="00071787">
        <w:t>”)</w:t>
      </w:r>
      <w:r w:rsidR="00A156ED">
        <w:t xml:space="preserve"> benefits over 20 years and $400 million (nominal 20-year) benefits from increased economic activity.</w:t>
      </w:r>
      <w:r>
        <w:rPr>
          <w:rStyle w:val="FootnoteReference"/>
        </w:rPr>
        <w:footnoteReference w:id="20"/>
      </w:r>
      <w:r w:rsidR="000E6873">
        <w:t xml:space="preserve"> </w:t>
      </w:r>
      <w:r w:rsidR="00A156ED">
        <w:t>Moreover, she states that the S</w:t>
      </w:r>
      <w:r w:rsidR="00F445A9">
        <w:t xml:space="preserve">mart </w:t>
      </w:r>
      <w:r w:rsidR="00A156ED">
        <w:t>G</w:t>
      </w:r>
      <w:r w:rsidR="00F445A9">
        <w:t xml:space="preserve">rid </w:t>
      </w:r>
      <w:r w:rsidR="00A156ED">
        <w:t>P</w:t>
      </w:r>
      <w:r w:rsidR="00F445A9">
        <w:t>lan</w:t>
      </w:r>
      <w:r w:rsidR="00A156ED">
        <w:t xml:space="preserve"> in the </w:t>
      </w:r>
      <w:r w:rsidR="00195DB2">
        <w:t>Settlement</w:t>
      </w:r>
      <w:r w:rsidR="00A156ED">
        <w:t xml:space="preserve"> benefits customers (as compared to the as</w:t>
      </w:r>
      <w:r w:rsidR="008E2745">
        <w:t>-</w:t>
      </w:r>
      <w:r w:rsidR="00A156ED">
        <w:t xml:space="preserve">filed plan) by approving the investments in phases, committing to </w:t>
      </w:r>
      <w:r w:rsidR="00F12F64">
        <w:t xml:space="preserve">implementing </w:t>
      </w:r>
      <w:r w:rsidR="00A156ED">
        <w:t xml:space="preserve">a </w:t>
      </w:r>
      <w:r w:rsidR="00F12F64">
        <w:t xml:space="preserve">new </w:t>
      </w:r>
      <w:r w:rsidR="00A156ED">
        <w:t xml:space="preserve">CIS </w:t>
      </w:r>
      <w:r w:rsidR="00F12F64">
        <w:t xml:space="preserve">with costs </w:t>
      </w:r>
      <w:r w:rsidR="00A156ED">
        <w:t xml:space="preserve">to be recovered in a future base rate case, and including </w:t>
      </w:r>
      <w:r w:rsidR="00F12F64">
        <w:t>S</w:t>
      </w:r>
      <w:r w:rsidR="00F445A9">
        <w:t xml:space="preserve">mart </w:t>
      </w:r>
      <w:r w:rsidR="00F12F64">
        <w:t>G</w:t>
      </w:r>
      <w:r w:rsidR="00F445A9">
        <w:t xml:space="preserve">rid </w:t>
      </w:r>
      <w:r w:rsidR="00F12F64">
        <w:t>P</w:t>
      </w:r>
      <w:r w:rsidR="00F445A9">
        <w:t>lan</w:t>
      </w:r>
      <w:r w:rsidR="00F12F64">
        <w:t xml:space="preserve"> </w:t>
      </w:r>
      <w:r w:rsidR="00071787">
        <w:t>operations and maintenance</w:t>
      </w:r>
      <w:r w:rsidR="00A156ED">
        <w:t xml:space="preserve"> savings in the IIR mechanism.</w:t>
      </w:r>
      <w:r>
        <w:rPr>
          <w:rStyle w:val="FootnoteReference"/>
        </w:rPr>
        <w:footnoteReference w:id="21"/>
      </w:r>
    </w:p>
    <w:p w:rsidR="00647660" w:rsidRPr="00647660" w:rsidP="00647660">
      <w:pPr>
        <w:pStyle w:val="DirectNext"/>
        <w:spacing w:before="0"/>
      </w:pPr>
    </w:p>
    <w:p w:rsidR="00106586" w:rsidP="00647660">
      <w:pPr>
        <w:pStyle w:val="DirectNext"/>
        <w:spacing w:before="0"/>
      </w:pPr>
      <w:r>
        <w:t>The second category of public interest benefits</w:t>
      </w:r>
      <w:r w:rsidR="00F12F64">
        <w:t xml:space="preserve"> that</w:t>
      </w:r>
      <w:r>
        <w:t xml:space="preserve"> the </w:t>
      </w:r>
      <w:r w:rsidR="00195DB2">
        <w:t>Settlement</w:t>
      </w:r>
      <w:r>
        <w:t xml:space="preserve"> provides</w:t>
      </w:r>
      <w:r w:rsidR="00F12F64">
        <w:t xml:space="preserve">, </w:t>
      </w:r>
      <w:r w:rsidR="00071787">
        <w:t xml:space="preserve">safeguarding </w:t>
      </w:r>
      <w:r>
        <w:t>DP&amp;L’s financial integrity</w:t>
      </w:r>
      <w:r w:rsidR="002D2551">
        <w:t xml:space="preserve"> and therefore service reliability, is addressed in Mr. Malinak’s April 2020 testimony, not by witness Schroder who simply references his testimony and conclusions</w:t>
      </w:r>
      <w:r w:rsidR="00971086">
        <w:t xml:space="preserve">. </w:t>
      </w:r>
      <w:r w:rsidR="002D2551">
        <w:t xml:space="preserve">The third category of benefits refers to the various and miscellaneous provisions in the </w:t>
      </w:r>
      <w:r w:rsidR="00195DB2">
        <w:t>Settlement</w:t>
      </w:r>
      <w:r w:rsidR="002D2551">
        <w:t xml:space="preserve"> that provide for individual customer concessions, funding or discounts, with in many instances the benefit funded by shareholders. </w:t>
      </w:r>
    </w:p>
    <w:p w:rsidR="007F0D26" w:rsidRPr="007F0D26" w:rsidP="002D2551">
      <w:pPr>
        <w:pStyle w:val="DirectNext"/>
        <w:spacing w:before="0"/>
      </w:pPr>
    </w:p>
    <w:p w:rsidR="0075472F" w:rsidP="00C75069">
      <w:pPr>
        <w:pStyle w:val="DirectQuestion"/>
      </w:pPr>
      <w:r>
        <w:t xml:space="preserve">based on your review, does the </w:t>
      </w:r>
      <w:r w:rsidR="00344F9A">
        <w:t xml:space="preserve">SETTLEMENT </w:t>
      </w:r>
      <w:r>
        <w:t>meet the puco’s second prong of public interest and customer benefits?</w:t>
      </w:r>
    </w:p>
    <w:p w:rsidR="00647660" w:rsidP="00647660">
      <w:pPr>
        <w:pStyle w:val="DirectAnswer"/>
        <w:rPr>
          <w:bCs w:val="0"/>
        </w:rPr>
      </w:pPr>
      <w:r>
        <w:rPr>
          <w:b/>
          <w:i/>
        </w:rPr>
        <w:t>A14.</w:t>
      </w:r>
      <w:r>
        <w:rPr>
          <w:b/>
          <w:i/>
        </w:rPr>
        <w:tab/>
      </w:r>
      <w:r w:rsidR="002D2551">
        <w:t>No, it does not</w:t>
      </w:r>
      <w:r w:rsidR="00971086">
        <w:t xml:space="preserve">. </w:t>
      </w:r>
      <w:r w:rsidR="002D2551">
        <w:t>I defer to OCC witness Alvarez concerning the design</w:t>
      </w:r>
      <w:r w:rsidR="00F12F64">
        <w:t>,</w:t>
      </w:r>
      <w:r w:rsidR="002D2551">
        <w:t xml:space="preserve"> attributes </w:t>
      </w:r>
      <w:r w:rsidR="00F12F64">
        <w:t xml:space="preserve">and net benefits </w:t>
      </w:r>
      <w:r w:rsidR="002D2551">
        <w:t xml:space="preserve">of the </w:t>
      </w:r>
      <w:r w:rsidR="006E09F8">
        <w:t>S</w:t>
      </w:r>
      <w:r w:rsidR="00F445A9">
        <w:t xml:space="preserve">mart </w:t>
      </w:r>
      <w:r w:rsidR="006E09F8">
        <w:t>G</w:t>
      </w:r>
      <w:r w:rsidR="00F445A9">
        <w:t xml:space="preserve">rid </w:t>
      </w:r>
      <w:r w:rsidR="006E09F8">
        <w:t>P</w:t>
      </w:r>
      <w:r w:rsidR="00F445A9">
        <w:t>lan</w:t>
      </w:r>
      <w:r w:rsidR="006E09F8">
        <w:t xml:space="preserve"> provisions in the </w:t>
      </w:r>
      <w:r w:rsidR="00195DB2">
        <w:t>Settlement</w:t>
      </w:r>
      <w:r w:rsidR="006E09F8">
        <w:t xml:space="preserve"> and whether it properly </w:t>
      </w:r>
      <w:r w:rsidR="00344F9A">
        <w:t xml:space="preserve">benefits </w:t>
      </w:r>
      <w:r w:rsidR="006E09F8">
        <w:t>the public interest</w:t>
      </w:r>
      <w:r w:rsidR="00971086">
        <w:t xml:space="preserve">. </w:t>
      </w:r>
      <w:r w:rsidR="006E09F8">
        <w:t xml:space="preserve">That said, witness Schroder in addressing the second prong appears to be assuming that absent this </w:t>
      </w:r>
      <w:r w:rsidR="00195DB2">
        <w:t>Settlement</w:t>
      </w:r>
      <w:r w:rsidR="006E09F8">
        <w:t>, as filed, it would not be able to proceed with a PUCO-approved SGP</w:t>
      </w:r>
      <w:r w:rsidR="00971086">
        <w:t xml:space="preserve">. </w:t>
      </w:r>
      <w:r w:rsidR="006E09F8">
        <w:t>That is not true</w:t>
      </w:r>
      <w:r w:rsidR="00B703E1">
        <w:t>. DP&amp;L could file a new electric security plan case and propose smart grid investments there.</w:t>
      </w:r>
      <w:r w:rsidR="00971086">
        <w:t xml:space="preserve"> </w:t>
      </w:r>
      <w:r w:rsidR="006E09F8">
        <w:t xml:space="preserve">Alternatively, </w:t>
      </w:r>
      <w:r w:rsidR="008E2745">
        <w:t xml:space="preserve">DP&amp;L could invest in smart grid and </w:t>
      </w:r>
      <w:r w:rsidR="00733EFC">
        <w:t xml:space="preserve">collect </w:t>
      </w:r>
      <w:r w:rsidR="008E2745">
        <w:t xml:space="preserve">the costs </w:t>
      </w:r>
      <w:r w:rsidR="00733EFC">
        <w:t xml:space="preserve">from customers </w:t>
      </w:r>
      <w:r w:rsidR="008E2745">
        <w:t xml:space="preserve">through a base rate case to the extent the assets are used and useful </w:t>
      </w:r>
      <w:r w:rsidR="00733EFC">
        <w:t xml:space="preserve">on date certain </w:t>
      </w:r>
      <w:r w:rsidR="008E2745">
        <w:t>and the costs were</w:t>
      </w:r>
      <w:r w:rsidR="00733EFC">
        <w:t xml:space="preserve"> necessary to provide </w:t>
      </w:r>
      <w:r w:rsidR="00F445A9">
        <w:t xml:space="preserve">utility </w:t>
      </w:r>
      <w:r w:rsidR="00733EFC">
        <w:t>service and</w:t>
      </w:r>
      <w:r w:rsidR="008E2745">
        <w:t xml:space="preserve"> prudently incurred. </w:t>
      </w:r>
      <w:r w:rsidR="006E09F8">
        <w:t xml:space="preserve">Witness Schroeder cites to the $63 million in SGP NPV benefits, but it is not clear that these benefits (assuming the estimation is valid) depend on this </w:t>
      </w:r>
      <w:r w:rsidR="00195DB2">
        <w:t>Settlement</w:t>
      </w:r>
      <w:r w:rsidR="00BD0947">
        <w:t>. A</w:t>
      </w:r>
      <w:r w:rsidR="006E09F8">
        <w:t>nd in any event</w:t>
      </w:r>
      <w:r w:rsidR="00BD0947">
        <w:t>, they</w:t>
      </w:r>
      <w:r w:rsidR="006E09F8">
        <w:t xml:space="preserve"> are a small fraction of the </w:t>
      </w:r>
      <w:r w:rsidR="00F12F64">
        <w:t xml:space="preserve">roughly </w:t>
      </w:r>
      <w:r w:rsidR="006E09F8">
        <w:t>$</w:t>
      </w:r>
      <w:r w:rsidR="00F12F64">
        <w:t>4</w:t>
      </w:r>
      <w:r w:rsidR="006E09F8">
        <w:t>50 million in unwarranted customer charges through the continuation of the</w:t>
      </w:r>
      <w:r w:rsidR="00733EFC">
        <w:t xml:space="preserve"> unlawful stability charge</w:t>
      </w:r>
      <w:r w:rsidR="006E09F8">
        <w:t xml:space="preserve"> (and foregone refunds</w:t>
      </w:r>
      <w:r w:rsidR="00733EFC">
        <w:t xml:space="preserve"> to customers from the 2018 and 2019 profits review</w:t>
      </w:r>
      <w:r w:rsidR="006E09F8">
        <w:t xml:space="preserve">) </w:t>
      </w:r>
      <w:r w:rsidR="00F12F64">
        <w:t>provided under this</w:t>
      </w:r>
      <w:r w:rsidR="006E09F8">
        <w:t xml:space="preserve"> </w:t>
      </w:r>
      <w:r w:rsidR="00195DB2">
        <w:t>Settlement</w:t>
      </w:r>
      <w:r w:rsidR="00971086">
        <w:t xml:space="preserve">. </w:t>
      </w:r>
      <w:r w:rsidR="00F12F64">
        <w:t xml:space="preserve">The </w:t>
      </w:r>
      <w:r w:rsidR="00195DB2">
        <w:t>Settlement</w:t>
      </w:r>
      <w:r w:rsidR="00F12F64">
        <w:t xml:space="preserve"> therefore fails the PUCO’s second prong and should be rejected</w:t>
      </w:r>
      <w:r w:rsidR="00971086">
        <w:t xml:space="preserve">. </w:t>
      </w:r>
      <w:r>
        <w:br w:type="page"/>
      </w:r>
    </w:p>
    <w:p w:rsidR="009A79F0" w:rsidP="00C75069">
      <w:pPr>
        <w:pStyle w:val="DirectQuestion"/>
      </w:pPr>
      <w:r>
        <w:t xml:space="preserve">please address </w:t>
      </w:r>
      <w:r w:rsidR="0007065D">
        <w:t xml:space="preserve">witness shroder’s </w:t>
      </w:r>
      <w:r>
        <w:t xml:space="preserve">third category of public interest benefits, the </w:t>
      </w:r>
      <w:r w:rsidR="0007065D">
        <w:t xml:space="preserve">shareholder </w:t>
      </w:r>
      <w:r>
        <w:t>funding and discounts for individual customers and customer groups.</w:t>
      </w:r>
    </w:p>
    <w:p w:rsidR="00BD0947" w:rsidP="00C75069">
      <w:pPr>
        <w:pStyle w:val="DirectAnswer"/>
      </w:pPr>
      <w:r>
        <w:rPr>
          <w:b/>
          <w:i/>
        </w:rPr>
        <w:t>A15.</w:t>
      </w:r>
      <w:r>
        <w:rPr>
          <w:b/>
          <w:i/>
        </w:rPr>
        <w:tab/>
      </w:r>
      <w:r w:rsidR="00FF42ED">
        <w:t>Witness Schroder cites to a long list of miscellaneous customer benefits such as the funding of pilot programs, grants and customer discounts which are funded by shareholders.</w:t>
      </w:r>
      <w:r>
        <w:rPr>
          <w:rStyle w:val="FootnoteReference"/>
        </w:rPr>
        <w:footnoteReference w:id="22"/>
      </w:r>
      <w:r w:rsidR="000E6873">
        <w:t xml:space="preserve"> </w:t>
      </w:r>
      <w:r w:rsidR="00FF42ED">
        <w:t xml:space="preserve">While her testimony provides only a very partial quantification of the shareholder contribution, the Utility’s SEC Form 10-Q </w:t>
      </w:r>
      <w:r w:rsidR="003B3055">
        <w:t xml:space="preserve">at </w:t>
      </w:r>
      <w:r w:rsidR="00FF42ED">
        <w:t>September 30</w:t>
      </w:r>
      <w:r w:rsidR="00344F9A">
        <w:t>,</w:t>
      </w:r>
      <w:r w:rsidR="00FF42ED">
        <w:t xml:space="preserve"> 2020 places the value of total shareholder contributions at about $30 million over four years</w:t>
      </w:r>
      <w:r w:rsidR="00971086">
        <w:t xml:space="preserve">. </w:t>
      </w:r>
    </w:p>
    <w:p w:rsidR="00BD0947" w:rsidP="00C75069">
      <w:pPr>
        <w:pStyle w:val="DirectAnswer"/>
      </w:pPr>
    </w:p>
    <w:p w:rsidR="00647660" w:rsidP="00647660">
      <w:pPr>
        <w:pStyle w:val="DirectAnswer"/>
        <w:ind w:firstLine="0"/>
        <w:rPr>
          <w:bCs w:val="0"/>
        </w:rPr>
      </w:pPr>
      <w:r>
        <w:t>While the list of beneficiaries of this largesse is lengthy, and $30 million seems quite substantial, in fact it pales in comparison with the roughly $</w:t>
      </w:r>
      <w:r w:rsidR="003B3055">
        <w:t>300</w:t>
      </w:r>
      <w:r>
        <w:t xml:space="preserve"> million </w:t>
      </w:r>
      <w:r w:rsidR="00733EFC">
        <w:t xml:space="preserve">that DP&amp;L customers will pay under </w:t>
      </w:r>
      <w:r w:rsidR="0007065D">
        <w:t xml:space="preserve">the </w:t>
      </w:r>
      <w:r w:rsidR="00195DB2">
        <w:t>Settlement</w:t>
      </w:r>
      <w:r w:rsidR="0007065D">
        <w:t xml:space="preserve"> </w:t>
      </w:r>
      <w:r>
        <w:t>f</w:t>
      </w:r>
      <w:r w:rsidR="0007065D">
        <w:t>r</w:t>
      </w:r>
      <w:r>
        <w:t xml:space="preserve">om the </w:t>
      </w:r>
      <w:r w:rsidR="006E0C41">
        <w:t xml:space="preserve">unlawful stability charge. </w:t>
      </w:r>
      <w:r w:rsidR="00733EFC">
        <w:t>Additionally, DP&amp;L will be</w:t>
      </w:r>
      <w:r w:rsidR="003B3055">
        <w:t xml:space="preserve"> </w:t>
      </w:r>
      <w:r w:rsidR="00733EFC">
        <w:t>keeping $</w:t>
      </w:r>
      <w:r w:rsidR="003B3055">
        <w:t>150 million</w:t>
      </w:r>
      <w:r w:rsidR="00733EFC">
        <w:t xml:space="preserve"> of profits that they otherwise would have to refund to customers for their electric security plan earnings during 2018 and 2019. </w:t>
      </w:r>
      <w:r w:rsidR="0007661F">
        <w:t>Note that the vast majority of</w:t>
      </w:r>
      <w:r w:rsidR="0007065D">
        <w:t xml:space="preserve"> utility</w:t>
      </w:r>
      <w:r>
        <w:t xml:space="preserve"> customers</w:t>
      </w:r>
      <w:r w:rsidR="0007661F">
        <w:t xml:space="preserve"> are</w:t>
      </w:r>
      <w:r>
        <w:t xml:space="preserve"> not receiving shareholder funding or discounts </w:t>
      </w:r>
      <w:r w:rsidR="0007661F">
        <w:t xml:space="preserve">and yet these very customers are stuck with the bill. </w:t>
      </w:r>
      <w:r w:rsidR="0007065D">
        <w:t>As noted above, these extra customer charges exceed shareholder-provided subsidies by</w:t>
      </w:r>
      <w:r>
        <w:t xml:space="preserve"> a ratio of costs to benefits on the order of 15 to 1</w:t>
      </w:r>
      <w:r w:rsidR="00971086">
        <w:t xml:space="preserve">. </w:t>
      </w:r>
      <w:r>
        <w:t>The shareholder funding</w:t>
      </w:r>
      <w:r w:rsidR="0007065D">
        <w:t>, while sounding beneficial,</w:t>
      </w:r>
      <w:r>
        <w:t xml:space="preserve"> comes at a huge price and th</w:t>
      </w:r>
      <w:r w:rsidR="0007065D">
        <w:t>is</w:t>
      </w:r>
      <w:r>
        <w:t xml:space="preserve"> relatively miniscule (by comparison) benefit</w:t>
      </w:r>
      <w:r w:rsidR="000E6873">
        <w:t xml:space="preserve"> </w:t>
      </w:r>
      <w:r>
        <w:t xml:space="preserve">goes </w:t>
      </w:r>
      <w:r w:rsidR="00887E51">
        <w:t xml:space="preserve">mostly </w:t>
      </w:r>
      <w:r>
        <w:t xml:space="preserve">to </w:t>
      </w:r>
      <w:r w:rsidR="00887E51">
        <w:t xml:space="preserve">just </w:t>
      </w:r>
      <w:r>
        <w:t xml:space="preserve">a handful of </w:t>
      </w:r>
      <w:r w:rsidR="00887E51">
        <w:t xml:space="preserve">large commercial and industrial customers represented by the </w:t>
      </w:r>
      <w:r w:rsidR="00195DB2">
        <w:t>Settlement</w:t>
      </w:r>
      <w:r w:rsidR="00887E51">
        <w:t xml:space="preserve"> signatories</w:t>
      </w:r>
      <w:r w:rsidR="00971086">
        <w:t xml:space="preserve">. </w:t>
      </w:r>
      <w:r>
        <w:br w:type="page"/>
      </w:r>
    </w:p>
    <w:p w:rsidR="008D2661" w:rsidP="00BD0947">
      <w:pPr>
        <w:pStyle w:val="DirectAnswer"/>
        <w:ind w:firstLine="0"/>
      </w:pPr>
      <w:r>
        <w:t xml:space="preserve">In fact, calling it “shareholder funding” at all is misleading. The Settlement, if approved, would result in customers paying DP&amp;L more than $300 million under the </w:t>
      </w:r>
      <w:r w:rsidR="0007661F">
        <w:t xml:space="preserve">stability charge </w:t>
      </w:r>
      <w:r w:rsidR="00BD53DC">
        <w:t>ove</w:t>
      </w:r>
      <w:r>
        <w:t xml:space="preserve">r the next four years. The $30 million in “shareholder funding” is effectively a redistribution of </w:t>
      </w:r>
      <w:r w:rsidR="0007661F">
        <w:t>stability charge revenue</w:t>
      </w:r>
      <w:r>
        <w:t>, paid by all customers, for the benefit of the few customers who signed the Settlement.</w:t>
      </w:r>
    </w:p>
    <w:p w:rsidR="007574FD" w:rsidP="007574FD">
      <w:pPr>
        <w:pStyle w:val="DirectAnswer"/>
        <w:ind w:firstLine="0"/>
      </w:pPr>
    </w:p>
    <w:p w:rsidR="008D2661" w:rsidP="007574FD">
      <w:pPr>
        <w:pStyle w:val="DirectAnswer"/>
        <w:ind w:firstLine="0"/>
      </w:pPr>
      <w:r>
        <w:t xml:space="preserve">Based on witness Schroder’s testimony and the text of the </w:t>
      </w:r>
      <w:r w:rsidR="00195DB2">
        <w:t>Settlement</w:t>
      </w:r>
      <w:r>
        <w:t>, it appears that the funding for low-income customers, special pilot programs</w:t>
      </w:r>
      <w:r w:rsidR="00344F9A">
        <w:t>,</w:t>
      </w:r>
      <w:r>
        <w:t xml:space="preserve"> and even the renewable energy subsidy total to less than $5 million over four years</w:t>
      </w:r>
      <w:r w:rsidR="00971086">
        <w:t xml:space="preserve">. </w:t>
      </w:r>
      <w:r>
        <w:t>Hence, about 80 to 90</w:t>
      </w:r>
      <w:r w:rsidR="00344F9A">
        <w:t>%</w:t>
      </w:r>
      <w:r>
        <w:t xml:space="preserve"> of the shareholder contribution </w:t>
      </w:r>
      <w:r w:rsidR="0007065D">
        <w:t xml:space="preserve">provided in the </w:t>
      </w:r>
      <w:r w:rsidR="00195DB2">
        <w:t>Settlement</w:t>
      </w:r>
      <w:r w:rsidR="0007065D">
        <w:t xml:space="preserve"> </w:t>
      </w:r>
      <w:r>
        <w:t xml:space="preserve">in the form of discounts is directed to those few </w:t>
      </w:r>
      <w:r w:rsidR="0007065D">
        <w:t xml:space="preserve">fortunate </w:t>
      </w:r>
      <w:r>
        <w:t>large commercial/industrial customers</w:t>
      </w:r>
      <w:r w:rsidR="00971086">
        <w:t xml:space="preserve">. </w:t>
      </w:r>
      <w:r>
        <w:t xml:space="preserve">The price </w:t>
      </w:r>
      <w:r w:rsidR="00344F9A">
        <w:t xml:space="preserve">residential </w:t>
      </w:r>
      <w:r>
        <w:t xml:space="preserve">customers must pay through the </w:t>
      </w:r>
      <w:r w:rsidR="00195DB2">
        <w:t>Settlement</w:t>
      </w:r>
      <w:r>
        <w:t xml:space="preserve"> for those discounts to </w:t>
      </w:r>
      <w:r w:rsidR="0007065D">
        <w:t xml:space="preserve">just </w:t>
      </w:r>
      <w:r>
        <w:t xml:space="preserve">a few </w:t>
      </w:r>
      <w:r w:rsidR="00344F9A">
        <w:t xml:space="preserve">select </w:t>
      </w:r>
      <w:r>
        <w:t>customers and other shareholder provided subsidies is simply too high</w:t>
      </w:r>
      <w:r w:rsidR="0007661F">
        <w:t xml:space="preserve"> and is not in the public interest</w:t>
      </w:r>
      <w:r w:rsidR="00971086">
        <w:t xml:space="preserve">. </w:t>
      </w:r>
    </w:p>
    <w:p w:rsidR="00106586" w:rsidP="00C75069">
      <w:pPr>
        <w:pStyle w:val="DirectAnswer"/>
      </w:pPr>
    </w:p>
    <w:p w:rsidR="00FE4029" w:rsidP="007574FD">
      <w:pPr>
        <w:pStyle w:val="DirectAnswer"/>
        <w:ind w:firstLine="0"/>
      </w:pPr>
      <w:r>
        <w:t xml:space="preserve">I conclude that the </w:t>
      </w:r>
      <w:r w:rsidR="00195DB2">
        <w:t>Settlement</w:t>
      </w:r>
      <w:r>
        <w:t>, taken as a whole,</w:t>
      </w:r>
      <w:r>
        <w:t xml:space="preserve"> does not pass the second prong of the PUCO test, it does not benefit customers</w:t>
      </w:r>
      <w:r>
        <w:t>, and it fails to</w:t>
      </w:r>
      <w:r>
        <w:t xml:space="preserve"> provide other material public interest benefits that outweigh its extremely high cost</w:t>
      </w:r>
      <w:r>
        <w:t xml:space="preserve"> to customers</w:t>
      </w:r>
      <w:r w:rsidR="00971086">
        <w:t xml:space="preserve">. </w:t>
      </w:r>
      <w:r>
        <w:t xml:space="preserve">The </w:t>
      </w:r>
      <w:r w:rsidR="00195DB2">
        <w:t>Settlement</w:t>
      </w:r>
      <w:r>
        <w:t xml:space="preserve"> provisions demand</w:t>
      </w:r>
      <w:r w:rsidR="0007065D">
        <w:t>ing</w:t>
      </w:r>
      <w:r>
        <w:t xml:space="preserve"> that the general body of </w:t>
      </w:r>
      <w:r w:rsidR="00344F9A">
        <w:t xml:space="preserve">customers </w:t>
      </w:r>
      <w:r>
        <w:t xml:space="preserve">must </w:t>
      </w:r>
      <w:r>
        <w:t xml:space="preserve">be burdened with the </w:t>
      </w:r>
      <w:r w:rsidR="0007661F">
        <w:t>sta</w:t>
      </w:r>
      <w:r w:rsidR="008E6461">
        <w:t>b</w:t>
      </w:r>
      <w:r w:rsidR="0007661F">
        <w:t>ility charge</w:t>
      </w:r>
      <w:r>
        <w:t xml:space="preserve"> and must forego </w:t>
      </w:r>
      <w:r w:rsidR="0007661F">
        <w:t>over $</w:t>
      </w:r>
      <w:r w:rsidR="008E6461">
        <w:t>150</w:t>
      </w:r>
      <w:r w:rsidR="0007661F">
        <w:t xml:space="preserve"> million in</w:t>
      </w:r>
      <w:r w:rsidR="0007065D">
        <w:t xml:space="preserve"> </w:t>
      </w:r>
      <w:r>
        <w:t xml:space="preserve">SEET refunds that they are entitled to </w:t>
      </w:r>
      <w:r w:rsidR="0007065D">
        <w:t xml:space="preserve">receive </w:t>
      </w:r>
      <w:r>
        <w:t xml:space="preserve">does nothing more than </w:t>
      </w:r>
      <w:r w:rsidR="0007065D">
        <w:t xml:space="preserve">egregiously </w:t>
      </w:r>
      <w:r w:rsidR="00282580">
        <w:t>subsidize AES Corporation’s profits</w:t>
      </w:r>
      <w:r w:rsidR="00971086">
        <w:t xml:space="preserve">. </w:t>
      </w:r>
      <w:r w:rsidR="0007065D">
        <w:t>Those provisions are</w:t>
      </w:r>
      <w:r w:rsidR="00282580">
        <w:t xml:space="preserve"> not needed to </w:t>
      </w:r>
      <w:r w:rsidR="008E6461">
        <w:t xml:space="preserve">ensure </w:t>
      </w:r>
      <w:r w:rsidR="00282580">
        <w:t>DP&amp;L’s financial integrity, credit quality and ability to invest in and maintain the distribution system, as I explained in detail in my October 22 direct testimony</w:t>
      </w:r>
      <w:r w:rsidR="00971086">
        <w:t xml:space="preserve">. </w:t>
      </w:r>
      <w:r w:rsidR="00282580">
        <w:t>DP&amp;L’s financial integrity and credit quality are entirely satisfactory on a stand-alone basis, and the Utility may file distribution base rate cases</w:t>
      </w:r>
      <w:r w:rsidR="0007065D">
        <w:t>,</w:t>
      </w:r>
      <w:r w:rsidR="00282580">
        <w:t xml:space="preserve"> as needed</w:t>
      </w:r>
      <w:r w:rsidR="0007065D">
        <w:t>,</w:t>
      </w:r>
      <w:r w:rsidR="00282580">
        <w:t xml:space="preserve"> to </w:t>
      </w:r>
      <w:r w:rsidR="0007661F">
        <w:t xml:space="preserve">collect from customers its cost of providing necessary utility service with an opportunity to earn </w:t>
      </w:r>
      <w:r w:rsidR="0007065D">
        <w:t xml:space="preserve">a reasonable </w:t>
      </w:r>
      <w:r w:rsidR="0007661F">
        <w:t>profit.</w:t>
      </w:r>
      <w:r w:rsidR="00971086">
        <w:t xml:space="preserve"> </w:t>
      </w:r>
      <w:r w:rsidR="00282580">
        <w:t>The additional $</w:t>
      </w:r>
      <w:r w:rsidR="0007065D">
        <w:t>4</w:t>
      </w:r>
      <w:r w:rsidR="00282580">
        <w:t xml:space="preserve">50 million in </w:t>
      </w:r>
      <w:r w:rsidR="0007661F">
        <w:t>stability charges</w:t>
      </w:r>
      <w:r w:rsidR="00283FC9">
        <w:t xml:space="preserve"> </w:t>
      </w:r>
      <w:r w:rsidR="0007065D">
        <w:t>and</w:t>
      </w:r>
      <w:r w:rsidR="00282580">
        <w:t xml:space="preserve"> foregone SEET re</w:t>
      </w:r>
      <w:r w:rsidR="0007065D">
        <w:t>funds</w:t>
      </w:r>
      <w:r w:rsidR="00282580">
        <w:t xml:space="preserve"> has nothing to do with collection from customers of utility costs</w:t>
      </w:r>
      <w:r w:rsidR="00971086">
        <w:t xml:space="preserve">. </w:t>
      </w:r>
      <w:r w:rsidR="00282580">
        <w:t>The assertion that the R</w:t>
      </w:r>
      <w:r w:rsidR="00C0665E">
        <w:t xml:space="preserve">are </w:t>
      </w:r>
      <w:r w:rsidR="00282580">
        <w:t>S</w:t>
      </w:r>
      <w:r w:rsidR="00C0665E">
        <w:t xml:space="preserve">tabilization </w:t>
      </w:r>
      <w:r w:rsidR="00282580">
        <w:t>C</w:t>
      </w:r>
      <w:r w:rsidR="00C0665E">
        <w:t>harge</w:t>
      </w:r>
      <w:r w:rsidR="00282580">
        <w:t xml:space="preserve"> is needed to </w:t>
      </w:r>
      <w:r w:rsidR="00283FC9">
        <w:t xml:space="preserve">ensure </w:t>
      </w:r>
      <w:r w:rsidR="00282580">
        <w:t xml:space="preserve">the provision of reliable service is not true and </w:t>
      </w:r>
      <w:r w:rsidR="00344F9A">
        <w:t xml:space="preserve">is </w:t>
      </w:r>
      <w:r w:rsidR="00282580">
        <w:t>a red herring</w:t>
      </w:r>
      <w:r w:rsidR="00971086">
        <w:t xml:space="preserve">. </w:t>
      </w:r>
    </w:p>
    <w:p w:rsidR="00FE4029" w:rsidRPr="00FE4029" w:rsidP="00644002">
      <w:pPr>
        <w:pStyle w:val="DirectNext"/>
        <w:spacing w:before="0"/>
      </w:pPr>
    </w:p>
    <w:p w:rsidR="00DE1485" w:rsidP="007574FD">
      <w:pPr>
        <w:pStyle w:val="DirectAnswer"/>
        <w:ind w:firstLine="0"/>
      </w:pPr>
      <w:r>
        <w:t xml:space="preserve">Witness Schroder may be correct that the </w:t>
      </w:r>
      <w:r w:rsidR="00195DB2">
        <w:t>Settlement</w:t>
      </w:r>
      <w:r>
        <w:t>, which appears to extend for four years, may contribute to rate stability,</w:t>
      </w:r>
      <w:r>
        <w:rPr>
          <w:rStyle w:val="FootnoteReference"/>
        </w:rPr>
        <w:footnoteReference w:id="23"/>
      </w:r>
      <w:r>
        <w:t xml:space="preserve"> but it does so only by “stabilizing” customer rates at levels far above the utility cost of service</w:t>
      </w:r>
      <w:r w:rsidR="00971086">
        <w:t xml:space="preserve">. </w:t>
      </w:r>
      <w:r>
        <w:t>That is not a public interest benefit</w:t>
      </w:r>
      <w:r w:rsidR="00971086">
        <w:t xml:space="preserve">. </w:t>
      </w:r>
    </w:p>
    <w:p w:rsidR="002C1E90" w:rsidP="00106586">
      <w:pPr>
        <w:pStyle w:val="DirectNext"/>
        <w:spacing w:before="0"/>
      </w:pPr>
    </w:p>
    <w:p w:rsidR="00684273" w:rsidP="00C75069">
      <w:pPr>
        <w:pStyle w:val="DirectQuestion"/>
      </w:pPr>
      <w:r>
        <w:t>how has witness schroder addressed the third prong of consistency with regulatory principles and practices?</w:t>
      </w:r>
    </w:p>
    <w:p w:rsidR="00502D12" w:rsidP="00C75069">
      <w:pPr>
        <w:pStyle w:val="DirectAnswer"/>
      </w:pPr>
      <w:r>
        <w:rPr>
          <w:b/>
          <w:i/>
        </w:rPr>
        <w:t>A16.</w:t>
      </w:r>
      <w:r>
        <w:rPr>
          <w:b/>
          <w:i/>
        </w:rPr>
        <w:tab/>
      </w:r>
      <w:r w:rsidR="00FE4029">
        <w:t>Her testimony claims it meets this prong by being consistent with a number of policy goals set forth in statutes.</w:t>
      </w:r>
      <w:r>
        <w:rPr>
          <w:rStyle w:val="FootnoteReference"/>
        </w:rPr>
        <w:footnoteReference w:id="24"/>
      </w:r>
      <w:r w:rsidR="000E6873">
        <w:t xml:space="preserve"> </w:t>
      </w:r>
      <w:r w:rsidR="00FE4029">
        <w:t xml:space="preserve">In this regard, she states that the </w:t>
      </w:r>
      <w:r w:rsidR="00195DB2">
        <w:t>Settlement</w:t>
      </w:r>
      <w:r w:rsidR="00FE4029">
        <w:t xml:space="preserve"> </w:t>
      </w:r>
      <w:r w:rsidR="00A5782B">
        <w:t>“</w:t>
      </w:r>
      <w:r w:rsidR="00FE4029">
        <w:t>allows</w:t>
      </w:r>
      <w:r w:rsidR="00A5782B">
        <w:t xml:space="preserve"> DP&amp;L to recover just and reasonable rates</w:t>
      </w:r>
      <w:r w:rsidR="00344F9A">
        <w:t>,</w:t>
      </w:r>
      <w:r w:rsidR="00A5782B">
        <w:t>”</w:t>
      </w:r>
      <w:r>
        <w:rPr>
          <w:rStyle w:val="FootnoteReference"/>
        </w:rPr>
        <w:footnoteReference w:id="25"/>
      </w:r>
      <w:r w:rsidR="00FE4029">
        <w:t xml:space="preserve"> </w:t>
      </w:r>
      <w:r w:rsidR="00A5782B">
        <w:t>provide reliable service at reasonable rates, achieve the various goals associated with the implementation of the S</w:t>
      </w:r>
      <w:r w:rsidR="00C0665E">
        <w:t xml:space="preserve">mart </w:t>
      </w:r>
      <w:r w:rsidR="00A5782B">
        <w:t>G</w:t>
      </w:r>
      <w:r w:rsidR="00C0665E">
        <w:t xml:space="preserve">rid </w:t>
      </w:r>
      <w:r w:rsidR="00A5782B">
        <w:t>P</w:t>
      </w:r>
      <w:r w:rsidR="00C0665E">
        <w:t>lan</w:t>
      </w:r>
      <w:r w:rsidR="00A5782B">
        <w:t>, promote economic development and provide protection for at risk populations (</w:t>
      </w:r>
      <w:r w:rsidRPr="00BD0947" w:rsidR="00A5782B">
        <w:rPr>
          <w:i/>
        </w:rPr>
        <w:t>e.g.</w:t>
      </w:r>
      <w:r w:rsidR="00A5782B">
        <w:t>, low-income assistance and programs)</w:t>
      </w:r>
      <w:r w:rsidR="00971086">
        <w:t xml:space="preserve">. </w:t>
      </w:r>
    </w:p>
    <w:p w:rsidR="009A79F0" w:rsidP="00C75069">
      <w:pPr>
        <w:pStyle w:val="DirectQuestion"/>
      </w:pPr>
      <w:r>
        <w:t xml:space="preserve">what is your response to witness Schoder’s assertions that the </w:t>
      </w:r>
      <w:r w:rsidR="00344F9A">
        <w:t xml:space="preserve">Settlement </w:t>
      </w:r>
      <w:r>
        <w:t>properly addresses the third prong of consistency with regulatory principles and practices?</w:t>
      </w:r>
      <w:r w:rsidR="00011674">
        <w:t xml:space="preserve"> </w:t>
      </w:r>
    </w:p>
    <w:p w:rsidR="0007661F" w:rsidP="00C75069">
      <w:pPr>
        <w:pStyle w:val="DirectAnswer"/>
      </w:pPr>
      <w:r>
        <w:rPr>
          <w:b/>
          <w:i/>
        </w:rPr>
        <w:t>A17.</w:t>
      </w:r>
      <w:r>
        <w:rPr>
          <w:b/>
          <w:i/>
        </w:rPr>
        <w:tab/>
      </w:r>
      <w:r w:rsidR="00A5782B">
        <w:t xml:space="preserve">The </w:t>
      </w:r>
      <w:r w:rsidR="00195DB2">
        <w:t>Settlement</w:t>
      </w:r>
      <w:r w:rsidR="00A5782B">
        <w:t xml:space="preserve"> is inconsistent with accepted regulatory principles and practices in a number of fundamental ways</w:t>
      </w:r>
      <w:r w:rsidR="00971086">
        <w:t xml:space="preserve">. </w:t>
      </w:r>
      <w:r w:rsidR="00D73373">
        <w:t xml:space="preserve">Sound utility </w:t>
      </w:r>
      <w:r w:rsidR="00C0665E">
        <w:t>regulatory</w:t>
      </w:r>
      <w:r w:rsidR="00D73373">
        <w:t xml:space="preserve"> principles, including those used by the PUCO, require the setting of regulated customer rates based on the cost of providing utility service plus a reasonable return on invested equity</w:t>
      </w:r>
      <w:r w:rsidR="00971086">
        <w:t xml:space="preserve">. </w:t>
      </w:r>
      <w:r w:rsidR="00D73373">
        <w:t>Regulatory principles also require that utility customers not pay rates that subsidize non-regulated affiliate activities</w:t>
      </w:r>
      <w:r w:rsidR="00971086">
        <w:t xml:space="preserve">. </w:t>
      </w:r>
      <w:r w:rsidR="00D73373">
        <w:t xml:space="preserve">The </w:t>
      </w:r>
      <w:r w:rsidR="00195DB2">
        <w:t>Settlement</w:t>
      </w:r>
      <w:r w:rsidR="00D73373">
        <w:t xml:space="preserve"> clearly violates these basic regulatory fundamental principles</w:t>
      </w:r>
      <w:r w:rsidR="00971086">
        <w:t xml:space="preserve">. </w:t>
      </w:r>
    </w:p>
    <w:p w:rsidR="007574FD" w:rsidP="007574FD">
      <w:pPr>
        <w:pStyle w:val="DirectAnswer"/>
        <w:ind w:firstLine="0"/>
      </w:pPr>
    </w:p>
    <w:p w:rsidR="00684273" w:rsidP="007574FD">
      <w:pPr>
        <w:pStyle w:val="DirectAnswer"/>
        <w:ind w:firstLine="0"/>
      </w:pPr>
      <w:r>
        <w:t xml:space="preserve">Specifically, the </w:t>
      </w:r>
      <w:r w:rsidR="00195DB2">
        <w:t>Settlement</w:t>
      </w:r>
      <w:r>
        <w:t xml:space="preserve"> approves the continuation of the </w:t>
      </w:r>
      <w:r w:rsidR="0007661F">
        <w:t xml:space="preserve">stability charge </w:t>
      </w:r>
      <w:r>
        <w:t xml:space="preserve">for approximately the next four years, thereby charging utility distribution customers more than $300 million unrelated to any investment or expense incurred by DP&amp;L to provide utility service. The stated purpose of the RSC is to provide a funding source, paid for by utility customers, needed to service the debt of an </w:t>
      </w:r>
      <w:r w:rsidR="007E692B">
        <w:t>unregulated affiliate company—</w:t>
      </w:r>
      <w:r>
        <w:t>DP&amp;L’s parent</w:t>
      </w:r>
      <w:r w:rsidR="00971086">
        <w:t xml:space="preserve">. </w:t>
      </w:r>
      <w:r>
        <w:t>Mr</w:t>
      </w:r>
      <w:r w:rsidR="00971086">
        <w:t>.</w:t>
      </w:r>
      <w:r>
        <w:t xml:space="preserve"> Malinak makes it clear in his April 2020 testimony why the Utility believes this charge is needed</w:t>
      </w:r>
      <w:r w:rsidR="00971086">
        <w:t xml:space="preserve">. </w:t>
      </w:r>
      <w:r w:rsidR="00FB0CD0">
        <w:t>As I made clear in my direct testimony and reemphasize here, the servicing of non-utility debt, totally unrelated to utility service, is not the responsibility of utility customers but rather the ultimate parent, AES Corporation</w:t>
      </w:r>
      <w:r w:rsidR="00971086">
        <w:t xml:space="preserve">. </w:t>
      </w:r>
      <w:r w:rsidR="00FB0CD0">
        <w:t xml:space="preserve">The </w:t>
      </w:r>
      <w:r w:rsidR="00195DB2">
        <w:t>Settlement</w:t>
      </w:r>
      <w:r w:rsidR="00FB0CD0">
        <w:t xml:space="preserve"> simply cannot be reconciled with accepted </w:t>
      </w:r>
      <w:r w:rsidR="00337C25">
        <w:t xml:space="preserve">legitimate </w:t>
      </w:r>
      <w:r w:rsidR="00FB0CD0">
        <w:t>cost of service utility ratemaking principles</w:t>
      </w:r>
      <w:r w:rsidR="007E692B">
        <w:t>.</w:t>
      </w:r>
    </w:p>
    <w:p w:rsidR="00684273" w:rsidP="00B00D64">
      <w:pPr>
        <w:pStyle w:val="DirectNext"/>
        <w:rPr>
          <w:rFonts w:cs="Times New Roman"/>
          <w:szCs w:val="24"/>
        </w:rPr>
      </w:pPr>
      <w:r>
        <w:t xml:space="preserve">Further, the </w:t>
      </w:r>
      <w:r w:rsidR="0001222E">
        <w:t>PUCO previously ruled that the RSC was a provider of last resort charge (“POLR”).</w:t>
      </w:r>
      <w:r>
        <w:rPr>
          <w:rStyle w:val="FootnoteReference"/>
        </w:rPr>
        <w:footnoteReference w:id="26"/>
      </w:r>
      <w:r w:rsidR="0001222E">
        <w:t xml:space="preserve"> When it was originally authorized, DP&amp;L owned power plants that were providing power to DP&amp;L customers. Because DP&amp;L owned the plants, it was able to provide POLR service to customers. </w:t>
      </w:r>
      <w:r w:rsidR="00D012C2">
        <w:t xml:space="preserve">Since the approval of DP&amp;L’s ESP II in 2013, however, DP&amp;L has not been providing POLR service. In the ESP II case, POLR obligations were shifted to the marketers who bid in competitive auctions to supply the standard service offer to DP&amp;L’s customers. Since January 1, 2014, DP&amp;L has procured 100% of the power for standard service through various rounds of competitive auctions. DP&amp;L’s standard service offer rate no longer has any relationship to DP&amp;L’s power plants (which it no longer owns) or its generation rate (because it has no generation and thus no generation rate). Nor does DP&amp;L provide any POLR service. </w:t>
      </w:r>
      <w:r w:rsidRPr="00924A17" w:rsidR="00D012C2">
        <w:rPr>
          <w:rFonts w:cs="Times New Roman"/>
          <w:szCs w:val="24"/>
        </w:rPr>
        <w:t>The PUCO acknowledged</w:t>
      </w:r>
      <w:r w:rsidR="00D012C2">
        <w:rPr>
          <w:rFonts w:cs="Times New Roman"/>
          <w:szCs w:val="24"/>
        </w:rPr>
        <w:t xml:space="preserve"> this when it ruled in DP&amp;L’s first ESP withdrawal </w:t>
      </w:r>
      <w:r w:rsidRPr="00924A17" w:rsidR="00D012C2">
        <w:rPr>
          <w:rFonts w:cs="Times New Roman"/>
          <w:szCs w:val="24"/>
        </w:rPr>
        <w:t>that “POLR service is currently provided by competitive bidding process auction participants</w:t>
      </w:r>
      <w:r w:rsidR="00D012C2">
        <w:rPr>
          <w:rFonts w:cs="Times New Roman"/>
          <w:szCs w:val="24"/>
        </w:rPr>
        <w:t>.</w:t>
      </w:r>
      <w:r w:rsidRPr="00924A17" w:rsidR="00D012C2">
        <w:rPr>
          <w:rFonts w:cs="Times New Roman"/>
          <w:szCs w:val="24"/>
        </w:rPr>
        <w:t>”</w:t>
      </w:r>
      <w:r>
        <w:rPr>
          <w:rStyle w:val="FootnoteReference"/>
          <w:szCs w:val="24"/>
        </w:rPr>
        <w:footnoteReference w:id="27"/>
      </w:r>
    </w:p>
    <w:p w:rsidR="00FE7026" w:rsidP="00FE7026">
      <w:pPr>
        <w:pStyle w:val="DirectNext"/>
        <w:spacing w:before="0"/>
        <w:rPr>
          <w:rFonts w:cs="Times New Roman"/>
          <w:szCs w:val="24"/>
        </w:rPr>
      </w:pPr>
    </w:p>
    <w:p w:rsidR="00647660" w:rsidP="00FE7026">
      <w:pPr>
        <w:pStyle w:val="DirectNext"/>
        <w:spacing w:before="0"/>
        <w:rPr>
          <w:rFonts w:cs="Times New Roman"/>
          <w:bCs w:val="0"/>
          <w:szCs w:val="24"/>
        </w:rPr>
      </w:pPr>
      <w:r>
        <w:rPr>
          <w:rFonts w:cs="Times New Roman"/>
          <w:szCs w:val="24"/>
        </w:rPr>
        <w:t>The Settlement, however, requires customers to keep paying DP&amp;L $79 million a year under the RSC. In other words, customers would be paying DP&amp;L $79 million a year for POLR service that DP&amp;L does not provide. This blatantly violates the most basic regulatory principle that utility customers do not pay their utility for a service that the utility does not provide.</w:t>
      </w:r>
      <w:r>
        <w:rPr>
          <w:rFonts w:cs="Times New Roman"/>
          <w:szCs w:val="24"/>
        </w:rPr>
        <w:br w:type="page"/>
      </w:r>
    </w:p>
    <w:p w:rsidR="00CC695B" w:rsidP="00E66CD7">
      <w:pPr>
        <w:pStyle w:val="DirectNext"/>
        <w:spacing w:before="0"/>
      </w:pPr>
      <w:r>
        <w:t xml:space="preserve">An additional problem is that the </w:t>
      </w:r>
      <w:r w:rsidR="00195DB2">
        <w:t>Settlement</w:t>
      </w:r>
      <w:r>
        <w:t xml:space="preserve"> requires that utility customers forego refunds worth approximately $150 million associated with extreme </w:t>
      </w:r>
      <w:r w:rsidR="008C2E94">
        <w:t>excess</w:t>
      </w:r>
      <w:r>
        <w:t xml:space="preserve"> earnings in 2018 and 2019</w:t>
      </w:r>
      <w:r w:rsidR="00971086">
        <w:t xml:space="preserve">. </w:t>
      </w:r>
      <w:r>
        <w:t>As Dr. Duann demonstrates in his testimony, the Utilit</w:t>
      </w:r>
      <w:r w:rsidR="008C2E94">
        <w:t>y’s</w:t>
      </w:r>
      <w:r>
        <w:t xml:space="preserve"> actual </w:t>
      </w:r>
      <w:r w:rsidR="008C2E94">
        <w:t>ROEs</w:t>
      </w:r>
      <w:r>
        <w:t xml:space="preserve"> in those two years were on the order of about 25</w:t>
      </w:r>
      <w:r w:rsidR="00337C25">
        <w:t>%</w:t>
      </w:r>
      <w:r>
        <w:t xml:space="preserve">, or egregiously in excess of the cost of equity and the </w:t>
      </w:r>
      <w:r w:rsidR="008C2E94">
        <w:t xml:space="preserve">approved </w:t>
      </w:r>
      <w:r>
        <w:t>SEET ROE threshold of 12</w:t>
      </w:r>
      <w:r w:rsidR="00337C25">
        <w:t>%</w:t>
      </w:r>
      <w:r w:rsidR="00971086">
        <w:t xml:space="preserve">. </w:t>
      </w:r>
      <w:r w:rsidR="008C2E94">
        <w:t xml:space="preserve">These high earnings were </w:t>
      </w:r>
      <w:r>
        <w:t xml:space="preserve">largely </w:t>
      </w:r>
      <w:r w:rsidR="008C2E94">
        <w:t xml:space="preserve">the result of </w:t>
      </w:r>
      <w:r>
        <w:t xml:space="preserve">DP&amp;L’s so-called </w:t>
      </w:r>
      <w:r w:rsidR="008C2E94">
        <w:t xml:space="preserve">Distribution Modernization Rider (“DMR”), </w:t>
      </w:r>
      <w:r>
        <w:t>which was terminated in response to the Supreme Court overturning FirstEnergy’s similar charge</w:t>
      </w:r>
      <w:r w:rsidR="006E0C41">
        <w:t xml:space="preserve">. </w:t>
      </w:r>
      <w:r>
        <w:t>Unfortunately, DP&amp;L customers never were refunded for the $</w:t>
      </w:r>
      <w:r w:rsidR="001E0CEE">
        <w:t>21</w:t>
      </w:r>
      <w:r w:rsidR="00C75069">
        <w:t>8</w:t>
      </w:r>
      <w:r>
        <w:t xml:space="preserve"> million</w:t>
      </w:r>
      <w:r>
        <w:rPr>
          <w:rStyle w:val="FootnoteReference"/>
        </w:rPr>
        <w:footnoteReference w:id="28"/>
      </w:r>
      <w:r>
        <w:t xml:space="preserve"> they paid to DP&amp;L be</w:t>
      </w:r>
      <w:r w:rsidR="00C75069">
        <w:t>fore the charge was terminated.</w:t>
      </w:r>
    </w:p>
    <w:p w:rsidR="00CC695B" w:rsidP="00E66CD7">
      <w:pPr>
        <w:pStyle w:val="DirectNext"/>
        <w:spacing w:before="0"/>
      </w:pPr>
    </w:p>
    <w:p w:rsidR="00CC695B" w:rsidP="00E66CD7">
      <w:pPr>
        <w:pStyle w:val="DirectNext"/>
        <w:spacing w:before="0"/>
      </w:pPr>
      <w:r>
        <w:t xml:space="preserve">The </w:t>
      </w:r>
      <w:r w:rsidR="00195DB2">
        <w:t>Settlement</w:t>
      </w:r>
      <w:r>
        <w:t xml:space="preserve"> </w:t>
      </w:r>
      <w:r>
        <w:t>would harm customers on</w:t>
      </w:r>
      <w:r w:rsidR="00C0665E">
        <w:t>ce</w:t>
      </w:r>
      <w:r>
        <w:t xml:space="preserve"> again by not providing refund to customers when the refunds are required under Ohio law</w:t>
      </w:r>
      <w:r w:rsidR="006E0C41">
        <w:t xml:space="preserve">. </w:t>
      </w:r>
      <w:r>
        <w:t xml:space="preserve">This </w:t>
      </w:r>
      <w:r>
        <w:t xml:space="preserve">effectively sanctions DP&amp;L (and its parent AES Corporation) retaining </w:t>
      </w:r>
      <w:r w:rsidR="008C2E94">
        <w:t xml:space="preserve">these improper </w:t>
      </w:r>
      <w:r>
        <w:t>monopoly profits</w:t>
      </w:r>
      <w:r w:rsidR="00971086">
        <w:t xml:space="preserve">. </w:t>
      </w:r>
    </w:p>
    <w:p w:rsidR="00CC695B" w:rsidP="00E66CD7">
      <w:pPr>
        <w:pStyle w:val="DirectNext"/>
        <w:spacing w:before="0"/>
      </w:pPr>
    </w:p>
    <w:p w:rsidR="00647660" w:rsidP="00647660">
      <w:pPr>
        <w:pStyle w:val="DirectNext"/>
        <w:spacing w:before="0"/>
        <w:rPr>
          <w:bCs w:val="0"/>
        </w:rPr>
      </w:pPr>
      <w:r>
        <w:t>Regulatory principles require the setting of rates and utility compensation so as to avoid undue monopoly profits</w:t>
      </w:r>
      <w:r w:rsidR="00971086">
        <w:t xml:space="preserve">. </w:t>
      </w:r>
      <w:r w:rsidR="00CC695B">
        <w:t>In Ohio</w:t>
      </w:r>
      <w:r w:rsidR="007E692B">
        <w:t>,</w:t>
      </w:r>
      <w:r w:rsidR="00CC695B">
        <w:t xml:space="preserve"> utilities, through electric security plans, can have excessive earnings, just not significantly excessive earnings</w:t>
      </w:r>
      <w:r w:rsidR="006E0C41">
        <w:t xml:space="preserve">. </w:t>
      </w:r>
      <w:r w:rsidR="00CC695B">
        <w:t>In 2018 and 2019, DP&amp;L’s earnings were significantly excessive and should be refunded to customers consistent with Ohio law</w:t>
      </w:r>
      <w:r w:rsidR="006E0C41">
        <w:t xml:space="preserve">. </w:t>
      </w:r>
      <w:r>
        <w:t xml:space="preserve">The </w:t>
      </w:r>
      <w:r w:rsidR="00195DB2">
        <w:t>Settlement</w:t>
      </w:r>
      <w:r>
        <w:t xml:space="preserve"> violates that principle</w:t>
      </w:r>
      <w:r w:rsidR="00971086">
        <w:t xml:space="preserve">. </w:t>
      </w:r>
      <w:r>
        <w:br w:type="page"/>
      </w:r>
    </w:p>
    <w:p w:rsidR="007F0D26" w:rsidP="00E66CD7">
      <w:pPr>
        <w:pStyle w:val="DirectNext"/>
        <w:spacing w:before="0"/>
      </w:pPr>
      <w:r>
        <w:t>Moreover, while witness Schroder at least attempts to justify the retention of the R</w:t>
      </w:r>
      <w:r w:rsidR="00C0665E">
        <w:t xml:space="preserve">ate </w:t>
      </w:r>
      <w:r>
        <w:t>S</w:t>
      </w:r>
      <w:r w:rsidR="00C0665E">
        <w:t xml:space="preserve">tabilization </w:t>
      </w:r>
      <w:r>
        <w:t>C</w:t>
      </w:r>
      <w:r w:rsidR="00C0665E">
        <w:t>harge</w:t>
      </w:r>
      <w:r>
        <w:t xml:space="preserve"> for four years on the grounds that it fosters reliable service (and of course it does not), her testimony does not even seek to support or justify the </w:t>
      </w:r>
      <w:r w:rsidR="00195DB2">
        <w:t>Settlement</w:t>
      </w:r>
      <w:r>
        <w:t xml:space="preserve"> provision that requires the forfeiting of </w:t>
      </w:r>
      <w:r w:rsidR="008C2E94">
        <w:t xml:space="preserve">these </w:t>
      </w:r>
      <w:r>
        <w:t>customer refunds</w:t>
      </w:r>
      <w:r w:rsidR="007E692B">
        <w:t>.</w:t>
      </w:r>
    </w:p>
    <w:p w:rsidR="00502D12" w:rsidP="007F0D26">
      <w:pPr>
        <w:pStyle w:val="DirectNext"/>
        <w:spacing w:before="0"/>
        <w:rPr>
          <w:bCs w:val="0"/>
        </w:rPr>
      </w:pPr>
    </w:p>
    <w:p w:rsidR="009A79F0" w:rsidP="00C75069">
      <w:pPr>
        <w:pStyle w:val="DirectQuestion"/>
      </w:pPr>
      <w:r>
        <w:t>what do you conclude regarding the third prong concerning adherence to accepted regulatory principles and practices?</w:t>
      </w:r>
    </w:p>
    <w:p w:rsidR="007574FD" w:rsidP="00647660">
      <w:pPr>
        <w:pStyle w:val="DirectAnswer"/>
        <w:rPr>
          <w:b/>
          <w:bCs w:val="0"/>
          <w:i/>
        </w:rPr>
      </w:pPr>
      <w:r>
        <w:rPr>
          <w:b/>
          <w:i/>
        </w:rPr>
        <w:t>A18.</w:t>
      </w:r>
      <w:r>
        <w:rPr>
          <w:b/>
          <w:i/>
        </w:rPr>
        <w:tab/>
      </w:r>
      <w:r w:rsidR="00E66CD7">
        <w:t xml:space="preserve">The </w:t>
      </w:r>
      <w:r w:rsidR="00195DB2">
        <w:t>Settlement</w:t>
      </w:r>
      <w:r w:rsidR="00E66CD7">
        <w:t xml:space="preserve"> fails this prong as it is not consistent with the principles that utility rates should be based on the reasonable and necessary costs of providing utility service and avoiding und</w:t>
      </w:r>
      <w:r w:rsidR="008C2E94">
        <w:t>ue</w:t>
      </w:r>
      <w:r w:rsidR="00E66CD7">
        <w:t xml:space="preserve"> or unreasonable </w:t>
      </w:r>
      <w:r w:rsidR="008C2E94">
        <w:t>monopoly</w:t>
      </w:r>
      <w:r w:rsidR="00E66CD7">
        <w:t xml:space="preserve"> profits</w:t>
      </w:r>
      <w:r w:rsidR="00971086">
        <w:t xml:space="preserve">. </w:t>
      </w:r>
      <w:r w:rsidR="00830A3E">
        <w:t>I</w:t>
      </w:r>
      <w:r w:rsidR="00E66CD7">
        <w:t>t is an accepted regulatory principle that customer utility rates should not be set for the purpose of funding or subsidizing an unregulated affiliate of the utility</w:t>
      </w:r>
      <w:r w:rsidR="00971086">
        <w:t xml:space="preserve">. </w:t>
      </w:r>
      <w:r w:rsidR="00E66CD7">
        <w:t xml:space="preserve">The </w:t>
      </w:r>
      <w:r w:rsidR="00195DB2">
        <w:t>Settlement</w:t>
      </w:r>
      <w:r w:rsidR="00E66CD7">
        <w:t xml:space="preserve"> does just that, and therefore must be rejected under the </w:t>
      </w:r>
      <w:r w:rsidR="00337C25">
        <w:t xml:space="preserve">PUCO’s </w:t>
      </w:r>
      <w:r w:rsidR="00E66CD7">
        <w:t>third prong</w:t>
      </w:r>
      <w:r w:rsidR="00971086">
        <w:t xml:space="preserve">. </w:t>
      </w:r>
      <w:r w:rsidR="00E66CD7">
        <w:t xml:space="preserve">The fact that the </w:t>
      </w:r>
      <w:r w:rsidR="00195DB2">
        <w:t>Settlement</w:t>
      </w:r>
      <w:r w:rsidR="00E66CD7">
        <w:t xml:space="preserve"> seems to have garnered support from certain intervening parties by providing some shareholder subsidized rate discounts to a few select customers</w:t>
      </w:r>
      <w:r w:rsidR="000E482F">
        <w:t xml:space="preserve"> and certain customer-funded cash and cash equivalent payments</w:t>
      </w:r>
      <w:r w:rsidR="00E66CD7">
        <w:t xml:space="preserve">, does not salvage the validity of the </w:t>
      </w:r>
      <w:r w:rsidR="00195DB2">
        <w:t>Settlement</w:t>
      </w:r>
      <w:r w:rsidR="00971086">
        <w:t xml:space="preserve">. </w:t>
      </w:r>
      <w:r>
        <w:rPr>
          <w:b/>
          <w:i/>
        </w:rPr>
        <w:br w:type="page"/>
      </w:r>
    </w:p>
    <w:p w:rsidR="00E66CD7" w:rsidRPr="00E66CD7" w:rsidP="007C3F3F">
      <w:pPr>
        <w:pStyle w:val="Heading1"/>
        <w:rPr>
          <w:rFonts w:hint="eastAsia"/>
        </w:rPr>
      </w:pPr>
      <w:bookmarkStart w:id="19" w:name="_Toc59107217"/>
      <w:r>
        <w:t>ADDITIONAL ANALYSIS OF THE ISSUES</w:t>
      </w:r>
      <w:bookmarkEnd w:id="19"/>
    </w:p>
    <w:p w:rsidR="00502D12" w:rsidP="007F0D26">
      <w:pPr>
        <w:pStyle w:val="DirectNext"/>
        <w:spacing w:before="0"/>
      </w:pPr>
    </w:p>
    <w:p w:rsidR="009A79F0" w:rsidP="00C75069">
      <w:pPr>
        <w:pStyle w:val="DirectQuestion"/>
      </w:pPr>
      <w:r>
        <w:t xml:space="preserve">your testimony states that the </w:t>
      </w:r>
      <w:r w:rsidR="00337C25">
        <w:t xml:space="preserve">SETTLEMENT </w:t>
      </w:r>
      <w:r>
        <w:t>would improperly impose a cost burden on utility customers of about $450 million</w:t>
      </w:r>
      <w:r w:rsidR="00971086">
        <w:t xml:space="preserve">. </w:t>
      </w:r>
      <w:r>
        <w:t>how is that figure calculated?</w:t>
      </w:r>
    </w:p>
    <w:p w:rsidR="00C8678B" w:rsidP="00C75069">
      <w:pPr>
        <w:pStyle w:val="DirectAnswer"/>
      </w:pPr>
      <w:r>
        <w:rPr>
          <w:b/>
          <w:i/>
        </w:rPr>
        <w:t>A19.</w:t>
      </w:r>
      <w:r>
        <w:rPr>
          <w:b/>
          <w:i/>
        </w:rPr>
        <w:tab/>
      </w:r>
      <w:r>
        <w:t xml:space="preserve">Witness Malinak in his April testimony states that the cost of the </w:t>
      </w:r>
      <w:r w:rsidR="00CC695B">
        <w:t xml:space="preserve">stability charge </w:t>
      </w:r>
      <w:r>
        <w:t>is about $79 million per year or $314 million for four years, 2020 – 2023</w:t>
      </w:r>
      <w:r w:rsidR="00971086">
        <w:t xml:space="preserve">. </w:t>
      </w:r>
      <w:r>
        <w:t xml:space="preserve">The </w:t>
      </w:r>
      <w:r w:rsidR="00195DB2">
        <w:t>Settlement</w:t>
      </w:r>
      <w:r>
        <w:t xml:space="preserve"> affirms the R</w:t>
      </w:r>
      <w:r w:rsidR="000E482F">
        <w:t xml:space="preserve">ate </w:t>
      </w:r>
      <w:r>
        <w:t>S</w:t>
      </w:r>
      <w:r w:rsidR="000E482F">
        <w:t xml:space="preserve">tabilization </w:t>
      </w:r>
      <w:r>
        <w:t>C</w:t>
      </w:r>
      <w:r w:rsidR="000E482F">
        <w:t>harge</w:t>
      </w:r>
      <w:r>
        <w:t xml:space="preserve"> and retains it until ESP I is replaced, which likely would be in late 2024</w:t>
      </w:r>
      <w:r w:rsidR="00971086">
        <w:t xml:space="preserve">. </w:t>
      </w:r>
      <w:r>
        <w:t xml:space="preserve">I base this on the requirement in the </w:t>
      </w:r>
      <w:r w:rsidR="00195DB2">
        <w:t>Settlement</w:t>
      </w:r>
      <w:r>
        <w:t xml:space="preserve"> to submit a new ESP application by October 1, 2023, and the assumption that based on past experience the case would not be resolved through a PUCO final order until at least a year after filing, or late 2024</w:t>
      </w:r>
      <w:r w:rsidR="00971086">
        <w:t xml:space="preserve">. </w:t>
      </w:r>
      <w:r>
        <w:t>This is nearly an additional year beyond Mr. Malinak’s study</w:t>
      </w:r>
      <w:r w:rsidR="00971086">
        <w:t xml:space="preserve">. </w:t>
      </w:r>
      <w:r>
        <w:t xml:space="preserve">However, in calculating the </w:t>
      </w:r>
      <w:r w:rsidR="00337C25">
        <w:t xml:space="preserve">consumer </w:t>
      </w:r>
      <w:r>
        <w:t xml:space="preserve">rate burden of the </w:t>
      </w:r>
      <w:r w:rsidR="00195DB2">
        <w:t>Settlement</w:t>
      </w:r>
      <w:r>
        <w:t xml:space="preserve">, I exclude the 2020 charges as those charges presumably would not be governed by the </w:t>
      </w:r>
      <w:r w:rsidR="00195DB2">
        <w:t>Settlement</w:t>
      </w:r>
      <w:r w:rsidR="00971086">
        <w:t xml:space="preserve">. </w:t>
      </w:r>
      <w:r>
        <w:t xml:space="preserve">Thus, while the RSC charges imposed by the </w:t>
      </w:r>
      <w:r w:rsidR="00195DB2">
        <w:t>Settlement</w:t>
      </w:r>
      <w:r>
        <w:t xml:space="preserve"> cannot be calculated precisely, nearly four years at $79 million per year total to roughly $300 million or slightly more.</w:t>
      </w:r>
    </w:p>
    <w:p w:rsidR="008D2661" w:rsidP="00644002">
      <w:pPr>
        <w:pStyle w:val="DirectNext"/>
        <w:spacing w:before="0"/>
      </w:pPr>
    </w:p>
    <w:p w:rsidR="009A79F0" w:rsidP="007574FD">
      <w:pPr>
        <w:pStyle w:val="DirectAnswer"/>
        <w:ind w:firstLine="0"/>
      </w:pPr>
      <w:r>
        <w:t>The refund</w:t>
      </w:r>
      <w:r w:rsidR="00182276">
        <w:t>s due to consumers</w:t>
      </w:r>
      <w:r w:rsidR="00D012C2">
        <w:t xml:space="preserve"> </w:t>
      </w:r>
      <w:r>
        <w:t>are quantified in Dr. Duann’s testimony</w:t>
      </w:r>
      <w:r w:rsidR="00971086">
        <w:t xml:space="preserve">. </w:t>
      </w:r>
      <w:r>
        <w:t xml:space="preserve">They total $62.9 million for 2018 and </w:t>
      </w:r>
      <w:r w:rsidR="00602FB2">
        <w:t>$87.7 million for 2019, or a total of $150.6 million</w:t>
      </w:r>
      <w:r w:rsidR="00971086">
        <w:t xml:space="preserve">. </w:t>
      </w:r>
      <w:r w:rsidR="00602FB2">
        <w:t>These large refunds are the result o</w:t>
      </w:r>
      <w:r w:rsidR="00182276">
        <w:t xml:space="preserve">r DP&amp;L earnings from its electric security plan that allowed it to earn profits of </w:t>
      </w:r>
      <w:r w:rsidR="00602FB2">
        <w:t>24.6 percent in 2018 and 26.7 percent in 2019</w:t>
      </w:r>
      <w:r w:rsidR="007E692B">
        <w:t>.</w:t>
      </w:r>
      <w:r>
        <w:rPr>
          <w:rStyle w:val="FootnoteReference"/>
        </w:rPr>
        <w:footnoteReference w:id="29"/>
      </w:r>
      <w:r w:rsidR="000E6873">
        <w:t xml:space="preserve"> </w:t>
      </w:r>
      <w:r w:rsidR="00602FB2">
        <w:t>The</w:t>
      </w:r>
      <w:r w:rsidR="00182276">
        <w:t xml:space="preserve"> cost to consumers would include the</w:t>
      </w:r>
      <w:r w:rsidR="00602FB2">
        <w:t xml:space="preserve"> sum of the roughly $300 million in RSC going forward charges and a foregone refund of $151 million total</w:t>
      </w:r>
      <w:r w:rsidR="00182276">
        <w:t xml:space="preserve"> (in other words</w:t>
      </w:r>
      <w:r w:rsidR="00602FB2">
        <w:t xml:space="preserve"> $450 million</w:t>
      </w:r>
      <w:r w:rsidR="00182276">
        <w:t>)</w:t>
      </w:r>
      <w:r w:rsidR="007E692B">
        <w:t>.</w:t>
      </w:r>
      <w:r w:rsidR="00971086">
        <w:t xml:space="preserve"> </w:t>
      </w:r>
      <w:r w:rsidR="00602FB2">
        <w:t>If the 2020 R</w:t>
      </w:r>
      <w:r w:rsidR="000E482F">
        <w:t xml:space="preserve">ate </w:t>
      </w:r>
      <w:r w:rsidR="00602FB2">
        <w:t>S</w:t>
      </w:r>
      <w:r w:rsidR="000E482F">
        <w:t>tabilization</w:t>
      </w:r>
      <w:r w:rsidR="00602FB2">
        <w:t xml:space="preserve"> charges were to be included, the cost burden for DP&amp;L customers would be over $500 million, or about $1,000 per retail customer</w:t>
      </w:r>
      <w:r w:rsidR="00971086">
        <w:t xml:space="preserve">. </w:t>
      </w:r>
    </w:p>
    <w:p w:rsidR="00106586" w:rsidRPr="00106586" w:rsidP="00106586">
      <w:pPr>
        <w:pStyle w:val="DirectNext"/>
        <w:spacing w:before="0"/>
      </w:pPr>
    </w:p>
    <w:p w:rsidR="009A79F0" w:rsidP="00C75069">
      <w:pPr>
        <w:pStyle w:val="DirectQuestion"/>
      </w:pPr>
      <w:r>
        <w:t>Witness schroder discusses the economic activity benefits of the s</w:t>
      </w:r>
      <w:r w:rsidR="007E692B">
        <w:t>MART GRID PLAN</w:t>
      </w:r>
      <w:r>
        <w:t xml:space="preserve"> in her testimony in connection with the PUCO’s three-prong test</w:t>
      </w:r>
      <w:r w:rsidR="00971086">
        <w:t xml:space="preserve">. </w:t>
      </w:r>
      <w:r>
        <w:t>does the $450 million cost burden also have economic activity implications?</w:t>
      </w:r>
    </w:p>
    <w:p w:rsidR="00684273" w:rsidP="00C75069">
      <w:pPr>
        <w:pStyle w:val="DirectAnswer"/>
      </w:pPr>
      <w:r w:rsidRPr="007574FD">
        <w:rPr>
          <w:b/>
          <w:i/>
        </w:rPr>
        <w:t>A20.</w:t>
      </w:r>
      <w:r w:rsidR="007574FD">
        <w:tab/>
      </w:r>
      <w:r w:rsidR="00602FB2">
        <w:t>Absolutely</w:t>
      </w:r>
      <w:r w:rsidR="00971086">
        <w:t xml:space="preserve">. </w:t>
      </w:r>
      <w:r w:rsidR="00602FB2">
        <w:t xml:space="preserve">Witness Schroder seeks to defend the </w:t>
      </w:r>
      <w:r w:rsidR="00195DB2">
        <w:t>Settlement</w:t>
      </w:r>
      <w:r w:rsidR="00602FB2">
        <w:t xml:space="preserve"> as being in the public interest by citing to study results claiming that the large capital investment and other expenditures on the S</w:t>
      </w:r>
      <w:r>
        <w:t xml:space="preserve">mart </w:t>
      </w:r>
      <w:r w:rsidR="00602FB2">
        <w:t>G</w:t>
      </w:r>
      <w:r>
        <w:t xml:space="preserve">rid </w:t>
      </w:r>
      <w:r w:rsidR="00602FB2">
        <w:t>P</w:t>
      </w:r>
      <w:r>
        <w:t>lan</w:t>
      </w:r>
      <w:r w:rsidR="00602FB2">
        <w:t xml:space="preserve"> will stimulate job creation and </w:t>
      </w:r>
      <w:r w:rsidR="00294697">
        <w:t xml:space="preserve">regional </w:t>
      </w:r>
      <w:r w:rsidR="00602FB2">
        <w:t>economic activity expansion that will be as large as about $400 million over a 20-year study period</w:t>
      </w:r>
      <w:r w:rsidR="00971086">
        <w:t xml:space="preserve">. </w:t>
      </w:r>
      <w:r w:rsidR="00294697">
        <w:t xml:space="preserve">While I cannot confirm the $400 million estimate, </w:t>
      </w:r>
      <w:r w:rsidR="00602FB2">
        <w:t>I agree that a large utility investment program</w:t>
      </w:r>
      <w:r w:rsidR="00294697">
        <w:t xml:space="preserve"> will stimulate job creation and economic activity over time unless that program is displacing other investment spending</w:t>
      </w:r>
      <w:r w:rsidR="00971086">
        <w:t xml:space="preserve">. </w:t>
      </w:r>
      <w:r w:rsidR="00294697">
        <w:t xml:space="preserve">As I stated earlier, it is very questionable whether this should be attributed to the </w:t>
      </w:r>
      <w:r w:rsidR="00195DB2">
        <w:t>Settlement</w:t>
      </w:r>
      <w:r w:rsidR="00294697">
        <w:t xml:space="preserve">, unless </w:t>
      </w:r>
      <w:r w:rsidR="006046AF">
        <w:t xml:space="preserve">one </w:t>
      </w:r>
      <w:r w:rsidR="00294697">
        <w:t>assumes that there could be no S</w:t>
      </w:r>
      <w:r>
        <w:t xml:space="preserve">mart </w:t>
      </w:r>
      <w:r w:rsidR="00294697">
        <w:t>G</w:t>
      </w:r>
      <w:r>
        <w:t xml:space="preserve">rid </w:t>
      </w:r>
      <w:r w:rsidR="00294697">
        <w:t>P</w:t>
      </w:r>
      <w:r>
        <w:t>lan</w:t>
      </w:r>
      <w:r w:rsidR="00294697">
        <w:t xml:space="preserve"> absent this specific </w:t>
      </w:r>
      <w:r w:rsidR="00195DB2">
        <w:t>Settlement</w:t>
      </w:r>
      <w:r w:rsidR="00294697">
        <w:t>, which does not seem to be a reasonable assumption</w:t>
      </w:r>
      <w:r w:rsidR="00971086">
        <w:t xml:space="preserve">. </w:t>
      </w:r>
    </w:p>
    <w:p w:rsidR="00684273" w:rsidP="00C75069">
      <w:pPr>
        <w:pStyle w:val="DirectAnswer"/>
      </w:pPr>
    </w:p>
    <w:p w:rsidR="007E692B" w:rsidP="007E692B">
      <w:pPr>
        <w:pStyle w:val="DirectAnswer"/>
        <w:ind w:firstLine="0"/>
      </w:pPr>
      <w:r>
        <w:t>In any case, these economic activity benefits cannot in any</w:t>
      </w:r>
      <w:r w:rsidR="00830A3E">
        <w:t xml:space="preserve"> </w:t>
      </w:r>
      <w:r>
        <w:t xml:space="preserve">way justify the $450 million cost burden on customers imposed by the </w:t>
      </w:r>
      <w:r w:rsidR="00195DB2">
        <w:t>Settlement</w:t>
      </w:r>
      <w:r w:rsidR="00971086">
        <w:t xml:space="preserve">. </w:t>
      </w:r>
      <w:r>
        <w:t xml:space="preserve">For one thing, the </w:t>
      </w:r>
      <w:r w:rsidR="00195DB2">
        <w:t>Settlement</w:t>
      </w:r>
      <w:r>
        <w:t xml:space="preserve"> could be modified and vastly improved by merely removing these two burdensome provisions</w:t>
      </w:r>
      <w:r w:rsidR="00971086">
        <w:t xml:space="preserve">. </w:t>
      </w:r>
      <w:r>
        <w:t xml:space="preserve">Moreover, imposing an added cost of $450 million on customers serves to depress local economic activity offsetting or more than offsetting the SGP </w:t>
      </w:r>
      <w:r w:rsidR="006046AF">
        <w:t xml:space="preserve">modeled </w:t>
      </w:r>
      <w:r>
        <w:t xml:space="preserve">economic </w:t>
      </w:r>
      <w:r w:rsidR="006046AF">
        <w:t xml:space="preserve">activity </w:t>
      </w:r>
      <w:r>
        <w:t>gains</w:t>
      </w:r>
      <w:r w:rsidR="00971086">
        <w:t xml:space="preserve">. </w:t>
      </w:r>
    </w:p>
    <w:p w:rsidR="007E692B" w:rsidRPr="007E692B" w:rsidP="007E692B">
      <w:pPr>
        <w:pStyle w:val="DirectNext"/>
      </w:pPr>
    </w:p>
    <w:p w:rsidR="009A79F0" w:rsidP="00C75069">
      <w:pPr>
        <w:pStyle w:val="DirectQuestion"/>
      </w:pPr>
      <w:r>
        <w:t>please explain why the r</w:t>
      </w:r>
      <w:r w:rsidR="000E482F">
        <w:t xml:space="preserve">ate </w:t>
      </w:r>
      <w:r>
        <w:t>s</w:t>
      </w:r>
      <w:r w:rsidR="000E482F">
        <w:t xml:space="preserve">tabilization </w:t>
      </w:r>
      <w:r>
        <w:t>c</w:t>
      </w:r>
      <w:r w:rsidR="000E482F">
        <w:t>harge</w:t>
      </w:r>
      <w:r>
        <w:t xml:space="preserve"> and the refund prohibition provision depress economic activity in the dp&amp;l service area.</w:t>
      </w:r>
    </w:p>
    <w:p w:rsidR="00684273" w:rsidP="00C75069">
      <w:pPr>
        <w:pStyle w:val="DirectAnswer"/>
      </w:pPr>
      <w:r w:rsidRPr="007574FD">
        <w:rPr>
          <w:b/>
          <w:i/>
        </w:rPr>
        <w:t>A21</w:t>
      </w:r>
      <w:r w:rsidR="007574FD">
        <w:t>.</w:t>
      </w:r>
      <w:r w:rsidR="007574FD">
        <w:tab/>
      </w:r>
      <w:r w:rsidR="00294697">
        <w:t>The rates that DP&amp;L charges affect the cost of living for residents a</w:t>
      </w:r>
      <w:r w:rsidR="006046AF">
        <w:t>s well as</w:t>
      </w:r>
      <w:r w:rsidR="00294697">
        <w:t xml:space="preserve"> the cost of doing business for commercial and industrial establishments in the Utility’s service area</w:t>
      </w:r>
      <w:r w:rsidR="00971086">
        <w:t xml:space="preserve">. </w:t>
      </w:r>
      <w:r w:rsidR="00294697">
        <w:t>For residents, their assigned share of the $450 million serve</w:t>
      </w:r>
      <w:r w:rsidR="006046AF">
        <w:t>s</w:t>
      </w:r>
      <w:r w:rsidR="00294697">
        <w:t xml:space="preserve"> to reduce their disposable incomes which will have the effect of reducing </w:t>
      </w:r>
      <w:r w:rsidR="00482C0B">
        <w:t xml:space="preserve">household spending on </w:t>
      </w:r>
      <w:r w:rsidR="000E6873">
        <w:t>locally provided</w:t>
      </w:r>
      <w:r w:rsidR="00482C0B">
        <w:t xml:space="preserve"> goods and services</w:t>
      </w:r>
      <w:r w:rsidR="00971086">
        <w:t xml:space="preserve">. </w:t>
      </w:r>
      <w:r w:rsidR="00482C0B">
        <w:t xml:space="preserve">Thus, local business will experience this as a demand reduction thereby </w:t>
      </w:r>
      <w:r w:rsidR="006046AF">
        <w:t xml:space="preserve">adversely </w:t>
      </w:r>
      <w:r w:rsidR="00482C0B">
        <w:t>affecting local hiring and investment</w:t>
      </w:r>
      <w:r w:rsidR="00971086">
        <w:t xml:space="preserve">. </w:t>
      </w:r>
      <w:r w:rsidR="00482C0B">
        <w:t>This demand and spending reduction will have a “multiplier effect” on regional economic activity</w:t>
      </w:r>
      <w:r w:rsidR="00971086">
        <w:t xml:space="preserve">. </w:t>
      </w:r>
      <w:r w:rsidR="00482C0B">
        <w:t>Local businesses paying the R</w:t>
      </w:r>
      <w:r>
        <w:t xml:space="preserve">ate </w:t>
      </w:r>
      <w:r w:rsidR="00482C0B">
        <w:t>S</w:t>
      </w:r>
      <w:r>
        <w:t xml:space="preserve">tabilization </w:t>
      </w:r>
      <w:r w:rsidR="00482C0B">
        <w:t>C</w:t>
      </w:r>
      <w:r>
        <w:t>harge</w:t>
      </w:r>
      <w:r w:rsidR="00482C0B">
        <w:t xml:space="preserve"> or foregoing the refunds will experience this as an increase in their cost of doing business</w:t>
      </w:r>
      <w:r w:rsidR="00971086">
        <w:t xml:space="preserve">. </w:t>
      </w:r>
      <w:r w:rsidR="00482C0B">
        <w:t>They may respond by raising prices</w:t>
      </w:r>
      <w:r w:rsidR="006046AF">
        <w:t xml:space="preserve"> for their goods and services</w:t>
      </w:r>
      <w:r w:rsidR="00482C0B">
        <w:t xml:space="preserve"> (further reducing the disposable income of area residents</w:t>
      </w:r>
      <w:r w:rsidR="000E6873">
        <w:t>) or</w:t>
      </w:r>
      <w:r w:rsidR="00482C0B">
        <w:t xml:space="preserve"> a</w:t>
      </w:r>
      <w:r w:rsidR="006046AF">
        <w:t>ccepting a</w:t>
      </w:r>
      <w:r w:rsidR="00482C0B">
        <w:t xml:space="preserve"> reduction in profits as they absorb the higher costs</w:t>
      </w:r>
      <w:r w:rsidR="00971086">
        <w:t xml:space="preserve">. </w:t>
      </w:r>
      <w:r w:rsidR="00482C0B">
        <w:t>Lower business income is likely to translate into reduced spending by those businesses and those that own those businesses</w:t>
      </w:r>
      <w:r w:rsidR="00971086">
        <w:t xml:space="preserve">. </w:t>
      </w:r>
      <w:r w:rsidR="00482C0B">
        <w:t>This further contributes to the economic activity loss</w:t>
      </w:r>
      <w:r w:rsidR="00971086">
        <w:t xml:space="preserve">. </w:t>
      </w:r>
      <w:r w:rsidR="00482C0B">
        <w:t>It is also possible that this could affect the decisions of businesses to locate in the DP&amp;L service area</w:t>
      </w:r>
      <w:r w:rsidR="00971086">
        <w:t xml:space="preserve">. </w:t>
      </w:r>
      <w:r w:rsidR="00830A3E">
        <w:t>I</w:t>
      </w:r>
      <w:r w:rsidR="00482C0B">
        <w:t>t is certainly plausible that</w:t>
      </w:r>
      <w:r w:rsidR="00830A3E">
        <w:t xml:space="preserve"> the negative economic impacts of this $450 million subsidy are</w:t>
      </w:r>
      <w:r w:rsidR="00482C0B">
        <w:t xml:space="preserve"> as large as the claimed 20-year $400 million referenced by witness Schroder</w:t>
      </w:r>
      <w:r w:rsidR="00971086">
        <w:t xml:space="preserve">. </w:t>
      </w:r>
    </w:p>
    <w:p w:rsidR="007E692B" w:rsidRPr="007E692B" w:rsidP="007E692B">
      <w:pPr>
        <w:pStyle w:val="DirectNext"/>
      </w:pPr>
    </w:p>
    <w:p w:rsidR="00DD7E01" w:rsidP="00C75069">
      <w:pPr>
        <w:pStyle w:val="DirectQuestion"/>
      </w:pPr>
      <w:r>
        <w:t>are the s</w:t>
      </w:r>
      <w:r w:rsidR="000E482F">
        <w:t xml:space="preserve">mart </w:t>
      </w:r>
      <w:r>
        <w:t>g</w:t>
      </w:r>
      <w:r w:rsidR="000E482F">
        <w:t xml:space="preserve">rid </w:t>
      </w:r>
      <w:r>
        <w:t>p</w:t>
      </w:r>
      <w:r w:rsidR="000E482F">
        <w:t>lan</w:t>
      </w:r>
      <w:r>
        <w:t xml:space="preserve"> benefits claimed by witness schroder part of the m</w:t>
      </w:r>
      <w:r w:rsidR="000E482F">
        <w:t xml:space="preserve">ore </w:t>
      </w:r>
      <w:r>
        <w:t>f</w:t>
      </w:r>
      <w:r w:rsidR="000E482F">
        <w:t xml:space="preserve">avorable in the </w:t>
      </w:r>
      <w:r>
        <w:t>a</w:t>
      </w:r>
      <w:r w:rsidR="000E482F">
        <w:t>ggregate</w:t>
      </w:r>
      <w:r>
        <w:t xml:space="preserve"> statutory test that purportedly supports the continuation of esp i under the </w:t>
      </w:r>
      <w:r w:rsidR="00337C25">
        <w:t>Settlement</w:t>
      </w:r>
      <w:r>
        <w:t>?</w:t>
      </w:r>
    </w:p>
    <w:p w:rsidR="006E47B8" w:rsidP="00C75069">
      <w:pPr>
        <w:pStyle w:val="DirectAnswer"/>
      </w:pPr>
      <w:r>
        <w:rPr>
          <w:b/>
          <w:i/>
        </w:rPr>
        <w:t>A22.</w:t>
      </w:r>
      <w:r>
        <w:rPr>
          <w:b/>
          <w:i/>
        </w:rPr>
        <w:tab/>
      </w:r>
      <w:r w:rsidR="00062377">
        <w:t>No, my understanding is the S</w:t>
      </w:r>
      <w:r w:rsidR="000E482F">
        <w:t xml:space="preserve">mart </w:t>
      </w:r>
      <w:r w:rsidR="00062377">
        <w:t>G</w:t>
      </w:r>
      <w:r w:rsidR="000E482F">
        <w:t xml:space="preserve">rid </w:t>
      </w:r>
      <w:r w:rsidR="00062377">
        <w:t>P</w:t>
      </w:r>
      <w:r w:rsidR="000E482F">
        <w:t>lan</w:t>
      </w:r>
      <w:r w:rsidR="00062377">
        <w:t xml:space="preserve">, while a major part of the </w:t>
      </w:r>
      <w:r w:rsidR="00195DB2">
        <w:t>Settlement</w:t>
      </w:r>
      <w:r w:rsidR="00062377">
        <w:t>, is not part of the ESP I continuation review and therefore those claimed benefits are not part of the Utility’s statutory MFA test</w:t>
      </w:r>
      <w:r w:rsidR="006E0C41">
        <w:t xml:space="preserve">. </w:t>
      </w:r>
      <w:r>
        <w:t>This makes sense because the continuation review is supposed to be looking at the electric security plan, including its “then existing pricing and al</w:t>
      </w:r>
      <w:r w:rsidR="007E692B">
        <w:t xml:space="preserve">l other terms and conditions.” </w:t>
      </w:r>
      <w:r w:rsidR="00062377">
        <w:t>I believe that witness Schroder makes that clear when stating that for the ESP I continuation support, she and DP&amp;L are relying solely on witness Malinak’s April direct testimony</w:t>
      </w:r>
      <w:r w:rsidR="00971086">
        <w:t xml:space="preserve">. </w:t>
      </w:r>
    </w:p>
    <w:p w:rsidR="007574FD" w:rsidP="007574FD">
      <w:pPr>
        <w:pStyle w:val="DirectAnswer"/>
        <w:ind w:firstLine="0"/>
      </w:pPr>
    </w:p>
    <w:p w:rsidR="007574FD" w:rsidRPr="007574FD" w:rsidP="007574FD">
      <w:pPr>
        <w:pStyle w:val="DirectAnswer"/>
        <w:ind w:firstLine="0"/>
      </w:pPr>
      <w:r>
        <w:t xml:space="preserve">As summarized earlier, </w:t>
      </w:r>
      <w:r w:rsidR="006E47B8">
        <w:t xml:space="preserve">Mr. Malinak’s </w:t>
      </w:r>
      <w:r>
        <w:t>“proof” that ESP I prevails under that test is his surmising that under the alternative MRO</w:t>
      </w:r>
      <w:r w:rsidR="007E692B">
        <w:t>,</w:t>
      </w:r>
      <w:r>
        <w:t xml:space="preserve"> the PUCO would somehow impose a F</w:t>
      </w:r>
      <w:r w:rsidR="000E482F">
        <w:t xml:space="preserve">inancial </w:t>
      </w:r>
      <w:r>
        <w:t>I</w:t>
      </w:r>
      <w:r w:rsidR="000E482F">
        <w:t xml:space="preserve">ncentive </w:t>
      </w:r>
      <w:r>
        <w:t>C</w:t>
      </w:r>
      <w:r w:rsidR="000E482F">
        <w:t>harge</w:t>
      </w:r>
      <w:r>
        <w:t xml:space="preserve"> even larger than the R</w:t>
      </w:r>
      <w:r w:rsidR="000E482F">
        <w:t xml:space="preserve">ate </w:t>
      </w:r>
      <w:r>
        <w:t>S</w:t>
      </w:r>
      <w:r w:rsidR="000E482F">
        <w:t xml:space="preserve">tabilization </w:t>
      </w:r>
      <w:r>
        <w:t>C</w:t>
      </w:r>
      <w:r w:rsidR="000E482F">
        <w:t>harge</w:t>
      </w:r>
      <w:r w:rsidR="00971086">
        <w:t xml:space="preserve">. </w:t>
      </w:r>
      <w:r>
        <w:t xml:space="preserve">Such speculation is not remotely realistic as I believe </w:t>
      </w:r>
      <w:r w:rsidR="0072541A">
        <w:t>even,</w:t>
      </w:r>
      <w:r>
        <w:t xml:space="preserve"> he realizes, as he </w:t>
      </w:r>
      <w:r w:rsidR="006046AF">
        <w:t>argues</w:t>
      </w:r>
      <w:r>
        <w:t xml:space="preserve"> that this massive F</w:t>
      </w:r>
      <w:r w:rsidR="000E482F">
        <w:t xml:space="preserve">inancial </w:t>
      </w:r>
      <w:r>
        <w:t>I</w:t>
      </w:r>
      <w:r w:rsidR="000E482F">
        <w:t xml:space="preserve">ncentive </w:t>
      </w:r>
      <w:r>
        <w:t>C</w:t>
      </w:r>
      <w:r w:rsidR="000E482F">
        <w:t>harge</w:t>
      </w:r>
      <w:r>
        <w:t xml:space="preserve"> that he hypothesizes would be </w:t>
      </w:r>
      <w:r w:rsidR="006046AF">
        <w:t>“</w:t>
      </w:r>
      <w:r>
        <w:t>bypassable</w:t>
      </w:r>
      <w:r w:rsidR="00337C25">
        <w:t>,</w:t>
      </w:r>
      <w:r w:rsidR="006046AF">
        <w:t>”</w:t>
      </w:r>
      <w:r>
        <w:t xml:space="preserve"> and therefore </w:t>
      </w:r>
      <w:r w:rsidR="006046AF">
        <w:t xml:space="preserve">would </w:t>
      </w:r>
      <w:r>
        <w:t xml:space="preserve">not </w:t>
      </w:r>
      <w:r w:rsidR="006046AF">
        <w:t xml:space="preserve">be </w:t>
      </w:r>
      <w:r>
        <w:t>financially feasible</w:t>
      </w:r>
      <w:r w:rsidR="00971086">
        <w:t xml:space="preserve">. </w:t>
      </w:r>
      <w:r w:rsidR="00A2129A">
        <w:t>As mentioned earlier and discussed in my October direct testimony, a key reason why Mr. Malinak reaches his conclusion that a R</w:t>
      </w:r>
      <w:r w:rsidR="000E482F">
        <w:t xml:space="preserve">ate </w:t>
      </w:r>
      <w:r w:rsidR="00A2129A">
        <w:t>S</w:t>
      </w:r>
      <w:r w:rsidR="000E482F">
        <w:t xml:space="preserve">tabilization </w:t>
      </w:r>
      <w:r w:rsidR="00A2129A">
        <w:t>C</w:t>
      </w:r>
      <w:r w:rsidR="000E482F">
        <w:t>harge</w:t>
      </w:r>
      <w:r w:rsidR="00A2129A">
        <w:t xml:space="preserve"> (or F</w:t>
      </w:r>
      <w:r w:rsidR="000E482F">
        <w:t xml:space="preserve">inancial </w:t>
      </w:r>
      <w:r w:rsidR="00A2129A">
        <w:t>I</w:t>
      </w:r>
      <w:r w:rsidR="000E482F">
        <w:t xml:space="preserve">ncentive </w:t>
      </w:r>
      <w:r w:rsidR="00A2129A">
        <w:t>C</w:t>
      </w:r>
      <w:r w:rsidR="000E482F">
        <w:t>harge</w:t>
      </w:r>
      <w:r w:rsidR="00A2129A">
        <w:t xml:space="preserve">) is even needed is that he assumes away the possibility of a </w:t>
      </w:r>
      <w:r w:rsidR="008026EA">
        <w:t xml:space="preserve">distribution </w:t>
      </w:r>
      <w:r w:rsidR="00A2129A">
        <w:t>base rate case</w:t>
      </w:r>
      <w:r w:rsidR="00971086">
        <w:t xml:space="preserve">. </w:t>
      </w:r>
      <w:r w:rsidR="00A2129A">
        <w:t xml:space="preserve">That </w:t>
      </w:r>
      <w:r w:rsidR="008026EA">
        <w:t xml:space="preserve">assumption </w:t>
      </w:r>
      <w:r w:rsidR="00A2129A">
        <w:t xml:space="preserve">is no longer in any way </w:t>
      </w:r>
      <w:r w:rsidR="008026EA">
        <w:t>defensible (if it ever was)</w:t>
      </w:r>
      <w:r w:rsidR="00A2129A">
        <w:t xml:space="preserve"> since on November 30, 2020</w:t>
      </w:r>
      <w:r w:rsidR="00830A3E">
        <w:t>,</w:t>
      </w:r>
      <w:r w:rsidR="00A2129A">
        <w:t xml:space="preserve"> the Utility filed an application to increase its base distribution rates by $120.8 million, an increase that would substantially alter Mr. Malinak’s </w:t>
      </w:r>
      <w:r w:rsidR="008026EA">
        <w:t xml:space="preserve">financial </w:t>
      </w:r>
      <w:r w:rsidR="00A2129A">
        <w:t>analysis.</w:t>
      </w:r>
      <w:r>
        <w:rPr>
          <w:rStyle w:val="FootnoteReference"/>
        </w:rPr>
        <w:footnoteReference w:id="30"/>
      </w:r>
      <w:r w:rsidR="007E692B">
        <w:t xml:space="preserve"> </w:t>
      </w:r>
      <w:r w:rsidR="00B56EFE">
        <w:t>This means that Mr. Malinak’s financial modeling assumptions for DP&amp;L are incorrect, and that the revenue, cash flow, earnings and credit metrics would be far stronger than his projections due to this additional base rate case revenue</w:t>
      </w:r>
      <w:r w:rsidR="006E0C41">
        <w:t xml:space="preserve">. </w:t>
      </w:r>
      <w:r w:rsidR="00B56EFE">
        <w:t xml:space="preserve">This greatly weakens his financial need case for the continuation of the RSC and his unwarranted assumption that under an MRO the PUCO would award a </w:t>
      </w:r>
      <w:r w:rsidR="007E692B">
        <w:t>Financial Integrity Charge</w:t>
      </w:r>
      <w:r w:rsidR="00B56EFE">
        <w:t xml:space="preserve"> of any kind, let alone larger than the RSC.</w:t>
      </w:r>
    </w:p>
    <w:p w:rsidR="007574FD" w:rsidP="007574FD">
      <w:pPr>
        <w:pStyle w:val="DirectAnswer"/>
        <w:ind w:firstLine="0"/>
      </w:pPr>
    </w:p>
    <w:p w:rsidR="00647660" w:rsidP="00647660">
      <w:pPr>
        <w:pStyle w:val="DirectAnswer"/>
        <w:ind w:firstLine="0"/>
        <w:rPr>
          <w:bCs w:val="0"/>
        </w:rPr>
      </w:pPr>
      <w:r>
        <w:t xml:space="preserve">Aside from whether the financial modeling can even support his </w:t>
      </w:r>
      <w:r w:rsidR="008026EA">
        <w:t>M</w:t>
      </w:r>
      <w:r w:rsidR="00661BE5">
        <w:t xml:space="preserve">ore </w:t>
      </w:r>
      <w:r w:rsidR="008026EA">
        <w:t>F</w:t>
      </w:r>
      <w:r w:rsidR="00661BE5">
        <w:t xml:space="preserve">avorable in the </w:t>
      </w:r>
      <w:r w:rsidR="008026EA">
        <w:t>A</w:t>
      </w:r>
      <w:r w:rsidR="00661BE5">
        <w:t>ggregate</w:t>
      </w:r>
      <w:r w:rsidR="008026EA">
        <w:t xml:space="preserve"> test </w:t>
      </w:r>
      <w:r>
        <w:t xml:space="preserve">finding, </w:t>
      </w:r>
      <w:r w:rsidR="00062377">
        <w:t>the purpose of the R</w:t>
      </w:r>
      <w:r w:rsidR="00661BE5">
        <w:t xml:space="preserve">ate </w:t>
      </w:r>
      <w:r w:rsidR="00062377">
        <w:t>S</w:t>
      </w:r>
      <w:r w:rsidR="00661BE5">
        <w:t xml:space="preserve">tabilization </w:t>
      </w:r>
      <w:r w:rsidR="00062377">
        <w:t>C</w:t>
      </w:r>
      <w:r w:rsidR="00661BE5">
        <w:t>harge</w:t>
      </w:r>
      <w:r w:rsidR="00062377">
        <w:t>, as Mr. Malinak makes clear in his testimony, is to provide a funding source for the DPL, Inc. non-utility debt service</w:t>
      </w:r>
      <w:r w:rsidR="00971086">
        <w:t xml:space="preserve">. </w:t>
      </w:r>
      <w:r w:rsidR="00062377">
        <w:t>As I have explained, that debt service is the responsibility of AES Corporatio</w:t>
      </w:r>
      <w:r w:rsidR="007E692B">
        <w:t>n which is the sole owner of DP</w:t>
      </w:r>
      <w:r w:rsidR="00062377">
        <w:t>L</w:t>
      </w:r>
      <w:r w:rsidR="007E692B">
        <w:t>, Inc.</w:t>
      </w:r>
      <w:r w:rsidR="00971086">
        <w:t xml:space="preserve"> </w:t>
      </w:r>
      <w:r w:rsidR="00062377">
        <w:t xml:space="preserve">AES Corporation can and will address this financial problem, but only if the PUCO makes clear that it is not the responsibility of DP&amp;L and its </w:t>
      </w:r>
      <w:r w:rsidR="00661BE5">
        <w:t xml:space="preserve">distribution utility </w:t>
      </w:r>
      <w:r w:rsidR="00062377">
        <w:t xml:space="preserve">customers by rejecting this </w:t>
      </w:r>
      <w:r w:rsidR="00195DB2">
        <w:t>Settlement</w:t>
      </w:r>
      <w:r w:rsidR="00971086">
        <w:t xml:space="preserve">. </w:t>
      </w:r>
      <w:r w:rsidR="00062377">
        <w:t xml:space="preserve">Approving the </w:t>
      </w:r>
      <w:r w:rsidR="00195DB2">
        <w:t>Settlement</w:t>
      </w:r>
      <w:r w:rsidR="00062377">
        <w:t xml:space="preserve"> removes AES Corporation’s incentive to take any remedial action as its profit maximizing behavior would be simply let</w:t>
      </w:r>
      <w:r w:rsidR="00661BE5">
        <w:t>ting</w:t>
      </w:r>
      <w:r w:rsidR="00062377">
        <w:t xml:space="preserve"> </w:t>
      </w:r>
      <w:r w:rsidR="008026EA">
        <w:t xml:space="preserve">DP&amp;L </w:t>
      </w:r>
      <w:r w:rsidR="00337C25">
        <w:t xml:space="preserve">customers </w:t>
      </w:r>
      <w:r w:rsidR="00062377">
        <w:t>fund it.</w:t>
      </w:r>
      <w:r w:rsidR="005616C6">
        <w:t xml:space="preserve"> </w:t>
      </w:r>
      <w:r>
        <w:br w:type="page"/>
      </w:r>
    </w:p>
    <w:p w:rsidR="00DD7E01" w:rsidP="00C75069">
      <w:pPr>
        <w:pStyle w:val="DirectQuestion"/>
      </w:pPr>
      <w:r>
        <w:t xml:space="preserve">what is aes corporation’s role and obligation under the </w:t>
      </w:r>
      <w:r w:rsidR="00337C25">
        <w:t>SETTLEMENT</w:t>
      </w:r>
      <w:r>
        <w:t>?</w:t>
      </w:r>
      <w:r w:rsidR="00F03AFF">
        <w:t xml:space="preserve"> </w:t>
      </w:r>
    </w:p>
    <w:p w:rsidR="004029FB" w:rsidP="00C75069">
      <w:pPr>
        <w:pStyle w:val="DirectAnswer"/>
      </w:pPr>
      <w:r>
        <w:rPr>
          <w:b/>
          <w:i/>
        </w:rPr>
        <w:t>A23.</w:t>
      </w:r>
      <w:r>
        <w:rPr>
          <w:b/>
          <w:i/>
        </w:rPr>
        <w:tab/>
      </w:r>
      <w:r w:rsidR="005616C6">
        <w:t>None whatsoever</w:t>
      </w:r>
      <w:r w:rsidR="00971086">
        <w:t xml:space="preserve">. </w:t>
      </w:r>
      <w:r w:rsidR="005616C6">
        <w:t xml:space="preserve">AES Corporation is not obligated under the </w:t>
      </w:r>
      <w:r w:rsidR="00195DB2">
        <w:t>Settlement</w:t>
      </w:r>
      <w:r w:rsidR="005616C6">
        <w:t xml:space="preserve"> to do anything</w:t>
      </w:r>
      <w:r w:rsidR="00971086">
        <w:t xml:space="preserve">. </w:t>
      </w:r>
      <w:r w:rsidR="005616C6">
        <w:t xml:space="preserve">Its role, as far as I can tell, is to enjoy the massive </w:t>
      </w:r>
      <w:r w:rsidR="00337C25">
        <w:t>captive customer</w:t>
      </w:r>
      <w:r w:rsidR="00661BE5">
        <w:t>-</w:t>
      </w:r>
      <w:r w:rsidR="00337C25">
        <w:t xml:space="preserve">funded </w:t>
      </w:r>
      <w:r w:rsidR="005616C6">
        <w:t xml:space="preserve">profits that this </w:t>
      </w:r>
      <w:r w:rsidR="00195DB2">
        <w:t>Settlement</w:t>
      </w:r>
      <w:r w:rsidR="005616C6">
        <w:t xml:space="preserve"> provides to DP&amp;L, profits that at the end of the day belong to AES Corporation, the entity that through its business decisions provided the basis for the R</w:t>
      </w:r>
      <w:r w:rsidR="00661BE5">
        <w:t xml:space="preserve">ate </w:t>
      </w:r>
      <w:r w:rsidR="005616C6">
        <w:t>S</w:t>
      </w:r>
      <w:r w:rsidR="00661BE5">
        <w:t xml:space="preserve">tabilization </w:t>
      </w:r>
      <w:r w:rsidR="005616C6">
        <w:t>C</w:t>
      </w:r>
      <w:r w:rsidR="00661BE5">
        <w:t>harges</w:t>
      </w:r>
      <w:r w:rsidR="005616C6">
        <w:t xml:space="preserve"> continuation request</w:t>
      </w:r>
      <w:r w:rsidR="00971086">
        <w:t xml:space="preserve">. </w:t>
      </w:r>
      <w:r w:rsidR="005616C6">
        <w:t xml:space="preserve">Moreover, while the </w:t>
      </w:r>
      <w:r w:rsidR="00195DB2">
        <w:t>Settlement</w:t>
      </w:r>
      <w:r w:rsidR="005616C6">
        <w:t xml:space="preserve"> does provide </w:t>
      </w:r>
      <w:r w:rsidR="008026EA">
        <w:t>R</w:t>
      </w:r>
      <w:r w:rsidR="00661BE5">
        <w:t xml:space="preserve">ate </w:t>
      </w:r>
      <w:r w:rsidR="008026EA">
        <w:t>S</w:t>
      </w:r>
      <w:r w:rsidR="00661BE5">
        <w:t>tabilization</w:t>
      </w:r>
      <w:r w:rsidR="008026EA">
        <w:t xml:space="preserve"> </w:t>
      </w:r>
      <w:r w:rsidR="005616C6">
        <w:t>funds to enable the servicing of the DPL, Inc. non-utility debt</w:t>
      </w:r>
      <w:r w:rsidR="008026EA">
        <w:t xml:space="preserve"> by utility ratepayers</w:t>
      </w:r>
      <w:r w:rsidR="005616C6">
        <w:t>, it is far from clear that it solves any problem on a permanent basis</w:t>
      </w:r>
      <w:r w:rsidR="00971086">
        <w:t xml:space="preserve">. </w:t>
      </w:r>
      <w:r w:rsidR="005616C6">
        <w:t>According to the most recent DPL,</w:t>
      </w:r>
      <w:r w:rsidR="00971086">
        <w:t xml:space="preserve"> </w:t>
      </w:r>
      <w:r w:rsidR="005616C6">
        <w:t xml:space="preserve">Inc./DP&amp;L SEC Form 10-Q, DPL, Inc. has about $900 million of </w:t>
      </w:r>
      <w:r w:rsidR="008026EA">
        <w:t xml:space="preserve">non-utility </w:t>
      </w:r>
      <w:r w:rsidR="005616C6">
        <w:t>debt on its balance sheet.</w:t>
      </w:r>
      <w:r>
        <w:rPr>
          <w:rStyle w:val="FootnoteReference"/>
        </w:rPr>
        <w:footnoteReference w:id="31"/>
      </w:r>
      <w:r w:rsidR="00971086">
        <w:t xml:space="preserve"> </w:t>
      </w:r>
      <w:r w:rsidR="00A2129A">
        <w:t xml:space="preserve">No plan has been presented for extinguishing that debt, and it is therefore likely to remain a problem at the end of the four-year term of this </w:t>
      </w:r>
      <w:r w:rsidR="00195DB2">
        <w:t>Settlement</w:t>
      </w:r>
      <w:r w:rsidR="00971086">
        <w:t xml:space="preserve">. </w:t>
      </w:r>
      <w:r w:rsidR="00A2129A">
        <w:t xml:space="preserve">Hence, the </w:t>
      </w:r>
      <w:r w:rsidR="00195DB2">
        <w:t>Settlement</w:t>
      </w:r>
      <w:r w:rsidR="00A2129A">
        <w:t xml:space="preserve"> merely kicks the can down the road</w:t>
      </w:r>
      <w:r w:rsidR="00971086">
        <w:t xml:space="preserve">. </w:t>
      </w:r>
      <w:r w:rsidR="00A2129A">
        <w:t>It should be rejected</w:t>
      </w:r>
      <w:r w:rsidR="00971086">
        <w:t xml:space="preserve">. </w:t>
      </w:r>
    </w:p>
    <w:p w:rsidR="00BF50D2" w:rsidP="00C75069">
      <w:pPr>
        <w:pStyle w:val="DirectAnswer"/>
      </w:pPr>
    </w:p>
    <w:p w:rsidR="0040476D" w:rsidP="00C75069">
      <w:pPr>
        <w:pStyle w:val="DirectQuestion"/>
      </w:pPr>
      <w:r>
        <w:t xml:space="preserve">does </w:t>
      </w:r>
      <w:r w:rsidR="00A2129A">
        <w:t>this conclude your supplemental direct testimony?</w:t>
      </w:r>
    </w:p>
    <w:p w:rsidR="00EC0998" w:rsidP="00C75069">
      <w:pPr>
        <w:pStyle w:val="DirectAnswer"/>
        <w:sectPr w:rsidSect="00011674">
          <w:headerReference w:type="even" r:id="rId10"/>
          <w:headerReference w:type="default" r:id="rId11"/>
          <w:footerReference w:type="default" r:id="rId12"/>
          <w:headerReference w:type="first" r:id="rId13"/>
          <w:type w:val="continuous"/>
          <w:pgSz w:w="12240" w:h="15840"/>
          <w:pgMar w:top="1440" w:right="1440" w:bottom="1440" w:left="1440" w:header="720" w:footer="720" w:gutter="0"/>
          <w:lnNumType w:countBy="1"/>
          <w:pgNumType w:start="1"/>
          <w:cols w:space="720"/>
          <w:docGrid w:linePitch="360"/>
        </w:sectPr>
      </w:pPr>
      <w:r>
        <w:rPr>
          <w:b/>
          <w:i/>
        </w:rPr>
        <w:t>A24.</w:t>
      </w:r>
      <w:r>
        <w:rPr>
          <w:b/>
          <w:i/>
        </w:rPr>
        <w:tab/>
      </w:r>
      <w:r w:rsidR="00F03AFF">
        <w:t>Yes, it does.</w:t>
      </w:r>
      <w:r w:rsidR="00011674">
        <w:t xml:space="preserve"> </w:t>
      </w:r>
    </w:p>
    <w:p w:rsidR="004D7915" w:rsidRPr="000C0AA3" w:rsidP="004D7915">
      <w:pPr>
        <w:pStyle w:val="BodyText"/>
        <w:jc w:val="center"/>
        <w:rPr>
          <w:b/>
          <w:u w:val="single"/>
        </w:rPr>
      </w:pPr>
      <w:r w:rsidRPr="000C0AA3">
        <w:rPr>
          <w:b/>
          <w:u w:val="single"/>
        </w:rPr>
        <w:t>CERTIFICATE OF SERVICE</w:t>
      </w:r>
    </w:p>
    <w:p w:rsidR="004D7915" w:rsidP="004D7915">
      <w:pPr>
        <w:spacing w:before="240" w:line="480" w:lineRule="auto"/>
        <w:ind w:firstLine="720"/>
      </w:pPr>
      <w:r w:rsidRPr="000C0AA3">
        <w:t xml:space="preserve">I hereby certify that a true copy of the foregoing </w:t>
      </w:r>
      <w:r w:rsidRPr="00647660" w:rsidR="00F03AFF">
        <w:rPr>
          <w:i/>
          <w:iCs/>
        </w:rPr>
        <w:t xml:space="preserve">Supplemental </w:t>
      </w:r>
      <w:r w:rsidRPr="00647660">
        <w:rPr>
          <w:i/>
          <w:iCs/>
        </w:rPr>
        <w:t>Direct Testimony of Matthew I. Kahal on Behalf of the Office of the Ohio Consumers’ Counsel</w:t>
      </w:r>
      <w:r>
        <w:rPr>
          <w:i/>
        </w:rPr>
        <w:t xml:space="preserve">, </w:t>
      </w:r>
      <w:r w:rsidRPr="000C0AA3">
        <w:t xml:space="preserve">was served via electronic transmission to the persons listed below on this </w:t>
      </w:r>
      <w:r w:rsidR="00F03AFF">
        <w:t>1</w:t>
      </w:r>
      <w:r w:rsidR="007574FD">
        <w:t>7</w:t>
      </w:r>
      <w:r w:rsidR="00F03AFF">
        <w:t>th</w:t>
      </w:r>
      <w:r>
        <w:t xml:space="preserve"> </w:t>
      </w:r>
      <w:r w:rsidRPr="000C0AA3">
        <w:t xml:space="preserve">day of </w:t>
      </w:r>
      <w:r w:rsidR="00F03AFF">
        <w:t>Dece</w:t>
      </w:r>
      <w:r w:rsidR="00971086">
        <w:t>m</w:t>
      </w:r>
      <w:r w:rsidR="00F03AFF">
        <w:t>ber</w:t>
      </w:r>
      <w:r>
        <w:t xml:space="preserve"> </w:t>
      </w:r>
      <w:r w:rsidRPr="000C0AA3">
        <w:t>20</w:t>
      </w:r>
      <w:r>
        <w:t>20</w:t>
      </w:r>
      <w:r w:rsidRPr="000C0AA3">
        <w:t>.</w:t>
      </w:r>
    </w:p>
    <w:p w:rsidR="004D7915" w:rsidRPr="00313C56" w:rsidP="004D7915">
      <w:pPr>
        <w:tabs>
          <w:tab w:val="left" w:pos="4320"/>
        </w:tabs>
        <w:spacing w:before="240"/>
        <w:ind w:left="4320"/>
      </w:pPr>
      <w:r w:rsidRPr="00313C56">
        <w:rPr>
          <w:i/>
          <w:u w:val="single"/>
        </w:rPr>
        <w:t xml:space="preserve">/s/ </w:t>
      </w:r>
      <w:r>
        <w:rPr>
          <w:i/>
          <w:u w:val="single"/>
        </w:rPr>
        <w:t>Christopher Healey</w:t>
      </w:r>
      <w:r w:rsidRPr="00313C56">
        <w:rPr>
          <w:i/>
          <w:u w:val="single"/>
        </w:rPr>
        <w:tab/>
      </w:r>
      <w:r w:rsidRPr="00313C56">
        <w:rPr>
          <w:i/>
          <w:u w:val="single"/>
        </w:rPr>
        <w:tab/>
      </w:r>
    </w:p>
    <w:p w:rsidR="004D7915" w:rsidRPr="00313C56" w:rsidP="004D7915">
      <w:pPr>
        <w:tabs>
          <w:tab w:val="left" w:pos="4320"/>
        </w:tabs>
      </w:pPr>
      <w:r w:rsidRPr="00313C56">
        <w:tab/>
      </w:r>
      <w:r>
        <w:t>Christopher Healey</w:t>
      </w:r>
    </w:p>
    <w:p w:rsidR="004D7915" w:rsidP="004D7915">
      <w:pPr>
        <w:tabs>
          <w:tab w:val="left" w:pos="4320"/>
        </w:tabs>
      </w:pPr>
      <w:r w:rsidRPr="00313C56">
        <w:tab/>
        <w:t>Assistant Consumers’ Counsel</w:t>
      </w:r>
    </w:p>
    <w:p w:rsidR="009A3401" w:rsidRPr="00313C56" w:rsidP="004D7915">
      <w:pPr>
        <w:tabs>
          <w:tab w:val="left" w:pos="4320"/>
        </w:tabs>
      </w:pPr>
    </w:p>
    <w:p w:rsidR="005052FC" w:rsidP="005052FC">
      <w:r>
        <w:t>The PUCO’s e-filing system will electronically serve notice of the filing of this document on the following parties:</w:t>
      </w:r>
    </w:p>
    <w:p w:rsidR="005052FC" w:rsidRPr="00AE69F4" w:rsidP="005052FC">
      <w:pPr>
        <w:tabs>
          <w:tab w:val="left" w:pos="-720"/>
        </w:tabs>
        <w:suppressAutoHyphens/>
        <w:spacing w:line="240" w:lineRule="atLeast"/>
        <w:jc w:val="center"/>
        <w:rPr>
          <w:b/>
          <w:color w:val="000000"/>
          <w:u w:val="single"/>
        </w:rPr>
      </w:pPr>
    </w:p>
    <w:p w:rsidR="005052FC" w:rsidRPr="00AE69F4" w:rsidP="005052FC">
      <w:pPr>
        <w:jc w:val="center"/>
        <w:rPr>
          <w:b/>
          <w:u w:val="single"/>
        </w:rPr>
      </w:pPr>
      <w:r w:rsidRPr="00AE69F4">
        <w:rPr>
          <w:b/>
          <w:u w:val="single"/>
        </w:rPr>
        <w:t>SERVICE LIST</w:t>
      </w:r>
    </w:p>
    <w:p w:rsidR="005052FC" w:rsidP="005052FC">
      <w:pPr>
        <w:pStyle w:val="CommentText"/>
        <w:jc w:val="center"/>
        <w:rPr>
          <w:b/>
          <w:sz w:val="24"/>
          <w:szCs w:val="24"/>
          <w:u w:val="single"/>
        </w:rPr>
      </w:pPr>
    </w:p>
    <w:tbl>
      <w:tblPr>
        <w:tblW w:w="0" w:type="auto"/>
        <w:tblLook w:val="04A0"/>
      </w:tblPr>
      <w:tblGrid>
        <w:gridCol w:w="4428"/>
        <w:gridCol w:w="4428"/>
      </w:tblGrid>
      <w:tr w:rsidTr="00804B16">
        <w:tblPrEx>
          <w:tblW w:w="0" w:type="auto"/>
          <w:tblLook w:val="04A0"/>
        </w:tblPrEx>
        <w:tc>
          <w:tcPr>
            <w:tcW w:w="4428" w:type="dxa"/>
          </w:tcPr>
          <w:p w:rsidR="005052FC" w:rsidP="00804B16">
            <w:pPr>
              <w:pStyle w:val="BodyText"/>
              <w:spacing w:after="0"/>
            </w:pPr>
            <w:r>
              <w:t>Case No. 18-1875-EL-GRD, et al.</w:t>
            </w:r>
          </w:p>
          <w:p w:rsidR="005052FC" w:rsidP="00804B16">
            <w:pPr>
              <w:pStyle w:val="BodyText"/>
              <w:spacing w:after="0"/>
            </w:pPr>
          </w:p>
          <w:p w:rsidR="005052FC" w:rsidP="00804B16">
            <w:pPr>
              <w:pStyle w:val="BodyText"/>
              <w:spacing w:after="0"/>
            </w:pPr>
            <w:hyperlink r:id="rId14" w:history="1">
              <w:r>
                <w:rPr>
                  <w:rStyle w:val="Hyperlink"/>
                </w:rPr>
                <w:t>steven.beeler@ohioattorneygeneral.gov</w:t>
              </w:r>
            </w:hyperlink>
          </w:p>
          <w:p w:rsidR="005052FC" w:rsidP="00804B16">
            <w:pPr>
              <w:pStyle w:val="BodyText"/>
              <w:spacing w:after="0"/>
            </w:pPr>
            <w:hyperlink r:id="rId15" w:history="1">
              <w:r>
                <w:rPr>
                  <w:rStyle w:val="Hyperlink"/>
                </w:rPr>
                <w:t>Robert.eubanks@ohioattorneygeneral.gov</w:t>
              </w:r>
            </w:hyperlink>
          </w:p>
          <w:p w:rsidR="005052FC" w:rsidP="00804B16">
            <w:pPr>
              <w:pStyle w:val="BodyText"/>
              <w:spacing w:after="0"/>
            </w:pPr>
            <w:hyperlink r:id="rId16" w:history="1">
              <w:r>
                <w:rPr>
                  <w:rStyle w:val="Hyperlink"/>
                </w:rPr>
                <w:t>Bethany.allen@igs.com</w:t>
              </w:r>
            </w:hyperlink>
          </w:p>
          <w:p w:rsidR="005052FC" w:rsidP="00804B16">
            <w:pPr>
              <w:pStyle w:val="BodyText"/>
              <w:spacing w:after="0"/>
            </w:pPr>
            <w:hyperlink r:id="rId17" w:history="1">
              <w:r>
                <w:rPr>
                  <w:rStyle w:val="Hyperlink"/>
                </w:rPr>
                <w:t>Joe.oliker@igs.com</w:t>
              </w:r>
            </w:hyperlink>
          </w:p>
          <w:p w:rsidR="005052FC" w:rsidP="00804B16">
            <w:pPr>
              <w:pStyle w:val="BodyText"/>
              <w:spacing w:after="0"/>
            </w:pPr>
            <w:hyperlink r:id="rId18" w:history="1">
              <w:r>
                <w:rPr>
                  <w:rStyle w:val="Hyperlink"/>
                </w:rPr>
                <w:t>Michael.nugent@igs.com</w:t>
              </w:r>
            </w:hyperlink>
          </w:p>
          <w:p w:rsidR="005052FC" w:rsidP="00804B16">
            <w:pPr>
              <w:pStyle w:val="BodyText"/>
              <w:spacing w:after="0"/>
            </w:pPr>
            <w:hyperlink r:id="rId19" w:history="1">
              <w:r w:rsidRPr="002E67FF">
                <w:rPr>
                  <w:rStyle w:val="Hyperlink"/>
                </w:rPr>
                <w:t>dstinson@bricker.com</w:t>
              </w:r>
            </w:hyperlink>
          </w:p>
          <w:p w:rsidR="005052FC" w:rsidP="00804B16">
            <w:pPr>
              <w:pStyle w:val="BodyText"/>
              <w:spacing w:after="0"/>
            </w:pPr>
            <w:hyperlink r:id="rId20" w:history="1">
              <w:r>
                <w:rPr>
                  <w:rStyle w:val="Hyperlink"/>
                </w:rPr>
                <w:t>kherstein@bricker.com</w:t>
              </w:r>
            </w:hyperlink>
          </w:p>
          <w:p w:rsidR="005052FC" w:rsidP="00804B16">
            <w:pPr>
              <w:pStyle w:val="BodyText"/>
              <w:spacing w:after="0"/>
            </w:pPr>
            <w:hyperlink r:id="rId21" w:history="1">
              <w:r>
                <w:rPr>
                  <w:rStyle w:val="Hyperlink"/>
                </w:rPr>
                <w:t>jspottswood@bricker.com</w:t>
              </w:r>
            </w:hyperlink>
          </w:p>
          <w:p w:rsidR="005052FC" w:rsidP="00804B16">
            <w:pPr>
              <w:pStyle w:val="BodyText"/>
              <w:spacing w:after="0"/>
            </w:pPr>
            <w:hyperlink r:id="rId22" w:history="1">
              <w:r>
                <w:rPr>
                  <w:rStyle w:val="Hyperlink"/>
                </w:rPr>
                <w:t>jdunnlegal@gmail.com</w:t>
              </w:r>
            </w:hyperlink>
          </w:p>
          <w:p w:rsidR="005052FC" w:rsidP="00804B16">
            <w:pPr>
              <w:pStyle w:val="BodyText"/>
              <w:spacing w:after="0"/>
            </w:pPr>
            <w:hyperlink r:id="rId23" w:history="1">
              <w:r>
                <w:rPr>
                  <w:rStyle w:val="Hyperlink"/>
                </w:rPr>
                <w:t>kevin.oles@thompsonhine.com</w:t>
              </w:r>
            </w:hyperlink>
          </w:p>
          <w:p w:rsidR="005052FC" w:rsidP="00804B16">
            <w:pPr>
              <w:pStyle w:val="BodyText"/>
              <w:spacing w:after="0"/>
            </w:pPr>
            <w:hyperlink r:id="rId24" w:history="1">
              <w:r>
                <w:rPr>
                  <w:rStyle w:val="Hyperlink"/>
                </w:rPr>
                <w:t>stephanie.chmiel@thompsonhine.com</w:t>
              </w:r>
            </w:hyperlink>
          </w:p>
          <w:p w:rsidR="005052FC" w:rsidP="00804B16">
            <w:pPr>
              <w:pStyle w:val="BodyText"/>
              <w:spacing w:after="0"/>
            </w:pPr>
            <w:hyperlink r:id="rId25" w:history="1">
              <w:r>
                <w:rPr>
                  <w:rStyle w:val="Hyperlink"/>
                </w:rPr>
                <w:t>cmooney@opae.org</w:t>
              </w:r>
            </w:hyperlink>
          </w:p>
          <w:p w:rsidR="005052FC" w:rsidP="00804B16">
            <w:pPr>
              <w:pStyle w:val="BodyText"/>
              <w:spacing w:after="0"/>
            </w:pPr>
            <w:hyperlink r:id="rId26" w:history="1">
              <w:r>
                <w:rPr>
                  <w:rStyle w:val="Hyperlink"/>
                </w:rPr>
                <w:t>whitt@whitt-sturtevant.com</w:t>
              </w:r>
            </w:hyperlink>
          </w:p>
          <w:p w:rsidR="005052FC" w:rsidP="00804B16">
            <w:pPr>
              <w:pStyle w:val="BodyText"/>
              <w:spacing w:after="0"/>
            </w:pPr>
            <w:hyperlink r:id="rId27" w:history="1">
              <w:r>
                <w:rPr>
                  <w:rStyle w:val="Hyperlink"/>
                </w:rPr>
                <w:t>glover@whitt-sturtevant.com</w:t>
              </w:r>
            </w:hyperlink>
          </w:p>
          <w:p w:rsidR="005052FC" w:rsidP="00804B16">
            <w:pPr>
              <w:pStyle w:val="BodyText"/>
              <w:spacing w:after="0"/>
            </w:pPr>
            <w:hyperlink r:id="rId28" w:history="1">
              <w:r>
                <w:rPr>
                  <w:rStyle w:val="Hyperlink"/>
                </w:rPr>
                <w:t>drinebolt@opae.org</w:t>
              </w:r>
            </w:hyperlink>
          </w:p>
          <w:p w:rsidR="005052FC" w:rsidP="00804B16">
            <w:pPr>
              <w:pStyle w:val="BodyText"/>
              <w:spacing w:after="0"/>
            </w:pPr>
            <w:hyperlink r:id="rId29" w:history="1">
              <w:r>
                <w:rPr>
                  <w:rStyle w:val="Hyperlink"/>
                </w:rPr>
                <w:t>nvijaykar@elpc.org</w:t>
              </w:r>
            </w:hyperlink>
          </w:p>
          <w:p w:rsidR="005052FC" w:rsidP="00804B16">
            <w:pPr>
              <w:pStyle w:val="BodyText"/>
              <w:spacing w:after="0"/>
            </w:pPr>
            <w:hyperlink r:id="rId30" w:history="1">
              <w:r>
                <w:rPr>
                  <w:rStyle w:val="Hyperlink"/>
                </w:rPr>
                <w:t>glpetrucci@vorys.com</w:t>
              </w:r>
            </w:hyperlink>
          </w:p>
          <w:p w:rsidR="005052FC" w:rsidP="00804B16">
            <w:pPr>
              <w:pStyle w:val="BodyText"/>
              <w:spacing w:after="0"/>
            </w:pPr>
            <w:hyperlink r:id="rId31" w:history="1">
              <w:r>
                <w:rPr>
                  <w:rStyle w:val="Hyperlink"/>
                </w:rPr>
                <w:t>dparram@bricker.com</w:t>
              </w:r>
            </w:hyperlink>
          </w:p>
          <w:p w:rsidR="005052FC" w:rsidP="00804B16">
            <w:pPr>
              <w:pStyle w:val="BodyText"/>
              <w:spacing w:after="0"/>
            </w:pPr>
            <w:hyperlink r:id="rId19" w:history="1">
              <w:r>
                <w:rPr>
                  <w:rStyle w:val="Hyperlink"/>
                </w:rPr>
                <w:t>dstinson@bricker.com</w:t>
              </w:r>
            </w:hyperlink>
          </w:p>
          <w:p w:rsidR="005052FC" w:rsidP="00804B16">
            <w:pPr>
              <w:pStyle w:val="BodyText"/>
            </w:pPr>
          </w:p>
          <w:p w:rsidR="005052FC" w:rsidP="00804B16">
            <w:pPr>
              <w:pStyle w:val="BodyText"/>
            </w:pPr>
            <w:r>
              <w:t>Attorney Examiners:</w:t>
            </w:r>
          </w:p>
          <w:p w:rsidR="005052FC" w:rsidP="00804B16">
            <w:pPr>
              <w:pStyle w:val="BodyText"/>
              <w:spacing w:after="0"/>
            </w:pPr>
            <w:hyperlink r:id="rId32" w:history="1">
              <w:r w:rsidRPr="002E67FF">
                <w:rPr>
                  <w:rStyle w:val="Hyperlink"/>
                </w:rPr>
                <w:t>Patricia.schabo@puco.ohio.gov</w:t>
              </w:r>
            </w:hyperlink>
          </w:p>
          <w:p w:rsidR="005052FC" w:rsidRPr="000002F7" w:rsidP="00804B16">
            <w:pPr>
              <w:adjustRightInd w:val="0"/>
              <w:ind w:left="-16"/>
              <w:rPr>
                <w:color w:val="0000FF"/>
                <w:u w:val="single"/>
              </w:rPr>
            </w:pPr>
            <w:hyperlink r:id="rId33" w:history="1">
              <w:r w:rsidRPr="000002F7">
                <w:rPr>
                  <w:color w:val="0000FF"/>
                  <w:u w:val="single"/>
                </w:rPr>
                <w:t>gregory.price@puco.ohio.gov</w:t>
              </w:r>
            </w:hyperlink>
          </w:p>
          <w:p w:rsidR="005052FC" w:rsidP="00804B16">
            <w:pPr>
              <w:pStyle w:val="BodyText"/>
            </w:pPr>
          </w:p>
        </w:tc>
        <w:tc>
          <w:tcPr>
            <w:tcW w:w="4428" w:type="dxa"/>
          </w:tcPr>
          <w:p w:rsidR="005052FC" w:rsidP="00804B16">
            <w:pPr>
              <w:pStyle w:val="BodyText"/>
              <w:spacing w:after="0"/>
            </w:pPr>
          </w:p>
          <w:p w:rsidR="005052FC" w:rsidP="00804B16">
            <w:pPr>
              <w:pStyle w:val="BodyText"/>
              <w:spacing w:after="0"/>
            </w:pPr>
          </w:p>
          <w:p w:rsidR="005052FC" w:rsidP="00804B16">
            <w:pPr>
              <w:pStyle w:val="BodyText"/>
              <w:spacing w:after="0"/>
            </w:pPr>
            <w:hyperlink r:id="rId34" w:history="1">
              <w:r>
                <w:rPr>
                  <w:rStyle w:val="Hyperlink"/>
                </w:rPr>
                <w:t>ccox@elpc.org</w:t>
              </w:r>
            </w:hyperlink>
          </w:p>
          <w:p w:rsidR="005052FC" w:rsidP="00804B16">
            <w:pPr>
              <w:pStyle w:val="BodyText"/>
              <w:spacing w:after="0"/>
              <w:rPr>
                <w:rStyle w:val="Hyperlink"/>
              </w:rPr>
            </w:pPr>
            <w:r>
              <w:rPr>
                <w:rStyle w:val="Hyperlink"/>
              </w:rPr>
              <w:t>Michael.schuler@aes.com</w:t>
            </w:r>
          </w:p>
          <w:p w:rsidR="005052FC" w:rsidP="00804B16">
            <w:pPr>
              <w:pStyle w:val="BodyText"/>
              <w:spacing w:after="0"/>
              <w:rPr>
                <w:rStyle w:val="Hyperlink"/>
              </w:rPr>
            </w:pPr>
            <w:r>
              <w:rPr>
                <w:rStyle w:val="Hyperlink"/>
              </w:rPr>
              <w:t>jsharkey@ficlaw.com</w:t>
            </w:r>
          </w:p>
          <w:p w:rsidR="005052FC" w:rsidP="00804B16">
            <w:pPr>
              <w:pStyle w:val="BodyText"/>
              <w:spacing w:after="0"/>
              <w:rPr>
                <w:rStyle w:val="Hyperlink"/>
              </w:rPr>
            </w:pPr>
            <w:r>
              <w:rPr>
                <w:rStyle w:val="Hyperlink"/>
              </w:rPr>
              <w:t>djireland@ficlaw.com</w:t>
            </w:r>
          </w:p>
          <w:p w:rsidR="005052FC" w:rsidP="00804B16">
            <w:pPr>
              <w:pStyle w:val="BodyText"/>
              <w:spacing w:after="0"/>
              <w:rPr>
                <w:rStyle w:val="Hyperlink"/>
              </w:rPr>
            </w:pPr>
            <w:r>
              <w:rPr>
                <w:rStyle w:val="Hyperlink"/>
              </w:rPr>
              <w:t>chollon@ficlaw.com</w:t>
            </w:r>
          </w:p>
          <w:p w:rsidR="005052FC" w:rsidP="00804B16">
            <w:pPr>
              <w:pStyle w:val="BodyText"/>
              <w:spacing w:after="0"/>
              <w:rPr>
                <w:rStyle w:val="Hyperlink"/>
              </w:rPr>
            </w:pPr>
            <w:r>
              <w:rPr>
                <w:rStyle w:val="Hyperlink"/>
              </w:rPr>
              <w:t>fdarr@mwncmh.com</w:t>
            </w:r>
          </w:p>
          <w:p w:rsidR="005052FC" w:rsidP="00804B16">
            <w:pPr>
              <w:pStyle w:val="BodyText"/>
              <w:spacing w:after="0"/>
              <w:rPr>
                <w:rStyle w:val="Hyperlink"/>
              </w:rPr>
            </w:pPr>
            <w:r>
              <w:rPr>
                <w:rStyle w:val="Hyperlink"/>
              </w:rPr>
              <w:t>mpritchard@mwncmh.com</w:t>
            </w:r>
          </w:p>
          <w:p w:rsidR="005052FC" w:rsidP="00804B16">
            <w:pPr>
              <w:pStyle w:val="BodyText"/>
              <w:spacing w:after="0"/>
              <w:rPr>
                <w:rStyle w:val="Hyperlink"/>
              </w:rPr>
            </w:pPr>
            <w:hyperlink r:id="rId35" w:history="1">
              <w:r>
                <w:rPr>
                  <w:rStyle w:val="Hyperlink"/>
                </w:rPr>
                <w:t>mfleisher@dickinsonwright.com</w:t>
              </w:r>
            </w:hyperlink>
          </w:p>
          <w:p w:rsidR="005052FC" w:rsidP="00804B16">
            <w:pPr>
              <w:pStyle w:val="BodyText"/>
              <w:spacing w:after="0"/>
              <w:rPr>
                <w:rStyle w:val="Hyperlink"/>
              </w:rPr>
            </w:pPr>
            <w:r>
              <w:rPr>
                <w:rStyle w:val="Hyperlink"/>
              </w:rPr>
              <w:t>cpirik@dickinsonwright.com</w:t>
            </w:r>
          </w:p>
          <w:p w:rsidR="005052FC" w:rsidP="00804B16">
            <w:pPr>
              <w:pStyle w:val="BodyText"/>
              <w:spacing w:after="0"/>
              <w:rPr>
                <w:rStyle w:val="Hyperlink"/>
              </w:rPr>
            </w:pPr>
            <w:r>
              <w:rPr>
                <w:rStyle w:val="Hyperlink"/>
              </w:rPr>
              <w:t>mkurtz@bkllawfirm.com</w:t>
            </w:r>
          </w:p>
          <w:p w:rsidR="005052FC" w:rsidP="00804B16">
            <w:pPr>
              <w:pStyle w:val="BodyText"/>
              <w:spacing w:after="0"/>
              <w:rPr>
                <w:rStyle w:val="Hyperlink"/>
              </w:rPr>
            </w:pPr>
            <w:r>
              <w:rPr>
                <w:rStyle w:val="Hyperlink"/>
              </w:rPr>
              <w:t>kboehm@bklawfirm.com</w:t>
            </w:r>
          </w:p>
          <w:p w:rsidR="005052FC" w:rsidP="00804B16">
            <w:pPr>
              <w:pStyle w:val="BodyText"/>
              <w:spacing w:after="0"/>
              <w:rPr>
                <w:rStyle w:val="Hyperlink"/>
              </w:rPr>
            </w:pPr>
            <w:r>
              <w:rPr>
                <w:rStyle w:val="Hyperlink"/>
              </w:rPr>
              <w:t>jkylercohn@bkllawfirm.com</w:t>
            </w:r>
          </w:p>
          <w:p w:rsidR="005052FC" w:rsidP="00804B16">
            <w:pPr>
              <w:pStyle w:val="BodyText"/>
              <w:spacing w:after="0"/>
              <w:rPr>
                <w:rStyle w:val="Hyperlink"/>
              </w:rPr>
            </w:pPr>
            <w:r>
              <w:rPr>
                <w:rStyle w:val="Hyperlink"/>
              </w:rPr>
              <w:t>Bojko@carpenterlipps.com</w:t>
            </w:r>
          </w:p>
          <w:p w:rsidR="005052FC" w:rsidP="00804B16">
            <w:pPr>
              <w:pStyle w:val="BodyText"/>
              <w:spacing w:after="0"/>
              <w:rPr>
                <w:rStyle w:val="Hyperlink"/>
              </w:rPr>
            </w:pPr>
            <w:r>
              <w:rPr>
                <w:rStyle w:val="Hyperlink"/>
              </w:rPr>
              <w:t>Dressel@carpenterlipps.com</w:t>
            </w:r>
          </w:p>
          <w:p w:rsidR="005052FC" w:rsidP="00804B16">
            <w:pPr>
              <w:pStyle w:val="BodyText"/>
              <w:spacing w:after="0"/>
              <w:rPr>
                <w:rStyle w:val="Hyperlink"/>
              </w:rPr>
            </w:pPr>
            <w:r>
              <w:rPr>
                <w:rStyle w:val="Hyperlink"/>
              </w:rPr>
              <w:t>Paul@carpenterlipps.com</w:t>
            </w:r>
          </w:p>
          <w:p w:rsidR="005052FC" w:rsidP="00804B16">
            <w:pPr>
              <w:pStyle w:val="BodyText"/>
              <w:spacing w:after="0"/>
              <w:rPr>
                <w:rStyle w:val="Hyperlink"/>
              </w:rPr>
            </w:pPr>
            <w:r>
              <w:rPr>
                <w:rStyle w:val="Hyperlink"/>
              </w:rPr>
              <w:t>Dutton@carpenterlipps.com</w:t>
            </w:r>
          </w:p>
          <w:p w:rsidR="005052FC" w:rsidP="00804B16">
            <w:pPr>
              <w:pStyle w:val="BodyText"/>
              <w:spacing w:after="0"/>
              <w:rPr>
                <w:rStyle w:val="Hyperlink"/>
              </w:rPr>
            </w:pPr>
            <w:r>
              <w:rPr>
                <w:rStyle w:val="Hyperlink"/>
              </w:rPr>
              <w:t>slesser@beneschlaw.com</w:t>
            </w:r>
          </w:p>
          <w:p w:rsidR="005052FC" w:rsidP="00804B16">
            <w:pPr>
              <w:pStyle w:val="BodyText"/>
              <w:spacing w:after="0"/>
              <w:rPr>
                <w:rStyle w:val="Hyperlink"/>
              </w:rPr>
            </w:pPr>
            <w:r>
              <w:rPr>
                <w:rStyle w:val="Hyperlink"/>
              </w:rPr>
              <w:t>talexander@beneschlaw.com</w:t>
            </w:r>
          </w:p>
          <w:p w:rsidR="005052FC" w:rsidP="00804B16">
            <w:pPr>
              <w:pStyle w:val="BodyText"/>
              <w:spacing w:after="0"/>
              <w:rPr>
                <w:rStyle w:val="Hyperlink"/>
              </w:rPr>
            </w:pPr>
            <w:r>
              <w:rPr>
                <w:rStyle w:val="Hyperlink"/>
              </w:rPr>
              <w:t>mkeaney@beneschlaw.com</w:t>
            </w:r>
          </w:p>
          <w:p w:rsidR="005052FC" w:rsidP="00804B16">
            <w:pPr>
              <w:pStyle w:val="BodyText"/>
            </w:pPr>
          </w:p>
        </w:tc>
      </w:tr>
      <w:tr w:rsidTr="00804B16">
        <w:tblPrEx>
          <w:tblW w:w="0" w:type="auto"/>
          <w:tblLook w:val="04A0"/>
        </w:tblPrEx>
        <w:tc>
          <w:tcPr>
            <w:tcW w:w="4428" w:type="dxa"/>
          </w:tcPr>
          <w:p w:rsidR="005052FC" w:rsidP="00804B16">
            <w:pPr>
              <w:pStyle w:val="BodyText"/>
            </w:pPr>
          </w:p>
        </w:tc>
        <w:tc>
          <w:tcPr>
            <w:tcW w:w="4428" w:type="dxa"/>
          </w:tcPr>
          <w:p w:rsidR="005052FC" w:rsidP="00804B16">
            <w:pPr>
              <w:pStyle w:val="BodyText"/>
            </w:pPr>
          </w:p>
        </w:tc>
      </w:tr>
      <w:tr w:rsidTr="00804B16">
        <w:tblPrEx>
          <w:tblW w:w="0" w:type="auto"/>
          <w:tblLook w:val="01E0"/>
        </w:tblPrEx>
        <w:tc>
          <w:tcPr>
            <w:tcW w:w="4428" w:type="dxa"/>
          </w:tcPr>
          <w:p w:rsidR="005052FC" w:rsidP="00804B16">
            <w:pPr>
              <w:tabs>
                <w:tab w:val="left" w:pos="4320"/>
              </w:tabs>
              <w:ind w:left="720" w:hanging="720"/>
            </w:pPr>
            <w:r>
              <w:t>Case No. 19-1121-EL-UNC</w:t>
            </w:r>
          </w:p>
          <w:p w:rsidR="005052FC" w:rsidP="00804B16">
            <w:pPr>
              <w:tabs>
                <w:tab w:val="left" w:pos="4320"/>
              </w:tabs>
              <w:ind w:hanging="720"/>
            </w:pPr>
          </w:p>
          <w:p w:rsidR="005052FC" w:rsidP="00804B16">
            <w:pPr>
              <w:tabs>
                <w:tab w:val="left" w:pos="-720"/>
              </w:tabs>
              <w:suppressAutoHyphens/>
              <w:ind w:left="720" w:hanging="720"/>
              <w:jc w:val="both"/>
              <w:rPr>
                <w:spacing w:val="-3"/>
              </w:rPr>
            </w:pPr>
            <w:hyperlink r:id="rId14" w:history="1">
              <w:r>
                <w:rPr>
                  <w:rStyle w:val="Hyperlink"/>
                  <w:spacing w:val="-3"/>
                </w:rPr>
                <w:t>steven.beeler@ohioattorneygeneral.gov</w:t>
              </w:r>
            </w:hyperlink>
          </w:p>
          <w:p w:rsidR="005052FC" w:rsidP="00804B16">
            <w:pPr>
              <w:tabs>
                <w:tab w:val="left" w:pos="4320"/>
              </w:tabs>
              <w:ind w:left="720" w:hanging="720"/>
            </w:pPr>
            <w:hyperlink r:id="rId36" w:history="1">
              <w:r>
                <w:rPr>
                  <w:rStyle w:val="Hyperlink"/>
                </w:rPr>
                <w:t>Michael.schuler@aes.com</w:t>
              </w:r>
            </w:hyperlink>
          </w:p>
          <w:p w:rsidR="005052FC" w:rsidP="00804B16">
            <w:pPr>
              <w:tabs>
                <w:tab w:val="left" w:pos="4320"/>
              </w:tabs>
              <w:ind w:left="720" w:hanging="720"/>
            </w:pPr>
            <w:hyperlink r:id="rId37" w:history="1">
              <w:r>
                <w:rPr>
                  <w:rStyle w:val="Hyperlink"/>
                </w:rPr>
                <w:t>mkurtz@bkllawfirm.com</w:t>
              </w:r>
            </w:hyperlink>
          </w:p>
          <w:p w:rsidR="005052FC" w:rsidP="00804B16">
            <w:pPr>
              <w:tabs>
                <w:tab w:val="left" w:pos="4320"/>
              </w:tabs>
              <w:ind w:left="720" w:hanging="720"/>
            </w:pPr>
            <w:hyperlink r:id="rId38" w:history="1">
              <w:r>
                <w:rPr>
                  <w:rStyle w:val="Hyperlink"/>
                </w:rPr>
                <w:t>kboehm@bkllawfirm.com</w:t>
              </w:r>
            </w:hyperlink>
          </w:p>
          <w:p w:rsidR="005052FC" w:rsidP="00804B16">
            <w:pPr>
              <w:tabs>
                <w:tab w:val="left" w:pos="4320"/>
              </w:tabs>
              <w:ind w:left="720" w:hanging="720"/>
            </w:pPr>
            <w:hyperlink r:id="rId39" w:history="1">
              <w:r w:rsidRPr="002E67FF">
                <w:rPr>
                  <w:rStyle w:val="Hyperlink"/>
                </w:rPr>
                <w:t>talexander@beneschlaw.com</w:t>
              </w:r>
            </w:hyperlink>
          </w:p>
          <w:p w:rsidR="005052FC" w:rsidP="00804B16">
            <w:pPr>
              <w:tabs>
                <w:tab w:val="left" w:pos="4320"/>
              </w:tabs>
            </w:pPr>
          </w:p>
          <w:p w:rsidR="005052FC" w:rsidP="00804B16">
            <w:pPr>
              <w:pStyle w:val="BodyText"/>
            </w:pPr>
            <w:r>
              <w:t>Attorney Examiners:</w:t>
            </w:r>
          </w:p>
          <w:p w:rsidR="005052FC" w:rsidP="00804B16">
            <w:pPr>
              <w:pStyle w:val="BodyText"/>
              <w:spacing w:after="0"/>
            </w:pPr>
            <w:hyperlink r:id="rId32" w:history="1">
              <w:r w:rsidRPr="002E67FF">
                <w:rPr>
                  <w:rStyle w:val="Hyperlink"/>
                </w:rPr>
                <w:t>Patricia.schabo@puco.ohio.gov</w:t>
              </w:r>
            </w:hyperlink>
          </w:p>
          <w:p w:rsidR="005052FC" w:rsidRPr="000002F7" w:rsidP="00804B16">
            <w:pPr>
              <w:adjustRightInd w:val="0"/>
              <w:rPr>
                <w:color w:val="0000FF"/>
                <w:u w:val="single"/>
              </w:rPr>
            </w:pPr>
            <w:hyperlink r:id="rId33" w:history="1">
              <w:r w:rsidRPr="000002F7">
                <w:rPr>
                  <w:color w:val="0000FF"/>
                  <w:u w:val="single"/>
                </w:rPr>
                <w:t>gregory.price@puco.ohio.gov</w:t>
              </w:r>
            </w:hyperlink>
          </w:p>
          <w:p w:rsidR="005052FC" w:rsidP="00804B16">
            <w:pPr>
              <w:tabs>
                <w:tab w:val="left" w:pos="4320"/>
              </w:tabs>
            </w:pPr>
          </w:p>
          <w:p w:rsidR="005052FC" w:rsidP="00804B16">
            <w:pPr>
              <w:autoSpaceDE w:val="0"/>
              <w:autoSpaceDN w:val="0"/>
              <w:adjustRightInd w:val="0"/>
              <w:rPr>
                <w:bCs/>
              </w:rPr>
            </w:pPr>
          </w:p>
        </w:tc>
        <w:tc>
          <w:tcPr>
            <w:tcW w:w="4428" w:type="dxa"/>
          </w:tcPr>
          <w:p w:rsidR="005052FC" w:rsidP="00804B16">
            <w:pPr>
              <w:autoSpaceDE w:val="0"/>
              <w:autoSpaceDN w:val="0"/>
              <w:adjustRightInd w:val="0"/>
              <w:ind w:left="1113"/>
              <w:rPr>
                <w:bCs/>
              </w:rPr>
            </w:pPr>
          </w:p>
          <w:p w:rsidR="005052FC" w:rsidP="00804B16">
            <w:pPr>
              <w:autoSpaceDE w:val="0"/>
              <w:autoSpaceDN w:val="0"/>
              <w:adjustRightInd w:val="0"/>
              <w:ind w:left="1113"/>
              <w:rPr>
                <w:bCs/>
                <w:color w:val="0000FF"/>
                <w:u w:val="single"/>
              </w:rPr>
            </w:pPr>
          </w:p>
          <w:p w:rsidR="005052FC" w:rsidP="00804B16">
            <w:pPr>
              <w:autoSpaceDE w:val="0"/>
              <w:autoSpaceDN w:val="0"/>
              <w:adjustRightInd w:val="0"/>
              <w:ind w:left="4"/>
              <w:rPr>
                <w:bCs/>
                <w:color w:val="0000FF"/>
                <w:u w:val="single"/>
              </w:rPr>
            </w:pPr>
            <w:r>
              <w:rPr>
                <w:bCs/>
                <w:color w:val="0000FF"/>
                <w:u w:val="single"/>
              </w:rPr>
              <w:t>jkylercohn@bkllawfirm.com</w:t>
            </w:r>
          </w:p>
          <w:p w:rsidR="005052FC" w:rsidP="00804B16">
            <w:pPr>
              <w:autoSpaceDE w:val="0"/>
              <w:autoSpaceDN w:val="0"/>
              <w:adjustRightInd w:val="0"/>
              <w:ind w:left="4"/>
              <w:rPr>
                <w:bCs/>
              </w:rPr>
            </w:pPr>
            <w:hyperlink r:id="rId40" w:history="1">
              <w:r>
                <w:rPr>
                  <w:rStyle w:val="Hyperlink"/>
                  <w:bCs/>
                </w:rPr>
                <w:t>bojko@carpenterlipps.com</w:t>
              </w:r>
            </w:hyperlink>
          </w:p>
          <w:p w:rsidR="005052FC" w:rsidP="00804B16">
            <w:pPr>
              <w:autoSpaceDE w:val="0"/>
              <w:autoSpaceDN w:val="0"/>
              <w:adjustRightInd w:val="0"/>
              <w:ind w:left="4"/>
              <w:rPr>
                <w:bCs/>
              </w:rPr>
            </w:pPr>
            <w:hyperlink r:id="rId41" w:history="1">
              <w:r>
                <w:rPr>
                  <w:rStyle w:val="Hyperlink"/>
                  <w:bCs/>
                </w:rPr>
                <w:t>paul@carpenterlipps.com</w:t>
              </w:r>
            </w:hyperlink>
          </w:p>
          <w:p w:rsidR="005052FC" w:rsidP="00804B16">
            <w:pPr>
              <w:autoSpaceDE w:val="0"/>
              <w:autoSpaceDN w:val="0"/>
              <w:adjustRightInd w:val="0"/>
              <w:ind w:left="4"/>
              <w:rPr>
                <w:bCs/>
              </w:rPr>
            </w:pPr>
            <w:hyperlink r:id="rId42" w:history="1">
              <w:r>
                <w:rPr>
                  <w:rStyle w:val="Hyperlink"/>
                  <w:bCs/>
                </w:rPr>
                <w:t>mpritchard@mcneeslaw.com</w:t>
              </w:r>
            </w:hyperlink>
          </w:p>
          <w:p w:rsidR="005052FC" w:rsidP="00804B16">
            <w:pPr>
              <w:autoSpaceDE w:val="0"/>
              <w:autoSpaceDN w:val="0"/>
              <w:adjustRightInd w:val="0"/>
              <w:ind w:left="4"/>
              <w:rPr>
                <w:bCs/>
              </w:rPr>
            </w:pPr>
            <w:hyperlink r:id="rId43" w:history="1">
              <w:r>
                <w:rPr>
                  <w:rStyle w:val="Hyperlink"/>
                  <w:bCs/>
                </w:rPr>
                <w:t>rglover@mcneeslaw.com</w:t>
              </w:r>
            </w:hyperlink>
          </w:p>
        </w:tc>
      </w:tr>
      <w:tr w:rsidTr="00804B16">
        <w:tblPrEx>
          <w:tblW w:w="0" w:type="auto"/>
          <w:tblLook w:val="01E0"/>
        </w:tblPrEx>
        <w:tc>
          <w:tcPr>
            <w:tcW w:w="4428" w:type="dxa"/>
          </w:tcPr>
          <w:p w:rsidR="005052FC" w:rsidP="00804B16">
            <w:pPr>
              <w:tabs>
                <w:tab w:val="left" w:pos="4320"/>
              </w:tabs>
            </w:pPr>
            <w:r>
              <w:t>Case No. 20-1041-EL-UNC</w:t>
            </w:r>
          </w:p>
          <w:p w:rsidR="005052FC" w:rsidP="00804B16">
            <w:pPr>
              <w:tabs>
                <w:tab w:val="left" w:pos="4320"/>
              </w:tabs>
              <w:rPr>
                <w:color w:val="0000FF"/>
                <w:u w:val="single"/>
              </w:rPr>
            </w:pPr>
          </w:p>
          <w:p w:rsidR="005052FC" w:rsidP="00804B16">
            <w:pPr>
              <w:tabs>
                <w:tab w:val="left" w:pos="-720"/>
              </w:tabs>
              <w:suppressAutoHyphens/>
              <w:jc w:val="both"/>
              <w:rPr>
                <w:spacing w:val="-3"/>
              </w:rPr>
            </w:pPr>
            <w:hyperlink r:id="rId14" w:history="1">
              <w:r>
                <w:rPr>
                  <w:rStyle w:val="Hyperlink"/>
                  <w:spacing w:val="-3"/>
                </w:rPr>
                <w:t>steven.beeler@ohioattorneygeneral.gov</w:t>
              </w:r>
            </w:hyperlink>
          </w:p>
          <w:p w:rsidR="005052FC" w:rsidP="00804B16">
            <w:pPr>
              <w:tabs>
                <w:tab w:val="left" w:pos="4320"/>
              </w:tabs>
              <w:rPr>
                <w:color w:val="0000FF"/>
                <w:u w:val="single"/>
              </w:rPr>
            </w:pPr>
            <w:r>
              <w:rPr>
                <w:color w:val="0000FF"/>
                <w:u w:val="single"/>
              </w:rPr>
              <w:t>Michael.schuler@aes.com</w:t>
            </w:r>
          </w:p>
          <w:p w:rsidR="005052FC" w:rsidP="00804B16">
            <w:pPr>
              <w:tabs>
                <w:tab w:val="left" w:pos="4320"/>
              </w:tabs>
            </w:pPr>
            <w:hyperlink r:id="rId40" w:history="1">
              <w:r>
                <w:rPr>
                  <w:rStyle w:val="Hyperlink"/>
                </w:rPr>
                <w:t>Bojko@carpenterlipps.com</w:t>
              </w:r>
            </w:hyperlink>
          </w:p>
          <w:p w:rsidR="005052FC" w:rsidP="00804B16">
            <w:pPr>
              <w:tabs>
                <w:tab w:val="left" w:pos="4320"/>
              </w:tabs>
            </w:pPr>
            <w:hyperlink r:id="rId41" w:history="1">
              <w:r>
                <w:rPr>
                  <w:rStyle w:val="Hyperlink"/>
                </w:rPr>
                <w:t>Paul@carpenterlipps.com</w:t>
              </w:r>
            </w:hyperlink>
          </w:p>
          <w:p w:rsidR="005052FC" w:rsidP="00804B16">
            <w:pPr>
              <w:autoSpaceDE w:val="0"/>
              <w:autoSpaceDN w:val="0"/>
              <w:adjustRightInd w:val="0"/>
              <w:rPr>
                <w:bCs/>
              </w:rPr>
            </w:pPr>
          </w:p>
          <w:p w:rsidR="005052FC" w:rsidP="00804B16">
            <w:pPr>
              <w:pStyle w:val="BodyText"/>
            </w:pPr>
            <w:r>
              <w:t>Attorney Examiners:</w:t>
            </w:r>
          </w:p>
          <w:p w:rsidR="005052FC" w:rsidP="00804B16">
            <w:pPr>
              <w:pStyle w:val="BodyText"/>
              <w:spacing w:after="0"/>
            </w:pPr>
            <w:hyperlink r:id="rId32" w:history="1">
              <w:r w:rsidRPr="002E67FF">
                <w:rPr>
                  <w:rStyle w:val="Hyperlink"/>
                </w:rPr>
                <w:t>Patricia.schabo@puco.ohio.gov</w:t>
              </w:r>
            </w:hyperlink>
          </w:p>
          <w:p w:rsidR="005052FC" w:rsidRPr="000002F7" w:rsidP="00804B16">
            <w:pPr>
              <w:rPr>
                <w:color w:val="0000FF"/>
                <w:u w:val="single"/>
              </w:rPr>
            </w:pPr>
            <w:r w:rsidRPr="000002F7">
              <w:rPr>
                <w:color w:val="0000FF"/>
                <w:u w:val="single"/>
              </w:rPr>
              <w:t>Michael.williams@puco.ohio.gov</w:t>
            </w:r>
          </w:p>
          <w:p w:rsidR="005052FC" w:rsidP="00804B16">
            <w:pPr>
              <w:autoSpaceDE w:val="0"/>
              <w:autoSpaceDN w:val="0"/>
              <w:adjustRightInd w:val="0"/>
              <w:rPr>
                <w:bCs/>
              </w:rPr>
            </w:pPr>
          </w:p>
        </w:tc>
        <w:tc>
          <w:tcPr>
            <w:tcW w:w="4428" w:type="dxa"/>
          </w:tcPr>
          <w:p w:rsidR="005052FC" w:rsidP="00804B16">
            <w:pPr>
              <w:autoSpaceDE w:val="0"/>
              <w:autoSpaceDN w:val="0"/>
              <w:adjustRightInd w:val="0"/>
              <w:rPr>
                <w:bCs/>
              </w:rPr>
            </w:pPr>
          </w:p>
          <w:p w:rsidR="005052FC" w:rsidP="00804B16">
            <w:pPr>
              <w:autoSpaceDE w:val="0"/>
              <w:autoSpaceDN w:val="0"/>
              <w:adjustRightInd w:val="0"/>
              <w:rPr>
                <w:bCs/>
              </w:rPr>
            </w:pPr>
          </w:p>
          <w:p w:rsidR="005052FC" w:rsidP="00804B16">
            <w:pPr>
              <w:autoSpaceDE w:val="0"/>
              <w:autoSpaceDN w:val="0"/>
              <w:adjustRightInd w:val="0"/>
              <w:ind w:left="13"/>
              <w:rPr>
                <w:bCs/>
              </w:rPr>
            </w:pPr>
            <w:hyperlink r:id="rId42" w:history="1">
              <w:r>
                <w:rPr>
                  <w:rStyle w:val="Hyperlink"/>
                  <w:bCs/>
                </w:rPr>
                <w:t>mpritchard@mcneeslaw.com</w:t>
              </w:r>
            </w:hyperlink>
          </w:p>
          <w:p w:rsidR="005052FC" w:rsidP="00804B16">
            <w:pPr>
              <w:autoSpaceDE w:val="0"/>
              <w:autoSpaceDN w:val="0"/>
              <w:adjustRightInd w:val="0"/>
              <w:ind w:left="13"/>
              <w:rPr>
                <w:bCs/>
              </w:rPr>
            </w:pPr>
            <w:hyperlink r:id="rId43" w:history="1">
              <w:r>
                <w:rPr>
                  <w:rStyle w:val="Hyperlink"/>
                  <w:bCs/>
                </w:rPr>
                <w:t>rglover@mcneeslaw.com</w:t>
              </w:r>
            </w:hyperlink>
          </w:p>
          <w:p w:rsidR="005052FC" w:rsidP="00804B16">
            <w:pPr>
              <w:tabs>
                <w:tab w:val="left" w:pos="4320"/>
              </w:tabs>
              <w:ind w:left="13"/>
            </w:pPr>
            <w:hyperlink r:id="rId39" w:history="1">
              <w:r w:rsidRPr="002E67FF">
                <w:rPr>
                  <w:rStyle w:val="Hyperlink"/>
                </w:rPr>
                <w:t>talexander@beneschlaw.com</w:t>
              </w:r>
            </w:hyperlink>
          </w:p>
          <w:p w:rsidR="005052FC" w:rsidP="00804B16">
            <w:pPr>
              <w:autoSpaceDE w:val="0"/>
              <w:autoSpaceDN w:val="0"/>
              <w:adjustRightInd w:val="0"/>
              <w:rPr>
                <w:bCs/>
              </w:rPr>
            </w:pPr>
          </w:p>
        </w:tc>
      </w:tr>
    </w:tbl>
    <w:p w:rsidR="005052FC" w:rsidP="005052FC">
      <w:pPr>
        <w:jc w:val="center"/>
        <w:rPr>
          <w:b/>
          <w:bCs/>
        </w:rPr>
      </w:pPr>
    </w:p>
    <w:tbl>
      <w:tblPr>
        <w:tblW w:w="0" w:type="auto"/>
        <w:tblLook w:val="04A0"/>
      </w:tblPr>
      <w:tblGrid>
        <w:gridCol w:w="4315"/>
        <w:gridCol w:w="4315"/>
      </w:tblGrid>
      <w:tr w:rsidTr="00804B16">
        <w:tblPrEx>
          <w:tblW w:w="0" w:type="auto"/>
          <w:tblLook w:val="04A0"/>
        </w:tblPrEx>
        <w:tc>
          <w:tcPr>
            <w:tcW w:w="4315" w:type="dxa"/>
          </w:tcPr>
          <w:p w:rsidR="005052FC" w:rsidP="00804B16">
            <w:pPr>
              <w:widowControl w:val="0"/>
              <w:autoSpaceDE w:val="0"/>
              <w:autoSpaceDN w:val="0"/>
              <w:adjustRightInd w:val="0"/>
              <w:ind w:left="-16"/>
            </w:pPr>
            <w:r>
              <w:t>Case No. 20-680-EL-UNC</w:t>
            </w:r>
          </w:p>
          <w:p w:rsidR="005052FC" w:rsidP="00804B16">
            <w:pPr>
              <w:widowControl w:val="0"/>
              <w:autoSpaceDE w:val="0"/>
              <w:autoSpaceDN w:val="0"/>
              <w:adjustRightInd w:val="0"/>
              <w:ind w:left="-16"/>
              <w:rPr>
                <w:color w:val="0000FF"/>
                <w:u w:val="single"/>
              </w:rPr>
            </w:pPr>
          </w:p>
          <w:p w:rsidR="005052FC" w:rsidP="00804B16">
            <w:pPr>
              <w:widowControl w:val="0"/>
              <w:autoSpaceDE w:val="0"/>
              <w:autoSpaceDN w:val="0"/>
              <w:adjustRightInd w:val="0"/>
              <w:ind w:left="-16"/>
              <w:rPr>
                <w:color w:val="0000FF"/>
                <w:u w:val="single"/>
              </w:rPr>
            </w:pPr>
            <w:r>
              <w:rPr>
                <w:color w:val="0000FF"/>
                <w:u w:val="single"/>
              </w:rPr>
              <w:t>thomas.lindgren@ohioattorneygeneral.gov</w:t>
            </w:r>
          </w:p>
          <w:p w:rsidR="005052FC" w:rsidP="00804B16">
            <w:pPr>
              <w:widowControl w:val="0"/>
              <w:autoSpaceDE w:val="0"/>
              <w:autoSpaceDN w:val="0"/>
              <w:adjustRightInd w:val="0"/>
              <w:ind w:left="-16"/>
              <w:rPr>
                <w:szCs w:val="20"/>
              </w:rPr>
            </w:pPr>
            <w:hyperlink r:id="rId31" w:history="1">
              <w:r>
                <w:rPr>
                  <w:rStyle w:val="Hyperlink"/>
                </w:rPr>
                <w:t>dparram@bricker.com</w:t>
              </w:r>
            </w:hyperlink>
          </w:p>
          <w:p w:rsidR="005052FC" w:rsidP="00804B16">
            <w:pPr>
              <w:widowControl w:val="0"/>
              <w:autoSpaceDE w:val="0"/>
              <w:autoSpaceDN w:val="0"/>
              <w:adjustRightInd w:val="0"/>
              <w:ind w:left="-16"/>
              <w:rPr>
                <w:szCs w:val="20"/>
              </w:rPr>
            </w:pPr>
            <w:hyperlink r:id="rId19" w:history="1">
              <w:r>
                <w:rPr>
                  <w:rStyle w:val="Hyperlink"/>
                </w:rPr>
                <w:t>dstinson@bricker.com</w:t>
              </w:r>
            </w:hyperlink>
          </w:p>
          <w:p w:rsidR="005052FC" w:rsidP="00804B16">
            <w:pPr>
              <w:widowControl w:val="0"/>
              <w:autoSpaceDE w:val="0"/>
              <w:autoSpaceDN w:val="0"/>
              <w:adjustRightInd w:val="0"/>
              <w:ind w:left="-16"/>
              <w:rPr>
                <w:szCs w:val="20"/>
              </w:rPr>
            </w:pPr>
            <w:hyperlink r:id="rId21" w:history="1">
              <w:r>
                <w:rPr>
                  <w:rStyle w:val="Hyperlink"/>
                </w:rPr>
                <w:t>jspottswood@bricker.com</w:t>
              </w:r>
            </w:hyperlink>
          </w:p>
          <w:p w:rsidR="005052FC" w:rsidP="00804B16">
            <w:pPr>
              <w:widowControl w:val="0"/>
              <w:autoSpaceDE w:val="0"/>
              <w:autoSpaceDN w:val="0"/>
              <w:adjustRightInd w:val="0"/>
              <w:ind w:left="-16"/>
              <w:rPr>
                <w:szCs w:val="20"/>
              </w:rPr>
            </w:pPr>
            <w:hyperlink r:id="rId40" w:history="1">
              <w:r>
                <w:rPr>
                  <w:rStyle w:val="Hyperlink"/>
                </w:rPr>
                <w:t>bojko@carpenterlipps.com</w:t>
              </w:r>
            </w:hyperlink>
          </w:p>
          <w:p w:rsidR="005052FC" w:rsidP="00804B16">
            <w:pPr>
              <w:widowControl w:val="0"/>
              <w:autoSpaceDE w:val="0"/>
              <w:autoSpaceDN w:val="0"/>
              <w:adjustRightInd w:val="0"/>
              <w:ind w:left="-16"/>
              <w:rPr>
                <w:szCs w:val="20"/>
              </w:rPr>
            </w:pPr>
            <w:hyperlink r:id="rId16" w:history="1">
              <w:r>
                <w:rPr>
                  <w:rStyle w:val="Hyperlink"/>
                </w:rPr>
                <w:t>Bethany.allen@igs.com</w:t>
              </w:r>
            </w:hyperlink>
          </w:p>
          <w:p w:rsidR="005052FC" w:rsidP="00804B16">
            <w:pPr>
              <w:widowControl w:val="0"/>
              <w:autoSpaceDE w:val="0"/>
              <w:autoSpaceDN w:val="0"/>
              <w:adjustRightInd w:val="0"/>
              <w:ind w:left="-16"/>
              <w:rPr>
                <w:szCs w:val="20"/>
              </w:rPr>
            </w:pPr>
            <w:hyperlink r:id="rId17" w:history="1">
              <w:r>
                <w:rPr>
                  <w:rStyle w:val="Hyperlink"/>
                </w:rPr>
                <w:t>Joe.oliker@igs.com</w:t>
              </w:r>
            </w:hyperlink>
          </w:p>
          <w:p w:rsidR="005052FC" w:rsidP="00804B16">
            <w:pPr>
              <w:widowControl w:val="0"/>
              <w:autoSpaceDE w:val="0"/>
              <w:autoSpaceDN w:val="0"/>
              <w:adjustRightInd w:val="0"/>
              <w:ind w:left="-16"/>
              <w:rPr>
                <w:szCs w:val="20"/>
              </w:rPr>
            </w:pPr>
            <w:hyperlink r:id="rId18" w:history="1">
              <w:r>
                <w:rPr>
                  <w:rStyle w:val="Hyperlink"/>
                </w:rPr>
                <w:t>Michael.nugent@igs.com</w:t>
              </w:r>
            </w:hyperlink>
          </w:p>
          <w:p w:rsidR="005052FC" w:rsidP="00804B16">
            <w:pPr>
              <w:widowControl w:val="0"/>
              <w:autoSpaceDE w:val="0"/>
              <w:autoSpaceDN w:val="0"/>
              <w:adjustRightInd w:val="0"/>
              <w:ind w:left="-16"/>
              <w:rPr>
                <w:szCs w:val="20"/>
              </w:rPr>
            </w:pPr>
            <w:hyperlink r:id="rId44" w:history="1">
              <w:r>
                <w:rPr>
                  <w:rStyle w:val="Hyperlink"/>
                </w:rPr>
                <w:t>Fdarr2019@gmail.com</w:t>
              </w:r>
            </w:hyperlink>
          </w:p>
          <w:p w:rsidR="005052FC" w:rsidP="00804B16">
            <w:pPr>
              <w:widowControl w:val="0"/>
              <w:autoSpaceDE w:val="0"/>
              <w:autoSpaceDN w:val="0"/>
              <w:adjustRightInd w:val="0"/>
              <w:ind w:left="-16"/>
              <w:rPr>
                <w:szCs w:val="20"/>
              </w:rPr>
            </w:pPr>
            <w:hyperlink r:id="rId45" w:history="1">
              <w:r>
                <w:rPr>
                  <w:rStyle w:val="Hyperlink"/>
                </w:rPr>
                <w:t>paul@carptenterlipps.com</w:t>
              </w:r>
            </w:hyperlink>
          </w:p>
          <w:p w:rsidR="005052FC" w:rsidP="00804B16">
            <w:pPr>
              <w:widowControl w:val="0"/>
              <w:autoSpaceDE w:val="0"/>
              <w:autoSpaceDN w:val="0"/>
              <w:adjustRightInd w:val="0"/>
              <w:ind w:left="-16"/>
            </w:pPr>
            <w:hyperlink r:id="rId23" w:history="1">
              <w:r>
                <w:rPr>
                  <w:rStyle w:val="Hyperlink"/>
                </w:rPr>
                <w:t>kevin.oles@thompsonhine.com</w:t>
              </w:r>
            </w:hyperlink>
          </w:p>
          <w:p w:rsidR="005052FC" w:rsidP="00804B16">
            <w:pPr>
              <w:widowControl w:val="0"/>
              <w:autoSpaceDE w:val="0"/>
              <w:autoSpaceDN w:val="0"/>
              <w:adjustRightInd w:val="0"/>
              <w:spacing w:line="480" w:lineRule="auto"/>
              <w:ind w:left="-16"/>
            </w:pPr>
            <w:hyperlink r:id="rId24" w:history="1">
              <w:r>
                <w:rPr>
                  <w:rStyle w:val="Hyperlink"/>
                </w:rPr>
                <w:t>stephanie.chmiel@thompsonhine.com</w:t>
              </w:r>
            </w:hyperlink>
          </w:p>
          <w:p w:rsidR="005052FC" w:rsidP="00804B16">
            <w:pPr>
              <w:pStyle w:val="BodyText"/>
            </w:pPr>
            <w:r>
              <w:t>Attorney Examiners:</w:t>
            </w:r>
          </w:p>
          <w:p w:rsidR="005052FC" w:rsidP="00804B16">
            <w:pPr>
              <w:pStyle w:val="BodyText"/>
              <w:spacing w:after="0"/>
            </w:pPr>
            <w:hyperlink r:id="rId32" w:history="1">
              <w:r w:rsidRPr="002E67FF">
                <w:rPr>
                  <w:rStyle w:val="Hyperlink"/>
                </w:rPr>
                <w:t>Patricia.schabo@puco.ohio.gov</w:t>
              </w:r>
            </w:hyperlink>
          </w:p>
          <w:p w:rsidR="005052FC" w:rsidP="00804B16">
            <w:r w:rsidRPr="000002F7">
              <w:rPr>
                <w:color w:val="0000FF"/>
                <w:u w:val="single"/>
              </w:rPr>
              <w:t>Michael.williams@puco.ohio.gov</w:t>
            </w:r>
          </w:p>
        </w:tc>
        <w:tc>
          <w:tcPr>
            <w:tcW w:w="4315" w:type="dxa"/>
          </w:tcPr>
          <w:p w:rsidR="005052FC" w:rsidP="00804B16">
            <w:pPr>
              <w:widowControl w:val="0"/>
              <w:autoSpaceDE w:val="0"/>
              <w:autoSpaceDN w:val="0"/>
              <w:adjustRightInd w:val="0"/>
            </w:pPr>
          </w:p>
          <w:p w:rsidR="005052FC" w:rsidP="00804B16">
            <w:pPr>
              <w:widowControl w:val="0"/>
              <w:autoSpaceDE w:val="0"/>
              <w:autoSpaceDN w:val="0"/>
              <w:adjustRightInd w:val="0"/>
            </w:pPr>
          </w:p>
          <w:p w:rsidR="005052FC" w:rsidP="00804B16">
            <w:pPr>
              <w:widowControl w:val="0"/>
              <w:autoSpaceDE w:val="0"/>
              <w:autoSpaceDN w:val="0"/>
              <w:adjustRightInd w:val="0"/>
            </w:pPr>
            <w:hyperlink r:id="rId46" w:history="1">
              <w:r>
                <w:rPr>
                  <w:rStyle w:val="Hyperlink"/>
                </w:rPr>
                <w:t>jsharkey@ficlaw.com</w:t>
              </w:r>
            </w:hyperlink>
          </w:p>
          <w:p w:rsidR="005052FC" w:rsidP="00804B16">
            <w:pPr>
              <w:widowControl w:val="0"/>
              <w:autoSpaceDE w:val="0"/>
              <w:autoSpaceDN w:val="0"/>
              <w:adjustRightInd w:val="0"/>
            </w:pPr>
            <w:hyperlink r:id="rId47" w:history="1">
              <w:r>
                <w:rPr>
                  <w:rStyle w:val="Hyperlink"/>
                </w:rPr>
                <w:t>djireland@ficlaw.com</w:t>
              </w:r>
            </w:hyperlink>
          </w:p>
          <w:p w:rsidR="005052FC" w:rsidP="00804B16">
            <w:pPr>
              <w:widowControl w:val="0"/>
              <w:autoSpaceDE w:val="0"/>
              <w:autoSpaceDN w:val="0"/>
              <w:adjustRightInd w:val="0"/>
            </w:pPr>
            <w:hyperlink r:id="rId48" w:history="1">
              <w:r>
                <w:rPr>
                  <w:rStyle w:val="Hyperlink"/>
                </w:rPr>
                <w:t>chollon@ficlaw.com</w:t>
              </w:r>
            </w:hyperlink>
          </w:p>
          <w:p w:rsidR="005052FC" w:rsidP="00804B16">
            <w:pPr>
              <w:widowControl w:val="0"/>
              <w:autoSpaceDE w:val="0"/>
              <w:autoSpaceDN w:val="0"/>
              <w:adjustRightInd w:val="0"/>
            </w:pPr>
            <w:hyperlink r:id="rId36" w:history="1">
              <w:r>
                <w:rPr>
                  <w:rStyle w:val="Hyperlink"/>
                </w:rPr>
                <w:t>michael.schuler@aes.com</w:t>
              </w:r>
            </w:hyperlink>
          </w:p>
          <w:p w:rsidR="005052FC" w:rsidP="00804B16">
            <w:pPr>
              <w:widowControl w:val="0"/>
              <w:autoSpaceDE w:val="0"/>
              <w:autoSpaceDN w:val="0"/>
              <w:adjustRightInd w:val="0"/>
            </w:pPr>
            <w:hyperlink r:id="rId37" w:history="1">
              <w:r>
                <w:rPr>
                  <w:rStyle w:val="Hyperlink"/>
                </w:rPr>
                <w:t>mkurtz@bkllawfirm.com</w:t>
              </w:r>
            </w:hyperlink>
          </w:p>
          <w:p w:rsidR="005052FC" w:rsidP="00804B16">
            <w:pPr>
              <w:widowControl w:val="0"/>
              <w:autoSpaceDE w:val="0"/>
              <w:autoSpaceDN w:val="0"/>
              <w:adjustRightInd w:val="0"/>
            </w:pPr>
            <w:hyperlink r:id="rId38" w:history="1">
              <w:r>
                <w:rPr>
                  <w:rStyle w:val="Hyperlink"/>
                </w:rPr>
                <w:t>kboehm@bkllawfirm.com</w:t>
              </w:r>
            </w:hyperlink>
          </w:p>
          <w:p w:rsidR="005052FC" w:rsidP="00804B16">
            <w:pPr>
              <w:widowControl w:val="0"/>
              <w:autoSpaceDE w:val="0"/>
              <w:autoSpaceDN w:val="0"/>
              <w:adjustRightInd w:val="0"/>
            </w:pPr>
            <w:hyperlink r:id="rId49" w:history="1">
              <w:r>
                <w:rPr>
                  <w:rStyle w:val="Hyperlink"/>
                </w:rPr>
                <w:t>jkylercohn@bkllawfirm.com</w:t>
              </w:r>
            </w:hyperlink>
          </w:p>
          <w:p w:rsidR="005052FC" w:rsidP="00804B16">
            <w:pPr>
              <w:widowControl w:val="0"/>
              <w:autoSpaceDE w:val="0"/>
              <w:autoSpaceDN w:val="0"/>
              <w:adjustRightInd w:val="0"/>
            </w:pPr>
            <w:hyperlink r:id="rId42" w:history="1">
              <w:r>
                <w:rPr>
                  <w:rStyle w:val="Hyperlink"/>
                </w:rPr>
                <w:t>mpritchard@mcneeslaw.com</w:t>
              </w:r>
            </w:hyperlink>
          </w:p>
          <w:p w:rsidR="005052FC" w:rsidP="00804B16">
            <w:pPr>
              <w:widowControl w:val="0"/>
              <w:autoSpaceDE w:val="0"/>
              <w:autoSpaceDN w:val="0"/>
              <w:adjustRightInd w:val="0"/>
            </w:pPr>
            <w:hyperlink r:id="rId43" w:history="1">
              <w:r>
                <w:rPr>
                  <w:rStyle w:val="Hyperlink"/>
                </w:rPr>
                <w:t>rglover@mcneeslaw.com</w:t>
              </w:r>
            </w:hyperlink>
          </w:p>
          <w:p w:rsidR="005052FC" w:rsidP="00804B16">
            <w:pPr>
              <w:widowControl w:val="0"/>
              <w:autoSpaceDE w:val="0"/>
              <w:autoSpaceDN w:val="0"/>
              <w:adjustRightInd w:val="0"/>
            </w:pPr>
            <w:hyperlink r:id="rId50" w:history="1">
              <w:r w:rsidRPr="002E67FF">
                <w:rPr>
                  <w:rStyle w:val="Hyperlink"/>
                </w:rPr>
                <w:t>slesser@beneschlaw.com</w:t>
              </w:r>
            </w:hyperlink>
          </w:p>
          <w:p w:rsidR="005052FC" w:rsidP="00804B16">
            <w:pPr>
              <w:widowControl w:val="0"/>
              <w:autoSpaceDE w:val="0"/>
              <w:autoSpaceDN w:val="0"/>
              <w:adjustRightInd w:val="0"/>
            </w:pPr>
            <w:hyperlink r:id="rId39" w:history="1">
              <w:r w:rsidRPr="002E67FF">
                <w:rPr>
                  <w:rStyle w:val="Hyperlink"/>
                </w:rPr>
                <w:t>talexander@beneschlaw.com</w:t>
              </w:r>
            </w:hyperlink>
          </w:p>
          <w:p w:rsidR="005052FC" w:rsidP="00804B16">
            <w:pPr>
              <w:widowControl w:val="0"/>
              <w:autoSpaceDE w:val="0"/>
              <w:autoSpaceDN w:val="0"/>
              <w:adjustRightInd w:val="0"/>
            </w:pPr>
            <w:hyperlink r:id="rId51" w:history="1">
              <w:r w:rsidRPr="002E67FF">
                <w:rPr>
                  <w:rStyle w:val="Hyperlink"/>
                </w:rPr>
                <w:t>mkeaney@beneschlaw.com</w:t>
              </w:r>
            </w:hyperlink>
          </w:p>
          <w:p w:rsidR="005052FC" w:rsidP="00804B16">
            <w:pPr>
              <w:widowControl w:val="0"/>
              <w:autoSpaceDE w:val="0"/>
              <w:autoSpaceDN w:val="0"/>
              <w:adjustRightInd w:val="0"/>
            </w:pPr>
            <w:hyperlink r:id="rId52" w:history="1">
              <w:r w:rsidRPr="002E67FF">
                <w:rPr>
                  <w:rStyle w:val="Hyperlink"/>
                </w:rPr>
                <w:t>khehmeyer@beneschlaw.com</w:t>
              </w:r>
            </w:hyperlink>
          </w:p>
          <w:p w:rsidR="005052FC" w:rsidP="00804B16">
            <w:pPr>
              <w:widowControl w:val="0"/>
              <w:autoSpaceDE w:val="0"/>
              <w:autoSpaceDN w:val="0"/>
              <w:adjustRightInd w:val="0"/>
              <w:spacing w:line="480" w:lineRule="auto"/>
            </w:pPr>
          </w:p>
        </w:tc>
      </w:tr>
    </w:tbl>
    <w:p w:rsidR="004D7915" w:rsidRPr="00313C56" w:rsidP="004D7915">
      <w:pPr>
        <w:pStyle w:val="CommentSubject"/>
      </w:pPr>
    </w:p>
    <w:sectPr w:rsidSect="00D35A73">
      <w:headerReference w:type="default" r:id="rId53"/>
      <w:footerReference w:type="default" r:id="rId54"/>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5993656"/>
      <w:docPartObj>
        <w:docPartGallery w:val="Page Numbers (Bottom of Page)"/>
        <w:docPartUnique/>
      </w:docPartObj>
    </w:sdtPr>
    <w:sdtEndPr>
      <w:rPr>
        <w:noProof/>
      </w:rPr>
    </w:sdtEndPr>
    <w:sdtContent>
      <w:p w:rsidR="00B00D64">
        <w:pPr>
          <w:pStyle w:val="Footer"/>
          <w:jc w:val="center"/>
        </w:pPr>
        <w:r>
          <w:t>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0497727"/>
      <w:docPartObj>
        <w:docPartGallery w:val="Page Numbers (Bottom of Page)"/>
        <w:docPartUnique/>
      </w:docPartObj>
    </w:sdtPr>
    <w:sdtEndPr>
      <w:rPr>
        <w:noProof/>
      </w:rPr>
    </w:sdtEndPr>
    <w:sdtContent>
      <w:p w:rsidR="00B00D64">
        <w:pPr>
          <w:pStyle w:val="Footer"/>
          <w:jc w:val="center"/>
        </w:pPr>
        <w:r>
          <w:fldChar w:fldCharType="begin"/>
        </w:r>
        <w:r>
          <w:instrText xml:space="preserve"> PAGE   \* MERGEFORMAT </w:instrText>
        </w:r>
        <w:r>
          <w:fldChar w:fldCharType="separate"/>
        </w:r>
        <w:r w:rsidR="007E692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3668365"/>
      <w:docPartObj>
        <w:docPartGallery w:val="Page Numbers (Bottom of Page)"/>
        <w:docPartUnique/>
      </w:docPartObj>
    </w:sdtPr>
    <w:sdtEndPr>
      <w:rPr>
        <w:noProof/>
      </w:rPr>
    </w:sdtEndPr>
    <w:sdtContent>
      <w:p w:rsidR="00B00D64" w:rsidP="00D35A73">
        <w:pPr>
          <w:pStyle w:val="Footer"/>
          <w:jc w:val="center"/>
        </w:pPr>
        <w:r>
          <w:fldChar w:fldCharType="begin"/>
        </w:r>
        <w:r>
          <w:instrText xml:space="preserve"> PAGE   \* MERGEFORMAT </w:instrText>
        </w:r>
        <w:r>
          <w:fldChar w:fldCharType="separate"/>
        </w:r>
        <w:r w:rsidR="007E692B">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593D">
      <w:r>
        <w:separator/>
      </w:r>
    </w:p>
  </w:footnote>
  <w:footnote w:type="continuationSeparator" w:id="1">
    <w:p w:rsidR="00D6593D">
      <w:r>
        <w:continuationSeparator/>
      </w:r>
    </w:p>
  </w:footnote>
  <w:footnote w:type="continuationNotice" w:id="2">
    <w:p w:rsidR="00D6593D"/>
  </w:footnote>
  <w:footnote w:id="3">
    <w:p w:rsidR="00B00D64" w:rsidRPr="00647660" w:rsidP="00647660">
      <w:pPr>
        <w:pStyle w:val="FootnoteText"/>
        <w:spacing w:after="120"/>
      </w:pPr>
      <w:r w:rsidRPr="00647660">
        <w:rPr>
          <w:rStyle w:val="FootnoteReference"/>
        </w:rPr>
        <w:footnoteRef/>
      </w:r>
      <w:r w:rsidRPr="00647660">
        <w:t xml:space="preserve"> Testimony of Sharon R. Schroder In Support of the Settlement and Recommendation (Nov</w:t>
      </w:r>
      <w:r w:rsidRPr="00647660" w:rsidR="00B27DC5">
        <w:t>.</w:t>
      </w:r>
      <w:r w:rsidRPr="00647660">
        <w:t xml:space="preserve"> 30, 2020) (“Schroder Testimony”).</w:t>
      </w:r>
    </w:p>
  </w:footnote>
  <w:footnote w:id="4">
    <w:p w:rsidR="00B00D64" w:rsidRPr="00647660" w:rsidP="00647660">
      <w:pPr>
        <w:pStyle w:val="FootnoteText"/>
        <w:spacing w:after="120"/>
      </w:pPr>
      <w:r w:rsidRPr="00647660">
        <w:rPr>
          <w:rStyle w:val="FootnoteReference"/>
        </w:rPr>
        <w:footnoteRef/>
      </w:r>
      <w:r w:rsidRPr="00647660">
        <w:t xml:space="preserve"> </w:t>
      </w:r>
      <w:r w:rsidRPr="00647660">
        <w:rPr>
          <w:i/>
        </w:rPr>
        <w:t>In re Dayton Power &amp; Light Co.</w:t>
      </w:r>
      <w:r w:rsidRPr="00647660">
        <w:t xml:space="preserve">, 147 Ohio St.3d 166 (2016) (“The decision of the Public Utilities Commission is reversed on the authority of In re Application of Columbus Southern Power Co., 147 Ohio St.3d 439...”). </w:t>
      </w:r>
      <w:r w:rsidRPr="00647660">
        <w:rPr>
          <w:i/>
        </w:rPr>
        <w:t>In re Application of Columbus S. Power Co.</w:t>
      </w:r>
      <w:r w:rsidRPr="00647660">
        <w:t>, 147 Ohio St.3d 439 (2016) (reversing the PUCO’s approval of a similar “stability” charge for AEP).</w:t>
      </w:r>
    </w:p>
  </w:footnote>
  <w:footnote w:id="5">
    <w:p w:rsidR="00B00D64" w:rsidRPr="00647660" w:rsidP="00647660">
      <w:pPr>
        <w:pStyle w:val="FootnoteText"/>
        <w:spacing w:after="120"/>
      </w:pPr>
      <w:r w:rsidRPr="00647660">
        <w:rPr>
          <w:rStyle w:val="FootnoteReference"/>
        </w:rPr>
        <w:footnoteRef/>
      </w:r>
      <w:r w:rsidRPr="00647660">
        <w:t xml:space="preserve"> </w:t>
      </w:r>
      <w:r w:rsidRPr="00647660">
        <w:rPr>
          <w:i/>
        </w:rPr>
        <w:t>In re Application of Ohio Edison Co.</w:t>
      </w:r>
      <w:r w:rsidRPr="00647660">
        <w:t>, 157 Ohio St.3d 73 (2019).</w:t>
      </w:r>
    </w:p>
  </w:footnote>
  <w:footnote w:id="6">
    <w:p w:rsidR="00B00D64" w:rsidRPr="00647660" w:rsidP="00647660">
      <w:pPr>
        <w:pStyle w:val="FootnoteText"/>
        <w:spacing w:after="120"/>
      </w:pPr>
      <w:r w:rsidRPr="00647660">
        <w:rPr>
          <w:rStyle w:val="FootnoteReference"/>
        </w:rPr>
        <w:footnoteRef/>
      </w:r>
      <w:r w:rsidRPr="00647660">
        <w:t xml:space="preserve"> Case No. 16-395-EL-SSO, Supplemental Opinion &amp; Order (Nov. 21, 2019).</w:t>
      </w:r>
    </w:p>
  </w:footnote>
  <w:footnote w:id="7">
    <w:p w:rsidR="00B00D64" w:rsidRPr="00647660" w:rsidP="00647660">
      <w:pPr>
        <w:pStyle w:val="FootnoteText"/>
        <w:spacing w:after="120"/>
      </w:pPr>
      <w:r w:rsidRPr="00647660">
        <w:rPr>
          <w:rStyle w:val="FootnoteReference"/>
        </w:rPr>
        <w:footnoteRef/>
      </w:r>
      <w:r w:rsidRPr="00647660">
        <w:t xml:space="preserve"> </w:t>
      </w:r>
      <w:r w:rsidRPr="00647660">
        <w:rPr>
          <w:i/>
        </w:rPr>
        <w:t>See generally</w:t>
      </w:r>
      <w:r w:rsidRPr="00647660">
        <w:t xml:space="preserve"> Direct Testimony of Daniel J. Duann, Ph.D. on Behalf of the Office of the Ohio Consumers’ Counsel</w:t>
      </w:r>
      <w:r w:rsidRPr="00647660" w:rsidR="00B27DC5">
        <w:t xml:space="preserve"> (Dec. 17, 2020)</w:t>
      </w:r>
      <w:r w:rsidRPr="00647660">
        <w:t>.</w:t>
      </w:r>
    </w:p>
  </w:footnote>
  <w:footnote w:id="8">
    <w:p w:rsidR="00B00D64" w:rsidRPr="00647660" w:rsidP="00647660">
      <w:pPr>
        <w:pStyle w:val="FootnoteText"/>
        <w:spacing w:after="120"/>
      </w:pPr>
      <w:r w:rsidRPr="00647660">
        <w:rPr>
          <w:rStyle w:val="FootnoteReference"/>
        </w:rPr>
        <w:footnoteRef/>
      </w:r>
      <w:r w:rsidRPr="00647660">
        <w:t xml:space="preserve"> Direct Testimony of R. Jeffrey Malinak at 10, 12 (Apr</w:t>
      </w:r>
      <w:r w:rsidRPr="00647660" w:rsidR="00B27DC5">
        <w:t>.</w:t>
      </w:r>
      <w:r w:rsidRPr="00647660">
        <w:t xml:space="preserve"> 1, 2020).</w:t>
      </w:r>
    </w:p>
  </w:footnote>
  <w:footnote w:id="9">
    <w:p w:rsidR="00B00D64" w:rsidRPr="00647660" w:rsidP="00647660">
      <w:pPr>
        <w:pStyle w:val="FootnoteText"/>
        <w:spacing w:after="120"/>
      </w:pPr>
      <w:r w:rsidRPr="00647660">
        <w:rPr>
          <w:rStyle w:val="FootnoteReference"/>
        </w:rPr>
        <w:footnoteRef/>
      </w:r>
      <w:r w:rsidRPr="00647660">
        <w:t xml:space="preserve"> DPL, Inc. and DP&amp;L SEC Form 10-Q for the period ending September 30, 2020, at 17-18.</w:t>
      </w:r>
    </w:p>
  </w:footnote>
  <w:footnote w:id="10">
    <w:p w:rsidR="00B00D64" w:rsidRPr="00647660" w:rsidP="00647660">
      <w:pPr>
        <w:pStyle w:val="FootnoteText"/>
        <w:spacing w:after="120"/>
      </w:pPr>
      <w:r w:rsidRPr="00647660">
        <w:rPr>
          <w:rStyle w:val="FootnoteReference"/>
        </w:rPr>
        <w:footnoteRef/>
      </w:r>
      <w:r w:rsidRPr="00647660">
        <w:t xml:space="preserve"> Settlement at 43.</w:t>
      </w:r>
    </w:p>
  </w:footnote>
  <w:footnote w:id="11">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xml:space="preserve"> at 25.</w:t>
      </w:r>
    </w:p>
  </w:footnote>
  <w:footnote w:id="12">
    <w:p w:rsidR="00B00D64" w:rsidRPr="00647660" w:rsidP="00647660">
      <w:pPr>
        <w:pStyle w:val="FootnoteText"/>
        <w:spacing w:after="120"/>
      </w:pPr>
      <w:r w:rsidRPr="00647660">
        <w:rPr>
          <w:rStyle w:val="FootnoteReference"/>
        </w:rPr>
        <w:footnoteRef/>
      </w:r>
      <w:r w:rsidRPr="00647660">
        <w:t xml:space="preserve"> Direct Testimony of Dr. Daniel Duann at 4.</w:t>
      </w:r>
    </w:p>
  </w:footnote>
  <w:footnote w:id="13">
    <w:p w:rsidR="00B00D64" w:rsidRPr="00647660" w:rsidP="00647660">
      <w:pPr>
        <w:pStyle w:val="FootnoteText"/>
        <w:spacing w:after="120"/>
      </w:pPr>
      <w:r w:rsidRPr="00647660">
        <w:rPr>
          <w:rStyle w:val="FootnoteReference"/>
        </w:rPr>
        <w:footnoteRef/>
      </w:r>
      <w:r w:rsidRPr="00647660">
        <w:t xml:space="preserve"> My testimony does not take a position on the merits of the SGP provisions in the Settlement, and this is instead addressed by OCC witnesses Alvarez and Williams. </w:t>
      </w:r>
    </w:p>
  </w:footnote>
  <w:footnote w:id="14">
    <w:p w:rsidR="00B00D64" w:rsidRPr="00647660" w:rsidP="00647660">
      <w:pPr>
        <w:pStyle w:val="FootnoteText"/>
        <w:spacing w:after="120"/>
      </w:pPr>
      <w:r w:rsidRPr="00647660">
        <w:rPr>
          <w:rStyle w:val="FootnoteReference"/>
        </w:rPr>
        <w:footnoteRef/>
      </w:r>
      <w:r w:rsidRPr="00647660">
        <w:t xml:space="preserve"> </w:t>
      </w:r>
      <w:r w:rsidRPr="00647660">
        <w:rPr>
          <w:i/>
          <w:iCs/>
        </w:rPr>
        <w:t xml:space="preserve">In the Matter of Ohio Edison Company, The Cleveland Electric Illuminating Company and the Toledo Edison Company for Authority to Provide a Standard Service Offer Pursuant to Section 4928.143, Revised Code in the Form of an Electric Security Plan, </w:t>
      </w:r>
      <w:r w:rsidRPr="00647660">
        <w:t>Case No. 12-1230-EL-SSO, Opinion and Order, at 24 (June 18, 2012).</w:t>
      </w:r>
    </w:p>
  </w:footnote>
  <w:footnote w:id="15">
    <w:p w:rsidR="00B00D64" w:rsidRPr="00647660" w:rsidP="00647660">
      <w:pPr>
        <w:pStyle w:val="FootnoteText"/>
        <w:spacing w:after="120"/>
      </w:pPr>
      <w:r w:rsidRPr="00647660">
        <w:rPr>
          <w:rStyle w:val="FootnoteReference"/>
        </w:rPr>
        <w:footnoteRef/>
      </w:r>
      <w:r w:rsidRPr="00647660">
        <w:t xml:space="preserve"> Schroder Testimony at 12-13.</w:t>
      </w:r>
    </w:p>
  </w:footnote>
  <w:footnote w:id="16">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at 14.</w:t>
      </w:r>
    </w:p>
  </w:footnote>
  <w:footnote w:id="17">
    <w:p w:rsidR="00B00D64" w:rsidRPr="00647660" w:rsidP="00647660">
      <w:pPr>
        <w:pStyle w:val="FootnoteText"/>
        <w:spacing w:after="120"/>
      </w:pPr>
      <w:r w:rsidRPr="00647660">
        <w:rPr>
          <w:rStyle w:val="FootnoteReference"/>
        </w:rPr>
        <w:footnoteRef/>
      </w:r>
      <w:r w:rsidRPr="00647660">
        <w:t xml:space="preserve"> </w:t>
      </w:r>
      <w:r w:rsidRPr="00647660">
        <w:rPr>
          <w:i/>
        </w:rPr>
        <w:t>In re Application of Ohio Edison Co.</w:t>
      </w:r>
      <w:r w:rsidRPr="00647660">
        <w:t>, 157 Ohio St.3d 73 (2019).</w:t>
      </w:r>
    </w:p>
  </w:footnote>
  <w:footnote w:id="18">
    <w:p w:rsidR="00B00D64" w:rsidRPr="00647660" w:rsidP="00647660">
      <w:pPr>
        <w:pStyle w:val="FootnoteText"/>
        <w:spacing w:after="120"/>
      </w:pPr>
      <w:r w:rsidRPr="00647660">
        <w:rPr>
          <w:rStyle w:val="FootnoteReference"/>
        </w:rPr>
        <w:footnoteRef/>
      </w:r>
      <w:r w:rsidRPr="00647660">
        <w:t xml:space="preserve"> Case No. 16-395-EL-SSO, Supplemental Opinion &amp; Order (Nov</w:t>
      </w:r>
      <w:r w:rsidRPr="00647660" w:rsidR="00BD0947">
        <w:t>.</w:t>
      </w:r>
      <w:r w:rsidRPr="00647660">
        <w:t xml:space="preserve"> 21, 2019).</w:t>
      </w:r>
    </w:p>
  </w:footnote>
  <w:footnote w:id="19">
    <w:p w:rsidR="00B00D64" w:rsidRPr="00647660" w:rsidP="00647660">
      <w:pPr>
        <w:pStyle w:val="FootnoteText"/>
        <w:spacing w:after="120"/>
      </w:pPr>
      <w:r w:rsidRPr="00647660">
        <w:rPr>
          <w:rStyle w:val="FootnoteReference"/>
        </w:rPr>
        <w:footnoteRef/>
      </w:r>
      <w:r w:rsidRPr="00647660">
        <w:t xml:space="preserve"> Schroder Testimony at 15.</w:t>
      </w:r>
    </w:p>
  </w:footnote>
  <w:footnote w:id="20">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at 20, 23.</w:t>
      </w:r>
    </w:p>
  </w:footnote>
  <w:footnote w:id="21">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at 24-25.</w:t>
      </w:r>
    </w:p>
  </w:footnote>
  <w:footnote w:id="22">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xml:space="preserve"> at 26-28.</w:t>
      </w:r>
    </w:p>
  </w:footnote>
  <w:footnote w:id="23">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at 28.</w:t>
      </w:r>
    </w:p>
  </w:footnote>
  <w:footnote w:id="24">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xml:space="preserve"> at 32-35.</w:t>
      </w:r>
    </w:p>
  </w:footnote>
  <w:footnote w:id="25">
    <w:p w:rsidR="00B00D64" w:rsidRPr="00647660" w:rsidP="00647660">
      <w:pPr>
        <w:pStyle w:val="FootnoteText"/>
        <w:spacing w:after="120"/>
      </w:pPr>
      <w:r w:rsidRPr="00647660">
        <w:rPr>
          <w:rStyle w:val="FootnoteReference"/>
        </w:rPr>
        <w:footnoteRef/>
      </w:r>
      <w:r w:rsidRPr="00647660">
        <w:t xml:space="preserve"> </w:t>
      </w:r>
      <w:r w:rsidRPr="00647660">
        <w:rPr>
          <w:i/>
        </w:rPr>
        <w:t>Id</w:t>
      </w:r>
      <w:r w:rsidRPr="00647660">
        <w:t>. at 32.</w:t>
      </w:r>
    </w:p>
  </w:footnote>
  <w:footnote w:id="26">
    <w:p w:rsidR="00B00D64" w:rsidRPr="00647660" w:rsidP="00647660">
      <w:pPr>
        <w:pStyle w:val="FootnoteText"/>
        <w:spacing w:after="120"/>
      </w:pPr>
      <w:r w:rsidRPr="00647660">
        <w:rPr>
          <w:rStyle w:val="FootnoteReference"/>
        </w:rPr>
        <w:footnoteRef/>
      </w:r>
      <w:r w:rsidRPr="00647660">
        <w:t xml:space="preserve"> </w:t>
      </w:r>
      <w:r w:rsidRPr="00647660">
        <w:rPr>
          <w:szCs w:val="24"/>
        </w:rPr>
        <w:t>Case Nos. 08-1094-EL-SSO, Finding &amp; Order ¶ 23 (Aug. 26, 2016).</w:t>
      </w:r>
    </w:p>
  </w:footnote>
  <w:footnote w:id="27">
    <w:p w:rsidR="00B00D64" w:rsidRPr="00647660" w:rsidP="00647660">
      <w:pPr>
        <w:pStyle w:val="FootnoteText"/>
        <w:spacing w:after="120"/>
        <w:rPr>
          <w:szCs w:val="24"/>
        </w:rPr>
      </w:pPr>
      <w:r w:rsidRPr="00647660">
        <w:rPr>
          <w:rStyle w:val="FootnoteReference"/>
          <w:szCs w:val="24"/>
        </w:rPr>
        <w:footnoteRef/>
      </w:r>
      <w:r w:rsidRPr="00647660">
        <w:rPr>
          <w:i/>
          <w:iCs/>
          <w:szCs w:val="24"/>
        </w:rPr>
        <w:t xml:space="preserve"> In the Matter of DP&amp;L’s Application</w:t>
      </w:r>
      <w:r w:rsidRPr="00647660">
        <w:rPr>
          <w:szCs w:val="24"/>
        </w:rPr>
        <w:t>, Case No. 08-1094-EL-SSO, Finding and Order at ¶23 (Aug. 26, 2016)</w:t>
      </w:r>
      <w:r w:rsidRPr="00647660" w:rsidR="006E0C41">
        <w:rPr>
          <w:szCs w:val="24"/>
        </w:rPr>
        <w:t xml:space="preserve">. </w:t>
      </w:r>
    </w:p>
  </w:footnote>
  <w:footnote w:id="28">
    <w:p w:rsidR="007E692B" w:rsidRPr="00647660" w:rsidP="00647660">
      <w:pPr>
        <w:pStyle w:val="FootnoteText"/>
        <w:spacing w:after="120"/>
      </w:pPr>
      <w:r w:rsidRPr="00647660">
        <w:rPr>
          <w:rStyle w:val="FootnoteReference"/>
        </w:rPr>
        <w:footnoteRef/>
      </w:r>
      <w:r w:rsidRPr="00647660">
        <w:t xml:space="preserve"> </w:t>
      </w:r>
      <w:r w:rsidRPr="00647660">
        <w:rPr>
          <w:i/>
        </w:rPr>
        <w:t>See</w:t>
      </w:r>
      <w:r w:rsidRPr="00647660">
        <w:t xml:space="preserve"> </w:t>
      </w:r>
      <w:hyperlink r:id="rId1" w:history="1">
        <w:r w:rsidRPr="00647660">
          <w:rPr>
            <w:rStyle w:val="Hyperlink"/>
          </w:rPr>
          <w:t>http://www.occ.ohio.gov/sites/default/files/images/refunds041020/piechart-111820.jpeg</w:t>
        </w:r>
      </w:hyperlink>
      <w:r w:rsidRPr="00647660">
        <w:t xml:space="preserve">. </w:t>
      </w:r>
    </w:p>
  </w:footnote>
  <w:footnote w:id="29">
    <w:p w:rsidR="00B00D64" w:rsidRPr="00647660" w:rsidP="00647660">
      <w:pPr>
        <w:pStyle w:val="FootnoteText"/>
        <w:spacing w:after="120"/>
      </w:pPr>
      <w:r w:rsidRPr="00647660">
        <w:rPr>
          <w:rStyle w:val="FootnoteReference"/>
        </w:rPr>
        <w:footnoteRef/>
      </w:r>
      <w:r w:rsidRPr="00647660" w:rsidR="007E692B">
        <w:t xml:space="preserve"> </w:t>
      </w:r>
      <w:r w:rsidRPr="00647660" w:rsidR="007E692B">
        <w:rPr>
          <w:i/>
        </w:rPr>
        <w:t xml:space="preserve">See </w:t>
      </w:r>
      <w:r w:rsidRPr="00647660" w:rsidR="007E692B">
        <w:t>Duann Testimony</w:t>
      </w:r>
      <w:r w:rsidRPr="00647660">
        <w:t>.</w:t>
      </w:r>
    </w:p>
  </w:footnote>
  <w:footnote w:id="30">
    <w:p w:rsidR="00B00D64" w:rsidRPr="00647660" w:rsidP="00647660">
      <w:pPr>
        <w:pStyle w:val="FootnoteText"/>
        <w:spacing w:after="120"/>
      </w:pPr>
      <w:r w:rsidRPr="00647660">
        <w:rPr>
          <w:rStyle w:val="FootnoteReference"/>
        </w:rPr>
        <w:footnoteRef/>
      </w:r>
      <w:r w:rsidRPr="00647660">
        <w:t xml:space="preserve"> </w:t>
      </w:r>
      <w:r w:rsidRPr="00647660">
        <w:rPr>
          <w:i/>
          <w:iCs/>
        </w:rPr>
        <w:t xml:space="preserve">In the Matter of the Application of Dayton Power and Light Company to Increase its Rates for Electric Distribution </w:t>
      </w:r>
      <w:r w:rsidRPr="00647660">
        <w:t>Case No. 20-1651-EL-AIR, Application, Book I, Volume I, ¶ 6 (Nov</w:t>
      </w:r>
      <w:r w:rsidR="00CA0278">
        <w:t>.</w:t>
      </w:r>
      <w:r w:rsidRPr="00647660">
        <w:t xml:space="preserve"> 30, 2020).</w:t>
      </w:r>
    </w:p>
  </w:footnote>
  <w:footnote w:id="31">
    <w:p w:rsidR="00B00D64" w:rsidRPr="00647660" w:rsidP="00647660">
      <w:pPr>
        <w:pStyle w:val="FootnoteText"/>
        <w:spacing w:after="120"/>
      </w:pPr>
      <w:r w:rsidRPr="00647660">
        <w:rPr>
          <w:rStyle w:val="FootnoteReference"/>
        </w:rPr>
        <w:footnoteRef/>
      </w:r>
      <w:r w:rsidRPr="00647660">
        <w:t xml:space="preserve"> DPL, Inc/DP&amp;L SEC 10-Q for the quarter ended September 30, 2020, at 21. The DPL, Inc. balance sheet shows non-utility long-term debt of about $820 million and outstanding draw on its credit facility of $90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rsidRPr="0091061A" w:rsidP="004A7370">
    <w:pPr>
      <w:pStyle w:val="Header"/>
      <w:jc w:val="center"/>
      <w:rPr>
        <w:i/>
        <w:iCs/>
      </w:rPr>
    </w:pPr>
    <w:r>
      <w:rPr>
        <w:i/>
        <w:iCs/>
      </w:rPr>
      <w:t xml:space="preserve">Supplemental Direct </w:t>
    </w:r>
    <w:r w:rsidRPr="0091061A">
      <w:rPr>
        <w:i/>
        <w:iCs/>
      </w:rPr>
      <w:t xml:space="preserve">Testimony of </w:t>
    </w:r>
    <w:r>
      <w:rPr>
        <w:i/>
        <w:iCs/>
      </w:rPr>
      <w:t>Matthew I. Kahal</w:t>
    </w:r>
  </w:p>
  <w:p w:rsidR="00B00D64" w:rsidRPr="0091061A" w:rsidP="004A7370">
    <w:pPr>
      <w:pStyle w:val="Header"/>
      <w:jc w:val="center"/>
      <w:rPr>
        <w:i/>
        <w:iCs/>
      </w:rPr>
    </w:pPr>
    <w:r w:rsidRPr="0091061A">
      <w:rPr>
        <w:i/>
        <w:iCs/>
      </w:rPr>
      <w:t>On Behalf of the Office of the Ohio Consumers’ Counsel</w:t>
    </w:r>
  </w:p>
  <w:p w:rsidR="00B00D64" w:rsidP="004A7370">
    <w:pPr>
      <w:pStyle w:val="Header"/>
      <w:jc w:val="center"/>
      <w:rPr>
        <w:i/>
        <w:iCs/>
      </w:rPr>
    </w:pPr>
    <w:r w:rsidRPr="0091061A">
      <w:rPr>
        <w:i/>
        <w:iCs/>
      </w:rPr>
      <w:t xml:space="preserve">PUCO Case No. </w:t>
    </w:r>
    <w:r>
      <w:rPr>
        <w:i/>
        <w:iCs/>
      </w:rPr>
      <w:t>18-1875-EL-GRD, et. al.</w:t>
    </w:r>
  </w:p>
  <w:p w:rsidR="00B00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64" w:rsidRPr="00D35A73" w:rsidP="00D3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6B6D3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105D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4C1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EC9F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F61D78"/>
    <w:lvl w:ilvl="0">
      <w:start w:val="1"/>
      <w:numFmt w:val="bullet"/>
      <w:pStyle w:val="DataRequest"/>
      <w:lvlText w:val=""/>
      <w:lvlJc w:val="left"/>
      <w:pPr>
        <w:tabs>
          <w:tab w:val="num" w:pos="1800"/>
        </w:tabs>
        <w:ind w:left="1800" w:hanging="360"/>
      </w:pPr>
      <w:rPr>
        <w:rFonts w:ascii="Symbol" w:hAnsi="Symbol" w:hint="default"/>
      </w:rPr>
    </w:lvl>
  </w:abstractNum>
  <w:abstractNum w:abstractNumId="5">
    <w:nsid w:val="FFFFFF81"/>
    <w:multiLevelType w:val="singleLevel"/>
    <w:tmpl w:val="5F9C3D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0A8BEA"/>
    <w:lvl w:ilvl="0">
      <w:start w:val="1"/>
      <w:numFmt w:val="bullet"/>
      <w:pStyle w:val="Heading5"/>
      <w:lvlText w:val=""/>
      <w:lvlJc w:val="left"/>
      <w:pPr>
        <w:tabs>
          <w:tab w:val="num" w:pos="1080"/>
        </w:tabs>
        <w:ind w:left="1080" w:hanging="360"/>
      </w:pPr>
      <w:rPr>
        <w:rFonts w:ascii="Symbol" w:hAnsi="Symbol" w:hint="default"/>
      </w:rPr>
    </w:lvl>
  </w:abstractNum>
  <w:abstractNum w:abstractNumId="7">
    <w:nsid w:val="FFFFFF83"/>
    <w:multiLevelType w:val="singleLevel"/>
    <w:tmpl w:val="EA66D124"/>
    <w:lvl w:ilvl="0">
      <w:start w:val="1"/>
      <w:numFmt w:val="bullet"/>
      <w:pStyle w:val="DataSubparts"/>
      <w:lvlText w:val=""/>
      <w:lvlJc w:val="left"/>
      <w:pPr>
        <w:tabs>
          <w:tab w:val="num" w:pos="720"/>
        </w:tabs>
        <w:ind w:left="720" w:hanging="360"/>
      </w:pPr>
      <w:rPr>
        <w:rFonts w:ascii="Symbol" w:hAnsi="Symbol" w:hint="default"/>
      </w:rPr>
    </w:lvl>
  </w:abstractNum>
  <w:abstractNum w:abstractNumId="8">
    <w:nsid w:val="FFFFFF88"/>
    <w:multiLevelType w:val="singleLevel"/>
    <w:tmpl w:val="F3E67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C26B92"/>
    <w:lvl w:ilvl="0">
      <w:start w:val="1"/>
      <w:numFmt w:val="bullet"/>
      <w:lvlText w:val=""/>
      <w:lvlJc w:val="left"/>
      <w:pPr>
        <w:tabs>
          <w:tab w:val="num" w:pos="360"/>
        </w:tabs>
        <w:ind w:left="360" w:hanging="360"/>
      </w:pPr>
      <w:rPr>
        <w:rFonts w:ascii="Symbol" w:hAnsi="Symbol" w:hint="default"/>
      </w:rPr>
    </w:lvl>
  </w:abstractNum>
  <w:abstractNum w:abstractNumId="10">
    <w:nsid w:val="03835E35"/>
    <w:multiLevelType w:val="hybridMultilevel"/>
    <w:tmpl w:val="66180D6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CD0458B"/>
    <w:multiLevelType w:val="multilevel"/>
    <w:tmpl w:val="EF60E95C"/>
    <w:lvl w:ilvl="0">
      <w:start w:val="1"/>
      <w:numFmt w:val="none"/>
      <w:lvlText w:val="Q."/>
      <w:lvlJc w:val="left"/>
      <w:pPr>
        <w:tabs>
          <w:tab w:val="num" w:pos="1440"/>
        </w:tabs>
        <w:ind w:left="1440" w:hanging="1440"/>
      </w:pPr>
      <w:rPr>
        <w:rFonts w:ascii="Times New Roman" w:hAnsi="Times New Roman" w:cs="Times New Roman" w:hint="default"/>
        <w:caps/>
        <w:strike w:val="0"/>
        <w:dstrike w:val="0"/>
        <w:vanish w:val="0"/>
        <w:color w:val="000000"/>
        <w:sz w:val="24"/>
        <w:vertAlign w:val="baseline"/>
      </w:rPr>
    </w:lvl>
    <w:lvl w:ilvl="1">
      <w:start w:val="1"/>
      <w:numFmt w:val="decimal"/>
      <w:lvlText w:val="A%2."/>
      <w:lvlJc w:val="left"/>
      <w:pPr>
        <w:tabs>
          <w:tab w:val="num" w:pos="810"/>
        </w:tabs>
        <w:ind w:left="810" w:hanging="720"/>
      </w:pPr>
      <w:rPr>
        <w:rFonts w:cs="Times New Roman" w:hint="default"/>
        <w:b/>
        <w:bCs w:val="0"/>
        <w:i/>
        <w:iCs w:val="0"/>
        <w:caps w:val="0"/>
        <w:smallCaps w:val="0"/>
        <w:strike w:val="0"/>
        <w:dstrike w:val="0"/>
        <w:vanish w:val="0"/>
        <w:color w:val="000000"/>
        <w:spacing w:val="0"/>
        <w:kern w:val="0"/>
        <w:position w:val="0"/>
        <w:u w:val="none"/>
        <w:effect w:val="none"/>
        <w:vertAlign w:val="baseline"/>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abstractNum w:abstractNumId="12">
    <w:nsid w:val="11680498"/>
    <w:multiLevelType w:val="hybridMultilevel"/>
    <w:tmpl w:val="D2D81F60"/>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nsid w:val="11895F62"/>
    <w:multiLevelType w:val="hybridMultilevel"/>
    <w:tmpl w:val="F0DE2E46"/>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12493905"/>
    <w:multiLevelType w:val="hybridMultilevel"/>
    <w:tmpl w:val="860276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374C67"/>
    <w:multiLevelType w:val="hybridMultilevel"/>
    <w:tmpl w:val="82C2EF4C"/>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DDE0F24"/>
    <w:multiLevelType w:val="hybridMultilevel"/>
    <w:tmpl w:val="70E2153A"/>
    <w:lvl w:ilvl="0">
      <w:start w:val="1"/>
      <w:numFmt w:val="decimal"/>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08A7B77"/>
    <w:multiLevelType w:val="hybridMultilevel"/>
    <w:tmpl w:val="BA725D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0E65D9F"/>
    <w:multiLevelType w:val="multilevel"/>
    <w:tmpl w:val="004A50A8"/>
    <w:lvl w:ilvl="0">
      <w:start w:val="1"/>
      <w:numFmt w:val="none"/>
      <w:pStyle w:val="ListBullet"/>
      <w:lvlText w:val="A."/>
      <w:lvlJc w:val="left"/>
      <w:pPr>
        <w:tabs>
          <w:tab w:val="num" w:pos="720"/>
        </w:tabs>
        <w:ind w:left="720" w:hanging="720"/>
      </w:pPr>
      <w:rPr>
        <w:rFonts w:cs="Times New Roman" w:hint="default"/>
      </w:rPr>
    </w:lvl>
    <w:lvl w:ilvl="1">
      <w:start w:val="1"/>
      <w:numFmt w:val="none"/>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19">
    <w:nsid w:val="25422051"/>
    <w:multiLevelType w:val="hybridMultilevel"/>
    <w:tmpl w:val="D9F0720A"/>
    <w:lvl w:ilvl="0">
      <w:start w:val="1"/>
      <w:numFmt w:val="decimal"/>
      <w:lvlText w:val="%1."/>
      <w:lvlJc w:val="left"/>
      <w:pPr>
        <w:ind w:left="2160" w:hanging="360"/>
      </w:pPr>
      <w:rPr>
        <w:rFonts w:cs="Times New Roman" w:hint="default"/>
        <w:spacing w:val="20"/>
        <w:kern w:val="16"/>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6623E2C"/>
    <w:multiLevelType w:val="hybridMultilevel"/>
    <w:tmpl w:val="B2FE442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21">
    <w:nsid w:val="297D622E"/>
    <w:multiLevelType w:val="multilevel"/>
    <w:tmpl w:val="2FE8599E"/>
    <w:lvl w:ilvl="0">
      <w:start w:val="1"/>
      <w:numFmt w:val="decimal"/>
      <w:pStyle w:val="ListBullet2"/>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224"/>
        </w:tabs>
        <w:ind w:left="1224" w:hanging="504"/>
      </w:pPr>
      <w:rPr>
        <w:rFonts w:cs="Times New Roman" w:hint="default"/>
        <w:sz w:val="24"/>
      </w:rPr>
    </w:lvl>
    <w:lvl w:ilvl="2">
      <w:start w:val="1"/>
      <w:numFmt w:val="decimal"/>
      <w:lvlText w:val="(%3)"/>
      <w:lvlJc w:val="left"/>
      <w:pPr>
        <w:tabs>
          <w:tab w:val="num" w:pos="1944"/>
        </w:tabs>
        <w:ind w:left="1944" w:hanging="648"/>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22">
    <w:nsid w:val="2AF4087E"/>
    <w:multiLevelType w:val="hybridMultilevel"/>
    <w:tmpl w:val="EC6A53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3">
    <w:nsid w:val="2C6B3DA3"/>
    <w:multiLevelType w:val="hybridMultilevel"/>
    <w:tmpl w:val="B5B6A4D2"/>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2DF956E9"/>
    <w:multiLevelType w:val="hybridMultilevel"/>
    <w:tmpl w:val="DFC880F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2CD289B"/>
    <w:multiLevelType w:val="multilevel"/>
    <w:tmpl w:val="A9DCEDEE"/>
    <w:lvl w:ilvl="0">
      <w:start w:val="1"/>
      <w:numFmt w:val="decimal"/>
      <w:lvlText w:val="A%1."/>
      <w:lvlJc w:val="left"/>
      <w:pPr>
        <w:ind w:left="630" w:hanging="360"/>
      </w:pPr>
      <w:rPr>
        <w:rFonts w:cs="Times New Roman" w:hint="default"/>
        <w:b/>
        <w:i/>
      </w:rPr>
    </w:lvl>
    <w:lvl w:ilvl="1">
      <w:start w:val="1"/>
      <w:numFmt w:val="none"/>
      <w:lvlJc w:val="left"/>
      <w:pPr>
        <w:tabs>
          <w:tab w:val="num" w:pos="3528"/>
        </w:tabs>
        <w:ind w:left="3528" w:hanging="648"/>
      </w:pPr>
      <w:rPr>
        <w:rFonts w:cs="Times New Roman" w:hint="default"/>
      </w:rPr>
    </w:lvl>
    <w:lvl w:ilvl="2">
      <w:start w:val="1"/>
      <w:numFmt w:val="none"/>
      <w:lvlJc w:val="left"/>
      <w:pPr>
        <w:tabs>
          <w:tab w:val="num" w:pos="3528"/>
        </w:tabs>
        <w:ind w:left="3528" w:hanging="648"/>
      </w:pPr>
      <w:rPr>
        <w:rFonts w:cs="Times New Roman"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26">
    <w:nsid w:val="32D85013"/>
    <w:multiLevelType w:val="multilevel"/>
    <w:tmpl w:val="2B5CEB84"/>
    <w:lvl w:ilvl="0">
      <w:start w:val="1"/>
      <w:numFmt w:val="none"/>
      <w:lvlText w:val="A."/>
      <w:lvlJc w:val="left"/>
      <w:pPr>
        <w:tabs>
          <w:tab w:val="num" w:pos="720"/>
        </w:tabs>
        <w:ind w:left="720" w:hanging="720"/>
      </w:pPr>
      <w:rPr>
        <w:rFonts w:cs="Times New Roman" w:hint="default"/>
      </w:rPr>
    </w:lvl>
    <w:lvl w:ilvl="1">
      <w:start w:val="1"/>
      <w:numFmt w:val="none"/>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27">
    <w:nsid w:val="36E34F9A"/>
    <w:multiLevelType w:val="hybridMultilevel"/>
    <w:tmpl w:val="F3D60F96"/>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8">
    <w:nsid w:val="37533AB0"/>
    <w:multiLevelType w:val="hybridMultilevel"/>
    <w:tmpl w:val="72E892A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3C651FFC"/>
    <w:multiLevelType w:val="hybridMultilevel"/>
    <w:tmpl w:val="6C72EDBA"/>
    <w:lvl w:ilvl="0">
      <w:start w:val="1"/>
      <w:numFmt w:val="upperLetter"/>
      <w:lvlText w:val="%1."/>
      <w:lvlJc w:val="left"/>
      <w:pPr>
        <w:ind w:left="1440" w:hanging="72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E8771C0"/>
    <w:multiLevelType w:val="multilevel"/>
    <w:tmpl w:val="317CE78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nsid w:val="42877F67"/>
    <w:multiLevelType w:val="hybridMultilevel"/>
    <w:tmpl w:val="2A2A0C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4A4125D"/>
    <w:multiLevelType w:val="hybridMultilevel"/>
    <w:tmpl w:val="31C604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DE043C0"/>
    <w:multiLevelType w:val="hybridMultilevel"/>
    <w:tmpl w:val="9EA4A4E6"/>
    <w:lvl w:ilvl="0">
      <w:start w:val="1"/>
      <w:numFmt w:val="bullet"/>
      <w:lvlText w:val=""/>
      <w:lvlJc w:val="left"/>
      <w:pPr>
        <w:ind w:left="1440" w:hanging="360"/>
      </w:pPr>
      <w:rPr>
        <w:rFonts w:ascii="Symbol" w:hAnsi="Symbol" w:hint="default"/>
        <w:sz w:val="16"/>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4">
    <w:nsid w:val="4EDF165E"/>
    <w:multiLevelType w:val="hybridMultilevel"/>
    <w:tmpl w:val="AC5CC0C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5">
    <w:nsid w:val="4F5D5C3B"/>
    <w:multiLevelType w:val="hybridMultilevel"/>
    <w:tmpl w:val="123281D4"/>
    <w:lvl w:ilvl="0">
      <w:start w:val="1"/>
      <w:numFmt w:val="upperLetter"/>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nsid w:val="502F7395"/>
    <w:multiLevelType w:val="multilevel"/>
    <w:tmpl w:val="D25CAC1C"/>
    <w:lvl w:ilvl="0">
      <w:start w:val="1"/>
      <w:numFmt w:val="decimal"/>
      <w:lvlText w:val="%1"/>
      <w:lvlJc w:val="left"/>
      <w:pPr>
        <w:ind w:left="432" w:hanging="432"/>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nsid w:val="52D206F5"/>
    <w:multiLevelType w:val="hybridMultilevel"/>
    <w:tmpl w:val="3D566746"/>
    <w:lvl w:ilvl="0">
      <w:start w:val="1"/>
      <w:numFmt w:val="bullet"/>
      <w:lvlText w:val="•"/>
      <w:lvlJc w:val="left"/>
      <w:pPr>
        <w:ind w:left="2160" w:hanging="360"/>
      </w:pPr>
      <w:rPr>
        <w:rFonts w:ascii="Times New Roman" w:hAnsi="Times New Roman"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54C548FC"/>
    <w:multiLevelType w:val="hybridMultilevel"/>
    <w:tmpl w:val="73782C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9">
    <w:nsid w:val="5A2503DE"/>
    <w:multiLevelType w:val="hybridMultilevel"/>
    <w:tmpl w:val="F8B83BFE"/>
    <w:lvl w:ilvl="0">
      <w:start w:val="1"/>
      <w:numFmt w:val="upperLetter"/>
      <w:pStyle w:val="Heading2"/>
      <w:lvlText w:val="%1."/>
      <w:lvlJc w:val="left"/>
      <w:pPr>
        <w:ind w:left="1890" w:hanging="72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5C1E2BC7"/>
    <w:multiLevelType w:val="hybridMultilevel"/>
    <w:tmpl w:val="C8D879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D0A19E5"/>
    <w:multiLevelType w:val="hybridMultilevel"/>
    <w:tmpl w:val="4C90B9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2AE068F"/>
    <w:multiLevelType w:val="hybridMultilevel"/>
    <w:tmpl w:val="B832EDB8"/>
    <w:lvl w:ilvl="0">
      <w:start w:val="1"/>
      <w:numFmt w:val="upperLetter"/>
      <w:pStyle w:val="SubHeading"/>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33D7804"/>
    <w:multiLevelType w:val="hybridMultilevel"/>
    <w:tmpl w:val="2C88A118"/>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5D039F8"/>
    <w:multiLevelType w:val="hybridMultilevel"/>
    <w:tmpl w:val="06FA177A"/>
    <w:lvl w:ilvl="0">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68BA7E55"/>
    <w:multiLevelType w:val="hybridMultilevel"/>
    <w:tmpl w:val="C5B06FC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6">
    <w:nsid w:val="69635425"/>
    <w:multiLevelType w:val="hybridMultilevel"/>
    <w:tmpl w:val="07CC5BE0"/>
    <w:lvl w:ilvl="0">
      <w:start w:val="1"/>
      <w:numFmt w:val="decimal"/>
      <w:lvlText w:val="Q%1."/>
      <w:lvlJc w:val="left"/>
      <w:pPr>
        <w:ind w:left="720" w:hanging="36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6ADF2FDF"/>
    <w:multiLevelType w:val="hybridMultilevel"/>
    <w:tmpl w:val="30DE3392"/>
    <w:lvl w:ilvl="0">
      <w:start w:val="1"/>
      <w:numFmt w:val="upperRoman"/>
      <w:lvlText w:val="%1."/>
      <w:lvlJc w:val="left"/>
      <w:pPr>
        <w:ind w:left="4680" w:hanging="72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48">
    <w:nsid w:val="73C47EA5"/>
    <w:multiLevelType w:val="hybridMultilevel"/>
    <w:tmpl w:val="CC403554"/>
    <w:lvl w:ilvl="0">
      <w:start w:val="1"/>
      <w:numFmt w:val="bullet"/>
      <w:lvlText w:val=""/>
      <w:lvlJc w:val="left"/>
      <w:pPr>
        <w:ind w:left="1800" w:hanging="360"/>
      </w:pPr>
      <w:rPr>
        <w:rFonts w:ascii="Symbol" w:hAnsi="Symbol" w:hint="default"/>
        <w:sz w:val="20"/>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9">
    <w:nsid w:val="765E4587"/>
    <w:multiLevelType w:val="hybridMultilevel"/>
    <w:tmpl w:val="0CCC329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0">
    <w:nsid w:val="7B292210"/>
    <w:multiLevelType w:val="hybridMultilevel"/>
    <w:tmpl w:val="49BE8DCE"/>
    <w:lvl w:ilvl="0">
      <w:start w:val="3"/>
      <w:numFmt w:val="bullet"/>
      <w:lvlText w:val="-"/>
      <w:lvlJc w:val="left"/>
      <w:pPr>
        <w:ind w:left="1800" w:hanging="360"/>
      </w:pPr>
      <w:rPr>
        <w:rFonts w:ascii="Arial" w:eastAsia="Times New Roman" w:hAnsi="Aria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1">
    <w:nsid w:val="7E542108"/>
    <w:multiLevelType w:val="hybridMultilevel"/>
    <w:tmpl w:val="F44481BC"/>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2">
    <w:nsid w:val="7FAE04DE"/>
    <w:multiLevelType w:val="multilevel"/>
    <w:tmpl w:val="FB4AE6F8"/>
    <w:lvl w:ilvl="0">
      <w:start w:val="1"/>
      <w:numFmt w:val="decimal"/>
      <w:pStyle w:val="DirectQuestion"/>
      <w:lvlText w:val="Q%1."/>
      <w:lvlJc w:val="left"/>
      <w:pPr>
        <w:tabs>
          <w:tab w:val="num" w:pos="8190"/>
        </w:tabs>
        <w:ind w:left="8190" w:hanging="1440"/>
      </w:pPr>
      <w:rPr>
        <w:rFonts w:cs="Times New Roman" w:hint="default"/>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52"/>
  </w:num>
  <w:num w:numId="23">
    <w:abstractNumId w:val="18"/>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30"/>
  </w:num>
  <w:num w:numId="32">
    <w:abstractNumId w:val="30"/>
  </w:num>
  <w:num w:numId="33">
    <w:abstractNumId w:val="30"/>
  </w:num>
  <w:num w:numId="34">
    <w:abstractNumId w:val="50"/>
  </w:num>
  <w:num w:numId="35">
    <w:abstractNumId w:val="20"/>
  </w:num>
  <w:num w:numId="36">
    <w:abstractNumId w:val="26"/>
  </w:num>
  <w:num w:numId="37">
    <w:abstractNumId w:val="22"/>
  </w:num>
  <w:num w:numId="38">
    <w:abstractNumId w:val="9"/>
  </w:num>
  <w:num w:numId="39">
    <w:abstractNumId w:val="48"/>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 w:numId="50">
    <w:abstractNumId w:val="26"/>
  </w:num>
  <w:num w:numId="51">
    <w:abstractNumId w:val="36"/>
  </w:num>
  <w:num w:numId="52">
    <w:abstractNumId w:val="46"/>
  </w:num>
  <w:num w:numId="53">
    <w:abstractNumId w:val="45"/>
  </w:num>
  <w:num w:numId="54">
    <w:abstractNumId w:val="34"/>
  </w:num>
  <w:num w:numId="55">
    <w:abstractNumId w:val="38"/>
  </w:num>
  <w:num w:numId="56">
    <w:abstractNumId w:val="19"/>
  </w:num>
  <w:num w:numId="57">
    <w:abstractNumId w:val="49"/>
  </w:num>
  <w:num w:numId="58">
    <w:abstractNumId w:val="11"/>
  </w:num>
  <w:num w:numId="59">
    <w:abstractNumId w:val="11"/>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12"/>
  </w:num>
  <w:num w:numId="64">
    <w:abstractNumId w:val="51"/>
  </w:num>
  <w:num w:numId="65">
    <w:abstractNumId w:val="33"/>
  </w:num>
  <w:num w:numId="66">
    <w:abstractNumId w:val="41"/>
  </w:num>
  <w:num w:numId="67">
    <w:abstractNumId w:val="44"/>
  </w:num>
  <w:num w:numId="68">
    <w:abstractNumId w:val="13"/>
  </w:num>
  <w:num w:numId="69">
    <w:abstractNumId w:val="35"/>
  </w:num>
  <w:num w:numId="70">
    <w:abstractNumId w:val="23"/>
  </w:num>
  <w:num w:numId="71">
    <w:abstractNumId w:val="23"/>
    <w:lvlOverride w:ilvl="0">
      <w:startOverride w:val="2"/>
    </w:lvlOverride>
  </w:num>
  <w:num w:numId="72">
    <w:abstractNumId w:val="23"/>
    <w:lvlOverride w:ilvl="0">
      <w:startOverride w:val="1"/>
    </w:lvlOverride>
  </w:num>
  <w:num w:numId="73">
    <w:abstractNumId w:val="23"/>
  </w:num>
  <w:num w:numId="74">
    <w:abstractNumId w:val="25"/>
  </w:num>
  <w:num w:numId="75">
    <w:abstractNumId w:val="39"/>
  </w:num>
  <w:num w:numId="76">
    <w:abstractNumId w:val="10"/>
  </w:num>
  <w:num w:numId="77">
    <w:abstractNumId w:val="32"/>
  </w:num>
  <w:num w:numId="78">
    <w:abstractNumId w:val="37"/>
  </w:num>
  <w:num w:numId="79">
    <w:abstractNumId w:val="43"/>
  </w:num>
  <w:num w:numId="80">
    <w:abstractNumId w:val="39"/>
    <w:lvlOverride w:ilvl="0">
      <w:startOverride w:val="1"/>
    </w:lvlOverride>
  </w:num>
  <w:num w:numId="81">
    <w:abstractNumId w:val="25"/>
  </w:num>
  <w:num w:numId="82">
    <w:abstractNumId w:val="40"/>
  </w:num>
  <w:num w:numId="83">
    <w:abstractNumId w:val="47"/>
  </w:num>
  <w:num w:numId="84">
    <w:abstractNumId w:val="47"/>
    <w:lvlOverride w:ilvl="0">
      <w:startOverride w:val="1"/>
    </w:lvlOverride>
  </w:num>
  <w:num w:numId="85">
    <w:abstractNumId w:val="39"/>
    <w:lvlOverride w:ilvl="0">
      <w:startOverride w:val="1"/>
    </w:lvlOverride>
  </w:num>
  <w:num w:numId="86">
    <w:abstractNumId w:val="39"/>
    <w:lvlOverride w:ilvl="0">
      <w:startOverride w:val="1"/>
    </w:lvlOverride>
  </w:num>
  <w:num w:numId="87">
    <w:abstractNumId w:val="25"/>
  </w:num>
  <w:num w:numId="88">
    <w:abstractNumId w:val="28"/>
  </w:num>
  <w:num w:numId="89">
    <w:abstractNumId w:val="15"/>
  </w:num>
  <w:num w:numId="90">
    <w:abstractNumId w:val="14"/>
  </w:num>
  <w:num w:numId="91">
    <w:abstractNumId w:val="29"/>
  </w:num>
  <w:num w:numId="92">
    <w:abstractNumId w:val="24"/>
  </w:num>
  <w:num w:numId="93">
    <w:abstractNumId w:val="31"/>
  </w:num>
  <w:num w:numId="94">
    <w:abstractNumId w:val="16"/>
  </w:num>
  <w:num w:numId="95">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 w:id="2"/>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4D"/>
    <w:rsid w:val="000002F7"/>
    <w:rsid w:val="00000463"/>
    <w:rsid w:val="00003EAA"/>
    <w:rsid w:val="000062BB"/>
    <w:rsid w:val="00010BEF"/>
    <w:rsid w:val="00010C7B"/>
    <w:rsid w:val="00011674"/>
    <w:rsid w:val="0001171B"/>
    <w:rsid w:val="0001222E"/>
    <w:rsid w:val="00013684"/>
    <w:rsid w:val="00013D8F"/>
    <w:rsid w:val="00021301"/>
    <w:rsid w:val="0002217B"/>
    <w:rsid w:val="000236EB"/>
    <w:rsid w:val="000245B4"/>
    <w:rsid w:val="000246DC"/>
    <w:rsid w:val="00027744"/>
    <w:rsid w:val="00030247"/>
    <w:rsid w:val="000327CA"/>
    <w:rsid w:val="00036A8F"/>
    <w:rsid w:val="00037C42"/>
    <w:rsid w:val="00043715"/>
    <w:rsid w:val="0005013E"/>
    <w:rsid w:val="000522F5"/>
    <w:rsid w:val="0005511B"/>
    <w:rsid w:val="00056C7B"/>
    <w:rsid w:val="00060B74"/>
    <w:rsid w:val="00060D68"/>
    <w:rsid w:val="000610D6"/>
    <w:rsid w:val="00061497"/>
    <w:rsid w:val="00062377"/>
    <w:rsid w:val="00063733"/>
    <w:rsid w:val="00063844"/>
    <w:rsid w:val="00065951"/>
    <w:rsid w:val="000674AF"/>
    <w:rsid w:val="0007065D"/>
    <w:rsid w:val="00070836"/>
    <w:rsid w:val="00071787"/>
    <w:rsid w:val="000721F9"/>
    <w:rsid w:val="0007296F"/>
    <w:rsid w:val="00072E85"/>
    <w:rsid w:val="0007321B"/>
    <w:rsid w:val="00074855"/>
    <w:rsid w:val="00075DEE"/>
    <w:rsid w:val="00076247"/>
    <w:rsid w:val="0007661F"/>
    <w:rsid w:val="0007718F"/>
    <w:rsid w:val="00080445"/>
    <w:rsid w:val="00080B5C"/>
    <w:rsid w:val="00080D48"/>
    <w:rsid w:val="00080E01"/>
    <w:rsid w:val="00083A82"/>
    <w:rsid w:val="000845DB"/>
    <w:rsid w:val="00085EB4"/>
    <w:rsid w:val="0009028D"/>
    <w:rsid w:val="0009300D"/>
    <w:rsid w:val="00097622"/>
    <w:rsid w:val="00097730"/>
    <w:rsid w:val="00097888"/>
    <w:rsid w:val="00097CA9"/>
    <w:rsid w:val="000A091E"/>
    <w:rsid w:val="000A258E"/>
    <w:rsid w:val="000A4492"/>
    <w:rsid w:val="000B0754"/>
    <w:rsid w:val="000B26F1"/>
    <w:rsid w:val="000B365A"/>
    <w:rsid w:val="000B7086"/>
    <w:rsid w:val="000C0AA3"/>
    <w:rsid w:val="000C2FD8"/>
    <w:rsid w:val="000D0487"/>
    <w:rsid w:val="000D45B5"/>
    <w:rsid w:val="000D4CBB"/>
    <w:rsid w:val="000D61B3"/>
    <w:rsid w:val="000D669D"/>
    <w:rsid w:val="000E15B0"/>
    <w:rsid w:val="000E1F3F"/>
    <w:rsid w:val="000E27E2"/>
    <w:rsid w:val="000E2B6F"/>
    <w:rsid w:val="000E35AA"/>
    <w:rsid w:val="000E3C7A"/>
    <w:rsid w:val="000E414C"/>
    <w:rsid w:val="000E417E"/>
    <w:rsid w:val="000E482F"/>
    <w:rsid w:val="000E51EC"/>
    <w:rsid w:val="000E547B"/>
    <w:rsid w:val="000E6855"/>
    <w:rsid w:val="000E6873"/>
    <w:rsid w:val="000E7DCB"/>
    <w:rsid w:val="000F3754"/>
    <w:rsid w:val="000F502F"/>
    <w:rsid w:val="000F53D6"/>
    <w:rsid w:val="000F6326"/>
    <w:rsid w:val="000F72E9"/>
    <w:rsid w:val="001024DD"/>
    <w:rsid w:val="00106207"/>
    <w:rsid w:val="00106586"/>
    <w:rsid w:val="00113935"/>
    <w:rsid w:val="00115167"/>
    <w:rsid w:val="00115F49"/>
    <w:rsid w:val="00116281"/>
    <w:rsid w:val="00116C28"/>
    <w:rsid w:val="001177CC"/>
    <w:rsid w:val="00120823"/>
    <w:rsid w:val="001255A3"/>
    <w:rsid w:val="00125FD5"/>
    <w:rsid w:val="00126764"/>
    <w:rsid w:val="001268C5"/>
    <w:rsid w:val="001311DB"/>
    <w:rsid w:val="00131DD6"/>
    <w:rsid w:val="00135DA3"/>
    <w:rsid w:val="00140323"/>
    <w:rsid w:val="00142692"/>
    <w:rsid w:val="00145BB1"/>
    <w:rsid w:val="001461D9"/>
    <w:rsid w:val="0015041A"/>
    <w:rsid w:val="001512C7"/>
    <w:rsid w:val="001513F6"/>
    <w:rsid w:val="00151DD3"/>
    <w:rsid w:val="00153AB3"/>
    <w:rsid w:val="001540F8"/>
    <w:rsid w:val="001548C8"/>
    <w:rsid w:val="0015754B"/>
    <w:rsid w:val="001601A4"/>
    <w:rsid w:val="001619EE"/>
    <w:rsid w:val="00165BBF"/>
    <w:rsid w:val="00170040"/>
    <w:rsid w:val="00171DC4"/>
    <w:rsid w:val="0017237F"/>
    <w:rsid w:val="001728A7"/>
    <w:rsid w:val="00173230"/>
    <w:rsid w:val="00175B21"/>
    <w:rsid w:val="00181371"/>
    <w:rsid w:val="00182276"/>
    <w:rsid w:val="00182DE9"/>
    <w:rsid w:val="00185B09"/>
    <w:rsid w:val="00187060"/>
    <w:rsid w:val="001875CB"/>
    <w:rsid w:val="001875CE"/>
    <w:rsid w:val="0019041E"/>
    <w:rsid w:val="00194F59"/>
    <w:rsid w:val="00195D15"/>
    <w:rsid w:val="00195DB2"/>
    <w:rsid w:val="001A054D"/>
    <w:rsid w:val="001A111B"/>
    <w:rsid w:val="001A3355"/>
    <w:rsid w:val="001B048C"/>
    <w:rsid w:val="001B0EA3"/>
    <w:rsid w:val="001B145B"/>
    <w:rsid w:val="001B22D4"/>
    <w:rsid w:val="001B297F"/>
    <w:rsid w:val="001B2EE9"/>
    <w:rsid w:val="001B31E5"/>
    <w:rsid w:val="001B3650"/>
    <w:rsid w:val="001B454D"/>
    <w:rsid w:val="001B56C3"/>
    <w:rsid w:val="001C1921"/>
    <w:rsid w:val="001C3927"/>
    <w:rsid w:val="001C3B0F"/>
    <w:rsid w:val="001C4732"/>
    <w:rsid w:val="001C5814"/>
    <w:rsid w:val="001C60DE"/>
    <w:rsid w:val="001C6334"/>
    <w:rsid w:val="001C74F7"/>
    <w:rsid w:val="001D1183"/>
    <w:rsid w:val="001D1E7B"/>
    <w:rsid w:val="001D2D31"/>
    <w:rsid w:val="001E03D3"/>
    <w:rsid w:val="001E0CEE"/>
    <w:rsid w:val="001E1508"/>
    <w:rsid w:val="001E36CF"/>
    <w:rsid w:val="001E37AD"/>
    <w:rsid w:val="001E48B5"/>
    <w:rsid w:val="001E4A56"/>
    <w:rsid w:val="001F2305"/>
    <w:rsid w:val="001F792F"/>
    <w:rsid w:val="001F7CD5"/>
    <w:rsid w:val="00200A62"/>
    <w:rsid w:val="002019CD"/>
    <w:rsid w:val="0020293B"/>
    <w:rsid w:val="00202C50"/>
    <w:rsid w:val="00202EC4"/>
    <w:rsid w:val="002035B4"/>
    <w:rsid w:val="0020481C"/>
    <w:rsid w:val="00204F9A"/>
    <w:rsid w:val="002117B1"/>
    <w:rsid w:val="00212C28"/>
    <w:rsid w:val="002138C7"/>
    <w:rsid w:val="00216726"/>
    <w:rsid w:val="00216957"/>
    <w:rsid w:val="002223EA"/>
    <w:rsid w:val="0022254D"/>
    <w:rsid w:val="002258A3"/>
    <w:rsid w:val="00225A1E"/>
    <w:rsid w:val="00231D52"/>
    <w:rsid w:val="0023370D"/>
    <w:rsid w:val="00235373"/>
    <w:rsid w:val="00236202"/>
    <w:rsid w:val="002400C5"/>
    <w:rsid w:val="00240398"/>
    <w:rsid w:val="00242BAC"/>
    <w:rsid w:val="00244AFF"/>
    <w:rsid w:val="0024511E"/>
    <w:rsid w:val="0024536F"/>
    <w:rsid w:val="002460F0"/>
    <w:rsid w:val="00246DC6"/>
    <w:rsid w:val="002508A3"/>
    <w:rsid w:val="00252087"/>
    <w:rsid w:val="0025436C"/>
    <w:rsid w:val="002545C0"/>
    <w:rsid w:val="00254AF1"/>
    <w:rsid w:val="0025555F"/>
    <w:rsid w:val="00263278"/>
    <w:rsid w:val="002666ED"/>
    <w:rsid w:val="00266767"/>
    <w:rsid w:val="00267042"/>
    <w:rsid w:val="002730A8"/>
    <w:rsid w:val="002763A0"/>
    <w:rsid w:val="002767DF"/>
    <w:rsid w:val="00277404"/>
    <w:rsid w:val="00280661"/>
    <w:rsid w:val="002824A7"/>
    <w:rsid w:val="00282580"/>
    <w:rsid w:val="00283FC9"/>
    <w:rsid w:val="00287235"/>
    <w:rsid w:val="0029071E"/>
    <w:rsid w:val="00291E6C"/>
    <w:rsid w:val="00291EA0"/>
    <w:rsid w:val="00292E2B"/>
    <w:rsid w:val="00294021"/>
    <w:rsid w:val="002942AE"/>
    <w:rsid w:val="00294697"/>
    <w:rsid w:val="002947F6"/>
    <w:rsid w:val="0029480B"/>
    <w:rsid w:val="00294D2C"/>
    <w:rsid w:val="00297D31"/>
    <w:rsid w:val="002A04E4"/>
    <w:rsid w:val="002A066F"/>
    <w:rsid w:val="002A0953"/>
    <w:rsid w:val="002A11E6"/>
    <w:rsid w:val="002A2C02"/>
    <w:rsid w:val="002A328D"/>
    <w:rsid w:val="002B1132"/>
    <w:rsid w:val="002B6E19"/>
    <w:rsid w:val="002B7B5C"/>
    <w:rsid w:val="002C0DA7"/>
    <w:rsid w:val="002C0E82"/>
    <w:rsid w:val="002C1E90"/>
    <w:rsid w:val="002C1FA8"/>
    <w:rsid w:val="002C56C3"/>
    <w:rsid w:val="002D06EA"/>
    <w:rsid w:val="002D2551"/>
    <w:rsid w:val="002D2E3E"/>
    <w:rsid w:val="002D347A"/>
    <w:rsid w:val="002D36DD"/>
    <w:rsid w:val="002D4FE1"/>
    <w:rsid w:val="002D69F0"/>
    <w:rsid w:val="002D7936"/>
    <w:rsid w:val="002E0A0E"/>
    <w:rsid w:val="002E48A1"/>
    <w:rsid w:val="002E67FF"/>
    <w:rsid w:val="002F07F2"/>
    <w:rsid w:val="002F1CA3"/>
    <w:rsid w:val="002F3274"/>
    <w:rsid w:val="002F59B2"/>
    <w:rsid w:val="002F7052"/>
    <w:rsid w:val="002F767C"/>
    <w:rsid w:val="00300072"/>
    <w:rsid w:val="00300D7C"/>
    <w:rsid w:val="00302A4E"/>
    <w:rsid w:val="00302B98"/>
    <w:rsid w:val="0030322D"/>
    <w:rsid w:val="00304415"/>
    <w:rsid w:val="003079E4"/>
    <w:rsid w:val="00307AD8"/>
    <w:rsid w:val="00307B34"/>
    <w:rsid w:val="00311FD8"/>
    <w:rsid w:val="0031272E"/>
    <w:rsid w:val="00312F0B"/>
    <w:rsid w:val="0031372B"/>
    <w:rsid w:val="003137F0"/>
    <w:rsid w:val="00313C56"/>
    <w:rsid w:val="003152B3"/>
    <w:rsid w:val="0031599B"/>
    <w:rsid w:val="00316B05"/>
    <w:rsid w:val="003239A6"/>
    <w:rsid w:val="003243DF"/>
    <w:rsid w:val="00327D46"/>
    <w:rsid w:val="003310D8"/>
    <w:rsid w:val="00332C7A"/>
    <w:rsid w:val="00337C25"/>
    <w:rsid w:val="0034299F"/>
    <w:rsid w:val="003432B6"/>
    <w:rsid w:val="003444BA"/>
    <w:rsid w:val="00344F9A"/>
    <w:rsid w:val="00352A76"/>
    <w:rsid w:val="003531B8"/>
    <w:rsid w:val="00353BB0"/>
    <w:rsid w:val="00353CDA"/>
    <w:rsid w:val="00354C29"/>
    <w:rsid w:val="00357434"/>
    <w:rsid w:val="0035795D"/>
    <w:rsid w:val="003619E3"/>
    <w:rsid w:val="00362467"/>
    <w:rsid w:val="00363576"/>
    <w:rsid w:val="00364A57"/>
    <w:rsid w:val="00364AD9"/>
    <w:rsid w:val="003651C7"/>
    <w:rsid w:val="0036552E"/>
    <w:rsid w:val="003655FE"/>
    <w:rsid w:val="0036779D"/>
    <w:rsid w:val="0037187E"/>
    <w:rsid w:val="0037208D"/>
    <w:rsid w:val="00372909"/>
    <w:rsid w:val="00374EC9"/>
    <w:rsid w:val="00376AA5"/>
    <w:rsid w:val="00382C50"/>
    <w:rsid w:val="003848BD"/>
    <w:rsid w:val="00384B45"/>
    <w:rsid w:val="00385722"/>
    <w:rsid w:val="00386852"/>
    <w:rsid w:val="0038694F"/>
    <w:rsid w:val="0038785C"/>
    <w:rsid w:val="00392548"/>
    <w:rsid w:val="00397354"/>
    <w:rsid w:val="003A6113"/>
    <w:rsid w:val="003A6694"/>
    <w:rsid w:val="003B0CBF"/>
    <w:rsid w:val="003B2053"/>
    <w:rsid w:val="003B3055"/>
    <w:rsid w:val="003C0CDB"/>
    <w:rsid w:val="003C5CFF"/>
    <w:rsid w:val="003C6792"/>
    <w:rsid w:val="003D0F79"/>
    <w:rsid w:val="003D2F28"/>
    <w:rsid w:val="003D5288"/>
    <w:rsid w:val="003D5C41"/>
    <w:rsid w:val="003D7E42"/>
    <w:rsid w:val="003E1FD6"/>
    <w:rsid w:val="003E28CE"/>
    <w:rsid w:val="003E55A6"/>
    <w:rsid w:val="003E6C96"/>
    <w:rsid w:val="003F0D33"/>
    <w:rsid w:val="003F10C3"/>
    <w:rsid w:val="003F4F6D"/>
    <w:rsid w:val="003F5D1A"/>
    <w:rsid w:val="003F7E3E"/>
    <w:rsid w:val="00400019"/>
    <w:rsid w:val="004001AF"/>
    <w:rsid w:val="004011B2"/>
    <w:rsid w:val="004013C5"/>
    <w:rsid w:val="004029FB"/>
    <w:rsid w:val="004044EE"/>
    <w:rsid w:val="0040476D"/>
    <w:rsid w:val="004128A6"/>
    <w:rsid w:val="00412D67"/>
    <w:rsid w:val="00413E6D"/>
    <w:rsid w:val="00422281"/>
    <w:rsid w:val="00431961"/>
    <w:rsid w:val="0043248A"/>
    <w:rsid w:val="0043592A"/>
    <w:rsid w:val="00435F9F"/>
    <w:rsid w:val="00437E58"/>
    <w:rsid w:val="00437F13"/>
    <w:rsid w:val="00446C88"/>
    <w:rsid w:val="00447336"/>
    <w:rsid w:val="0044737C"/>
    <w:rsid w:val="004512A8"/>
    <w:rsid w:val="004536A2"/>
    <w:rsid w:val="00453D26"/>
    <w:rsid w:val="004625DE"/>
    <w:rsid w:val="004630A2"/>
    <w:rsid w:val="00463CCC"/>
    <w:rsid w:val="00465347"/>
    <w:rsid w:val="0046743C"/>
    <w:rsid w:val="00470310"/>
    <w:rsid w:val="00473812"/>
    <w:rsid w:val="004752C9"/>
    <w:rsid w:val="00477F05"/>
    <w:rsid w:val="00481389"/>
    <w:rsid w:val="00482C0B"/>
    <w:rsid w:val="004830D2"/>
    <w:rsid w:val="00484FC8"/>
    <w:rsid w:val="00485C74"/>
    <w:rsid w:val="00486ADE"/>
    <w:rsid w:val="00486B4F"/>
    <w:rsid w:val="00486FF4"/>
    <w:rsid w:val="0048752C"/>
    <w:rsid w:val="00495D45"/>
    <w:rsid w:val="004A4A6A"/>
    <w:rsid w:val="004A5C37"/>
    <w:rsid w:val="004A7370"/>
    <w:rsid w:val="004A74E3"/>
    <w:rsid w:val="004B1DBD"/>
    <w:rsid w:val="004B2EB7"/>
    <w:rsid w:val="004B7176"/>
    <w:rsid w:val="004B7C08"/>
    <w:rsid w:val="004C21BA"/>
    <w:rsid w:val="004C28E8"/>
    <w:rsid w:val="004C428D"/>
    <w:rsid w:val="004C5BE6"/>
    <w:rsid w:val="004C7B89"/>
    <w:rsid w:val="004D17BF"/>
    <w:rsid w:val="004D2733"/>
    <w:rsid w:val="004D4048"/>
    <w:rsid w:val="004D563B"/>
    <w:rsid w:val="004D6147"/>
    <w:rsid w:val="004D6E82"/>
    <w:rsid w:val="004D7546"/>
    <w:rsid w:val="004D7915"/>
    <w:rsid w:val="004E18F4"/>
    <w:rsid w:val="004E4A9F"/>
    <w:rsid w:val="004E60EF"/>
    <w:rsid w:val="004E727E"/>
    <w:rsid w:val="004E797D"/>
    <w:rsid w:val="004E7AE0"/>
    <w:rsid w:val="004F0158"/>
    <w:rsid w:val="004F06DB"/>
    <w:rsid w:val="004F09B9"/>
    <w:rsid w:val="004F2A02"/>
    <w:rsid w:val="004F3FAF"/>
    <w:rsid w:val="004F68D6"/>
    <w:rsid w:val="004F7FDD"/>
    <w:rsid w:val="00500F6A"/>
    <w:rsid w:val="0050107C"/>
    <w:rsid w:val="005022BB"/>
    <w:rsid w:val="00502D12"/>
    <w:rsid w:val="005031E1"/>
    <w:rsid w:val="005052FC"/>
    <w:rsid w:val="00505A13"/>
    <w:rsid w:val="00505AEA"/>
    <w:rsid w:val="00505EF8"/>
    <w:rsid w:val="005062AE"/>
    <w:rsid w:val="00510FA9"/>
    <w:rsid w:val="00512208"/>
    <w:rsid w:val="00512217"/>
    <w:rsid w:val="00513D0D"/>
    <w:rsid w:val="0051426D"/>
    <w:rsid w:val="005144C0"/>
    <w:rsid w:val="00516A53"/>
    <w:rsid w:val="005170CE"/>
    <w:rsid w:val="0052068F"/>
    <w:rsid w:val="00520728"/>
    <w:rsid w:val="005218A2"/>
    <w:rsid w:val="0052345B"/>
    <w:rsid w:val="005245F6"/>
    <w:rsid w:val="00524A36"/>
    <w:rsid w:val="00524F7D"/>
    <w:rsid w:val="005260CD"/>
    <w:rsid w:val="0053362C"/>
    <w:rsid w:val="00533B28"/>
    <w:rsid w:val="005347E0"/>
    <w:rsid w:val="00534E0F"/>
    <w:rsid w:val="00536536"/>
    <w:rsid w:val="005365F3"/>
    <w:rsid w:val="00537623"/>
    <w:rsid w:val="00537A4B"/>
    <w:rsid w:val="0054110D"/>
    <w:rsid w:val="00545564"/>
    <w:rsid w:val="00545F3B"/>
    <w:rsid w:val="0054735C"/>
    <w:rsid w:val="005518D0"/>
    <w:rsid w:val="005529B0"/>
    <w:rsid w:val="00556482"/>
    <w:rsid w:val="005565F7"/>
    <w:rsid w:val="005616C6"/>
    <w:rsid w:val="00562C65"/>
    <w:rsid w:val="0056314D"/>
    <w:rsid w:val="0056488D"/>
    <w:rsid w:val="00565058"/>
    <w:rsid w:val="00570F3D"/>
    <w:rsid w:val="00576A00"/>
    <w:rsid w:val="00582425"/>
    <w:rsid w:val="00583182"/>
    <w:rsid w:val="00583938"/>
    <w:rsid w:val="00583CE2"/>
    <w:rsid w:val="00583FCF"/>
    <w:rsid w:val="005858E7"/>
    <w:rsid w:val="00590C0D"/>
    <w:rsid w:val="00592D9B"/>
    <w:rsid w:val="00592F6F"/>
    <w:rsid w:val="00595E10"/>
    <w:rsid w:val="00597436"/>
    <w:rsid w:val="005977AD"/>
    <w:rsid w:val="005A1397"/>
    <w:rsid w:val="005A22B6"/>
    <w:rsid w:val="005A2854"/>
    <w:rsid w:val="005A5D45"/>
    <w:rsid w:val="005A6044"/>
    <w:rsid w:val="005A773A"/>
    <w:rsid w:val="005B2A65"/>
    <w:rsid w:val="005B3D89"/>
    <w:rsid w:val="005B6643"/>
    <w:rsid w:val="005B6733"/>
    <w:rsid w:val="005B7A78"/>
    <w:rsid w:val="005B7B57"/>
    <w:rsid w:val="005C0635"/>
    <w:rsid w:val="005C732A"/>
    <w:rsid w:val="005D29CA"/>
    <w:rsid w:val="005D3A38"/>
    <w:rsid w:val="005D3D5C"/>
    <w:rsid w:val="005D49DE"/>
    <w:rsid w:val="005D5C9C"/>
    <w:rsid w:val="005D668D"/>
    <w:rsid w:val="005D72FF"/>
    <w:rsid w:val="005E0AD2"/>
    <w:rsid w:val="005E3D15"/>
    <w:rsid w:val="005E4DF2"/>
    <w:rsid w:val="005E7896"/>
    <w:rsid w:val="005F2DB4"/>
    <w:rsid w:val="005F305B"/>
    <w:rsid w:val="005F3EE3"/>
    <w:rsid w:val="005F5541"/>
    <w:rsid w:val="00600D73"/>
    <w:rsid w:val="00602FB2"/>
    <w:rsid w:val="00603DD3"/>
    <w:rsid w:val="006046AF"/>
    <w:rsid w:val="006050A4"/>
    <w:rsid w:val="00605B8D"/>
    <w:rsid w:val="00606E84"/>
    <w:rsid w:val="006076F7"/>
    <w:rsid w:val="00607B33"/>
    <w:rsid w:val="00612093"/>
    <w:rsid w:val="006121C3"/>
    <w:rsid w:val="00612988"/>
    <w:rsid w:val="00613B9D"/>
    <w:rsid w:val="00616447"/>
    <w:rsid w:val="00616FAC"/>
    <w:rsid w:val="00620002"/>
    <w:rsid w:val="00624FAF"/>
    <w:rsid w:val="0062502E"/>
    <w:rsid w:val="00626CE9"/>
    <w:rsid w:val="00632154"/>
    <w:rsid w:val="00632E42"/>
    <w:rsid w:val="006338D5"/>
    <w:rsid w:val="00633994"/>
    <w:rsid w:val="00633B4E"/>
    <w:rsid w:val="00633C85"/>
    <w:rsid w:val="006351DF"/>
    <w:rsid w:val="00635C23"/>
    <w:rsid w:val="00636B76"/>
    <w:rsid w:val="0063720E"/>
    <w:rsid w:val="00643A1C"/>
    <w:rsid w:val="00643FC4"/>
    <w:rsid w:val="00644002"/>
    <w:rsid w:val="00647660"/>
    <w:rsid w:val="006508B6"/>
    <w:rsid w:val="00651752"/>
    <w:rsid w:val="00651783"/>
    <w:rsid w:val="00651E05"/>
    <w:rsid w:val="00656651"/>
    <w:rsid w:val="00656D34"/>
    <w:rsid w:val="00660A41"/>
    <w:rsid w:val="00661BE5"/>
    <w:rsid w:val="00662DCF"/>
    <w:rsid w:val="00662F4D"/>
    <w:rsid w:val="00665639"/>
    <w:rsid w:val="00666183"/>
    <w:rsid w:val="00670899"/>
    <w:rsid w:val="00672B0B"/>
    <w:rsid w:val="00672DD9"/>
    <w:rsid w:val="00674C74"/>
    <w:rsid w:val="006822FE"/>
    <w:rsid w:val="00683885"/>
    <w:rsid w:val="00684273"/>
    <w:rsid w:val="0068446D"/>
    <w:rsid w:val="00686455"/>
    <w:rsid w:val="0069353E"/>
    <w:rsid w:val="00693C25"/>
    <w:rsid w:val="00694323"/>
    <w:rsid w:val="00695F54"/>
    <w:rsid w:val="00697C29"/>
    <w:rsid w:val="006A0E20"/>
    <w:rsid w:val="006A170C"/>
    <w:rsid w:val="006A2360"/>
    <w:rsid w:val="006A36CC"/>
    <w:rsid w:val="006A39A8"/>
    <w:rsid w:val="006A3AF3"/>
    <w:rsid w:val="006A51A6"/>
    <w:rsid w:val="006A52C3"/>
    <w:rsid w:val="006A77B3"/>
    <w:rsid w:val="006B2D99"/>
    <w:rsid w:val="006C0ABE"/>
    <w:rsid w:val="006C197C"/>
    <w:rsid w:val="006C1B97"/>
    <w:rsid w:val="006C2377"/>
    <w:rsid w:val="006C5E61"/>
    <w:rsid w:val="006C5F67"/>
    <w:rsid w:val="006C719B"/>
    <w:rsid w:val="006D2643"/>
    <w:rsid w:val="006D2EF1"/>
    <w:rsid w:val="006D373F"/>
    <w:rsid w:val="006D4AC0"/>
    <w:rsid w:val="006D7FD6"/>
    <w:rsid w:val="006E09F8"/>
    <w:rsid w:val="006E0C41"/>
    <w:rsid w:val="006E302E"/>
    <w:rsid w:val="006E32D6"/>
    <w:rsid w:val="006E40E3"/>
    <w:rsid w:val="006E47B8"/>
    <w:rsid w:val="006E4B48"/>
    <w:rsid w:val="006E51C8"/>
    <w:rsid w:val="006F2B9D"/>
    <w:rsid w:val="006F3867"/>
    <w:rsid w:val="006F3F5F"/>
    <w:rsid w:val="006F4577"/>
    <w:rsid w:val="006F4747"/>
    <w:rsid w:val="006F71F4"/>
    <w:rsid w:val="0070189F"/>
    <w:rsid w:val="0070316A"/>
    <w:rsid w:val="00705794"/>
    <w:rsid w:val="00706553"/>
    <w:rsid w:val="00706B71"/>
    <w:rsid w:val="00710CB1"/>
    <w:rsid w:val="00710EB3"/>
    <w:rsid w:val="0071179E"/>
    <w:rsid w:val="00711E62"/>
    <w:rsid w:val="00712AB0"/>
    <w:rsid w:val="00712AE0"/>
    <w:rsid w:val="0071411D"/>
    <w:rsid w:val="00714699"/>
    <w:rsid w:val="00715360"/>
    <w:rsid w:val="00720347"/>
    <w:rsid w:val="0072541A"/>
    <w:rsid w:val="00725901"/>
    <w:rsid w:val="00725A96"/>
    <w:rsid w:val="00726F9B"/>
    <w:rsid w:val="00731BAD"/>
    <w:rsid w:val="00733EFC"/>
    <w:rsid w:val="00737362"/>
    <w:rsid w:val="00741AD2"/>
    <w:rsid w:val="00742F7E"/>
    <w:rsid w:val="00743C7F"/>
    <w:rsid w:val="007448FC"/>
    <w:rsid w:val="0074520E"/>
    <w:rsid w:val="00745940"/>
    <w:rsid w:val="00745DCE"/>
    <w:rsid w:val="0074769B"/>
    <w:rsid w:val="00750EED"/>
    <w:rsid w:val="0075472F"/>
    <w:rsid w:val="0075535A"/>
    <w:rsid w:val="0075633D"/>
    <w:rsid w:val="007573A2"/>
    <w:rsid w:val="007574FD"/>
    <w:rsid w:val="007613C0"/>
    <w:rsid w:val="00761583"/>
    <w:rsid w:val="007638D1"/>
    <w:rsid w:val="007663B0"/>
    <w:rsid w:val="007665B9"/>
    <w:rsid w:val="00767CB2"/>
    <w:rsid w:val="00770682"/>
    <w:rsid w:val="00773551"/>
    <w:rsid w:val="00776E92"/>
    <w:rsid w:val="00783B12"/>
    <w:rsid w:val="00785525"/>
    <w:rsid w:val="0078614E"/>
    <w:rsid w:val="00790165"/>
    <w:rsid w:val="00793411"/>
    <w:rsid w:val="007966BA"/>
    <w:rsid w:val="007966E3"/>
    <w:rsid w:val="007973EE"/>
    <w:rsid w:val="007A18B3"/>
    <w:rsid w:val="007A2FC0"/>
    <w:rsid w:val="007A65C7"/>
    <w:rsid w:val="007A693E"/>
    <w:rsid w:val="007B09FC"/>
    <w:rsid w:val="007B2CA2"/>
    <w:rsid w:val="007B3B95"/>
    <w:rsid w:val="007B4771"/>
    <w:rsid w:val="007B6845"/>
    <w:rsid w:val="007C04C2"/>
    <w:rsid w:val="007C3418"/>
    <w:rsid w:val="007C3F3F"/>
    <w:rsid w:val="007C4D63"/>
    <w:rsid w:val="007C71FE"/>
    <w:rsid w:val="007D0787"/>
    <w:rsid w:val="007D0E6D"/>
    <w:rsid w:val="007D164B"/>
    <w:rsid w:val="007D4548"/>
    <w:rsid w:val="007E255C"/>
    <w:rsid w:val="007E2B70"/>
    <w:rsid w:val="007E2C03"/>
    <w:rsid w:val="007E344D"/>
    <w:rsid w:val="007E3C39"/>
    <w:rsid w:val="007E46A3"/>
    <w:rsid w:val="007E5042"/>
    <w:rsid w:val="007E692B"/>
    <w:rsid w:val="007F0D26"/>
    <w:rsid w:val="007F1E57"/>
    <w:rsid w:val="007F2BE4"/>
    <w:rsid w:val="007F4212"/>
    <w:rsid w:val="00802407"/>
    <w:rsid w:val="008026EA"/>
    <w:rsid w:val="008035C4"/>
    <w:rsid w:val="00804320"/>
    <w:rsid w:val="00804B16"/>
    <w:rsid w:val="00804F07"/>
    <w:rsid w:val="0080645C"/>
    <w:rsid w:val="00812BBA"/>
    <w:rsid w:val="008155C8"/>
    <w:rsid w:val="008165C4"/>
    <w:rsid w:val="00817449"/>
    <w:rsid w:val="00820F43"/>
    <w:rsid w:val="00822BAD"/>
    <w:rsid w:val="00824762"/>
    <w:rsid w:val="00827B5C"/>
    <w:rsid w:val="00830A3E"/>
    <w:rsid w:val="00831472"/>
    <w:rsid w:val="008338D4"/>
    <w:rsid w:val="008361D1"/>
    <w:rsid w:val="00837C44"/>
    <w:rsid w:val="00840436"/>
    <w:rsid w:val="00842252"/>
    <w:rsid w:val="00842565"/>
    <w:rsid w:val="00843D04"/>
    <w:rsid w:val="00843FEE"/>
    <w:rsid w:val="00844DE5"/>
    <w:rsid w:val="00853432"/>
    <w:rsid w:val="00854094"/>
    <w:rsid w:val="008549DC"/>
    <w:rsid w:val="00856A19"/>
    <w:rsid w:val="00857246"/>
    <w:rsid w:val="0086066F"/>
    <w:rsid w:val="00862351"/>
    <w:rsid w:val="00862EB2"/>
    <w:rsid w:val="00863C8C"/>
    <w:rsid w:val="00864C4F"/>
    <w:rsid w:val="0086541E"/>
    <w:rsid w:val="00865D15"/>
    <w:rsid w:val="0086735E"/>
    <w:rsid w:val="00867798"/>
    <w:rsid w:val="00872E70"/>
    <w:rsid w:val="008738E1"/>
    <w:rsid w:val="008740DB"/>
    <w:rsid w:val="00874A8F"/>
    <w:rsid w:val="00876642"/>
    <w:rsid w:val="00876F2E"/>
    <w:rsid w:val="008772AB"/>
    <w:rsid w:val="0088650F"/>
    <w:rsid w:val="0088696E"/>
    <w:rsid w:val="00887E51"/>
    <w:rsid w:val="008908A4"/>
    <w:rsid w:val="00890F96"/>
    <w:rsid w:val="00893046"/>
    <w:rsid w:val="008931D7"/>
    <w:rsid w:val="00893E84"/>
    <w:rsid w:val="0089591F"/>
    <w:rsid w:val="008A05DA"/>
    <w:rsid w:val="008A2EE0"/>
    <w:rsid w:val="008A300C"/>
    <w:rsid w:val="008A4726"/>
    <w:rsid w:val="008A5926"/>
    <w:rsid w:val="008B1722"/>
    <w:rsid w:val="008B282D"/>
    <w:rsid w:val="008B6337"/>
    <w:rsid w:val="008B6FC1"/>
    <w:rsid w:val="008C0EA8"/>
    <w:rsid w:val="008C1218"/>
    <w:rsid w:val="008C12AB"/>
    <w:rsid w:val="008C14D3"/>
    <w:rsid w:val="008C1A4C"/>
    <w:rsid w:val="008C2E94"/>
    <w:rsid w:val="008C3CB7"/>
    <w:rsid w:val="008C406E"/>
    <w:rsid w:val="008C43E3"/>
    <w:rsid w:val="008C503A"/>
    <w:rsid w:val="008C528A"/>
    <w:rsid w:val="008D06BA"/>
    <w:rsid w:val="008D07AA"/>
    <w:rsid w:val="008D0823"/>
    <w:rsid w:val="008D13E0"/>
    <w:rsid w:val="008D2661"/>
    <w:rsid w:val="008D642E"/>
    <w:rsid w:val="008D6B85"/>
    <w:rsid w:val="008D7ED5"/>
    <w:rsid w:val="008E2745"/>
    <w:rsid w:val="008E2C18"/>
    <w:rsid w:val="008E301F"/>
    <w:rsid w:val="008E5121"/>
    <w:rsid w:val="008E5207"/>
    <w:rsid w:val="008E6461"/>
    <w:rsid w:val="008F01F5"/>
    <w:rsid w:val="008F1ABF"/>
    <w:rsid w:val="008F1F48"/>
    <w:rsid w:val="008F387A"/>
    <w:rsid w:val="008F3C09"/>
    <w:rsid w:val="008F73F0"/>
    <w:rsid w:val="008F7474"/>
    <w:rsid w:val="00900178"/>
    <w:rsid w:val="0090058D"/>
    <w:rsid w:val="00900882"/>
    <w:rsid w:val="00900CF6"/>
    <w:rsid w:val="009055F3"/>
    <w:rsid w:val="009064B9"/>
    <w:rsid w:val="009101CB"/>
    <w:rsid w:val="0091061A"/>
    <w:rsid w:val="00910A13"/>
    <w:rsid w:val="009152CA"/>
    <w:rsid w:val="00916A6E"/>
    <w:rsid w:val="00921AC7"/>
    <w:rsid w:val="00921BB5"/>
    <w:rsid w:val="00922109"/>
    <w:rsid w:val="009223BE"/>
    <w:rsid w:val="00924A17"/>
    <w:rsid w:val="00925AB1"/>
    <w:rsid w:val="00925CB6"/>
    <w:rsid w:val="00930C56"/>
    <w:rsid w:val="00930D77"/>
    <w:rsid w:val="009331A7"/>
    <w:rsid w:val="00941D5B"/>
    <w:rsid w:val="00941EE6"/>
    <w:rsid w:val="00942A8B"/>
    <w:rsid w:val="009451AD"/>
    <w:rsid w:val="009458C8"/>
    <w:rsid w:val="0094703C"/>
    <w:rsid w:val="0094771A"/>
    <w:rsid w:val="00947918"/>
    <w:rsid w:val="00947E99"/>
    <w:rsid w:val="0095170E"/>
    <w:rsid w:val="00954F5D"/>
    <w:rsid w:val="009553D8"/>
    <w:rsid w:val="00956CFD"/>
    <w:rsid w:val="00960319"/>
    <w:rsid w:val="00960CDB"/>
    <w:rsid w:val="00960D20"/>
    <w:rsid w:val="00961918"/>
    <w:rsid w:val="00970A9E"/>
    <w:rsid w:val="00970ED6"/>
    <w:rsid w:val="00971086"/>
    <w:rsid w:val="00971CE3"/>
    <w:rsid w:val="009813F2"/>
    <w:rsid w:val="00982BF3"/>
    <w:rsid w:val="00982E10"/>
    <w:rsid w:val="00985A47"/>
    <w:rsid w:val="00994002"/>
    <w:rsid w:val="009A291F"/>
    <w:rsid w:val="009A3178"/>
    <w:rsid w:val="009A3401"/>
    <w:rsid w:val="009A521E"/>
    <w:rsid w:val="009A5B6E"/>
    <w:rsid w:val="009A6CBC"/>
    <w:rsid w:val="009A79F0"/>
    <w:rsid w:val="009B0EEE"/>
    <w:rsid w:val="009B2004"/>
    <w:rsid w:val="009B25A2"/>
    <w:rsid w:val="009B2A30"/>
    <w:rsid w:val="009B3E5D"/>
    <w:rsid w:val="009B4191"/>
    <w:rsid w:val="009B6C61"/>
    <w:rsid w:val="009B7130"/>
    <w:rsid w:val="009B7C8A"/>
    <w:rsid w:val="009C06E6"/>
    <w:rsid w:val="009C390F"/>
    <w:rsid w:val="009C629C"/>
    <w:rsid w:val="009C6801"/>
    <w:rsid w:val="009C71C7"/>
    <w:rsid w:val="009D1558"/>
    <w:rsid w:val="009D1D27"/>
    <w:rsid w:val="009D228A"/>
    <w:rsid w:val="009D4249"/>
    <w:rsid w:val="009D4971"/>
    <w:rsid w:val="009E0A8F"/>
    <w:rsid w:val="009E185E"/>
    <w:rsid w:val="009E4D84"/>
    <w:rsid w:val="009E61AE"/>
    <w:rsid w:val="009F01EC"/>
    <w:rsid w:val="009F3D97"/>
    <w:rsid w:val="009F3DF1"/>
    <w:rsid w:val="009F4E30"/>
    <w:rsid w:val="009F6AF6"/>
    <w:rsid w:val="00A016BC"/>
    <w:rsid w:val="00A034A5"/>
    <w:rsid w:val="00A036C3"/>
    <w:rsid w:val="00A0505D"/>
    <w:rsid w:val="00A07874"/>
    <w:rsid w:val="00A10B93"/>
    <w:rsid w:val="00A12165"/>
    <w:rsid w:val="00A1294B"/>
    <w:rsid w:val="00A14948"/>
    <w:rsid w:val="00A15559"/>
    <w:rsid w:val="00A156ED"/>
    <w:rsid w:val="00A16AD5"/>
    <w:rsid w:val="00A17FC9"/>
    <w:rsid w:val="00A2129A"/>
    <w:rsid w:val="00A22913"/>
    <w:rsid w:val="00A24B6A"/>
    <w:rsid w:val="00A25B8B"/>
    <w:rsid w:val="00A26DA7"/>
    <w:rsid w:val="00A305ED"/>
    <w:rsid w:val="00A309BF"/>
    <w:rsid w:val="00A31A2A"/>
    <w:rsid w:val="00A31E37"/>
    <w:rsid w:val="00A3287A"/>
    <w:rsid w:val="00A355BC"/>
    <w:rsid w:val="00A35A37"/>
    <w:rsid w:val="00A367D6"/>
    <w:rsid w:val="00A37AC7"/>
    <w:rsid w:val="00A402A6"/>
    <w:rsid w:val="00A404A1"/>
    <w:rsid w:val="00A40F74"/>
    <w:rsid w:val="00A40FB6"/>
    <w:rsid w:val="00A4128D"/>
    <w:rsid w:val="00A423CA"/>
    <w:rsid w:val="00A43AAC"/>
    <w:rsid w:val="00A447D2"/>
    <w:rsid w:val="00A45C21"/>
    <w:rsid w:val="00A4644F"/>
    <w:rsid w:val="00A54F7B"/>
    <w:rsid w:val="00A558B5"/>
    <w:rsid w:val="00A55E33"/>
    <w:rsid w:val="00A5782B"/>
    <w:rsid w:val="00A629BC"/>
    <w:rsid w:val="00A630AB"/>
    <w:rsid w:val="00A66AB5"/>
    <w:rsid w:val="00A70238"/>
    <w:rsid w:val="00A73B95"/>
    <w:rsid w:val="00A74F46"/>
    <w:rsid w:val="00A75A1F"/>
    <w:rsid w:val="00A75D8E"/>
    <w:rsid w:val="00A767D3"/>
    <w:rsid w:val="00A76A3C"/>
    <w:rsid w:val="00A82EAE"/>
    <w:rsid w:val="00A831D1"/>
    <w:rsid w:val="00A83CDD"/>
    <w:rsid w:val="00A86C1E"/>
    <w:rsid w:val="00A927B5"/>
    <w:rsid w:val="00A97891"/>
    <w:rsid w:val="00AA2A16"/>
    <w:rsid w:val="00AA6654"/>
    <w:rsid w:val="00AA77D1"/>
    <w:rsid w:val="00AB0726"/>
    <w:rsid w:val="00AB7AA2"/>
    <w:rsid w:val="00AC082C"/>
    <w:rsid w:val="00AC1662"/>
    <w:rsid w:val="00AC2FE9"/>
    <w:rsid w:val="00AC3C7F"/>
    <w:rsid w:val="00AC4B86"/>
    <w:rsid w:val="00AC4D79"/>
    <w:rsid w:val="00AC5D37"/>
    <w:rsid w:val="00AC62C7"/>
    <w:rsid w:val="00AC64E2"/>
    <w:rsid w:val="00AC6CF9"/>
    <w:rsid w:val="00AC7EE9"/>
    <w:rsid w:val="00AD1772"/>
    <w:rsid w:val="00AD3EAE"/>
    <w:rsid w:val="00AD4D9E"/>
    <w:rsid w:val="00AD4F4B"/>
    <w:rsid w:val="00AD6BF6"/>
    <w:rsid w:val="00AE2BDC"/>
    <w:rsid w:val="00AE55D4"/>
    <w:rsid w:val="00AE69F4"/>
    <w:rsid w:val="00AE7356"/>
    <w:rsid w:val="00AF20E4"/>
    <w:rsid w:val="00AF3DC5"/>
    <w:rsid w:val="00AF5B77"/>
    <w:rsid w:val="00B0028F"/>
    <w:rsid w:val="00B00986"/>
    <w:rsid w:val="00B00A76"/>
    <w:rsid w:val="00B00D30"/>
    <w:rsid w:val="00B00D64"/>
    <w:rsid w:val="00B028B0"/>
    <w:rsid w:val="00B03921"/>
    <w:rsid w:val="00B03B97"/>
    <w:rsid w:val="00B06122"/>
    <w:rsid w:val="00B07172"/>
    <w:rsid w:val="00B11E17"/>
    <w:rsid w:val="00B1488B"/>
    <w:rsid w:val="00B1498E"/>
    <w:rsid w:val="00B14F0B"/>
    <w:rsid w:val="00B15D58"/>
    <w:rsid w:val="00B20610"/>
    <w:rsid w:val="00B22709"/>
    <w:rsid w:val="00B23591"/>
    <w:rsid w:val="00B23BC2"/>
    <w:rsid w:val="00B25F0F"/>
    <w:rsid w:val="00B26934"/>
    <w:rsid w:val="00B27DC5"/>
    <w:rsid w:val="00B30CDC"/>
    <w:rsid w:val="00B31A2E"/>
    <w:rsid w:val="00B334DC"/>
    <w:rsid w:val="00B3528F"/>
    <w:rsid w:val="00B35C9F"/>
    <w:rsid w:val="00B36D4E"/>
    <w:rsid w:val="00B37464"/>
    <w:rsid w:val="00B426CB"/>
    <w:rsid w:val="00B42A23"/>
    <w:rsid w:val="00B439AE"/>
    <w:rsid w:val="00B515E1"/>
    <w:rsid w:val="00B51BDC"/>
    <w:rsid w:val="00B51EB9"/>
    <w:rsid w:val="00B52E26"/>
    <w:rsid w:val="00B56EFE"/>
    <w:rsid w:val="00B576F7"/>
    <w:rsid w:val="00B57BF7"/>
    <w:rsid w:val="00B60316"/>
    <w:rsid w:val="00B60F97"/>
    <w:rsid w:val="00B61E45"/>
    <w:rsid w:val="00B6383C"/>
    <w:rsid w:val="00B63DD8"/>
    <w:rsid w:val="00B650B7"/>
    <w:rsid w:val="00B652D1"/>
    <w:rsid w:val="00B66F81"/>
    <w:rsid w:val="00B703E1"/>
    <w:rsid w:val="00B70FB9"/>
    <w:rsid w:val="00B71452"/>
    <w:rsid w:val="00B715D0"/>
    <w:rsid w:val="00B72FAC"/>
    <w:rsid w:val="00B7358B"/>
    <w:rsid w:val="00B7393D"/>
    <w:rsid w:val="00B74AFA"/>
    <w:rsid w:val="00B83584"/>
    <w:rsid w:val="00B85B3E"/>
    <w:rsid w:val="00B86F3D"/>
    <w:rsid w:val="00B87CAB"/>
    <w:rsid w:val="00B90E90"/>
    <w:rsid w:val="00B917FF"/>
    <w:rsid w:val="00B94175"/>
    <w:rsid w:val="00B94448"/>
    <w:rsid w:val="00B9644E"/>
    <w:rsid w:val="00B97900"/>
    <w:rsid w:val="00BA032E"/>
    <w:rsid w:val="00BA17F6"/>
    <w:rsid w:val="00BA342F"/>
    <w:rsid w:val="00BA4844"/>
    <w:rsid w:val="00BA51F9"/>
    <w:rsid w:val="00BA583B"/>
    <w:rsid w:val="00BA5AA9"/>
    <w:rsid w:val="00BB05F9"/>
    <w:rsid w:val="00BB5C6D"/>
    <w:rsid w:val="00BB6248"/>
    <w:rsid w:val="00BB6D18"/>
    <w:rsid w:val="00BB7E3B"/>
    <w:rsid w:val="00BB7EAD"/>
    <w:rsid w:val="00BC2113"/>
    <w:rsid w:val="00BC35A7"/>
    <w:rsid w:val="00BC5D9D"/>
    <w:rsid w:val="00BC78DF"/>
    <w:rsid w:val="00BD091D"/>
    <w:rsid w:val="00BD0947"/>
    <w:rsid w:val="00BD0A38"/>
    <w:rsid w:val="00BD2B77"/>
    <w:rsid w:val="00BD53DC"/>
    <w:rsid w:val="00BE048E"/>
    <w:rsid w:val="00BE1D79"/>
    <w:rsid w:val="00BE40E4"/>
    <w:rsid w:val="00BE4806"/>
    <w:rsid w:val="00BE6FA0"/>
    <w:rsid w:val="00BE754F"/>
    <w:rsid w:val="00BF1BF2"/>
    <w:rsid w:val="00BF3914"/>
    <w:rsid w:val="00BF4FB8"/>
    <w:rsid w:val="00BF50D2"/>
    <w:rsid w:val="00C02BA2"/>
    <w:rsid w:val="00C03E23"/>
    <w:rsid w:val="00C04FCF"/>
    <w:rsid w:val="00C0665E"/>
    <w:rsid w:val="00C06794"/>
    <w:rsid w:val="00C075A9"/>
    <w:rsid w:val="00C07C3A"/>
    <w:rsid w:val="00C102F1"/>
    <w:rsid w:val="00C114CD"/>
    <w:rsid w:val="00C140CA"/>
    <w:rsid w:val="00C14EFF"/>
    <w:rsid w:val="00C16198"/>
    <w:rsid w:val="00C214E5"/>
    <w:rsid w:val="00C21BB9"/>
    <w:rsid w:val="00C21FE6"/>
    <w:rsid w:val="00C22531"/>
    <w:rsid w:val="00C235DA"/>
    <w:rsid w:val="00C2479B"/>
    <w:rsid w:val="00C25811"/>
    <w:rsid w:val="00C3286E"/>
    <w:rsid w:val="00C32C96"/>
    <w:rsid w:val="00C33E52"/>
    <w:rsid w:val="00C34322"/>
    <w:rsid w:val="00C35796"/>
    <w:rsid w:val="00C4084C"/>
    <w:rsid w:val="00C425E9"/>
    <w:rsid w:val="00C4345E"/>
    <w:rsid w:val="00C437F8"/>
    <w:rsid w:val="00C46814"/>
    <w:rsid w:val="00C517B3"/>
    <w:rsid w:val="00C53E9B"/>
    <w:rsid w:val="00C54424"/>
    <w:rsid w:val="00C54FBC"/>
    <w:rsid w:val="00C55EB5"/>
    <w:rsid w:val="00C562DB"/>
    <w:rsid w:val="00C571FE"/>
    <w:rsid w:val="00C579C9"/>
    <w:rsid w:val="00C57B2A"/>
    <w:rsid w:val="00C60814"/>
    <w:rsid w:val="00C60DF5"/>
    <w:rsid w:val="00C60E75"/>
    <w:rsid w:val="00C619CE"/>
    <w:rsid w:val="00C6356C"/>
    <w:rsid w:val="00C63DB5"/>
    <w:rsid w:val="00C64346"/>
    <w:rsid w:val="00C66C8F"/>
    <w:rsid w:val="00C67BC1"/>
    <w:rsid w:val="00C7322F"/>
    <w:rsid w:val="00C74433"/>
    <w:rsid w:val="00C748C9"/>
    <w:rsid w:val="00C75069"/>
    <w:rsid w:val="00C76405"/>
    <w:rsid w:val="00C80298"/>
    <w:rsid w:val="00C8130A"/>
    <w:rsid w:val="00C83A27"/>
    <w:rsid w:val="00C844AB"/>
    <w:rsid w:val="00C854A4"/>
    <w:rsid w:val="00C8678B"/>
    <w:rsid w:val="00C90821"/>
    <w:rsid w:val="00C92EFC"/>
    <w:rsid w:val="00C9426F"/>
    <w:rsid w:val="00C97C9E"/>
    <w:rsid w:val="00CA0278"/>
    <w:rsid w:val="00CA1861"/>
    <w:rsid w:val="00CA2B70"/>
    <w:rsid w:val="00CA41CC"/>
    <w:rsid w:val="00CA4738"/>
    <w:rsid w:val="00CA5283"/>
    <w:rsid w:val="00CA5F8E"/>
    <w:rsid w:val="00CA63B0"/>
    <w:rsid w:val="00CB1D9E"/>
    <w:rsid w:val="00CB3CA5"/>
    <w:rsid w:val="00CB6252"/>
    <w:rsid w:val="00CB7516"/>
    <w:rsid w:val="00CB7AB6"/>
    <w:rsid w:val="00CC29EE"/>
    <w:rsid w:val="00CC3B98"/>
    <w:rsid w:val="00CC6773"/>
    <w:rsid w:val="00CC68EA"/>
    <w:rsid w:val="00CC695B"/>
    <w:rsid w:val="00CC7323"/>
    <w:rsid w:val="00CC7C03"/>
    <w:rsid w:val="00CD1A65"/>
    <w:rsid w:val="00CD2270"/>
    <w:rsid w:val="00CD3C94"/>
    <w:rsid w:val="00CD4E76"/>
    <w:rsid w:val="00CD50AE"/>
    <w:rsid w:val="00CD7373"/>
    <w:rsid w:val="00CE1332"/>
    <w:rsid w:val="00CE3EA1"/>
    <w:rsid w:val="00CE549C"/>
    <w:rsid w:val="00CF5186"/>
    <w:rsid w:val="00CF55D0"/>
    <w:rsid w:val="00CF59C4"/>
    <w:rsid w:val="00CF5A3A"/>
    <w:rsid w:val="00D012C2"/>
    <w:rsid w:val="00D0253A"/>
    <w:rsid w:val="00D0294C"/>
    <w:rsid w:val="00D03C65"/>
    <w:rsid w:val="00D12C92"/>
    <w:rsid w:val="00D1387C"/>
    <w:rsid w:val="00D1584D"/>
    <w:rsid w:val="00D1677D"/>
    <w:rsid w:val="00D16853"/>
    <w:rsid w:val="00D176D2"/>
    <w:rsid w:val="00D21FA5"/>
    <w:rsid w:val="00D22EA5"/>
    <w:rsid w:val="00D247A4"/>
    <w:rsid w:val="00D27662"/>
    <w:rsid w:val="00D27EFC"/>
    <w:rsid w:val="00D312FC"/>
    <w:rsid w:val="00D35A73"/>
    <w:rsid w:val="00D37771"/>
    <w:rsid w:val="00D40030"/>
    <w:rsid w:val="00D40398"/>
    <w:rsid w:val="00D404FE"/>
    <w:rsid w:val="00D41CA8"/>
    <w:rsid w:val="00D43D9C"/>
    <w:rsid w:val="00D4417C"/>
    <w:rsid w:val="00D44918"/>
    <w:rsid w:val="00D50A51"/>
    <w:rsid w:val="00D5402F"/>
    <w:rsid w:val="00D55E71"/>
    <w:rsid w:val="00D574A7"/>
    <w:rsid w:val="00D62935"/>
    <w:rsid w:val="00D64E47"/>
    <w:rsid w:val="00D6593D"/>
    <w:rsid w:val="00D66A6D"/>
    <w:rsid w:val="00D67746"/>
    <w:rsid w:val="00D72722"/>
    <w:rsid w:val="00D730F0"/>
    <w:rsid w:val="00D73373"/>
    <w:rsid w:val="00D73AD1"/>
    <w:rsid w:val="00D76A28"/>
    <w:rsid w:val="00D76DB1"/>
    <w:rsid w:val="00D818C9"/>
    <w:rsid w:val="00D838B5"/>
    <w:rsid w:val="00D8416F"/>
    <w:rsid w:val="00D85D0E"/>
    <w:rsid w:val="00D867CB"/>
    <w:rsid w:val="00D8728D"/>
    <w:rsid w:val="00D90228"/>
    <w:rsid w:val="00D956A8"/>
    <w:rsid w:val="00D9593C"/>
    <w:rsid w:val="00D962F3"/>
    <w:rsid w:val="00D975E0"/>
    <w:rsid w:val="00DA07E5"/>
    <w:rsid w:val="00DA15C9"/>
    <w:rsid w:val="00DA7767"/>
    <w:rsid w:val="00DB0E61"/>
    <w:rsid w:val="00DB11E9"/>
    <w:rsid w:val="00DB1C3B"/>
    <w:rsid w:val="00DB6137"/>
    <w:rsid w:val="00DC0CD9"/>
    <w:rsid w:val="00DC27C8"/>
    <w:rsid w:val="00DC4477"/>
    <w:rsid w:val="00DC5167"/>
    <w:rsid w:val="00DC53C4"/>
    <w:rsid w:val="00DD01F6"/>
    <w:rsid w:val="00DD2947"/>
    <w:rsid w:val="00DD2A20"/>
    <w:rsid w:val="00DD2A58"/>
    <w:rsid w:val="00DD49A3"/>
    <w:rsid w:val="00DD54E0"/>
    <w:rsid w:val="00DD7E01"/>
    <w:rsid w:val="00DE043B"/>
    <w:rsid w:val="00DE0566"/>
    <w:rsid w:val="00DE1485"/>
    <w:rsid w:val="00DE3848"/>
    <w:rsid w:val="00DE4453"/>
    <w:rsid w:val="00DE4A25"/>
    <w:rsid w:val="00DE561C"/>
    <w:rsid w:val="00DE5E5E"/>
    <w:rsid w:val="00DE7D85"/>
    <w:rsid w:val="00DF2EA5"/>
    <w:rsid w:val="00DF69E3"/>
    <w:rsid w:val="00DF76DC"/>
    <w:rsid w:val="00E000E7"/>
    <w:rsid w:val="00E0113E"/>
    <w:rsid w:val="00E0224F"/>
    <w:rsid w:val="00E03197"/>
    <w:rsid w:val="00E05805"/>
    <w:rsid w:val="00E05CB2"/>
    <w:rsid w:val="00E05FCA"/>
    <w:rsid w:val="00E07D22"/>
    <w:rsid w:val="00E12033"/>
    <w:rsid w:val="00E12B51"/>
    <w:rsid w:val="00E14F96"/>
    <w:rsid w:val="00E1603F"/>
    <w:rsid w:val="00E16E4E"/>
    <w:rsid w:val="00E21459"/>
    <w:rsid w:val="00E22542"/>
    <w:rsid w:val="00E22C3C"/>
    <w:rsid w:val="00E23056"/>
    <w:rsid w:val="00E235AF"/>
    <w:rsid w:val="00E23A75"/>
    <w:rsid w:val="00E252A9"/>
    <w:rsid w:val="00E25A7C"/>
    <w:rsid w:val="00E26D19"/>
    <w:rsid w:val="00E26F14"/>
    <w:rsid w:val="00E274A3"/>
    <w:rsid w:val="00E30121"/>
    <w:rsid w:val="00E3092C"/>
    <w:rsid w:val="00E31A6F"/>
    <w:rsid w:val="00E32BD4"/>
    <w:rsid w:val="00E345B4"/>
    <w:rsid w:val="00E34B57"/>
    <w:rsid w:val="00E3532E"/>
    <w:rsid w:val="00E35DA6"/>
    <w:rsid w:val="00E3610F"/>
    <w:rsid w:val="00E42960"/>
    <w:rsid w:val="00E44688"/>
    <w:rsid w:val="00E450EF"/>
    <w:rsid w:val="00E46B71"/>
    <w:rsid w:val="00E47276"/>
    <w:rsid w:val="00E54222"/>
    <w:rsid w:val="00E54D63"/>
    <w:rsid w:val="00E55DE4"/>
    <w:rsid w:val="00E57907"/>
    <w:rsid w:val="00E6075D"/>
    <w:rsid w:val="00E60C6C"/>
    <w:rsid w:val="00E63532"/>
    <w:rsid w:val="00E64670"/>
    <w:rsid w:val="00E65A70"/>
    <w:rsid w:val="00E65A8A"/>
    <w:rsid w:val="00E665A4"/>
    <w:rsid w:val="00E66CD7"/>
    <w:rsid w:val="00E71402"/>
    <w:rsid w:val="00E717A0"/>
    <w:rsid w:val="00E76C4E"/>
    <w:rsid w:val="00E77FD1"/>
    <w:rsid w:val="00E821E8"/>
    <w:rsid w:val="00E83B88"/>
    <w:rsid w:val="00E91B3B"/>
    <w:rsid w:val="00E9413D"/>
    <w:rsid w:val="00EA3242"/>
    <w:rsid w:val="00EA3262"/>
    <w:rsid w:val="00EA3943"/>
    <w:rsid w:val="00EA4768"/>
    <w:rsid w:val="00EA59B9"/>
    <w:rsid w:val="00EB33B5"/>
    <w:rsid w:val="00EB420C"/>
    <w:rsid w:val="00EB6BF8"/>
    <w:rsid w:val="00EC0415"/>
    <w:rsid w:val="00EC0998"/>
    <w:rsid w:val="00EC111D"/>
    <w:rsid w:val="00EC1C54"/>
    <w:rsid w:val="00EC2889"/>
    <w:rsid w:val="00EC3F5C"/>
    <w:rsid w:val="00ED2983"/>
    <w:rsid w:val="00ED587D"/>
    <w:rsid w:val="00ED6EF1"/>
    <w:rsid w:val="00EE0C9F"/>
    <w:rsid w:val="00EE1671"/>
    <w:rsid w:val="00EE24F6"/>
    <w:rsid w:val="00EE307A"/>
    <w:rsid w:val="00EE4413"/>
    <w:rsid w:val="00EF3006"/>
    <w:rsid w:val="00EF4AE5"/>
    <w:rsid w:val="00EF5F05"/>
    <w:rsid w:val="00EF716B"/>
    <w:rsid w:val="00F00CA9"/>
    <w:rsid w:val="00F01A22"/>
    <w:rsid w:val="00F03AFF"/>
    <w:rsid w:val="00F0434B"/>
    <w:rsid w:val="00F04C65"/>
    <w:rsid w:val="00F05DAA"/>
    <w:rsid w:val="00F07976"/>
    <w:rsid w:val="00F10562"/>
    <w:rsid w:val="00F11232"/>
    <w:rsid w:val="00F127E5"/>
    <w:rsid w:val="00F12839"/>
    <w:rsid w:val="00F12F64"/>
    <w:rsid w:val="00F145CB"/>
    <w:rsid w:val="00F155F7"/>
    <w:rsid w:val="00F165BC"/>
    <w:rsid w:val="00F16FBE"/>
    <w:rsid w:val="00F20966"/>
    <w:rsid w:val="00F20C84"/>
    <w:rsid w:val="00F210C7"/>
    <w:rsid w:val="00F2158E"/>
    <w:rsid w:val="00F27A49"/>
    <w:rsid w:val="00F309E0"/>
    <w:rsid w:val="00F30A02"/>
    <w:rsid w:val="00F31A85"/>
    <w:rsid w:val="00F34146"/>
    <w:rsid w:val="00F4065F"/>
    <w:rsid w:val="00F42373"/>
    <w:rsid w:val="00F44252"/>
    <w:rsid w:val="00F445A9"/>
    <w:rsid w:val="00F461B5"/>
    <w:rsid w:val="00F467FC"/>
    <w:rsid w:val="00F50F13"/>
    <w:rsid w:val="00F55D9D"/>
    <w:rsid w:val="00F56B42"/>
    <w:rsid w:val="00F57D4C"/>
    <w:rsid w:val="00F63F9C"/>
    <w:rsid w:val="00F67431"/>
    <w:rsid w:val="00F70D17"/>
    <w:rsid w:val="00F71643"/>
    <w:rsid w:val="00F7198E"/>
    <w:rsid w:val="00F74E35"/>
    <w:rsid w:val="00F74EDE"/>
    <w:rsid w:val="00F75CFC"/>
    <w:rsid w:val="00F75EA6"/>
    <w:rsid w:val="00F77B10"/>
    <w:rsid w:val="00F81A63"/>
    <w:rsid w:val="00F81F03"/>
    <w:rsid w:val="00F826FC"/>
    <w:rsid w:val="00F87513"/>
    <w:rsid w:val="00F87808"/>
    <w:rsid w:val="00F87CB7"/>
    <w:rsid w:val="00F95A79"/>
    <w:rsid w:val="00F97787"/>
    <w:rsid w:val="00FA177B"/>
    <w:rsid w:val="00FA1DDE"/>
    <w:rsid w:val="00FA24A2"/>
    <w:rsid w:val="00FA2957"/>
    <w:rsid w:val="00FA4155"/>
    <w:rsid w:val="00FA4390"/>
    <w:rsid w:val="00FA44E7"/>
    <w:rsid w:val="00FA745B"/>
    <w:rsid w:val="00FB0CD0"/>
    <w:rsid w:val="00FB3FD5"/>
    <w:rsid w:val="00FB6228"/>
    <w:rsid w:val="00FC089E"/>
    <w:rsid w:val="00FC19B8"/>
    <w:rsid w:val="00FC1B02"/>
    <w:rsid w:val="00FC3486"/>
    <w:rsid w:val="00FC4373"/>
    <w:rsid w:val="00FC59EB"/>
    <w:rsid w:val="00FD653A"/>
    <w:rsid w:val="00FE060B"/>
    <w:rsid w:val="00FE121F"/>
    <w:rsid w:val="00FE19B4"/>
    <w:rsid w:val="00FE2970"/>
    <w:rsid w:val="00FE4029"/>
    <w:rsid w:val="00FE407B"/>
    <w:rsid w:val="00FE5948"/>
    <w:rsid w:val="00FE7026"/>
    <w:rsid w:val="00FE7CE0"/>
    <w:rsid w:val="00FF0A7F"/>
    <w:rsid w:val="00FF2B58"/>
    <w:rsid w:val="00FF42ED"/>
    <w:rsid w:val="00FF456D"/>
    <w:rsid w:val="00FF52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70"/>
    <w:rPr>
      <w:rFonts w:ascii="Times New Roman" w:hAnsi="Times New Roman"/>
      <w:sz w:val="24"/>
      <w:szCs w:val="22"/>
    </w:rPr>
  </w:style>
  <w:style w:type="paragraph" w:styleId="Heading1">
    <w:name w:val="heading 1"/>
    <w:basedOn w:val="Normal"/>
    <w:next w:val="Normal"/>
    <w:link w:val="Heading1Char"/>
    <w:autoRedefine/>
    <w:qFormat/>
    <w:rsid w:val="007C3F3F"/>
    <w:pPr>
      <w:keepNext/>
      <w:keepLines/>
      <w:numPr>
        <w:numId w:val="92"/>
      </w:numPr>
      <w:spacing w:line="480" w:lineRule="auto"/>
      <w:ind w:left="720"/>
      <w:outlineLvl w:val="0"/>
    </w:pPr>
    <w:rPr>
      <w:rFonts w:ascii="Times New Roman Bold" w:eastAsia="MS ????" w:hAnsi="Times New Roman Bold" w:cs="Times New Roman"/>
      <w:b/>
      <w:szCs w:val="28"/>
    </w:rPr>
  </w:style>
  <w:style w:type="paragraph" w:styleId="Heading2">
    <w:name w:val="heading 2"/>
    <w:basedOn w:val="Normal"/>
    <w:next w:val="Normal"/>
    <w:link w:val="Heading2Char"/>
    <w:autoRedefine/>
    <w:uiPriority w:val="99"/>
    <w:qFormat/>
    <w:rsid w:val="00C571FE"/>
    <w:pPr>
      <w:keepNext/>
      <w:keepLines/>
      <w:numPr>
        <w:numId w:val="75"/>
      </w:numPr>
      <w:spacing w:line="480" w:lineRule="auto"/>
      <w:ind w:left="0" w:firstLine="720"/>
      <w:outlineLvl w:val="1"/>
    </w:pPr>
    <w:rPr>
      <w:rFonts w:eastAsia="MS ????" w:cs="Times New Roman"/>
      <w:b/>
      <w:bCs/>
      <w:szCs w:val="26"/>
      <w:u w:val="single"/>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left" w:pos="-1440"/>
        <w:tab w:val="left" w:pos="-720"/>
        <w:tab w:val="left" w:pos="600"/>
        <w:tab w:val="clear" w:pos="108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3F3F"/>
    <w:rPr>
      <w:rFonts w:ascii="Times New Roman Bold" w:eastAsia="MS ????" w:hAnsi="Times New Roman Bold" w:cs="Times New Roman"/>
      <w:b/>
      <w:sz w:val="24"/>
      <w:szCs w:val="28"/>
    </w:rPr>
  </w:style>
  <w:style w:type="character" w:customStyle="1" w:styleId="Heading2Char">
    <w:name w:val="Heading 2 Char"/>
    <w:link w:val="Heading2"/>
    <w:uiPriority w:val="99"/>
    <w:rsid w:val="00C571FE"/>
    <w:rPr>
      <w:rFonts w:ascii="Times New Roman" w:eastAsia="MS ????" w:hAnsi="Times New Roman" w:cs="Times New Roman"/>
      <w:b/>
      <w:bCs/>
      <w:sz w:val="24"/>
      <w:szCs w:val="26"/>
      <w:u w:val="single"/>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C75069"/>
    <w:pPr>
      <w:spacing w:line="480" w:lineRule="auto"/>
      <w:ind w:left="720" w:hanging="720"/>
    </w:pPr>
    <w:rPr>
      <w:bCs/>
      <w:szCs w:val="20"/>
    </w:rPr>
  </w:style>
  <w:style w:type="paragraph" w:customStyle="1" w:styleId="DirectNext">
    <w:name w:val="Direct Next"/>
    <w:basedOn w:val="Normal"/>
    <w:uiPriority w:val="99"/>
    <w:rsid w:val="00DE1485"/>
    <w:pPr>
      <w:spacing w:before="240" w:line="480" w:lineRule="auto"/>
      <w:ind w:left="720"/>
    </w:pPr>
    <w:rPr>
      <w:bCs/>
      <w:szCs w:val="20"/>
    </w:rPr>
  </w:style>
  <w:style w:type="paragraph" w:customStyle="1" w:styleId="DirectQuestion">
    <w:name w:val="Direct Question"/>
    <w:basedOn w:val="DirectAnswer"/>
    <w:next w:val="DirectAnswer"/>
    <w:uiPriority w:val="99"/>
    <w:rsid w:val="00812BBA"/>
    <w:pPr>
      <w:numPr>
        <w:numId w:val="22"/>
      </w:numPr>
      <w:tabs>
        <w:tab w:val="clear" w:pos="8190"/>
      </w:tabs>
      <w:ind w:left="720" w:hanging="720"/>
    </w:pPr>
    <w:rPr>
      <w:b/>
      <w:i/>
      <w:caps/>
    </w:rPr>
  </w:style>
  <w:style w:type="paragraph" w:customStyle="1" w:styleId="DataRequest">
    <w:name w:val="Data Request"/>
    <w:basedOn w:val="Normal"/>
    <w:uiPriority w:val="99"/>
    <w:rsid w:val="00725901"/>
    <w:pPr>
      <w:numPr>
        <w:numId w:val="10"/>
      </w:numPr>
      <w:tabs>
        <w:tab w:val="num" w:pos="720"/>
        <w:tab w:val="clear" w:pos="180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cs="Times New Roman"/>
      <w:szCs w:val="20"/>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725901"/>
    <w:rPr>
      <w:rFonts w:cs="Times New Roman"/>
      <w:vertAlign w:val="superscript"/>
    </w:rPr>
  </w:style>
  <w:style w:type="paragraph" w:styleId="FootnoteText">
    <w:name w:val="footnote text"/>
    <w:aliases w:val="ALTS FOOTNOTE,Footnote Text Char Char,Footnote Text Char Char Char Char,Footnote Text Char1,Footnote Text Char1 Char Char1,Footnote Text Char1 Char Char1 Char Char Char,Footnote Text Char1 Char1,Footnote Text Char2 Char Char Char Char1,fn"/>
    <w:basedOn w:val="Normal"/>
    <w:link w:val="FootnoteTextChar"/>
    <w:uiPriority w:val="99"/>
    <w:qFormat/>
    <w:rsid w:val="00725901"/>
    <w:rPr>
      <w:rFonts w:cs="Times New Roman"/>
      <w:sz w:val="20"/>
      <w:szCs w:val="20"/>
    </w:rPr>
  </w:style>
  <w:style w:type="character" w:customStyle="1" w:styleId="FootnoteTextChar">
    <w:name w:val="Footnote Text Char"/>
    <w:aliases w:val="Footnote Text Char Char Char Char Char1,Footnote Text Char Char Char1,Footnote Text Char1 Char Char1 Char Char Char Char1,Footnote Text Char1 Char Char1 Char1,Footnote Text Char1 Char2,Footnote Text Char2 Char Char Char Char1 Char1"/>
    <w:link w:val="FootnoteText"/>
    <w:uiPriority w:val="99"/>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cs="Times New Roman"/>
      <w:szCs w:val="20"/>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5D49DE"/>
    <w:pPr>
      <w:suppressLineNumbers/>
      <w:tabs>
        <w:tab w:val="decimal" w:leader="dot" w:pos="936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B71452"/>
    <w:pPr>
      <w:tabs>
        <w:tab w:val="decimal" w:leader="dot" w:pos="9360"/>
      </w:tabs>
      <w:spacing w:after="240"/>
      <w:ind w:left="1080" w:hanging="36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3D7E42"/>
    <w:rPr>
      <w:rFonts w:cs="Times New Roman"/>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3D7E42"/>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rsid w:val="00725901"/>
    <w:rPr>
      <w:rFonts w:cs="Times New Roman"/>
      <w:sz w:val="20"/>
      <w:szCs w:val="20"/>
    </w:rPr>
  </w:style>
  <w:style w:type="character" w:customStyle="1" w:styleId="CommentTextChar">
    <w:name w:val="Comment Text Char"/>
    <w:link w:val="CommentText"/>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725901"/>
    <w:rPr>
      <w:b/>
      <w:bCs/>
    </w:rPr>
  </w:style>
  <w:style w:type="character" w:customStyle="1" w:styleId="CommentSubjectChar">
    <w:name w:val="Comment Subject Char"/>
    <w:link w:val="CommentSubject"/>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rsid w:val="00743C7F"/>
    <w:rPr>
      <w:rFonts w:ascii="Courier New" w:hAnsi="Courier New" w:cs="Times New Roman"/>
      <w:snapToGrid w:val="0"/>
      <w:sz w:val="20"/>
      <w:szCs w:val="20"/>
    </w:rPr>
  </w:style>
  <w:style w:type="paragraph" w:styleId="NormalWeb">
    <w:name w:val="Normal (Web)"/>
    <w:basedOn w:val="Normal"/>
    <w:uiPriority w:val="99"/>
    <w:rsid w:val="00F826FC"/>
    <w:rPr>
      <w:rFonts w:cs="Times New Roman"/>
      <w:szCs w:val="24"/>
    </w:rPr>
  </w:style>
  <w:style w:type="paragraph" w:styleId="ListBullet">
    <w:name w:val="List Bullet"/>
    <w:basedOn w:val="Normal"/>
    <w:autoRedefine/>
    <w:uiPriority w:val="99"/>
    <w:rsid w:val="00DB1C3B"/>
    <w:pPr>
      <w:numPr>
        <w:numId w:val="23"/>
      </w:numPr>
      <w:tabs>
        <w:tab w:val="num" w:pos="360"/>
        <w:tab w:val="clear" w:pos="72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rsid w:val="00097888"/>
    <w:rPr>
      <w:rFonts w:ascii="Calibri" w:eastAsia="Calibri" w:hAnsi="Calibri" w:cs="Times New Roman"/>
      <w:sz w:val="20"/>
      <w:szCs w:val="20"/>
    </w:rPr>
  </w:style>
  <w:style w:type="character" w:customStyle="1" w:styleId="DocID">
    <w:name w:val="DocID"/>
    <w:basedOn w:val="DefaultParagraphFont"/>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 w:type="paragraph" w:styleId="BodyText">
    <w:name w:val="Body Text"/>
    <w:basedOn w:val="Normal"/>
    <w:link w:val="BodyTextChar"/>
    <w:rsid w:val="004D7915"/>
    <w:pPr>
      <w:spacing w:after="120"/>
    </w:pPr>
    <w:rPr>
      <w:rFonts w:eastAsia="Times New Roman" w:cs="Times New Roman"/>
      <w:szCs w:val="24"/>
    </w:rPr>
  </w:style>
  <w:style w:type="character" w:customStyle="1" w:styleId="BodyTextChar">
    <w:name w:val="Body Text Char"/>
    <w:basedOn w:val="DefaultParagraphFont"/>
    <w:link w:val="BodyText"/>
    <w:rsid w:val="004D791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0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52F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header" Target="header6.xml" /><Relationship Id="rId14" Type="http://schemas.openxmlformats.org/officeDocument/2006/relationships/hyperlink" Target="mailto:steven.beeler@ohioattorneygeneral.gov" TargetMode="External" /><Relationship Id="rId15" Type="http://schemas.openxmlformats.org/officeDocument/2006/relationships/hyperlink" Target="mailto:Robert.eubanks@ohioattorneygeneral.gov" TargetMode="External" /><Relationship Id="rId16" Type="http://schemas.openxmlformats.org/officeDocument/2006/relationships/hyperlink" Target="mailto:Bethany.allen@igs.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dstinson@bricker.com" TargetMode="External" /><Relationship Id="rId2" Type="http://schemas.openxmlformats.org/officeDocument/2006/relationships/settings" Target="settings.xml" /><Relationship Id="rId20" Type="http://schemas.openxmlformats.org/officeDocument/2006/relationships/hyperlink" Target="mailto:kherstein@bricker.com" TargetMode="External" /><Relationship Id="rId21" Type="http://schemas.openxmlformats.org/officeDocument/2006/relationships/hyperlink" Target="mailto:jspottswood@bricker.com" TargetMode="External" /><Relationship Id="rId22" Type="http://schemas.openxmlformats.org/officeDocument/2006/relationships/hyperlink" Target="mailto:jdunnlegal@gmail.com" TargetMode="External" /><Relationship Id="rId23" Type="http://schemas.openxmlformats.org/officeDocument/2006/relationships/hyperlink" Target="mailto:kevin.oles@thompsonhine.com" TargetMode="External" /><Relationship Id="rId24" Type="http://schemas.openxmlformats.org/officeDocument/2006/relationships/hyperlink" Target="mailto:stephanie.chmiel@thompsonhine.com" TargetMode="External" /><Relationship Id="rId25" Type="http://schemas.openxmlformats.org/officeDocument/2006/relationships/hyperlink" Target="mailto:cmooney@opae.org" TargetMode="External" /><Relationship Id="rId26" Type="http://schemas.openxmlformats.org/officeDocument/2006/relationships/hyperlink" Target="mailto:whitt@whitt-sturtevant.com" TargetMode="External" /><Relationship Id="rId27" Type="http://schemas.openxmlformats.org/officeDocument/2006/relationships/hyperlink" Target="mailto:glover@whitt-sturtevant.com" TargetMode="External" /><Relationship Id="rId28" Type="http://schemas.openxmlformats.org/officeDocument/2006/relationships/hyperlink" Target="mailto:rdove@keglerbrown.com" TargetMode="External" /><Relationship Id="rId29" Type="http://schemas.openxmlformats.org/officeDocument/2006/relationships/hyperlink" Target="mailto:nvijaykar@elpc.org" TargetMode="External" /><Relationship Id="rId3" Type="http://schemas.openxmlformats.org/officeDocument/2006/relationships/webSettings" Target="webSettings.xml" /><Relationship Id="rId30" Type="http://schemas.openxmlformats.org/officeDocument/2006/relationships/hyperlink" Target="mailto:glpetrucci@vorys.com" TargetMode="External" /><Relationship Id="rId31" Type="http://schemas.openxmlformats.org/officeDocument/2006/relationships/hyperlink" Target="mailto:dparram@bricker.com" TargetMode="External" /><Relationship Id="rId32" Type="http://schemas.openxmlformats.org/officeDocument/2006/relationships/hyperlink" Target="mailto:Patricia.schabo@puco.ohio.gov" TargetMode="External" /><Relationship Id="rId33" Type="http://schemas.openxmlformats.org/officeDocument/2006/relationships/hyperlink" Target="mailto:gregory.price@puco.ohio.gov" TargetMode="External" /><Relationship Id="rId34" Type="http://schemas.openxmlformats.org/officeDocument/2006/relationships/hyperlink" Target="mailto:ccox@elpc.org" TargetMode="External" /><Relationship Id="rId35" Type="http://schemas.openxmlformats.org/officeDocument/2006/relationships/hyperlink" Target="mailto:mfleisher@dickinsonwright.com" TargetMode="External" /><Relationship Id="rId36" Type="http://schemas.openxmlformats.org/officeDocument/2006/relationships/hyperlink" Target="mailto:Michael.schuler@aes.com" TargetMode="External" /><Relationship Id="rId37" Type="http://schemas.openxmlformats.org/officeDocument/2006/relationships/hyperlink" Target="mailto:mkurtz@bkllawfirm.com" TargetMode="External" /><Relationship Id="rId38" Type="http://schemas.openxmlformats.org/officeDocument/2006/relationships/hyperlink" Target="mailto:kboehm@bkllawfirm.com" TargetMode="External" /><Relationship Id="rId39" Type="http://schemas.openxmlformats.org/officeDocument/2006/relationships/hyperlink" Target="mailto:talexander@beneschlaw.com" TargetMode="External" /><Relationship Id="rId4" Type="http://schemas.openxmlformats.org/officeDocument/2006/relationships/fontTable" Target="fontTable.xml" /><Relationship Id="rId40" Type="http://schemas.openxmlformats.org/officeDocument/2006/relationships/hyperlink" Target="mailto:bojko@carpenterlipps.com" TargetMode="External" /><Relationship Id="rId41" Type="http://schemas.openxmlformats.org/officeDocument/2006/relationships/hyperlink" Target="mailto:paul@carpenterlipps.com" TargetMode="External" /><Relationship Id="rId42" Type="http://schemas.openxmlformats.org/officeDocument/2006/relationships/hyperlink" Target="mailto:mpritchard@mcneeslaw.com" TargetMode="External" /><Relationship Id="rId43" Type="http://schemas.openxmlformats.org/officeDocument/2006/relationships/hyperlink" Target="mailto:rglover@mcneeslaw.com" TargetMode="External" /><Relationship Id="rId44" Type="http://schemas.openxmlformats.org/officeDocument/2006/relationships/hyperlink" Target="mailto:Fdarr2019@gmail.com" TargetMode="External" /><Relationship Id="rId45" Type="http://schemas.openxmlformats.org/officeDocument/2006/relationships/hyperlink" Target="mailto:paul@carptenterlipps.com" TargetMode="External" /><Relationship Id="rId46" Type="http://schemas.openxmlformats.org/officeDocument/2006/relationships/hyperlink" Target="mailto:jsharkey@ficlaw.com" TargetMode="External" /><Relationship Id="rId47" Type="http://schemas.openxmlformats.org/officeDocument/2006/relationships/hyperlink" Target="mailto:djireland@ficlaw.com" TargetMode="External" /><Relationship Id="rId48" Type="http://schemas.openxmlformats.org/officeDocument/2006/relationships/hyperlink" Target="mailto:chollon@ficlaw.com" TargetMode="External" /><Relationship Id="rId49" Type="http://schemas.openxmlformats.org/officeDocument/2006/relationships/hyperlink" Target="mailto:jkylercohn@bkllawfirm.com" TargetMode="External" /><Relationship Id="rId5" Type="http://schemas.openxmlformats.org/officeDocument/2006/relationships/customXml" Target="../customXml/item1.xml" /><Relationship Id="rId50" Type="http://schemas.openxmlformats.org/officeDocument/2006/relationships/hyperlink" Target="mailto:slesser@beneschlaw.com" TargetMode="External" /><Relationship Id="rId51" Type="http://schemas.openxmlformats.org/officeDocument/2006/relationships/hyperlink" Target="mailto:mkeaney@beneschlaw.com" TargetMode="External" /><Relationship Id="rId52" Type="http://schemas.openxmlformats.org/officeDocument/2006/relationships/hyperlink" Target="mailto:khehmeyer@beneschlaw.com" TargetMode="External" /><Relationship Id="rId53" Type="http://schemas.openxmlformats.org/officeDocument/2006/relationships/header" Target="header7.xml" /><Relationship Id="rId54" Type="http://schemas.openxmlformats.org/officeDocument/2006/relationships/footer" Target="footer3.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occ.ohio.gov/sites/default/files/images/refunds041020/piechart-111820.jpe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5B8F-3729-45FA-BA75-3E147CA5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DPL 20-680 Kahal Supplemental Direct Testimony 12.14.20 cmh.dfs  (00148879.DOCX;1)</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2020-12-17T19:22:17Z</dcterms:created>
  <dcterms:modified xsi:type="dcterms:W3CDTF">2020-12-17T19:22:17Z</dcterms:modified>
</cp:coreProperties>
</file>