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35" w:rsidRPr="001A38FB" w:rsidRDefault="00C94935" w:rsidP="00C94935">
      <w:pPr>
        <w:pStyle w:val="Title"/>
        <w:rPr>
          <w:rFonts w:ascii="Times New Roman" w:hAnsi="Times New Roman"/>
          <w:sz w:val="24"/>
          <w:szCs w:val="24"/>
        </w:rPr>
      </w:pPr>
      <w:r w:rsidRPr="001A38FB">
        <w:rPr>
          <w:rFonts w:ascii="Times New Roman" w:hAnsi="Times New Roman"/>
          <w:sz w:val="24"/>
          <w:szCs w:val="24"/>
        </w:rPr>
        <w:t>BEFORE</w:t>
      </w:r>
    </w:p>
    <w:p w:rsidR="00C94935" w:rsidRPr="001A38FB" w:rsidRDefault="00C94935" w:rsidP="00C94935">
      <w:pPr>
        <w:jc w:val="center"/>
        <w:rPr>
          <w:rFonts w:ascii="Times New Roman" w:hAnsi="Times New Roman"/>
          <w:b/>
          <w:sz w:val="24"/>
          <w:szCs w:val="24"/>
        </w:rPr>
      </w:pPr>
      <w:r w:rsidRPr="001A38FB">
        <w:rPr>
          <w:rFonts w:ascii="Times New Roman" w:hAnsi="Times New Roman"/>
          <w:b/>
          <w:sz w:val="24"/>
          <w:szCs w:val="24"/>
        </w:rPr>
        <w:t>THE PUBLIC UTILITIES COMMISSION OF OHIO</w:t>
      </w:r>
    </w:p>
    <w:p w:rsidR="00C94935" w:rsidRPr="001A38FB" w:rsidRDefault="00C94935" w:rsidP="00C94935">
      <w:pPr>
        <w:jc w:val="center"/>
        <w:rPr>
          <w:rFonts w:ascii="Times New Roman" w:hAnsi="Times New Roman"/>
          <w:b/>
          <w:sz w:val="24"/>
          <w:szCs w:val="24"/>
        </w:rPr>
      </w:pPr>
    </w:p>
    <w:tbl>
      <w:tblPr>
        <w:tblW w:w="0" w:type="auto"/>
        <w:tblLayout w:type="fixed"/>
        <w:tblLook w:val="0000" w:firstRow="0" w:lastRow="0" w:firstColumn="0" w:lastColumn="0" w:noHBand="0" w:noVBand="0"/>
      </w:tblPr>
      <w:tblGrid>
        <w:gridCol w:w="4518"/>
        <w:gridCol w:w="540"/>
        <w:gridCol w:w="4230"/>
      </w:tblGrid>
      <w:tr w:rsidR="00C94935" w:rsidRPr="001A38FB" w:rsidTr="00AA50FC">
        <w:tc>
          <w:tcPr>
            <w:tcW w:w="4518" w:type="dxa"/>
          </w:tcPr>
          <w:p w:rsidR="00C94935" w:rsidRPr="001A38FB" w:rsidRDefault="00C94935" w:rsidP="00AA50FC">
            <w:pPr>
              <w:rPr>
                <w:rFonts w:ascii="Times New Roman" w:hAnsi="Times New Roman"/>
                <w:sz w:val="24"/>
                <w:szCs w:val="24"/>
              </w:rPr>
            </w:pPr>
            <w:r w:rsidRPr="001A38FB">
              <w:rPr>
                <w:rFonts w:ascii="Times New Roman" w:hAnsi="Times New Roman"/>
                <w:sz w:val="24"/>
                <w:szCs w:val="24"/>
              </w:rPr>
              <w:t>In the Matter of the Review of the Alternative Energy Rider Contained in the Tariffs of Ohio Edison Company, The Cleveland Electric Illuminating Company, and The Toledo Edison Company</w:t>
            </w:r>
          </w:p>
        </w:tc>
        <w:tc>
          <w:tcPr>
            <w:tcW w:w="540" w:type="dxa"/>
          </w:tcPr>
          <w:p w:rsidR="00C94935" w:rsidRPr="001A38FB" w:rsidRDefault="00C94935" w:rsidP="00AA50FC">
            <w:pPr>
              <w:jc w:val="center"/>
              <w:rPr>
                <w:rFonts w:ascii="Times New Roman" w:hAnsi="Times New Roman"/>
                <w:sz w:val="24"/>
                <w:szCs w:val="24"/>
              </w:rPr>
            </w:pPr>
            <w:r w:rsidRPr="001A38FB">
              <w:rPr>
                <w:rFonts w:ascii="Times New Roman" w:hAnsi="Times New Roman"/>
                <w:sz w:val="24"/>
                <w:szCs w:val="24"/>
              </w:rPr>
              <w:t>)</w:t>
            </w:r>
          </w:p>
          <w:p w:rsidR="00C94935" w:rsidRPr="001A38FB" w:rsidRDefault="00C94935" w:rsidP="00AA50FC">
            <w:pPr>
              <w:jc w:val="center"/>
              <w:rPr>
                <w:rFonts w:ascii="Times New Roman" w:hAnsi="Times New Roman"/>
                <w:sz w:val="24"/>
                <w:szCs w:val="24"/>
              </w:rPr>
            </w:pPr>
            <w:r w:rsidRPr="001A38FB">
              <w:rPr>
                <w:rFonts w:ascii="Times New Roman" w:hAnsi="Times New Roman"/>
                <w:sz w:val="24"/>
                <w:szCs w:val="24"/>
              </w:rPr>
              <w:t>)</w:t>
            </w:r>
          </w:p>
          <w:p w:rsidR="00C94935" w:rsidRPr="001A38FB" w:rsidRDefault="00C94935" w:rsidP="00AA50FC">
            <w:pPr>
              <w:jc w:val="center"/>
              <w:rPr>
                <w:rFonts w:ascii="Times New Roman" w:hAnsi="Times New Roman"/>
                <w:sz w:val="24"/>
                <w:szCs w:val="24"/>
              </w:rPr>
            </w:pPr>
            <w:r w:rsidRPr="001A38FB">
              <w:rPr>
                <w:rFonts w:ascii="Times New Roman" w:hAnsi="Times New Roman"/>
                <w:sz w:val="24"/>
                <w:szCs w:val="24"/>
              </w:rPr>
              <w:t>)</w:t>
            </w:r>
          </w:p>
          <w:p w:rsidR="00C94935" w:rsidRPr="001A38FB" w:rsidRDefault="00C94935" w:rsidP="00AA50FC">
            <w:pPr>
              <w:jc w:val="center"/>
              <w:rPr>
                <w:rFonts w:ascii="Times New Roman" w:hAnsi="Times New Roman"/>
                <w:sz w:val="24"/>
                <w:szCs w:val="24"/>
              </w:rPr>
            </w:pPr>
            <w:r w:rsidRPr="001A38FB">
              <w:rPr>
                <w:rFonts w:ascii="Times New Roman" w:hAnsi="Times New Roman"/>
                <w:sz w:val="24"/>
                <w:szCs w:val="24"/>
              </w:rPr>
              <w:t>)</w:t>
            </w:r>
          </w:p>
          <w:p w:rsidR="00C94935" w:rsidRPr="001A38FB" w:rsidRDefault="00C94935" w:rsidP="00AA50FC">
            <w:pPr>
              <w:jc w:val="center"/>
              <w:rPr>
                <w:rFonts w:ascii="Times New Roman" w:hAnsi="Times New Roman"/>
                <w:sz w:val="24"/>
                <w:szCs w:val="24"/>
              </w:rPr>
            </w:pPr>
            <w:r w:rsidRPr="001A38FB">
              <w:rPr>
                <w:rFonts w:ascii="Times New Roman" w:hAnsi="Times New Roman"/>
                <w:sz w:val="24"/>
                <w:szCs w:val="24"/>
              </w:rPr>
              <w:t>)</w:t>
            </w:r>
          </w:p>
        </w:tc>
        <w:tc>
          <w:tcPr>
            <w:tcW w:w="4230" w:type="dxa"/>
          </w:tcPr>
          <w:p w:rsidR="00C94935" w:rsidRPr="001A38FB" w:rsidRDefault="00C94935" w:rsidP="00AA50FC">
            <w:pPr>
              <w:pStyle w:val="Footer"/>
              <w:tabs>
                <w:tab w:val="clear" w:pos="4320"/>
                <w:tab w:val="clear" w:pos="8640"/>
              </w:tabs>
              <w:ind w:left="432"/>
              <w:rPr>
                <w:rFonts w:ascii="Times New Roman" w:hAnsi="Times New Roman"/>
                <w:sz w:val="24"/>
                <w:szCs w:val="24"/>
              </w:rPr>
            </w:pPr>
          </w:p>
          <w:p w:rsidR="00C94935" w:rsidRPr="001A38FB" w:rsidRDefault="00C94935" w:rsidP="00AA50FC">
            <w:pPr>
              <w:pStyle w:val="Footer"/>
              <w:tabs>
                <w:tab w:val="clear" w:pos="4320"/>
                <w:tab w:val="clear" w:pos="8640"/>
              </w:tabs>
              <w:ind w:left="432"/>
              <w:rPr>
                <w:rFonts w:ascii="Times New Roman" w:hAnsi="Times New Roman"/>
                <w:sz w:val="24"/>
                <w:szCs w:val="24"/>
              </w:rPr>
            </w:pPr>
          </w:p>
          <w:p w:rsidR="00C94935" w:rsidRPr="001A38FB" w:rsidRDefault="00C94935" w:rsidP="00AA50FC">
            <w:pPr>
              <w:pStyle w:val="Footer"/>
              <w:tabs>
                <w:tab w:val="clear" w:pos="4320"/>
                <w:tab w:val="clear" w:pos="8640"/>
              </w:tabs>
              <w:ind w:left="432"/>
              <w:rPr>
                <w:rFonts w:ascii="Times New Roman" w:hAnsi="Times New Roman"/>
                <w:sz w:val="24"/>
                <w:szCs w:val="24"/>
              </w:rPr>
            </w:pPr>
            <w:r w:rsidRPr="001A38FB">
              <w:rPr>
                <w:rFonts w:ascii="Times New Roman" w:hAnsi="Times New Roman"/>
                <w:sz w:val="24"/>
                <w:szCs w:val="24"/>
              </w:rPr>
              <w:t>Case No. 11-5201-EL-RDR</w:t>
            </w:r>
          </w:p>
        </w:tc>
      </w:tr>
    </w:tbl>
    <w:p w:rsidR="00C94935" w:rsidRPr="001A38FB" w:rsidRDefault="00C94935" w:rsidP="00C94935">
      <w:pPr>
        <w:rPr>
          <w:rFonts w:ascii="Times New Roman" w:hAnsi="Times New Roman"/>
          <w:b/>
          <w:sz w:val="24"/>
          <w:szCs w:val="24"/>
        </w:rPr>
      </w:pPr>
    </w:p>
    <w:p w:rsidR="00C94935" w:rsidRPr="001A38FB" w:rsidRDefault="00C94935" w:rsidP="00C94935">
      <w:pPr>
        <w:rPr>
          <w:rFonts w:ascii="Times New Roman" w:hAnsi="Times New Roman"/>
          <w:b/>
          <w:sz w:val="24"/>
          <w:szCs w:val="24"/>
        </w:rPr>
      </w:pPr>
    </w:p>
    <w:p w:rsidR="00C94935" w:rsidRDefault="00C94935" w:rsidP="00C94935">
      <w:pPr>
        <w:jc w:val="center"/>
        <w:rPr>
          <w:rFonts w:ascii="Times New Roman" w:hAnsi="Times New Roman"/>
          <w:b/>
          <w:sz w:val="24"/>
          <w:szCs w:val="24"/>
          <w:u w:val="single"/>
        </w:rPr>
      </w:pPr>
      <w:r w:rsidRPr="001A38FB">
        <w:rPr>
          <w:rFonts w:ascii="Times New Roman" w:hAnsi="Times New Roman"/>
          <w:b/>
          <w:sz w:val="24"/>
          <w:szCs w:val="24"/>
          <w:u w:val="single"/>
        </w:rPr>
        <w:t>APPLICATION FOR REHEARING</w:t>
      </w:r>
      <w:r>
        <w:rPr>
          <w:rFonts w:ascii="Times New Roman" w:hAnsi="Times New Roman"/>
          <w:b/>
          <w:sz w:val="24"/>
          <w:szCs w:val="24"/>
          <w:u w:val="single"/>
        </w:rPr>
        <w:t xml:space="preserve"> </w:t>
      </w:r>
    </w:p>
    <w:p w:rsidR="00C94935" w:rsidRPr="001A38FB" w:rsidRDefault="00C94935" w:rsidP="00C94935">
      <w:pPr>
        <w:jc w:val="center"/>
        <w:rPr>
          <w:rFonts w:ascii="Times New Roman" w:hAnsi="Times New Roman"/>
          <w:b/>
          <w:sz w:val="24"/>
          <w:szCs w:val="24"/>
          <w:u w:val="single"/>
        </w:rPr>
      </w:pPr>
      <w:r>
        <w:rPr>
          <w:rFonts w:ascii="Times New Roman" w:hAnsi="Times New Roman"/>
          <w:b/>
          <w:sz w:val="24"/>
          <w:szCs w:val="24"/>
          <w:u w:val="single"/>
        </w:rPr>
        <w:t>AND MEMORANDUM IN SUPPORT</w:t>
      </w:r>
      <w:r w:rsidRPr="001A38FB">
        <w:rPr>
          <w:rFonts w:ascii="Times New Roman" w:hAnsi="Times New Roman"/>
          <w:b/>
          <w:sz w:val="24"/>
          <w:szCs w:val="24"/>
          <w:u w:val="single"/>
        </w:rPr>
        <w:t xml:space="preserve"> OF </w:t>
      </w:r>
    </w:p>
    <w:p w:rsidR="00C94935" w:rsidRPr="001A38FB" w:rsidRDefault="00C94935" w:rsidP="00C94935">
      <w:pPr>
        <w:jc w:val="center"/>
        <w:rPr>
          <w:rFonts w:ascii="Times New Roman" w:hAnsi="Times New Roman"/>
          <w:b/>
          <w:sz w:val="24"/>
          <w:szCs w:val="24"/>
          <w:u w:val="single"/>
        </w:rPr>
      </w:pPr>
      <w:r w:rsidRPr="001A38FB">
        <w:rPr>
          <w:rFonts w:ascii="Times New Roman" w:hAnsi="Times New Roman"/>
          <w:b/>
          <w:sz w:val="24"/>
          <w:szCs w:val="24"/>
          <w:u w:val="single"/>
        </w:rPr>
        <w:t xml:space="preserve">DIRECT ENERGY SERVICES, LLC AND </w:t>
      </w:r>
    </w:p>
    <w:p w:rsidR="00C94935" w:rsidRPr="001A38FB" w:rsidRDefault="00C94935" w:rsidP="00C94935">
      <w:pPr>
        <w:jc w:val="center"/>
        <w:rPr>
          <w:rFonts w:ascii="Times New Roman" w:hAnsi="Times New Roman"/>
          <w:b/>
          <w:sz w:val="24"/>
          <w:szCs w:val="24"/>
          <w:u w:val="single"/>
        </w:rPr>
      </w:pPr>
      <w:r w:rsidRPr="00A91341">
        <w:rPr>
          <w:rFonts w:ascii="Times New Roman" w:hAnsi="Times New Roman"/>
          <w:b/>
          <w:sz w:val="24"/>
          <w:szCs w:val="24"/>
          <w:u w:val="single"/>
        </w:rPr>
        <w:t>DIRECT ENERGY BUSINESS</w:t>
      </w:r>
      <w:r w:rsidRPr="001A38FB">
        <w:rPr>
          <w:rFonts w:ascii="Times New Roman" w:hAnsi="Times New Roman"/>
          <w:b/>
          <w:sz w:val="24"/>
          <w:szCs w:val="24"/>
          <w:u w:val="single"/>
        </w:rPr>
        <w:t>,</w:t>
      </w:r>
      <w:r>
        <w:rPr>
          <w:rFonts w:ascii="Times New Roman" w:hAnsi="Times New Roman"/>
          <w:b/>
          <w:sz w:val="24"/>
          <w:szCs w:val="24"/>
          <w:u w:val="single"/>
        </w:rPr>
        <w:t xml:space="preserve"> </w:t>
      </w:r>
      <w:r w:rsidRPr="001A38FB">
        <w:rPr>
          <w:rFonts w:ascii="Times New Roman" w:hAnsi="Times New Roman"/>
          <w:b/>
          <w:sz w:val="24"/>
          <w:szCs w:val="24"/>
          <w:u w:val="single"/>
        </w:rPr>
        <w:t>LLC</w:t>
      </w:r>
    </w:p>
    <w:p w:rsidR="00C94935" w:rsidRPr="001A38FB" w:rsidRDefault="00C94935" w:rsidP="00C94935">
      <w:pPr>
        <w:jc w:val="center"/>
        <w:rPr>
          <w:rFonts w:ascii="Times New Roman" w:hAnsi="Times New Roman"/>
          <w:sz w:val="24"/>
          <w:szCs w:val="24"/>
        </w:rPr>
      </w:pPr>
    </w:p>
    <w:p w:rsidR="00C94935" w:rsidRDefault="00C94935" w:rsidP="00C94935">
      <w:pPr>
        <w:spacing w:line="480" w:lineRule="auto"/>
        <w:ind w:firstLine="720"/>
        <w:jc w:val="both"/>
        <w:rPr>
          <w:rFonts w:ascii="Times New Roman" w:hAnsi="Times New Roman"/>
          <w:sz w:val="24"/>
          <w:szCs w:val="24"/>
        </w:rPr>
      </w:pPr>
      <w:r w:rsidRPr="001A38FB">
        <w:rPr>
          <w:rFonts w:ascii="Times New Roman" w:hAnsi="Times New Roman"/>
          <w:sz w:val="24"/>
          <w:szCs w:val="24"/>
        </w:rPr>
        <w:t>Pursuant to Section 4903.10, Revised Code</w:t>
      </w:r>
      <w:r>
        <w:rPr>
          <w:rFonts w:ascii="Times New Roman" w:hAnsi="Times New Roman"/>
          <w:sz w:val="24"/>
          <w:szCs w:val="24"/>
        </w:rPr>
        <w:t>, and Rule 4901:1-35</w:t>
      </w:r>
      <w:r w:rsidRPr="001A38FB">
        <w:rPr>
          <w:rFonts w:ascii="Times New Roman" w:hAnsi="Times New Roman"/>
          <w:sz w:val="24"/>
          <w:szCs w:val="24"/>
        </w:rPr>
        <w:t>,</w:t>
      </w:r>
      <w:r>
        <w:rPr>
          <w:rFonts w:ascii="Times New Roman" w:hAnsi="Times New Roman"/>
          <w:sz w:val="24"/>
          <w:szCs w:val="24"/>
        </w:rPr>
        <w:t xml:space="preserve"> Ohio </w:t>
      </w:r>
      <w:r>
        <w:rPr>
          <w:rFonts w:ascii="Times New Roman" w:hAnsi="Times New Roman"/>
          <w:sz w:val="24"/>
          <w:szCs w:val="24"/>
        </w:rPr>
        <w:br/>
        <w:t>Administrative Code,</w:t>
      </w:r>
      <w:r w:rsidRPr="001A38FB">
        <w:rPr>
          <w:rFonts w:ascii="Times New Roman" w:hAnsi="Times New Roman"/>
          <w:sz w:val="24"/>
          <w:szCs w:val="24"/>
        </w:rPr>
        <w:t xml:space="preserve"> Direct Energy Services, LLC and </w:t>
      </w:r>
      <w:r w:rsidRPr="00A91341">
        <w:rPr>
          <w:rFonts w:ascii="Times New Roman" w:hAnsi="Times New Roman"/>
          <w:sz w:val="24"/>
          <w:szCs w:val="24"/>
        </w:rPr>
        <w:t>Direct Energy Business</w:t>
      </w:r>
      <w:r w:rsidRPr="001A38FB">
        <w:rPr>
          <w:rFonts w:ascii="Times New Roman" w:hAnsi="Times New Roman"/>
          <w:sz w:val="24"/>
          <w:szCs w:val="24"/>
        </w:rPr>
        <w:t xml:space="preserve">, LLC (collectively, “Direct Energy”) </w:t>
      </w:r>
      <w:r>
        <w:rPr>
          <w:rFonts w:ascii="Times New Roman" w:hAnsi="Times New Roman"/>
          <w:sz w:val="24"/>
          <w:szCs w:val="24"/>
        </w:rPr>
        <w:t xml:space="preserve">respectfully </w:t>
      </w:r>
      <w:r w:rsidRPr="001A38FB">
        <w:rPr>
          <w:rFonts w:ascii="Times New Roman" w:hAnsi="Times New Roman"/>
          <w:sz w:val="24"/>
          <w:szCs w:val="24"/>
        </w:rPr>
        <w:t>file an Application for Rehearing in this matter.</w:t>
      </w:r>
      <w:r>
        <w:rPr>
          <w:rFonts w:ascii="Times New Roman" w:hAnsi="Times New Roman"/>
          <w:sz w:val="24"/>
          <w:szCs w:val="24"/>
        </w:rPr>
        <w:t xml:space="preserve">  Specifically, </w:t>
      </w:r>
      <w:r w:rsidRPr="00E55EB4">
        <w:rPr>
          <w:rFonts w:ascii="Times New Roman" w:hAnsi="Times New Roman"/>
          <w:sz w:val="24"/>
          <w:szCs w:val="24"/>
        </w:rPr>
        <w:t>Direct Energy</w:t>
      </w:r>
      <w:r>
        <w:rPr>
          <w:rFonts w:ascii="Times New Roman" w:hAnsi="Times New Roman"/>
          <w:sz w:val="24"/>
          <w:szCs w:val="24"/>
        </w:rPr>
        <w:t xml:space="preserve"> alle</w:t>
      </w:r>
      <w:bookmarkStart w:id="0" w:name="_GoBack"/>
      <w:bookmarkEnd w:id="0"/>
      <w:r>
        <w:rPr>
          <w:rFonts w:ascii="Times New Roman" w:hAnsi="Times New Roman"/>
          <w:sz w:val="24"/>
          <w:szCs w:val="24"/>
        </w:rPr>
        <w:t>ges the August 7, 2013 Opinion and Order (“Opinion and Order”) of the Public Utilities Commission of Ohio (“Commission”) is unlawful and unreasonable in the following respects:</w:t>
      </w:r>
    </w:p>
    <w:p w:rsidR="00C94935" w:rsidRDefault="00C94935" w:rsidP="00C94935">
      <w:pPr>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The Commission’s Opinion and Order is unreasonable inasmuch as requiring disallowed monies to be returned to customers through the Alternative Energy Rider (“AER”) deprives customers who are now shopping their share of any renewable energy compliance cost over-recovery by </w:t>
      </w:r>
      <w:r w:rsidR="004D2EBB">
        <w:rPr>
          <w:rFonts w:ascii="Times New Roman" w:hAnsi="Times New Roman"/>
          <w:sz w:val="24"/>
          <w:szCs w:val="24"/>
        </w:rPr>
        <w:t>Ohio Edison, Cleveland Electric Illuminating</w:t>
      </w:r>
      <w:r w:rsidR="00D3076D">
        <w:rPr>
          <w:rFonts w:ascii="Times New Roman" w:hAnsi="Times New Roman"/>
          <w:sz w:val="24"/>
          <w:szCs w:val="24"/>
        </w:rPr>
        <w:t xml:space="preserve"> Company</w:t>
      </w:r>
      <w:r w:rsidR="004D2EBB">
        <w:rPr>
          <w:rFonts w:ascii="Times New Roman" w:hAnsi="Times New Roman"/>
          <w:sz w:val="24"/>
          <w:szCs w:val="24"/>
        </w:rPr>
        <w:t>, and Toledo Edison (collectively, “FirstEnergy”)</w:t>
      </w:r>
      <w:r>
        <w:rPr>
          <w:rFonts w:ascii="Times New Roman" w:hAnsi="Times New Roman"/>
          <w:sz w:val="24"/>
          <w:szCs w:val="24"/>
        </w:rPr>
        <w:t>.</w:t>
      </w:r>
    </w:p>
    <w:p w:rsidR="00C94935" w:rsidRDefault="00C94935" w:rsidP="00C94935">
      <w:pPr>
        <w:numPr>
          <w:ilvl w:val="0"/>
          <w:numId w:val="1"/>
        </w:numPr>
        <w:spacing w:line="480" w:lineRule="auto"/>
        <w:jc w:val="both"/>
        <w:rPr>
          <w:rFonts w:ascii="Times New Roman" w:hAnsi="Times New Roman"/>
          <w:sz w:val="24"/>
          <w:szCs w:val="24"/>
        </w:rPr>
      </w:pPr>
      <w:r>
        <w:rPr>
          <w:rFonts w:ascii="Times New Roman" w:hAnsi="Times New Roman"/>
          <w:sz w:val="24"/>
          <w:szCs w:val="24"/>
        </w:rPr>
        <w:t>The Commission’s Opinion and Order is unlawful and unreasonable inasmuch as requiring disallowed monies to be returned to customers through the AER</w:t>
      </w:r>
      <w:r w:rsidRPr="002462A3">
        <w:rPr>
          <w:rFonts w:ascii="Times New Roman" w:hAnsi="Times New Roman"/>
          <w:sz w:val="24"/>
          <w:szCs w:val="24"/>
        </w:rPr>
        <w:t xml:space="preserve"> </w:t>
      </w:r>
      <w:r>
        <w:rPr>
          <w:rFonts w:ascii="Times New Roman" w:hAnsi="Times New Roman"/>
          <w:sz w:val="24"/>
          <w:szCs w:val="24"/>
        </w:rPr>
        <w:t>distorts the</w:t>
      </w:r>
      <w:r w:rsidR="00A868E7">
        <w:rPr>
          <w:rFonts w:ascii="Times New Roman" w:hAnsi="Times New Roman"/>
          <w:sz w:val="24"/>
          <w:szCs w:val="24"/>
        </w:rPr>
        <w:t xml:space="preserve"> price to compare</w:t>
      </w:r>
      <w:r>
        <w:rPr>
          <w:rFonts w:ascii="Times New Roman" w:hAnsi="Times New Roman"/>
          <w:sz w:val="24"/>
          <w:szCs w:val="24"/>
        </w:rPr>
        <w:t>.</w:t>
      </w:r>
    </w:p>
    <w:p w:rsidR="00C94935" w:rsidRPr="001A38FB" w:rsidRDefault="00C94935" w:rsidP="00C94935">
      <w:pPr>
        <w:numPr>
          <w:ilvl w:val="0"/>
          <w:numId w:val="1"/>
        </w:numPr>
        <w:spacing w:line="480" w:lineRule="auto"/>
        <w:jc w:val="both"/>
        <w:rPr>
          <w:rFonts w:ascii="Times New Roman" w:hAnsi="Times New Roman"/>
          <w:sz w:val="24"/>
          <w:szCs w:val="24"/>
        </w:rPr>
      </w:pPr>
      <w:r>
        <w:rPr>
          <w:rFonts w:ascii="Times New Roman" w:hAnsi="Times New Roman"/>
          <w:sz w:val="24"/>
          <w:szCs w:val="24"/>
        </w:rPr>
        <w:lastRenderedPageBreak/>
        <w:t xml:space="preserve">The Commission’s Opinion and Order is unreasonable inasmuch as the Commission failed to order FirstEnergy to implement the recommendations of the financial auditor. </w:t>
      </w:r>
    </w:p>
    <w:p w:rsidR="00C94935" w:rsidRPr="001A38FB" w:rsidRDefault="00C94935" w:rsidP="00C94935">
      <w:pPr>
        <w:tabs>
          <w:tab w:val="left" w:pos="1440"/>
        </w:tabs>
        <w:spacing w:line="480" w:lineRule="auto"/>
        <w:ind w:firstLine="720"/>
        <w:jc w:val="both"/>
        <w:rPr>
          <w:rFonts w:ascii="Times New Roman" w:hAnsi="Times New Roman"/>
          <w:sz w:val="24"/>
          <w:szCs w:val="24"/>
        </w:rPr>
      </w:pPr>
      <w:r w:rsidRPr="001A38FB">
        <w:rPr>
          <w:rFonts w:ascii="Times New Roman" w:hAnsi="Times New Roman"/>
          <w:sz w:val="24"/>
          <w:szCs w:val="24"/>
        </w:rPr>
        <w:t>WHEREFORE, Direct Energy respectfully requests that the Commission grant its Application for Rehearing in this matter</w:t>
      </w:r>
      <w:r>
        <w:rPr>
          <w:rFonts w:ascii="Times New Roman" w:hAnsi="Times New Roman"/>
          <w:sz w:val="24"/>
          <w:szCs w:val="24"/>
        </w:rPr>
        <w:t xml:space="preserve"> and modify its Opinion and Order in the manner suggested by Direct Energy</w:t>
      </w:r>
      <w:r w:rsidRPr="001A38FB">
        <w:rPr>
          <w:rFonts w:ascii="Times New Roman" w:hAnsi="Times New Roman"/>
          <w:sz w:val="24"/>
          <w:szCs w:val="24"/>
        </w:rPr>
        <w:t>.</w:t>
      </w:r>
    </w:p>
    <w:p w:rsidR="00C94935" w:rsidRPr="001A38FB" w:rsidRDefault="00C94935" w:rsidP="00C94935">
      <w:pPr>
        <w:tabs>
          <w:tab w:val="left" w:pos="1440"/>
          <w:tab w:val="left" w:pos="4320"/>
        </w:tabs>
        <w:spacing w:line="480" w:lineRule="auto"/>
        <w:ind w:firstLine="1440"/>
        <w:rPr>
          <w:rFonts w:ascii="Times New Roman" w:hAnsi="Times New Roman"/>
          <w:sz w:val="24"/>
          <w:szCs w:val="24"/>
        </w:rPr>
      </w:pPr>
      <w:r w:rsidRPr="001A38FB">
        <w:rPr>
          <w:rFonts w:ascii="Times New Roman" w:hAnsi="Times New Roman"/>
          <w:sz w:val="24"/>
          <w:szCs w:val="24"/>
        </w:rPr>
        <w:tab/>
        <w:t>Respectfully submitted,</w:t>
      </w:r>
    </w:p>
    <w:p w:rsidR="00C94935" w:rsidRPr="001A38FB" w:rsidRDefault="00140CBD" w:rsidP="00C94935">
      <w:pPr>
        <w:ind w:left="4320"/>
        <w:rPr>
          <w:rFonts w:ascii="Times New Roman" w:hAnsi="Times New Roman"/>
          <w:sz w:val="24"/>
          <w:szCs w:val="24"/>
        </w:rPr>
      </w:pPr>
      <w:r>
        <w:rPr>
          <w:rFonts w:ascii="Times New Roman" w:hAnsi="Times New Roman"/>
          <w:sz w:val="24"/>
          <w:szCs w:val="24"/>
          <w:u w:val="single"/>
        </w:rPr>
        <w:t>/</w:t>
      </w:r>
      <w:r w:rsidR="0098150D">
        <w:rPr>
          <w:rFonts w:ascii="Times New Roman" w:hAnsi="Times New Roman"/>
          <w:sz w:val="24"/>
          <w:szCs w:val="24"/>
          <w:u w:val="single"/>
        </w:rPr>
        <w:t>s/ Joseph M. Clark</w:t>
      </w:r>
      <w:r w:rsidR="00C94935" w:rsidRPr="001A38FB">
        <w:rPr>
          <w:rFonts w:ascii="Times New Roman" w:hAnsi="Times New Roman"/>
          <w:sz w:val="24"/>
          <w:szCs w:val="24"/>
          <w:u w:val="single"/>
        </w:rPr>
        <w:tab/>
      </w:r>
      <w:r w:rsidR="00C94935" w:rsidRPr="001A38FB">
        <w:rPr>
          <w:rFonts w:ascii="Times New Roman" w:hAnsi="Times New Roman"/>
          <w:sz w:val="24"/>
          <w:szCs w:val="24"/>
          <w:u w:val="single"/>
        </w:rPr>
        <w:tab/>
      </w:r>
      <w:r w:rsidR="00C94935" w:rsidRPr="001A38FB">
        <w:rPr>
          <w:rFonts w:ascii="Times New Roman" w:hAnsi="Times New Roman"/>
          <w:sz w:val="24"/>
          <w:szCs w:val="24"/>
          <w:u w:val="single"/>
        </w:rPr>
        <w:tab/>
      </w:r>
      <w:r w:rsidR="00C94935" w:rsidRPr="001A38FB">
        <w:rPr>
          <w:rFonts w:ascii="Times New Roman" w:hAnsi="Times New Roman"/>
          <w:sz w:val="24"/>
          <w:szCs w:val="24"/>
          <w:u w:val="single"/>
        </w:rPr>
        <w:tab/>
      </w:r>
    </w:p>
    <w:p w:rsidR="00C94935" w:rsidRPr="001A38FB" w:rsidRDefault="00C94935" w:rsidP="00C94935">
      <w:pPr>
        <w:ind w:left="4320"/>
        <w:rPr>
          <w:rFonts w:ascii="Times New Roman" w:hAnsi="Times New Roman"/>
          <w:sz w:val="24"/>
          <w:szCs w:val="24"/>
        </w:rPr>
      </w:pPr>
      <w:r w:rsidRPr="001A38FB">
        <w:rPr>
          <w:rFonts w:ascii="Times New Roman" w:hAnsi="Times New Roman"/>
          <w:sz w:val="24"/>
          <w:szCs w:val="24"/>
        </w:rPr>
        <w:t>Joseph M. Clark</w:t>
      </w:r>
    </w:p>
    <w:p w:rsidR="00C94935" w:rsidRPr="001A38FB" w:rsidRDefault="00C94935" w:rsidP="00C94935">
      <w:pPr>
        <w:ind w:left="4320"/>
        <w:rPr>
          <w:rFonts w:ascii="Times New Roman" w:hAnsi="Times New Roman"/>
          <w:sz w:val="24"/>
          <w:szCs w:val="24"/>
        </w:rPr>
      </w:pPr>
      <w:r w:rsidRPr="001A38FB">
        <w:rPr>
          <w:rFonts w:ascii="Times New Roman" w:hAnsi="Times New Roman"/>
          <w:sz w:val="24"/>
          <w:szCs w:val="24"/>
        </w:rPr>
        <w:t>Direct Energy</w:t>
      </w:r>
    </w:p>
    <w:p w:rsidR="00C94935" w:rsidRPr="001A38FB" w:rsidRDefault="00C94935" w:rsidP="00C94935">
      <w:pPr>
        <w:ind w:left="4320"/>
        <w:rPr>
          <w:rFonts w:ascii="Times New Roman" w:hAnsi="Times New Roman"/>
          <w:sz w:val="24"/>
          <w:szCs w:val="24"/>
        </w:rPr>
      </w:pPr>
      <w:r w:rsidRPr="001A38FB">
        <w:rPr>
          <w:rFonts w:ascii="Times New Roman" w:hAnsi="Times New Roman"/>
          <w:sz w:val="24"/>
          <w:szCs w:val="24"/>
        </w:rPr>
        <w:t>21 East State Street, 19</w:t>
      </w:r>
      <w:r w:rsidRPr="001A38FB">
        <w:rPr>
          <w:rFonts w:ascii="Times New Roman" w:hAnsi="Times New Roman"/>
          <w:sz w:val="24"/>
          <w:szCs w:val="24"/>
          <w:vertAlign w:val="superscript"/>
        </w:rPr>
        <w:t>th</w:t>
      </w:r>
      <w:r w:rsidRPr="001A38FB">
        <w:rPr>
          <w:rFonts w:ascii="Times New Roman" w:hAnsi="Times New Roman"/>
          <w:sz w:val="24"/>
          <w:szCs w:val="24"/>
        </w:rPr>
        <w:t xml:space="preserve"> Floor</w:t>
      </w:r>
    </w:p>
    <w:p w:rsidR="00C94935" w:rsidRPr="001A38FB" w:rsidRDefault="00C94935" w:rsidP="00C94935">
      <w:pPr>
        <w:ind w:left="4320"/>
        <w:rPr>
          <w:rFonts w:ascii="Times New Roman" w:hAnsi="Times New Roman"/>
          <w:sz w:val="24"/>
          <w:szCs w:val="24"/>
        </w:rPr>
      </w:pPr>
      <w:r w:rsidRPr="001A38FB">
        <w:rPr>
          <w:rFonts w:ascii="Times New Roman" w:hAnsi="Times New Roman"/>
          <w:sz w:val="24"/>
          <w:szCs w:val="24"/>
        </w:rPr>
        <w:t>Columbus, Ohio 43215</w:t>
      </w:r>
    </w:p>
    <w:p w:rsidR="00C94935" w:rsidRPr="001A38FB" w:rsidRDefault="00A868E7" w:rsidP="00C94935">
      <w:pPr>
        <w:ind w:left="4320"/>
        <w:rPr>
          <w:rFonts w:ascii="Times New Roman" w:hAnsi="Times New Roman"/>
          <w:sz w:val="24"/>
          <w:szCs w:val="24"/>
        </w:rPr>
      </w:pPr>
      <w:r>
        <w:rPr>
          <w:rFonts w:ascii="Times New Roman" w:hAnsi="Times New Roman"/>
          <w:sz w:val="24"/>
          <w:szCs w:val="24"/>
        </w:rPr>
        <w:t>(614) 220-4369 E</w:t>
      </w:r>
      <w:r w:rsidR="00C94935" w:rsidRPr="001A38FB">
        <w:rPr>
          <w:rFonts w:ascii="Times New Roman" w:hAnsi="Times New Roman"/>
          <w:sz w:val="24"/>
          <w:szCs w:val="24"/>
        </w:rPr>
        <w:t>xt 232 (Office)</w:t>
      </w:r>
    </w:p>
    <w:p w:rsidR="00C94935" w:rsidRPr="001A38FB" w:rsidRDefault="00C94935" w:rsidP="00C94935">
      <w:pPr>
        <w:ind w:left="4320"/>
        <w:rPr>
          <w:rFonts w:ascii="Times New Roman" w:hAnsi="Times New Roman"/>
          <w:sz w:val="24"/>
          <w:szCs w:val="24"/>
        </w:rPr>
      </w:pPr>
      <w:r w:rsidRPr="001A38FB">
        <w:rPr>
          <w:rFonts w:ascii="Times New Roman" w:hAnsi="Times New Roman"/>
          <w:sz w:val="24"/>
          <w:szCs w:val="24"/>
        </w:rPr>
        <w:t>(614) 220-4634 (Fax)</w:t>
      </w:r>
    </w:p>
    <w:p w:rsidR="00C94935" w:rsidRPr="001A38FB" w:rsidRDefault="009269B9" w:rsidP="00C94935">
      <w:pPr>
        <w:ind w:left="4320"/>
        <w:rPr>
          <w:rFonts w:ascii="Times New Roman" w:hAnsi="Times New Roman"/>
          <w:sz w:val="24"/>
          <w:szCs w:val="24"/>
        </w:rPr>
      </w:pPr>
      <w:hyperlink r:id="rId9" w:history="1">
        <w:r w:rsidR="00C94935" w:rsidRPr="001A38FB">
          <w:rPr>
            <w:rStyle w:val="Hyperlink"/>
            <w:rFonts w:ascii="Times New Roman" w:hAnsi="Times New Roman"/>
            <w:sz w:val="24"/>
            <w:szCs w:val="24"/>
          </w:rPr>
          <w:t>joseph.clark@directenergy.com</w:t>
        </w:r>
      </w:hyperlink>
      <w:r w:rsidR="00C94935" w:rsidRPr="001A38FB">
        <w:rPr>
          <w:rFonts w:ascii="Times New Roman" w:hAnsi="Times New Roman"/>
          <w:sz w:val="24"/>
          <w:szCs w:val="24"/>
        </w:rPr>
        <w:t xml:space="preserve"> </w:t>
      </w:r>
    </w:p>
    <w:p w:rsidR="00C94935" w:rsidRPr="001A38FB" w:rsidRDefault="00C94935" w:rsidP="00C94935">
      <w:pPr>
        <w:ind w:left="4320"/>
        <w:rPr>
          <w:rFonts w:ascii="Times New Roman" w:hAnsi="Times New Roman"/>
          <w:sz w:val="24"/>
          <w:szCs w:val="24"/>
        </w:rPr>
      </w:pPr>
    </w:p>
    <w:p w:rsidR="00C94935" w:rsidRPr="001A38FB" w:rsidRDefault="00C94935" w:rsidP="00C94935">
      <w:pPr>
        <w:ind w:left="4320" w:right="-360"/>
        <w:rPr>
          <w:rFonts w:ascii="Times New Roman" w:hAnsi="Times New Roman"/>
          <w:sz w:val="24"/>
          <w:szCs w:val="24"/>
        </w:rPr>
      </w:pPr>
      <w:r w:rsidRPr="001A38FB">
        <w:rPr>
          <w:rFonts w:ascii="Times New Roman" w:hAnsi="Times New Roman"/>
          <w:sz w:val="24"/>
          <w:szCs w:val="24"/>
        </w:rPr>
        <w:t>Attorney for Direct Energy Services, LLC and Direct Energy Business, LLC</w:t>
      </w:r>
    </w:p>
    <w:p w:rsidR="00C94935" w:rsidRPr="001A38FB" w:rsidRDefault="00C94935" w:rsidP="00C94935">
      <w:pPr>
        <w:jc w:val="center"/>
        <w:rPr>
          <w:rFonts w:ascii="Times New Roman" w:hAnsi="Times New Roman"/>
          <w:b/>
          <w:sz w:val="24"/>
          <w:szCs w:val="24"/>
          <w:u w:val="single"/>
        </w:rPr>
      </w:pPr>
      <w:r w:rsidRPr="001A38FB">
        <w:rPr>
          <w:rFonts w:ascii="Times New Roman" w:hAnsi="Times New Roman"/>
          <w:sz w:val="24"/>
          <w:szCs w:val="24"/>
        </w:rPr>
        <w:br w:type="page"/>
      </w:r>
      <w:r w:rsidRPr="001A38FB">
        <w:rPr>
          <w:rFonts w:ascii="Times New Roman" w:hAnsi="Times New Roman"/>
          <w:b/>
          <w:sz w:val="24"/>
          <w:szCs w:val="24"/>
          <w:u w:val="single"/>
        </w:rPr>
        <w:lastRenderedPageBreak/>
        <w:t>MEMORANDUM IN SUPPORT</w:t>
      </w:r>
    </w:p>
    <w:p w:rsidR="00C94935" w:rsidRPr="001A38FB" w:rsidRDefault="00C94935" w:rsidP="00C94935">
      <w:pPr>
        <w:jc w:val="center"/>
        <w:rPr>
          <w:rFonts w:ascii="Times New Roman" w:hAnsi="Times New Roman"/>
          <w:b/>
          <w:sz w:val="24"/>
          <w:szCs w:val="24"/>
          <w:u w:val="single"/>
        </w:rPr>
      </w:pPr>
    </w:p>
    <w:p w:rsidR="00C94935" w:rsidRDefault="00C94935" w:rsidP="00C94935">
      <w:pPr>
        <w:tabs>
          <w:tab w:val="left" w:pos="720"/>
        </w:tabs>
        <w:spacing w:line="480" w:lineRule="auto"/>
        <w:jc w:val="both"/>
        <w:rPr>
          <w:rFonts w:ascii="Times New Roman" w:hAnsi="Times New Roman"/>
          <w:sz w:val="24"/>
          <w:szCs w:val="24"/>
        </w:rPr>
      </w:pPr>
      <w:r w:rsidRPr="001A38FB">
        <w:rPr>
          <w:rFonts w:ascii="Times New Roman" w:hAnsi="Times New Roman"/>
          <w:sz w:val="24"/>
          <w:szCs w:val="24"/>
        </w:rPr>
        <w:tab/>
        <w:t xml:space="preserve">Section 4903.10, Revised Code, </w:t>
      </w:r>
      <w:r>
        <w:rPr>
          <w:rFonts w:ascii="Times New Roman" w:hAnsi="Times New Roman"/>
          <w:sz w:val="24"/>
          <w:szCs w:val="24"/>
        </w:rPr>
        <w:t xml:space="preserve">requires applications for rehearing from Commission orders </w:t>
      </w:r>
      <w:proofErr w:type="gramStart"/>
      <w:r>
        <w:rPr>
          <w:rFonts w:ascii="Times New Roman" w:hAnsi="Times New Roman"/>
          <w:sz w:val="24"/>
          <w:szCs w:val="24"/>
        </w:rPr>
        <w:t>be</w:t>
      </w:r>
      <w:proofErr w:type="gramEnd"/>
      <w:r>
        <w:rPr>
          <w:rFonts w:ascii="Times New Roman" w:hAnsi="Times New Roman"/>
          <w:sz w:val="24"/>
          <w:szCs w:val="24"/>
        </w:rPr>
        <w:t xml:space="preserve"> made within thirty (30) days after such order is entered upon the Commission’s journal.  </w:t>
      </w:r>
      <w:r w:rsidRPr="00EC5F9E">
        <w:rPr>
          <w:rFonts w:ascii="Times New Roman" w:hAnsi="Times New Roman"/>
          <w:sz w:val="24"/>
          <w:szCs w:val="24"/>
        </w:rPr>
        <w:t>Direct Energy</w:t>
      </w:r>
      <w:r>
        <w:rPr>
          <w:rFonts w:ascii="Times New Roman" w:hAnsi="Times New Roman"/>
          <w:sz w:val="24"/>
          <w:szCs w:val="24"/>
        </w:rPr>
        <w:t xml:space="preserve"> hereby respectfully requests rehearing of the Commission’s August 7, 2013 Opinion and Order.  </w:t>
      </w:r>
    </w:p>
    <w:p w:rsidR="00C94935" w:rsidRDefault="00C94935" w:rsidP="00C94935">
      <w:pPr>
        <w:tabs>
          <w:tab w:val="left" w:pos="720"/>
        </w:tabs>
        <w:spacing w:line="480" w:lineRule="auto"/>
        <w:jc w:val="both"/>
        <w:rPr>
          <w:rFonts w:ascii="Times New Roman" w:hAnsi="Times New Roman"/>
          <w:sz w:val="24"/>
          <w:szCs w:val="24"/>
        </w:rPr>
      </w:pPr>
      <w:r>
        <w:rPr>
          <w:rFonts w:ascii="Times New Roman" w:hAnsi="Times New Roman"/>
          <w:sz w:val="24"/>
          <w:szCs w:val="24"/>
        </w:rPr>
        <w:tab/>
      </w:r>
      <w:r w:rsidRPr="00B64A6A">
        <w:rPr>
          <w:rFonts w:ascii="Times New Roman" w:hAnsi="Times New Roman"/>
          <w:sz w:val="24"/>
          <w:szCs w:val="24"/>
        </w:rPr>
        <w:t>Direct Energy</w:t>
      </w:r>
      <w:r>
        <w:rPr>
          <w:rFonts w:ascii="Times New Roman" w:hAnsi="Times New Roman"/>
          <w:sz w:val="24"/>
          <w:szCs w:val="24"/>
        </w:rPr>
        <w:t xml:space="preserve"> wishes to clarify at the outset that it is </w:t>
      </w:r>
      <w:r w:rsidRPr="00B64A6A">
        <w:rPr>
          <w:rFonts w:ascii="Times New Roman" w:hAnsi="Times New Roman"/>
          <w:i/>
          <w:sz w:val="24"/>
          <w:szCs w:val="24"/>
          <w:u w:val="single"/>
        </w:rPr>
        <w:t>not</w:t>
      </w:r>
      <w:r>
        <w:rPr>
          <w:rFonts w:ascii="Times New Roman" w:hAnsi="Times New Roman"/>
          <w:sz w:val="24"/>
          <w:szCs w:val="24"/>
        </w:rPr>
        <w:t xml:space="preserve"> asking for rehearing on the Commission’s decision to disallow</w:t>
      </w:r>
      <w:r w:rsidR="005606B7">
        <w:rPr>
          <w:rFonts w:ascii="Times New Roman" w:hAnsi="Times New Roman"/>
          <w:sz w:val="24"/>
          <w:szCs w:val="24"/>
        </w:rPr>
        <w:t xml:space="preserve"> (or not disallow)</w:t>
      </w:r>
      <w:r w:rsidR="00F577A2">
        <w:rPr>
          <w:rFonts w:ascii="Times New Roman" w:hAnsi="Times New Roman"/>
          <w:sz w:val="24"/>
          <w:szCs w:val="24"/>
        </w:rPr>
        <w:t xml:space="preserve"> recovery</w:t>
      </w:r>
      <w:r>
        <w:rPr>
          <w:rFonts w:ascii="Times New Roman" w:hAnsi="Times New Roman"/>
          <w:sz w:val="24"/>
          <w:szCs w:val="24"/>
        </w:rPr>
        <w:t xml:space="preserve"> of</w:t>
      </w:r>
      <w:r w:rsidR="00F577A2">
        <w:rPr>
          <w:rFonts w:ascii="Times New Roman" w:hAnsi="Times New Roman"/>
          <w:sz w:val="24"/>
          <w:szCs w:val="24"/>
        </w:rPr>
        <w:t xml:space="preserve"> certain</w:t>
      </w:r>
      <w:r>
        <w:rPr>
          <w:rFonts w:ascii="Times New Roman" w:hAnsi="Times New Roman"/>
          <w:sz w:val="24"/>
          <w:szCs w:val="24"/>
        </w:rPr>
        <w:t xml:space="preserve"> renewable energy mandate compliance costs. </w:t>
      </w:r>
      <w:r w:rsidR="00F577A2">
        <w:rPr>
          <w:rFonts w:ascii="Times New Roman" w:hAnsi="Times New Roman"/>
          <w:sz w:val="24"/>
          <w:szCs w:val="24"/>
        </w:rPr>
        <w:t xml:space="preserve"> </w:t>
      </w:r>
      <w:r w:rsidRPr="00F04381">
        <w:rPr>
          <w:rFonts w:ascii="Times New Roman" w:hAnsi="Times New Roman"/>
          <w:sz w:val="24"/>
          <w:szCs w:val="24"/>
        </w:rPr>
        <w:t>Direct Energy</w:t>
      </w:r>
      <w:r>
        <w:rPr>
          <w:rFonts w:ascii="Times New Roman" w:hAnsi="Times New Roman"/>
          <w:sz w:val="24"/>
          <w:szCs w:val="24"/>
        </w:rPr>
        <w:t xml:space="preserve"> takes no position as to the Commission’s disallowance or refusal to disallow recovery of any renewable energy mandate compliance costs.  </w:t>
      </w:r>
      <w:r w:rsidRPr="00F34B83">
        <w:rPr>
          <w:rFonts w:ascii="Times New Roman" w:hAnsi="Times New Roman"/>
          <w:sz w:val="24"/>
          <w:szCs w:val="24"/>
        </w:rPr>
        <w:t>Direct Energy</w:t>
      </w:r>
      <w:r>
        <w:rPr>
          <w:rFonts w:ascii="Times New Roman" w:hAnsi="Times New Roman"/>
          <w:sz w:val="24"/>
          <w:szCs w:val="24"/>
        </w:rPr>
        <w:t xml:space="preserve"> requests rehearing for </w:t>
      </w:r>
      <w:r w:rsidR="00C36716">
        <w:rPr>
          <w:rFonts w:ascii="Times New Roman" w:hAnsi="Times New Roman"/>
          <w:sz w:val="24"/>
          <w:szCs w:val="24"/>
        </w:rPr>
        <w:t>the l</w:t>
      </w:r>
      <w:r>
        <w:rPr>
          <w:rFonts w:ascii="Times New Roman" w:hAnsi="Times New Roman"/>
          <w:sz w:val="24"/>
          <w:szCs w:val="24"/>
        </w:rPr>
        <w:t>imited purpose</w:t>
      </w:r>
      <w:r w:rsidR="00C36716">
        <w:rPr>
          <w:rFonts w:ascii="Times New Roman" w:hAnsi="Times New Roman"/>
          <w:sz w:val="24"/>
          <w:szCs w:val="24"/>
        </w:rPr>
        <w:t>s</w:t>
      </w:r>
      <w:r>
        <w:rPr>
          <w:rFonts w:ascii="Times New Roman" w:hAnsi="Times New Roman"/>
          <w:sz w:val="24"/>
          <w:szCs w:val="24"/>
        </w:rPr>
        <w:t xml:space="preserve"> of</w:t>
      </w:r>
      <w:r w:rsidR="00C36716">
        <w:rPr>
          <w:rFonts w:ascii="Times New Roman" w:hAnsi="Times New Roman"/>
          <w:sz w:val="24"/>
          <w:szCs w:val="24"/>
        </w:rPr>
        <w:t>: (1)</w:t>
      </w:r>
      <w:r>
        <w:rPr>
          <w:rFonts w:ascii="Times New Roman" w:hAnsi="Times New Roman"/>
          <w:sz w:val="24"/>
          <w:szCs w:val="24"/>
        </w:rPr>
        <w:t xml:space="preserve"> asking for review of the Commission’s determination that FirstEnergy refund $43,362,796.50 in disallowed costs through an adjustment to the AER</w:t>
      </w:r>
      <w:r w:rsidR="00C36716">
        <w:rPr>
          <w:rFonts w:ascii="Times New Roman" w:hAnsi="Times New Roman"/>
          <w:sz w:val="24"/>
          <w:szCs w:val="24"/>
        </w:rPr>
        <w:t>;</w:t>
      </w:r>
      <w:r>
        <w:rPr>
          <w:rStyle w:val="FootnoteReference"/>
          <w:rFonts w:ascii="Times New Roman" w:hAnsi="Times New Roman"/>
          <w:sz w:val="24"/>
          <w:szCs w:val="24"/>
        </w:rPr>
        <w:footnoteReference w:id="1"/>
      </w:r>
      <w:r w:rsidR="00C36716">
        <w:rPr>
          <w:rFonts w:ascii="Times New Roman" w:hAnsi="Times New Roman"/>
          <w:sz w:val="24"/>
          <w:szCs w:val="24"/>
        </w:rPr>
        <w:t xml:space="preserve"> and (2) asking for the Commission to require FirstEnergy to adopt the recommendations of the financial auditor.</w:t>
      </w:r>
    </w:p>
    <w:p w:rsidR="00C94935" w:rsidRDefault="00C94935" w:rsidP="00C94935">
      <w:pPr>
        <w:numPr>
          <w:ilvl w:val="0"/>
          <w:numId w:val="2"/>
        </w:numPr>
        <w:tabs>
          <w:tab w:val="left" w:pos="720"/>
        </w:tabs>
        <w:jc w:val="both"/>
        <w:rPr>
          <w:rFonts w:ascii="Times New Roman" w:hAnsi="Times New Roman"/>
          <w:b/>
          <w:sz w:val="24"/>
          <w:szCs w:val="24"/>
        </w:rPr>
      </w:pPr>
      <w:r w:rsidRPr="005D27A0">
        <w:rPr>
          <w:rFonts w:ascii="Times New Roman" w:hAnsi="Times New Roman"/>
          <w:b/>
          <w:sz w:val="24"/>
          <w:szCs w:val="24"/>
        </w:rPr>
        <w:t xml:space="preserve">The Commission’s Opinion and Order is </w:t>
      </w:r>
      <w:r w:rsidR="00012F41">
        <w:rPr>
          <w:rFonts w:ascii="Times New Roman" w:hAnsi="Times New Roman"/>
          <w:b/>
          <w:sz w:val="24"/>
          <w:szCs w:val="24"/>
        </w:rPr>
        <w:t>u</w:t>
      </w:r>
      <w:r w:rsidRPr="005D27A0">
        <w:rPr>
          <w:rFonts w:ascii="Times New Roman" w:hAnsi="Times New Roman"/>
          <w:b/>
          <w:sz w:val="24"/>
          <w:szCs w:val="24"/>
        </w:rPr>
        <w:t>nreasonable inasmuch as requiring disallowed monies to be returned to customers through the AER deprives customers who are now shopping their share of any</w:t>
      </w:r>
      <w:r w:rsidRPr="005939C1">
        <w:rPr>
          <w:rFonts w:ascii="Times New Roman" w:hAnsi="Times New Roman"/>
          <w:b/>
          <w:sz w:val="24"/>
          <w:szCs w:val="24"/>
        </w:rPr>
        <w:t xml:space="preserve"> renewable energy compliance cost </w:t>
      </w:r>
      <w:r w:rsidRPr="005D27A0">
        <w:rPr>
          <w:rFonts w:ascii="Times New Roman" w:hAnsi="Times New Roman"/>
          <w:b/>
          <w:sz w:val="24"/>
          <w:szCs w:val="24"/>
        </w:rPr>
        <w:t>over-recovery</w:t>
      </w:r>
      <w:r>
        <w:rPr>
          <w:rFonts w:ascii="Times New Roman" w:hAnsi="Times New Roman"/>
          <w:b/>
          <w:sz w:val="24"/>
          <w:szCs w:val="24"/>
        </w:rPr>
        <w:t xml:space="preserve"> </w:t>
      </w:r>
      <w:r w:rsidRPr="005D27A0">
        <w:rPr>
          <w:rFonts w:ascii="Times New Roman" w:hAnsi="Times New Roman"/>
          <w:b/>
          <w:sz w:val="24"/>
          <w:szCs w:val="24"/>
        </w:rPr>
        <w:t>by FirstEnergy</w:t>
      </w:r>
      <w:r>
        <w:rPr>
          <w:rFonts w:ascii="Times New Roman" w:hAnsi="Times New Roman"/>
          <w:b/>
          <w:sz w:val="24"/>
          <w:szCs w:val="24"/>
        </w:rPr>
        <w:t>.</w:t>
      </w:r>
    </w:p>
    <w:p w:rsidR="00C94935" w:rsidRPr="005D27A0" w:rsidRDefault="00C94935" w:rsidP="00C94935">
      <w:pPr>
        <w:tabs>
          <w:tab w:val="left" w:pos="720"/>
        </w:tabs>
        <w:ind w:left="1080"/>
        <w:jc w:val="both"/>
        <w:rPr>
          <w:rFonts w:ascii="Times New Roman" w:hAnsi="Times New Roman"/>
          <w:b/>
          <w:sz w:val="24"/>
          <w:szCs w:val="24"/>
        </w:rPr>
      </w:pPr>
    </w:p>
    <w:p w:rsidR="008A69F0" w:rsidRPr="008A69F0" w:rsidRDefault="00C00F4C" w:rsidP="004D2EBB">
      <w:pPr>
        <w:pStyle w:val="BlockText"/>
        <w:spacing w:line="480" w:lineRule="auto"/>
        <w:ind w:left="0" w:right="-36" w:firstLine="720"/>
        <w:jc w:val="both"/>
        <w:rPr>
          <w:rFonts w:ascii="Times New Roman" w:hAnsi="Times New Roman"/>
          <w:sz w:val="24"/>
          <w:szCs w:val="24"/>
        </w:rPr>
      </w:pPr>
      <w:r>
        <w:rPr>
          <w:rFonts w:ascii="Times New Roman" w:hAnsi="Times New Roman"/>
          <w:sz w:val="24"/>
          <w:szCs w:val="24"/>
        </w:rPr>
        <w:t>In its Opinion and Order</w:t>
      </w:r>
      <w:r w:rsidR="008D0B56">
        <w:rPr>
          <w:rFonts w:ascii="Times New Roman" w:hAnsi="Times New Roman"/>
          <w:sz w:val="24"/>
          <w:szCs w:val="24"/>
        </w:rPr>
        <w:t xml:space="preserve"> (at 28)</w:t>
      </w:r>
      <w:r>
        <w:rPr>
          <w:rFonts w:ascii="Times New Roman" w:hAnsi="Times New Roman"/>
          <w:sz w:val="24"/>
          <w:szCs w:val="24"/>
        </w:rPr>
        <w:t>, the Commission directed FirstEnergy to r</w:t>
      </w:r>
      <w:r w:rsidR="00A04685">
        <w:rPr>
          <w:rFonts w:ascii="Times New Roman" w:hAnsi="Times New Roman"/>
          <w:sz w:val="24"/>
          <w:szCs w:val="24"/>
        </w:rPr>
        <w:t>eturn</w:t>
      </w:r>
      <w:r>
        <w:rPr>
          <w:rFonts w:ascii="Times New Roman" w:hAnsi="Times New Roman"/>
          <w:sz w:val="24"/>
          <w:szCs w:val="24"/>
        </w:rPr>
        <w:t xml:space="preserve"> the refund of disallowed costs back through the AER.  Just as only non-shopping customers pay the AER, only non-shopping customers will be credited the disallowed monies.  </w:t>
      </w:r>
      <w:r w:rsidR="008A69F0">
        <w:rPr>
          <w:rFonts w:ascii="Times New Roman" w:hAnsi="Times New Roman"/>
          <w:sz w:val="24"/>
          <w:szCs w:val="24"/>
        </w:rPr>
        <w:t>However</w:t>
      </w:r>
      <w:r w:rsidR="005411DF">
        <w:rPr>
          <w:rFonts w:ascii="Times New Roman" w:hAnsi="Times New Roman"/>
          <w:sz w:val="24"/>
          <w:szCs w:val="24"/>
        </w:rPr>
        <w:t xml:space="preserve">, shopping statistics compiled by the Commission show both (1) a small number of customers remain on </w:t>
      </w:r>
      <w:r w:rsidR="008D0B56">
        <w:rPr>
          <w:rFonts w:ascii="Times New Roman" w:hAnsi="Times New Roman"/>
          <w:sz w:val="24"/>
          <w:szCs w:val="24"/>
        </w:rPr>
        <w:t>standard service offer (“</w:t>
      </w:r>
      <w:r w:rsidR="005411DF">
        <w:rPr>
          <w:rFonts w:ascii="Times New Roman" w:hAnsi="Times New Roman"/>
          <w:sz w:val="24"/>
          <w:szCs w:val="24"/>
        </w:rPr>
        <w:t>SSO</w:t>
      </w:r>
      <w:r w:rsidR="008D0B56">
        <w:rPr>
          <w:rFonts w:ascii="Times New Roman" w:hAnsi="Times New Roman"/>
          <w:sz w:val="24"/>
          <w:szCs w:val="24"/>
        </w:rPr>
        <w:t>”)</w:t>
      </w:r>
      <w:r w:rsidR="005411DF">
        <w:rPr>
          <w:rFonts w:ascii="Times New Roman" w:hAnsi="Times New Roman"/>
          <w:sz w:val="24"/>
          <w:szCs w:val="24"/>
        </w:rPr>
        <w:t xml:space="preserve"> service and (2) the </w:t>
      </w:r>
      <w:r w:rsidR="00EB6D5D">
        <w:rPr>
          <w:rFonts w:ascii="Times New Roman" w:hAnsi="Times New Roman"/>
          <w:sz w:val="24"/>
          <w:szCs w:val="24"/>
        </w:rPr>
        <w:t>number</w:t>
      </w:r>
      <w:r w:rsidR="005411DF">
        <w:rPr>
          <w:rFonts w:ascii="Times New Roman" w:hAnsi="Times New Roman"/>
          <w:sz w:val="24"/>
          <w:szCs w:val="24"/>
        </w:rPr>
        <w:t xml:space="preserve"> of </w:t>
      </w:r>
      <w:r w:rsidR="00805244">
        <w:rPr>
          <w:rFonts w:ascii="Times New Roman" w:hAnsi="Times New Roman"/>
          <w:sz w:val="24"/>
          <w:szCs w:val="24"/>
        </w:rPr>
        <w:t>SSO</w:t>
      </w:r>
      <w:r w:rsidR="00EB6D5D">
        <w:rPr>
          <w:rFonts w:ascii="Times New Roman" w:hAnsi="Times New Roman"/>
          <w:sz w:val="24"/>
          <w:szCs w:val="24"/>
        </w:rPr>
        <w:t xml:space="preserve"> customers</w:t>
      </w:r>
      <w:r w:rsidR="005411DF">
        <w:rPr>
          <w:rFonts w:ascii="Times New Roman" w:hAnsi="Times New Roman"/>
          <w:sz w:val="24"/>
          <w:szCs w:val="24"/>
        </w:rPr>
        <w:t xml:space="preserve"> has </w:t>
      </w:r>
      <w:r w:rsidR="00A04685">
        <w:rPr>
          <w:rFonts w:ascii="Times New Roman" w:hAnsi="Times New Roman"/>
          <w:sz w:val="24"/>
          <w:szCs w:val="24"/>
        </w:rPr>
        <w:t xml:space="preserve">decreased </w:t>
      </w:r>
      <w:r w:rsidR="00805244">
        <w:rPr>
          <w:rFonts w:ascii="Times New Roman" w:hAnsi="Times New Roman"/>
          <w:sz w:val="24"/>
          <w:szCs w:val="24"/>
        </w:rPr>
        <w:t>since 2010</w:t>
      </w:r>
      <w:r w:rsidR="00A04685">
        <w:rPr>
          <w:rFonts w:ascii="Times New Roman" w:hAnsi="Times New Roman"/>
          <w:sz w:val="24"/>
          <w:szCs w:val="24"/>
        </w:rPr>
        <w:t xml:space="preserve">.  </w:t>
      </w:r>
      <w:r w:rsidR="008A69F0" w:rsidRPr="008A69F0">
        <w:rPr>
          <w:rFonts w:ascii="Times New Roman" w:hAnsi="Times New Roman"/>
          <w:sz w:val="24"/>
          <w:szCs w:val="24"/>
        </w:rPr>
        <w:t xml:space="preserve">  The Commission’s </w:t>
      </w:r>
      <w:r w:rsidR="006A3566">
        <w:rPr>
          <w:rFonts w:ascii="Times New Roman" w:hAnsi="Times New Roman"/>
          <w:sz w:val="24"/>
          <w:szCs w:val="24"/>
        </w:rPr>
        <w:t xml:space="preserve">shopping </w:t>
      </w:r>
      <w:r w:rsidR="008A69F0" w:rsidRPr="008A69F0">
        <w:rPr>
          <w:rFonts w:ascii="Times New Roman" w:hAnsi="Times New Roman"/>
          <w:sz w:val="24"/>
          <w:szCs w:val="24"/>
        </w:rPr>
        <w:t>statistics show as follows:</w:t>
      </w:r>
    </w:p>
    <w:p w:rsidR="008A69F0" w:rsidRPr="008A69F0" w:rsidRDefault="008A69F0" w:rsidP="008A69F0">
      <w:pPr>
        <w:ind w:firstLine="720"/>
        <w:rPr>
          <w:rFonts w:ascii="Times New Roman" w:hAnsi="Times New Roman"/>
          <w:sz w:val="24"/>
          <w:szCs w:val="24"/>
          <w:u w:val="single"/>
        </w:rPr>
      </w:pPr>
      <w:r w:rsidRPr="008A69F0">
        <w:rPr>
          <w:rFonts w:ascii="Times New Roman" w:hAnsi="Times New Roman"/>
          <w:sz w:val="24"/>
          <w:szCs w:val="24"/>
        </w:rPr>
        <w:lastRenderedPageBreak/>
        <w:tab/>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rPr>
        <w:tab/>
        <w:t xml:space="preserve">% of </w:t>
      </w:r>
      <w:proofErr w:type="spellStart"/>
      <w:r w:rsidRPr="008A69F0">
        <w:rPr>
          <w:rFonts w:ascii="Times New Roman" w:hAnsi="Times New Roman"/>
          <w:sz w:val="24"/>
          <w:szCs w:val="24"/>
        </w:rPr>
        <w:t>Nonshopping</w:t>
      </w:r>
      <w:proofErr w:type="spellEnd"/>
      <w:r w:rsidRPr="008A69F0">
        <w:rPr>
          <w:rFonts w:ascii="Times New Roman" w:hAnsi="Times New Roman"/>
          <w:sz w:val="24"/>
          <w:szCs w:val="24"/>
        </w:rPr>
        <w:t xml:space="preserve"> Sales</w:t>
      </w:r>
      <w:r w:rsidRPr="008A69F0">
        <w:rPr>
          <w:rFonts w:ascii="Times New Roman" w:hAnsi="Times New Roman"/>
          <w:sz w:val="24"/>
          <w:szCs w:val="24"/>
        </w:rPr>
        <w:tab/>
        <w:t xml:space="preserve">% of </w:t>
      </w:r>
      <w:proofErr w:type="spellStart"/>
      <w:r w:rsidRPr="008A69F0">
        <w:rPr>
          <w:rFonts w:ascii="Times New Roman" w:hAnsi="Times New Roman"/>
          <w:sz w:val="24"/>
          <w:szCs w:val="24"/>
        </w:rPr>
        <w:t>Nonshopping</w:t>
      </w:r>
      <w:proofErr w:type="spellEnd"/>
      <w:r w:rsidRPr="008A69F0">
        <w:rPr>
          <w:rFonts w:ascii="Times New Roman" w:hAnsi="Times New Roman"/>
          <w:sz w:val="24"/>
          <w:szCs w:val="24"/>
        </w:rPr>
        <w:t xml:space="preserve"> Sales</w:t>
      </w:r>
    </w:p>
    <w:p w:rsidR="008A69F0" w:rsidRPr="008A69F0" w:rsidRDefault="008A69F0" w:rsidP="008A69F0">
      <w:pPr>
        <w:ind w:firstLine="720"/>
        <w:rPr>
          <w:rFonts w:ascii="Times New Roman" w:hAnsi="Times New Roman"/>
          <w:sz w:val="24"/>
          <w:szCs w:val="24"/>
          <w:u w:val="single"/>
        </w:rPr>
      </w:pPr>
      <w:r w:rsidRPr="008A69F0">
        <w:rPr>
          <w:rFonts w:ascii="Times New Roman" w:hAnsi="Times New Roman"/>
          <w:sz w:val="24"/>
          <w:szCs w:val="24"/>
          <w:u w:val="single"/>
        </w:rPr>
        <w:t>Company</w:t>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u w:val="single"/>
        </w:rPr>
        <w:t>(March 31, 2013)</w:t>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u w:val="single"/>
        </w:rPr>
        <w:t>(December 31</w:t>
      </w:r>
      <w:r w:rsidRPr="00684D4E">
        <w:rPr>
          <w:rFonts w:ascii="Times New Roman" w:hAnsi="Times New Roman"/>
          <w:sz w:val="24"/>
          <w:szCs w:val="24"/>
          <w:u w:val="single"/>
        </w:rPr>
        <w:t>, 2010</w:t>
      </w:r>
      <w:r w:rsidRPr="008A69F0">
        <w:rPr>
          <w:rFonts w:ascii="Times New Roman" w:hAnsi="Times New Roman"/>
          <w:sz w:val="24"/>
          <w:szCs w:val="24"/>
          <w:u w:val="single"/>
        </w:rPr>
        <w:t>)</w:t>
      </w:r>
    </w:p>
    <w:p w:rsidR="008A69F0" w:rsidRPr="008A69F0" w:rsidRDefault="008A69F0" w:rsidP="008A69F0">
      <w:pPr>
        <w:ind w:firstLine="720"/>
        <w:rPr>
          <w:rFonts w:ascii="Times New Roman" w:hAnsi="Times New Roman"/>
          <w:sz w:val="24"/>
          <w:szCs w:val="24"/>
        </w:rPr>
      </w:pPr>
      <w:r w:rsidRPr="008A69F0">
        <w:rPr>
          <w:rFonts w:ascii="Times New Roman" w:hAnsi="Times New Roman"/>
          <w:sz w:val="24"/>
          <w:szCs w:val="24"/>
        </w:rPr>
        <w:t>Cleveland Electric</w:t>
      </w:r>
      <w:r w:rsidRPr="008A69F0">
        <w:rPr>
          <w:rFonts w:ascii="Times New Roman" w:hAnsi="Times New Roman"/>
          <w:sz w:val="24"/>
          <w:szCs w:val="24"/>
        </w:rPr>
        <w:tab/>
      </w:r>
      <w:r w:rsidRPr="008A69F0">
        <w:rPr>
          <w:rFonts w:ascii="Times New Roman" w:hAnsi="Times New Roman"/>
          <w:sz w:val="24"/>
          <w:szCs w:val="24"/>
        </w:rPr>
        <w:tab/>
        <w:t>14.95%</w:t>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rPr>
        <w:tab/>
        <w:t>31.28%</w:t>
      </w:r>
    </w:p>
    <w:p w:rsidR="008A69F0" w:rsidRPr="008A69F0" w:rsidRDefault="008A69F0" w:rsidP="008A69F0">
      <w:pPr>
        <w:ind w:firstLine="720"/>
        <w:rPr>
          <w:rFonts w:ascii="Times New Roman" w:hAnsi="Times New Roman"/>
          <w:sz w:val="24"/>
          <w:szCs w:val="24"/>
        </w:rPr>
      </w:pPr>
      <w:r w:rsidRPr="008A69F0">
        <w:rPr>
          <w:rFonts w:ascii="Times New Roman" w:hAnsi="Times New Roman"/>
          <w:sz w:val="24"/>
          <w:szCs w:val="24"/>
        </w:rPr>
        <w:t>Ohio Edison Company</w:t>
      </w:r>
      <w:r w:rsidRPr="008A69F0">
        <w:rPr>
          <w:rFonts w:ascii="Times New Roman" w:hAnsi="Times New Roman"/>
          <w:sz w:val="24"/>
          <w:szCs w:val="24"/>
        </w:rPr>
        <w:tab/>
        <w:t>23.42%</w:t>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rPr>
        <w:tab/>
        <w:t>32.75%</w:t>
      </w:r>
    </w:p>
    <w:p w:rsidR="008A69F0" w:rsidRPr="008A69F0" w:rsidRDefault="008A69F0" w:rsidP="008A69F0">
      <w:pPr>
        <w:ind w:firstLine="720"/>
        <w:rPr>
          <w:rFonts w:ascii="Times New Roman" w:hAnsi="Times New Roman"/>
          <w:sz w:val="24"/>
          <w:szCs w:val="24"/>
        </w:rPr>
      </w:pPr>
      <w:r w:rsidRPr="008A69F0">
        <w:rPr>
          <w:rFonts w:ascii="Times New Roman" w:hAnsi="Times New Roman"/>
          <w:sz w:val="24"/>
          <w:szCs w:val="24"/>
        </w:rPr>
        <w:t>Toledo Edison Company</w:t>
      </w:r>
      <w:r w:rsidRPr="008A69F0">
        <w:rPr>
          <w:rFonts w:ascii="Times New Roman" w:hAnsi="Times New Roman"/>
          <w:sz w:val="24"/>
          <w:szCs w:val="24"/>
        </w:rPr>
        <w:tab/>
        <w:t>24.11%</w:t>
      </w:r>
      <w:r w:rsidRPr="008A69F0">
        <w:rPr>
          <w:rFonts w:ascii="Times New Roman" w:hAnsi="Times New Roman"/>
          <w:sz w:val="24"/>
          <w:szCs w:val="24"/>
        </w:rPr>
        <w:tab/>
      </w:r>
      <w:r w:rsidRPr="008A69F0">
        <w:rPr>
          <w:rFonts w:ascii="Times New Roman" w:hAnsi="Times New Roman"/>
          <w:sz w:val="24"/>
          <w:szCs w:val="24"/>
        </w:rPr>
        <w:tab/>
      </w:r>
      <w:r w:rsidRPr="008A69F0">
        <w:rPr>
          <w:rFonts w:ascii="Times New Roman" w:hAnsi="Times New Roman"/>
          <w:sz w:val="24"/>
          <w:szCs w:val="24"/>
        </w:rPr>
        <w:tab/>
        <w:t>31.80%</w:t>
      </w:r>
      <w:r w:rsidRPr="008A69F0">
        <w:rPr>
          <w:rStyle w:val="FootnoteReference"/>
          <w:rFonts w:ascii="Times New Roman" w:hAnsi="Times New Roman"/>
          <w:sz w:val="24"/>
          <w:szCs w:val="24"/>
        </w:rPr>
        <w:footnoteReference w:id="2"/>
      </w:r>
    </w:p>
    <w:p w:rsidR="008A69F0" w:rsidRDefault="008A69F0" w:rsidP="008A69F0">
      <w:pPr>
        <w:spacing w:line="480" w:lineRule="auto"/>
        <w:ind w:firstLine="720"/>
        <w:rPr>
          <w:rFonts w:ascii="Times New Roman" w:hAnsi="Times New Roman"/>
          <w:sz w:val="24"/>
          <w:szCs w:val="24"/>
        </w:rPr>
      </w:pPr>
    </w:p>
    <w:p w:rsidR="008A69F0" w:rsidRDefault="008A69F0" w:rsidP="00684D4E">
      <w:pPr>
        <w:spacing w:line="480" w:lineRule="auto"/>
        <w:jc w:val="both"/>
        <w:rPr>
          <w:rFonts w:ascii="Times New Roman" w:hAnsi="Times New Roman"/>
          <w:sz w:val="24"/>
          <w:szCs w:val="24"/>
        </w:rPr>
      </w:pPr>
      <w:r>
        <w:rPr>
          <w:rFonts w:ascii="Times New Roman" w:hAnsi="Times New Roman"/>
          <w:sz w:val="24"/>
          <w:szCs w:val="24"/>
        </w:rPr>
        <w:t>These statistics demonstrate that, if the refund is only returned to SSO customers through the AER, customers who paid the AER during th</w:t>
      </w:r>
      <w:r w:rsidR="008D0B56">
        <w:rPr>
          <w:rFonts w:ascii="Times New Roman" w:hAnsi="Times New Roman"/>
          <w:sz w:val="24"/>
          <w:szCs w:val="24"/>
        </w:rPr>
        <w:t>at</w:t>
      </w:r>
      <w:r>
        <w:rPr>
          <w:rFonts w:ascii="Times New Roman" w:hAnsi="Times New Roman"/>
          <w:sz w:val="24"/>
          <w:szCs w:val="24"/>
        </w:rPr>
        <w:t xml:space="preserve"> time but are now shopping will not receive a</w:t>
      </w:r>
      <w:r w:rsidR="0078521E">
        <w:rPr>
          <w:rFonts w:ascii="Times New Roman" w:hAnsi="Times New Roman"/>
          <w:sz w:val="24"/>
          <w:szCs w:val="24"/>
        </w:rPr>
        <w:t>ny</w:t>
      </w:r>
      <w:r>
        <w:rPr>
          <w:rFonts w:ascii="Times New Roman" w:hAnsi="Times New Roman"/>
          <w:sz w:val="24"/>
          <w:szCs w:val="24"/>
        </w:rPr>
        <w:t xml:space="preserve"> refund of the costs they overpaid</w:t>
      </w:r>
      <w:r w:rsidR="00390C0A">
        <w:rPr>
          <w:rFonts w:ascii="Times New Roman" w:hAnsi="Times New Roman"/>
          <w:sz w:val="24"/>
          <w:szCs w:val="24"/>
        </w:rPr>
        <w:t xml:space="preserve"> unless they return to SSO service</w:t>
      </w:r>
      <w:r w:rsidR="009D1A0E">
        <w:rPr>
          <w:rFonts w:ascii="Times New Roman" w:hAnsi="Times New Roman"/>
          <w:sz w:val="24"/>
          <w:szCs w:val="24"/>
        </w:rPr>
        <w:t xml:space="preserve">.  </w:t>
      </w:r>
      <w:r w:rsidR="00F62C4C">
        <w:rPr>
          <w:rFonts w:ascii="Times New Roman" w:hAnsi="Times New Roman"/>
          <w:sz w:val="24"/>
          <w:szCs w:val="24"/>
        </w:rPr>
        <w:t xml:space="preserve">This result is not fair to customers who shopped after overpaying these costs as SSO customers. </w:t>
      </w:r>
      <w:r w:rsidR="001E7A76">
        <w:rPr>
          <w:rFonts w:ascii="Times New Roman" w:hAnsi="Times New Roman"/>
          <w:sz w:val="24"/>
          <w:szCs w:val="24"/>
        </w:rPr>
        <w:t xml:space="preserve"> As noted by FirstEnergy, it </w:t>
      </w:r>
      <w:r w:rsidR="00081FD6">
        <w:rPr>
          <w:rFonts w:ascii="Times New Roman" w:hAnsi="Times New Roman"/>
          <w:sz w:val="24"/>
          <w:szCs w:val="24"/>
        </w:rPr>
        <w:t xml:space="preserve">has </w:t>
      </w:r>
      <w:r w:rsidR="001E7A76">
        <w:rPr>
          <w:rFonts w:ascii="Times New Roman" w:hAnsi="Times New Roman"/>
          <w:sz w:val="24"/>
          <w:szCs w:val="24"/>
        </w:rPr>
        <w:t>experienced “rapid change” in its shopping levels.</w:t>
      </w:r>
      <w:r w:rsidR="001E7A76">
        <w:rPr>
          <w:rStyle w:val="FootnoteReference"/>
          <w:rFonts w:ascii="Times New Roman" w:hAnsi="Times New Roman"/>
          <w:sz w:val="24"/>
          <w:szCs w:val="24"/>
        </w:rPr>
        <w:footnoteReference w:id="3"/>
      </w:r>
      <w:r w:rsidR="001E7A76">
        <w:rPr>
          <w:rFonts w:ascii="Times New Roman" w:hAnsi="Times New Roman"/>
          <w:sz w:val="24"/>
          <w:szCs w:val="24"/>
        </w:rPr>
        <w:t xml:space="preserve">  </w:t>
      </w:r>
      <w:r w:rsidR="00F62C4C">
        <w:rPr>
          <w:rFonts w:ascii="Times New Roman" w:hAnsi="Times New Roman"/>
          <w:sz w:val="24"/>
          <w:szCs w:val="24"/>
        </w:rPr>
        <w:t xml:space="preserve"> </w:t>
      </w:r>
      <w:r w:rsidR="008D0B56">
        <w:rPr>
          <w:rFonts w:ascii="Times New Roman" w:hAnsi="Times New Roman"/>
          <w:sz w:val="24"/>
          <w:szCs w:val="24"/>
        </w:rPr>
        <w:t xml:space="preserve">Therefore, a significant number of customers are affected by how the Commission chooses to refund any over-collection to customers.  </w:t>
      </w:r>
      <w:r w:rsidR="000A078A">
        <w:rPr>
          <w:rFonts w:ascii="Times New Roman" w:hAnsi="Times New Roman"/>
          <w:sz w:val="24"/>
          <w:szCs w:val="24"/>
        </w:rPr>
        <w:t xml:space="preserve">Further, as shown by the March 31, 2013 shopping results, a refund through the AER would disproportionately benefit a relatively small percentage of remaining SSO customers. </w:t>
      </w:r>
    </w:p>
    <w:p w:rsidR="005171E5" w:rsidRDefault="005171E5" w:rsidP="00684D4E">
      <w:pPr>
        <w:spacing w:line="480" w:lineRule="auto"/>
        <w:jc w:val="both"/>
        <w:rPr>
          <w:rFonts w:ascii="Times New Roman" w:hAnsi="Times New Roman"/>
          <w:sz w:val="24"/>
          <w:szCs w:val="24"/>
        </w:rPr>
      </w:pPr>
      <w:r>
        <w:rPr>
          <w:rFonts w:ascii="Times New Roman" w:hAnsi="Times New Roman"/>
          <w:sz w:val="24"/>
          <w:szCs w:val="24"/>
        </w:rPr>
        <w:tab/>
        <w:t xml:space="preserve">The Commission should ensure customers who are now shopping but who were SSO customers during the disallowed RECs cost period are not left out of any refund amount.  </w:t>
      </w:r>
    </w:p>
    <w:p w:rsidR="003613A6" w:rsidRDefault="003613A6" w:rsidP="005C103E">
      <w:pPr>
        <w:pStyle w:val="ListParagraph"/>
        <w:numPr>
          <w:ilvl w:val="0"/>
          <w:numId w:val="2"/>
        </w:numPr>
        <w:rPr>
          <w:rFonts w:ascii="Times New Roman" w:hAnsi="Times New Roman"/>
          <w:b/>
          <w:sz w:val="24"/>
          <w:szCs w:val="24"/>
        </w:rPr>
      </w:pPr>
      <w:r w:rsidRPr="003613A6">
        <w:rPr>
          <w:rFonts w:ascii="Times New Roman" w:hAnsi="Times New Roman"/>
          <w:b/>
          <w:sz w:val="24"/>
          <w:szCs w:val="24"/>
        </w:rPr>
        <w:t>The Commission’s Opinion and Order is unlawful and unreasonable inasmuch as requiring disallowed monies to be returned to customers through the AER distorts the price</w:t>
      </w:r>
      <w:r w:rsidR="00A868E7">
        <w:rPr>
          <w:rFonts w:ascii="Times New Roman" w:hAnsi="Times New Roman"/>
          <w:b/>
          <w:sz w:val="24"/>
          <w:szCs w:val="24"/>
        </w:rPr>
        <w:t xml:space="preserve"> to compare</w:t>
      </w:r>
      <w:r w:rsidRPr="003613A6">
        <w:rPr>
          <w:rFonts w:ascii="Times New Roman" w:hAnsi="Times New Roman"/>
          <w:b/>
          <w:sz w:val="24"/>
          <w:szCs w:val="24"/>
        </w:rPr>
        <w:t>.</w:t>
      </w:r>
    </w:p>
    <w:p w:rsidR="005C103E" w:rsidRPr="003613A6" w:rsidRDefault="005C103E" w:rsidP="005C103E">
      <w:pPr>
        <w:pStyle w:val="ListParagraph"/>
        <w:ind w:left="1080"/>
        <w:rPr>
          <w:rFonts w:ascii="Times New Roman" w:hAnsi="Times New Roman"/>
          <w:b/>
          <w:sz w:val="24"/>
          <w:szCs w:val="24"/>
        </w:rPr>
      </w:pPr>
    </w:p>
    <w:p w:rsidR="004A4337" w:rsidRDefault="003613A6" w:rsidP="00684D4E">
      <w:pPr>
        <w:spacing w:line="480" w:lineRule="auto"/>
        <w:ind w:firstLine="720"/>
        <w:jc w:val="both"/>
        <w:rPr>
          <w:rFonts w:ascii="Times New Roman" w:hAnsi="Times New Roman"/>
          <w:sz w:val="24"/>
          <w:szCs w:val="24"/>
        </w:rPr>
      </w:pPr>
      <w:r>
        <w:rPr>
          <w:rFonts w:ascii="Times New Roman" w:hAnsi="Times New Roman"/>
          <w:sz w:val="24"/>
          <w:szCs w:val="24"/>
        </w:rPr>
        <w:t xml:space="preserve">As noted above, the </w:t>
      </w:r>
      <w:r w:rsidR="007F4B94">
        <w:rPr>
          <w:rFonts w:ascii="Times New Roman" w:hAnsi="Times New Roman"/>
          <w:sz w:val="24"/>
          <w:szCs w:val="24"/>
        </w:rPr>
        <w:t>AER</w:t>
      </w:r>
      <w:r>
        <w:rPr>
          <w:rFonts w:ascii="Times New Roman" w:hAnsi="Times New Roman"/>
          <w:sz w:val="24"/>
          <w:szCs w:val="24"/>
        </w:rPr>
        <w:t xml:space="preserve"> is bypassable and therefore not paid for by shopping customers.  </w:t>
      </w:r>
      <w:r w:rsidR="003E5012">
        <w:rPr>
          <w:rFonts w:ascii="Times New Roman" w:hAnsi="Times New Roman"/>
          <w:sz w:val="24"/>
          <w:szCs w:val="24"/>
        </w:rPr>
        <w:t>As a bypassable rider</w:t>
      </w:r>
      <w:r>
        <w:rPr>
          <w:rFonts w:ascii="Times New Roman" w:hAnsi="Times New Roman"/>
          <w:sz w:val="24"/>
          <w:szCs w:val="24"/>
        </w:rPr>
        <w:t xml:space="preserve">, the AER is part of the “price to compare” which customers </w:t>
      </w:r>
      <w:r w:rsidR="00713629">
        <w:rPr>
          <w:rFonts w:ascii="Times New Roman" w:hAnsi="Times New Roman"/>
          <w:sz w:val="24"/>
          <w:szCs w:val="24"/>
        </w:rPr>
        <w:t xml:space="preserve">commonly </w:t>
      </w:r>
      <w:proofErr w:type="spellStart"/>
      <w:r>
        <w:rPr>
          <w:rFonts w:ascii="Times New Roman" w:hAnsi="Times New Roman"/>
          <w:sz w:val="24"/>
          <w:szCs w:val="24"/>
        </w:rPr>
        <w:t>use</w:t>
      </w:r>
      <w:proofErr w:type="spellEnd"/>
      <w:r>
        <w:rPr>
          <w:rFonts w:ascii="Times New Roman" w:hAnsi="Times New Roman"/>
          <w:sz w:val="24"/>
          <w:szCs w:val="24"/>
        </w:rPr>
        <w:t xml:space="preserve"> as a benchmark to </w:t>
      </w:r>
      <w:r w:rsidR="00713629">
        <w:rPr>
          <w:rFonts w:ascii="Times New Roman" w:hAnsi="Times New Roman"/>
          <w:sz w:val="24"/>
          <w:szCs w:val="24"/>
        </w:rPr>
        <w:t xml:space="preserve">review price offers by various CRES providers. </w:t>
      </w:r>
      <w:r w:rsidR="004A4337">
        <w:rPr>
          <w:rFonts w:ascii="Times New Roman" w:hAnsi="Times New Roman"/>
          <w:sz w:val="24"/>
          <w:szCs w:val="24"/>
        </w:rPr>
        <w:t xml:space="preserve"> </w:t>
      </w:r>
      <w:r w:rsidR="003E5012">
        <w:rPr>
          <w:rFonts w:ascii="Times New Roman" w:hAnsi="Times New Roman"/>
          <w:sz w:val="24"/>
          <w:szCs w:val="24"/>
        </w:rPr>
        <w:t>F</w:t>
      </w:r>
      <w:r w:rsidR="004A4337">
        <w:rPr>
          <w:rFonts w:ascii="Times New Roman" w:hAnsi="Times New Roman"/>
          <w:sz w:val="24"/>
          <w:szCs w:val="24"/>
        </w:rPr>
        <w:t xml:space="preserve">luctuations up or down </w:t>
      </w:r>
      <w:r w:rsidR="007F4B94">
        <w:rPr>
          <w:rFonts w:ascii="Times New Roman" w:hAnsi="Times New Roman"/>
          <w:sz w:val="24"/>
          <w:szCs w:val="24"/>
        </w:rPr>
        <w:t xml:space="preserve">in bypassable riders </w:t>
      </w:r>
      <w:r w:rsidR="004A4337">
        <w:rPr>
          <w:rFonts w:ascii="Times New Roman" w:hAnsi="Times New Roman"/>
          <w:sz w:val="24"/>
          <w:szCs w:val="24"/>
        </w:rPr>
        <w:t xml:space="preserve">affect the </w:t>
      </w:r>
      <w:r w:rsidR="007F4B94">
        <w:rPr>
          <w:rFonts w:ascii="Times New Roman" w:hAnsi="Times New Roman"/>
          <w:sz w:val="24"/>
          <w:szCs w:val="24"/>
        </w:rPr>
        <w:t xml:space="preserve">price to compare </w:t>
      </w:r>
      <w:r w:rsidR="004A4337">
        <w:rPr>
          <w:rFonts w:ascii="Times New Roman" w:hAnsi="Times New Roman"/>
          <w:sz w:val="24"/>
          <w:szCs w:val="24"/>
        </w:rPr>
        <w:t xml:space="preserve">and therefore affect levels of shopping activity.  </w:t>
      </w:r>
      <w:r w:rsidR="007F4B94">
        <w:rPr>
          <w:rFonts w:ascii="Times New Roman" w:hAnsi="Times New Roman"/>
          <w:sz w:val="24"/>
          <w:szCs w:val="24"/>
        </w:rPr>
        <w:t xml:space="preserve">  </w:t>
      </w:r>
      <w:r w:rsidR="007F4B94">
        <w:rPr>
          <w:rFonts w:ascii="Times New Roman" w:hAnsi="Times New Roman"/>
          <w:sz w:val="24"/>
          <w:szCs w:val="24"/>
        </w:rPr>
        <w:lastRenderedPageBreak/>
        <w:t xml:space="preserve">The higher the price to compare versus a CRES offering the more a customer is likely to save.  </w:t>
      </w:r>
      <w:proofErr w:type="gramStart"/>
      <w:r w:rsidR="007F4B94">
        <w:rPr>
          <w:rFonts w:ascii="Times New Roman" w:hAnsi="Times New Roman"/>
          <w:sz w:val="24"/>
          <w:szCs w:val="24"/>
        </w:rPr>
        <w:t>Lowering the price to compare results in fewer savings on a straight per kWh offering.</w:t>
      </w:r>
      <w:proofErr w:type="gramEnd"/>
    </w:p>
    <w:p w:rsidR="003D3A17" w:rsidRDefault="004A4337" w:rsidP="00684D4E">
      <w:pPr>
        <w:spacing w:line="480" w:lineRule="auto"/>
        <w:jc w:val="both"/>
        <w:rPr>
          <w:rFonts w:ascii="Times New Roman" w:hAnsi="Times New Roman"/>
          <w:sz w:val="24"/>
          <w:szCs w:val="24"/>
        </w:rPr>
      </w:pPr>
      <w:r>
        <w:rPr>
          <w:rFonts w:ascii="Times New Roman" w:hAnsi="Times New Roman"/>
          <w:sz w:val="24"/>
          <w:szCs w:val="24"/>
        </w:rPr>
        <w:tab/>
      </w:r>
      <w:r w:rsidR="00A53237">
        <w:rPr>
          <w:rFonts w:ascii="Times New Roman" w:hAnsi="Times New Roman"/>
          <w:sz w:val="24"/>
          <w:szCs w:val="24"/>
        </w:rPr>
        <w:t>Refunding disallowed co</w:t>
      </w:r>
      <w:r w:rsidR="00B81E54">
        <w:rPr>
          <w:rFonts w:ascii="Times New Roman" w:hAnsi="Times New Roman"/>
          <w:sz w:val="24"/>
          <w:szCs w:val="24"/>
        </w:rPr>
        <w:t>sts through the</w:t>
      </w:r>
      <w:r w:rsidR="001D5D23">
        <w:rPr>
          <w:rFonts w:ascii="Times New Roman" w:hAnsi="Times New Roman"/>
          <w:sz w:val="24"/>
          <w:szCs w:val="24"/>
        </w:rPr>
        <w:t xml:space="preserve"> AER </w:t>
      </w:r>
      <w:r w:rsidR="003E5012">
        <w:rPr>
          <w:rFonts w:ascii="Times New Roman" w:hAnsi="Times New Roman"/>
          <w:sz w:val="24"/>
          <w:szCs w:val="24"/>
        </w:rPr>
        <w:t xml:space="preserve">artificially </w:t>
      </w:r>
      <w:r w:rsidR="001D5D23">
        <w:rPr>
          <w:rFonts w:ascii="Times New Roman" w:hAnsi="Times New Roman"/>
          <w:sz w:val="24"/>
          <w:szCs w:val="24"/>
        </w:rPr>
        <w:t xml:space="preserve">distorts the </w:t>
      </w:r>
      <w:r w:rsidR="007F4B94">
        <w:rPr>
          <w:rFonts w:ascii="Times New Roman" w:hAnsi="Times New Roman"/>
          <w:sz w:val="24"/>
          <w:szCs w:val="24"/>
        </w:rPr>
        <w:t xml:space="preserve">price to compare </w:t>
      </w:r>
      <w:r w:rsidR="001D5D23">
        <w:rPr>
          <w:rFonts w:ascii="Times New Roman" w:hAnsi="Times New Roman"/>
          <w:sz w:val="24"/>
          <w:szCs w:val="24"/>
        </w:rPr>
        <w:t>downward</w:t>
      </w:r>
      <w:r w:rsidR="003E5012">
        <w:rPr>
          <w:rFonts w:ascii="Times New Roman" w:hAnsi="Times New Roman"/>
          <w:sz w:val="24"/>
          <w:szCs w:val="24"/>
        </w:rPr>
        <w:t xml:space="preserve"> and will inhibit customer shopping</w:t>
      </w:r>
      <w:r w:rsidR="007F4B94">
        <w:rPr>
          <w:rFonts w:ascii="Times New Roman" w:hAnsi="Times New Roman"/>
          <w:sz w:val="24"/>
          <w:szCs w:val="24"/>
        </w:rPr>
        <w:t>.  In addition, customers who overpaid the AER and later switched will not only not receive a refund but will also experience reduce</w:t>
      </w:r>
      <w:r w:rsidR="00A868E7">
        <w:rPr>
          <w:rFonts w:ascii="Times New Roman" w:hAnsi="Times New Roman"/>
          <w:sz w:val="24"/>
          <w:szCs w:val="24"/>
        </w:rPr>
        <w:t>d</w:t>
      </w:r>
      <w:r w:rsidR="007F4B94">
        <w:rPr>
          <w:rFonts w:ascii="Times New Roman" w:hAnsi="Times New Roman"/>
          <w:sz w:val="24"/>
          <w:szCs w:val="24"/>
        </w:rPr>
        <w:t xml:space="preserve"> savings for the period of the AER credit</w:t>
      </w:r>
      <w:r w:rsidR="003E5012">
        <w:rPr>
          <w:rFonts w:ascii="Times New Roman" w:hAnsi="Times New Roman"/>
          <w:sz w:val="24"/>
          <w:szCs w:val="24"/>
        </w:rPr>
        <w:t>.  This artificial and negative impact on customer shopping infringes on Ohio’s state policy to encourage shopping.  Section 4928.02(A), (B), and (G)</w:t>
      </w:r>
      <w:r w:rsidR="00E71311">
        <w:rPr>
          <w:rFonts w:ascii="Times New Roman" w:hAnsi="Times New Roman"/>
          <w:sz w:val="24"/>
          <w:szCs w:val="24"/>
        </w:rPr>
        <w:t>, Revised Code</w:t>
      </w:r>
      <w:r w:rsidR="003E5012">
        <w:rPr>
          <w:rFonts w:ascii="Times New Roman" w:hAnsi="Times New Roman"/>
          <w:sz w:val="24"/>
          <w:szCs w:val="24"/>
        </w:rPr>
        <w:t xml:space="preserve">.  Further, this result is unreasonable in light of the Commission’s </w:t>
      </w:r>
      <w:r w:rsidR="00357AD1">
        <w:rPr>
          <w:rFonts w:ascii="Times New Roman" w:hAnsi="Times New Roman"/>
          <w:sz w:val="24"/>
          <w:szCs w:val="24"/>
        </w:rPr>
        <w:t xml:space="preserve">steadfast commitment to competitive markets and the desire to establish a level playing field </w:t>
      </w:r>
      <w:r w:rsidR="00322EC8">
        <w:rPr>
          <w:rFonts w:ascii="Times New Roman" w:hAnsi="Times New Roman"/>
          <w:sz w:val="24"/>
          <w:szCs w:val="24"/>
        </w:rPr>
        <w:t>in which CRES providers compete both against themsel</w:t>
      </w:r>
      <w:r w:rsidR="00675572">
        <w:rPr>
          <w:rFonts w:ascii="Times New Roman" w:hAnsi="Times New Roman"/>
          <w:sz w:val="24"/>
          <w:szCs w:val="24"/>
        </w:rPr>
        <w:t xml:space="preserve">ves and the </w:t>
      </w:r>
      <w:r w:rsidR="007F4B94">
        <w:rPr>
          <w:rFonts w:ascii="Times New Roman" w:hAnsi="Times New Roman"/>
          <w:sz w:val="24"/>
          <w:szCs w:val="24"/>
        </w:rPr>
        <w:t>utility</w:t>
      </w:r>
      <w:r w:rsidR="00322EC8">
        <w:rPr>
          <w:rFonts w:ascii="Times New Roman" w:hAnsi="Times New Roman"/>
          <w:sz w:val="24"/>
          <w:szCs w:val="24"/>
        </w:rPr>
        <w:t xml:space="preserve">. </w:t>
      </w:r>
    </w:p>
    <w:p w:rsidR="00D7297A" w:rsidRPr="006E31ED" w:rsidRDefault="00476AB2" w:rsidP="00684D4E">
      <w:pPr>
        <w:pStyle w:val="ListParagraph"/>
        <w:numPr>
          <w:ilvl w:val="0"/>
          <w:numId w:val="2"/>
        </w:numPr>
        <w:jc w:val="both"/>
        <w:rPr>
          <w:rFonts w:ascii="Times New Roman" w:hAnsi="Times New Roman"/>
          <w:b/>
          <w:sz w:val="24"/>
          <w:szCs w:val="24"/>
        </w:rPr>
      </w:pPr>
      <w:r w:rsidRPr="006E31ED">
        <w:rPr>
          <w:rFonts w:ascii="Times New Roman" w:hAnsi="Times New Roman"/>
          <w:b/>
          <w:sz w:val="24"/>
          <w:szCs w:val="24"/>
        </w:rPr>
        <w:t xml:space="preserve">The </w:t>
      </w:r>
      <w:r w:rsidR="00676964" w:rsidRPr="006E31ED">
        <w:rPr>
          <w:rFonts w:ascii="Times New Roman" w:hAnsi="Times New Roman"/>
          <w:b/>
          <w:sz w:val="24"/>
          <w:szCs w:val="24"/>
        </w:rPr>
        <w:t xml:space="preserve">Commission possesses </w:t>
      </w:r>
      <w:r w:rsidR="00014574" w:rsidRPr="006E31ED">
        <w:rPr>
          <w:rFonts w:ascii="Times New Roman" w:hAnsi="Times New Roman"/>
          <w:b/>
          <w:sz w:val="24"/>
          <w:szCs w:val="24"/>
        </w:rPr>
        <w:t xml:space="preserve">a </w:t>
      </w:r>
      <w:r w:rsidR="00676964" w:rsidRPr="006E31ED">
        <w:rPr>
          <w:rFonts w:ascii="Times New Roman" w:hAnsi="Times New Roman"/>
          <w:b/>
          <w:sz w:val="24"/>
          <w:szCs w:val="24"/>
        </w:rPr>
        <w:t xml:space="preserve">simple </w:t>
      </w:r>
      <w:r w:rsidRPr="006E31ED">
        <w:rPr>
          <w:rFonts w:ascii="Times New Roman" w:hAnsi="Times New Roman"/>
          <w:b/>
          <w:sz w:val="24"/>
          <w:szCs w:val="24"/>
        </w:rPr>
        <w:t>remed</w:t>
      </w:r>
      <w:r w:rsidR="00014574" w:rsidRPr="006E31ED">
        <w:rPr>
          <w:rFonts w:ascii="Times New Roman" w:hAnsi="Times New Roman"/>
          <w:b/>
          <w:sz w:val="24"/>
          <w:szCs w:val="24"/>
        </w:rPr>
        <w:t>y</w:t>
      </w:r>
      <w:r w:rsidRPr="006E31ED">
        <w:rPr>
          <w:rFonts w:ascii="Times New Roman" w:hAnsi="Times New Roman"/>
          <w:b/>
          <w:sz w:val="24"/>
          <w:szCs w:val="24"/>
        </w:rPr>
        <w:t xml:space="preserve"> to the </w:t>
      </w:r>
      <w:r w:rsidR="005C103E" w:rsidRPr="006E31ED">
        <w:rPr>
          <w:rFonts w:ascii="Times New Roman" w:hAnsi="Times New Roman"/>
          <w:b/>
          <w:sz w:val="24"/>
          <w:szCs w:val="24"/>
        </w:rPr>
        <w:t xml:space="preserve">problems </w:t>
      </w:r>
      <w:r w:rsidR="001967D6" w:rsidRPr="006E31ED">
        <w:rPr>
          <w:rFonts w:ascii="Times New Roman" w:hAnsi="Times New Roman"/>
          <w:b/>
          <w:sz w:val="24"/>
          <w:szCs w:val="24"/>
        </w:rPr>
        <w:t>caused by refunding disallowed renewable energy mandate compliance costs through the AER</w:t>
      </w:r>
      <w:r w:rsidR="00676964" w:rsidRPr="006E31ED">
        <w:rPr>
          <w:rFonts w:ascii="Times New Roman" w:hAnsi="Times New Roman"/>
          <w:b/>
          <w:sz w:val="24"/>
          <w:szCs w:val="24"/>
        </w:rPr>
        <w:t>.</w:t>
      </w:r>
    </w:p>
    <w:p w:rsidR="00394ED2" w:rsidRPr="00D7297A" w:rsidRDefault="00394ED2" w:rsidP="00684D4E">
      <w:pPr>
        <w:pStyle w:val="ListParagraph"/>
        <w:ind w:left="1080"/>
        <w:jc w:val="both"/>
        <w:rPr>
          <w:rFonts w:ascii="Times New Roman" w:hAnsi="Times New Roman"/>
          <w:sz w:val="24"/>
          <w:szCs w:val="24"/>
        </w:rPr>
      </w:pPr>
    </w:p>
    <w:p w:rsidR="00333026" w:rsidRDefault="00676964" w:rsidP="00684D4E">
      <w:pPr>
        <w:spacing w:line="480" w:lineRule="auto"/>
        <w:ind w:firstLine="720"/>
        <w:jc w:val="both"/>
        <w:rPr>
          <w:rFonts w:ascii="Times New Roman" w:hAnsi="Times New Roman"/>
          <w:sz w:val="24"/>
          <w:szCs w:val="24"/>
        </w:rPr>
      </w:pPr>
      <w:r w:rsidRPr="00676964">
        <w:rPr>
          <w:rFonts w:ascii="Times New Roman" w:hAnsi="Times New Roman"/>
          <w:sz w:val="24"/>
          <w:szCs w:val="24"/>
        </w:rPr>
        <w:t>Direct</w:t>
      </w:r>
      <w:r>
        <w:rPr>
          <w:rFonts w:ascii="Times New Roman" w:hAnsi="Times New Roman"/>
          <w:sz w:val="24"/>
          <w:szCs w:val="24"/>
        </w:rPr>
        <w:t xml:space="preserve"> Energy </w:t>
      </w:r>
      <w:r w:rsidR="00E7231E">
        <w:rPr>
          <w:rFonts w:ascii="Times New Roman" w:hAnsi="Times New Roman"/>
          <w:sz w:val="24"/>
          <w:szCs w:val="24"/>
        </w:rPr>
        <w:t xml:space="preserve">requests the Commission refund </w:t>
      </w:r>
      <w:r w:rsidR="009F3223">
        <w:rPr>
          <w:rFonts w:ascii="Times New Roman" w:hAnsi="Times New Roman"/>
          <w:sz w:val="24"/>
          <w:szCs w:val="24"/>
        </w:rPr>
        <w:t xml:space="preserve">the disallowed costs through </w:t>
      </w:r>
      <w:r w:rsidR="00014574">
        <w:rPr>
          <w:rFonts w:ascii="Times New Roman" w:hAnsi="Times New Roman"/>
          <w:sz w:val="24"/>
          <w:szCs w:val="24"/>
        </w:rPr>
        <w:t>a non-bypassable credit on all customers</w:t>
      </w:r>
      <w:r w:rsidR="00F577A2">
        <w:rPr>
          <w:rFonts w:ascii="Times New Roman" w:hAnsi="Times New Roman"/>
          <w:sz w:val="24"/>
          <w:szCs w:val="24"/>
        </w:rPr>
        <w:t>’</w:t>
      </w:r>
      <w:r w:rsidR="00014574">
        <w:rPr>
          <w:rFonts w:ascii="Times New Roman" w:hAnsi="Times New Roman"/>
          <w:sz w:val="24"/>
          <w:szCs w:val="24"/>
        </w:rPr>
        <w:t xml:space="preserve"> bills.  </w:t>
      </w:r>
      <w:r w:rsidR="00951C23">
        <w:rPr>
          <w:rFonts w:ascii="Times New Roman" w:hAnsi="Times New Roman"/>
          <w:sz w:val="24"/>
          <w:szCs w:val="24"/>
        </w:rPr>
        <w:t xml:space="preserve">This mechanism </w:t>
      </w:r>
      <w:r w:rsidR="001C2CD1">
        <w:rPr>
          <w:rFonts w:ascii="Times New Roman" w:hAnsi="Times New Roman"/>
          <w:sz w:val="24"/>
          <w:szCs w:val="24"/>
        </w:rPr>
        <w:t xml:space="preserve">would provide the most fair resolution to customers who overpaid in their </w:t>
      </w:r>
      <w:r w:rsidR="007F4B94">
        <w:rPr>
          <w:rFonts w:ascii="Times New Roman" w:hAnsi="Times New Roman"/>
          <w:sz w:val="24"/>
          <w:szCs w:val="24"/>
        </w:rPr>
        <w:t xml:space="preserve">AER </w:t>
      </w:r>
      <w:r w:rsidR="001C2CD1">
        <w:rPr>
          <w:rFonts w:ascii="Times New Roman" w:hAnsi="Times New Roman"/>
          <w:sz w:val="24"/>
          <w:szCs w:val="24"/>
        </w:rPr>
        <w:t>rates but are now switched and would not enjoy the refund they are owed.  Addi</w:t>
      </w:r>
      <w:r w:rsidR="00951C23">
        <w:rPr>
          <w:rFonts w:ascii="Times New Roman" w:hAnsi="Times New Roman"/>
          <w:sz w:val="24"/>
          <w:szCs w:val="24"/>
        </w:rPr>
        <w:t>tionally, a non-bypassable credit would not imp</w:t>
      </w:r>
      <w:r w:rsidR="0096145C">
        <w:rPr>
          <w:rFonts w:ascii="Times New Roman" w:hAnsi="Times New Roman"/>
          <w:sz w:val="24"/>
          <w:szCs w:val="24"/>
        </w:rPr>
        <w:t>act the price</w:t>
      </w:r>
      <w:r w:rsidR="007F4B94">
        <w:rPr>
          <w:rFonts w:ascii="Times New Roman" w:hAnsi="Times New Roman"/>
          <w:sz w:val="24"/>
          <w:szCs w:val="24"/>
        </w:rPr>
        <w:t xml:space="preserve"> to compare</w:t>
      </w:r>
      <w:r w:rsidR="0096145C">
        <w:rPr>
          <w:rFonts w:ascii="Times New Roman" w:hAnsi="Times New Roman"/>
          <w:sz w:val="24"/>
          <w:szCs w:val="24"/>
        </w:rPr>
        <w:t xml:space="preserve"> and </w:t>
      </w:r>
      <w:r w:rsidR="00FB200E">
        <w:rPr>
          <w:rFonts w:ascii="Times New Roman" w:hAnsi="Times New Roman"/>
          <w:sz w:val="24"/>
          <w:szCs w:val="24"/>
        </w:rPr>
        <w:t>therefore</w:t>
      </w:r>
      <w:r w:rsidR="004C3414">
        <w:rPr>
          <w:rFonts w:ascii="Times New Roman" w:hAnsi="Times New Roman"/>
          <w:sz w:val="24"/>
          <w:szCs w:val="24"/>
        </w:rPr>
        <w:t xml:space="preserve"> </w:t>
      </w:r>
      <w:r w:rsidR="0096145C">
        <w:rPr>
          <w:rFonts w:ascii="Times New Roman" w:hAnsi="Times New Roman"/>
          <w:sz w:val="24"/>
          <w:szCs w:val="24"/>
        </w:rPr>
        <w:t xml:space="preserve">avoid a market </w:t>
      </w:r>
      <w:r w:rsidR="00A3202D">
        <w:rPr>
          <w:rFonts w:ascii="Times New Roman" w:hAnsi="Times New Roman"/>
          <w:sz w:val="24"/>
          <w:szCs w:val="24"/>
        </w:rPr>
        <w:t>distortion for any period of time.</w:t>
      </w:r>
      <w:r w:rsidR="00556323">
        <w:rPr>
          <w:rFonts w:ascii="Times New Roman" w:hAnsi="Times New Roman"/>
          <w:sz w:val="24"/>
          <w:szCs w:val="24"/>
        </w:rPr>
        <w:t xml:space="preserve">  I</w:t>
      </w:r>
      <w:r w:rsidR="00A3202D">
        <w:rPr>
          <w:rFonts w:ascii="Times New Roman" w:hAnsi="Times New Roman"/>
          <w:sz w:val="24"/>
          <w:szCs w:val="24"/>
        </w:rPr>
        <w:t>n addition to the</w:t>
      </w:r>
      <w:r w:rsidR="00556323">
        <w:rPr>
          <w:rFonts w:ascii="Times New Roman" w:hAnsi="Times New Roman"/>
          <w:sz w:val="24"/>
          <w:szCs w:val="24"/>
        </w:rPr>
        <w:t>se</w:t>
      </w:r>
      <w:r w:rsidR="00A3202D">
        <w:rPr>
          <w:rFonts w:ascii="Times New Roman" w:hAnsi="Times New Roman"/>
          <w:sz w:val="24"/>
          <w:szCs w:val="24"/>
        </w:rPr>
        <w:t xml:space="preserve"> substantive reasons, </w:t>
      </w:r>
      <w:r w:rsidR="00F577A2">
        <w:rPr>
          <w:rFonts w:ascii="Times New Roman" w:hAnsi="Times New Roman"/>
          <w:sz w:val="24"/>
          <w:szCs w:val="24"/>
        </w:rPr>
        <w:t xml:space="preserve">a credit </w:t>
      </w:r>
      <w:r w:rsidR="00556323">
        <w:rPr>
          <w:rFonts w:ascii="Times New Roman" w:hAnsi="Times New Roman"/>
          <w:sz w:val="24"/>
          <w:szCs w:val="24"/>
        </w:rPr>
        <w:t xml:space="preserve">to all customers </w:t>
      </w:r>
      <w:r w:rsidR="00057674">
        <w:rPr>
          <w:rFonts w:ascii="Times New Roman" w:hAnsi="Times New Roman"/>
          <w:sz w:val="24"/>
          <w:szCs w:val="24"/>
        </w:rPr>
        <w:t>sh</w:t>
      </w:r>
      <w:r w:rsidR="00F577A2">
        <w:rPr>
          <w:rFonts w:ascii="Times New Roman" w:hAnsi="Times New Roman"/>
          <w:sz w:val="24"/>
          <w:szCs w:val="24"/>
        </w:rPr>
        <w:t xml:space="preserve">ould </w:t>
      </w:r>
      <w:r w:rsidR="001C2CD1">
        <w:rPr>
          <w:rFonts w:ascii="Times New Roman" w:hAnsi="Times New Roman"/>
          <w:sz w:val="24"/>
          <w:szCs w:val="24"/>
        </w:rPr>
        <w:t>be easy to administer by FirstEnergy and</w:t>
      </w:r>
      <w:r w:rsidR="00A3202D">
        <w:rPr>
          <w:rFonts w:ascii="Times New Roman" w:hAnsi="Times New Roman"/>
          <w:sz w:val="24"/>
          <w:szCs w:val="24"/>
        </w:rPr>
        <w:t xml:space="preserve"> simpl</w:t>
      </w:r>
      <w:r w:rsidR="00556323">
        <w:rPr>
          <w:rFonts w:ascii="Times New Roman" w:hAnsi="Times New Roman"/>
          <w:sz w:val="24"/>
          <w:szCs w:val="24"/>
        </w:rPr>
        <w:t>e to explain to customers.</w:t>
      </w:r>
      <w:r w:rsidR="00EC2A8A">
        <w:rPr>
          <w:rFonts w:ascii="Times New Roman" w:hAnsi="Times New Roman"/>
          <w:sz w:val="24"/>
          <w:szCs w:val="24"/>
        </w:rPr>
        <w:t xml:space="preserve">  </w:t>
      </w:r>
    </w:p>
    <w:p w:rsidR="00534371" w:rsidRDefault="00A97B41" w:rsidP="00684D4E">
      <w:pPr>
        <w:spacing w:line="480" w:lineRule="auto"/>
        <w:ind w:firstLine="720"/>
        <w:jc w:val="both"/>
        <w:rPr>
          <w:rFonts w:ascii="Times New Roman" w:hAnsi="Times New Roman"/>
          <w:sz w:val="24"/>
          <w:szCs w:val="24"/>
        </w:rPr>
      </w:pPr>
      <w:r>
        <w:rPr>
          <w:rFonts w:ascii="Times New Roman" w:hAnsi="Times New Roman"/>
          <w:sz w:val="24"/>
          <w:szCs w:val="24"/>
        </w:rPr>
        <w:t>Alternatively, i</w:t>
      </w:r>
      <w:r w:rsidR="00556323">
        <w:rPr>
          <w:rFonts w:ascii="Times New Roman" w:hAnsi="Times New Roman"/>
          <w:sz w:val="24"/>
          <w:szCs w:val="24"/>
        </w:rPr>
        <w:t>f the Commission rejects th</w:t>
      </w:r>
      <w:r w:rsidR="00952219">
        <w:rPr>
          <w:rFonts w:ascii="Times New Roman" w:hAnsi="Times New Roman"/>
          <w:sz w:val="24"/>
          <w:szCs w:val="24"/>
        </w:rPr>
        <w:t>e</w:t>
      </w:r>
      <w:r w:rsidR="001C2CD1">
        <w:rPr>
          <w:rFonts w:ascii="Times New Roman" w:hAnsi="Times New Roman"/>
          <w:sz w:val="24"/>
          <w:szCs w:val="24"/>
        </w:rPr>
        <w:t xml:space="preserve"> </w:t>
      </w:r>
      <w:r w:rsidR="00440B82">
        <w:rPr>
          <w:rFonts w:ascii="Times New Roman" w:hAnsi="Times New Roman"/>
          <w:sz w:val="24"/>
          <w:szCs w:val="24"/>
        </w:rPr>
        <w:t>suggestion</w:t>
      </w:r>
      <w:r w:rsidR="00952219">
        <w:rPr>
          <w:rFonts w:ascii="Times New Roman" w:hAnsi="Times New Roman"/>
          <w:sz w:val="24"/>
          <w:szCs w:val="24"/>
        </w:rPr>
        <w:t xml:space="preserve"> to refund the disallowed costs through a non-bypassable credit</w:t>
      </w:r>
      <w:r w:rsidR="00440B82">
        <w:rPr>
          <w:rFonts w:ascii="Times New Roman" w:hAnsi="Times New Roman"/>
          <w:sz w:val="24"/>
          <w:szCs w:val="24"/>
        </w:rPr>
        <w:t xml:space="preserve">, </w:t>
      </w:r>
      <w:r w:rsidR="00440B82" w:rsidRPr="00440B82">
        <w:rPr>
          <w:rFonts w:ascii="Times New Roman" w:hAnsi="Times New Roman"/>
          <w:sz w:val="24"/>
          <w:szCs w:val="24"/>
        </w:rPr>
        <w:t>Direct Energy</w:t>
      </w:r>
      <w:r w:rsidR="00440B82">
        <w:rPr>
          <w:rFonts w:ascii="Times New Roman" w:hAnsi="Times New Roman"/>
          <w:sz w:val="24"/>
          <w:szCs w:val="24"/>
        </w:rPr>
        <w:t xml:space="preserve"> requests the Commission require the entire refunded amount be routed through the AER in one quarterly adjustment.  </w:t>
      </w:r>
      <w:r w:rsidR="00534371">
        <w:rPr>
          <w:rFonts w:ascii="Times New Roman" w:hAnsi="Times New Roman"/>
          <w:sz w:val="24"/>
          <w:szCs w:val="24"/>
        </w:rPr>
        <w:t>Returning the entire amount to SSO customers in just one quarter will minimize</w:t>
      </w:r>
      <w:r w:rsidR="00E55224">
        <w:rPr>
          <w:rFonts w:ascii="Times New Roman" w:hAnsi="Times New Roman"/>
          <w:sz w:val="24"/>
          <w:szCs w:val="24"/>
        </w:rPr>
        <w:t xml:space="preserve"> to the shortest time possible</w:t>
      </w:r>
      <w:r w:rsidR="00534371">
        <w:rPr>
          <w:rFonts w:ascii="Times New Roman" w:hAnsi="Times New Roman"/>
          <w:sz w:val="24"/>
          <w:szCs w:val="24"/>
        </w:rPr>
        <w:t xml:space="preserve"> any market distortion caused by the refund.  </w:t>
      </w:r>
    </w:p>
    <w:p w:rsidR="003613A6" w:rsidRDefault="005742A6" w:rsidP="00684D4E">
      <w:pPr>
        <w:spacing w:line="480" w:lineRule="auto"/>
        <w:ind w:firstLine="720"/>
        <w:jc w:val="both"/>
        <w:rPr>
          <w:rFonts w:ascii="Times New Roman" w:hAnsi="Times New Roman"/>
          <w:sz w:val="24"/>
          <w:szCs w:val="24"/>
        </w:rPr>
      </w:pPr>
      <w:r>
        <w:rPr>
          <w:rFonts w:ascii="Times New Roman" w:hAnsi="Times New Roman"/>
          <w:sz w:val="24"/>
          <w:szCs w:val="24"/>
        </w:rPr>
        <w:lastRenderedPageBreak/>
        <w:t>The Opinion and Order requires FirstEnergy to “file tariff schedules within 60 days of the issuance of a final appealable order in this proceeding, adjusting Rider AER to reflect the refund and associated carrying costs.”</w:t>
      </w:r>
      <w:r>
        <w:rPr>
          <w:rStyle w:val="FootnoteReference"/>
          <w:rFonts w:ascii="Times New Roman" w:hAnsi="Times New Roman"/>
          <w:sz w:val="24"/>
          <w:szCs w:val="24"/>
        </w:rPr>
        <w:footnoteReference w:id="4"/>
      </w:r>
      <w:r>
        <w:rPr>
          <w:rFonts w:ascii="Times New Roman" w:hAnsi="Times New Roman"/>
          <w:sz w:val="24"/>
          <w:szCs w:val="24"/>
        </w:rPr>
        <w:t xml:space="preserve">  However, the Opinion and Order is not clear as to the time over which FirstEnergy is to return the disallowed costs.  </w:t>
      </w:r>
      <w:r w:rsidR="00534371">
        <w:rPr>
          <w:rFonts w:ascii="Times New Roman" w:hAnsi="Times New Roman"/>
          <w:sz w:val="24"/>
          <w:szCs w:val="24"/>
        </w:rPr>
        <w:t>There is no indication that all of the monies are due back to customers in that particular tariff filing</w:t>
      </w:r>
      <w:r w:rsidR="000C2902">
        <w:rPr>
          <w:rFonts w:ascii="Times New Roman" w:hAnsi="Times New Roman"/>
          <w:sz w:val="24"/>
          <w:szCs w:val="24"/>
        </w:rPr>
        <w:t xml:space="preserve"> adjusting that quarter’s AER</w:t>
      </w:r>
      <w:r w:rsidR="00534371">
        <w:rPr>
          <w:rFonts w:ascii="Times New Roman" w:hAnsi="Times New Roman"/>
          <w:sz w:val="24"/>
          <w:szCs w:val="24"/>
        </w:rPr>
        <w:t xml:space="preserve">.  Further, </w:t>
      </w:r>
      <w:r w:rsidR="000C2902">
        <w:rPr>
          <w:rFonts w:ascii="Times New Roman" w:hAnsi="Times New Roman"/>
          <w:sz w:val="24"/>
          <w:szCs w:val="24"/>
        </w:rPr>
        <w:t xml:space="preserve">this kind of clarity is important </w:t>
      </w:r>
      <w:r w:rsidR="00534371">
        <w:rPr>
          <w:rFonts w:ascii="Times New Roman" w:hAnsi="Times New Roman"/>
          <w:sz w:val="24"/>
          <w:szCs w:val="24"/>
        </w:rPr>
        <w:t xml:space="preserve">given that the financial auditor criticized FirstEnergy for </w:t>
      </w:r>
      <w:r w:rsidR="000C2902">
        <w:rPr>
          <w:rFonts w:ascii="Times New Roman" w:hAnsi="Times New Roman"/>
          <w:sz w:val="24"/>
          <w:szCs w:val="24"/>
        </w:rPr>
        <w:t xml:space="preserve">unilaterally (without Commission permission) </w:t>
      </w:r>
      <w:proofErr w:type="spellStart"/>
      <w:r w:rsidR="000C2902">
        <w:rPr>
          <w:rFonts w:ascii="Times New Roman" w:hAnsi="Times New Roman"/>
          <w:sz w:val="24"/>
          <w:szCs w:val="24"/>
        </w:rPr>
        <w:t>levelizing</w:t>
      </w:r>
      <w:proofErr w:type="spellEnd"/>
      <w:r w:rsidR="000C2902">
        <w:rPr>
          <w:rFonts w:ascii="Times New Roman" w:hAnsi="Times New Roman"/>
          <w:sz w:val="24"/>
          <w:szCs w:val="24"/>
        </w:rPr>
        <w:t xml:space="preserve"> the AER and recovering costs</w:t>
      </w:r>
      <w:r w:rsidR="001D5F7B">
        <w:rPr>
          <w:rFonts w:ascii="Times New Roman" w:hAnsi="Times New Roman"/>
          <w:sz w:val="24"/>
          <w:szCs w:val="24"/>
        </w:rPr>
        <w:t xml:space="preserve"> incurred in a particular quarter</w:t>
      </w:r>
      <w:r w:rsidR="000C2902">
        <w:rPr>
          <w:rFonts w:ascii="Times New Roman" w:hAnsi="Times New Roman"/>
          <w:sz w:val="24"/>
          <w:szCs w:val="24"/>
        </w:rPr>
        <w:t xml:space="preserve"> over </w:t>
      </w:r>
      <w:r w:rsidR="005E7E6B">
        <w:rPr>
          <w:rFonts w:ascii="Times New Roman" w:hAnsi="Times New Roman"/>
          <w:sz w:val="24"/>
          <w:szCs w:val="24"/>
        </w:rPr>
        <w:t>periods longer than a quarter.</w:t>
      </w:r>
      <w:r w:rsidR="005E7E6B">
        <w:rPr>
          <w:rStyle w:val="FootnoteReference"/>
          <w:rFonts w:ascii="Times New Roman" w:hAnsi="Times New Roman"/>
          <w:sz w:val="24"/>
          <w:szCs w:val="24"/>
        </w:rPr>
        <w:footnoteReference w:id="5"/>
      </w:r>
      <w:r w:rsidR="00ED5124">
        <w:rPr>
          <w:rFonts w:ascii="Times New Roman" w:hAnsi="Times New Roman"/>
          <w:sz w:val="24"/>
          <w:szCs w:val="24"/>
        </w:rPr>
        <w:t xml:space="preserve">  </w:t>
      </w:r>
      <w:r w:rsidR="00DB28F6" w:rsidRPr="00DB28F6">
        <w:rPr>
          <w:rFonts w:ascii="Times New Roman" w:hAnsi="Times New Roman"/>
          <w:sz w:val="24"/>
          <w:szCs w:val="24"/>
        </w:rPr>
        <w:t>Direct Energy</w:t>
      </w:r>
      <w:r w:rsidR="00DB28F6">
        <w:rPr>
          <w:rFonts w:ascii="Times New Roman" w:hAnsi="Times New Roman"/>
          <w:sz w:val="24"/>
          <w:szCs w:val="24"/>
        </w:rPr>
        <w:t xml:space="preserve"> notes for the Commission that the Stipulation</w:t>
      </w:r>
      <w:r w:rsidR="000B5DC1">
        <w:rPr>
          <w:rFonts w:ascii="Times New Roman" w:hAnsi="Times New Roman"/>
          <w:sz w:val="24"/>
          <w:szCs w:val="24"/>
        </w:rPr>
        <w:t xml:space="preserve"> and Recommendation</w:t>
      </w:r>
      <w:r w:rsidR="00DB28F6">
        <w:rPr>
          <w:rFonts w:ascii="Times New Roman" w:hAnsi="Times New Roman"/>
          <w:sz w:val="24"/>
          <w:szCs w:val="24"/>
        </w:rPr>
        <w:t xml:space="preserve"> </w:t>
      </w:r>
      <w:r w:rsidR="000B5DC1">
        <w:rPr>
          <w:rFonts w:ascii="Times New Roman" w:hAnsi="Times New Roman"/>
          <w:sz w:val="24"/>
          <w:szCs w:val="24"/>
        </w:rPr>
        <w:t xml:space="preserve">in FirstEnergy’s electric security plan proceeding, as </w:t>
      </w:r>
      <w:r w:rsidR="00DB28F6">
        <w:rPr>
          <w:rFonts w:ascii="Times New Roman" w:hAnsi="Times New Roman"/>
          <w:sz w:val="24"/>
          <w:szCs w:val="24"/>
        </w:rPr>
        <w:t>approved by th</w:t>
      </w:r>
      <w:r w:rsidR="000B5DC1">
        <w:rPr>
          <w:rFonts w:ascii="Times New Roman" w:hAnsi="Times New Roman"/>
          <w:sz w:val="24"/>
          <w:szCs w:val="24"/>
        </w:rPr>
        <w:t xml:space="preserve">e Commission, expressly subjects the </w:t>
      </w:r>
      <w:r w:rsidR="00E726EA">
        <w:rPr>
          <w:rFonts w:ascii="Times New Roman" w:hAnsi="Times New Roman"/>
          <w:sz w:val="24"/>
          <w:szCs w:val="24"/>
        </w:rPr>
        <w:t>level of AER</w:t>
      </w:r>
      <w:r w:rsidR="000B5DC1">
        <w:rPr>
          <w:rFonts w:ascii="Times New Roman" w:hAnsi="Times New Roman"/>
          <w:sz w:val="24"/>
          <w:szCs w:val="24"/>
        </w:rPr>
        <w:t xml:space="preserve"> charges to the outcome of this proceeding</w:t>
      </w:r>
      <w:r w:rsidR="00A53237">
        <w:rPr>
          <w:rFonts w:ascii="Times New Roman" w:hAnsi="Times New Roman"/>
          <w:sz w:val="24"/>
          <w:szCs w:val="24"/>
        </w:rPr>
        <w:t xml:space="preserve"> and therefore such an order would be appropriate under FirstEnergy’s currently approved ESP</w:t>
      </w:r>
      <w:r w:rsidR="000B5DC1">
        <w:rPr>
          <w:rFonts w:ascii="Times New Roman" w:hAnsi="Times New Roman"/>
          <w:sz w:val="24"/>
          <w:szCs w:val="24"/>
        </w:rPr>
        <w:t>.</w:t>
      </w:r>
      <w:r w:rsidR="000B5DC1">
        <w:rPr>
          <w:rStyle w:val="FootnoteReference"/>
          <w:rFonts w:ascii="Times New Roman" w:hAnsi="Times New Roman"/>
          <w:sz w:val="24"/>
          <w:szCs w:val="24"/>
        </w:rPr>
        <w:footnoteReference w:id="6"/>
      </w:r>
      <w:r w:rsidR="000B5DC1">
        <w:rPr>
          <w:rFonts w:ascii="Times New Roman" w:hAnsi="Times New Roman"/>
          <w:sz w:val="24"/>
          <w:szCs w:val="24"/>
        </w:rPr>
        <w:t xml:space="preserve">  </w:t>
      </w:r>
    </w:p>
    <w:p w:rsidR="00D7059B" w:rsidRDefault="00076FBA" w:rsidP="00684D4E">
      <w:pPr>
        <w:spacing w:line="480" w:lineRule="auto"/>
        <w:ind w:firstLine="720"/>
        <w:jc w:val="both"/>
        <w:rPr>
          <w:rFonts w:ascii="Times New Roman" w:hAnsi="Times New Roman"/>
          <w:sz w:val="24"/>
          <w:szCs w:val="24"/>
        </w:rPr>
      </w:pPr>
      <w:r>
        <w:rPr>
          <w:rFonts w:ascii="Times New Roman" w:hAnsi="Times New Roman"/>
          <w:sz w:val="24"/>
          <w:szCs w:val="24"/>
        </w:rPr>
        <w:t xml:space="preserve">Finally, regardless of how the Commission determines to return any disallowed costs to customers, the Commission should </w:t>
      </w:r>
      <w:r w:rsidR="00D7059B">
        <w:rPr>
          <w:rFonts w:ascii="Times New Roman" w:hAnsi="Times New Roman"/>
          <w:sz w:val="24"/>
          <w:szCs w:val="24"/>
        </w:rPr>
        <w:t xml:space="preserve">offset </w:t>
      </w:r>
      <w:r w:rsidR="007F4B94">
        <w:rPr>
          <w:rFonts w:ascii="Times New Roman" w:hAnsi="Times New Roman"/>
          <w:sz w:val="24"/>
          <w:szCs w:val="24"/>
        </w:rPr>
        <w:t xml:space="preserve">any </w:t>
      </w:r>
      <w:r w:rsidR="00D7059B">
        <w:rPr>
          <w:rFonts w:ascii="Times New Roman" w:hAnsi="Times New Roman"/>
          <w:sz w:val="24"/>
          <w:szCs w:val="24"/>
        </w:rPr>
        <w:t>refund of disallowed costs by the large under-collection of AER costs by FirstEnergy.  The financial auditor’s report indicates FirstEnergy under</w:t>
      </w:r>
      <w:r w:rsidR="00D7059B">
        <w:rPr>
          <w:rFonts w:ascii="Times New Roman" w:hAnsi="Times New Roman"/>
          <w:sz w:val="24"/>
          <w:szCs w:val="24"/>
        </w:rPr>
        <w:noBreakHyphen/>
        <w:t>collected $23,431,795 as of December 31, 2011 for renewable energy mandate compliance costs.</w:t>
      </w:r>
      <w:r w:rsidR="00D7059B">
        <w:rPr>
          <w:rStyle w:val="FootnoteReference"/>
          <w:rFonts w:ascii="Times New Roman" w:hAnsi="Times New Roman"/>
          <w:sz w:val="24"/>
          <w:szCs w:val="24"/>
        </w:rPr>
        <w:footnoteReference w:id="7"/>
      </w:r>
      <w:r w:rsidR="00D7059B">
        <w:rPr>
          <w:rFonts w:ascii="Times New Roman" w:hAnsi="Times New Roman"/>
          <w:sz w:val="24"/>
          <w:szCs w:val="24"/>
        </w:rPr>
        <w:t xml:space="preserve">  </w:t>
      </w:r>
      <w:r w:rsidR="00562980">
        <w:rPr>
          <w:rFonts w:ascii="Times New Roman" w:hAnsi="Times New Roman"/>
          <w:sz w:val="24"/>
          <w:szCs w:val="24"/>
        </w:rPr>
        <w:t xml:space="preserve">It is reasonable to believe that some of the approximately $23 million under-collection is comprised of the now disallowed costs.  The Commission should order FirstEnergy to determine how much of this under-collection is comprised of now disallowed costs and then offset the </w:t>
      </w:r>
      <w:r w:rsidR="00562980">
        <w:rPr>
          <w:rFonts w:ascii="Times New Roman" w:hAnsi="Times New Roman"/>
          <w:sz w:val="24"/>
          <w:szCs w:val="24"/>
        </w:rPr>
        <w:lastRenderedPageBreak/>
        <w:t>approximately $43 million disallowance with the remaining under-collected amount</w:t>
      </w:r>
      <w:r w:rsidR="001D140D">
        <w:rPr>
          <w:rFonts w:ascii="Times New Roman" w:hAnsi="Times New Roman"/>
          <w:sz w:val="24"/>
          <w:szCs w:val="24"/>
        </w:rPr>
        <w:t>.  An offset of the disallowed amount will allow FirstEnergy to rec</w:t>
      </w:r>
      <w:r w:rsidR="00BE1BDD">
        <w:rPr>
          <w:rFonts w:ascii="Times New Roman" w:hAnsi="Times New Roman"/>
          <w:sz w:val="24"/>
          <w:szCs w:val="24"/>
        </w:rPr>
        <w:t>eive</w:t>
      </w:r>
      <w:r w:rsidR="001D140D">
        <w:rPr>
          <w:rFonts w:ascii="Times New Roman" w:hAnsi="Times New Roman"/>
          <w:sz w:val="24"/>
          <w:szCs w:val="24"/>
        </w:rPr>
        <w:t xml:space="preserve"> </w:t>
      </w:r>
      <w:r w:rsidR="0045331C">
        <w:rPr>
          <w:rFonts w:ascii="Times New Roman" w:hAnsi="Times New Roman"/>
          <w:sz w:val="24"/>
          <w:szCs w:val="24"/>
        </w:rPr>
        <w:t>any proper</w:t>
      </w:r>
      <w:r w:rsidR="001D140D">
        <w:rPr>
          <w:rFonts w:ascii="Times New Roman" w:hAnsi="Times New Roman"/>
          <w:sz w:val="24"/>
          <w:szCs w:val="24"/>
        </w:rPr>
        <w:t xml:space="preserve"> under-collected amount</w:t>
      </w:r>
      <w:r w:rsidR="0045331C">
        <w:rPr>
          <w:rFonts w:ascii="Times New Roman" w:hAnsi="Times New Roman"/>
          <w:sz w:val="24"/>
          <w:szCs w:val="24"/>
        </w:rPr>
        <w:t>, still provide customers with the full value of the refund of disallowed costs,</w:t>
      </w:r>
      <w:r w:rsidR="001D140D">
        <w:rPr>
          <w:rFonts w:ascii="Times New Roman" w:hAnsi="Times New Roman"/>
          <w:sz w:val="24"/>
          <w:szCs w:val="24"/>
        </w:rPr>
        <w:t xml:space="preserve"> and also </w:t>
      </w:r>
      <w:r w:rsidR="0045331C">
        <w:rPr>
          <w:rFonts w:ascii="Times New Roman" w:hAnsi="Times New Roman"/>
          <w:sz w:val="24"/>
          <w:szCs w:val="24"/>
        </w:rPr>
        <w:t xml:space="preserve">lessen any impacts on the competitive market that might occur from the mechanism used to return disallowed costs to customers.  </w:t>
      </w:r>
    </w:p>
    <w:p w:rsidR="00D7059B" w:rsidRDefault="00BE1BDD" w:rsidP="00684D4E">
      <w:pPr>
        <w:pStyle w:val="ListParagraph"/>
        <w:numPr>
          <w:ilvl w:val="0"/>
          <w:numId w:val="2"/>
        </w:numPr>
        <w:jc w:val="both"/>
        <w:rPr>
          <w:rFonts w:ascii="Times New Roman" w:hAnsi="Times New Roman"/>
          <w:b/>
          <w:sz w:val="24"/>
          <w:szCs w:val="24"/>
        </w:rPr>
      </w:pPr>
      <w:r>
        <w:rPr>
          <w:rFonts w:ascii="Times New Roman" w:hAnsi="Times New Roman"/>
          <w:b/>
          <w:sz w:val="24"/>
          <w:szCs w:val="24"/>
        </w:rPr>
        <w:t>T</w:t>
      </w:r>
      <w:r w:rsidR="006C545A" w:rsidRPr="006C545A">
        <w:rPr>
          <w:rFonts w:ascii="Times New Roman" w:hAnsi="Times New Roman"/>
          <w:b/>
          <w:sz w:val="24"/>
          <w:szCs w:val="24"/>
        </w:rPr>
        <w:t>he Commission’s Opinion and Order is unreasonable inasmuch as the Commission failed to order FirstEnergy to implement the recommendations of the financial auditor.</w:t>
      </w:r>
    </w:p>
    <w:p w:rsidR="00C15EC7" w:rsidRPr="006C545A" w:rsidRDefault="00C15EC7" w:rsidP="00684D4E">
      <w:pPr>
        <w:pStyle w:val="ListParagraph"/>
        <w:ind w:left="1080"/>
        <w:jc w:val="both"/>
        <w:rPr>
          <w:rFonts w:ascii="Times New Roman" w:hAnsi="Times New Roman"/>
          <w:b/>
          <w:sz w:val="24"/>
          <w:szCs w:val="24"/>
        </w:rPr>
      </w:pPr>
    </w:p>
    <w:p w:rsidR="00BB4423" w:rsidRDefault="006C545A" w:rsidP="00684D4E">
      <w:pPr>
        <w:spacing w:line="480" w:lineRule="auto"/>
        <w:ind w:firstLine="720"/>
        <w:jc w:val="both"/>
        <w:rPr>
          <w:rFonts w:ascii="Times New Roman" w:hAnsi="Times New Roman"/>
          <w:sz w:val="24"/>
          <w:szCs w:val="24"/>
        </w:rPr>
      </w:pPr>
      <w:r>
        <w:rPr>
          <w:rFonts w:ascii="Times New Roman" w:hAnsi="Times New Roman"/>
          <w:sz w:val="24"/>
          <w:szCs w:val="24"/>
        </w:rPr>
        <w:t>The financial auditor made thirty-three (33) recommendations</w:t>
      </w:r>
      <w:r w:rsidR="00C15EC7">
        <w:rPr>
          <w:rFonts w:ascii="Times New Roman" w:hAnsi="Times New Roman"/>
          <w:sz w:val="24"/>
          <w:szCs w:val="24"/>
        </w:rPr>
        <w:t xml:space="preserve"> re</w:t>
      </w:r>
      <w:r w:rsidR="00BE1BDD">
        <w:rPr>
          <w:rFonts w:ascii="Times New Roman" w:hAnsi="Times New Roman"/>
          <w:sz w:val="24"/>
          <w:szCs w:val="24"/>
        </w:rPr>
        <w:t xml:space="preserve">garding </w:t>
      </w:r>
      <w:r w:rsidR="00C15EC7">
        <w:rPr>
          <w:rFonts w:ascii="Times New Roman" w:hAnsi="Times New Roman"/>
          <w:sz w:val="24"/>
          <w:szCs w:val="24"/>
        </w:rPr>
        <w:t>FirstEnergy’s processes, procedures, and practices related to the AER.</w:t>
      </w:r>
      <w:r w:rsidR="003B2496">
        <w:rPr>
          <w:rStyle w:val="FootnoteReference"/>
          <w:rFonts w:ascii="Times New Roman" w:hAnsi="Times New Roman"/>
          <w:sz w:val="24"/>
          <w:szCs w:val="24"/>
        </w:rPr>
        <w:footnoteReference w:id="8"/>
      </w:r>
      <w:r w:rsidR="00C15EC7">
        <w:rPr>
          <w:rFonts w:ascii="Times New Roman" w:hAnsi="Times New Roman"/>
          <w:sz w:val="24"/>
          <w:szCs w:val="24"/>
        </w:rPr>
        <w:t xml:space="preserve">  </w:t>
      </w:r>
      <w:r w:rsidR="008D6812">
        <w:rPr>
          <w:rFonts w:ascii="Times New Roman" w:hAnsi="Times New Roman"/>
          <w:sz w:val="24"/>
          <w:szCs w:val="24"/>
        </w:rPr>
        <w:t xml:space="preserve">FirstEnergy witness </w:t>
      </w:r>
      <w:proofErr w:type="spellStart"/>
      <w:r w:rsidR="008D6812">
        <w:rPr>
          <w:rFonts w:ascii="Times New Roman" w:hAnsi="Times New Roman"/>
          <w:sz w:val="24"/>
          <w:szCs w:val="24"/>
        </w:rPr>
        <w:t>Mikkelson</w:t>
      </w:r>
      <w:r w:rsidR="00A11CFD">
        <w:rPr>
          <w:rFonts w:ascii="Times New Roman" w:hAnsi="Times New Roman"/>
          <w:sz w:val="24"/>
          <w:szCs w:val="24"/>
        </w:rPr>
        <w:t>’s</w:t>
      </w:r>
      <w:proofErr w:type="spellEnd"/>
      <w:r w:rsidR="00A11CFD">
        <w:rPr>
          <w:rFonts w:ascii="Times New Roman" w:hAnsi="Times New Roman"/>
          <w:sz w:val="24"/>
          <w:szCs w:val="24"/>
        </w:rPr>
        <w:t xml:space="preserve"> entire</w:t>
      </w:r>
      <w:r w:rsidR="00BE1BDD">
        <w:rPr>
          <w:rFonts w:ascii="Times New Roman" w:hAnsi="Times New Roman"/>
          <w:sz w:val="24"/>
          <w:szCs w:val="24"/>
        </w:rPr>
        <w:t xml:space="preserve"> direct</w:t>
      </w:r>
      <w:r w:rsidR="00A11CFD">
        <w:rPr>
          <w:rFonts w:ascii="Times New Roman" w:hAnsi="Times New Roman"/>
          <w:sz w:val="24"/>
          <w:szCs w:val="24"/>
        </w:rPr>
        <w:t xml:space="preserve"> testimony addresses the financial auditor’s recommendations.  Ms. </w:t>
      </w:r>
      <w:proofErr w:type="spellStart"/>
      <w:r w:rsidR="00A11CFD">
        <w:rPr>
          <w:rFonts w:ascii="Times New Roman" w:hAnsi="Times New Roman"/>
          <w:sz w:val="24"/>
          <w:szCs w:val="24"/>
        </w:rPr>
        <w:t>Mikkelson</w:t>
      </w:r>
      <w:proofErr w:type="spellEnd"/>
      <w:r w:rsidR="008D6812">
        <w:rPr>
          <w:rFonts w:ascii="Times New Roman" w:hAnsi="Times New Roman"/>
          <w:sz w:val="24"/>
          <w:szCs w:val="24"/>
        </w:rPr>
        <w:t xml:space="preserve"> testified that FirstEnergy agreed with many of the recommendations</w:t>
      </w:r>
      <w:r w:rsidR="00883A21">
        <w:rPr>
          <w:rFonts w:ascii="Times New Roman" w:hAnsi="Times New Roman"/>
          <w:sz w:val="24"/>
          <w:szCs w:val="24"/>
        </w:rPr>
        <w:t xml:space="preserve"> and that FirstEnergy would </w:t>
      </w:r>
      <w:r w:rsidR="00752DE3">
        <w:rPr>
          <w:rFonts w:ascii="Times New Roman" w:hAnsi="Times New Roman"/>
          <w:sz w:val="24"/>
          <w:szCs w:val="24"/>
        </w:rPr>
        <w:t>implement those recommendations</w:t>
      </w:r>
      <w:r w:rsidR="009B06D4">
        <w:rPr>
          <w:rFonts w:ascii="Times New Roman" w:hAnsi="Times New Roman"/>
          <w:sz w:val="24"/>
          <w:szCs w:val="24"/>
        </w:rPr>
        <w:t xml:space="preserve"> on a going forward basis</w:t>
      </w:r>
      <w:r w:rsidR="00752DE3">
        <w:rPr>
          <w:rFonts w:ascii="Times New Roman" w:hAnsi="Times New Roman"/>
          <w:sz w:val="24"/>
          <w:szCs w:val="24"/>
        </w:rPr>
        <w:t xml:space="preserve"> “if approved by the Commission</w:t>
      </w:r>
      <w:r w:rsidR="00F26DD6">
        <w:rPr>
          <w:rFonts w:ascii="Times New Roman" w:hAnsi="Times New Roman"/>
          <w:sz w:val="24"/>
          <w:szCs w:val="24"/>
        </w:rPr>
        <w:t>.</w:t>
      </w:r>
      <w:r w:rsidR="00752DE3">
        <w:rPr>
          <w:rFonts w:ascii="Times New Roman" w:hAnsi="Times New Roman"/>
          <w:sz w:val="24"/>
          <w:szCs w:val="24"/>
        </w:rPr>
        <w:t>”</w:t>
      </w:r>
      <w:r w:rsidR="002C54AD">
        <w:rPr>
          <w:rStyle w:val="FootnoteReference"/>
          <w:rFonts w:ascii="Times New Roman" w:hAnsi="Times New Roman"/>
          <w:sz w:val="24"/>
          <w:szCs w:val="24"/>
        </w:rPr>
        <w:footnoteReference w:id="9"/>
      </w:r>
      <w:r w:rsidR="002C54AD">
        <w:rPr>
          <w:rFonts w:ascii="Times New Roman" w:hAnsi="Times New Roman"/>
          <w:sz w:val="24"/>
          <w:szCs w:val="24"/>
        </w:rPr>
        <w:t xml:space="preserve">  </w:t>
      </w:r>
      <w:r w:rsidR="00752DE3">
        <w:rPr>
          <w:rFonts w:ascii="Times New Roman" w:hAnsi="Times New Roman"/>
          <w:sz w:val="24"/>
          <w:szCs w:val="24"/>
        </w:rPr>
        <w:t xml:space="preserve">Additionally, </w:t>
      </w:r>
      <w:r w:rsidR="002C54AD">
        <w:rPr>
          <w:rFonts w:ascii="Times New Roman" w:hAnsi="Times New Roman"/>
          <w:sz w:val="24"/>
          <w:szCs w:val="24"/>
        </w:rPr>
        <w:t>Firs</w:t>
      </w:r>
      <w:r w:rsidR="00752DE3">
        <w:rPr>
          <w:rFonts w:ascii="Times New Roman" w:hAnsi="Times New Roman"/>
          <w:sz w:val="24"/>
          <w:szCs w:val="24"/>
        </w:rPr>
        <w:t xml:space="preserve">tEnergy witness </w:t>
      </w:r>
      <w:proofErr w:type="spellStart"/>
      <w:r w:rsidR="00752DE3">
        <w:rPr>
          <w:rFonts w:ascii="Times New Roman" w:hAnsi="Times New Roman"/>
          <w:sz w:val="24"/>
          <w:szCs w:val="24"/>
        </w:rPr>
        <w:t>Stathis</w:t>
      </w:r>
      <w:proofErr w:type="spellEnd"/>
      <w:r w:rsidR="00752DE3">
        <w:rPr>
          <w:rFonts w:ascii="Times New Roman" w:hAnsi="Times New Roman"/>
          <w:sz w:val="24"/>
          <w:szCs w:val="24"/>
        </w:rPr>
        <w:t xml:space="preserve"> testified that FirstEnergy</w:t>
      </w:r>
      <w:r w:rsidR="008D6812">
        <w:rPr>
          <w:rFonts w:ascii="Times New Roman" w:hAnsi="Times New Roman"/>
          <w:sz w:val="24"/>
          <w:szCs w:val="24"/>
        </w:rPr>
        <w:t xml:space="preserve"> had </w:t>
      </w:r>
      <w:r w:rsidR="00752DE3">
        <w:rPr>
          <w:rFonts w:ascii="Times New Roman" w:hAnsi="Times New Roman"/>
          <w:sz w:val="24"/>
          <w:szCs w:val="24"/>
        </w:rPr>
        <w:t>already</w:t>
      </w:r>
      <w:r w:rsidR="008D6812">
        <w:rPr>
          <w:rFonts w:ascii="Times New Roman" w:hAnsi="Times New Roman"/>
          <w:sz w:val="24"/>
          <w:szCs w:val="24"/>
        </w:rPr>
        <w:t xml:space="preserve"> implemented </w:t>
      </w:r>
      <w:r w:rsidR="00F26DD6">
        <w:rPr>
          <w:rFonts w:ascii="Times New Roman" w:hAnsi="Times New Roman"/>
          <w:sz w:val="24"/>
          <w:szCs w:val="24"/>
        </w:rPr>
        <w:t>some</w:t>
      </w:r>
      <w:r w:rsidR="00752DE3">
        <w:rPr>
          <w:rFonts w:ascii="Times New Roman" w:hAnsi="Times New Roman"/>
          <w:sz w:val="24"/>
          <w:szCs w:val="24"/>
        </w:rPr>
        <w:t xml:space="preserve"> </w:t>
      </w:r>
      <w:r w:rsidR="008D6812">
        <w:rPr>
          <w:rFonts w:ascii="Times New Roman" w:hAnsi="Times New Roman"/>
          <w:sz w:val="24"/>
          <w:szCs w:val="24"/>
        </w:rPr>
        <w:t>of the recommendations.</w:t>
      </w:r>
      <w:r w:rsidR="008D6812">
        <w:rPr>
          <w:rStyle w:val="FootnoteReference"/>
          <w:rFonts w:ascii="Times New Roman" w:hAnsi="Times New Roman"/>
          <w:sz w:val="24"/>
          <w:szCs w:val="24"/>
        </w:rPr>
        <w:footnoteReference w:id="10"/>
      </w:r>
      <w:r w:rsidR="008D6812">
        <w:rPr>
          <w:rFonts w:ascii="Times New Roman" w:hAnsi="Times New Roman"/>
          <w:sz w:val="24"/>
          <w:szCs w:val="24"/>
        </w:rPr>
        <w:t xml:space="preserve">  </w:t>
      </w:r>
    </w:p>
    <w:p w:rsidR="006C545A" w:rsidRDefault="00BE2396" w:rsidP="00684D4E">
      <w:pPr>
        <w:spacing w:line="480" w:lineRule="auto"/>
        <w:ind w:firstLine="720"/>
        <w:jc w:val="both"/>
        <w:rPr>
          <w:rFonts w:ascii="Times New Roman" w:hAnsi="Times New Roman"/>
          <w:sz w:val="24"/>
          <w:szCs w:val="24"/>
        </w:rPr>
      </w:pPr>
      <w:r>
        <w:rPr>
          <w:rFonts w:ascii="Times New Roman" w:hAnsi="Times New Roman"/>
          <w:sz w:val="24"/>
          <w:szCs w:val="24"/>
        </w:rPr>
        <w:t>However, the Commission’s Opinion and Order unreasonably fails to require FirstEnergy to adopt the recommendations in the financial auditor’s report</w:t>
      </w:r>
      <w:r w:rsidR="00BB4423">
        <w:rPr>
          <w:rFonts w:ascii="Times New Roman" w:hAnsi="Times New Roman"/>
          <w:sz w:val="24"/>
          <w:szCs w:val="24"/>
        </w:rPr>
        <w:t xml:space="preserve"> that FirstEnergy volunteered to implement or have already put into place</w:t>
      </w:r>
      <w:r>
        <w:rPr>
          <w:rFonts w:ascii="Times New Roman" w:hAnsi="Times New Roman"/>
          <w:sz w:val="24"/>
          <w:szCs w:val="24"/>
        </w:rPr>
        <w:t xml:space="preserve">.  </w:t>
      </w:r>
      <w:r w:rsidR="00854BA5">
        <w:rPr>
          <w:rFonts w:ascii="Times New Roman" w:hAnsi="Times New Roman"/>
          <w:sz w:val="24"/>
          <w:szCs w:val="24"/>
        </w:rPr>
        <w:t>The Commission should explicit</w:t>
      </w:r>
      <w:r w:rsidR="005C7037">
        <w:rPr>
          <w:rFonts w:ascii="Times New Roman" w:hAnsi="Times New Roman"/>
          <w:sz w:val="24"/>
          <w:szCs w:val="24"/>
        </w:rPr>
        <w:t>l</w:t>
      </w:r>
      <w:r w:rsidR="00854BA5">
        <w:rPr>
          <w:rFonts w:ascii="Times New Roman" w:hAnsi="Times New Roman"/>
          <w:sz w:val="24"/>
          <w:szCs w:val="24"/>
        </w:rPr>
        <w:t xml:space="preserve">y </w:t>
      </w:r>
      <w:r w:rsidR="003A1015">
        <w:rPr>
          <w:rFonts w:ascii="Times New Roman" w:hAnsi="Times New Roman"/>
          <w:sz w:val="24"/>
          <w:szCs w:val="24"/>
        </w:rPr>
        <w:t>approve</w:t>
      </w:r>
      <w:r w:rsidR="00854BA5">
        <w:rPr>
          <w:rFonts w:ascii="Times New Roman" w:hAnsi="Times New Roman"/>
          <w:sz w:val="24"/>
          <w:szCs w:val="24"/>
        </w:rPr>
        <w:t xml:space="preserve"> FirstEnergy </w:t>
      </w:r>
      <w:r w:rsidR="003A1015">
        <w:rPr>
          <w:rFonts w:ascii="Times New Roman" w:hAnsi="Times New Roman"/>
          <w:sz w:val="24"/>
          <w:szCs w:val="24"/>
        </w:rPr>
        <w:t>implementing</w:t>
      </w:r>
      <w:r w:rsidR="005C7037">
        <w:rPr>
          <w:rFonts w:ascii="Times New Roman" w:hAnsi="Times New Roman"/>
          <w:sz w:val="24"/>
          <w:szCs w:val="24"/>
        </w:rPr>
        <w:t xml:space="preserve"> the recommendations that FirstEnergy witness </w:t>
      </w:r>
      <w:proofErr w:type="spellStart"/>
      <w:r w:rsidR="005C7037">
        <w:rPr>
          <w:rFonts w:ascii="Times New Roman" w:hAnsi="Times New Roman"/>
          <w:sz w:val="24"/>
          <w:szCs w:val="24"/>
        </w:rPr>
        <w:t>Mikkelson</w:t>
      </w:r>
      <w:proofErr w:type="spellEnd"/>
      <w:r w:rsidR="005C7037">
        <w:rPr>
          <w:rFonts w:ascii="Times New Roman" w:hAnsi="Times New Roman"/>
          <w:sz w:val="24"/>
          <w:szCs w:val="24"/>
        </w:rPr>
        <w:t xml:space="preserve"> voluntarily </w:t>
      </w:r>
      <w:r w:rsidR="005C7037">
        <w:rPr>
          <w:rFonts w:ascii="Times New Roman" w:hAnsi="Times New Roman"/>
          <w:sz w:val="24"/>
          <w:szCs w:val="24"/>
        </w:rPr>
        <w:lastRenderedPageBreak/>
        <w:t xml:space="preserve">agreed to implement if </w:t>
      </w:r>
      <w:r w:rsidR="00453753">
        <w:rPr>
          <w:rFonts w:ascii="Times New Roman" w:hAnsi="Times New Roman"/>
          <w:sz w:val="24"/>
          <w:szCs w:val="24"/>
        </w:rPr>
        <w:t>approved</w:t>
      </w:r>
      <w:r w:rsidR="00453753">
        <w:rPr>
          <w:rStyle w:val="FootnoteReference"/>
          <w:rFonts w:ascii="Times New Roman" w:hAnsi="Times New Roman"/>
          <w:sz w:val="24"/>
          <w:szCs w:val="24"/>
        </w:rPr>
        <w:footnoteReference w:id="11"/>
      </w:r>
      <w:r w:rsidR="005C7037">
        <w:rPr>
          <w:rFonts w:ascii="Times New Roman" w:hAnsi="Times New Roman"/>
          <w:sz w:val="24"/>
          <w:szCs w:val="24"/>
        </w:rPr>
        <w:t xml:space="preserve"> and require FirstEnergy to continue the already implemented recommendations</w:t>
      </w:r>
      <w:r w:rsidR="00E021BA">
        <w:rPr>
          <w:rFonts w:ascii="Times New Roman" w:hAnsi="Times New Roman"/>
          <w:sz w:val="24"/>
          <w:szCs w:val="24"/>
        </w:rPr>
        <w:t xml:space="preserve"> discussed in FirstEnergy witness </w:t>
      </w:r>
      <w:proofErr w:type="spellStart"/>
      <w:r w:rsidR="00E021BA">
        <w:rPr>
          <w:rFonts w:ascii="Times New Roman" w:hAnsi="Times New Roman"/>
          <w:sz w:val="24"/>
          <w:szCs w:val="24"/>
        </w:rPr>
        <w:t>Stathis</w:t>
      </w:r>
      <w:proofErr w:type="spellEnd"/>
      <w:r w:rsidR="00E021BA">
        <w:rPr>
          <w:rFonts w:ascii="Times New Roman" w:hAnsi="Times New Roman"/>
          <w:sz w:val="24"/>
          <w:szCs w:val="24"/>
        </w:rPr>
        <w:t xml:space="preserve">’ testimony. </w:t>
      </w:r>
    </w:p>
    <w:p w:rsidR="00E021BA" w:rsidRDefault="00F61027" w:rsidP="00684D4E">
      <w:pPr>
        <w:spacing w:line="480" w:lineRule="auto"/>
        <w:ind w:firstLine="720"/>
        <w:jc w:val="both"/>
        <w:rPr>
          <w:rFonts w:ascii="Times New Roman" w:hAnsi="Times New Roman"/>
          <w:sz w:val="24"/>
          <w:szCs w:val="24"/>
        </w:rPr>
      </w:pPr>
      <w:r>
        <w:rPr>
          <w:rFonts w:ascii="Times New Roman" w:hAnsi="Times New Roman"/>
          <w:sz w:val="24"/>
          <w:szCs w:val="24"/>
        </w:rPr>
        <w:t xml:space="preserve">Witness </w:t>
      </w:r>
      <w:proofErr w:type="spellStart"/>
      <w:r>
        <w:rPr>
          <w:rFonts w:ascii="Times New Roman" w:hAnsi="Times New Roman"/>
          <w:sz w:val="24"/>
          <w:szCs w:val="24"/>
        </w:rPr>
        <w:t>Mikkelson</w:t>
      </w:r>
      <w:proofErr w:type="spellEnd"/>
      <w:r>
        <w:rPr>
          <w:rFonts w:ascii="Times New Roman" w:hAnsi="Times New Roman"/>
          <w:sz w:val="24"/>
          <w:szCs w:val="24"/>
        </w:rPr>
        <w:t xml:space="preserve"> also disputed implementation of recommendations 2, 3, and 4 because those recommendations attempt to align costs recovered in each quarter in the AER more closely with the costs estimated to be incurred in that quarter with any over or under recovery included in the AER for the second subsequent quarter.</w:t>
      </w:r>
      <w:r>
        <w:rPr>
          <w:rStyle w:val="FootnoteReference"/>
          <w:rFonts w:ascii="Times New Roman" w:hAnsi="Times New Roman"/>
          <w:sz w:val="24"/>
          <w:szCs w:val="24"/>
        </w:rPr>
        <w:footnoteReference w:id="12"/>
      </w:r>
      <w:r>
        <w:rPr>
          <w:rFonts w:ascii="Times New Roman" w:hAnsi="Times New Roman"/>
          <w:sz w:val="24"/>
          <w:szCs w:val="24"/>
        </w:rPr>
        <w:t xml:space="preserve">  </w:t>
      </w:r>
      <w:r w:rsidR="00EE110B">
        <w:rPr>
          <w:rFonts w:ascii="Times New Roman" w:hAnsi="Times New Roman"/>
          <w:sz w:val="24"/>
          <w:szCs w:val="24"/>
        </w:rPr>
        <w:t xml:space="preserve">FirstEnergy witness </w:t>
      </w:r>
      <w:proofErr w:type="spellStart"/>
      <w:r w:rsidR="00EE110B">
        <w:rPr>
          <w:rFonts w:ascii="Times New Roman" w:hAnsi="Times New Roman"/>
          <w:sz w:val="24"/>
          <w:szCs w:val="24"/>
        </w:rPr>
        <w:t>Mikkelson</w:t>
      </w:r>
      <w:proofErr w:type="spellEnd"/>
      <w:r w:rsidR="00EE110B">
        <w:rPr>
          <w:rFonts w:ascii="Times New Roman" w:hAnsi="Times New Roman"/>
          <w:sz w:val="24"/>
          <w:szCs w:val="24"/>
        </w:rPr>
        <w:t xml:space="preserve"> also objected to Recommendation 7, to recover one quarter of the under-recovery in each of the next four quarterly AER calculations.</w:t>
      </w:r>
      <w:r w:rsidR="00EE110B">
        <w:rPr>
          <w:rStyle w:val="FootnoteReference"/>
          <w:rFonts w:ascii="Times New Roman" w:hAnsi="Times New Roman"/>
          <w:sz w:val="24"/>
          <w:szCs w:val="24"/>
        </w:rPr>
        <w:footnoteReference w:id="13"/>
      </w:r>
      <w:r w:rsidR="00EE110B">
        <w:rPr>
          <w:rFonts w:ascii="Times New Roman" w:hAnsi="Times New Roman"/>
          <w:sz w:val="24"/>
          <w:szCs w:val="24"/>
        </w:rPr>
        <w:t xml:space="preserve">  </w:t>
      </w:r>
      <w:r w:rsidR="0051332B">
        <w:rPr>
          <w:rFonts w:ascii="Times New Roman" w:hAnsi="Times New Roman"/>
          <w:sz w:val="24"/>
          <w:szCs w:val="24"/>
        </w:rPr>
        <w:t xml:space="preserve">Witness </w:t>
      </w:r>
      <w:proofErr w:type="spellStart"/>
      <w:r w:rsidR="0051332B">
        <w:rPr>
          <w:rFonts w:ascii="Times New Roman" w:hAnsi="Times New Roman"/>
          <w:sz w:val="24"/>
          <w:szCs w:val="24"/>
        </w:rPr>
        <w:t>Mikkelson</w:t>
      </w:r>
      <w:proofErr w:type="spellEnd"/>
      <w:r w:rsidR="0051332B">
        <w:rPr>
          <w:rFonts w:ascii="Times New Roman" w:hAnsi="Times New Roman"/>
          <w:sz w:val="24"/>
          <w:szCs w:val="24"/>
        </w:rPr>
        <w:t xml:space="preserve"> objects to implementing these recommendations inasmuch </w:t>
      </w:r>
      <w:r w:rsidR="00681C0B">
        <w:rPr>
          <w:rFonts w:ascii="Times New Roman" w:hAnsi="Times New Roman"/>
          <w:sz w:val="24"/>
          <w:szCs w:val="24"/>
        </w:rPr>
        <w:t xml:space="preserve">as she claims implementation would run counter to FirstEnergy’s approved Stipulation in its ESP.  </w:t>
      </w:r>
    </w:p>
    <w:p w:rsidR="00127D5C" w:rsidRDefault="00113B7D" w:rsidP="00684D4E">
      <w:pPr>
        <w:spacing w:line="480" w:lineRule="auto"/>
        <w:ind w:firstLine="720"/>
        <w:jc w:val="both"/>
        <w:rPr>
          <w:rFonts w:ascii="Times New Roman" w:hAnsi="Times New Roman"/>
          <w:sz w:val="24"/>
          <w:szCs w:val="24"/>
        </w:rPr>
      </w:pPr>
      <w:r>
        <w:rPr>
          <w:rFonts w:ascii="Times New Roman" w:hAnsi="Times New Roman"/>
          <w:sz w:val="24"/>
          <w:szCs w:val="24"/>
        </w:rPr>
        <w:t>The Commission</w:t>
      </w:r>
      <w:r w:rsidR="00B96B1E">
        <w:rPr>
          <w:rFonts w:ascii="Times New Roman" w:hAnsi="Times New Roman"/>
          <w:sz w:val="24"/>
          <w:szCs w:val="24"/>
        </w:rPr>
        <w:t xml:space="preserve"> should</w:t>
      </w:r>
      <w:r w:rsidR="003A1015">
        <w:rPr>
          <w:rFonts w:ascii="Times New Roman" w:hAnsi="Times New Roman"/>
          <w:sz w:val="24"/>
          <w:szCs w:val="24"/>
        </w:rPr>
        <w:t xml:space="preserve"> </w:t>
      </w:r>
      <w:r>
        <w:rPr>
          <w:rFonts w:ascii="Times New Roman" w:hAnsi="Times New Roman"/>
          <w:sz w:val="24"/>
          <w:szCs w:val="24"/>
        </w:rPr>
        <w:t>requir</w:t>
      </w:r>
      <w:r w:rsidR="00B96B1E">
        <w:rPr>
          <w:rFonts w:ascii="Times New Roman" w:hAnsi="Times New Roman"/>
          <w:sz w:val="24"/>
          <w:szCs w:val="24"/>
        </w:rPr>
        <w:t>e</w:t>
      </w:r>
      <w:r>
        <w:rPr>
          <w:rFonts w:ascii="Times New Roman" w:hAnsi="Times New Roman"/>
          <w:sz w:val="24"/>
          <w:szCs w:val="24"/>
        </w:rPr>
        <w:t xml:space="preserve"> FirstEnergy to </w:t>
      </w:r>
      <w:r w:rsidR="00A763BE">
        <w:rPr>
          <w:rFonts w:ascii="Times New Roman" w:hAnsi="Times New Roman"/>
          <w:sz w:val="24"/>
          <w:szCs w:val="24"/>
        </w:rPr>
        <w:t>implement recommendations 2, 3, 4</w:t>
      </w:r>
      <w:r w:rsidR="00B96B1E">
        <w:rPr>
          <w:rFonts w:ascii="Times New Roman" w:hAnsi="Times New Roman"/>
          <w:sz w:val="24"/>
          <w:szCs w:val="24"/>
        </w:rPr>
        <w:t xml:space="preserve">, and 7.  </w:t>
      </w:r>
      <w:r w:rsidR="003A1015">
        <w:rPr>
          <w:rFonts w:ascii="Times New Roman" w:hAnsi="Times New Roman"/>
          <w:sz w:val="24"/>
          <w:szCs w:val="24"/>
        </w:rPr>
        <w:t>Simply put, a</w:t>
      </w:r>
      <w:r w:rsidR="00B96B1E">
        <w:rPr>
          <w:rFonts w:ascii="Times New Roman" w:hAnsi="Times New Roman"/>
          <w:sz w:val="24"/>
          <w:szCs w:val="24"/>
        </w:rPr>
        <w:t xml:space="preserve">s </w:t>
      </w:r>
      <w:r w:rsidR="00AF4D36">
        <w:rPr>
          <w:rFonts w:ascii="Times New Roman" w:hAnsi="Times New Roman"/>
          <w:sz w:val="24"/>
          <w:szCs w:val="24"/>
        </w:rPr>
        <w:t>shown</w:t>
      </w:r>
      <w:r w:rsidR="00B96B1E">
        <w:rPr>
          <w:rFonts w:ascii="Times New Roman" w:hAnsi="Times New Roman"/>
          <w:sz w:val="24"/>
          <w:szCs w:val="24"/>
        </w:rPr>
        <w:t xml:space="preserve"> above, the amounts recovered through the AER are</w:t>
      </w:r>
      <w:r w:rsidR="00F26DD6">
        <w:rPr>
          <w:rFonts w:ascii="Times New Roman" w:hAnsi="Times New Roman"/>
          <w:sz w:val="24"/>
          <w:szCs w:val="24"/>
        </w:rPr>
        <w:t xml:space="preserve"> explicitly </w:t>
      </w:r>
      <w:r w:rsidR="000C50D6">
        <w:rPr>
          <w:rFonts w:ascii="Times New Roman" w:hAnsi="Times New Roman"/>
          <w:sz w:val="24"/>
          <w:szCs w:val="24"/>
        </w:rPr>
        <w:t>subject to the outcome of this proceeding</w:t>
      </w:r>
      <w:r w:rsidR="003A1015">
        <w:rPr>
          <w:rFonts w:ascii="Times New Roman" w:hAnsi="Times New Roman"/>
          <w:sz w:val="24"/>
          <w:szCs w:val="24"/>
        </w:rPr>
        <w:t xml:space="preserve"> and the financial auditor’s report is part of the “outcome” of this proceeding</w:t>
      </w:r>
      <w:r w:rsidR="000C50D6">
        <w:rPr>
          <w:rFonts w:ascii="Times New Roman" w:hAnsi="Times New Roman"/>
          <w:sz w:val="24"/>
          <w:szCs w:val="24"/>
        </w:rPr>
        <w:t>.</w:t>
      </w:r>
      <w:r w:rsidR="000C50D6">
        <w:rPr>
          <w:rStyle w:val="FootnoteReference"/>
          <w:rFonts w:ascii="Times New Roman" w:hAnsi="Times New Roman"/>
          <w:sz w:val="24"/>
          <w:szCs w:val="24"/>
        </w:rPr>
        <w:footnoteReference w:id="14"/>
      </w:r>
      <w:r w:rsidR="000C50D6">
        <w:rPr>
          <w:rFonts w:ascii="Times New Roman" w:hAnsi="Times New Roman"/>
          <w:sz w:val="24"/>
          <w:szCs w:val="24"/>
        </w:rPr>
        <w:t xml:space="preserve">  </w:t>
      </w:r>
      <w:r w:rsidR="00AF4D36">
        <w:rPr>
          <w:rFonts w:ascii="Times New Roman" w:hAnsi="Times New Roman"/>
          <w:sz w:val="24"/>
          <w:szCs w:val="24"/>
        </w:rPr>
        <w:t xml:space="preserve">Therefore, mandating that FirstEnergy implement the auditor’s recommendations </w:t>
      </w:r>
      <w:r w:rsidR="00EE3B69">
        <w:rPr>
          <w:rFonts w:ascii="Times New Roman" w:hAnsi="Times New Roman"/>
          <w:sz w:val="24"/>
          <w:szCs w:val="24"/>
        </w:rPr>
        <w:t xml:space="preserve">is consistent with the Stipulation in FirstEnergy’s </w:t>
      </w:r>
      <w:r w:rsidR="003A1015">
        <w:rPr>
          <w:rFonts w:ascii="Times New Roman" w:hAnsi="Times New Roman"/>
          <w:sz w:val="24"/>
          <w:szCs w:val="24"/>
        </w:rPr>
        <w:t xml:space="preserve">ESP proceeding. </w:t>
      </w:r>
    </w:p>
    <w:p w:rsidR="00BE2396" w:rsidRPr="00A868E7" w:rsidRDefault="00127D5C" w:rsidP="00684D4E">
      <w:pPr>
        <w:spacing w:line="480" w:lineRule="auto"/>
        <w:ind w:firstLine="720"/>
        <w:jc w:val="center"/>
        <w:rPr>
          <w:rFonts w:ascii="Times New Roman" w:hAnsi="Times New Roman"/>
          <w:b/>
          <w:sz w:val="24"/>
          <w:szCs w:val="24"/>
          <w:u w:val="single"/>
        </w:rPr>
      </w:pPr>
      <w:r w:rsidRPr="00A868E7">
        <w:rPr>
          <w:rFonts w:ascii="Times New Roman" w:hAnsi="Times New Roman"/>
          <w:b/>
          <w:sz w:val="24"/>
          <w:szCs w:val="24"/>
          <w:u w:val="single"/>
        </w:rPr>
        <w:t>CONCLUSION</w:t>
      </w:r>
    </w:p>
    <w:p w:rsidR="00A868E7" w:rsidRDefault="00A868E7" w:rsidP="00684D4E">
      <w:pPr>
        <w:spacing w:line="480" w:lineRule="auto"/>
        <w:jc w:val="both"/>
        <w:rPr>
          <w:rFonts w:ascii="Times New Roman" w:hAnsi="Times New Roman"/>
          <w:sz w:val="24"/>
          <w:szCs w:val="24"/>
        </w:rPr>
      </w:pPr>
      <w:r>
        <w:rPr>
          <w:rFonts w:ascii="Times New Roman" w:hAnsi="Times New Roman"/>
          <w:sz w:val="24"/>
          <w:szCs w:val="24"/>
        </w:rPr>
        <w:tab/>
        <w:t xml:space="preserve">For the reasons contained within, </w:t>
      </w:r>
      <w:r w:rsidRPr="00A868E7">
        <w:rPr>
          <w:rFonts w:ascii="Times New Roman" w:hAnsi="Times New Roman"/>
          <w:sz w:val="24"/>
          <w:szCs w:val="24"/>
        </w:rPr>
        <w:t>Direct Energy</w:t>
      </w:r>
      <w:r>
        <w:rPr>
          <w:rFonts w:ascii="Times New Roman" w:hAnsi="Times New Roman"/>
          <w:sz w:val="24"/>
          <w:szCs w:val="24"/>
        </w:rPr>
        <w:t xml:space="preserve"> respectfully requests the Commission grant its Application for Rehearing to avoid unlawful and unreasonable fluctuations in the price to compare and require FirstEnergy to adopt the financial auditor’s recommendations.</w:t>
      </w:r>
    </w:p>
    <w:p w:rsidR="00140CBD" w:rsidRDefault="00A868E7" w:rsidP="00A868E7">
      <w:pPr>
        <w:tabs>
          <w:tab w:val="left" w:pos="2108"/>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868E7" w:rsidRPr="001A38FB" w:rsidRDefault="00A00DE8" w:rsidP="00A00DE8">
      <w:pPr>
        <w:spacing w:after="200" w:line="276" w:lineRule="auto"/>
        <w:rPr>
          <w:rFonts w:ascii="Times New Roman" w:hAnsi="Times New Roman"/>
          <w:sz w:val="24"/>
          <w:szCs w:val="24"/>
        </w:rPr>
      </w:pPr>
      <w:r>
        <w:rPr>
          <w:rFonts w:ascii="Times New Roman" w:hAnsi="Times New Roman"/>
          <w:sz w:val="24"/>
          <w:szCs w:val="24"/>
        </w:rPr>
        <w:lastRenderedPageBreak/>
        <w:tab/>
      </w:r>
      <w:r w:rsidR="00140CBD">
        <w:rPr>
          <w:rFonts w:ascii="Times New Roman" w:hAnsi="Times New Roman"/>
          <w:sz w:val="24"/>
          <w:szCs w:val="24"/>
        </w:rPr>
        <w:tab/>
      </w:r>
      <w:r w:rsidR="00140CBD">
        <w:rPr>
          <w:rFonts w:ascii="Times New Roman" w:hAnsi="Times New Roman"/>
          <w:sz w:val="24"/>
          <w:szCs w:val="24"/>
        </w:rPr>
        <w:tab/>
      </w:r>
      <w:r w:rsidR="00140CBD">
        <w:rPr>
          <w:rFonts w:ascii="Times New Roman" w:hAnsi="Times New Roman"/>
          <w:sz w:val="24"/>
          <w:szCs w:val="24"/>
        </w:rPr>
        <w:tab/>
      </w:r>
      <w:r w:rsidR="00140CBD">
        <w:rPr>
          <w:rFonts w:ascii="Times New Roman" w:hAnsi="Times New Roman"/>
          <w:sz w:val="24"/>
          <w:szCs w:val="24"/>
        </w:rPr>
        <w:tab/>
      </w:r>
      <w:r w:rsidR="00140CBD">
        <w:rPr>
          <w:rFonts w:ascii="Times New Roman" w:hAnsi="Times New Roman"/>
          <w:sz w:val="24"/>
          <w:szCs w:val="24"/>
        </w:rPr>
        <w:tab/>
      </w:r>
      <w:r w:rsidR="00A868E7" w:rsidRPr="001A38FB">
        <w:rPr>
          <w:rFonts w:ascii="Times New Roman" w:hAnsi="Times New Roman"/>
          <w:sz w:val="24"/>
          <w:szCs w:val="24"/>
        </w:rPr>
        <w:t>Respectfully submitted,</w:t>
      </w:r>
    </w:p>
    <w:p w:rsidR="00A868E7" w:rsidRPr="001A38FB" w:rsidRDefault="0098150D" w:rsidP="00A868E7">
      <w:pPr>
        <w:ind w:left="4320"/>
        <w:rPr>
          <w:rFonts w:ascii="Times New Roman" w:hAnsi="Times New Roman"/>
          <w:sz w:val="24"/>
          <w:szCs w:val="24"/>
        </w:rPr>
      </w:pPr>
      <w:r>
        <w:rPr>
          <w:rFonts w:ascii="Times New Roman" w:hAnsi="Times New Roman"/>
          <w:sz w:val="24"/>
          <w:szCs w:val="24"/>
          <w:u w:val="single"/>
        </w:rPr>
        <w:t>/s/ Joseph M. Clark</w:t>
      </w:r>
      <w:r w:rsidR="00A868E7" w:rsidRPr="001A38FB">
        <w:rPr>
          <w:rFonts w:ascii="Times New Roman" w:hAnsi="Times New Roman"/>
          <w:sz w:val="24"/>
          <w:szCs w:val="24"/>
          <w:u w:val="single"/>
        </w:rPr>
        <w:tab/>
      </w:r>
      <w:r w:rsidR="00A868E7" w:rsidRPr="001A38FB">
        <w:rPr>
          <w:rFonts w:ascii="Times New Roman" w:hAnsi="Times New Roman"/>
          <w:sz w:val="24"/>
          <w:szCs w:val="24"/>
          <w:u w:val="single"/>
        </w:rPr>
        <w:tab/>
      </w:r>
      <w:r w:rsidR="00A868E7" w:rsidRPr="001A38FB">
        <w:rPr>
          <w:rFonts w:ascii="Times New Roman" w:hAnsi="Times New Roman"/>
          <w:sz w:val="24"/>
          <w:szCs w:val="24"/>
          <w:u w:val="single"/>
        </w:rPr>
        <w:tab/>
      </w:r>
      <w:r w:rsidR="00A868E7" w:rsidRPr="001A38FB">
        <w:rPr>
          <w:rFonts w:ascii="Times New Roman" w:hAnsi="Times New Roman"/>
          <w:sz w:val="24"/>
          <w:szCs w:val="24"/>
          <w:u w:val="single"/>
        </w:rPr>
        <w:tab/>
      </w:r>
    </w:p>
    <w:p w:rsidR="00A868E7" w:rsidRPr="001A38FB" w:rsidRDefault="00A868E7" w:rsidP="00A868E7">
      <w:pPr>
        <w:ind w:left="4320"/>
        <w:rPr>
          <w:rFonts w:ascii="Times New Roman" w:hAnsi="Times New Roman"/>
          <w:sz w:val="24"/>
          <w:szCs w:val="24"/>
        </w:rPr>
      </w:pPr>
      <w:r w:rsidRPr="001A38FB">
        <w:rPr>
          <w:rFonts w:ascii="Times New Roman" w:hAnsi="Times New Roman"/>
          <w:sz w:val="24"/>
          <w:szCs w:val="24"/>
        </w:rPr>
        <w:t>Joseph M. Clark</w:t>
      </w:r>
    </w:p>
    <w:p w:rsidR="00A868E7" w:rsidRPr="001A38FB" w:rsidRDefault="00A868E7" w:rsidP="00A868E7">
      <w:pPr>
        <w:ind w:left="4320"/>
        <w:rPr>
          <w:rFonts w:ascii="Times New Roman" w:hAnsi="Times New Roman"/>
          <w:sz w:val="24"/>
          <w:szCs w:val="24"/>
        </w:rPr>
      </w:pPr>
      <w:r w:rsidRPr="001A38FB">
        <w:rPr>
          <w:rFonts w:ascii="Times New Roman" w:hAnsi="Times New Roman"/>
          <w:sz w:val="24"/>
          <w:szCs w:val="24"/>
        </w:rPr>
        <w:t>Direct Energy</w:t>
      </w:r>
    </w:p>
    <w:p w:rsidR="00A868E7" w:rsidRPr="001A38FB" w:rsidRDefault="00A868E7" w:rsidP="00A868E7">
      <w:pPr>
        <w:ind w:left="4320"/>
        <w:rPr>
          <w:rFonts w:ascii="Times New Roman" w:hAnsi="Times New Roman"/>
          <w:sz w:val="24"/>
          <w:szCs w:val="24"/>
        </w:rPr>
      </w:pPr>
      <w:r w:rsidRPr="001A38FB">
        <w:rPr>
          <w:rFonts w:ascii="Times New Roman" w:hAnsi="Times New Roman"/>
          <w:sz w:val="24"/>
          <w:szCs w:val="24"/>
        </w:rPr>
        <w:t>21 East State Street, 19</w:t>
      </w:r>
      <w:r w:rsidRPr="001A38FB">
        <w:rPr>
          <w:rFonts w:ascii="Times New Roman" w:hAnsi="Times New Roman"/>
          <w:sz w:val="24"/>
          <w:szCs w:val="24"/>
          <w:vertAlign w:val="superscript"/>
        </w:rPr>
        <w:t>th</w:t>
      </w:r>
      <w:r w:rsidRPr="001A38FB">
        <w:rPr>
          <w:rFonts w:ascii="Times New Roman" w:hAnsi="Times New Roman"/>
          <w:sz w:val="24"/>
          <w:szCs w:val="24"/>
        </w:rPr>
        <w:t xml:space="preserve"> Floor</w:t>
      </w:r>
    </w:p>
    <w:p w:rsidR="00A868E7" w:rsidRPr="001A38FB" w:rsidRDefault="00A868E7" w:rsidP="00A868E7">
      <w:pPr>
        <w:ind w:left="4320"/>
        <w:rPr>
          <w:rFonts w:ascii="Times New Roman" w:hAnsi="Times New Roman"/>
          <w:sz w:val="24"/>
          <w:szCs w:val="24"/>
        </w:rPr>
      </w:pPr>
      <w:r w:rsidRPr="001A38FB">
        <w:rPr>
          <w:rFonts w:ascii="Times New Roman" w:hAnsi="Times New Roman"/>
          <w:sz w:val="24"/>
          <w:szCs w:val="24"/>
        </w:rPr>
        <w:t>Columbus, Ohio 43215</w:t>
      </w:r>
    </w:p>
    <w:p w:rsidR="00A868E7" w:rsidRPr="001A38FB" w:rsidRDefault="00A868E7" w:rsidP="00A868E7">
      <w:pPr>
        <w:ind w:left="4320"/>
        <w:rPr>
          <w:rFonts w:ascii="Times New Roman" w:hAnsi="Times New Roman"/>
          <w:sz w:val="24"/>
          <w:szCs w:val="24"/>
        </w:rPr>
      </w:pPr>
      <w:r w:rsidRPr="001A38FB">
        <w:rPr>
          <w:rFonts w:ascii="Times New Roman" w:hAnsi="Times New Roman"/>
          <w:sz w:val="24"/>
          <w:szCs w:val="24"/>
        </w:rPr>
        <w:t xml:space="preserve">(614) 220-4369 </w:t>
      </w:r>
      <w:proofErr w:type="spellStart"/>
      <w:r w:rsidRPr="001A38FB">
        <w:rPr>
          <w:rFonts w:ascii="Times New Roman" w:hAnsi="Times New Roman"/>
          <w:sz w:val="24"/>
          <w:szCs w:val="24"/>
        </w:rPr>
        <w:t>ext</w:t>
      </w:r>
      <w:proofErr w:type="spellEnd"/>
      <w:r w:rsidRPr="001A38FB">
        <w:rPr>
          <w:rFonts w:ascii="Times New Roman" w:hAnsi="Times New Roman"/>
          <w:sz w:val="24"/>
          <w:szCs w:val="24"/>
        </w:rPr>
        <w:t xml:space="preserve"> 232 (Office)</w:t>
      </w:r>
    </w:p>
    <w:p w:rsidR="00A868E7" w:rsidRPr="001A38FB" w:rsidRDefault="00A868E7" w:rsidP="00A868E7">
      <w:pPr>
        <w:ind w:left="4320"/>
        <w:rPr>
          <w:rFonts w:ascii="Times New Roman" w:hAnsi="Times New Roman"/>
          <w:sz w:val="24"/>
          <w:szCs w:val="24"/>
        </w:rPr>
      </w:pPr>
      <w:r w:rsidRPr="001A38FB">
        <w:rPr>
          <w:rFonts w:ascii="Times New Roman" w:hAnsi="Times New Roman"/>
          <w:sz w:val="24"/>
          <w:szCs w:val="24"/>
        </w:rPr>
        <w:t>(614) 220-4634 (Fax)</w:t>
      </w:r>
    </w:p>
    <w:p w:rsidR="00A868E7" w:rsidRPr="001A38FB" w:rsidRDefault="009269B9" w:rsidP="00A868E7">
      <w:pPr>
        <w:ind w:left="4320"/>
        <w:rPr>
          <w:rFonts w:ascii="Times New Roman" w:hAnsi="Times New Roman"/>
          <w:sz w:val="24"/>
          <w:szCs w:val="24"/>
        </w:rPr>
      </w:pPr>
      <w:hyperlink r:id="rId10" w:history="1">
        <w:r w:rsidR="00A868E7" w:rsidRPr="001A38FB">
          <w:rPr>
            <w:rStyle w:val="Hyperlink"/>
            <w:rFonts w:ascii="Times New Roman" w:hAnsi="Times New Roman"/>
            <w:sz w:val="24"/>
            <w:szCs w:val="24"/>
          </w:rPr>
          <w:t>joseph.clark@directenergy.com</w:t>
        </w:r>
      </w:hyperlink>
      <w:r w:rsidR="00A868E7" w:rsidRPr="001A38FB">
        <w:rPr>
          <w:rFonts w:ascii="Times New Roman" w:hAnsi="Times New Roman"/>
          <w:sz w:val="24"/>
          <w:szCs w:val="24"/>
        </w:rPr>
        <w:t xml:space="preserve"> </w:t>
      </w:r>
    </w:p>
    <w:p w:rsidR="00A868E7" w:rsidRPr="001A38FB" w:rsidRDefault="00A868E7" w:rsidP="00A868E7">
      <w:pPr>
        <w:ind w:left="4320"/>
        <w:rPr>
          <w:rFonts w:ascii="Times New Roman" w:hAnsi="Times New Roman"/>
          <w:sz w:val="24"/>
          <w:szCs w:val="24"/>
        </w:rPr>
      </w:pPr>
    </w:p>
    <w:p w:rsidR="00A868E7" w:rsidRPr="001A38FB" w:rsidRDefault="00A868E7" w:rsidP="00A868E7">
      <w:pPr>
        <w:ind w:left="4320" w:right="-360"/>
        <w:rPr>
          <w:rFonts w:ascii="Times New Roman" w:hAnsi="Times New Roman"/>
          <w:sz w:val="24"/>
          <w:szCs w:val="24"/>
        </w:rPr>
      </w:pPr>
      <w:r w:rsidRPr="001A38FB">
        <w:rPr>
          <w:rFonts w:ascii="Times New Roman" w:hAnsi="Times New Roman"/>
          <w:sz w:val="24"/>
          <w:szCs w:val="24"/>
        </w:rPr>
        <w:t>Attorney for Direct Energy Services, LLC and Direct Energy Business, LLC</w:t>
      </w:r>
    </w:p>
    <w:p w:rsidR="003B2496" w:rsidRDefault="003B2496">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C94935" w:rsidRPr="001A38FB" w:rsidRDefault="00C94935" w:rsidP="00C94935">
      <w:pPr>
        <w:pStyle w:val="BlockText"/>
        <w:ind w:left="0" w:right="-43"/>
        <w:jc w:val="center"/>
        <w:rPr>
          <w:rFonts w:ascii="Times New Roman" w:hAnsi="Times New Roman"/>
          <w:b/>
          <w:sz w:val="24"/>
          <w:szCs w:val="24"/>
          <w:u w:val="single"/>
        </w:rPr>
      </w:pPr>
      <w:r w:rsidRPr="001A38FB">
        <w:rPr>
          <w:rFonts w:ascii="Times New Roman" w:hAnsi="Times New Roman"/>
          <w:b/>
          <w:sz w:val="24"/>
          <w:szCs w:val="24"/>
          <w:u w:val="single"/>
        </w:rPr>
        <w:lastRenderedPageBreak/>
        <w:t>CERTIFICATE OF SERVICE</w:t>
      </w:r>
    </w:p>
    <w:p w:rsidR="00C94935" w:rsidRPr="001A38FB" w:rsidRDefault="00C94935" w:rsidP="00C94935">
      <w:pPr>
        <w:pStyle w:val="BlockText"/>
        <w:ind w:left="0" w:right="-43"/>
        <w:jc w:val="center"/>
        <w:rPr>
          <w:rFonts w:ascii="Times New Roman" w:hAnsi="Times New Roman"/>
          <w:b/>
          <w:sz w:val="24"/>
          <w:szCs w:val="24"/>
          <w:u w:val="single"/>
        </w:rPr>
      </w:pPr>
    </w:p>
    <w:p w:rsidR="00C94935" w:rsidRPr="001A38FB" w:rsidRDefault="00C94935" w:rsidP="00C94935">
      <w:pPr>
        <w:pStyle w:val="BlockText"/>
        <w:keepNext/>
        <w:tabs>
          <w:tab w:val="left" w:pos="1440"/>
        </w:tabs>
        <w:spacing w:line="480" w:lineRule="auto"/>
        <w:ind w:left="0" w:right="-43" w:firstLine="720"/>
        <w:jc w:val="both"/>
        <w:rPr>
          <w:rFonts w:ascii="Times New Roman" w:hAnsi="Times New Roman"/>
          <w:sz w:val="24"/>
          <w:szCs w:val="24"/>
        </w:rPr>
      </w:pPr>
      <w:r w:rsidRPr="001A38FB">
        <w:rPr>
          <w:rFonts w:ascii="Times New Roman" w:hAnsi="Times New Roman"/>
          <w:sz w:val="24"/>
          <w:szCs w:val="24"/>
        </w:rPr>
        <w:tab/>
        <w:t xml:space="preserve"> I certify that a copy of the foregoing Application for Rehearing was served this </w:t>
      </w:r>
      <w:r w:rsidR="00011A39">
        <w:rPr>
          <w:rFonts w:ascii="Times New Roman" w:hAnsi="Times New Roman"/>
          <w:sz w:val="24"/>
          <w:szCs w:val="24"/>
        </w:rPr>
        <w:t>6th</w:t>
      </w:r>
      <w:r w:rsidRPr="001A38FB">
        <w:rPr>
          <w:rFonts w:ascii="Times New Roman" w:hAnsi="Times New Roman"/>
          <w:sz w:val="24"/>
          <w:szCs w:val="24"/>
        </w:rPr>
        <w:t xml:space="preserve"> day of September, 2013, by electronic mail upon the persons on the service list below:</w:t>
      </w:r>
    </w:p>
    <w:p w:rsidR="00C94935" w:rsidRPr="001A38FB" w:rsidRDefault="00C94935" w:rsidP="00C94935">
      <w:pPr>
        <w:pStyle w:val="BlockText"/>
        <w:ind w:left="0" w:right="-43" w:firstLine="720"/>
        <w:rPr>
          <w:rFonts w:ascii="Times New Roman" w:hAnsi="Times New Roman"/>
          <w:sz w:val="24"/>
          <w:szCs w:val="24"/>
        </w:rPr>
      </w:pPr>
    </w:p>
    <w:p w:rsidR="00C94935" w:rsidRPr="0098150D" w:rsidRDefault="0098150D" w:rsidP="00C94935">
      <w:pPr>
        <w:pStyle w:val="BlockText"/>
        <w:keepNext/>
        <w:ind w:left="4410" w:right="0"/>
        <w:rPr>
          <w:rFonts w:ascii="Times New Roman" w:hAnsi="Times New Roman"/>
          <w:sz w:val="24"/>
          <w:szCs w:val="24"/>
          <w:u w:val="single"/>
        </w:rPr>
      </w:pPr>
      <w:r w:rsidRPr="0098150D">
        <w:rPr>
          <w:rFonts w:ascii="Times New Roman" w:hAnsi="Times New Roman"/>
          <w:sz w:val="24"/>
          <w:szCs w:val="24"/>
          <w:u w:val="single"/>
        </w:rPr>
        <w:t xml:space="preserve"> /s/ Joseph M. Clark</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94935" w:rsidRPr="001A38FB" w:rsidRDefault="00C94935" w:rsidP="00C94935">
      <w:pPr>
        <w:pStyle w:val="BlockText"/>
        <w:keepNext/>
        <w:ind w:left="4410" w:right="0"/>
        <w:rPr>
          <w:rFonts w:ascii="Times New Roman" w:hAnsi="Times New Roman"/>
          <w:sz w:val="24"/>
          <w:szCs w:val="24"/>
        </w:rPr>
      </w:pPr>
      <w:r w:rsidRPr="001A38FB">
        <w:rPr>
          <w:rFonts w:ascii="Times New Roman" w:hAnsi="Times New Roman"/>
          <w:sz w:val="24"/>
          <w:szCs w:val="24"/>
        </w:rPr>
        <w:t>Joseph M. Clark</w:t>
      </w:r>
    </w:p>
    <w:p w:rsidR="00C94935" w:rsidRPr="001A38FB" w:rsidRDefault="00C94935" w:rsidP="00C94935">
      <w:pPr>
        <w:pStyle w:val="vsLastFooter"/>
        <w:framePr w:w="4768" w:wrap="around"/>
        <w:rPr>
          <w:rFonts w:ascii="Times New Roman" w:hAnsi="Times New Roman"/>
          <w:sz w:val="24"/>
          <w:szCs w:val="24"/>
        </w:rPr>
      </w:pPr>
      <w:bookmarkStart w:id="1" w:name="vsLastFooter"/>
      <w:bookmarkEnd w:id="1"/>
    </w:p>
    <w:p w:rsidR="00C94935" w:rsidRPr="001A38FB" w:rsidRDefault="00C94935" w:rsidP="00C94935">
      <w:pPr>
        <w:pStyle w:val="BlockText"/>
        <w:ind w:left="0" w:right="-36"/>
        <w:rPr>
          <w:rFonts w:ascii="Times New Roman" w:hAnsi="Times New Roman"/>
          <w:sz w:val="24"/>
          <w:szCs w:val="24"/>
        </w:rPr>
      </w:pPr>
    </w:p>
    <w:p w:rsidR="00C34F88" w:rsidRDefault="00C34F88" w:rsidP="000A2E4F">
      <w:pPr>
        <w:autoSpaceDE w:val="0"/>
        <w:autoSpaceDN w:val="0"/>
        <w:adjustRightInd w:val="0"/>
        <w:rPr>
          <w:rFonts w:ascii="TimesNewRoman" w:eastAsiaTheme="minorHAnsi" w:hAnsi="TimesNewRoman" w:cs="TimesNewRoman"/>
          <w:sz w:val="23"/>
          <w:szCs w:val="23"/>
        </w:rPr>
        <w:sectPr w:rsidR="00C34F88" w:rsidSect="000342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lastRenderedPageBreak/>
        <w:t>James W. Burk</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Carrie M. Dunn</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FirstEnergy Service Company</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76 South Main Street</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Akron, Ohio 44308</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(330) 761-7735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(330) 761-7735</w:t>
      </w:r>
    </w:p>
    <w:p w:rsidR="00D86782" w:rsidRDefault="009269B9" w:rsidP="000A2E4F">
      <w:pPr>
        <w:autoSpaceDE w:val="0"/>
        <w:autoSpaceDN w:val="0"/>
        <w:adjustRightInd w:val="0"/>
        <w:rPr>
          <w:rFonts w:ascii="TimesNewRoman" w:eastAsiaTheme="minorHAnsi" w:hAnsi="TimesNewRoman" w:cs="TimesNewRoman"/>
          <w:sz w:val="23"/>
          <w:szCs w:val="23"/>
        </w:rPr>
      </w:pPr>
      <w:hyperlink r:id="rId17" w:history="1">
        <w:r w:rsidR="00D86782" w:rsidRPr="00C160A2">
          <w:rPr>
            <w:rStyle w:val="Hyperlink"/>
            <w:rFonts w:ascii="TimesNewRoman" w:eastAsiaTheme="minorHAnsi" w:hAnsi="TimesNewRoman" w:cs="TimesNewRoman"/>
            <w:sz w:val="23"/>
            <w:szCs w:val="23"/>
          </w:rPr>
          <w:t>burkj@firstenergycorp.com</w:t>
        </w:r>
      </w:hyperlink>
    </w:p>
    <w:p w:rsidR="00D86782" w:rsidRDefault="009269B9" w:rsidP="000A2E4F">
      <w:pPr>
        <w:autoSpaceDE w:val="0"/>
        <w:autoSpaceDN w:val="0"/>
        <w:adjustRightInd w:val="0"/>
        <w:rPr>
          <w:rFonts w:ascii="TimesNewRoman" w:eastAsiaTheme="minorHAnsi" w:hAnsi="TimesNewRoman" w:cs="TimesNewRoman"/>
          <w:sz w:val="23"/>
          <w:szCs w:val="23"/>
        </w:rPr>
      </w:pPr>
      <w:hyperlink r:id="rId18" w:history="1">
        <w:r w:rsidR="00D86782" w:rsidRPr="00C160A2">
          <w:rPr>
            <w:rStyle w:val="Hyperlink"/>
            <w:rFonts w:ascii="TimesNewRoman" w:eastAsiaTheme="minorHAnsi" w:hAnsi="TimesNewRoman" w:cs="TimesNewRoman"/>
            <w:sz w:val="23"/>
            <w:szCs w:val="23"/>
          </w:rPr>
          <w:t>cdunn@firstenergycorp.com</w:t>
        </w:r>
      </w:hyperlink>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David A. </w:t>
      </w:r>
      <w:proofErr w:type="spellStart"/>
      <w:r>
        <w:rPr>
          <w:rFonts w:ascii="TimesNewRoman" w:eastAsiaTheme="minorHAnsi" w:hAnsi="TimesNewRoman" w:cs="TimesNewRoman"/>
          <w:sz w:val="23"/>
          <w:szCs w:val="23"/>
        </w:rPr>
        <w:t>Kutik</w:t>
      </w:r>
      <w:proofErr w:type="spellEnd"/>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Lydia M. Floyd</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Jones Day</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North Point</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901 Lakeside Avenue</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Cleveland, Ohio 44114-1190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(216) 586-3939</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(216) 579-0212</w:t>
      </w:r>
    </w:p>
    <w:p w:rsidR="00D86782" w:rsidRDefault="009269B9" w:rsidP="000A2E4F">
      <w:pPr>
        <w:autoSpaceDE w:val="0"/>
        <w:autoSpaceDN w:val="0"/>
        <w:adjustRightInd w:val="0"/>
        <w:rPr>
          <w:rFonts w:ascii="TimesNewRoman" w:eastAsiaTheme="minorHAnsi" w:hAnsi="TimesNewRoman" w:cs="TimesNewRoman"/>
          <w:sz w:val="23"/>
          <w:szCs w:val="23"/>
        </w:rPr>
      </w:pPr>
      <w:hyperlink r:id="rId19" w:history="1">
        <w:r w:rsidR="00D86782" w:rsidRPr="00C160A2">
          <w:rPr>
            <w:rStyle w:val="Hyperlink"/>
            <w:rFonts w:ascii="TimesNewRoman" w:eastAsiaTheme="minorHAnsi" w:hAnsi="TimesNewRoman" w:cs="TimesNewRoman"/>
            <w:sz w:val="23"/>
            <w:szCs w:val="23"/>
          </w:rPr>
          <w:t>dakutik@jonesday.com</w:t>
        </w:r>
      </w:hyperlink>
    </w:p>
    <w:p w:rsidR="00D86782" w:rsidRDefault="00124A51" w:rsidP="000A2E4F">
      <w:pPr>
        <w:autoSpaceDE w:val="0"/>
        <w:autoSpaceDN w:val="0"/>
        <w:adjustRightInd w:val="0"/>
        <w:rPr>
          <w:rFonts w:ascii="TimesNewRoman" w:eastAsiaTheme="minorHAnsi" w:hAnsi="TimesNewRoman" w:cs="TimesNewRoman"/>
          <w:sz w:val="23"/>
          <w:szCs w:val="23"/>
        </w:rPr>
      </w:pPr>
      <w:hyperlink r:id="rId20" w:history="1">
        <w:r w:rsidRPr="005D3528">
          <w:rPr>
            <w:rStyle w:val="Hyperlink"/>
            <w:rFonts w:ascii="TimesNewRoman" w:eastAsiaTheme="minorHAnsi" w:hAnsi="TimesNewRoman" w:cs="TimesNewRoman"/>
            <w:sz w:val="23"/>
            <w:szCs w:val="23"/>
          </w:rPr>
          <w:t>lfloyd@jonesday.com</w:t>
        </w:r>
      </w:hyperlink>
      <w:r w:rsidR="00D86782">
        <w:rPr>
          <w:rFonts w:ascii="TimesNewRoman" w:eastAsiaTheme="minorHAnsi" w:hAnsi="TimesNewRoman" w:cs="TimesNewRoman"/>
          <w:sz w:val="23"/>
          <w:szCs w:val="23"/>
        </w:rPr>
        <w:t xml:space="preserve"> </w:t>
      </w:r>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440261" w:rsidP="00440261">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Attorneys for Ohio Edison</w:t>
      </w:r>
      <w:r w:rsidR="00673FAA">
        <w:rPr>
          <w:rFonts w:ascii="TimesNewRoman,Italic" w:eastAsiaTheme="minorHAnsi" w:hAnsi="TimesNewRoman,Italic" w:cs="TimesNewRoman,Italic"/>
          <w:i/>
          <w:iCs/>
          <w:sz w:val="23"/>
          <w:szCs w:val="23"/>
        </w:rPr>
        <w:t xml:space="preserve"> Company</w:t>
      </w:r>
      <w:r>
        <w:rPr>
          <w:rFonts w:ascii="TimesNewRoman,Italic" w:eastAsiaTheme="minorHAnsi" w:hAnsi="TimesNewRoman,Italic" w:cs="TimesNewRoman,Italic"/>
          <w:i/>
          <w:iCs/>
          <w:sz w:val="23"/>
          <w:szCs w:val="23"/>
        </w:rPr>
        <w:t xml:space="preserve">, </w:t>
      </w:r>
      <w:proofErr w:type="gramStart"/>
      <w:r w:rsidR="00673FAA">
        <w:rPr>
          <w:rFonts w:ascii="TimesNewRoman,Italic" w:eastAsiaTheme="minorHAnsi" w:hAnsi="TimesNewRoman,Italic" w:cs="TimesNewRoman,Italic"/>
          <w:i/>
          <w:iCs/>
          <w:sz w:val="23"/>
          <w:szCs w:val="23"/>
        </w:rPr>
        <w:t>The</w:t>
      </w:r>
      <w:proofErr w:type="gramEnd"/>
      <w:r w:rsidR="00673FAA">
        <w:rPr>
          <w:rFonts w:ascii="TimesNewRoman,Italic" w:eastAsiaTheme="minorHAnsi" w:hAnsi="TimesNewRoman,Italic" w:cs="TimesNewRoman,Italic"/>
          <w:i/>
          <w:iCs/>
          <w:sz w:val="23"/>
          <w:szCs w:val="23"/>
        </w:rPr>
        <w:t xml:space="preserve"> </w:t>
      </w:r>
      <w:r>
        <w:rPr>
          <w:rFonts w:ascii="TimesNewRoman,Italic" w:eastAsiaTheme="minorHAnsi" w:hAnsi="TimesNewRoman,Italic" w:cs="TimesNewRoman,Italic"/>
          <w:i/>
          <w:iCs/>
          <w:sz w:val="23"/>
          <w:szCs w:val="23"/>
        </w:rPr>
        <w:t>Cleveland Electric</w:t>
      </w:r>
    </w:p>
    <w:p w:rsidR="00440261" w:rsidRDefault="00440261" w:rsidP="00440261">
      <w:pPr>
        <w:autoSpaceDE w:val="0"/>
        <w:autoSpaceDN w:val="0"/>
        <w:adjustRightInd w:val="0"/>
        <w:rPr>
          <w:rFonts w:ascii="TimesNewRoman" w:eastAsiaTheme="minorHAnsi" w:hAnsi="TimesNewRoman" w:cs="TimesNewRoman"/>
          <w:sz w:val="23"/>
          <w:szCs w:val="23"/>
        </w:rPr>
      </w:pPr>
      <w:r>
        <w:rPr>
          <w:rFonts w:ascii="TimesNewRoman,Italic" w:eastAsiaTheme="minorHAnsi" w:hAnsi="TimesNewRoman,Italic" w:cs="TimesNewRoman,Italic"/>
          <w:i/>
          <w:iCs/>
          <w:sz w:val="23"/>
          <w:szCs w:val="23"/>
        </w:rPr>
        <w:t xml:space="preserve">Illuminating Company, and </w:t>
      </w:r>
      <w:proofErr w:type="gramStart"/>
      <w:r w:rsidR="00673FAA">
        <w:rPr>
          <w:rFonts w:ascii="TimesNewRoman,Italic" w:eastAsiaTheme="minorHAnsi" w:hAnsi="TimesNewRoman,Italic" w:cs="TimesNewRoman,Italic"/>
          <w:i/>
          <w:iCs/>
          <w:sz w:val="23"/>
          <w:szCs w:val="23"/>
        </w:rPr>
        <w:t>The</w:t>
      </w:r>
      <w:proofErr w:type="gramEnd"/>
      <w:r w:rsidR="00673FAA">
        <w:rPr>
          <w:rFonts w:ascii="TimesNewRoman,Italic" w:eastAsiaTheme="minorHAnsi" w:hAnsi="TimesNewRoman,Italic" w:cs="TimesNewRoman,Italic"/>
          <w:i/>
          <w:iCs/>
          <w:sz w:val="23"/>
          <w:szCs w:val="23"/>
        </w:rPr>
        <w:t xml:space="preserve"> </w:t>
      </w:r>
      <w:r>
        <w:rPr>
          <w:rFonts w:ascii="TimesNewRoman,Italic" w:eastAsiaTheme="minorHAnsi" w:hAnsi="TimesNewRoman,Italic" w:cs="TimesNewRoman,Italic"/>
          <w:i/>
          <w:iCs/>
          <w:sz w:val="23"/>
          <w:szCs w:val="23"/>
        </w:rPr>
        <w:t>Toledo Edison</w:t>
      </w:r>
      <w:r w:rsidR="00673FAA">
        <w:rPr>
          <w:rFonts w:ascii="TimesNewRoman,Italic" w:eastAsiaTheme="minorHAnsi" w:hAnsi="TimesNewRoman,Italic" w:cs="TimesNewRoman,Italic"/>
          <w:i/>
          <w:iCs/>
          <w:sz w:val="23"/>
          <w:szCs w:val="23"/>
        </w:rPr>
        <w:t xml:space="preserve"> Company</w:t>
      </w:r>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Terrence O’Donnell</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Dickenson Wright PLLC</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150 East Gay Street, Suite 2400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(614) 744-2583</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(614) 433-7274</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21" w:history="1">
        <w:r w:rsidR="00D86782" w:rsidRPr="00C160A2">
          <w:rPr>
            <w:rStyle w:val="Hyperlink"/>
            <w:rFonts w:ascii="TimesNewRoman" w:eastAsiaTheme="minorHAnsi" w:hAnsi="TimesNewRoman" w:cs="TimesNewRoman"/>
            <w:sz w:val="23"/>
            <w:szCs w:val="23"/>
          </w:rPr>
          <w:t>todonnell@dickinsonwright.com</w:t>
        </w:r>
      </w:hyperlink>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Pr="00D86782" w:rsidRDefault="00D86782" w:rsidP="000A2E4F">
      <w:pPr>
        <w:autoSpaceDE w:val="0"/>
        <w:autoSpaceDN w:val="0"/>
        <w:adjustRightInd w:val="0"/>
        <w:rPr>
          <w:rFonts w:ascii="TimesNewRoman" w:eastAsiaTheme="minorHAnsi" w:hAnsi="TimesNewRoman" w:cs="TimesNewRoman"/>
          <w:i/>
          <w:sz w:val="23"/>
          <w:szCs w:val="23"/>
        </w:rPr>
      </w:pPr>
      <w:r w:rsidRPr="00D86782">
        <w:rPr>
          <w:rFonts w:ascii="TimesNewRoman" w:eastAsiaTheme="minorHAnsi" w:hAnsi="TimesNewRoman" w:cs="TimesNewRoman"/>
          <w:i/>
          <w:sz w:val="23"/>
          <w:szCs w:val="23"/>
        </w:rPr>
        <w:t>Attorney for Mid-Atlantic Renewable Energy Coalition</w:t>
      </w:r>
    </w:p>
    <w:p w:rsidR="00D86782" w:rsidRDefault="00D86782"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lastRenderedPageBreak/>
        <w:t>Bruce J. Weston</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Melissa Yost</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Office of the Ohio Consumers’ Counsel</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10 West Broad Street, Suite 1800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43215-3485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(614) 466-9565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(614) 466-9475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22" w:history="1">
        <w:r w:rsidR="00D86782" w:rsidRPr="00C160A2">
          <w:rPr>
            <w:rStyle w:val="Hyperlink"/>
            <w:rFonts w:ascii="TimesNewRoman" w:eastAsiaTheme="minorHAnsi" w:hAnsi="TimesNewRoman" w:cs="TimesNewRoman"/>
            <w:sz w:val="23"/>
            <w:szCs w:val="23"/>
          </w:rPr>
          <w:t>yost@occ.state.oh.us</w:t>
        </w:r>
      </w:hyperlink>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Attorneys for Office of the Ohio Consumers’</w:t>
      </w: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Counsel</w:t>
      </w:r>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William Wright</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Chief, Public Utilities Section</w:t>
      </w:r>
    </w:p>
    <w:p w:rsidR="00D86782" w:rsidRDefault="00D86782" w:rsidP="000A2E4F">
      <w:pPr>
        <w:autoSpaceDE w:val="0"/>
        <w:autoSpaceDN w:val="0"/>
        <w:adjustRightInd w:val="0"/>
        <w:rPr>
          <w:rFonts w:ascii="TimesNewRoman" w:eastAsiaTheme="minorHAnsi" w:hAnsi="TimesNewRoman" w:cs="TimesNewRoman"/>
          <w:sz w:val="23"/>
          <w:szCs w:val="23"/>
        </w:rPr>
      </w:pPr>
    </w:p>
    <w:p w:rsidR="00D86782" w:rsidRDefault="00D86782"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Thomas G. Lindgren</w:t>
      </w:r>
    </w:p>
    <w:p w:rsidR="00D86782" w:rsidRDefault="00D86782"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Ryan P. O’Rourke</w:t>
      </w:r>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Public Utilities Commission of Ohio</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180 East Broad Street, 6</w:t>
      </w:r>
      <w:r>
        <w:rPr>
          <w:rFonts w:ascii="TimesNewRoman" w:eastAsiaTheme="minorHAnsi" w:hAnsi="TimesNewRoman" w:cs="TimesNewRoman"/>
          <w:sz w:val="15"/>
          <w:szCs w:val="15"/>
        </w:rPr>
        <w:t xml:space="preserve">th </w:t>
      </w:r>
      <w:r>
        <w:rPr>
          <w:rFonts w:ascii="TimesNewRoman" w:eastAsiaTheme="minorHAnsi" w:hAnsi="TimesNewRoman" w:cs="TimesNewRoman"/>
          <w:sz w:val="23"/>
          <w:szCs w:val="23"/>
        </w:rPr>
        <w:t>Floor</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23" w:history="1">
        <w:r w:rsidR="00D86782" w:rsidRPr="00C160A2">
          <w:rPr>
            <w:rStyle w:val="Hyperlink"/>
            <w:rFonts w:ascii="TimesNewRoman" w:eastAsiaTheme="minorHAnsi" w:hAnsi="TimesNewRoman" w:cs="TimesNewRoman"/>
            <w:sz w:val="23"/>
            <w:szCs w:val="23"/>
          </w:rPr>
          <w:t>William.wright@puc.state.oh.us</w:t>
        </w:r>
      </w:hyperlink>
    </w:p>
    <w:p w:rsidR="00D86782" w:rsidRDefault="009269B9" w:rsidP="000A2E4F">
      <w:pPr>
        <w:autoSpaceDE w:val="0"/>
        <w:autoSpaceDN w:val="0"/>
        <w:adjustRightInd w:val="0"/>
        <w:rPr>
          <w:rFonts w:ascii="TimesNewRoman" w:eastAsiaTheme="minorHAnsi" w:hAnsi="TimesNewRoman" w:cs="TimesNewRoman"/>
          <w:sz w:val="23"/>
          <w:szCs w:val="23"/>
        </w:rPr>
      </w:pPr>
      <w:hyperlink r:id="rId24" w:history="1">
        <w:r w:rsidR="00D86782" w:rsidRPr="00C160A2">
          <w:rPr>
            <w:rStyle w:val="Hyperlink"/>
            <w:rFonts w:ascii="TimesNewRoman" w:eastAsiaTheme="minorHAnsi" w:hAnsi="TimesNewRoman" w:cs="TimesNewRoman"/>
            <w:sz w:val="23"/>
            <w:szCs w:val="23"/>
          </w:rPr>
          <w:t>thomas.lindgren@puc.state.oh.us</w:t>
        </w:r>
      </w:hyperlink>
    </w:p>
    <w:p w:rsidR="00D86782" w:rsidRDefault="00D86782"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ryan.o’rourke@puc.state.oh.us</w:t>
      </w:r>
      <w:r w:rsidR="00124A51">
        <w:rPr>
          <w:rFonts w:ascii="TimesNewRoman" w:eastAsiaTheme="minorHAnsi" w:hAnsi="TimesNewRoman" w:cs="TimesNewRoman"/>
          <w:sz w:val="23"/>
          <w:szCs w:val="23"/>
        </w:rPr>
        <w:t xml:space="preserve"> </w:t>
      </w:r>
      <w:r>
        <w:rPr>
          <w:rFonts w:ascii="TimesNewRoman" w:eastAsiaTheme="minorHAnsi" w:hAnsi="TimesNewRoman" w:cs="TimesNewRoman"/>
          <w:sz w:val="23"/>
          <w:szCs w:val="23"/>
        </w:rPr>
        <w:t xml:space="preserve"> </w:t>
      </w:r>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Attorneys for the Staff of the Public Utilities</w:t>
      </w: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Commission of Ohio</w:t>
      </w:r>
    </w:p>
    <w:p w:rsidR="000A2E4F" w:rsidRDefault="000A2E4F"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lastRenderedPageBreak/>
        <w:t>David F. Boehm</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Michael L Kurtz</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Jody M. Kyler</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Boehm Kurtz &amp; Lowry</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36 East Seventh Street, Suite 1510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Cincinnati, OH 45202</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(513) 421-2255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(513) 421-2764</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25" w:history="1">
        <w:r w:rsidR="00D86782" w:rsidRPr="00C160A2">
          <w:rPr>
            <w:rStyle w:val="Hyperlink"/>
            <w:rFonts w:ascii="TimesNewRoman" w:eastAsiaTheme="minorHAnsi" w:hAnsi="TimesNewRoman" w:cs="TimesNewRoman"/>
            <w:sz w:val="23"/>
            <w:szCs w:val="23"/>
          </w:rPr>
          <w:t>dboehm@BKLlawfirm.com</w:t>
        </w:r>
      </w:hyperlink>
      <w:r w:rsidR="00D86782">
        <w:rPr>
          <w:rFonts w:ascii="TimesNewRoman" w:eastAsiaTheme="minorHAnsi" w:hAnsi="TimesNewRoman" w:cs="TimesNewRoman"/>
          <w:sz w:val="23"/>
          <w:szCs w:val="23"/>
        </w:rPr>
        <w:t xml:space="preserve"> </w:t>
      </w:r>
    </w:p>
    <w:p w:rsidR="000A2E4F" w:rsidRDefault="009269B9" w:rsidP="000A2E4F">
      <w:pPr>
        <w:autoSpaceDE w:val="0"/>
        <w:autoSpaceDN w:val="0"/>
        <w:adjustRightInd w:val="0"/>
        <w:rPr>
          <w:rFonts w:ascii="TimesNewRoman" w:eastAsiaTheme="minorHAnsi" w:hAnsi="TimesNewRoman" w:cs="TimesNewRoman"/>
          <w:sz w:val="23"/>
          <w:szCs w:val="23"/>
        </w:rPr>
      </w:pPr>
      <w:hyperlink r:id="rId26" w:history="1">
        <w:r w:rsidR="00D86782" w:rsidRPr="00C160A2">
          <w:rPr>
            <w:rStyle w:val="Hyperlink"/>
            <w:rFonts w:ascii="TimesNewRoman" w:eastAsiaTheme="minorHAnsi" w:hAnsi="TimesNewRoman" w:cs="TimesNewRoman"/>
            <w:sz w:val="23"/>
            <w:szCs w:val="23"/>
          </w:rPr>
          <w:t>mkurtz@BKLlawfirm.com</w:t>
        </w:r>
      </w:hyperlink>
      <w:r w:rsidR="00D86782">
        <w:rPr>
          <w:rFonts w:ascii="TimesNewRoman" w:eastAsiaTheme="minorHAnsi" w:hAnsi="TimesNewRoman" w:cs="TimesNewRoman"/>
          <w:sz w:val="23"/>
          <w:szCs w:val="23"/>
        </w:rPr>
        <w:t xml:space="preserve"> </w:t>
      </w:r>
    </w:p>
    <w:p w:rsidR="000A2E4F" w:rsidRDefault="009269B9" w:rsidP="000A2E4F">
      <w:pPr>
        <w:autoSpaceDE w:val="0"/>
        <w:autoSpaceDN w:val="0"/>
        <w:adjustRightInd w:val="0"/>
        <w:rPr>
          <w:rFonts w:ascii="TimesNewRoman" w:eastAsiaTheme="minorHAnsi" w:hAnsi="TimesNewRoman" w:cs="TimesNewRoman"/>
          <w:sz w:val="23"/>
          <w:szCs w:val="23"/>
        </w:rPr>
      </w:pPr>
      <w:hyperlink r:id="rId27" w:history="1">
        <w:r w:rsidR="00D86782" w:rsidRPr="00C160A2">
          <w:rPr>
            <w:rStyle w:val="Hyperlink"/>
            <w:rFonts w:ascii="TimesNewRoman" w:eastAsiaTheme="minorHAnsi" w:hAnsi="TimesNewRoman" w:cs="TimesNewRoman"/>
            <w:sz w:val="23"/>
            <w:szCs w:val="23"/>
          </w:rPr>
          <w:t>jkyler@BKLlawfirm.com</w:t>
        </w:r>
      </w:hyperlink>
      <w:r w:rsidR="00D86782">
        <w:rPr>
          <w:rFonts w:ascii="TimesNewRoman" w:eastAsiaTheme="minorHAnsi" w:hAnsi="TimesNewRoman" w:cs="TimesNewRoman"/>
          <w:sz w:val="23"/>
          <w:szCs w:val="23"/>
        </w:rPr>
        <w:t xml:space="preserve"> </w:t>
      </w:r>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 xml:space="preserve">Attorneys for </w:t>
      </w:r>
      <w:proofErr w:type="gramStart"/>
      <w:r>
        <w:rPr>
          <w:rFonts w:ascii="TimesNewRoman,Italic" w:eastAsiaTheme="minorHAnsi" w:hAnsi="TimesNewRoman,Italic" w:cs="TimesNewRoman,Italic"/>
          <w:i/>
          <w:iCs/>
          <w:sz w:val="23"/>
          <w:szCs w:val="23"/>
        </w:rPr>
        <w:t>The</w:t>
      </w:r>
      <w:proofErr w:type="gramEnd"/>
      <w:r>
        <w:rPr>
          <w:rFonts w:ascii="TimesNewRoman,Italic" w:eastAsiaTheme="minorHAnsi" w:hAnsi="TimesNewRoman,Italic" w:cs="TimesNewRoman,Italic"/>
          <w:i/>
          <w:iCs/>
          <w:sz w:val="23"/>
          <w:szCs w:val="23"/>
        </w:rPr>
        <w:t xml:space="preserve"> Ohio Energy Group</w:t>
      </w:r>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Christopher J. </w:t>
      </w:r>
      <w:proofErr w:type="spellStart"/>
      <w:r>
        <w:rPr>
          <w:rFonts w:ascii="TimesNewRoman" w:eastAsiaTheme="minorHAnsi" w:hAnsi="TimesNewRoman" w:cs="TimesNewRoman"/>
          <w:sz w:val="23"/>
          <w:szCs w:val="23"/>
        </w:rPr>
        <w:t>Allwein</w:t>
      </w:r>
      <w:proofErr w:type="spellEnd"/>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Williams, </w:t>
      </w:r>
      <w:proofErr w:type="spellStart"/>
      <w:r>
        <w:rPr>
          <w:rFonts w:ascii="TimesNewRoman" w:eastAsiaTheme="minorHAnsi" w:hAnsi="TimesNewRoman" w:cs="TimesNewRoman"/>
          <w:sz w:val="23"/>
          <w:szCs w:val="23"/>
        </w:rPr>
        <w:t>Allwein</w:t>
      </w:r>
      <w:proofErr w:type="spellEnd"/>
      <w:r>
        <w:rPr>
          <w:rFonts w:ascii="TimesNewRoman" w:eastAsiaTheme="minorHAnsi" w:hAnsi="TimesNewRoman" w:cs="TimesNewRoman"/>
          <w:sz w:val="23"/>
          <w:szCs w:val="23"/>
        </w:rPr>
        <w:t xml:space="preserve"> &amp; Moser, LLC</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1373 Grandview Ave., Suite 212</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43212</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(614) 429-3092</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(614) 670-8896</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28" w:history="1">
        <w:r w:rsidR="00D86782" w:rsidRPr="00C160A2">
          <w:rPr>
            <w:rStyle w:val="Hyperlink"/>
            <w:rFonts w:ascii="TimesNewRoman" w:eastAsiaTheme="minorHAnsi" w:hAnsi="TimesNewRoman" w:cs="TimesNewRoman"/>
            <w:sz w:val="23"/>
            <w:szCs w:val="23"/>
          </w:rPr>
          <w:t>callwein@wamenergylaw.com</w:t>
        </w:r>
      </w:hyperlink>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 for the Sierra Club</w:t>
      </w:r>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Michael K. </w:t>
      </w:r>
      <w:proofErr w:type="spellStart"/>
      <w:r>
        <w:rPr>
          <w:rFonts w:ascii="TimesNewRoman" w:eastAsiaTheme="minorHAnsi" w:hAnsi="TimesNewRoman" w:cs="TimesNewRoman"/>
          <w:sz w:val="23"/>
          <w:szCs w:val="23"/>
        </w:rPr>
        <w:t>Lavanga</w:t>
      </w:r>
      <w:proofErr w:type="spellEnd"/>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Brickfield, </w:t>
      </w:r>
      <w:proofErr w:type="spellStart"/>
      <w:r>
        <w:rPr>
          <w:rFonts w:ascii="TimesNewRoman" w:eastAsiaTheme="minorHAnsi" w:hAnsi="TimesNewRoman" w:cs="TimesNewRoman"/>
          <w:sz w:val="23"/>
          <w:szCs w:val="23"/>
        </w:rPr>
        <w:t>Burchette</w:t>
      </w:r>
      <w:proofErr w:type="spellEnd"/>
      <w:r>
        <w:rPr>
          <w:rFonts w:ascii="TimesNewRoman" w:eastAsiaTheme="minorHAnsi" w:hAnsi="TimesNewRoman" w:cs="TimesNewRoman"/>
          <w:sz w:val="23"/>
          <w:szCs w:val="23"/>
        </w:rPr>
        <w:t xml:space="preserve">, </w:t>
      </w:r>
      <w:proofErr w:type="spellStart"/>
      <w:r>
        <w:rPr>
          <w:rFonts w:ascii="TimesNewRoman" w:eastAsiaTheme="minorHAnsi" w:hAnsi="TimesNewRoman" w:cs="TimesNewRoman"/>
          <w:sz w:val="23"/>
          <w:szCs w:val="23"/>
        </w:rPr>
        <w:t>Ritts</w:t>
      </w:r>
      <w:proofErr w:type="spellEnd"/>
      <w:r>
        <w:rPr>
          <w:rFonts w:ascii="TimesNewRoman" w:eastAsiaTheme="minorHAnsi" w:hAnsi="TimesNewRoman" w:cs="TimesNewRoman"/>
          <w:sz w:val="23"/>
          <w:szCs w:val="23"/>
        </w:rPr>
        <w:t xml:space="preserve"> &amp; Stone PC</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1025 Thomas Jefferson Street NW</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8</w:t>
      </w:r>
      <w:r>
        <w:rPr>
          <w:rFonts w:ascii="TimesNewRoman" w:eastAsiaTheme="minorHAnsi" w:hAnsi="TimesNewRoman" w:cs="TimesNewRoman"/>
          <w:sz w:val="15"/>
          <w:szCs w:val="15"/>
        </w:rPr>
        <w:t xml:space="preserve">th </w:t>
      </w:r>
      <w:r>
        <w:rPr>
          <w:rFonts w:ascii="TimesNewRoman" w:eastAsiaTheme="minorHAnsi" w:hAnsi="TimesNewRoman" w:cs="TimesNewRoman"/>
          <w:sz w:val="23"/>
          <w:szCs w:val="23"/>
        </w:rPr>
        <w:t>Floor West Tower</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Washington, DC 20007</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(202) 342-0800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(202) 342-0807</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29" w:history="1">
        <w:r w:rsidR="00D86782" w:rsidRPr="00C160A2">
          <w:rPr>
            <w:rStyle w:val="Hyperlink"/>
            <w:rFonts w:ascii="TimesNewRoman" w:eastAsiaTheme="minorHAnsi" w:hAnsi="TimesNewRoman" w:cs="TimesNewRoman"/>
            <w:sz w:val="23"/>
            <w:szCs w:val="23"/>
          </w:rPr>
          <w:t>mkl@bbrslaw.com</w:t>
        </w:r>
      </w:hyperlink>
    </w:p>
    <w:p w:rsidR="00D86782" w:rsidRDefault="00D86782" w:rsidP="000A2E4F">
      <w:pPr>
        <w:autoSpaceDE w:val="0"/>
        <w:autoSpaceDN w:val="0"/>
        <w:adjustRightInd w:val="0"/>
        <w:rPr>
          <w:rFonts w:ascii="TimesNewRoman" w:eastAsiaTheme="minorHAnsi" w:hAnsi="TimesNewRoman" w:cs="TimesNewRoman"/>
          <w:sz w:val="23"/>
          <w:szCs w:val="23"/>
        </w:rPr>
      </w:pPr>
    </w:p>
    <w:p w:rsidR="00C94935" w:rsidRDefault="000A2E4F" w:rsidP="000A2E4F">
      <w:pPr>
        <w:pStyle w:val="BlockText"/>
        <w:ind w:left="0" w:right="-36"/>
        <w:rPr>
          <w:rFonts w:ascii="TimesNewRoman,Italic" w:eastAsiaTheme="minorHAnsi" w:hAnsi="TimesNewRoman,Italic" w:cs="TimesNewRoman,Italic"/>
          <w:iCs/>
          <w:sz w:val="23"/>
          <w:szCs w:val="23"/>
        </w:rPr>
      </w:pPr>
      <w:r>
        <w:rPr>
          <w:rFonts w:ascii="TimesNewRoman,Italic" w:eastAsiaTheme="minorHAnsi" w:hAnsi="TimesNewRoman,Italic" w:cs="TimesNewRoman,Italic"/>
          <w:i/>
          <w:iCs/>
          <w:sz w:val="23"/>
          <w:szCs w:val="23"/>
        </w:rPr>
        <w:t xml:space="preserve">Attorney for Nucor Steel Marion, </w:t>
      </w:r>
      <w:proofErr w:type="spellStart"/>
      <w:r>
        <w:rPr>
          <w:rFonts w:ascii="TimesNewRoman,Italic" w:eastAsiaTheme="minorHAnsi" w:hAnsi="TimesNewRoman,Italic" w:cs="TimesNewRoman,Italic"/>
          <w:i/>
          <w:iCs/>
          <w:sz w:val="23"/>
          <w:szCs w:val="23"/>
        </w:rPr>
        <w:t>Inc</w:t>
      </w:r>
      <w:proofErr w:type="spellEnd"/>
    </w:p>
    <w:p w:rsidR="000A2E4F" w:rsidRDefault="000A2E4F" w:rsidP="000A2E4F">
      <w:pPr>
        <w:pStyle w:val="BlockText"/>
        <w:ind w:left="0" w:right="-36"/>
        <w:rPr>
          <w:rFonts w:ascii="TimesNewRoman,Italic" w:eastAsiaTheme="minorHAnsi" w:hAnsi="TimesNewRoman,Italic" w:cs="TimesNewRoman,Italic"/>
          <w:iCs/>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proofErr w:type="spellStart"/>
      <w:r>
        <w:rPr>
          <w:rFonts w:ascii="TimesNewRoman" w:eastAsiaTheme="minorHAnsi" w:hAnsi="TimesNewRoman" w:cs="TimesNewRoman"/>
          <w:sz w:val="23"/>
          <w:szCs w:val="23"/>
        </w:rPr>
        <w:t>Cathryn</w:t>
      </w:r>
      <w:proofErr w:type="spellEnd"/>
      <w:r>
        <w:rPr>
          <w:rFonts w:ascii="TimesNewRoman" w:eastAsiaTheme="minorHAnsi" w:hAnsi="TimesNewRoman" w:cs="TimesNewRoman"/>
          <w:sz w:val="23"/>
          <w:szCs w:val="23"/>
        </w:rPr>
        <w:t xml:space="preserve"> </w:t>
      </w:r>
      <w:proofErr w:type="spellStart"/>
      <w:r>
        <w:rPr>
          <w:rFonts w:ascii="TimesNewRoman" w:eastAsiaTheme="minorHAnsi" w:hAnsi="TimesNewRoman" w:cs="TimesNewRoman"/>
          <w:sz w:val="23"/>
          <w:szCs w:val="23"/>
        </w:rPr>
        <w:t>Loucas</w:t>
      </w:r>
      <w:proofErr w:type="spellEnd"/>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Trent A. Dougherty</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Ohio Environment Council</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1207 Grandview Avenue, Suite 201</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43212-3449</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(614) 487-7506</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(614) 487-7510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30" w:history="1">
        <w:r w:rsidR="00D86782" w:rsidRPr="00C160A2">
          <w:rPr>
            <w:rStyle w:val="Hyperlink"/>
            <w:rFonts w:ascii="TimesNewRoman" w:eastAsiaTheme="minorHAnsi" w:hAnsi="TimesNewRoman" w:cs="TimesNewRoman"/>
            <w:sz w:val="23"/>
            <w:szCs w:val="23"/>
          </w:rPr>
          <w:t>cathy@theoec.org</w:t>
        </w:r>
      </w:hyperlink>
    </w:p>
    <w:p w:rsidR="000A2E4F" w:rsidRDefault="009269B9" w:rsidP="000A2E4F">
      <w:pPr>
        <w:autoSpaceDE w:val="0"/>
        <w:autoSpaceDN w:val="0"/>
        <w:adjustRightInd w:val="0"/>
        <w:rPr>
          <w:rFonts w:ascii="TimesNewRoman" w:eastAsiaTheme="minorHAnsi" w:hAnsi="TimesNewRoman" w:cs="TimesNewRoman"/>
          <w:sz w:val="23"/>
          <w:szCs w:val="23"/>
        </w:rPr>
      </w:pPr>
      <w:hyperlink r:id="rId31" w:history="1">
        <w:r w:rsidR="00D86782" w:rsidRPr="00C160A2">
          <w:rPr>
            <w:rStyle w:val="Hyperlink"/>
            <w:rFonts w:ascii="TimesNewRoman" w:eastAsiaTheme="minorHAnsi" w:hAnsi="TimesNewRoman" w:cs="TimesNewRoman"/>
            <w:sz w:val="23"/>
            <w:szCs w:val="23"/>
          </w:rPr>
          <w:t>trent@theoec.org</w:t>
        </w:r>
      </w:hyperlink>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Attorneys for the OEC</w:t>
      </w:r>
    </w:p>
    <w:p w:rsidR="000A2E4F" w:rsidRDefault="000A2E4F"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C34F88" w:rsidRDefault="00C34F88"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lastRenderedPageBreak/>
        <w:t>Theodore S. Robinson</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Citizen Power</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2121 Murray Avenue</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Pittsburgh, PA 15217</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(412) 421-7029</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(412) 421-6162</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32" w:history="1">
        <w:r w:rsidRPr="00C160A2">
          <w:rPr>
            <w:rStyle w:val="Hyperlink"/>
            <w:rFonts w:ascii="TimesNewRoman" w:eastAsiaTheme="minorHAnsi" w:hAnsi="TimesNewRoman" w:cs="TimesNewRoman"/>
            <w:sz w:val="23"/>
            <w:szCs w:val="23"/>
          </w:rPr>
          <w:t>robinson@citizenpower.com</w:t>
        </w:r>
      </w:hyperlink>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 for Citizen Power</w:t>
      </w:r>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Matthew W. Warnock</w:t>
      </w:r>
    </w:p>
    <w:p w:rsidR="00D86782" w:rsidRDefault="00D86782"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Maria J. Armstrong</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BRICKER &amp; ECKLER LLP</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100 South Third Street</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43215-4291</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(614) 227-2300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Facsimile: (614) 227-2390</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E-mail: </w:t>
      </w:r>
      <w:hyperlink r:id="rId33" w:history="1">
        <w:r w:rsidR="00D86782" w:rsidRPr="00C160A2">
          <w:rPr>
            <w:rStyle w:val="Hyperlink"/>
            <w:rFonts w:ascii="TimesNewRoman" w:eastAsiaTheme="minorHAnsi" w:hAnsi="TimesNewRoman" w:cs="TimesNewRoman"/>
            <w:sz w:val="23"/>
            <w:szCs w:val="23"/>
          </w:rPr>
          <w:t>mwarnock@bricker.com</w:t>
        </w:r>
      </w:hyperlink>
    </w:p>
    <w:p w:rsidR="00D86782" w:rsidRDefault="009269B9" w:rsidP="000A2E4F">
      <w:pPr>
        <w:autoSpaceDE w:val="0"/>
        <w:autoSpaceDN w:val="0"/>
        <w:adjustRightInd w:val="0"/>
        <w:rPr>
          <w:rFonts w:ascii="TimesNewRoman" w:eastAsiaTheme="minorHAnsi" w:hAnsi="TimesNewRoman" w:cs="TimesNewRoman"/>
          <w:sz w:val="23"/>
          <w:szCs w:val="23"/>
        </w:rPr>
      </w:pPr>
      <w:hyperlink r:id="rId34" w:history="1">
        <w:r w:rsidR="00D86782" w:rsidRPr="00C160A2">
          <w:rPr>
            <w:rStyle w:val="Hyperlink"/>
            <w:rFonts w:ascii="TimesNewRoman" w:eastAsiaTheme="minorHAnsi" w:hAnsi="TimesNewRoman" w:cs="TimesNewRoman"/>
            <w:sz w:val="23"/>
            <w:szCs w:val="23"/>
          </w:rPr>
          <w:t>marmstrong@bricker.com</w:t>
        </w:r>
      </w:hyperlink>
      <w:r w:rsidR="00D86782">
        <w:rPr>
          <w:rFonts w:ascii="TimesNewRoman" w:eastAsiaTheme="minorHAnsi" w:hAnsi="TimesNewRoman" w:cs="TimesNewRoman"/>
          <w:sz w:val="23"/>
          <w:szCs w:val="23"/>
        </w:rPr>
        <w:t xml:space="preserve"> </w:t>
      </w:r>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 xml:space="preserve">Attorneys for </w:t>
      </w:r>
      <w:proofErr w:type="gramStart"/>
      <w:r>
        <w:rPr>
          <w:rFonts w:ascii="TimesNewRoman,Italic" w:eastAsiaTheme="minorHAnsi" w:hAnsi="TimesNewRoman,Italic" w:cs="TimesNewRoman,Italic"/>
          <w:i/>
          <w:iCs/>
          <w:sz w:val="23"/>
          <w:szCs w:val="23"/>
        </w:rPr>
        <w:t>The</w:t>
      </w:r>
      <w:proofErr w:type="gramEnd"/>
      <w:r>
        <w:rPr>
          <w:rFonts w:ascii="TimesNewRoman,Italic" w:eastAsiaTheme="minorHAnsi" w:hAnsi="TimesNewRoman,Italic" w:cs="TimesNewRoman,Italic"/>
          <w:i/>
          <w:iCs/>
          <w:sz w:val="23"/>
          <w:szCs w:val="23"/>
        </w:rPr>
        <w:t xml:space="preserve"> OMA Energy Group</w:t>
      </w:r>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M. Howard Petricoff</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 xml:space="preserve">Michael J. </w:t>
      </w:r>
      <w:proofErr w:type="spellStart"/>
      <w:r>
        <w:rPr>
          <w:rFonts w:ascii="TimesNewRoman" w:eastAsiaTheme="minorHAnsi" w:hAnsi="TimesNewRoman" w:cs="TimesNewRoman"/>
          <w:sz w:val="23"/>
          <w:szCs w:val="23"/>
        </w:rPr>
        <w:t>Settineri</w:t>
      </w:r>
      <w:proofErr w:type="spellEnd"/>
    </w:p>
    <w:p w:rsidR="000A2E4F" w:rsidRDefault="000A2E4F" w:rsidP="000A2E4F">
      <w:pPr>
        <w:autoSpaceDE w:val="0"/>
        <w:autoSpaceDN w:val="0"/>
        <w:adjustRightInd w:val="0"/>
        <w:rPr>
          <w:rFonts w:ascii="TimesNewRoman" w:eastAsiaTheme="minorHAnsi" w:hAnsi="TimesNewRoman" w:cs="TimesNewRoman"/>
          <w:sz w:val="23"/>
          <w:szCs w:val="23"/>
        </w:rPr>
      </w:pPr>
      <w:proofErr w:type="spellStart"/>
      <w:r>
        <w:rPr>
          <w:rFonts w:ascii="TimesNewRoman" w:eastAsiaTheme="minorHAnsi" w:hAnsi="TimesNewRoman" w:cs="TimesNewRoman"/>
          <w:sz w:val="23"/>
          <w:szCs w:val="23"/>
        </w:rPr>
        <w:t>Lija</w:t>
      </w:r>
      <w:proofErr w:type="spellEnd"/>
      <w:r>
        <w:rPr>
          <w:rFonts w:ascii="TimesNewRoman" w:eastAsiaTheme="minorHAnsi" w:hAnsi="TimesNewRoman" w:cs="TimesNewRoman"/>
          <w:sz w:val="23"/>
          <w:szCs w:val="23"/>
        </w:rPr>
        <w:t xml:space="preserve"> </w:t>
      </w:r>
      <w:proofErr w:type="spellStart"/>
      <w:r>
        <w:rPr>
          <w:rFonts w:ascii="TimesNewRoman" w:eastAsiaTheme="minorHAnsi" w:hAnsi="TimesNewRoman" w:cs="TimesNewRoman"/>
          <w:sz w:val="23"/>
          <w:szCs w:val="23"/>
        </w:rPr>
        <w:t>Caleps</w:t>
      </w:r>
      <w:proofErr w:type="spellEnd"/>
      <w:r>
        <w:rPr>
          <w:rFonts w:ascii="TimesNewRoman" w:eastAsiaTheme="minorHAnsi" w:hAnsi="TimesNewRoman" w:cs="TimesNewRoman"/>
          <w:sz w:val="23"/>
          <w:szCs w:val="23"/>
        </w:rPr>
        <w:t>-Clark</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VORYS, SATER, SEYMOUR AND PEASE LLP</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52 East Gay Street</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43215</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Telephone: (614) 464-5414</w:t>
      </w:r>
    </w:p>
    <w:p w:rsidR="000A2E4F" w:rsidRDefault="009269B9" w:rsidP="000A2E4F">
      <w:pPr>
        <w:autoSpaceDE w:val="0"/>
        <w:autoSpaceDN w:val="0"/>
        <w:adjustRightInd w:val="0"/>
        <w:rPr>
          <w:rFonts w:ascii="TimesNewRoman" w:eastAsiaTheme="minorHAnsi" w:hAnsi="TimesNewRoman" w:cs="TimesNewRoman"/>
          <w:sz w:val="23"/>
          <w:szCs w:val="23"/>
        </w:rPr>
      </w:pPr>
      <w:hyperlink r:id="rId35" w:history="1">
        <w:r w:rsidR="00D86782" w:rsidRPr="00C160A2">
          <w:rPr>
            <w:rStyle w:val="Hyperlink"/>
            <w:rFonts w:ascii="TimesNewRoman" w:eastAsiaTheme="minorHAnsi" w:hAnsi="TimesNewRoman" w:cs="TimesNewRoman"/>
            <w:sz w:val="23"/>
            <w:szCs w:val="23"/>
          </w:rPr>
          <w:t>mhpetricoff@vorys.com</w:t>
        </w:r>
      </w:hyperlink>
      <w:r w:rsidR="00D86782">
        <w:rPr>
          <w:rFonts w:ascii="TimesNewRoman" w:eastAsiaTheme="minorHAnsi" w:hAnsi="TimesNewRoman" w:cs="TimesNewRoman"/>
          <w:sz w:val="23"/>
          <w:szCs w:val="23"/>
        </w:rPr>
        <w:t xml:space="preserve"> </w:t>
      </w:r>
    </w:p>
    <w:p w:rsidR="000A2E4F" w:rsidRDefault="009269B9" w:rsidP="000A2E4F">
      <w:pPr>
        <w:autoSpaceDE w:val="0"/>
        <w:autoSpaceDN w:val="0"/>
        <w:adjustRightInd w:val="0"/>
        <w:rPr>
          <w:rFonts w:ascii="TimesNewRoman" w:eastAsiaTheme="minorHAnsi" w:hAnsi="TimesNewRoman" w:cs="TimesNewRoman"/>
          <w:sz w:val="23"/>
          <w:szCs w:val="23"/>
        </w:rPr>
      </w:pPr>
      <w:hyperlink r:id="rId36" w:history="1">
        <w:r w:rsidR="00D86782" w:rsidRPr="00C160A2">
          <w:rPr>
            <w:rStyle w:val="Hyperlink"/>
            <w:rFonts w:ascii="TimesNewRoman" w:eastAsiaTheme="minorHAnsi" w:hAnsi="TimesNewRoman" w:cs="TimesNewRoman"/>
            <w:sz w:val="23"/>
            <w:szCs w:val="23"/>
          </w:rPr>
          <w:t>mjsettineri@vorys.com</w:t>
        </w:r>
      </w:hyperlink>
      <w:r w:rsidR="00D86782">
        <w:rPr>
          <w:rFonts w:ascii="TimesNewRoman" w:eastAsiaTheme="minorHAnsi" w:hAnsi="TimesNewRoman" w:cs="TimesNewRoman"/>
          <w:sz w:val="23"/>
          <w:szCs w:val="23"/>
        </w:rPr>
        <w:t xml:space="preserve"> </w:t>
      </w:r>
    </w:p>
    <w:p w:rsidR="000A2E4F" w:rsidRDefault="009269B9" w:rsidP="000A2E4F">
      <w:pPr>
        <w:autoSpaceDE w:val="0"/>
        <w:autoSpaceDN w:val="0"/>
        <w:adjustRightInd w:val="0"/>
        <w:rPr>
          <w:rFonts w:ascii="TimesNewRoman" w:eastAsiaTheme="minorHAnsi" w:hAnsi="TimesNewRoman" w:cs="TimesNewRoman"/>
          <w:sz w:val="23"/>
          <w:szCs w:val="23"/>
        </w:rPr>
      </w:pPr>
      <w:hyperlink r:id="rId37" w:history="1">
        <w:r w:rsidR="00D86782" w:rsidRPr="00C160A2">
          <w:rPr>
            <w:rStyle w:val="Hyperlink"/>
            <w:rFonts w:ascii="TimesNewRoman" w:eastAsiaTheme="minorHAnsi" w:hAnsi="TimesNewRoman" w:cs="TimesNewRoman"/>
            <w:sz w:val="23"/>
            <w:szCs w:val="23"/>
          </w:rPr>
          <w:t>lkalepsclark@vorys.com</w:t>
        </w:r>
      </w:hyperlink>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proofErr w:type="gramStart"/>
      <w:r>
        <w:rPr>
          <w:rFonts w:ascii="TimesNewRoman,Italic" w:eastAsiaTheme="minorHAnsi" w:hAnsi="TimesNewRoman,Italic" w:cs="TimesNewRoman,Italic"/>
          <w:i/>
          <w:iCs/>
          <w:sz w:val="23"/>
          <w:szCs w:val="23"/>
        </w:rPr>
        <w:t>Attorneys for Interstate Gas Supply, Inc.</w:t>
      </w:r>
      <w:proofErr w:type="gramEnd"/>
    </w:p>
    <w:p w:rsidR="000A2E4F" w:rsidRDefault="000A2E4F"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Nicholas McDaniel</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ENVIRONMENTAL LAW &amp;</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POLICY CENTER</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1207 Grandview Ave., Suite 201</w:t>
      </w:r>
    </w:p>
    <w:p w:rsidR="000A2E4F" w:rsidRDefault="000A2E4F" w:rsidP="000A2E4F">
      <w:pPr>
        <w:autoSpaceDE w:val="0"/>
        <w:autoSpaceDN w:val="0"/>
        <w:adjustRightInd w:val="0"/>
        <w:rPr>
          <w:rFonts w:ascii="TimesNewRoman" w:eastAsiaTheme="minorHAnsi" w:hAnsi="TimesNewRoman" w:cs="TimesNewRoman"/>
          <w:sz w:val="23"/>
          <w:szCs w:val="23"/>
        </w:rPr>
      </w:pPr>
      <w:r>
        <w:rPr>
          <w:rFonts w:ascii="TimesNewRoman" w:eastAsiaTheme="minorHAnsi" w:hAnsi="TimesNewRoman" w:cs="TimesNewRoman"/>
          <w:sz w:val="23"/>
          <w:szCs w:val="23"/>
        </w:rPr>
        <w:t>Columbus, OH 43212</w:t>
      </w:r>
    </w:p>
    <w:p w:rsidR="000A2E4F" w:rsidRDefault="009269B9" w:rsidP="000A2E4F">
      <w:pPr>
        <w:autoSpaceDE w:val="0"/>
        <w:autoSpaceDN w:val="0"/>
        <w:adjustRightInd w:val="0"/>
        <w:rPr>
          <w:rFonts w:ascii="TimesNewRoman" w:eastAsiaTheme="minorHAnsi" w:hAnsi="TimesNewRoman" w:cs="TimesNewRoman"/>
          <w:sz w:val="23"/>
          <w:szCs w:val="23"/>
        </w:rPr>
      </w:pPr>
      <w:hyperlink r:id="rId38" w:history="1">
        <w:r w:rsidR="00D86782" w:rsidRPr="00C160A2">
          <w:rPr>
            <w:rStyle w:val="Hyperlink"/>
            <w:rFonts w:ascii="TimesNewRoman" w:eastAsiaTheme="minorHAnsi" w:hAnsi="TimesNewRoman" w:cs="TimesNewRoman"/>
            <w:sz w:val="23"/>
            <w:szCs w:val="23"/>
          </w:rPr>
          <w:t>NMCDaniel@elpc.org</w:t>
        </w:r>
      </w:hyperlink>
      <w:r w:rsidR="00D86782">
        <w:rPr>
          <w:rFonts w:ascii="TimesNewRoman" w:eastAsiaTheme="minorHAnsi" w:hAnsi="TimesNewRoman" w:cs="TimesNewRoman"/>
          <w:sz w:val="23"/>
          <w:szCs w:val="23"/>
        </w:rPr>
        <w:t xml:space="preserve"> </w:t>
      </w:r>
    </w:p>
    <w:p w:rsidR="00D86782" w:rsidRDefault="00D86782" w:rsidP="000A2E4F">
      <w:pPr>
        <w:autoSpaceDE w:val="0"/>
        <w:autoSpaceDN w:val="0"/>
        <w:adjustRightInd w:val="0"/>
        <w:rPr>
          <w:rFonts w:ascii="TimesNewRoman" w:eastAsiaTheme="minorHAnsi" w:hAnsi="TimesNewRoman" w:cs="TimesNewRoman"/>
          <w:sz w:val="23"/>
          <w:szCs w:val="23"/>
        </w:rPr>
      </w:pPr>
    </w:p>
    <w:p w:rsidR="000A2E4F" w:rsidRDefault="000A2E4F" w:rsidP="000A2E4F">
      <w:pPr>
        <w:autoSpaceDE w:val="0"/>
        <w:autoSpaceDN w:val="0"/>
        <w:adjustRightInd w:val="0"/>
        <w:rPr>
          <w:rFonts w:ascii="TimesNewRoman,Italic" w:eastAsiaTheme="minorHAnsi" w:hAnsi="TimesNewRoman,Italic" w:cs="TimesNewRoman,Italic"/>
          <w:i/>
          <w:iCs/>
          <w:sz w:val="23"/>
          <w:szCs w:val="23"/>
        </w:rPr>
      </w:pPr>
      <w:r>
        <w:rPr>
          <w:rFonts w:ascii="TimesNewRoman,Italic" w:eastAsiaTheme="minorHAnsi" w:hAnsi="TimesNewRoman,Italic" w:cs="TimesNewRoman,Italic"/>
          <w:i/>
          <w:iCs/>
          <w:sz w:val="23"/>
          <w:szCs w:val="23"/>
        </w:rPr>
        <w:t>Attorney for ELPC</w:t>
      </w:r>
    </w:p>
    <w:sectPr w:rsidR="000A2E4F" w:rsidSect="00C34F88">
      <w:type w:val="continuous"/>
      <w:pgSz w:w="12240" w:h="15840"/>
      <w:pgMar w:top="1440" w:right="1440" w:bottom="1440" w:left="1440" w:header="720" w:footer="720" w:gutter="0"/>
      <w:pgNumType w:start="1"/>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B9" w:rsidRDefault="009269B9" w:rsidP="00C94935">
      <w:r>
        <w:separator/>
      </w:r>
    </w:p>
  </w:endnote>
  <w:endnote w:type="continuationSeparator" w:id="0">
    <w:p w:rsidR="009269B9" w:rsidRDefault="009269B9" w:rsidP="00C9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0D" w:rsidRDefault="00880D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A460D" w:rsidRDefault="009269B9">
    <w:pPr>
      <w:pStyle w:val="Footer"/>
    </w:pPr>
  </w:p>
  <w:p w:rsidR="004A460D" w:rsidRDefault="009269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0D" w:rsidRPr="00136B7F" w:rsidRDefault="00880DFE">
    <w:pPr>
      <w:pStyle w:val="Footer"/>
      <w:framePr w:wrap="around" w:vAnchor="text" w:hAnchor="margin" w:xAlign="center" w:y="1"/>
      <w:rPr>
        <w:rStyle w:val="PageNumber"/>
        <w:sz w:val="24"/>
        <w:szCs w:val="24"/>
      </w:rPr>
    </w:pPr>
    <w:r w:rsidRPr="00136B7F">
      <w:rPr>
        <w:rStyle w:val="PageNumber"/>
        <w:sz w:val="24"/>
        <w:szCs w:val="24"/>
      </w:rPr>
      <w:fldChar w:fldCharType="begin"/>
    </w:r>
    <w:r w:rsidRPr="00136B7F">
      <w:rPr>
        <w:rStyle w:val="PageNumber"/>
        <w:sz w:val="24"/>
        <w:szCs w:val="24"/>
      </w:rPr>
      <w:instrText xml:space="preserve">PAGE  </w:instrText>
    </w:r>
    <w:r w:rsidRPr="00136B7F">
      <w:rPr>
        <w:rStyle w:val="PageNumber"/>
        <w:sz w:val="24"/>
        <w:szCs w:val="24"/>
      </w:rPr>
      <w:fldChar w:fldCharType="separate"/>
    </w:r>
    <w:r w:rsidR="00CD280D">
      <w:rPr>
        <w:rStyle w:val="PageNumber"/>
        <w:noProof/>
        <w:sz w:val="24"/>
        <w:szCs w:val="24"/>
      </w:rPr>
      <w:t>2</w:t>
    </w:r>
    <w:r w:rsidRPr="00136B7F">
      <w:rPr>
        <w:rStyle w:val="PageNumber"/>
        <w:sz w:val="24"/>
        <w:szCs w:val="24"/>
      </w:rPr>
      <w:fldChar w:fldCharType="end"/>
    </w:r>
  </w:p>
  <w:p w:rsidR="004A460D" w:rsidRDefault="009269B9">
    <w:pPr>
      <w:pStyle w:val="Footer"/>
    </w:pPr>
  </w:p>
  <w:p w:rsidR="004A460D" w:rsidRDefault="009269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4A" w:rsidRDefault="00511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B9" w:rsidRDefault="009269B9" w:rsidP="00C94935">
      <w:r>
        <w:separator/>
      </w:r>
    </w:p>
  </w:footnote>
  <w:footnote w:type="continuationSeparator" w:id="0">
    <w:p w:rsidR="009269B9" w:rsidRDefault="009269B9" w:rsidP="00C94935">
      <w:r>
        <w:continuationSeparator/>
      </w:r>
    </w:p>
  </w:footnote>
  <w:footnote w:id="1">
    <w:p w:rsidR="00C94935" w:rsidRPr="00684D4E" w:rsidRDefault="00C94935"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Opinion and Order at 28.</w:t>
      </w:r>
      <w:r w:rsidR="00C36716" w:rsidRPr="00684D4E">
        <w:rPr>
          <w:rFonts w:ascii="Times New Roman" w:hAnsi="Times New Roman"/>
          <w:szCs w:val="22"/>
        </w:rPr>
        <w:t xml:space="preserve"> The Commission directed FirstEnergy to file tariff schedules within sixty (60) days of the issuance of a final, appealable order in this proceeding to reflect the disallowance and associated carrying costs</w:t>
      </w:r>
    </w:p>
  </w:footnote>
  <w:footnote w:id="2">
    <w:p w:rsidR="008A69F0" w:rsidRPr="00684D4E" w:rsidRDefault="008A69F0" w:rsidP="00684D4E">
      <w:pPr>
        <w:pStyle w:val="Default"/>
        <w:jc w:val="both"/>
        <w:rPr>
          <w:rFonts w:ascii="Times New Roman" w:hAnsi="Times New Roman" w:cs="Times New Roman"/>
          <w:sz w:val="22"/>
          <w:szCs w:val="22"/>
        </w:rPr>
      </w:pPr>
      <w:r w:rsidRPr="00684D4E">
        <w:rPr>
          <w:rStyle w:val="FootnoteReference"/>
          <w:rFonts w:ascii="Times New Roman" w:hAnsi="Times New Roman" w:cs="Times New Roman"/>
          <w:sz w:val="22"/>
          <w:szCs w:val="22"/>
        </w:rPr>
        <w:footnoteRef/>
      </w:r>
      <w:r w:rsidRPr="00684D4E">
        <w:rPr>
          <w:rFonts w:ascii="Times New Roman" w:hAnsi="Times New Roman" w:cs="Times New Roman"/>
          <w:sz w:val="22"/>
          <w:szCs w:val="22"/>
        </w:rPr>
        <w:t xml:space="preserve"> “</w:t>
      </w:r>
      <w:r w:rsidRPr="00684D4E">
        <w:rPr>
          <w:rFonts w:ascii="Times New Roman" w:hAnsi="Times New Roman" w:cs="Times New Roman"/>
          <w:bCs/>
          <w:i/>
          <w:sz w:val="22"/>
          <w:szCs w:val="22"/>
        </w:rPr>
        <w:t>Summary of Switch Rates from EDUs to CRES Providers in Terms of Sales for the Month Ending March 31, 2013</w:t>
      </w:r>
      <w:r w:rsidRPr="00684D4E">
        <w:rPr>
          <w:rFonts w:ascii="Times New Roman" w:hAnsi="Times New Roman" w:cs="Times New Roman"/>
          <w:bCs/>
          <w:sz w:val="22"/>
          <w:szCs w:val="22"/>
        </w:rPr>
        <w:t>” and “</w:t>
      </w:r>
      <w:r w:rsidRPr="00684D4E">
        <w:rPr>
          <w:rFonts w:ascii="Times New Roman" w:hAnsi="Times New Roman" w:cs="Times New Roman"/>
          <w:bCs/>
          <w:i/>
          <w:sz w:val="22"/>
          <w:szCs w:val="22"/>
        </w:rPr>
        <w:t xml:space="preserve">Summary of Switch Rates from EDUs to CRES Providers in Terms of Sales for the Month Ending December 31, </w:t>
      </w:r>
      <w:r w:rsidRPr="00684D4E">
        <w:rPr>
          <w:rFonts w:ascii="Times New Roman" w:hAnsi="Times New Roman" w:cs="Times New Roman"/>
          <w:bCs/>
          <w:sz w:val="22"/>
          <w:szCs w:val="22"/>
        </w:rPr>
        <w:t>2010,” Public Utilities Commission of Ohio, http://www.puco.ohio.gov/puco/index.cfm/industry-information/statistical-reports/electric-customer-choice-switch-rates/ (</w:t>
      </w:r>
      <w:r w:rsidR="00F854EE" w:rsidRPr="00684D4E">
        <w:rPr>
          <w:rFonts w:ascii="Times New Roman" w:hAnsi="Times New Roman" w:cs="Times New Roman"/>
          <w:bCs/>
          <w:sz w:val="22"/>
          <w:szCs w:val="22"/>
        </w:rPr>
        <w:t xml:space="preserve">last </w:t>
      </w:r>
      <w:r w:rsidRPr="00684D4E">
        <w:rPr>
          <w:rFonts w:ascii="Times New Roman" w:hAnsi="Times New Roman" w:cs="Times New Roman"/>
          <w:bCs/>
          <w:sz w:val="22"/>
          <w:szCs w:val="22"/>
        </w:rPr>
        <w:t>accessed August 19, 2013).</w:t>
      </w:r>
    </w:p>
  </w:footnote>
  <w:footnote w:id="3">
    <w:p w:rsidR="001E7A76" w:rsidRPr="00684D4E" w:rsidRDefault="001E7A76"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FirstEnergy Exhibit 11 at 12-13. </w:t>
      </w:r>
      <w:proofErr w:type="gramStart"/>
      <w:r w:rsidRPr="00684D4E">
        <w:rPr>
          <w:rFonts w:ascii="Times New Roman" w:hAnsi="Times New Roman"/>
          <w:szCs w:val="22"/>
        </w:rPr>
        <w:t xml:space="preserve">(Rebuttal Testimony of Eileen </w:t>
      </w:r>
      <w:proofErr w:type="spellStart"/>
      <w:r w:rsidRPr="00684D4E">
        <w:rPr>
          <w:rFonts w:ascii="Times New Roman" w:hAnsi="Times New Roman"/>
          <w:szCs w:val="22"/>
        </w:rPr>
        <w:t>Mikkelson</w:t>
      </w:r>
      <w:proofErr w:type="spellEnd"/>
      <w:r w:rsidRPr="00684D4E">
        <w:rPr>
          <w:rFonts w:ascii="Times New Roman" w:hAnsi="Times New Roman"/>
          <w:szCs w:val="22"/>
        </w:rPr>
        <w:t>).</w:t>
      </w:r>
      <w:proofErr w:type="gramEnd"/>
    </w:p>
  </w:footnote>
  <w:footnote w:id="4">
    <w:p w:rsidR="005742A6" w:rsidRPr="00684D4E" w:rsidRDefault="005742A6"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Opinion and Order at 28.  </w:t>
      </w:r>
    </w:p>
  </w:footnote>
  <w:footnote w:id="5">
    <w:p w:rsidR="005E7E6B" w:rsidRPr="00684D4E" w:rsidRDefault="005E7E6B"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Commission Ordered Exhibit 1 at 13, 31.  </w:t>
      </w:r>
    </w:p>
  </w:footnote>
  <w:footnote w:id="6">
    <w:p w:rsidR="000B5DC1" w:rsidRPr="00684D4E" w:rsidRDefault="000B5DC1"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w:t>
      </w:r>
      <w:r w:rsidRPr="00684D4E">
        <w:rPr>
          <w:rFonts w:ascii="Times New Roman" w:hAnsi="Times New Roman"/>
          <w:i/>
          <w:szCs w:val="22"/>
        </w:rPr>
        <w:t>In the Matter of the Application of Ohio Edison Company, The Cleveland Electric Illuminating Company, and The Toledo Edison Company for Authority to Provide for a Standard Service Offer Pursuant to R.C. 4928.143 in the Form of an Electric Security Plan</w:t>
      </w:r>
      <w:r w:rsidRPr="00684D4E">
        <w:rPr>
          <w:rFonts w:ascii="Times New Roman" w:hAnsi="Times New Roman"/>
          <w:szCs w:val="22"/>
        </w:rPr>
        <w:t>, PUCO Case No. 12-1230-EL-SSO, Stipulation and Recommendation at 11-12 (¶4</w:t>
      </w:r>
      <w:r w:rsidR="00FD3EF3" w:rsidRPr="00684D4E">
        <w:rPr>
          <w:rFonts w:ascii="Times New Roman" w:hAnsi="Times New Roman"/>
          <w:szCs w:val="22"/>
        </w:rPr>
        <w:t>).</w:t>
      </w:r>
      <w:r w:rsidR="000C50D6" w:rsidRPr="00684D4E">
        <w:rPr>
          <w:rFonts w:ascii="Times New Roman" w:hAnsi="Times New Roman"/>
          <w:szCs w:val="22"/>
        </w:rPr>
        <w:t xml:space="preserve"> (</w:t>
      </w:r>
      <w:proofErr w:type="gramStart"/>
      <w:r w:rsidR="000C50D6" w:rsidRPr="00684D4E">
        <w:rPr>
          <w:rFonts w:ascii="Times New Roman" w:hAnsi="Times New Roman"/>
          <w:szCs w:val="22"/>
        </w:rPr>
        <w:t>hereinafter</w:t>
      </w:r>
      <w:proofErr w:type="gramEnd"/>
      <w:r w:rsidR="000C50D6" w:rsidRPr="00684D4E">
        <w:rPr>
          <w:rFonts w:ascii="Times New Roman" w:hAnsi="Times New Roman"/>
          <w:szCs w:val="22"/>
        </w:rPr>
        <w:t xml:space="preserve"> cited as </w:t>
      </w:r>
      <w:r w:rsidR="000C50D6" w:rsidRPr="00684D4E">
        <w:rPr>
          <w:rFonts w:ascii="Times New Roman" w:hAnsi="Times New Roman"/>
          <w:i/>
          <w:szCs w:val="22"/>
        </w:rPr>
        <w:t>FirstEnergy ESP Case</w:t>
      </w:r>
      <w:r w:rsidR="000C50D6" w:rsidRPr="00684D4E">
        <w:rPr>
          <w:rFonts w:ascii="Times New Roman" w:hAnsi="Times New Roman"/>
          <w:szCs w:val="22"/>
        </w:rPr>
        <w:t>).</w:t>
      </w:r>
      <w:r w:rsidR="00FD3EF3" w:rsidRPr="00684D4E">
        <w:rPr>
          <w:rFonts w:ascii="Times New Roman" w:hAnsi="Times New Roman"/>
          <w:szCs w:val="22"/>
        </w:rPr>
        <w:t xml:space="preserve"> (“…subject to the outcome of PUCO case number 11-5201-EL-RDR).  </w:t>
      </w:r>
    </w:p>
  </w:footnote>
  <w:footnote w:id="7">
    <w:p w:rsidR="00D7059B" w:rsidRPr="00684D4E" w:rsidRDefault="00D7059B"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Commission Ordered Exhibit 1 at 16.  </w:t>
      </w:r>
    </w:p>
  </w:footnote>
  <w:footnote w:id="8">
    <w:p w:rsidR="003B2496" w:rsidRPr="00684D4E" w:rsidRDefault="003B2496"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Commission Ordered Exhibit 1 at 31.  </w:t>
      </w:r>
    </w:p>
  </w:footnote>
  <w:footnote w:id="9">
    <w:p w:rsidR="002C54AD" w:rsidRPr="00684D4E" w:rsidRDefault="002C54AD"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FirstEnergy Exhibit </w:t>
      </w:r>
      <w:r w:rsidR="000D70EA" w:rsidRPr="00684D4E">
        <w:rPr>
          <w:rFonts w:ascii="Times New Roman" w:hAnsi="Times New Roman"/>
          <w:szCs w:val="22"/>
        </w:rPr>
        <w:t>4</w:t>
      </w:r>
      <w:r w:rsidRPr="00684D4E">
        <w:rPr>
          <w:rFonts w:ascii="Times New Roman" w:hAnsi="Times New Roman"/>
          <w:szCs w:val="22"/>
        </w:rPr>
        <w:t xml:space="preserve"> at 2-10 (Direct Testimony of Eileen </w:t>
      </w:r>
      <w:proofErr w:type="spellStart"/>
      <w:r w:rsidRPr="00684D4E">
        <w:rPr>
          <w:rFonts w:ascii="Times New Roman" w:hAnsi="Times New Roman"/>
          <w:szCs w:val="22"/>
        </w:rPr>
        <w:t>Mikkelson</w:t>
      </w:r>
      <w:proofErr w:type="spellEnd"/>
      <w:r w:rsidRPr="00684D4E">
        <w:rPr>
          <w:rFonts w:ascii="Times New Roman" w:hAnsi="Times New Roman"/>
          <w:szCs w:val="22"/>
        </w:rPr>
        <w:t>).</w:t>
      </w:r>
      <w:r w:rsidR="009B06D4" w:rsidRPr="00684D4E">
        <w:rPr>
          <w:rFonts w:ascii="Times New Roman" w:hAnsi="Times New Roman"/>
          <w:szCs w:val="22"/>
        </w:rPr>
        <w:t xml:space="preserve"> Witness </w:t>
      </w:r>
      <w:proofErr w:type="spellStart"/>
      <w:r w:rsidR="009B06D4" w:rsidRPr="00684D4E">
        <w:rPr>
          <w:rFonts w:ascii="Times New Roman" w:hAnsi="Times New Roman"/>
          <w:szCs w:val="22"/>
        </w:rPr>
        <w:t>Mikkelson</w:t>
      </w:r>
      <w:proofErr w:type="spellEnd"/>
      <w:r w:rsidR="009B06D4" w:rsidRPr="00684D4E">
        <w:rPr>
          <w:rFonts w:ascii="Times New Roman" w:hAnsi="Times New Roman"/>
          <w:szCs w:val="22"/>
        </w:rPr>
        <w:t xml:space="preserve"> agreed </w:t>
      </w:r>
      <w:r w:rsidR="00E71311">
        <w:rPr>
          <w:rFonts w:ascii="Times New Roman" w:hAnsi="Times New Roman"/>
          <w:szCs w:val="22"/>
        </w:rPr>
        <w:t xml:space="preserve">(on page 4) </w:t>
      </w:r>
      <w:r w:rsidR="009B06D4" w:rsidRPr="00684D4E">
        <w:rPr>
          <w:rFonts w:ascii="Times New Roman" w:hAnsi="Times New Roman"/>
          <w:szCs w:val="22"/>
        </w:rPr>
        <w:t xml:space="preserve">that FirstEnergy would implement Recommendations 5, 6, 8, 9, 10, 13, 14, </w:t>
      </w:r>
      <w:r w:rsidR="000D1385" w:rsidRPr="00684D4E">
        <w:rPr>
          <w:rFonts w:ascii="Times New Roman" w:hAnsi="Times New Roman"/>
          <w:szCs w:val="22"/>
        </w:rPr>
        <w:t xml:space="preserve">and </w:t>
      </w:r>
      <w:r w:rsidR="009B06D4" w:rsidRPr="00684D4E">
        <w:rPr>
          <w:rFonts w:ascii="Times New Roman" w:hAnsi="Times New Roman"/>
          <w:szCs w:val="22"/>
        </w:rPr>
        <w:t>15</w:t>
      </w:r>
      <w:r w:rsidR="00E71311">
        <w:rPr>
          <w:rFonts w:ascii="Times New Roman" w:hAnsi="Times New Roman"/>
          <w:szCs w:val="22"/>
        </w:rPr>
        <w:t xml:space="preserve"> if approved by the Commission</w:t>
      </w:r>
      <w:r w:rsidR="000D1385" w:rsidRPr="00684D4E">
        <w:rPr>
          <w:rFonts w:ascii="Times New Roman" w:hAnsi="Times New Roman"/>
          <w:szCs w:val="22"/>
        </w:rPr>
        <w:t xml:space="preserve">.  FirstEnergy also said it would provide three </w:t>
      </w:r>
      <w:r w:rsidR="001D7D46" w:rsidRPr="00684D4E">
        <w:rPr>
          <w:rFonts w:ascii="Times New Roman" w:hAnsi="Times New Roman"/>
          <w:szCs w:val="22"/>
        </w:rPr>
        <w:t xml:space="preserve">(3) </w:t>
      </w:r>
      <w:r w:rsidR="000D1385" w:rsidRPr="00684D4E">
        <w:rPr>
          <w:rFonts w:ascii="Times New Roman" w:hAnsi="Times New Roman"/>
          <w:szCs w:val="22"/>
        </w:rPr>
        <w:t>percent provision calculations for each operating company for calendar year 2013 and the balance of the SSO period (Recommendation</w:t>
      </w:r>
      <w:r w:rsidR="00322E7A" w:rsidRPr="00684D4E">
        <w:rPr>
          <w:rFonts w:ascii="Times New Roman" w:hAnsi="Times New Roman"/>
          <w:szCs w:val="22"/>
        </w:rPr>
        <w:t xml:space="preserve"> 17</w:t>
      </w:r>
      <w:r w:rsidR="000D1385" w:rsidRPr="00684D4E">
        <w:rPr>
          <w:rFonts w:ascii="Times New Roman" w:hAnsi="Times New Roman"/>
          <w:szCs w:val="22"/>
        </w:rPr>
        <w:t>) if the Commission requests such calculations</w:t>
      </w:r>
      <w:r w:rsidR="009B06D4" w:rsidRPr="00684D4E">
        <w:rPr>
          <w:rFonts w:ascii="Times New Roman" w:hAnsi="Times New Roman"/>
          <w:szCs w:val="22"/>
        </w:rPr>
        <w:t>.</w:t>
      </w:r>
    </w:p>
  </w:footnote>
  <w:footnote w:id="10">
    <w:p w:rsidR="008D6812" w:rsidRPr="00684D4E" w:rsidRDefault="008D6812"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FirstEnergy Exhibit </w:t>
      </w:r>
      <w:r w:rsidR="000D70EA" w:rsidRPr="00684D4E">
        <w:rPr>
          <w:rFonts w:ascii="Times New Roman" w:hAnsi="Times New Roman"/>
          <w:szCs w:val="22"/>
        </w:rPr>
        <w:t>2</w:t>
      </w:r>
      <w:r w:rsidRPr="00684D4E">
        <w:rPr>
          <w:rFonts w:ascii="Times New Roman" w:hAnsi="Times New Roman"/>
          <w:szCs w:val="22"/>
        </w:rPr>
        <w:t xml:space="preserve"> at 48-49 (Direct Testimony of Dean W. </w:t>
      </w:r>
      <w:proofErr w:type="spellStart"/>
      <w:r w:rsidRPr="00684D4E">
        <w:rPr>
          <w:rFonts w:ascii="Times New Roman" w:hAnsi="Times New Roman"/>
          <w:szCs w:val="22"/>
        </w:rPr>
        <w:t>Stathis</w:t>
      </w:r>
      <w:proofErr w:type="spellEnd"/>
      <w:r w:rsidRPr="00684D4E">
        <w:rPr>
          <w:rFonts w:ascii="Times New Roman" w:hAnsi="Times New Roman"/>
          <w:szCs w:val="22"/>
        </w:rPr>
        <w:t xml:space="preserve">).  </w:t>
      </w:r>
      <w:r w:rsidR="008668B1" w:rsidRPr="00684D4E">
        <w:rPr>
          <w:rFonts w:ascii="Times New Roman" w:hAnsi="Times New Roman"/>
          <w:szCs w:val="22"/>
        </w:rPr>
        <w:t xml:space="preserve">Recommendations </w:t>
      </w:r>
      <w:r w:rsidR="00CE2422" w:rsidRPr="00684D4E">
        <w:rPr>
          <w:rFonts w:ascii="Times New Roman" w:hAnsi="Times New Roman"/>
          <w:szCs w:val="22"/>
        </w:rPr>
        <w:t>1</w:t>
      </w:r>
      <w:r w:rsidR="008668B1" w:rsidRPr="00684D4E">
        <w:rPr>
          <w:rFonts w:ascii="Times New Roman" w:hAnsi="Times New Roman"/>
          <w:szCs w:val="22"/>
        </w:rPr>
        <w:t>6, 11, 12</w:t>
      </w:r>
    </w:p>
  </w:footnote>
  <w:footnote w:id="11">
    <w:p w:rsidR="00453753" w:rsidRPr="00684D4E" w:rsidRDefault="00453753"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w:t>
      </w:r>
      <w:r w:rsidRPr="00684D4E">
        <w:rPr>
          <w:rFonts w:ascii="Times New Roman" w:hAnsi="Times New Roman"/>
          <w:i/>
          <w:szCs w:val="22"/>
        </w:rPr>
        <w:t>See also</w:t>
      </w:r>
      <w:r w:rsidRPr="00684D4E">
        <w:rPr>
          <w:rFonts w:ascii="Times New Roman" w:hAnsi="Times New Roman"/>
          <w:szCs w:val="22"/>
        </w:rPr>
        <w:t xml:space="preserve"> FirstEnergy Post Hearing Brief at 79 (May 30, 2013).  </w:t>
      </w:r>
    </w:p>
  </w:footnote>
  <w:footnote w:id="12">
    <w:p w:rsidR="00F61027" w:rsidRPr="00684D4E" w:rsidRDefault="00F61027"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FirstEnergy Exhibit </w:t>
      </w:r>
      <w:r w:rsidR="000D70EA" w:rsidRPr="00684D4E">
        <w:rPr>
          <w:rFonts w:ascii="Times New Roman" w:hAnsi="Times New Roman"/>
          <w:szCs w:val="22"/>
        </w:rPr>
        <w:t>4</w:t>
      </w:r>
      <w:r w:rsidRPr="00684D4E">
        <w:rPr>
          <w:rFonts w:ascii="Times New Roman" w:hAnsi="Times New Roman"/>
          <w:szCs w:val="22"/>
        </w:rPr>
        <w:t xml:space="preserve"> at 6.  </w:t>
      </w:r>
      <w:r w:rsidR="00492C0E" w:rsidRPr="00684D4E">
        <w:rPr>
          <w:rFonts w:ascii="Times New Roman" w:hAnsi="Times New Roman"/>
          <w:szCs w:val="22"/>
        </w:rPr>
        <w:t xml:space="preserve">Of note, FirstEnergy also opposed the financial auditor’s </w:t>
      </w:r>
      <w:r w:rsidR="005212CC" w:rsidRPr="00684D4E">
        <w:rPr>
          <w:rFonts w:ascii="Times New Roman" w:hAnsi="Times New Roman"/>
          <w:szCs w:val="22"/>
        </w:rPr>
        <w:t xml:space="preserve">first </w:t>
      </w:r>
      <w:r w:rsidR="00492C0E" w:rsidRPr="00684D4E">
        <w:rPr>
          <w:rFonts w:ascii="Times New Roman" w:hAnsi="Times New Roman"/>
          <w:szCs w:val="22"/>
        </w:rPr>
        <w:t xml:space="preserve">recommendation that </w:t>
      </w:r>
      <w:r w:rsidR="005212CC" w:rsidRPr="00684D4E">
        <w:rPr>
          <w:rFonts w:ascii="Times New Roman" w:hAnsi="Times New Roman"/>
          <w:szCs w:val="22"/>
        </w:rPr>
        <w:t xml:space="preserve">the overall Rider AER rate calculated for each operating company should be used rather than allocating to rate schedule based on loss factors.  Direct Energy takes no position on this recommendation.  </w:t>
      </w:r>
    </w:p>
  </w:footnote>
  <w:footnote w:id="13">
    <w:p w:rsidR="00EE110B" w:rsidRPr="00684D4E" w:rsidRDefault="00EE110B" w:rsidP="00684D4E">
      <w:pPr>
        <w:pStyle w:val="FootnoteText"/>
        <w:jc w:val="both"/>
        <w:rPr>
          <w:rFonts w:ascii="Times New Roman" w:hAnsi="Times New Roman"/>
          <w:szCs w:val="22"/>
        </w:rPr>
      </w:pPr>
      <w:r w:rsidRPr="00684D4E">
        <w:rPr>
          <w:rStyle w:val="FootnoteReference"/>
          <w:rFonts w:ascii="Times New Roman" w:hAnsi="Times New Roman"/>
          <w:szCs w:val="22"/>
        </w:rPr>
        <w:footnoteRef/>
      </w:r>
      <w:r w:rsidRPr="00684D4E">
        <w:rPr>
          <w:rFonts w:ascii="Times New Roman" w:hAnsi="Times New Roman"/>
          <w:szCs w:val="22"/>
        </w:rPr>
        <w:t xml:space="preserve"> FirstEnergy Exhibit </w:t>
      </w:r>
      <w:r w:rsidR="000D70EA" w:rsidRPr="00684D4E">
        <w:rPr>
          <w:rFonts w:ascii="Times New Roman" w:hAnsi="Times New Roman"/>
          <w:szCs w:val="22"/>
        </w:rPr>
        <w:t>4</w:t>
      </w:r>
      <w:r w:rsidRPr="00684D4E">
        <w:rPr>
          <w:rFonts w:ascii="Times New Roman" w:hAnsi="Times New Roman"/>
          <w:szCs w:val="22"/>
        </w:rPr>
        <w:t xml:space="preserve"> at 6.</w:t>
      </w:r>
    </w:p>
  </w:footnote>
  <w:footnote w:id="14">
    <w:p w:rsidR="000C50D6" w:rsidRPr="000C50D6" w:rsidRDefault="000C50D6" w:rsidP="00684D4E">
      <w:pPr>
        <w:pStyle w:val="FootnoteText"/>
        <w:jc w:val="both"/>
      </w:pPr>
      <w:r w:rsidRPr="00684D4E">
        <w:rPr>
          <w:rStyle w:val="FootnoteReference"/>
          <w:rFonts w:ascii="Times New Roman" w:hAnsi="Times New Roman"/>
          <w:szCs w:val="22"/>
        </w:rPr>
        <w:footnoteRef/>
      </w:r>
      <w:r w:rsidRPr="00684D4E">
        <w:rPr>
          <w:rFonts w:ascii="Times New Roman" w:hAnsi="Times New Roman"/>
          <w:szCs w:val="22"/>
        </w:rPr>
        <w:t xml:space="preserve"> </w:t>
      </w:r>
      <w:proofErr w:type="gramStart"/>
      <w:r w:rsidRPr="00684D4E">
        <w:rPr>
          <w:rFonts w:ascii="Times New Roman" w:hAnsi="Times New Roman"/>
          <w:i/>
          <w:szCs w:val="22"/>
        </w:rPr>
        <w:t>FirstEnergy ESP Case</w:t>
      </w:r>
      <w:r w:rsidRPr="00684D4E">
        <w:rPr>
          <w:rFonts w:ascii="Times New Roman" w:hAnsi="Times New Roman"/>
          <w:szCs w:val="22"/>
        </w:rPr>
        <w:t>, Stipulation and Recommendation at 11-12 (¶4).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4A" w:rsidRDefault="00511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4A" w:rsidRDefault="00511B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4A" w:rsidRDefault="0051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F35"/>
    <w:multiLevelType w:val="hybridMultilevel"/>
    <w:tmpl w:val="1A081B2E"/>
    <w:lvl w:ilvl="0" w:tplc="7C9E2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615C92"/>
    <w:multiLevelType w:val="hybridMultilevel"/>
    <w:tmpl w:val="DD62A9C8"/>
    <w:lvl w:ilvl="0" w:tplc="3FB2F7AA">
      <w:start w:val="490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0213A3"/>
    <w:multiLevelType w:val="hybridMultilevel"/>
    <w:tmpl w:val="9B5ECED0"/>
    <w:lvl w:ilvl="0" w:tplc="26C849D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5A67D9"/>
    <w:multiLevelType w:val="hybridMultilevel"/>
    <w:tmpl w:val="90BC198A"/>
    <w:lvl w:ilvl="0" w:tplc="FF9E12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35"/>
    <w:rsid w:val="00011A39"/>
    <w:rsid w:val="00012F41"/>
    <w:rsid w:val="00014574"/>
    <w:rsid w:val="00017591"/>
    <w:rsid w:val="00057674"/>
    <w:rsid w:val="00076FBA"/>
    <w:rsid w:val="00081FD6"/>
    <w:rsid w:val="0008318F"/>
    <w:rsid w:val="00085799"/>
    <w:rsid w:val="00086988"/>
    <w:rsid w:val="000A078A"/>
    <w:rsid w:val="000A173E"/>
    <w:rsid w:val="000A2E4F"/>
    <w:rsid w:val="000B5DC1"/>
    <w:rsid w:val="000C2902"/>
    <w:rsid w:val="000C50D6"/>
    <w:rsid w:val="000D1385"/>
    <w:rsid w:val="000D70EA"/>
    <w:rsid w:val="000F5E75"/>
    <w:rsid w:val="00113B7D"/>
    <w:rsid w:val="00124A51"/>
    <w:rsid w:val="00127D5C"/>
    <w:rsid w:val="001378DE"/>
    <w:rsid w:val="00140CBD"/>
    <w:rsid w:val="00151F9E"/>
    <w:rsid w:val="00182C95"/>
    <w:rsid w:val="001967D6"/>
    <w:rsid w:val="001B1C34"/>
    <w:rsid w:val="001B60A7"/>
    <w:rsid w:val="001C2CD1"/>
    <w:rsid w:val="001D140D"/>
    <w:rsid w:val="001D5D23"/>
    <w:rsid w:val="001D5F7B"/>
    <w:rsid w:val="001D7D46"/>
    <w:rsid w:val="001E1F3B"/>
    <w:rsid w:val="001E7A76"/>
    <w:rsid w:val="00200367"/>
    <w:rsid w:val="0022052D"/>
    <w:rsid w:val="00230486"/>
    <w:rsid w:val="002810E1"/>
    <w:rsid w:val="002C54AD"/>
    <w:rsid w:val="002D08E1"/>
    <w:rsid w:val="002D425E"/>
    <w:rsid w:val="002E4223"/>
    <w:rsid w:val="002F4377"/>
    <w:rsid w:val="00322E7A"/>
    <w:rsid w:val="00322EC8"/>
    <w:rsid w:val="0033248C"/>
    <w:rsid w:val="00333026"/>
    <w:rsid w:val="00343841"/>
    <w:rsid w:val="0034631E"/>
    <w:rsid w:val="00357AD1"/>
    <w:rsid w:val="003613A6"/>
    <w:rsid w:val="00390C0A"/>
    <w:rsid w:val="00394ED2"/>
    <w:rsid w:val="003A1015"/>
    <w:rsid w:val="003B2496"/>
    <w:rsid w:val="003D3A17"/>
    <w:rsid w:val="003E5012"/>
    <w:rsid w:val="00440261"/>
    <w:rsid w:val="00440B82"/>
    <w:rsid w:val="00447E6C"/>
    <w:rsid w:val="0045331C"/>
    <w:rsid w:val="00453753"/>
    <w:rsid w:val="00476AB2"/>
    <w:rsid w:val="00492C0E"/>
    <w:rsid w:val="004A4337"/>
    <w:rsid w:val="004C3414"/>
    <w:rsid w:val="004D2EBB"/>
    <w:rsid w:val="005026DF"/>
    <w:rsid w:val="00504418"/>
    <w:rsid w:val="005072B7"/>
    <w:rsid w:val="00507E7A"/>
    <w:rsid w:val="00511B4A"/>
    <w:rsid w:val="0051332B"/>
    <w:rsid w:val="005171E5"/>
    <w:rsid w:val="005212CC"/>
    <w:rsid w:val="00534371"/>
    <w:rsid w:val="005411DF"/>
    <w:rsid w:val="00546318"/>
    <w:rsid w:val="00556323"/>
    <w:rsid w:val="005606B7"/>
    <w:rsid w:val="00562980"/>
    <w:rsid w:val="005742A6"/>
    <w:rsid w:val="00591114"/>
    <w:rsid w:val="005B7E57"/>
    <w:rsid w:val="005C103E"/>
    <w:rsid w:val="005C7037"/>
    <w:rsid w:val="005E2B4B"/>
    <w:rsid w:val="005E441A"/>
    <w:rsid w:val="005E5568"/>
    <w:rsid w:val="005E7E6B"/>
    <w:rsid w:val="005F5386"/>
    <w:rsid w:val="00605497"/>
    <w:rsid w:val="00621A7A"/>
    <w:rsid w:val="006347A7"/>
    <w:rsid w:val="0064153D"/>
    <w:rsid w:val="0066310C"/>
    <w:rsid w:val="006641B6"/>
    <w:rsid w:val="00673FAA"/>
    <w:rsid w:val="00675572"/>
    <w:rsid w:val="00676964"/>
    <w:rsid w:val="00681C0B"/>
    <w:rsid w:val="00684D4E"/>
    <w:rsid w:val="006A3566"/>
    <w:rsid w:val="006C545A"/>
    <w:rsid w:val="006E1A3A"/>
    <w:rsid w:val="006E31ED"/>
    <w:rsid w:val="007072CA"/>
    <w:rsid w:val="007106A1"/>
    <w:rsid w:val="007120CF"/>
    <w:rsid w:val="00713629"/>
    <w:rsid w:val="007411F5"/>
    <w:rsid w:val="00752DE3"/>
    <w:rsid w:val="00764EC3"/>
    <w:rsid w:val="00774464"/>
    <w:rsid w:val="00781B99"/>
    <w:rsid w:val="0078521E"/>
    <w:rsid w:val="007908E3"/>
    <w:rsid w:val="00791B74"/>
    <w:rsid w:val="007E4D14"/>
    <w:rsid w:val="007F4B94"/>
    <w:rsid w:val="00805244"/>
    <w:rsid w:val="00833AE8"/>
    <w:rsid w:val="00840148"/>
    <w:rsid w:val="00844541"/>
    <w:rsid w:val="00854BA5"/>
    <w:rsid w:val="00863A44"/>
    <w:rsid w:val="008668B1"/>
    <w:rsid w:val="008773A9"/>
    <w:rsid w:val="00880DFE"/>
    <w:rsid w:val="00883A21"/>
    <w:rsid w:val="008A69F0"/>
    <w:rsid w:val="008C6D8A"/>
    <w:rsid w:val="008D0B56"/>
    <w:rsid w:val="008D4C3D"/>
    <w:rsid w:val="008D6812"/>
    <w:rsid w:val="009269B9"/>
    <w:rsid w:val="00951C23"/>
    <w:rsid w:val="00952219"/>
    <w:rsid w:val="0096145C"/>
    <w:rsid w:val="0098150D"/>
    <w:rsid w:val="009B06D4"/>
    <w:rsid w:val="009D0DA0"/>
    <w:rsid w:val="009D1A0E"/>
    <w:rsid w:val="009E54BA"/>
    <w:rsid w:val="009F3223"/>
    <w:rsid w:val="00A00DE8"/>
    <w:rsid w:val="00A04685"/>
    <w:rsid w:val="00A0697B"/>
    <w:rsid w:val="00A11CFD"/>
    <w:rsid w:val="00A21785"/>
    <w:rsid w:val="00A3202D"/>
    <w:rsid w:val="00A44DA6"/>
    <w:rsid w:val="00A53237"/>
    <w:rsid w:val="00A6599C"/>
    <w:rsid w:val="00A7406E"/>
    <w:rsid w:val="00A763BE"/>
    <w:rsid w:val="00A76FD0"/>
    <w:rsid w:val="00A868E7"/>
    <w:rsid w:val="00A91015"/>
    <w:rsid w:val="00A91341"/>
    <w:rsid w:val="00A9531D"/>
    <w:rsid w:val="00A97B41"/>
    <w:rsid w:val="00AB7A19"/>
    <w:rsid w:val="00AF4D36"/>
    <w:rsid w:val="00B10A9F"/>
    <w:rsid w:val="00B23925"/>
    <w:rsid w:val="00B43A82"/>
    <w:rsid w:val="00B81E54"/>
    <w:rsid w:val="00B96B1E"/>
    <w:rsid w:val="00BB4423"/>
    <w:rsid w:val="00BB4424"/>
    <w:rsid w:val="00BE1BDD"/>
    <w:rsid w:val="00BE2396"/>
    <w:rsid w:val="00BE73FB"/>
    <w:rsid w:val="00BF52EA"/>
    <w:rsid w:val="00C00F4C"/>
    <w:rsid w:val="00C15EC7"/>
    <w:rsid w:val="00C2510D"/>
    <w:rsid w:val="00C34F88"/>
    <w:rsid w:val="00C36716"/>
    <w:rsid w:val="00C651B7"/>
    <w:rsid w:val="00C7299D"/>
    <w:rsid w:val="00C94935"/>
    <w:rsid w:val="00CB0AE2"/>
    <w:rsid w:val="00CD280D"/>
    <w:rsid w:val="00CE2422"/>
    <w:rsid w:val="00D3076D"/>
    <w:rsid w:val="00D32C57"/>
    <w:rsid w:val="00D64524"/>
    <w:rsid w:val="00D7059B"/>
    <w:rsid w:val="00D7297A"/>
    <w:rsid w:val="00D7331C"/>
    <w:rsid w:val="00D86782"/>
    <w:rsid w:val="00DB28F6"/>
    <w:rsid w:val="00DC14CC"/>
    <w:rsid w:val="00DE17D5"/>
    <w:rsid w:val="00DF2F37"/>
    <w:rsid w:val="00DF6DDB"/>
    <w:rsid w:val="00E021BA"/>
    <w:rsid w:val="00E21DCD"/>
    <w:rsid w:val="00E4083B"/>
    <w:rsid w:val="00E53979"/>
    <w:rsid w:val="00E55224"/>
    <w:rsid w:val="00E71311"/>
    <w:rsid w:val="00E7231E"/>
    <w:rsid w:val="00E726EA"/>
    <w:rsid w:val="00E92B77"/>
    <w:rsid w:val="00EB6D5D"/>
    <w:rsid w:val="00EC2A8A"/>
    <w:rsid w:val="00ED1539"/>
    <w:rsid w:val="00ED5124"/>
    <w:rsid w:val="00EE110B"/>
    <w:rsid w:val="00EE3B69"/>
    <w:rsid w:val="00EF7B01"/>
    <w:rsid w:val="00F06540"/>
    <w:rsid w:val="00F23443"/>
    <w:rsid w:val="00F26DD6"/>
    <w:rsid w:val="00F57361"/>
    <w:rsid w:val="00F577A2"/>
    <w:rsid w:val="00F61027"/>
    <w:rsid w:val="00F62C4C"/>
    <w:rsid w:val="00F73DB6"/>
    <w:rsid w:val="00F80B93"/>
    <w:rsid w:val="00F854EE"/>
    <w:rsid w:val="00F9240D"/>
    <w:rsid w:val="00FB200E"/>
    <w:rsid w:val="00FD3EF3"/>
    <w:rsid w:val="00FD5B3A"/>
    <w:rsid w:val="00FE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35"/>
    <w:pPr>
      <w:spacing w:after="0" w:line="240" w:lineRule="auto"/>
    </w:pPr>
    <w:rPr>
      <w:rFonts w:ascii="Calisto MT" w:eastAsia="Times New Roman" w:hAnsi="Calisto MT"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
    <w:basedOn w:val="Normal"/>
    <w:link w:val="FootnoteTextChar"/>
    <w:uiPriority w:val="99"/>
    <w:semiHidden/>
    <w:rsid w:val="00C94935"/>
    <w:rPr>
      <w:sz w:val="22"/>
    </w:rPr>
  </w:style>
  <w:style w:type="character" w:customStyle="1" w:styleId="FootnoteTextChar">
    <w:name w:val="Footnote Text Char"/>
    <w:aliases w:val="Footnote Text2 Char"/>
    <w:basedOn w:val="DefaultParagraphFont"/>
    <w:link w:val="FootnoteText"/>
    <w:uiPriority w:val="99"/>
    <w:semiHidden/>
    <w:rsid w:val="00C94935"/>
    <w:rPr>
      <w:rFonts w:ascii="Calisto MT" w:eastAsia="Times New Roman" w:hAnsi="Calisto MT" w:cs="Times New Roman"/>
      <w:szCs w:val="20"/>
    </w:rPr>
  </w:style>
  <w:style w:type="paragraph" w:styleId="Footer">
    <w:name w:val="footer"/>
    <w:basedOn w:val="Normal"/>
    <w:link w:val="FooterChar"/>
    <w:rsid w:val="00C94935"/>
    <w:pPr>
      <w:tabs>
        <w:tab w:val="center" w:pos="4320"/>
        <w:tab w:val="right" w:pos="8640"/>
      </w:tabs>
    </w:pPr>
  </w:style>
  <w:style w:type="character" w:customStyle="1" w:styleId="FooterChar">
    <w:name w:val="Footer Char"/>
    <w:basedOn w:val="DefaultParagraphFont"/>
    <w:link w:val="Footer"/>
    <w:rsid w:val="00C94935"/>
    <w:rPr>
      <w:rFonts w:ascii="Calisto MT" w:eastAsia="Times New Roman" w:hAnsi="Calisto MT" w:cs="Times New Roman"/>
      <w:sz w:val="26"/>
      <w:szCs w:val="20"/>
    </w:rPr>
  </w:style>
  <w:style w:type="character" w:styleId="PageNumber">
    <w:name w:val="page number"/>
    <w:basedOn w:val="DefaultParagraphFont"/>
    <w:rsid w:val="00C94935"/>
  </w:style>
  <w:style w:type="paragraph" w:styleId="BlockText">
    <w:name w:val="Block Text"/>
    <w:basedOn w:val="Normal"/>
    <w:rsid w:val="00C94935"/>
    <w:pPr>
      <w:ind w:left="1440" w:right="1674"/>
    </w:pPr>
  </w:style>
  <w:style w:type="character" w:styleId="FootnoteReference">
    <w:name w:val="footnote reference"/>
    <w:uiPriority w:val="99"/>
    <w:semiHidden/>
    <w:rsid w:val="00C94935"/>
    <w:rPr>
      <w:vertAlign w:val="superscript"/>
    </w:rPr>
  </w:style>
  <w:style w:type="paragraph" w:styleId="Title">
    <w:name w:val="Title"/>
    <w:basedOn w:val="Normal"/>
    <w:link w:val="TitleChar"/>
    <w:qFormat/>
    <w:rsid w:val="00C94935"/>
    <w:pPr>
      <w:jc w:val="center"/>
    </w:pPr>
    <w:rPr>
      <w:b/>
    </w:rPr>
  </w:style>
  <w:style w:type="character" w:customStyle="1" w:styleId="TitleChar">
    <w:name w:val="Title Char"/>
    <w:basedOn w:val="DefaultParagraphFont"/>
    <w:link w:val="Title"/>
    <w:rsid w:val="00C94935"/>
    <w:rPr>
      <w:rFonts w:ascii="Calisto MT" w:eastAsia="Times New Roman" w:hAnsi="Calisto MT" w:cs="Times New Roman"/>
      <w:b/>
      <w:sz w:val="26"/>
      <w:szCs w:val="20"/>
    </w:rPr>
  </w:style>
  <w:style w:type="character" w:styleId="Hyperlink">
    <w:name w:val="Hyperlink"/>
    <w:rsid w:val="00C94935"/>
    <w:rPr>
      <w:color w:val="0000FF"/>
      <w:u w:val="single"/>
    </w:rPr>
  </w:style>
  <w:style w:type="paragraph" w:customStyle="1" w:styleId="vsLastFooter">
    <w:name w:val="vsLastFooter"/>
    <w:next w:val="Normal"/>
    <w:rsid w:val="00C94935"/>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customStyle="1" w:styleId="Default">
    <w:name w:val="Default"/>
    <w:rsid w:val="008A69F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13A6"/>
    <w:pPr>
      <w:ind w:left="720"/>
      <w:contextualSpacing/>
    </w:pPr>
  </w:style>
  <w:style w:type="character" w:styleId="PlaceholderText">
    <w:name w:val="Placeholder Text"/>
    <w:basedOn w:val="DefaultParagraphFont"/>
    <w:uiPriority w:val="99"/>
    <w:semiHidden/>
    <w:rsid w:val="000B5DC1"/>
    <w:rPr>
      <w:color w:val="808080"/>
    </w:rPr>
  </w:style>
  <w:style w:type="paragraph" w:styleId="BalloonText">
    <w:name w:val="Balloon Text"/>
    <w:basedOn w:val="Normal"/>
    <w:link w:val="BalloonTextChar"/>
    <w:uiPriority w:val="99"/>
    <w:semiHidden/>
    <w:unhideWhenUsed/>
    <w:rsid w:val="000B5DC1"/>
    <w:rPr>
      <w:rFonts w:ascii="Tahoma" w:hAnsi="Tahoma" w:cs="Tahoma"/>
      <w:sz w:val="16"/>
      <w:szCs w:val="16"/>
    </w:rPr>
  </w:style>
  <w:style w:type="character" w:customStyle="1" w:styleId="BalloonTextChar">
    <w:name w:val="Balloon Text Char"/>
    <w:basedOn w:val="DefaultParagraphFont"/>
    <w:link w:val="BalloonText"/>
    <w:uiPriority w:val="99"/>
    <w:semiHidden/>
    <w:rsid w:val="000B5DC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0C0A"/>
    <w:rPr>
      <w:sz w:val="16"/>
      <w:szCs w:val="16"/>
    </w:rPr>
  </w:style>
  <w:style w:type="paragraph" w:styleId="CommentText">
    <w:name w:val="annotation text"/>
    <w:basedOn w:val="Normal"/>
    <w:link w:val="CommentTextChar"/>
    <w:uiPriority w:val="99"/>
    <w:semiHidden/>
    <w:unhideWhenUsed/>
    <w:rsid w:val="00390C0A"/>
    <w:rPr>
      <w:sz w:val="20"/>
    </w:rPr>
  </w:style>
  <w:style w:type="character" w:customStyle="1" w:styleId="CommentTextChar">
    <w:name w:val="Comment Text Char"/>
    <w:basedOn w:val="DefaultParagraphFont"/>
    <w:link w:val="CommentText"/>
    <w:uiPriority w:val="99"/>
    <w:semiHidden/>
    <w:rsid w:val="00390C0A"/>
    <w:rPr>
      <w:rFonts w:ascii="Calisto MT" w:eastAsia="Times New Roman" w:hAnsi="Calisto MT" w:cs="Times New Roman"/>
      <w:sz w:val="20"/>
      <w:szCs w:val="20"/>
    </w:rPr>
  </w:style>
  <w:style w:type="paragraph" w:styleId="CommentSubject">
    <w:name w:val="annotation subject"/>
    <w:basedOn w:val="CommentText"/>
    <w:next w:val="CommentText"/>
    <w:link w:val="CommentSubjectChar"/>
    <w:uiPriority w:val="99"/>
    <w:semiHidden/>
    <w:unhideWhenUsed/>
    <w:rsid w:val="00390C0A"/>
    <w:rPr>
      <w:b/>
      <w:bCs/>
    </w:rPr>
  </w:style>
  <w:style w:type="character" w:customStyle="1" w:styleId="CommentSubjectChar">
    <w:name w:val="Comment Subject Char"/>
    <w:basedOn w:val="CommentTextChar"/>
    <w:link w:val="CommentSubject"/>
    <w:uiPriority w:val="99"/>
    <w:semiHidden/>
    <w:rsid w:val="00390C0A"/>
    <w:rPr>
      <w:rFonts w:ascii="Calisto MT" w:eastAsia="Times New Roman" w:hAnsi="Calisto MT" w:cs="Times New Roman"/>
      <w:b/>
      <w:bCs/>
      <w:sz w:val="20"/>
      <w:szCs w:val="20"/>
    </w:rPr>
  </w:style>
  <w:style w:type="paragraph" w:styleId="Header">
    <w:name w:val="header"/>
    <w:basedOn w:val="Normal"/>
    <w:link w:val="HeaderChar"/>
    <w:uiPriority w:val="99"/>
    <w:unhideWhenUsed/>
    <w:rsid w:val="00511B4A"/>
    <w:pPr>
      <w:tabs>
        <w:tab w:val="center" w:pos="4680"/>
        <w:tab w:val="right" w:pos="9360"/>
      </w:tabs>
    </w:pPr>
  </w:style>
  <w:style w:type="character" w:customStyle="1" w:styleId="HeaderChar">
    <w:name w:val="Header Char"/>
    <w:basedOn w:val="DefaultParagraphFont"/>
    <w:link w:val="Header"/>
    <w:uiPriority w:val="99"/>
    <w:rsid w:val="00511B4A"/>
    <w:rPr>
      <w:rFonts w:ascii="Calisto MT" w:eastAsia="Times New Roman" w:hAnsi="Calisto MT"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35"/>
    <w:pPr>
      <w:spacing w:after="0" w:line="240" w:lineRule="auto"/>
    </w:pPr>
    <w:rPr>
      <w:rFonts w:ascii="Calisto MT" w:eastAsia="Times New Roman" w:hAnsi="Calisto MT"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
    <w:basedOn w:val="Normal"/>
    <w:link w:val="FootnoteTextChar"/>
    <w:uiPriority w:val="99"/>
    <w:semiHidden/>
    <w:rsid w:val="00C94935"/>
    <w:rPr>
      <w:sz w:val="22"/>
    </w:rPr>
  </w:style>
  <w:style w:type="character" w:customStyle="1" w:styleId="FootnoteTextChar">
    <w:name w:val="Footnote Text Char"/>
    <w:aliases w:val="Footnote Text2 Char"/>
    <w:basedOn w:val="DefaultParagraphFont"/>
    <w:link w:val="FootnoteText"/>
    <w:uiPriority w:val="99"/>
    <w:semiHidden/>
    <w:rsid w:val="00C94935"/>
    <w:rPr>
      <w:rFonts w:ascii="Calisto MT" w:eastAsia="Times New Roman" w:hAnsi="Calisto MT" w:cs="Times New Roman"/>
      <w:szCs w:val="20"/>
    </w:rPr>
  </w:style>
  <w:style w:type="paragraph" w:styleId="Footer">
    <w:name w:val="footer"/>
    <w:basedOn w:val="Normal"/>
    <w:link w:val="FooterChar"/>
    <w:rsid w:val="00C94935"/>
    <w:pPr>
      <w:tabs>
        <w:tab w:val="center" w:pos="4320"/>
        <w:tab w:val="right" w:pos="8640"/>
      </w:tabs>
    </w:pPr>
  </w:style>
  <w:style w:type="character" w:customStyle="1" w:styleId="FooterChar">
    <w:name w:val="Footer Char"/>
    <w:basedOn w:val="DefaultParagraphFont"/>
    <w:link w:val="Footer"/>
    <w:rsid w:val="00C94935"/>
    <w:rPr>
      <w:rFonts w:ascii="Calisto MT" w:eastAsia="Times New Roman" w:hAnsi="Calisto MT" w:cs="Times New Roman"/>
      <w:sz w:val="26"/>
      <w:szCs w:val="20"/>
    </w:rPr>
  </w:style>
  <w:style w:type="character" w:styleId="PageNumber">
    <w:name w:val="page number"/>
    <w:basedOn w:val="DefaultParagraphFont"/>
    <w:rsid w:val="00C94935"/>
  </w:style>
  <w:style w:type="paragraph" w:styleId="BlockText">
    <w:name w:val="Block Text"/>
    <w:basedOn w:val="Normal"/>
    <w:rsid w:val="00C94935"/>
    <w:pPr>
      <w:ind w:left="1440" w:right="1674"/>
    </w:pPr>
  </w:style>
  <w:style w:type="character" w:styleId="FootnoteReference">
    <w:name w:val="footnote reference"/>
    <w:uiPriority w:val="99"/>
    <w:semiHidden/>
    <w:rsid w:val="00C94935"/>
    <w:rPr>
      <w:vertAlign w:val="superscript"/>
    </w:rPr>
  </w:style>
  <w:style w:type="paragraph" w:styleId="Title">
    <w:name w:val="Title"/>
    <w:basedOn w:val="Normal"/>
    <w:link w:val="TitleChar"/>
    <w:qFormat/>
    <w:rsid w:val="00C94935"/>
    <w:pPr>
      <w:jc w:val="center"/>
    </w:pPr>
    <w:rPr>
      <w:b/>
    </w:rPr>
  </w:style>
  <w:style w:type="character" w:customStyle="1" w:styleId="TitleChar">
    <w:name w:val="Title Char"/>
    <w:basedOn w:val="DefaultParagraphFont"/>
    <w:link w:val="Title"/>
    <w:rsid w:val="00C94935"/>
    <w:rPr>
      <w:rFonts w:ascii="Calisto MT" w:eastAsia="Times New Roman" w:hAnsi="Calisto MT" w:cs="Times New Roman"/>
      <w:b/>
      <w:sz w:val="26"/>
      <w:szCs w:val="20"/>
    </w:rPr>
  </w:style>
  <w:style w:type="character" w:styleId="Hyperlink">
    <w:name w:val="Hyperlink"/>
    <w:rsid w:val="00C94935"/>
    <w:rPr>
      <w:color w:val="0000FF"/>
      <w:u w:val="single"/>
    </w:rPr>
  </w:style>
  <w:style w:type="paragraph" w:customStyle="1" w:styleId="vsLastFooter">
    <w:name w:val="vsLastFooter"/>
    <w:next w:val="Normal"/>
    <w:rsid w:val="00C94935"/>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customStyle="1" w:styleId="Default">
    <w:name w:val="Default"/>
    <w:rsid w:val="008A69F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13A6"/>
    <w:pPr>
      <w:ind w:left="720"/>
      <w:contextualSpacing/>
    </w:pPr>
  </w:style>
  <w:style w:type="character" w:styleId="PlaceholderText">
    <w:name w:val="Placeholder Text"/>
    <w:basedOn w:val="DefaultParagraphFont"/>
    <w:uiPriority w:val="99"/>
    <w:semiHidden/>
    <w:rsid w:val="000B5DC1"/>
    <w:rPr>
      <w:color w:val="808080"/>
    </w:rPr>
  </w:style>
  <w:style w:type="paragraph" w:styleId="BalloonText">
    <w:name w:val="Balloon Text"/>
    <w:basedOn w:val="Normal"/>
    <w:link w:val="BalloonTextChar"/>
    <w:uiPriority w:val="99"/>
    <w:semiHidden/>
    <w:unhideWhenUsed/>
    <w:rsid w:val="000B5DC1"/>
    <w:rPr>
      <w:rFonts w:ascii="Tahoma" w:hAnsi="Tahoma" w:cs="Tahoma"/>
      <w:sz w:val="16"/>
      <w:szCs w:val="16"/>
    </w:rPr>
  </w:style>
  <w:style w:type="character" w:customStyle="1" w:styleId="BalloonTextChar">
    <w:name w:val="Balloon Text Char"/>
    <w:basedOn w:val="DefaultParagraphFont"/>
    <w:link w:val="BalloonText"/>
    <w:uiPriority w:val="99"/>
    <w:semiHidden/>
    <w:rsid w:val="000B5DC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0C0A"/>
    <w:rPr>
      <w:sz w:val="16"/>
      <w:szCs w:val="16"/>
    </w:rPr>
  </w:style>
  <w:style w:type="paragraph" w:styleId="CommentText">
    <w:name w:val="annotation text"/>
    <w:basedOn w:val="Normal"/>
    <w:link w:val="CommentTextChar"/>
    <w:uiPriority w:val="99"/>
    <w:semiHidden/>
    <w:unhideWhenUsed/>
    <w:rsid w:val="00390C0A"/>
    <w:rPr>
      <w:sz w:val="20"/>
    </w:rPr>
  </w:style>
  <w:style w:type="character" w:customStyle="1" w:styleId="CommentTextChar">
    <w:name w:val="Comment Text Char"/>
    <w:basedOn w:val="DefaultParagraphFont"/>
    <w:link w:val="CommentText"/>
    <w:uiPriority w:val="99"/>
    <w:semiHidden/>
    <w:rsid w:val="00390C0A"/>
    <w:rPr>
      <w:rFonts w:ascii="Calisto MT" w:eastAsia="Times New Roman" w:hAnsi="Calisto MT" w:cs="Times New Roman"/>
      <w:sz w:val="20"/>
      <w:szCs w:val="20"/>
    </w:rPr>
  </w:style>
  <w:style w:type="paragraph" w:styleId="CommentSubject">
    <w:name w:val="annotation subject"/>
    <w:basedOn w:val="CommentText"/>
    <w:next w:val="CommentText"/>
    <w:link w:val="CommentSubjectChar"/>
    <w:uiPriority w:val="99"/>
    <w:semiHidden/>
    <w:unhideWhenUsed/>
    <w:rsid w:val="00390C0A"/>
    <w:rPr>
      <w:b/>
      <w:bCs/>
    </w:rPr>
  </w:style>
  <w:style w:type="character" w:customStyle="1" w:styleId="CommentSubjectChar">
    <w:name w:val="Comment Subject Char"/>
    <w:basedOn w:val="CommentTextChar"/>
    <w:link w:val="CommentSubject"/>
    <w:uiPriority w:val="99"/>
    <w:semiHidden/>
    <w:rsid w:val="00390C0A"/>
    <w:rPr>
      <w:rFonts w:ascii="Calisto MT" w:eastAsia="Times New Roman" w:hAnsi="Calisto MT" w:cs="Times New Roman"/>
      <w:b/>
      <w:bCs/>
      <w:sz w:val="20"/>
      <w:szCs w:val="20"/>
    </w:rPr>
  </w:style>
  <w:style w:type="paragraph" w:styleId="Header">
    <w:name w:val="header"/>
    <w:basedOn w:val="Normal"/>
    <w:link w:val="HeaderChar"/>
    <w:uiPriority w:val="99"/>
    <w:unhideWhenUsed/>
    <w:rsid w:val="00511B4A"/>
    <w:pPr>
      <w:tabs>
        <w:tab w:val="center" w:pos="4680"/>
        <w:tab w:val="right" w:pos="9360"/>
      </w:tabs>
    </w:pPr>
  </w:style>
  <w:style w:type="character" w:customStyle="1" w:styleId="HeaderChar">
    <w:name w:val="Header Char"/>
    <w:basedOn w:val="DefaultParagraphFont"/>
    <w:link w:val="Header"/>
    <w:uiPriority w:val="99"/>
    <w:rsid w:val="00511B4A"/>
    <w:rPr>
      <w:rFonts w:ascii="Calisto MT" w:eastAsia="Times New Roman" w:hAnsi="Calisto MT"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251">
      <w:bodyDiv w:val="1"/>
      <w:marLeft w:val="0"/>
      <w:marRight w:val="0"/>
      <w:marTop w:val="0"/>
      <w:marBottom w:val="0"/>
      <w:divBdr>
        <w:top w:val="none" w:sz="0" w:space="0" w:color="auto"/>
        <w:left w:val="none" w:sz="0" w:space="0" w:color="auto"/>
        <w:bottom w:val="none" w:sz="0" w:space="0" w:color="auto"/>
        <w:right w:val="none" w:sz="0" w:space="0" w:color="auto"/>
      </w:divBdr>
    </w:div>
    <w:div w:id="15824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dunn@firstenergycorp.com" TargetMode="External"/><Relationship Id="rId26" Type="http://schemas.openxmlformats.org/officeDocument/2006/relationships/hyperlink" Target="mailto:mkurtz@BKLlawfirm.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odonnell@dickinsonwright.com" TargetMode="External"/><Relationship Id="rId34" Type="http://schemas.openxmlformats.org/officeDocument/2006/relationships/hyperlink" Target="mailto:marmstrong@bricker.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burkj@firstenergycorp.com" TargetMode="External"/><Relationship Id="rId25" Type="http://schemas.openxmlformats.org/officeDocument/2006/relationships/hyperlink" Target="mailto:dboehm@BKLlawfirm.com" TargetMode="External"/><Relationship Id="rId33" Type="http://schemas.openxmlformats.org/officeDocument/2006/relationships/hyperlink" Target="mailto:mwarnock@bricker.com" TargetMode="External"/><Relationship Id="rId38" Type="http://schemas.openxmlformats.org/officeDocument/2006/relationships/hyperlink" Target="mailto:NMCDaniel@elpc.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lfloyd@jonesday.com" TargetMode="External"/><Relationship Id="rId29" Type="http://schemas.openxmlformats.org/officeDocument/2006/relationships/hyperlink" Target="mailto:mkl@bbrslaw.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homas.lindgren@puc.state.oh.us" TargetMode="External"/><Relationship Id="rId32" Type="http://schemas.openxmlformats.org/officeDocument/2006/relationships/hyperlink" Target="mailto:robinson@citizenpower.com" TargetMode="External"/><Relationship Id="rId37" Type="http://schemas.openxmlformats.org/officeDocument/2006/relationships/hyperlink" Target="mailto:lkalepsclark@vorys.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William.wright@puc.state.oh.us" TargetMode="External"/><Relationship Id="rId28" Type="http://schemas.openxmlformats.org/officeDocument/2006/relationships/hyperlink" Target="mailto:callwein@wamenergylaw.com" TargetMode="External"/><Relationship Id="rId36" Type="http://schemas.openxmlformats.org/officeDocument/2006/relationships/hyperlink" Target="mailto:mjsettineri@vorys.com" TargetMode="External"/><Relationship Id="rId10" Type="http://schemas.openxmlformats.org/officeDocument/2006/relationships/hyperlink" Target="mailto:joseph.clark@directenergy.com" TargetMode="External"/><Relationship Id="rId19" Type="http://schemas.openxmlformats.org/officeDocument/2006/relationships/hyperlink" Target="mailto:dakutik@jonesday.com" TargetMode="External"/><Relationship Id="rId31" Type="http://schemas.openxmlformats.org/officeDocument/2006/relationships/hyperlink" Target="mailto:trent@theoec.org" TargetMode="External"/><Relationship Id="rId4" Type="http://schemas.microsoft.com/office/2007/relationships/stylesWithEffects" Target="stylesWithEffects.xml"/><Relationship Id="rId9" Type="http://schemas.openxmlformats.org/officeDocument/2006/relationships/hyperlink" Target="mailto:joseph.clark@directenergy.com" TargetMode="External"/><Relationship Id="rId14" Type="http://schemas.openxmlformats.org/officeDocument/2006/relationships/footer" Target="footer2.xml"/><Relationship Id="rId22" Type="http://schemas.openxmlformats.org/officeDocument/2006/relationships/hyperlink" Target="mailto:yost@occ.state.oh.us" TargetMode="External"/><Relationship Id="rId27" Type="http://schemas.openxmlformats.org/officeDocument/2006/relationships/hyperlink" Target="mailto:jkyler@BKLlawfirm.com" TargetMode="External"/><Relationship Id="rId30" Type="http://schemas.openxmlformats.org/officeDocument/2006/relationships/hyperlink" Target="mailto:cathy@theoec.org" TargetMode="External"/><Relationship Id="rId35" Type="http://schemas.openxmlformats.org/officeDocument/2006/relationships/hyperlink" Target="mailto:mhpetricoff@vor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93F9-938E-4A20-96BA-D1E8732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2013-09-06T12:27:00Z</dcterms:created>
  <dcterms:modified xsi:type="dcterms:W3CDTF">2013-09-06T13:52:00Z</dcterms:modified>
</cp:coreProperties>
</file>