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99C6" w14:textId="77777777" w:rsidR="00762119" w:rsidRDefault="00537D74">
      <w:pPr>
        <w:pStyle w:val="Title"/>
        <w:rPr>
          <w:sz w:val="28"/>
        </w:rPr>
      </w:pPr>
      <w:bookmarkStart w:id="0" w:name="OLE_LINK1"/>
      <w:bookmarkStart w:id="1" w:name="OLE_LINK2"/>
      <w:bookmarkStart w:id="2" w:name="_GoBack"/>
      <w:bookmarkEnd w:id="2"/>
      <w:r>
        <w:rPr>
          <w:sz w:val="28"/>
        </w:rPr>
        <w:t>Before</w:t>
      </w:r>
    </w:p>
    <w:p w14:paraId="32512EB3" w14:textId="77777777" w:rsidR="00762119" w:rsidRDefault="00537D7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14:paraId="109E359D" w14:textId="77777777" w:rsidR="0015430C" w:rsidRPr="0015430C" w:rsidRDefault="0015430C" w:rsidP="001543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07B75E5" w14:textId="458C6E59" w:rsidR="0015430C" w:rsidRPr="0015430C" w:rsidRDefault="0015430C" w:rsidP="0015430C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15430C">
        <w:rPr>
          <w:rFonts w:ascii="Arial" w:eastAsiaTheme="minorHAnsi" w:hAnsi="Arial" w:cs="Arial"/>
        </w:rPr>
        <w:t>In the Matter of the</w:t>
      </w:r>
      <w:r w:rsidR="00A04FA6">
        <w:rPr>
          <w:rFonts w:ascii="Arial" w:eastAsiaTheme="minorHAnsi" w:hAnsi="Arial" w:cs="Arial"/>
        </w:rPr>
        <w:t xml:space="preserve"> Joint</w:t>
      </w:r>
      <w:r w:rsidRPr="0015430C">
        <w:rPr>
          <w:rFonts w:ascii="Arial" w:eastAsiaTheme="minorHAnsi" w:hAnsi="Arial" w:cs="Arial"/>
        </w:rPr>
        <w:t xml:space="preserve"> </w:t>
      </w:r>
      <w:r w:rsidR="00CE7DA8">
        <w:rPr>
          <w:rFonts w:ascii="Arial" w:eastAsiaTheme="minorHAnsi" w:hAnsi="Arial" w:cs="Arial"/>
        </w:rPr>
        <w:t>Application</w:t>
      </w:r>
      <w:r w:rsidRPr="0015430C">
        <w:rPr>
          <w:rFonts w:ascii="Arial" w:eastAsiaTheme="minorHAnsi" w:hAnsi="Arial" w:cs="Arial"/>
        </w:rPr>
        <w:t xml:space="preserve"> </w:t>
      </w:r>
      <w:r w:rsidRPr="0015430C">
        <w:rPr>
          <w:rFonts w:ascii="Arial" w:eastAsiaTheme="minorHAnsi" w:hAnsi="Arial" w:cs="Arial"/>
        </w:rPr>
        <w:tab/>
        <w:t>)</w:t>
      </w:r>
    </w:p>
    <w:p w14:paraId="3B668BF6" w14:textId="33582FD5" w:rsidR="0015430C" w:rsidRPr="0015430C" w:rsidRDefault="00A04FA6" w:rsidP="0015430C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of </w:t>
      </w:r>
      <w:proofErr w:type="spellStart"/>
      <w:r w:rsidR="003E6545">
        <w:rPr>
          <w:rFonts w:ascii="Arial" w:eastAsiaTheme="minorHAnsi" w:hAnsi="Arial" w:cs="Arial"/>
        </w:rPr>
        <w:t>Acero</w:t>
      </w:r>
      <w:proofErr w:type="spellEnd"/>
      <w:r w:rsidR="003E6545">
        <w:rPr>
          <w:rFonts w:ascii="Arial" w:eastAsiaTheme="minorHAnsi" w:hAnsi="Arial" w:cs="Arial"/>
        </w:rPr>
        <w:t xml:space="preserve"> Junction</w:t>
      </w:r>
      <w:r w:rsidR="0015430C">
        <w:rPr>
          <w:rFonts w:ascii="Arial" w:eastAsiaTheme="minorHAnsi" w:hAnsi="Arial" w:cs="Arial"/>
        </w:rPr>
        <w:t xml:space="preserve">, Inc. and Ohio Power </w:t>
      </w:r>
      <w:r w:rsidR="003E6545"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17-2132</w:t>
      </w:r>
      <w:r w:rsidRPr="0015430C">
        <w:rPr>
          <w:rFonts w:ascii="Arial" w:eastAsiaTheme="minorHAnsi" w:hAnsi="Arial" w:cs="Arial"/>
        </w:rPr>
        <w:t>-EL-AEC</w:t>
      </w:r>
      <w:r w:rsidR="003E6545">
        <w:rPr>
          <w:rFonts w:ascii="Arial" w:eastAsiaTheme="minorHAnsi" w:hAnsi="Arial" w:cs="Arial"/>
        </w:rPr>
        <w:br/>
      </w:r>
      <w:r w:rsidR="0015430C">
        <w:rPr>
          <w:rFonts w:ascii="Arial" w:eastAsiaTheme="minorHAnsi" w:hAnsi="Arial" w:cs="Arial"/>
        </w:rPr>
        <w:t>Company</w:t>
      </w:r>
      <w:r>
        <w:rPr>
          <w:rFonts w:ascii="Arial" w:eastAsiaTheme="minorHAnsi" w:hAnsi="Arial" w:cs="Arial"/>
        </w:rPr>
        <w:t xml:space="preserve"> for Approval of a Unique</w:t>
      </w:r>
      <w:r w:rsidR="003E6545">
        <w:rPr>
          <w:rFonts w:ascii="Arial" w:eastAsiaTheme="minorHAnsi" w:hAnsi="Arial" w:cs="Arial"/>
        </w:rPr>
        <w:tab/>
      </w:r>
      <w:r w:rsidR="0015430C" w:rsidRPr="0015430C">
        <w:rPr>
          <w:rFonts w:ascii="Arial" w:eastAsiaTheme="minorHAnsi" w:hAnsi="Arial" w:cs="Arial"/>
        </w:rPr>
        <w:t>)</w:t>
      </w:r>
    </w:p>
    <w:p w14:paraId="681437ED" w14:textId="5BA03429" w:rsidR="0015430C" w:rsidRPr="0015430C" w:rsidRDefault="00A04FA6" w:rsidP="00A04FA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Arrangement</w:t>
      </w:r>
      <w:r w:rsidR="00D2442B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 w:rsidR="00D2442B">
        <w:rPr>
          <w:rFonts w:ascii="Arial" w:eastAsiaTheme="minorHAnsi" w:hAnsi="Arial" w:cs="Arial"/>
        </w:rPr>
        <w:t xml:space="preserve">) </w:t>
      </w:r>
      <w:r w:rsidR="00D2442B">
        <w:rPr>
          <w:rFonts w:ascii="Arial" w:eastAsiaTheme="minorHAnsi" w:hAnsi="Arial" w:cs="Arial"/>
        </w:rPr>
        <w:tab/>
      </w:r>
    </w:p>
    <w:p w14:paraId="4B267538" w14:textId="77777777" w:rsidR="00762119" w:rsidRDefault="00762119">
      <w:pPr>
        <w:pStyle w:val="BodyText"/>
        <w:tabs>
          <w:tab w:val="left" w:pos="5040"/>
        </w:tabs>
        <w:rPr>
          <w:sz w:val="28"/>
        </w:rPr>
      </w:pPr>
    </w:p>
    <w:p w14:paraId="1D6BB452" w14:textId="77777777" w:rsidR="00762119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14:paraId="47F17280" w14:textId="77777777" w:rsidR="00762119" w:rsidRDefault="00537D74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  <w:r>
        <w:rPr>
          <w:rFonts w:ascii="Arial Bold" w:hAnsi="Arial Bold"/>
          <w:smallCaps/>
        </w:rPr>
        <w:t>Motion to Intervene and Memorandum In Support</w:t>
      </w:r>
    </w:p>
    <w:p w14:paraId="14C261A2" w14:textId="77777777" w:rsidR="00762119" w:rsidRDefault="00537D74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  <w:szCs w:val="28"/>
        </w:rPr>
      </w:pPr>
      <w:r>
        <w:rPr>
          <w:rFonts w:ascii="Arial Bold" w:hAnsi="Arial Bold"/>
          <w:smallCaps/>
        </w:rPr>
        <w:t>of Industrial Energy Users-Ohio</w:t>
      </w:r>
    </w:p>
    <w:bookmarkEnd w:id="0"/>
    <w:bookmarkEnd w:id="1"/>
    <w:p w14:paraId="0028421F" w14:textId="77777777" w:rsidR="00762119" w:rsidRDefault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14:paraId="237D5091" w14:textId="77777777" w:rsidR="00762119" w:rsidRDefault="00762119">
      <w:pPr>
        <w:pStyle w:val="Title"/>
        <w:rPr>
          <w:sz w:val="28"/>
          <w:u w:val="single"/>
        </w:rPr>
      </w:pPr>
    </w:p>
    <w:p w14:paraId="19889216" w14:textId="77777777" w:rsidR="00762119" w:rsidRDefault="00762119">
      <w:pPr>
        <w:pStyle w:val="Title"/>
        <w:rPr>
          <w:sz w:val="28"/>
          <w:u w:val="single"/>
        </w:rPr>
      </w:pPr>
    </w:p>
    <w:p w14:paraId="27591BD4" w14:textId="77777777" w:rsidR="00762119" w:rsidRDefault="00762119">
      <w:pPr>
        <w:pStyle w:val="Title"/>
        <w:rPr>
          <w:sz w:val="28"/>
          <w:u w:val="single"/>
        </w:rPr>
      </w:pPr>
    </w:p>
    <w:p w14:paraId="208D5295" w14:textId="77777777" w:rsidR="00762119" w:rsidRDefault="00762119">
      <w:pPr>
        <w:pStyle w:val="Title"/>
        <w:rPr>
          <w:sz w:val="28"/>
          <w:u w:val="single"/>
        </w:rPr>
      </w:pPr>
    </w:p>
    <w:p w14:paraId="68A5EB4E" w14:textId="77777777" w:rsidR="00451593" w:rsidRDefault="00451593">
      <w:pPr>
        <w:pStyle w:val="Title"/>
        <w:rPr>
          <w:sz w:val="28"/>
          <w:u w:val="single"/>
        </w:rPr>
      </w:pPr>
    </w:p>
    <w:p w14:paraId="4040EC9F" w14:textId="77777777" w:rsidR="00762119" w:rsidRDefault="00762119">
      <w:pPr>
        <w:pStyle w:val="Title"/>
        <w:rPr>
          <w:sz w:val="28"/>
          <w:u w:val="single"/>
        </w:rPr>
      </w:pPr>
    </w:p>
    <w:p w14:paraId="15C26F13" w14:textId="77777777" w:rsidR="00762119" w:rsidRDefault="00762119">
      <w:pPr>
        <w:pStyle w:val="Title"/>
        <w:rPr>
          <w:sz w:val="28"/>
          <w:u w:val="single"/>
        </w:rPr>
      </w:pPr>
    </w:p>
    <w:p w14:paraId="5F2BE12D" w14:textId="77777777" w:rsidR="00762119" w:rsidRDefault="00762119">
      <w:pPr>
        <w:pStyle w:val="Title"/>
        <w:rPr>
          <w:sz w:val="28"/>
          <w:u w:val="single"/>
        </w:rPr>
      </w:pPr>
    </w:p>
    <w:p w14:paraId="316A5ACF" w14:textId="2E190B45" w:rsidR="003055FC" w:rsidRDefault="003055FC">
      <w:pPr>
        <w:pStyle w:val="Title"/>
        <w:rPr>
          <w:sz w:val="28"/>
          <w:u w:val="single"/>
        </w:rPr>
      </w:pPr>
    </w:p>
    <w:p w14:paraId="11D2189B" w14:textId="77777777" w:rsidR="00D2442B" w:rsidRDefault="00D2442B">
      <w:pPr>
        <w:pStyle w:val="Title"/>
        <w:rPr>
          <w:sz w:val="28"/>
          <w:u w:val="single"/>
        </w:rPr>
      </w:pPr>
    </w:p>
    <w:p w14:paraId="582A7A69" w14:textId="77777777" w:rsidR="003055FC" w:rsidRDefault="003055FC">
      <w:pPr>
        <w:pStyle w:val="Title"/>
        <w:rPr>
          <w:sz w:val="28"/>
          <w:u w:val="single"/>
        </w:rPr>
      </w:pPr>
    </w:p>
    <w:p w14:paraId="70A6E55C" w14:textId="6ECA42B9" w:rsidR="00762119" w:rsidRDefault="00762119">
      <w:pPr>
        <w:pStyle w:val="Title"/>
        <w:rPr>
          <w:sz w:val="28"/>
          <w:u w:val="single"/>
        </w:rPr>
      </w:pPr>
    </w:p>
    <w:p w14:paraId="64B0209F" w14:textId="134E998C" w:rsidR="006C324A" w:rsidRDefault="006C324A">
      <w:pPr>
        <w:pStyle w:val="Title"/>
        <w:rPr>
          <w:sz w:val="28"/>
          <w:u w:val="single"/>
        </w:rPr>
      </w:pPr>
    </w:p>
    <w:p w14:paraId="4DB9E4BF" w14:textId="77777777" w:rsidR="00762119" w:rsidRDefault="00762119">
      <w:pPr>
        <w:pStyle w:val="Title"/>
        <w:rPr>
          <w:sz w:val="28"/>
          <w:u w:val="single"/>
        </w:rPr>
      </w:pPr>
    </w:p>
    <w:p w14:paraId="7884A2FD" w14:textId="7B54EB00" w:rsidR="00847C08" w:rsidRDefault="00847C08">
      <w:pPr>
        <w:pStyle w:val="Title"/>
        <w:rPr>
          <w:sz w:val="28"/>
          <w:u w:val="single"/>
        </w:rPr>
      </w:pPr>
    </w:p>
    <w:p w14:paraId="63B70F8E" w14:textId="2FF65144" w:rsidR="00762119" w:rsidRDefault="00762119" w:rsidP="00847C08">
      <w:pPr>
        <w:pStyle w:val="Title"/>
        <w:jc w:val="left"/>
        <w:rPr>
          <w:sz w:val="28"/>
          <w:u w:val="single"/>
        </w:rPr>
      </w:pPr>
    </w:p>
    <w:p w14:paraId="00DCB399" w14:textId="77777777" w:rsidR="00537D74" w:rsidRDefault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Frank P. </w:t>
      </w:r>
      <w:proofErr w:type="spellStart"/>
      <w:r>
        <w:rPr>
          <w:rFonts w:ascii="Arial" w:hAnsi="Arial" w:cs="Arial"/>
          <w:b w:val="0"/>
          <w:bCs/>
        </w:rPr>
        <w:t>Darr</w:t>
      </w:r>
      <w:proofErr w:type="spellEnd"/>
      <w:r>
        <w:rPr>
          <w:rFonts w:ascii="Arial" w:hAnsi="Arial" w:cs="Arial"/>
          <w:b w:val="0"/>
          <w:bCs/>
        </w:rPr>
        <w:t xml:space="preserve"> (Reg. No. 0025469)</w:t>
      </w:r>
    </w:p>
    <w:p w14:paraId="2DE2B579" w14:textId="3425E898" w:rsidR="00350B8F" w:rsidRDefault="005A6F59" w:rsidP="003055FC">
      <w:pPr>
        <w:tabs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0B8F">
        <w:rPr>
          <w:rFonts w:ascii="Arial" w:hAnsi="Arial" w:cs="Arial"/>
        </w:rPr>
        <w:t>(Counsel of Record)</w:t>
      </w:r>
    </w:p>
    <w:p w14:paraId="6D58A1F8" w14:textId="77777777" w:rsidR="00537D74" w:rsidRDefault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14:paraId="7C4AA994" w14:textId="77777777" w:rsidR="00537D74" w:rsidRDefault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57588C60" w14:textId="77777777" w:rsidR="00537D74" w:rsidRDefault="00537D74" w:rsidP="003055FC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7B0E1138" w14:textId="77777777" w:rsidR="00537D74" w:rsidRDefault="00537D74" w:rsidP="003055FC">
      <w:pPr>
        <w:pStyle w:val="BodyText"/>
        <w:ind w:left="4320"/>
      </w:pPr>
      <w:r>
        <w:t>Columbus, OH  43215</w:t>
      </w:r>
    </w:p>
    <w:p w14:paraId="65B78315" w14:textId="77777777" w:rsidR="00537D74" w:rsidRDefault="00537D74" w:rsidP="003055FC">
      <w:pPr>
        <w:pStyle w:val="BodyText"/>
        <w:ind w:left="4320"/>
      </w:pPr>
      <w:r>
        <w:t>Telephone:  (614) 469-8000</w:t>
      </w:r>
    </w:p>
    <w:p w14:paraId="4C2CB2A4" w14:textId="77777777" w:rsidR="00537D74" w:rsidRDefault="00537D74" w:rsidP="003055FC">
      <w:pPr>
        <w:pStyle w:val="BodyText"/>
        <w:ind w:left="4320"/>
      </w:pPr>
      <w:r>
        <w:t>Telecopier:  (614) 469-4653</w:t>
      </w:r>
    </w:p>
    <w:p w14:paraId="69CE1AA3" w14:textId="3AC595B7" w:rsidR="00537D74" w:rsidRPr="00847C08" w:rsidRDefault="00847C08" w:rsidP="003055FC">
      <w:pPr>
        <w:pStyle w:val="BodyText"/>
        <w:ind w:left="4320"/>
      </w:pPr>
      <w:r w:rsidRPr="00847C08">
        <w:t>fdarr@mwncmh.com</w:t>
      </w:r>
    </w:p>
    <w:p w14:paraId="496E9870" w14:textId="77777777" w:rsidR="00847C08" w:rsidRPr="00847C08" w:rsidRDefault="00847C08" w:rsidP="00847C0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ascii="Arial" w:eastAsia="Calibri" w:hAnsi="Arial" w:cs="Arial"/>
          <w:color w:val="000000"/>
        </w:rPr>
      </w:pPr>
      <w:r w:rsidRPr="00847C08">
        <w:rPr>
          <w:rFonts w:ascii="Arial" w:eastAsia="Calibri" w:hAnsi="Arial" w:cs="Arial"/>
          <w:color w:val="000000"/>
        </w:rPr>
        <w:t>(willing to accept service by e-mail)</w:t>
      </w:r>
    </w:p>
    <w:p w14:paraId="22E0CFFC" w14:textId="07DC6455" w:rsidR="00537D74" w:rsidRPr="00847C08" w:rsidRDefault="00847C08" w:rsidP="003055FC">
      <w:pPr>
        <w:pStyle w:val="BodyText"/>
        <w:ind w:left="4320"/>
      </w:pPr>
      <w:r w:rsidRPr="00847C08">
        <w:t>mpritchard@mwncmh.com</w:t>
      </w:r>
    </w:p>
    <w:p w14:paraId="6606F31A" w14:textId="1393C20B" w:rsidR="00847C08" w:rsidRPr="00847C08" w:rsidRDefault="00847C08" w:rsidP="00847C0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ascii="Arial" w:eastAsia="Calibri" w:hAnsi="Arial" w:cs="Arial"/>
          <w:color w:val="000000"/>
        </w:rPr>
      </w:pPr>
      <w:r w:rsidRPr="00847C08">
        <w:rPr>
          <w:rFonts w:ascii="Arial" w:eastAsia="Calibri" w:hAnsi="Arial" w:cs="Arial"/>
          <w:color w:val="000000"/>
        </w:rPr>
        <w:t>(willing to accept service by e-mail)</w:t>
      </w:r>
    </w:p>
    <w:p w14:paraId="2597B830" w14:textId="77777777" w:rsidR="00762119" w:rsidRDefault="00762119" w:rsidP="003055FC">
      <w:pPr>
        <w:tabs>
          <w:tab w:val="left" w:pos="4320"/>
          <w:tab w:val="right" w:pos="8640"/>
        </w:tabs>
        <w:jc w:val="both"/>
      </w:pPr>
    </w:p>
    <w:p w14:paraId="4881C169" w14:textId="018C5D5C" w:rsidR="00350B8F" w:rsidRDefault="003D7799" w:rsidP="003055FC">
      <w:pPr>
        <w:pStyle w:val="Title"/>
        <w:tabs>
          <w:tab w:val="left" w:pos="4320"/>
        </w:tabs>
        <w:ind w:left="4320" w:hanging="4320"/>
        <w:jc w:val="left"/>
        <w:rPr>
          <w:smallCaps w:val="0"/>
          <w:sz w:val="24"/>
        </w:rPr>
        <w:sectPr w:rsidR="00350B8F" w:rsidSect="004515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r>
        <w:rPr>
          <w:smallCaps w:val="0"/>
          <w:sz w:val="24"/>
        </w:rPr>
        <w:t>November 3</w:t>
      </w:r>
      <w:r w:rsidR="00451593">
        <w:rPr>
          <w:smallCaps w:val="0"/>
          <w:sz w:val="24"/>
        </w:rPr>
        <w:t>, 201</w:t>
      </w:r>
      <w:r w:rsidR="007E59F1">
        <w:rPr>
          <w:smallCaps w:val="0"/>
          <w:sz w:val="24"/>
        </w:rPr>
        <w:t>7</w:t>
      </w:r>
      <w:r w:rsidR="00537D74">
        <w:rPr>
          <w:smallCaps w:val="0"/>
          <w:sz w:val="24"/>
        </w:rPr>
        <w:tab/>
        <w:t>Attorneys for Industrial Energy Users-Ohio</w:t>
      </w:r>
    </w:p>
    <w:p w14:paraId="34E5A6EC" w14:textId="77777777" w:rsidR="00762119" w:rsidRDefault="00537D74" w:rsidP="00350B8F">
      <w:pPr>
        <w:pStyle w:val="Title"/>
        <w:tabs>
          <w:tab w:val="left" w:pos="4320"/>
        </w:tabs>
        <w:rPr>
          <w:sz w:val="28"/>
        </w:rPr>
      </w:pPr>
      <w:r>
        <w:rPr>
          <w:sz w:val="28"/>
        </w:rPr>
        <w:lastRenderedPageBreak/>
        <w:t>Before</w:t>
      </w:r>
    </w:p>
    <w:p w14:paraId="6941740A" w14:textId="00E0965B" w:rsidR="00762119" w:rsidRDefault="00537D7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The Public Utilities Commission of Ohio</w:t>
      </w:r>
    </w:p>
    <w:p w14:paraId="0862DA83" w14:textId="77777777" w:rsidR="00CE7DA8" w:rsidRPr="0015430C" w:rsidRDefault="00CE7DA8" w:rsidP="00CE7DA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3658591" w14:textId="77777777" w:rsidR="00CE7DA8" w:rsidRPr="0015430C" w:rsidRDefault="00CE7DA8" w:rsidP="00CE7DA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15430C">
        <w:rPr>
          <w:rFonts w:ascii="Arial" w:eastAsiaTheme="minorHAnsi" w:hAnsi="Arial" w:cs="Arial"/>
        </w:rPr>
        <w:t>In the Matter of the</w:t>
      </w:r>
      <w:r>
        <w:rPr>
          <w:rFonts w:ascii="Arial" w:eastAsiaTheme="minorHAnsi" w:hAnsi="Arial" w:cs="Arial"/>
        </w:rPr>
        <w:t xml:space="preserve"> Joint</w:t>
      </w:r>
      <w:r w:rsidRPr="0015430C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Application</w:t>
      </w:r>
      <w:r w:rsidRPr="0015430C">
        <w:rPr>
          <w:rFonts w:ascii="Arial" w:eastAsiaTheme="minorHAnsi" w:hAnsi="Arial" w:cs="Arial"/>
        </w:rPr>
        <w:t xml:space="preserve"> </w:t>
      </w:r>
      <w:r w:rsidRPr="0015430C">
        <w:rPr>
          <w:rFonts w:ascii="Arial" w:eastAsiaTheme="minorHAnsi" w:hAnsi="Arial" w:cs="Arial"/>
        </w:rPr>
        <w:tab/>
        <w:t>)</w:t>
      </w:r>
    </w:p>
    <w:p w14:paraId="78C1EB6E" w14:textId="77777777" w:rsidR="00CE7DA8" w:rsidRPr="0015430C" w:rsidRDefault="00CE7DA8" w:rsidP="00CE7DA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of </w:t>
      </w:r>
      <w:proofErr w:type="spellStart"/>
      <w:r>
        <w:rPr>
          <w:rFonts w:ascii="Arial" w:eastAsiaTheme="minorHAnsi" w:hAnsi="Arial" w:cs="Arial"/>
        </w:rPr>
        <w:t>Acero</w:t>
      </w:r>
      <w:proofErr w:type="spellEnd"/>
      <w:r>
        <w:rPr>
          <w:rFonts w:ascii="Arial" w:eastAsiaTheme="minorHAnsi" w:hAnsi="Arial" w:cs="Arial"/>
        </w:rPr>
        <w:t xml:space="preserve"> Junction, Inc. and Ohio Power 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17-2132</w:t>
      </w:r>
      <w:r w:rsidRPr="0015430C">
        <w:rPr>
          <w:rFonts w:ascii="Arial" w:eastAsiaTheme="minorHAnsi" w:hAnsi="Arial" w:cs="Arial"/>
        </w:rPr>
        <w:t>-EL-AEC</w:t>
      </w:r>
      <w:r>
        <w:rPr>
          <w:rFonts w:ascii="Arial" w:eastAsiaTheme="minorHAnsi" w:hAnsi="Arial" w:cs="Arial"/>
        </w:rPr>
        <w:br/>
        <w:t>Company for Approval of a Unique</w:t>
      </w:r>
      <w:r>
        <w:rPr>
          <w:rFonts w:ascii="Arial" w:eastAsiaTheme="minorHAnsi" w:hAnsi="Arial" w:cs="Arial"/>
        </w:rPr>
        <w:tab/>
      </w:r>
      <w:r w:rsidRPr="0015430C">
        <w:rPr>
          <w:rFonts w:ascii="Arial" w:eastAsiaTheme="minorHAnsi" w:hAnsi="Arial" w:cs="Arial"/>
        </w:rPr>
        <w:t>)</w:t>
      </w:r>
    </w:p>
    <w:p w14:paraId="4271E069" w14:textId="77777777" w:rsidR="00CE7DA8" w:rsidRPr="0015430C" w:rsidRDefault="00CE7DA8" w:rsidP="00CE7DA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Arrangement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 xml:space="preserve">) </w:t>
      </w:r>
      <w:r>
        <w:rPr>
          <w:rFonts w:ascii="Arial" w:eastAsiaTheme="minorHAnsi" w:hAnsi="Arial" w:cs="Arial"/>
        </w:rPr>
        <w:tab/>
      </w:r>
    </w:p>
    <w:p w14:paraId="25BAE2F4" w14:textId="77777777" w:rsidR="00CE7DA8" w:rsidRDefault="00CE7DA8" w:rsidP="00CE7DA8">
      <w:pPr>
        <w:pStyle w:val="BodyText"/>
        <w:tabs>
          <w:tab w:val="left" w:pos="5040"/>
        </w:tabs>
        <w:rPr>
          <w:sz w:val="28"/>
        </w:rPr>
      </w:pPr>
    </w:p>
    <w:p w14:paraId="49A92190" w14:textId="77777777" w:rsidR="00762119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14:paraId="7879703E" w14:textId="77777777" w:rsidR="00762119" w:rsidRDefault="00537D74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  <w:szCs w:val="28"/>
        </w:rPr>
      </w:pPr>
      <w:r>
        <w:rPr>
          <w:rFonts w:ascii="Arial Bold" w:hAnsi="Arial Bold"/>
          <w:smallCaps/>
        </w:rPr>
        <w:t>Motion to Intervene of Industrial Energy Users-Ohio</w:t>
      </w:r>
    </w:p>
    <w:p w14:paraId="65D4000B" w14:textId="77777777" w:rsidR="00762119" w:rsidRDefault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14:paraId="11129A37" w14:textId="77777777" w:rsidR="00762119" w:rsidRDefault="00762119">
      <w:pPr>
        <w:pStyle w:val="Title"/>
        <w:rPr>
          <w:sz w:val="28"/>
          <w:u w:val="single"/>
        </w:rPr>
      </w:pPr>
    </w:p>
    <w:p w14:paraId="11B2D8E5" w14:textId="6AE176C9" w:rsidR="00762119" w:rsidRDefault="00537D74">
      <w:pPr>
        <w:pStyle w:val="BodyTextIndent"/>
        <w:spacing w:before="120" w:line="480" w:lineRule="auto"/>
      </w:pPr>
      <w:r>
        <w:t xml:space="preserve">Industrial Energy Users-Ohio (“IEU-Ohio”) hereby respectfully moves the Public Utilities Commission of Ohio (“Commission”), pursuant to </w:t>
      </w:r>
      <w:r w:rsidR="00851031">
        <w:t>R.C.</w:t>
      </w:r>
      <w:r w:rsidR="00D2442B">
        <w:t xml:space="preserve"> 4903.221 and Rule </w:t>
      </w:r>
      <w:r>
        <w:t>4901-1-11, Ohio Administrative Code, for leave to intervene in the above-captioned matter with the full powers and rights granted by the Commission, specifically by statute</w:t>
      </w:r>
      <w:r w:rsidR="008D3871">
        <w:t>,</w:t>
      </w:r>
      <w:r>
        <w:t xml:space="preserve"> or by the provisions </w:t>
      </w:r>
      <w:r w:rsidR="008D3871">
        <w:t>of the Ohio Administrative Code</w:t>
      </w:r>
      <w:r>
        <w:t xml:space="preserve"> to intervening parties.</w:t>
      </w:r>
      <w:r w:rsidR="00F94319">
        <w:t xml:space="preserve">  The reasons supporting this motion are set out in the accompanying Memorandum in Support.</w:t>
      </w:r>
    </w:p>
    <w:p w14:paraId="14C5E84C" w14:textId="77777777" w:rsidR="00762119" w:rsidRDefault="00537D74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14:paraId="076D7531" w14:textId="77777777" w:rsidR="00762119" w:rsidRDefault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14:paraId="0D359A84" w14:textId="765022F1" w:rsidR="00537D74" w:rsidRPr="00C959CF" w:rsidRDefault="00C52ACB" w:rsidP="003055FC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 xml:space="preserve">/s/ </w:t>
      </w:r>
      <w:r w:rsidR="005A6F59">
        <w:rPr>
          <w:rFonts w:ascii="Arial" w:hAnsi="Arial" w:cs="Arial"/>
          <w:i/>
          <w:u w:val="single"/>
        </w:rPr>
        <w:t xml:space="preserve">Frank P. </w:t>
      </w:r>
      <w:proofErr w:type="spellStart"/>
      <w:r w:rsidR="005A6F59">
        <w:rPr>
          <w:rFonts w:ascii="Arial" w:hAnsi="Arial" w:cs="Arial"/>
          <w:i/>
          <w:u w:val="single"/>
        </w:rPr>
        <w:t>Darr</w:t>
      </w:r>
      <w:proofErr w:type="spellEnd"/>
      <w:r>
        <w:rPr>
          <w:rFonts w:ascii="Arial" w:hAnsi="Arial" w:cs="Arial"/>
          <w:i/>
          <w:u w:val="single"/>
        </w:rPr>
        <w:tab/>
      </w:r>
    </w:p>
    <w:p w14:paraId="5C7578E4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Frank P. </w:t>
      </w:r>
      <w:proofErr w:type="spellStart"/>
      <w:r>
        <w:rPr>
          <w:rFonts w:ascii="Arial" w:hAnsi="Arial" w:cs="Arial"/>
          <w:b w:val="0"/>
          <w:bCs/>
        </w:rPr>
        <w:t>Darr</w:t>
      </w:r>
      <w:proofErr w:type="spellEnd"/>
      <w:r>
        <w:rPr>
          <w:rFonts w:ascii="Arial" w:hAnsi="Arial" w:cs="Arial"/>
          <w:b w:val="0"/>
          <w:bCs/>
        </w:rPr>
        <w:t xml:space="preserve"> (Reg. No. 0025469)</w:t>
      </w:r>
    </w:p>
    <w:p w14:paraId="21ABB2D9" w14:textId="2855C6D7" w:rsidR="00350B8F" w:rsidRDefault="005A6F59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 </w:t>
      </w:r>
      <w:r w:rsidR="00350B8F">
        <w:rPr>
          <w:rFonts w:ascii="Arial" w:hAnsi="Arial" w:cs="Arial"/>
          <w:b w:val="0"/>
          <w:bCs/>
        </w:rPr>
        <w:t>(Counsel of Record)</w:t>
      </w:r>
    </w:p>
    <w:p w14:paraId="52F8F783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14:paraId="343C3DC6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061A9EF6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46510887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Columbus, OH  43215</w:t>
      </w:r>
    </w:p>
    <w:p w14:paraId="2DC0EF9F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Telephone:  (614) 469-8000</w:t>
      </w:r>
    </w:p>
    <w:p w14:paraId="5DB572AA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Telecopier:  (614) 469-4653</w:t>
      </w:r>
    </w:p>
    <w:p w14:paraId="14FCBDAD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fdarr@mwncmh.com</w:t>
      </w:r>
    </w:p>
    <w:p w14:paraId="3F054820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mpritchard@mwncmh.com</w:t>
      </w:r>
    </w:p>
    <w:p w14:paraId="48ACC8E5" w14:textId="77777777" w:rsidR="00762119" w:rsidRDefault="00762119" w:rsidP="00537D74">
      <w:pPr>
        <w:tabs>
          <w:tab w:val="left" w:pos="4320"/>
          <w:tab w:val="right" w:pos="8640"/>
        </w:tabs>
        <w:jc w:val="both"/>
      </w:pPr>
    </w:p>
    <w:p w14:paraId="27A3C7CB" w14:textId="070DA0F8" w:rsidR="00762119" w:rsidRDefault="00537D74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14:paraId="30E4EFDC" w14:textId="77777777" w:rsidR="003F22FF" w:rsidRDefault="003F22FF">
      <w:pPr>
        <w:pStyle w:val="Title"/>
        <w:tabs>
          <w:tab w:val="left" w:pos="4320"/>
        </w:tabs>
        <w:jc w:val="left"/>
        <w:rPr>
          <w:smallCaps w:val="0"/>
          <w:sz w:val="24"/>
        </w:rPr>
      </w:pPr>
    </w:p>
    <w:p w14:paraId="104093B6" w14:textId="77777777" w:rsidR="00A66889" w:rsidRDefault="00A66889">
      <w:pPr>
        <w:pStyle w:val="Title"/>
        <w:tabs>
          <w:tab w:val="left" w:pos="4320"/>
        </w:tabs>
        <w:jc w:val="left"/>
        <w:rPr>
          <w:smallCaps w:val="0"/>
          <w:sz w:val="24"/>
        </w:rPr>
        <w:sectPr w:rsidR="00A66889" w:rsidSect="00350B8F">
          <w:footerReference w:type="default" r:id="rId12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65F81A8E" w14:textId="77777777" w:rsidR="00762119" w:rsidRDefault="00537D74">
      <w:pPr>
        <w:pStyle w:val="Title"/>
        <w:rPr>
          <w:sz w:val="28"/>
        </w:rPr>
      </w:pPr>
      <w:r>
        <w:rPr>
          <w:sz w:val="28"/>
        </w:rPr>
        <w:lastRenderedPageBreak/>
        <w:t>Before</w:t>
      </w:r>
    </w:p>
    <w:p w14:paraId="7A1F9C57" w14:textId="77777777" w:rsidR="00762119" w:rsidRDefault="00537D7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14:paraId="17D8E86A" w14:textId="77777777" w:rsidR="005A6F59" w:rsidRPr="0015430C" w:rsidRDefault="005A6F59" w:rsidP="005A6F5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758F715" w14:textId="77777777" w:rsidR="005A6F59" w:rsidRPr="0015430C" w:rsidRDefault="005A6F59" w:rsidP="005A6F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15430C">
        <w:rPr>
          <w:rFonts w:ascii="Arial" w:eastAsiaTheme="minorHAnsi" w:hAnsi="Arial" w:cs="Arial"/>
        </w:rPr>
        <w:t>In the Matter of the</w:t>
      </w:r>
      <w:r>
        <w:rPr>
          <w:rFonts w:ascii="Arial" w:eastAsiaTheme="minorHAnsi" w:hAnsi="Arial" w:cs="Arial"/>
        </w:rPr>
        <w:t xml:space="preserve"> Joint</w:t>
      </w:r>
      <w:r w:rsidRPr="0015430C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Application</w:t>
      </w:r>
      <w:r w:rsidRPr="0015430C">
        <w:rPr>
          <w:rFonts w:ascii="Arial" w:eastAsiaTheme="minorHAnsi" w:hAnsi="Arial" w:cs="Arial"/>
        </w:rPr>
        <w:t xml:space="preserve"> </w:t>
      </w:r>
      <w:r w:rsidRPr="0015430C">
        <w:rPr>
          <w:rFonts w:ascii="Arial" w:eastAsiaTheme="minorHAnsi" w:hAnsi="Arial" w:cs="Arial"/>
        </w:rPr>
        <w:tab/>
        <w:t>)</w:t>
      </w:r>
    </w:p>
    <w:p w14:paraId="2B0BD2E5" w14:textId="77777777" w:rsidR="005A6F59" w:rsidRPr="0015430C" w:rsidRDefault="005A6F59" w:rsidP="005A6F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of </w:t>
      </w:r>
      <w:proofErr w:type="spellStart"/>
      <w:r>
        <w:rPr>
          <w:rFonts w:ascii="Arial" w:eastAsiaTheme="minorHAnsi" w:hAnsi="Arial" w:cs="Arial"/>
        </w:rPr>
        <w:t>Acero</w:t>
      </w:r>
      <w:proofErr w:type="spellEnd"/>
      <w:r>
        <w:rPr>
          <w:rFonts w:ascii="Arial" w:eastAsiaTheme="minorHAnsi" w:hAnsi="Arial" w:cs="Arial"/>
        </w:rPr>
        <w:t xml:space="preserve"> Junction, Inc. and Ohio Power 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17-2132</w:t>
      </w:r>
      <w:r w:rsidRPr="0015430C">
        <w:rPr>
          <w:rFonts w:ascii="Arial" w:eastAsiaTheme="minorHAnsi" w:hAnsi="Arial" w:cs="Arial"/>
        </w:rPr>
        <w:t>-EL-AEC</w:t>
      </w:r>
      <w:r>
        <w:rPr>
          <w:rFonts w:ascii="Arial" w:eastAsiaTheme="minorHAnsi" w:hAnsi="Arial" w:cs="Arial"/>
        </w:rPr>
        <w:br/>
        <w:t>Company for Approval of a Unique</w:t>
      </w:r>
      <w:r>
        <w:rPr>
          <w:rFonts w:ascii="Arial" w:eastAsiaTheme="minorHAnsi" w:hAnsi="Arial" w:cs="Arial"/>
        </w:rPr>
        <w:tab/>
      </w:r>
      <w:r w:rsidRPr="0015430C">
        <w:rPr>
          <w:rFonts w:ascii="Arial" w:eastAsiaTheme="minorHAnsi" w:hAnsi="Arial" w:cs="Arial"/>
        </w:rPr>
        <w:t>)</w:t>
      </w:r>
    </w:p>
    <w:p w14:paraId="7FA6752D" w14:textId="77777777" w:rsidR="005A6F59" w:rsidRPr="0015430C" w:rsidRDefault="005A6F59" w:rsidP="005A6F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Arrangement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 xml:space="preserve">) </w:t>
      </w:r>
      <w:r>
        <w:rPr>
          <w:rFonts w:ascii="Arial" w:eastAsiaTheme="minorHAnsi" w:hAnsi="Arial" w:cs="Arial"/>
        </w:rPr>
        <w:tab/>
      </w:r>
    </w:p>
    <w:p w14:paraId="2FEA4552" w14:textId="77777777" w:rsidR="005A6F59" w:rsidRDefault="005A6F59" w:rsidP="005A6F59">
      <w:pPr>
        <w:pStyle w:val="BodyText"/>
        <w:tabs>
          <w:tab w:val="left" w:pos="5040"/>
        </w:tabs>
        <w:rPr>
          <w:sz w:val="28"/>
        </w:rPr>
      </w:pPr>
    </w:p>
    <w:p w14:paraId="317D5EF2" w14:textId="77777777" w:rsidR="00762119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</w:p>
    <w:p w14:paraId="31B02C3A" w14:textId="77777777" w:rsidR="00762119" w:rsidRDefault="00537D74">
      <w:pPr>
        <w:pStyle w:val="Heading1"/>
        <w:tabs>
          <w:tab w:val="left" w:pos="7320"/>
        </w:tabs>
        <w:ind w:left="0" w:right="0"/>
        <w:jc w:val="center"/>
        <w:rPr>
          <w:rFonts w:ascii="Arial Bold" w:hAnsi="Arial Bold"/>
          <w:smallCaps/>
        </w:rPr>
      </w:pPr>
      <w:r>
        <w:rPr>
          <w:rFonts w:ascii="Arial Bold" w:hAnsi="Arial Bold"/>
          <w:smallCaps/>
        </w:rPr>
        <w:t>Memorandum In Support</w:t>
      </w:r>
    </w:p>
    <w:p w14:paraId="4E9D7D65" w14:textId="77777777" w:rsidR="00762119" w:rsidRDefault="00762119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14:paraId="0AE05ABF" w14:textId="77777777" w:rsidR="00762119" w:rsidRDefault="00762119">
      <w:pPr>
        <w:pStyle w:val="Title"/>
        <w:rPr>
          <w:sz w:val="28"/>
          <w:u w:val="single"/>
        </w:rPr>
      </w:pPr>
    </w:p>
    <w:p w14:paraId="5C05F6B3" w14:textId="77777777" w:rsidR="00762119" w:rsidRDefault="00762119">
      <w:pPr>
        <w:tabs>
          <w:tab w:val="left" w:pos="2160"/>
          <w:tab w:val="left" w:pos="2280"/>
        </w:tabs>
        <w:jc w:val="both"/>
        <w:rPr>
          <w:rFonts w:ascii="Arial" w:hAnsi="Arial" w:cs="Arial"/>
          <w:b/>
        </w:rPr>
      </w:pPr>
    </w:p>
    <w:p w14:paraId="6BD61C66" w14:textId="7C66BE2F" w:rsidR="00762119" w:rsidRDefault="00537D74">
      <w:pPr>
        <w:pStyle w:val="BodyText2"/>
        <w:rPr>
          <w:rFonts w:cs="Arial"/>
        </w:rPr>
      </w:pPr>
      <w:r>
        <w:rPr>
          <w:rFonts w:cs="Arial"/>
        </w:rPr>
        <w:t xml:space="preserve">In support of this Motion to Intervene, IEU-Ohio states that it is an association of ultimate customers.  A current listing of IEU-Ohio member companies is available on </w:t>
      </w:r>
      <w:r>
        <w:rPr>
          <w:rFonts w:cs="Arial"/>
          <w:szCs w:val="24"/>
        </w:rPr>
        <w:t>IEU-Ohio</w:t>
      </w:r>
      <w:r w:rsidR="006C324A">
        <w:rPr>
          <w:rFonts w:cs="Arial"/>
          <w:szCs w:val="24"/>
        </w:rPr>
        <w:t>’</w:t>
      </w:r>
      <w:r>
        <w:rPr>
          <w:rFonts w:cs="Arial"/>
          <w:szCs w:val="24"/>
        </w:rPr>
        <w:t xml:space="preserve">s website at </w:t>
      </w:r>
      <w:r w:rsidR="00451593" w:rsidRPr="006843DD">
        <w:rPr>
          <w:rFonts w:cs="Arial"/>
          <w:szCs w:val="24"/>
        </w:rPr>
        <w:t>http://www.ieu-ohio.org/member_list.aspx</w:t>
      </w:r>
      <w:r>
        <w:rPr>
          <w:rFonts w:cs="Arial"/>
          <w:szCs w:val="24"/>
        </w:rPr>
        <w:t xml:space="preserve">. </w:t>
      </w:r>
      <w:r>
        <w:rPr>
          <w:rFonts w:cs="Arial"/>
        </w:rPr>
        <w:t xml:space="preserve"> IEU-Ohio’s members purchase substantial amounts of electric and related services from Ohio’s electric distribution utilities (“EDU”).</w:t>
      </w:r>
    </w:p>
    <w:p w14:paraId="100C5A10" w14:textId="3ACE7D28" w:rsidR="00762119" w:rsidRDefault="00537D74">
      <w:pPr>
        <w:pStyle w:val="BodyText2"/>
        <w:rPr>
          <w:rFonts w:cs="Arial"/>
        </w:rPr>
      </w:pPr>
      <w:r>
        <w:rPr>
          <w:rFonts w:cs="Arial"/>
        </w:rPr>
        <w:t>IEU-Ohio’s members work together to address matters that affect the availability and price of utility services.  Additionally, IEU-Ohio seeks to promote customer-driven policies that will assure an adequate, reliable, and efficient supply of energy for all consumers at competitive prices.  To this end, IEU-Ohio has worked</w:t>
      </w:r>
      <w:r w:rsidR="008D012A">
        <w:rPr>
          <w:rFonts w:cs="Arial"/>
        </w:rPr>
        <w:t xml:space="preserve"> </w:t>
      </w:r>
      <w:r>
        <w:rPr>
          <w:rFonts w:cs="Arial"/>
        </w:rPr>
        <w:t xml:space="preserve">and will continue to work to produce legislative, regulatory, and market outcomes that are consistent with the State policy contained in </w:t>
      </w:r>
      <w:r w:rsidR="00851031">
        <w:rPr>
          <w:rFonts w:cs="Arial"/>
        </w:rPr>
        <w:t>R.C.</w:t>
      </w:r>
      <w:r>
        <w:rPr>
          <w:rFonts w:cs="Arial"/>
        </w:rPr>
        <w:t xml:space="preserve"> 4928.02</w:t>
      </w:r>
      <w:r w:rsidR="00851031">
        <w:rPr>
          <w:rFonts w:cs="Arial"/>
        </w:rPr>
        <w:t>.</w:t>
      </w:r>
    </w:p>
    <w:p w14:paraId="70AF2B7B" w14:textId="2934387B" w:rsidR="003122A6" w:rsidRDefault="003122A6">
      <w:pPr>
        <w:pStyle w:val="BodyText2"/>
        <w:rPr>
          <w:rFonts w:cs="Arial"/>
        </w:rPr>
      </w:pPr>
      <w:r>
        <w:rPr>
          <w:rFonts w:cs="Arial"/>
        </w:rPr>
        <w:t>R.C. 4903.221 provides:</w:t>
      </w:r>
    </w:p>
    <w:p w14:paraId="729F0704" w14:textId="77777777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r w:rsidRPr="003122A6">
        <w:rPr>
          <w:rFonts w:cs="Arial"/>
        </w:rPr>
        <w:t xml:space="preserve">Any other person who may be adversely affected by a public utilities commission proceeding may intervene in such proceeding, provided: </w:t>
      </w:r>
    </w:p>
    <w:p w14:paraId="59DD2421" w14:textId="77777777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bookmarkStart w:id="3" w:name="4903.221(A)"/>
      <w:r w:rsidRPr="003122A6">
        <w:rPr>
          <w:rFonts w:cs="Arial"/>
        </w:rPr>
        <w:t>(A)</w:t>
      </w:r>
      <w:bookmarkEnd w:id="3"/>
      <w:r w:rsidRPr="003122A6">
        <w:rPr>
          <w:rFonts w:cs="Arial"/>
        </w:rPr>
        <w:t xml:space="preserve"> That such other person files a motion to intervene with the commission no later than: </w:t>
      </w:r>
    </w:p>
    <w:p w14:paraId="13BFF39D" w14:textId="77777777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bookmarkStart w:id="4" w:name="4903.221(A)(1)"/>
      <w:r w:rsidRPr="003122A6">
        <w:rPr>
          <w:rFonts w:cs="Arial"/>
        </w:rPr>
        <w:t>(1)</w:t>
      </w:r>
      <w:bookmarkEnd w:id="4"/>
      <w:r w:rsidRPr="003122A6">
        <w:rPr>
          <w:rFonts w:cs="Arial"/>
        </w:rPr>
        <w:t xml:space="preserve"> Any specific deadline established by order of the commission for purposes of a particular proceeding; or, if no such deadline is established; </w:t>
      </w:r>
    </w:p>
    <w:p w14:paraId="45F1778C" w14:textId="77777777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bookmarkStart w:id="5" w:name="4903.221(A)(2)"/>
      <w:r w:rsidRPr="003122A6">
        <w:rPr>
          <w:rFonts w:cs="Arial"/>
        </w:rPr>
        <w:t>(2)</w:t>
      </w:r>
      <w:bookmarkEnd w:id="5"/>
      <w:r w:rsidRPr="003122A6">
        <w:rPr>
          <w:rFonts w:cs="Arial"/>
        </w:rPr>
        <w:t xml:space="preserve"> Five days prior to the scheduled date of hearing. The public utilities commission may, in its discretion, grant motions to intervene which </w:t>
      </w:r>
      <w:r w:rsidRPr="003122A6">
        <w:rPr>
          <w:rFonts w:cs="Arial"/>
        </w:rPr>
        <w:lastRenderedPageBreak/>
        <w:t xml:space="preserve">are filed after the deadlines set forth in divisions (A)(1) and (2) of this section for good cause shown. </w:t>
      </w:r>
    </w:p>
    <w:p w14:paraId="5B840176" w14:textId="77777777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bookmarkStart w:id="6" w:name="4903.221(B)"/>
      <w:r w:rsidRPr="003122A6">
        <w:rPr>
          <w:rFonts w:cs="Arial"/>
        </w:rPr>
        <w:t>(B)</w:t>
      </w:r>
      <w:bookmarkEnd w:id="6"/>
      <w:r w:rsidRPr="003122A6">
        <w:rPr>
          <w:rFonts w:cs="Arial"/>
        </w:rPr>
        <w:t xml:space="preserve"> That the commission, in ruling upon applications to intervene in its proceedings, shall consider the following criteria: </w:t>
      </w:r>
    </w:p>
    <w:p w14:paraId="7238F045" w14:textId="0B2A0EBB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bookmarkStart w:id="7" w:name="4903.221(B)(1)"/>
      <w:r w:rsidRPr="003122A6">
        <w:rPr>
          <w:rFonts w:cs="Arial"/>
        </w:rPr>
        <w:t>(1)</w:t>
      </w:r>
      <w:bookmarkEnd w:id="7"/>
      <w:r w:rsidRPr="003122A6">
        <w:rPr>
          <w:rFonts w:cs="Arial"/>
        </w:rPr>
        <w:t xml:space="preserve"> The nature and exten</w:t>
      </w:r>
      <w:r w:rsidR="00FF6713">
        <w:rPr>
          <w:rFonts w:cs="Arial"/>
        </w:rPr>
        <w:t>t of the prospective intervenor’</w:t>
      </w:r>
      <w:r w:rsidRPr="003122A6">
        <w:rPr>
          <w:rFonts w:cs="Arial"/>
        </w:rPr>
        <w:t xml:space="preserve">s interest; </w:t>
      </w:r>
    </w:p>
    <w:p w14:paraId="0D667032" w14:textId="77777777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bookmarkStart w:id="8" w:name="4903.221(B)(2)"/>
      <w:r w:rsidRPr="003122A6">
        <w:rPr>
          <w:rFonts w:cs="Arial"/>
        </w:rPr>
        <w:t>(2)</w:t>
      </w:r>
      <w:bookmarkEnd w:id="8"/>
      <w:r w:rsidRPr="003122A6">
        <w:rPr>
          <w:rFonts w:cs="Arial"/>
        </w:rPr>
        <w:t xml:space="preserve"> The legal position advanced by the prospective intervenor and its probable relation to the merits of the case; </w:t>
      </w:r>
    </w:p>
    <w:p w14:paraId="2DEADBA6" w14:textId="77777777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bookmarkStart w:id="9" w:name="4903.221(B)(3)"/>
      <w:r w:rsidRPr="003122A6">
        <w:rPr>
          <w:rFonts w:cs="Arial"/>
        </w:rPr>
        <w:t>(3)</w:t>
      </w:r>
      <w:bookmarkEnd w:id="9"/>
      <w:r w:rsidRPr="003122A6">
        <w:rPr>
          <w:rFonts w:cs="Arial"/>
        </w:rPr>
        <w:t xml:space="preserve"> Whether the intervention by the prospective intervenor will unduly prolong or delay the proceedings; </w:t>
      </w:r>
    </w:p>
    <w:p w14:paraId="25F92C99" w14:textId="52580BD7" w:rsid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  <w:bookmarkStart w:id="10" w:name="4903.221(B)(4)"/>
      <w:r w:rsidRPr="003122A6">
        <w:rPr>
          <w:rFonts w:cs="Arial"/>
        </w:rPr>
        <w:t>(4)</w:t>
      </w:r>
      <w:bookmarkEnd w:id="10"/>
      <w:r w:rsidRPr="003122A6">
        <w:rPr>
          <w:rFonts w:cs="Arial"/>
        </w:rPr>
        <w:t xml:space="preserve"> Whether the prospective intervenor will significantly contribute to full development and equitable resolution of the factual issues. </w:t>
      </w:r>
    </w:p>
    <w:p w14:paraId="16CB1777" w14:textId="77777777" w:rsidR="003122A6" w:rsidRPr="003122A6" w:rsidRDefault="003122A6" w:rsidP="00012F34">
      <w:pPr>
        <w:pStyle w:val="BodyText2"/>
        <w:spacing w:line="240" w:lineRule="auto"/>
        <w:ind w:left="720" w:right="720"/>
        <w:rPr>
          <w:rFonts w:cs="Arial"/>
        </w:rPr>
      </w:pPr>
    </w:p>
    <w:p w14:paraId="1EA4390E" w14:textId="0A193EA6" w:rsidR="002F539F" w:rsidRDefault="003122A6" w:rsidP="00012F34">
      <w:pPr>
        <w:pStyle w:val="BodyText2"/>
        <w:ind w:firstLine="0"/>
        <w:rPr>
          <w:rFonts w:cs="Arial"/>
        </w:rPr>
      </w:pPr>
      <w:r>
        <w:rPr>
          <w:rFonts w:cs="Arial"/>
        </w:rPr>
        <w:t xml:space="preserve">See, also, Rule 4901-1-11, OAC.  </w:t>
      </w:r>
      <w:r w:rsidR="002F539F">
        <w:rPr>
          <w:rFonts w:cs="Arial"/>
        </w:rPr>
        <w:t>Under R.C. 490</w:t>
      </w:r>
      <w:r>
        <w:rPr>
          <w:rFonts w:cs="Arial"/>
        </w:rPr>
        <w:t xml:space="preserve">3.221 and the Commission’s rule, the Commission is to liberally grant intervention.  </w:t>
      </w:r>
      <w:r w:rsidRPr="00012F34">
        <w:rPr>
          <w:rFonts w:cs="Arial"/>
          <w:i/>
        </w:rPr>
        <w:t xml:space="preserve">Ohio Consumers’ Counsel v. Pub. </w:t>
      </w:r>
      <w:proofErr w:type="spellStart"/>
      <w:r w:rsidRPr="00012F34">
        <w:rPr>
          <w:rFonts w:cs="Arial"/>
          <w:i/>
        </w:rPr>
        <w:t>Utils</w:t>
      </w:r>
      <w:proofErr w:type="spellEnd"/>
      <w:r w:rsidRPr="00012F34">
        <w:rPr>
          <w:rFonts w:cs="Arial"/>
          <w:i/>
        </w:rPr>
        <w:t>. Comm’n of Ohio</w:t>
      </w:r>
      <w:r>
        <w:rPr>
          <w:rFonts w:cs="Arial"/>
        </w:rPr>
        <w:t xml:space="preserve">, 111 Ohio St. 3d 384 (2006).  </w:t>
      </w:r>
    </w:p>
    <w:p w14:paraId="05851750" w14:textId="3AE87B5B" w:rsidR="00352C5E" w:rsidRDefault="00352C5E" w:rsidP="00012F34">
      <w:pPr>
        <w:pStyle w:val="BodyText2"/>
        <w:ind w:firstLine="0"/>
        <w:rPr>
          <w:rFonts w:cs="Arial"/>
        </w:rPr>
      </w:pPr>
      <w:r>
        <w:rPr>
          <w:rFonts w:cs="Arial"/>
        </w:rPr>
        <w:tab/>
        <w:t>Under the applicable requirements, IEU-Ohio should be granted intervention.</w:t>
      </w:r>
    </w:p>
    <w:p w14:paraId="730D860D" w14:textId="656177FA" w:rsidR="009A1F76" w:rsidRDefault="00352C5E" w:rsidP="006C324A">
      <w:pPr>
        <w:pStyle w:val="BodyText"/>
        <w:keepNext/>
        <w:tabs>
          <w:tab w:val="left" w:pos="720"/>
          <w:tab w:val="left" w:pos="5040"/>
        </w:tabs>
        <w:spacing w:line="480" w:lineRule="auto"/>
        <w:ind w:firstLine="720"/>
      </w:pPr>
      <w:r>
        <w:t xml:space="preserve">Initially, </w:t>
      </w:r>
      <w:r w:rsidR="00537D74">
        <w:t>IEU-Ohio has a real and substantial interest inasmuch as this proceeding may directly or indirectly impact the provision of electric service to IEU-Ohio members’ manufacturing facilities</w:t>
      </w:r>
      <w:r w:rsidR="008D3871">
        <w:t xml:space="preserve"> served by Ohio Power Company (“AEP-Ohio”)</w:t>
      </w:r>
      <w:r w:rsidR="00537D74">
        <w:t xml:space="preserve">.  </w:t>
      </w:r>
      <w:r w:rsidR="00810056">
        <w:t xml:space="preserve">The application provides that </w:t>
      </w:r>
      <w:proofErr w:type="spellStart"/>
      <w:r w:rsidR="00810056">
        <w:t>Acero</w:t>
      </w:r>
      <w:proofErr w:type="spellEnd"/>
      <w:r w:rsidR="00071918">
        <w:t xml:space="preserve"> Junction, Inc. (“</w:t>
      </w:r>
      <w:proofErr w:type="spellStart"/>
      <w:r w:rsidR="00071918">
        <w:t>Acero</w:t>
      </w:r>
      <w:proofErr w:type="spellEnd"/>
      <w:r w:rsidR="00071918">
        <w:t>”) is seeking a reasonable arrangement under which it</w:t>
      </w:r>
      <w:r w:rsidR="00810056">
        <w:t xml:space="preserve"> will secure rate reductions through an interruptible credit and participation in a transmission pilot program.  </w:t>
      </w:r>
      <w:r w:rsidR="00071918">
        <w:t xml:space="preserve">If the monthly rate credit </w:t>
      </w:r>
      <w:proofErr w:type="spellStart"/>
      <w:r w:rsidR="00071918">
        <w:t>Acero</w:t>
      </w:r>
      <w:proofErr w:type="spellEnd"/>
      <w:r w:rsidR="00071918">
        <w:t xml:space="preserve"> receives through the interruptible credit is not sufficient to off</w:t>
      </w:r>
      <w:r w:rsidR="008D3871">
        <w:t>s</w:t>
      </w:r>
      <w:r w:rsidR="00071918">
        <w:t>et 85% of its monthly transmission and distribution charges, the customer request</w:t>
      </w:r>
      <w:r w:rsidR="008D3871">
        <w:t>s</w:t>
      </w:r>
      <w:r w:rsidR="00071918">
        <w:t xml:space="preserve"> that it receive an additional monthly credit in the amount to offset 85% of those charges</w:t>
      </w:r>
      <w:r w:rsidR="00810056">
        <w:t xml:space="preserve">.  AEP-Ohio </w:t>
      </w:r>
      <w:r w:rsidR="00071918">
        <w:t>would be authorized</w:t>
      </w:r>
      <w:r w:rsidR="00810056">
        <w:t xml:space="preserve"> to recover “delta” revenue </w:t>
      </w:r>
      <w:r w:rsidR="008D3871">
        <w:t>to offset</w:t>
      </w:r>
      <w:r w:rsidR="00071918">
        <w:t xml:space="preserve"> this credit </w:t>
      </w:r>
      <w:r w:rsidR="00810056">
        <w:t>from other customers, including those that are members of IEU-Ohio</w:t>
      </w:r>
      <w:r w:rsidR="005D2A48">
        <w:t>.</w:t>
      </w:r>
      <w:r w:rsidR="009A1F76">
        <w:t xml:space="preserve"> </w:t>
      </w:r>
      <w:r w:rsidR="008425BE">
        <w:t xml:space="preserve"> </w:t>
      </w:r>
      <w:r w:rsidR="009A1F76">
        <w:t xml:space="preserve">Accordingly, </w:t>
      </w:r>
      <w:r w:rsidR="00925EA3">
        <w:t xml:space="preserve">IEU-Ohio is so situated that the disposition of this </w:t>
      </w:r>
      <w:r w:rsidR="00925EA3">
        <w:lastRenderedPageBreak/>
        <w:t>proceeding may</w:t>
      </w:r>
      <w:r>
        <w:t xml:space="preserve"> adversely affect</w:t>
      </w:r>
      <w:r w:rsidR="00925EA3">
        <w:t xml:space="preserve"> its ability to protect </w:t>
      </w:r>
      <w:r w:rsidR="00FA0B06">
        <w:t>members’ interest in reasonable rates</w:t>
      </w:r>
      <w:r w:rsidR="00925EA3">
        <w:t>.</w:t>
      </w:r>
    </w:p>
    <w:p w14:paraId="5FA4BFC6" w14:textId="723B2E30" w:rsidR="002F539F" w:rsidRDefault="00925EA3" w:rsidP="009A1F76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>IEU-Ohio’s participation will not unduly pro</w:t>
      </w:r>
      <w:r w:rsidR="00C6110E">
        <w:t xml:space="preserve">long or delay this proceeding. </w:t>
      </w:r>
      <w:r w:rsidR="003929AA">
        <w:t xml:space="preserve">By rule, intervention should be filed within twenty days </w:t>
      </w:r>
      <w:r w:rsidR="00FC5590">
        <w:t>of</w:t>
      </w:r>
      <w:r w:rsidR="003929AA">
        <w:t xml:space="preserve"> the filin</w:t>
      </w:r>
      <w:r w:rsidR="00C6110E">
        <w:t xml:space="preserve">g of </w:t>
      </w:r>
      <w:r w:rsidR="00FA0B06">
        <w:t>an</w:t>
      </w:r>
      <w:r w:rsidR="00C6110E">
        <w:t xml:space="preserve"> application</w:t>
      </w:r>
      <w:r w:rsidR="00FA0B06">
        <w:t xml:space="preserve"> for a reasonable arrangement</w:t>
      </w:r>
      <w:r w:rsidR="00C6110E">
        <w:t xml:space="preserve">. </w:t>
      </w:r>
      <w:r w:rsidR="00F94319">
        <w:t xml:space="preserve"> </w:t>
      </w:r>
      <w:r w:rsidR="00C6110E">
        <w:t>See Rule </w:t>
      </w:r>
      <w:r w:rsidR="003929AA">
        <w:t>4901:1-38-0</w:t>
      </w:r>
      <w:r w:rsidR="005D2A48">
        <w:t xml:space="preserve">3(E) and Rule 4901:1-38-05(F).  </w:t>
      </w:r>
      <w:r w:rsidR="00F94319">
        <w:t>In an Entry on October 27, 2017, however, t</w:t>
      </w:r>
      <w:r w:rsidR="005D2A48">
        <w:t xml:space="preserve">he Commission </w:t>
      </w:r>
      <w:r w:rsidR="00F94319">
        <w:t xml:space="preserve">extended the deadline for filing motions to intervene and comments </w:t>
      </w:r>
      <w:r w:rsidR="005D2A48">
        <w:t>that provided for parties to file within 20 days of the date of the Entry</w:t>
      </w:r>
      <w:r w:rsidR="00C6110E">
        <w:t xml:space="preserve">. </w:t>
      </w:r>
      <w:r w:rsidR="005D2A48">
        <w:t xml:space="preserve"> </w:t>
      </w:r>
      <w:r w:rsidR="00F94319">
        <w:t xml:space="preserve">Under either the </w:t>
      </w:r>
      <w:r w:rsidR="00FA0B06">
        <w:t xml:space="preserve">Commission’s </w:t>
      </w:r>
      <w:r w:rsidR="00F94319">
        <w:t>rule</w:t>
      </w:r>
      <w:r w:rsidR="00FA0B06">
        <w:t>s</w:t>
      </w:r>
      <w:r w:rsidR="00F94319">
        <w:t xml:space="preserve"> or the Entry</w:t>
      </w:r>
      <w:r w:rsidR="002F539F">
        <w:t xml:space="preserve">, </w:t>
      </w:r>
      <w:r>
        <w:t>IEU-Ohio’s motion to intervene is timely</w:t>
      </w:r>
      <w:r w:rsidR="00C6110E">
        <w:t xml:space="preserve">. </w:t>
      </w:r>
      <w:r w:rsidR="002F539F">
        <w:t>Further, IEU-Ohio has familiarity with the Commission’s rules and practices such that it will not unduly delay or prolong the proceeding.</w:t>
      </w:r>
    </w:p>
    <w:p w14:paraId="0B076912" w14:textId="2308A316" w:rsidR="002F539F" w:rsidRDefault="00F94319" w:rsidP="009A1F76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>Additionally</w:t>
      </w:r>
      <w:r w:rsidR="002F539F">
        <w:t>, IEU-Ohio</w:t>
      </w:r>
      <w:r w:rsidR="00925EA3">
        <w:t xml:space="preserve"> </w:t>
      </w:r>
      <w:r w:rsidR="002F539F">
        <w:t>can</w:t>
      </w:r>
      <w:r w:rsidR="00925EA3">
        <w:t xml:space="preserve"> significantly contribute to the full development and equitable resolution of the factual and other issues in the proceeding.  </w:t>
      </w:r>
      <w:r w:rsidR="002F539F">
        <w:t>As a well-versed participant in energy matters before the Commission including the prosecution of reasonable arrangements, the experience of IEU-Ohio in the Ohio energy market will contribute to the development of issues</w:t>
      </w:r>
      <w:r w:rsidR="003929AA">
        <w:t xml:space="preserve"> related to this application</w:t>
      </w:r>
      <w:r w:rsidR="002F539F">
        <w:t xml:space="preserve">.  </w:t>
      </w:r>
    </w:p>
    <w:p w14:paraId="038C889A" w14:textId="11C9EF37" w:rsidR="003929AA" w:rsidRDefault="002F539F" w:rsidP="009A1F76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>Finally, t</w:t>
      </w:r>
      <w:r w:rsidR="00925EA3">
        <w:t>he interests of IEU-Ohio will not be adequately represented by other parties to the proceeding</w:t>
      </w:r>
      <w:r w:rsidR="003929AA">
        <w:t>.</w:t>
      </w:r>
      <w:r w:rsidR="008D3871">
        <w:t xml:space="preserve">  At the time of this intervention, no other party representing the interests of large energy consumers has sought to intervene, and IEU-Ohio is uniquely situated to represent those interests due to long involvement in these kinds of matters.</w:t>
      </w:r>
    </w:p>
    <w:p w14:paraId="00AAE8E6" w14:textId="494A9620" w:rsidR="00C6110E" w:rsidRDefault="003929AA" w:rsidP="00D20D0C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>Based on these representations</w:t>
      </w:r>
      <w:r w:rsidR="00925EA3">
        <w:t>, IEU-Ohio is entitled to intervene with the full powers and rights granted by the Commission, specifically by statute and by the provisions of the Ohio Administrative Code, to intervening parties.</w:t>
      </w:r>
      <w:r>
        <w:t xml:space="preserve">  Therefore, the Commission should grant its Motion to Intervene.</w:t>
      </w:r>
    </w:p>
    <w:p w14:paraId="0A943163" w14:textId="77777777" w:rsidR="00762119" w:rsidRDefault="00537D74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Respectfully submitted,</w:t>
      </w:r>
    </w:p>
    <w:p w14:paraId="72375C48" w14:textId="77777777" w:rsidR="00762119" w:rsidRDefault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14:paraId="2ADC1C12" w14:textId="40D16119" w:rsidR="00762119" w:rsidRPr="00E9191A" w:rsidRDefault="00537D74">
      <w:pPr>
        <w:tabs>
          <w:tab w:val="left" w:pos="4320"/>
          <w:tab w:val="right" w:pos="8640"/>
        </w:tabs>
        <w:jc w:val="both"/>
        <w:rPr>
          <w:rFonts w:ascii="Arial" w:hAnsi="Arial" w:cs="Arial"/>
          <w:i/>
          <w:u w:val="single"/>
        </w:rPr>
      </w:pPr>
      <w:r w:rsidRPr="00E9191A">
        <w:rPr>
          <w:rFonts w:ascii="Arial" w:hAnsi="Arial" w:cs="Arial"/>
          <w:i/>
        </w:rPr>
        <w:tab/>
      </w:r>
      <w:r w:rsidR="00C127C7">
        <w:rPr>
          <w:rFonts w:ascii="Arial" w:hAnsi="Arial" w:cs="Arial"/>
          <w:i/>
          <w:u w:val="single"/>
        </w:rPr>
        <w:t xml:space="preserve">/s/ </w:t>
      </w:r>
      <w:r w:rsidR="00D20D0C">
        <w:rPr>
          <w:rFonts w:ascii="Arial" w:hAnsi="Arial" w:cs="Arial"/>
          <w:i/>
          <w:u w:val="single"/>
        </w:rPr>
        <w:t xml:space="preserve">Frank P. </w:t>
      </w:r>
      <w:proofErr w:type="spellStart"/>
      <w:r w:rsidR="00D20D0C">
        <w:rPr>
          <w:rFonts w:ascii="Arial" w:hAnsi="Arial" w:cs="Arial"/>
          <w:i/>
          <w:u w:val="single"/>
        </w:rPr>
        <w:t>Darr</w:t>
      </w:r>
      <w:proofErr w:type="spellEnd"/>
      <w:r w:rsidR="00C127C7">
        <w:rPr>
          <w:rFonts w:ascii="Arial" w:hAnsi="Arial" w:cs="Arial"/>
          <w:i/>
          <w:u w:val="single"/>
        </w:rPr>
        <w:tab/>
      </w:r>
    </w:p>
    <w:p w14:paraId="592DA39F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Frank P. </w:t>
      </w:r>
      <w:proofErr w:type="spellStart"/>
      <w:r>
        <w:rPr>
          <w:rFonts w:ascii="Arial" w:hAnsi="Arial" w:cs="Arial"/>
          <w:b w:val="0"/>
          <w:bCs/>
        </w:rPr>
        <w:t>Darr</w:t>
      </w:r>
      <w:proofErr w:type="spellEnd"/>
      <w:r>
        <w:rPr>
          <w:rFonts w:ascii="Arial" w:hAnsi="Arial" w:cs="Arial"/>
          <w:b w:val="0"/>
          <w:bCs/>
        </w:rPr>
        <w:t xml:space="preserve"> (Reg. No. 0025469)</w:t>
      </w:r>
    </w:p>
    <w:p w14:paraId="46EAF6BC" w14:textId="2E2965C3" w:rsidR="00350B8F" w:rsidRDefault="00D20D0C" w:rsidP="00350B8F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0B8F">
        <w:rPr>
          <w:rFonts w:ascii="Arial" w:hAnsi="Arial" w:cs="Arial"/>
        </w:rPr>
        <w:t>(Counsel of Record)</w:t>
      </w:r>
    </w:p>
    <w:p w14:paraId="3F085A52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14:paraId="3E7DD554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7C6DD3AD" w14:textId="77777777" w:rsidR="00537D74" w:rsidRDefault="00537D74" w:rsidP="00537D74">
      <w:pPr>
        <w:pStyle w:val="BodyText3"/>
        <w:widowControl w:val="0"/>
        <w:tabs>
          <w:tab w:val="left" w:pos="4320"/>
        </w:tabs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1C5E7DB9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Columbus, OH  43215</w:t>
      </w:r>
    </w:p>
    <w:p w14:paraId="7009EF02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Telephone:  (614) 469-8000</w:t>
      </w:r>
    </w:p>
    <w:p w14:paraId="48230089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Telecopier:  (614) 469-4653</w:t>
      </w:r>
    </w:p>
    <w:p w14:paraId="01D85553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fdarr@mwncmh.com</w:t>
      </w:r>
    </w:p>
    <w:p w14:paraId="634E048D" w14:textId="77777777" w:rsidR="00537D74" w:rsidRDefault="00537D74" w:rsidP="00537D74">
      <w:pPr>
        <w:pStyle w:val="BodyText"/>
        <w:tabs>
          <w:tab w:val="left" w:pos="4320"/>
        </w:tabs>
        <w:ind w:left="4320"/>
      </w:pPr>
      <w:r>
        <w:t>mpritchard@mwncmh.com</w:t>
      </w:r>
    </w:p>
    <w:p w14:paraId="4311864B" w14:textId="77777777" w:rsidR="00762119" w:rsidRDefault="00762119">
      <w:pPr>
        <w:pStyle w:val="BodyText"/>
        <w:tabs>
          <w:tab w:val="left" w:pos="4320"/>
        </w:tabs>
      </w:pPr>
    </w:p>
    <w:p w14:paraId="1259B966" w14:textId="77777777" w:rsidR="00762119" w:rsidRDefault="00537D74">
      <w:pPr>
        <w:pStyle w:val="Title"/>
        <w:tabs>
          <w:tab w:val="left" w:pos="4320"/>
        </w:tabs>
        <w:jc w:val="left"/>
        <w:rPr>
          <w:smallCaps w:val="0"/>
          <w:sz w:val="24"/>
        </w:rPr>
      </w:pPr>
      <w:r>
        <w:rPr>
          <w:smallCaps w:val="0"/>
          <w:sz w:val="24"/>
        </w:rPr>
        <w:tab/>
        <w:t>Attorneys for Industrial Energy Users-Ohio</w:t>
      </w:r>
    </w:p>
    <w:p w14:paraId="172A42D7" w14:textId="77777777" w:rsidR="00762119" w:rsidRDefault="00762119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</w:rPr>
        <w:sectPr w:rsidR="00762119" w:rsidSect="00350B8F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4B530234" w14:textId="77777777" w:rsidR="00762119" w:rsidRDefault="00537D74">
      <w:pPr>
        <w:tabs>
          <w:tab w:val="left" w:pos="2160"/>
          <w:tab w:val="left" w:pos="2280"/>
        </w:tabs>
        <w:jc w:val="center"/>
        <w:rPr>
          <w:rFonts w:ascii="Arial Bold" w:hAnsi="Arial Bold" w:cs="Arial"/>
          <w:b/>
          <w:smallCaps/>
          <w:sz w:val="28"/>
          <w:u w:val="single"/>
        </w:rPr>
      </w:pPr>
      <w:r>
        <w:rPr>
          <w:rFonts w:ascii="Arial Bold" w:hAnsi="Arial Bold" w:cs="Arial"/>
          <w:b/>
          <w:smallCaps/>
          <w:sz w:val="28"/>
          <w:u w:val="single"/>
        </w:rPr>
        <w:lastRenderedPageBreak/>
        <w:t>Certificate of Service</w:t>
      </w:r>
    </w:p>
    <w:p w14:paraId="4A886566" w14:textId="77777777" w:rsidR="00762119" w:rsidRDefault="00762119">
      <w:pPr>
        <w:rPr>
          <w:rFonts w:ascii="Arial" w:hAnsi="Arial" w:cs="Arial"/>
        </w:rPr>
      </w:pPr>
    </w:p>
    <w:p w14:paraId="6DA6D218" w14:textId="4DB8E38E" w:rsidR="00E66B49" w:rsidRPr="00E66B49" w:rsidRDefault="00E66B49" w:rsidP="00E66B49">
      <w:pPr>
        <w:pStyle w:val="BodyText"/>
        <w:spacing w:line="480" w:lineRule="auto"/>
        <w:ind w:firstLine="720"/>
      </w:pPr>
      <w:r w:rsidRPr="00E66B49">
        <w:t>In accordance with Rule 4901-1-05, Ohi</w:t>
      </w:r>
      <w:r w:rsidR="003F22FF">
        <w:t>o Administrative Code, the PUCO’</w:t>
      </w:r>
      <w:r w:rsidRPr="00E66B49">
        <w:t xml:space="preserve">s e-filing system will electronically serve notice of the filing of this document upon the following parties.  In addition, I hereby certify that a service copy of the foregoing </w:t>
      </w:r>
      <w:r>
        <w:rPr>
          <w:i/>
        </w:rPr>
        <w:t>Motion to Intervene and Memorandum in Support of Industrial Energy Users-Ohio</w:t>
      </w:r>
      <w:r w:rsidRPr="00E66B49">
        <w:t xml:space="preserve"> was sent by, or on behalf of, the undersigned counsel for IEU-Ohio to the f</w:t>
      </w:r>
      <w:r w:rsidR="0043710A">
        <w:t xml:space="preserve">ollowing parties of record this </w:t>
      </w:r>
      <w:r w:rsidR="003D7799">
        <w:t>3rd</w:t>
      </w:r>
      <w:r>
        <w:t xml:space="preserve"> </w:t>
      </w:r>
      <w:r w:rsidRPr="00E66B49">
        <w:t xml:space="preserve">day of </w:t>
      </w:r>
      <w:proofErr w:type="gramStart"/>
      <w:r w:rsidR="00D20D0C">
        <w:t>November,</w:t>
      </w:r>
      <w:proofErr w:type="gramEnd"/>
      <w:r>
        <w:t xml:space="preserve"> 201</w:t>
      </w:r>
      <w:r w:rsidR="00220B54">
        <w:t>7</w:t>
      </w:r>
      <w:r>
        <w:t xml:space="preserve">, </w:t>
      </w:r>
      <w:r w:rsidRPr="00E66B49">
        <w:rPr>
          <w:i/>
        </w:rPr>
        <w:t>via</w:t>
      </w:r>
      <w:r w:rsidRPr="00E66B49">
        <w:t xml:space="preserve"> electronic transmission. </w:t>
      </w:r>
    </w:p>
    <w:p w14:paraId="33D6CCF8" w14:textId="680180FA" w:rsidR="00451593" w:rsidRPr="00220B54" w:rsidRDefault="00220B54" w:rsidP="003055FC">
      <w:pPr>
        <w:tabs>
          <w:tab w:val="center" w:pos="7200"/>
          <w:tab w:val="right" w:pos="9360"/>
        </w:tabs>
        <w:ind w:left="50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/s/ </w:t>
      </w:r>
      <w:r w:rsidR="00D20D0C">
        <w:rPr>
          <w:rFonts w:ascii="Arial" w:hAnsi="Arial" w:cs="Arial"/>
          <w:i/>
          <w:u w:val="single"/>
        </w:rPr>
        <w:t xml:space="preserve">Frank P. </w:t>
      </w:r>
      <w:proofErr w:type="spellStart"/>
      <w:r w:rsidR="00D20D0C">
        <w:rPr>
          <w:rFonts w:ascii="Arial" w:hAnsi="Arial" w:cs="Arial"/>
          <w:i/>
          <w:u w:val="single"/>
        </w:rPr>
        <w:t>Darr</w:t>
      </w:r>
      <w:proofErr w:type="spellEnd"/>
      <w:r w:rsidR="00D20D0C">
        <w:rPr>
          <w:rFonts w:ascii="Arial" w:hAnsi="Arial" w:cs="Arial"/>
          <w:i/>
          <w:u w:val="single"/>
        </w:rPr>
        <w:tab/>
      </w:r>
      <w:r w:rsidR="001C2ED0">
        <w:rPr>
          <w:rFonts w:ascii="Arial" w:hAnsi="Arial" w:cs="Arial"/>
          <w:i/>
          <w:u w:val="single"/>
        </w:rPr>
        <w:tab/>
      </w:r>
    </w:p>
    <w:p w14:paraId="52820F73" w14:textId="26EE2FE2" w:rsidR="00762119" w:rsidRPr="00294B9F" w:rsidRDefault="00C02D0C" w:rsidP="00C02D0C">
      <w:pPr>
        <w:tabs>
          <w:tab w:val="center" w:pos="7200"/>
          <w:tab w:val="right" w:pos="9360"/>
        </w:tabs>
        <w:ind w:left="57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D20D0C">
        <w:rPr>
          <w:rFonts w:ascii="Arial" w:hAnsi="Arial" w:cs="Arial"/>
        </w:rPr>
        <w:t xml:space="preserve">Frank P. </w:t>
      </w:r>
      <w:proofErr w:type="spellStart"/>
      <w:r w:rsidR="00D20D0C">
        <w:rPr>
          <w:rFonts w:ascii="Arial" w:hAnsi="Arial" w:cs="Arial"/>
        </w:rPr>
        <w:t>Darr</w:t>
      </w:r>
      <w:proofErr w:type="spellEnd"/>
    </w:p>
    <w:p w14:paraId="69611294" w14:textId="77777777" w:rsidR="00762119" w:rsidRDefault="00762119">
      <w:pPr>
        <w:tabs>
          <w:tab w:val="left" w:pos="2160"/>
          <w:tab w:val="left" w:pos="2280"/>
        </w:tabs>
        <w:rPr>
          <w:rFonts w:ascii="Arial" w:hAnsi="Arial" w:cs="Arial"/>
        </w:rPr>
      </w:pPr>
    </w:p>
    <w:p w14:paraId="4C12A6A9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  <w:sectPr w:rsidR="00762119"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14:paraId="5EAC1F9C" w14:textId="77777777" w:rsidR="0076493E" w:rsidRDefault="0076493E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</w:p>
    <w:p w14:paraId="36B485AC" w14:textId="240BEFF3" w:rsidR="00265E8C" w:rsidRDefault="00265E8C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148"/>
      </w:tblGrid>
      <w:tr w:rsidR="00847C08" w14:paraId="707FA6D5" w14:textId="77777777" w:rsidTr="00A00AFC">
        <w:tc>
          <w:tcPr>
            <w:tcW w:w="4680" w:type="dxa"/>
          </w:tcPr>
          <w:p w14:paraId="286DB7AA" w14:textId="67403AF3" w:rsidR="00A00AFC" w:rsidRPr="003A4826" w:rsidRDefault="00A00AF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  <w:b/>
              </w:rPr>
            </w:pPr>
            <w:r w:rsidRPr="003A4826">
              <w:rPr>
                <w:rFonts w:ascii="Arial" w:hAnsi="Arial" w:cs="Arial"/>
                <w:b/>
              </w:rPr>
              <w:t xml:space="preserve">Michael </w:t>
            </w:r>
            <w:r w:rsidR="00D20D0C" w:rsidRPr="003A4826">
              <w:rPr>
                <w:rFonts w:ascii="Arial" w:hAnsi="Arial" w:cs="Arial"/>
                <w:b/>
              </w:rPr>
              <w:t>L</w:t>
            </w:r>
            <w:r w:rsidRPr="003A4826">
              <w:rPr>
                <w:rFonts w:ascii="Arial" w:hAnsi="Arial" w:cs="Arial"/>
                <w:b/>
              </w:rPr>
              <w:t xml:space="preserve">. </w:t>
            </w:r>
            <w:r w:rsidR="00D20D0C" w:rsidRPr="003A4826">
              <w:rPr>
                <w:rFonts w:ascii="Arial" w:hAnsi="Arial" w:cs="Arial"/>
                <w:b/>
              </w:rPr>
              <w:t>Kurtz</w:t>
            </w:r>
          </w:p>
          <w:p w14:paraId="6F231AF1" w14:textId="45069411" w:rsidR="00A00AFC" w:rsidRPr="003A4826" w:rsidRDefault="00D20D0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  <w:b/>
              </w:rPr>
            </w:pPr>
            <w:r w:rsidRPr="003A4826">
              <w:rPr>
                <w:rFonts w:ascii="Arial" w:hAnsi="Arial" w:cs="Arial"/>
                <w:b/>
              </w:rPr>
              <w:t>Jody Kyler Cohn</w:t>
            </w:r>
          </w:p>
          <w:p w14:paraId="30CD84D1" w14:textId="7500FADA" w:rsidR="00A00AFC" w:rsidRPr="00A00AFC" w:rsidRDefault="00D20D0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Boehm, Kurtz &amp; Lowry</w:t>
            </w:r>
          </w:p>
          <w:p w14:paraId="576D03BE" w14:textId="1E94A30A" w:rsidR="00A00AFC" w:rsidRPr="00A00AFC" w:rsidRDefault="00D20D0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A00AFC" w:rsidRPr="00A00AFC">
              <w:rPr>
                <w:rFonts w:ascii="Arial" w:hAnsi="Arial" w:cs="Arial"/>
              </w:rPr>
              <w:t xml:space="preserve"> East </w:t>
            </w:r>
            <w:r>
              <w:rPr>
                <w:rFonts w:ascii="Arial" w:hAnsi="Arial" w:cs="Arial"/>
              </w:rPr>
              <w:t>Seventh</w:t>
            </w:r>
            <w:r w:rsidR="00A00AFC" w:rsidRPr="00A00AFC">
              <w:rPr>
                <w:rFonts w:ascii="Arial" w:hAnsi="Arial" w:cs="Arial"/>
              </w:rPr>
              <w:t xml:space="preserve"> Street, </w:t>
            </w:r>
            <w:r>
              <w:rPr>
                <w:rFonts w:ascii="Arial" w:hAnsi="Arial" w:cs="Arial"/>
              </w:rPr>
              <w:t>Suite 1510</w:t>
            </w:r>
          </w:p>
          <w:p w14:paraId="0C35643F" w14:textId="4AA8D364" w:rsidR="00A00AFC" w:rsidRPr="00A00AFC" w:rsidRDefault="00A00AF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</w:rPr>
            </w:pPr>
            <w:r w:rsidRPr="00A00AFC">
              <w:rPr>
                <w:rFonts w:ascii="Arial" w:hAnsi="Arial" w:cs="Arial"/>
              </w:rPr>
              <w:t>C</w:t>
            </w:r>
            <w:r w:rsidR="00404771">
              <w:rPr>
                <w:rFonts w:ascii="Arial" w:hAnsi="Arial" w:cs="Arial"/>
              </w:rPr>
              <w:t>incinnati</w:t>
            </w:r>
            <w:r w:rsidRPr="00A00AFC">
              <w:rPr>
                <w:rFonts w:ascii="Arial" w:hAnsi="Arial" w:cs="Arial"/>
              </w:rPr>
              <w:t xml:space="preserve">, OH </w:t>
            </w:r>
            <w:r w:rsidR="00404771">
              <w:rPr>
                <w:rFonts w:ascii="Arial" w:hAnsi="Arial" w:cs="Arial"/>
              </w:rPr>
              <w:t>45202</w:t>
            </w:r>
          </w:p>
          <w:p w14:paraId="77537EA7" w14:textId="24F2DEB3" w:rsidR="00A00AFC" w:rsidRPr="00A00AFC" w:rsidRDefault="00404771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mkurtz@bkllawfirm.com</w:t>
            </w:r>
          </w:p>
          <w:p w14:paraId="592ECE98" w14:textId="10532DD1" w:rsidR="00A00AFC" w:rsidRPr="00A00AFC" w:rsidRDefault="00404771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jkylercohn@bkllawfirm.com</w:t>
            </w:r>
          </w:p>
          <w:p w14:paraId="588F312A" w14:textId="77777777" w:rsidR="00D2519C" w:rsidRDefault="00D2519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  <w:b/>
                <w:smallCaps/>
              </w:rPr>
            </w:pPr>
          </w:p>
          <w:p w14:paraId="73B875DB" w14:textId="5D59E166" w:rsidR="00A00AFC" w:rsidRPr="00A00AFC" w:rsidRDefault="00A00AF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  <w:b/>
                <w:smallCaps/>
              </w:rPr>
            </w:pPr>
            <w:r w:rsidRPr="00A00AFC">
              <w:rPr>
                <w:rFonts w:ascii="Arial" w:hAnsi="Arial" w:cs="Arial"/>
                <w:b/>
                <w:smallCaps/>
              </w:rPr>
              <w:t xml:space="preserve">Counsel for </w:t>
            </w:r>
            <w:proofErr w:type="spellStart"/>
            <w:r w:rsidR="00D20D0C">
              <w:rPr>
                <w:rFonts w:ascii="Arial" w:hAnsi="Arial" w:cs="Arial"/>
                <w:b/>
                <w:smallCaps/>
              </w:rPr>
              <w:t>Acero</w:t>
            </w:r>
            <w:proofErr w:type="spellEnd"/>
            <w:r w:rsidR="00D20D0C">
              <w:rPr>
                <w:rFonts w:ascii="Arial" w:hAnsi="Arial" w:cs="Arial"/>
                <w:b/>
                <w:smallCaps/>
              </w:rPr>
              <w:t xml:space="preserve"> Junction</w:t>
            </w:r>
            <w:r w:rsidRPr="00A00AFC">
              <w:rPr>
                <w:rFonts w:ascii="Arial" w:hAnsi="Arial" w:cs="Arial"/>
                <w:b/>
                <w:smallCaps/>
              </w:rPr>
              <w:t>, Inc.</w:t>
            </w:r>
          </w:p>
          <w:p w14:paraId="52667220" w14:textId="77777777" w:rsidR="00847C08" w:rsidRDefault="00847C08" w:rsidP="004546A5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14:paraId="0CF1FECC" w14:textId="77777777" w:rsidR="00847C08" w:rsidRPr="00A00AFC" w:rsidRDefault="00A00AFC" w:rsidP="00847C08">
            <w:pPr>
              <w:rPr>
                <w:rFonts w:ascii="Arial" w:hAnsi="Arial" w:cs="Arial"/>
              </w:rPr>
            </w:pPr>
            <w:r w:rsidRPr="003A4826">
              <w:rPr>
                <w:rFonts w:ascii="Arial" w:hAnsi="Arial" w:cs="Arial"/>
                <w:b/>
              </w:rPr>
              <w:t xml:space="preserve">Steven T. </w:t>
            </w:r>
            <w:proofErr w:type="spellStart"/>
            <w:r w:rsidRPr="003A4826">
              <w:rPr>
                <w:rFonts w:ascii="Arial" w:hAnsi="Arial" w:cs="Arial"/>
                <w:b/>
              </w:rPr>
              <w:t>Nourse</w:t>
            </w:r>
            <w:proofErr w:type="spellEnd"/>
            <w:r w:rsidRPr="00A00AFC">
              <w:rPr>
                <w:rFonts w:ascii="Arial" w:hAnsi="Arial" w:cs="Arial"/>
              </w:rPr>
              <w:t xml:space="preserve"> (0046705)</w:t>
            </w:r>
          </w:p>
          <w:p w14:paraId="51A7D763" w14:textId="28420DAF" w:rsidR="00A00AFC" w:rsidRPr="00A00AFC" w:rsidRDefault="00A00AFC" w:rsidP="00847C08">
            <w:pPr>
              <w:rPr>
                <w:rFonts w:ascii="Arial" w:hAnsi="Arial" w:cs="Arial"/>
              </w:rPr>
            </w:pPr>
            <w:r w:rsidRPr="00A00AFC">
              <w:rPr>
                <w:rFonts w:ascii="Arial" w:hAnsi="Arial" w:cs="Arial"/>
              </w:rPr>
              <w:t>American Electric Power</w:t>
            </w:r>
          </w:p>
          <w:p w14:paraId="5D4C18AC" w14:textId="77777777" w:rsidR="00A00AFC" w:rsidRPr="00A00AFC" w:rsidRDefault="00A00AFC" w:rsidP="00847C08">
            <w:pPr>
              <w:rPr>
                <w:rFonts w:ascii="Arial" w:hAnsi="Arial" w:cs="Arial"/>
              </w:rPr>
            </w:pPr>
            <w:r w:rsidRPr="00A00AFC">
              <w:rPr>
                <w:rFonts w:ascii="Arial" w:hAnsi="Arial" w:cs="Arial"/>
              </w:rPr>
              <w:t>1 Riverside Plaza</w:t>
            </w:r>
          </w:p>
          <w:p w14:paraId="36ED5198" w14:textId="29EE78E4" w:rsidR="00A00AFC" w:rsidRPr="00A00AFC" w:rsidRDefault="00A00AFC" w:rsidP="00847C08">
            <w:pPr>
              <w:rPr>
                <w:rFonts w:ascii="Arial" w:hAnsi="Arial" w:cs="Arial"/>
              </w:rPr>
            </w:pPr>
            <w:r w:rsidRPr="00A00AFC">
              <w:rPr>
                <w:rFonts w:ascii="Arial" w:hAnsi="Arial" w:cs="Arial"/>
              </w:rPr>
              <w:t>Columbus, OH 43215</w:t>
            </w:r>
          </w:p>
          <w:p w14:paraId="3CA08DFB" w14:textId="34895F95" w:rsidR="00A00AFC" w:rsidRPr="00A00AFC" w:rsidRDefault="00A00AFC" w:rsidP="00847C08">
            <w:pPr>
              <w:rPr>
                <w:rFonts w:ascii="Arial" w:hAnsi="Arial" w:cs="Arial"/>
              </w:rPr>
            </w:pPr>
            <w:r w:rsidRPr="00A00AFC">
              <w:rPr>
                <w:rFonts w:ascii="Arial" w:hAnsi="Arial" w:cs="Arial"/>
              </w:rPr>
              <w:t>stnourse@aep.com</w:t>
            </w:r>
          </w:p>
          <w:p w14:paraId="3DFB6888" w14:textId="77777777" w:rsidR="00D2519C" w:rsidRDefault="00D2519C" w:rsidP="00847C08">
            <w:pPr>
              <w:rPr>
                <w:rFonts w:ascii="Arial Bold" w:hAnsi="Arial Bold" w:cs="Arial"/>
                <w:b/>
                <w:smallCaps/>
              </w:rPr>
            </w:pPr>
          </w:p>
          <w:p w14:paraId="3F3507F9" w14:textId="6744303C" w:rsidR="00A00AFC" w:rsidRPr="00A00AFC" w:rsidRDefault="00A00AFC" w:rsidP="00847C08">
            <w:pPr>
              <w:rPr>
                <w:rFonts w:ascii="Arial Bold" w:hAnsi="Arial Bold" w:cs="Arial"/>
                <w:b/>
                <w:smallCaps/>
              </w:rPr>
            </w:pPr>
            <w:r w:rsidRPr="00A00AFC">
              <w:rPr>
                <w:rFonts w:ascii="Arial Bold" w:hAnsi="Arial Bold" w:cs="Arial"/>
                <w:b/>
                <w:smallCaps/>
              </w:rPr>
              <w:t>Counsel for Ohio Power Company</w:t>
            </w:r>
          </w:p>
        </w:tc>
      </w:tr>
      <w:tr w:rsidR="00A00AFC" w14:paraId="1496A3A0" w14:textId="77777777" w:rsidTr="00A00AFC">
        <w:tc>
          <w:tcPr>
            <w:tcW w:w="4680" w:type="dxa"/>
          </w:tcPr>
          <w:p w14:paraId="7EF2620B" w14:textId="77777777" w:rsidR="00D2519C" w:rsidRDefault="00D2519C" w:rsidP="00A00AFC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527FA59B" w14:textId="0D61EBD1" w:rsidR="00A00AFC" w:rsidRPr="003A4826" w:rsidRDefault="00404771" w:rsidP="00A00AFC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3A482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Richard </w:t>
            </w:r>
            <w:proofErr w:type="spellStart"/>
            <w:r w:rsidRPr="003A4826">
              <w:rPr>
                <w:rFonts w:ascii="Arial" w:hAnsi="Arial" w:cs="Arial"/>
                <w:b/>
                <w:color w:val="000000" w:themeColor="text1"/>
                <w:szCs w:val="20"/>
              </w:rPr>
              <w:t>Bulgrin</w:t>
            </w:r>
            <w:proofErr w:type="spellEnd"/>
          </w:p>
          <w:p w14:paraId="7300D403" w14:textId="16AB6DA4" w:rsidR="00A00AFC" w:rsidRDefault="003A4826" w:rsidP="00A00AFC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Attorney Examiner</w:t>
            </w:r>
          </w:p>
          <w:p w14:paraId="4999E18D" w14:textId="62400B74" w:rsidR="003A4826" w:rsidRPr="00A00AFC" w:rsidRDefault="003A4826" w:rsidP="00A00AFC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Public Utilities Commission of Ohio</w:t>
            </w:r>
          </w:p>
          <w:p w14:paraId="01D27845" w14:textId="0DEEEA5D" w:rsidR="00A00AFC" w:rsidRPr="00A00AFC" w:rsidRDefault="003A4826" w:rsidP="00A00AFC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180</w:t>
            </w:r>
            <w:r w:rsidR="00A00AFC" w:rsidRPr="00A00AFC">
              <w:rPr>
                <w:rFonts w:ascii="Arial" w:hAnsi="Arial" w:cs="Arial"/>
                <w:color w:val="000000" w:themeColor="text1"/>
                <w:szCs w:val="20"/>
              </w:rPr>
              <w:t xml:space="preserve"> East Broad Street, 1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2</w:t>
            </w:r>
            <w:r w:rsidR="00A00AFC" w:rsidRPr="00A00AFC">
              <w:rPr>
                <w:rFonts w:ascii="Arial" w:hAnsi="Arial" w:cs="Arial"/>
                <w:color w:val="000000" w:themeColor="text1"/>
                <w:szCs w:val="20"/>
              </w:rPr>
              <w:t>th Floor</w:t>
            </w:r>
          </w:p>
          <w:p w14:paraId="025CA83E" w14:textId="00F6E062" w:rsidR="00A00AFC" w:rsidRDefault="00A00AFC" w:rsidP="00A00AFC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A00AFC">
              <w:rPr>
                <w:rFonts w:ascii="Arial" w:hAnsi="Arial" w:cs="Arial"/>
                <w:color w:val="000000" w:themeColor="text1"/>
                <w:szCs w:val="20"/>
              </w:rPr>
              <w:t>Columbus, OH 43215</w:t>
            </w:r>
          </w:p>
          <w:p w14:paraId="330AE3DA" w14:textId="77F51A66" w:rsidR="003A4826" w:rsidRPr="003A4826" w:rsidRDefault="003A4826" w:rsidP="003A4826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3A4826">
              <w:rPr>
                <w:rFonts w:ascii="Arial" w:hAnsi="Arial" w:cs="Arial"/>
                <w:color w:val="000000" w:themeColor="text1"/>
                <w:szCs w:val="20"/>
              </w:rPr>
              <w:t>Dick.Bulgrin@puc.state.oh.us</w:t>
            </w:r>
          </w:p>
          <w:p w14:paraId="1A0AAD93" w14:textId="77777777" w:rsidR="003A4826" w:rsidRPr="00A00AFC" w:rsidRDefault="003A4826" w:rsidP="00A00AFC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3BA41A04" w14:textId="5C57BB54" w:rsidR="00A00AFC" w:rsidRPr="00A00AFC" w:rsidRDefault="003A4826" w:rsidP="00A00A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Attorney Examiner</w:t>
            </w:r>
          </w:p>
          <w:p w14:paraId="729FDFA2" w14:textId="77777777" w:rsidR="00A00AFC" w:rsidRDefault="00A00AF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</w:rPr>
            </w:pPr>
          </w:p>
          <w:p w14:paraId="56D240F9" w14:textId="01C4B6A7" w:rsidR="00A00AFC" w:rsidRPr="00A00AFC" w:rsidRDefault="00A00AFC" w:rsidP="00A00AFC">
            <w:pPr>
              <w:tabs>
                <w:tab w:val="left" w:pos="2160"/>
                <w:tab w:val="left" w:pos="2280"/>
              </w:tabs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14:paraId="5B1375AF" w14:textId="77777777" w:rsidR="00A00AFC" w:rsidRPr="00A00AFC" w:rsidRDefault="00A00AFC" w:rsidP="00847C08">
            <w:pPr>
              <w:rPr>
                <w:rFonts w:ascii="Arial" w:hAnsi="Arial" w:cs="Arial"/>
              </w:rPr>
            </w:pPr>
          </w:p>
        </w:tc>
      </w:tr>
    </w:tbl>
    <w:p w14:paraId="790112EB" w14:textId="34F6616D" w:rsidR="00847C08" w:rsidRDefault="00847C08" w:rsidP="004546A5">
      <w:pPr>
        <w:tabs>
          <w:tab w:val="left" w:pos="2160"/>
          <w:tab w:val="left" w:pos="2280"/>
        </w:tabs>
        <w:rPr>
          <w:rFonts w:ascii="Arial" w:hAnsi="Arial" w:cs="Arial"/>
          <w:sz w:val="20"/>
          <w:szCs w:val="20"/>
        </w:rPr>
      </w:pPr>
    </w:p>
    <w:sectPr w:rsidR="00847C08" w:rsidSect="00A00AFC">
      <w:type w:val="continuous"/>
      <w:pgSz w:w="12240" w:h="15840" w:code="1"/>
      <w:pgMar w:top="1440" w:right="1440" w:bottom="1141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5CCD9" w14:textId="77777777" w:rsidR="00762119" w:rsidRDefault="00537D74">
      <w:r>
        <w:separator/>
      </w:r>
    </w:p>
  </w:endnote>
  <w:endnote w:type="continuationSeparator" w:id="0">
    <w:p w14:paraId="7D35BD9C" w14:textId="77777777" w:rsidR="00762119" w:rsidRDefault="005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85CC" w14:textId="5C4F5796" w:rsidR="00762119" w:rsidRDefault="00537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7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14A2CC" w14:textId="77777777" w:rsidR="00762119" w:rsidRDefault="0076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F2D3" w14:textId="417C6CC9" w:rsidR="00762119" w:rsidRPr="00C95AD6" w:rsidRDefault="003D7799" w:rsidP="00C95AD6">
    <w:pPr>
      <w:pStyle w:val="Footer"/>
      <w:framePr w:wrap="around" w:vAnchor="text" w:hAnchor="margin" w:xAlign="center" w:y="1"/>
      <w:rPr>
        <w:rStyle w:val="PageNumber"/>
        <w:rFonts w:ascii="Arial" w:hAnsi="Arial" w:cs="Arial"/>
        <w:noProof/>
      </w:rPr>
    </w:pPr>
    <w:r w:rsidRPr="003D7799">
      <w:rPr>
        <w:rStyle w:val="PageNumber"/>
        <w:rFonts w:ascii="Arial" w:hAnsi="Arial" w:cs="Arial"/>
        <w:noProof/>
        <w:sz w:val="16"/>
      </w:rPr>
      <w:t>C0106180:1</w:t>
    </w:r>
    <w:r w:rsidR="00C95AD6">
      <w:rPr>
        <w:rStyle w:val="PageNumber"/>
        <w:rFonts w:ascii="Arial" w:hAnsi="Arial" w:cs="Arial"/>
        <w:noProof/>
      </w:rPr>
      <w:tab/>
    </w:r>
    <w:r w:rsidR="00537D74" w:rsidRPr="00C95AD6">
      <w:rPr>
        <w:rStyle w:val="PageNumber"/>
        <w:rFonts w:ascii="Arial" w:hAnsi="Arial" w:cs="Arial"/>
        <w:noProof/>
      </w:rPr>
      <w:fldChar w:fldCharType="begin"/>
    </w:r>
    <w:r w:rsidR="00537D74" w:rsidRPr="00C95AD6">
      <w:rPr>
        <w:rStyle w:val="PageNumber"/>
        <w:rFonts w:ascii="Arial" w:hAnsi="Arial" w:cs="Arial"/>
        <w:noProof/>
      </w:rPr>
      <w:instrText xml:space="preserve">PAGE  </w:instrText>
    </w:r>
    <w:r w:rsidR="00537D74" w:rsidRPr="00C95AD6">
      <w:rPr>
        <w:rStyle w:val="PageNumber"/>
        <w:rFonts w:ascii="Arial" w:hAnsi="Arial" w:cs="Arial"/>
        <w:noProof/>
      </w:rPr>
      <w:fldChar w:fldCharType="separate"/>
    </w:r>
    <w:r w:rsidR="00591745">
      <w:rPr>
        <w:rStyle w:val="PageNumber"/>
        <w:rFonts w:ascii="Arial" w:hAnsi="Arial" w:cs="Arial"/>
        <w:noProof/>
      </w:rPr>
      <w:t>1</w:t>
    </w:r>
    <w:r w:rsidR="00537D74" w:rsidRPr="00C95AD6">
      <w:rPr>
        <w:rStyle w:val="PageNumber"/>
        <w:rFonts w:ascii="Arial" w:hAnsi="Arial" w:cs="Arial"/>
        <w:noProof/>
      </w:rPr>
      <w:fldChar w:fldCharType="end"/>
    </w:r>
  </w:p>
  <w:p w14:paraId="0B726D96" w14:textId="0725207D" w:rsidR="00762119" w:rsidRPr="00C95AD6" w:rsidRDefault="008425BE">
    <w:pPr>
      <w:pStyle w:val="Footer"/>
      <w:rPr>
        <w:rFonts w:ascii="Arial" w:hAnsi="Arial" w:cs="Arial"/>
      </w:rPr>
    </w:pPr>
    <w:r w:rsidRPr="00C95AD6">
      <w:rPr>
        <w:rFonts w:ascii="Arial" w:hAnsi="Arial" w:cs="Arial"/>
        <w:sz w:val="16"/>
      </w:rPr>
      <w:t>C0104392:2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3C74" w14:textId="254C7E8C" w:rsidR="00762119" w:rsidRPr="00C95AD6" w:rsidRDefault="003D7799" w:rsidP="00C95AD6">
    <w:pPr>
      <w:pStyle w:val="Footer"/>
      <w:rPr>
        <w:rFonts w:ascii="Arial" w:hAnsi="Arial" w:cs="Arial"/>
      </w:rPr>
    </w:pPr>
    <w:r w:rsidRPr="003D7799">
      <w:rPr>
        <w:rFonts w:ascii="Arial" w:hAnsi="Arial" w:cs="Arial"/>
        <w:noProof/>
        <w:sz w:val="16"/>
      </w:rPr>
      <w:t>C0106180:1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C730" w14:textId="2226E294" w:rsidR="00A66889" w:rsidRPr="003D7799" w:rsidRDefault="003D7799" w:rsidP="003D7799">
    <w:pPr>
      <w:pStyle w:val="Footer"/>
      <w:tabs>
        <w:tab w:val="clear" w:pos="8640"/>
      </w:tabs>
      <w:rPr>
        <w:rFonts w:ascii="Arial" w:hAnsi="Arial" w:cs="Arial"/>
      </w:rPr>
    </w:pPr>
    <w:r w:rsidRPr="003D7799">
      <w:rPr>
        <w:rFonts w:ascii="Arial" w:hAnsi="Arial" w:cs="Arial"/>
        <w:noProof/>
        <w:sz w:val="16"/>
      </w:rPr>
      <w:t>C0106180:1</w:t>
    </w:r>
    <w:r>
      <w:rPr>
        <w:rFonts w:ascii="Arial" w:hAnsi="Arial" w:cs="Arial"/>
      </w:rPr>
      <w:tab/>
    </w:r>
    <w:r w:rsidRPr="003D7799">
      <w:rPr>
        <w:rFonts w:ascii="Arial" w:hAnsi="Arial" w:cs="Arial"/>
      </w:rPr>
      <w:fldChar w:fldCharType="begin"/>
    </w:r>
    <w:r w:rsidRPr="003D7799">
      <w:rPr>
        <w:rFonts w:ascii="Arial" w:hAnsi="Arial" w:cs="Arial"/>
      </w:rPr>
      <w:instrText xml:space="preserve"> PAGE   \* MERGEFORMAT </w:instrText>
    </w:r>
    <w:r w:rsidRPr="003D7799">
      <w:rPr>
        <w:rFonts w:ascii="Arial" w:hAnsi="Arial" w:cs="Arial"/>
      </w:rPr>
      <w:fldChar w:fldCharType="separate"/>
    </w:r>
    <w:r w:rsidR="00591745">
      <w:rPr>
        <w:rFonts w:ascii="Arial" w:hAnsi="Arial" w:cs="Arial"/>
        <w:noProof/>
      </w:rPr>
      <w:t>4</w:t>
    </w:r>
    <w:r w:rsidRPr="003D779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3FEFE" w14:textId="77777777" w:rsidR="00762119" w:rsidRDefault="00537D7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EA0915" w14:textId="77777777" w:rsidR="00762119" w:rsidRDefault="0053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748CD" w14:textId="77777777" w:rsidR="00591745" w:rsidRDefault="00591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07A5" w14:textId="77777777" w:rsidR="00591745" w:rsidRDefault="00591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267F" w14:textId="77777777" w:rsidR="00591745" w:rsidRDefault="005917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19"/>
    <w:rsid w:val="0001241E"/>
    <w:rsid w:val="00012F34"/>
    <w:rsid w:val="0004369B"/>
    <w:rsid w:val="00071918"/>
    <w:rsid w:val="00140F32"/>
    <w:rsid w:val="0015430C"/>
    <w:rsid w:val="001C2ED0"/>
    <w:rsid w:val="00220B54"/>
    <w:rsid w:val="002242DF"/>
    <w:rsid w:val="00265E8C"/>
    <w:rsid w:val="00294B9F"/>
    <w:rsid w:val="002F539F"/>
    <w:rsid w:val="00301C8F"/>
    <w:rsid w:val="003055FC"/>
    <w:rsid w:val="003122A6"/>
    <w:rsid w:val="00350B8F"/>
    <w:rsid w:val="00352C5E"/>
    <w:rsid w:val="003929AA"/>
    <w:rsid w:val="003A4826"/>
    <w:rsid w:val="003C285C"/>
    <w:rsid w:val="003D7799"/>
    <w:rsid w:val="003E6545"/>
    <w:rsid w:val="003F22FF"/>
    <w:rsid w:val="00404771"/>
    <w:rsid w:val="0043710A"/>
    <w:rsid w:val="00446A97"/>
    <w:rsid w:val="00451593"/>
    <w:rsid w:val="004546A5"/>
    <w:rsid w:val="00496CB2"/>
    <w:rsid w:val="004A622E"/>
    <w:rsid w:val="004F6A14"/>
    <w:rsid w:val="00537D74"/>
    <w:rsid w:val="00542242"/>
    <w:rsid w:val="00591745"/>
    <w:rsid w:val="005A6F59"/>
    <w:rsid w:val="005D2A48"/>
    <w:rsid w:val="0060609C"/>
    <w:rsid w:val="0064550C"/>
    <w:rsid w:val="00653D85"/>
    <w:rsid w:val="006843DD"/>
    <w:rsid w:val="006B744C"/>
    <w:rsid w:val="006C324A"/>
    <w:rsid w:val="006E5D45"/>
    <w:rsid w:val="006E6167"/>
    <w:rsid w:val="00726DDB"/>
    <w:rsid w:val="00747D92"/>
    <w:rsid w:val="00762119"/>
    <w:rsid w:val="0076493E"/>
    <w:rsid w:val="0079107E"/>
    <w:rsid w:val="007E59F1"/>
    <w:rsid w:val="007F32CF"/>
    <w:rsid w:val="00810056"/>
    <w:rsid w:val="008425BE"/>
    <w:rsid w:val="00847C08"/>
    <w:rsid w:val="00851031"/>
    <w:rsid w:val="00863FAB"/>
    <w:rsid w:val="00871532"/>
    <w:rsid w:val="008B00CC"/>
    <w:rsid w:val="008D012A"/>
    <w:rsid w:val="008D3871"/>
    <w:rsid w:val="00907C72"/>
    <w:rsid w:val="0091159F"/>
    <w:rsid w:val="00925EA3"/>
    <w:rsid w:val="009311B4"/>
    <w:rsid w:val="009449D0"/>
    <w:rsid w:val="009A1F76"/>
    <w:rsid w:val="00A00AFC"/>
    <w:rsid w:val="00A04FA6"/>
    <w:rsid w:val="00A103C8"/>
    <w:rsid w:val="00A66889"/>
    <w:rsid w:val="00A90444"/>
    <w:rsid w:val="00B0006B"/>
    <w:rsid w:val="00B050C0"/>
    <w:rsid w:val="00BB7C00"/>
    <w:rsid w:val="00BC48A5"/>
    <w:rsid w:val="00C02D0C"/>
    <w:rsid w:val="00C127C7"/>
    <w:rsid w:val="00C26470"/>
    <w:rsid w:val="00C52ACB"/>
    <w:rsid w:val="00C6110E"/>
    <w:rsid w:val="00C959CF"/>
    <w:rsid w:val="00C95AD6"/>
    <w:rsid w:val="00CE207E"/>
    <w:rsid w:val="00CE7DA8"/>
    <w:rsid w:val="00D20D0C"/>
    <w:rsid w:val="00D2442B"/>
    <w:rsid w:val="00D2519C"/>
    <w:rsid w:val="00D91E66"/>
    <w:rsid w:val="00DB1A87"/>
    <w:rsid w:val="00E36745"/>
    <w:rsid w:val="00E603E6"/>
    <w:rsid w:val="00E66B49"/>
    <w:rsid w:val="00E76C9B"/>
    <w:rsid w:val="00E9191A"/>
    <w:rsid w:val="00EC49E4"/>
    <w:rsid w:val="00ED04B4"/>
    <w:rsid w:val="00EE5A2D"/>
    <w:rsid w:val="00F25D51"/>
    <w:rsid w:val="00F27C42"/>
    <w:rsid w:val="00F76F13"/>
    <w:rsid w:val="00F94319"/>
    <w:rsid w:val="00FA0B06"/>
    <w:rsid w:val="00FC4E4D"/>
    <w:rsid w:val="00FC5590"/>
    <w:rsid w:val="00FE6DCA"/>
    <w:rsid w:val="00FF6713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  <w14:docId w14:val="0B486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1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22F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8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2C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C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76258">
          <w:marLeft w:val="0"/>
          <w:marRight w:val="-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76">
              <w:marLeft w:val="0"/>
              <w:marRight w:val="50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7224</Characters>
  <Application>Microsoft Office Word</Application>
  <DocSecurity>0</DocSecurity>
  <PresentationFormat>15|.DOCX</PresentationFormat>
  <Lines>220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17-2132 Acero Junction Motion to Intervene (C0106180-1).DOCX</vt:lpstr>
    </vt:vector>
  </TitlesOfParts>
  <Manager/>
  <Company/>
  <LinksUpToDate>false</LinksUpToDate>
  <CharactersWithSpaces>8458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Intervene - 17-2132 re Acero.docx</dc:title>
  <dc:subject/>
  <dc:creator/>
  <cp:keywords> </cp:keywords>
  <dc:description> </dc:description>
  <cp:lastModifiedBy/>
  <cp:revision>1</cp:revision>
  <cp:lastPrinted>2012-08-24T18:07:00Z</cp:lastPrinted>
  <dcterms:created xsi:type="dcterms:W3CDTF">2017-11-03T14:11:00Z</dcterms:created>
  <dcterms:modified xsi:type="dcterms:W3CDTF">2017-11-03T14:13:00Z</dcterms:modified>
  <cp:category> </cp:category>
  <cp:contentStatus> </cp:contentStatus>
</cp:coreProperties>
</file>