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11E" w:rsidRDefault="003E6DD7">
      <w:pPr>
        <w:jc w:val="center"/>
        <w:rPr>
          <w:rFonts w:ascii="Times New Roman" w:hAnsi="Times New Roman"/>
          <w:b/>
          <w:sz w:val="24"/>
          <w:szCs w:val="24"/>
        </w:rPr>
      </w:pPr>
      <w:bookmarkStart w:id="0" w:name="_GoBack"/>
      <w:bookmarkEnd w:id="0"/>
      <w:r>
        <w:rPr>
          <w:rFonts w:ascii="Times New Roman" w:hAnsi="Times New Roman"/>
          <w:b/>
          <w:sz w:val="24"/>
          <w:szCs w:val="24"/>
        </w:rPr>
        <w:t>BEFORE</w:t>
      </w:r>
    </w:p>
    <w:p w:rsidR="0061611E" w:rsidRDefault="003E6DD7">
      <w:pPr>
        <w:jc w:val="center"/>
        <w:rPr>
          <w:rFonts w:ascii="Times New Roman" w:hAnsi="Times New Roman"/>
          <w:sz w:val="24"/>
          <w:szCs w:val="24"/>
        </w:rPr>
      </w:pPr>
      <w:r>
        <w:rPr>
          <w:rFonts w:ascii="Times New Roman" w:hAnsi="Times New Roman"/>
          <w:b/>
          <w:sz w:val="24"/>
          <w:szCs w:val="24"/>
        </w:rPr>
        <w:t>THE PUBLIC UTILITIES COMMISSION OF OHIO</w:t>
      </w:r>
    </w:p>
    <w:p w:rsidR="0061611E" w:rsidRDefault="0061611E">
      <w:pPr>
        <w:jc w:val="center"/>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2"/>
        <w:gridCol w:w="354"/>
        <w:gridCol w:w="4240"/>
      </w:tblGrid>
      <w:tr w:rsidR="0061611E" w:rsidTr="00540893">
        <w:tc>
          <w:tcPr>
            <w:tcW w:w="4262" w:type="dxa"/>
          </w:tcPr>
          <w:p w:rsidR="0061611E" w:rsidRDefault="003E6DD7" w:rsidP="00540893">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the Matter of the Joint Motion to Modify the </w:t>
            </w:r>
            <w:r w:rsidR="00540893">
              <w:rPr>
                <w:rFonts w:ascii="Times New Roman" w:hAnsi="Times New Roman" w:cs="Times New Roman"/>
                <w:sz w:val="24"/>
                <w:szCs w:val="24"/>
              </w:rPr>
              <w:t>December 2, 2009</w:t>
            </w:r>
            <w:r>
              <w:rPr>
                <w:rFonts w:ascii="Times New Roman" w:hAnsi="Times New Roman" w:cs="Times New Roman"/>
                <w:sz w:val="24"/>
                <w:szCs w:val="24"/>
              </w:rPr>
              <w:t xml:space="preserve"> Opinion and Order</w:t>
            </w:r>
            <w:r w:rsidR="00540893">
              <w:rPr>
                <w:rFonts w:ascii="Times New Roman" w:hAnsi="Times New Roman" w:cs="Times New Roman"/>
                <w:sz w:val="24"/>
                <w:szCs w:val="24"/>
              </w:rPr>
              <w:t xml:space="preserve"> and the September 7, 2011 Second Opinion and Order</w:t>
            </w:r>
            <w:r>
              <w:rPr>
                <w:rFonts w:ascii="Times New Roman" w:hAnsi="Times New Roman" w:cs="Times New Roman"/>
                <w:sz w:val="24"/>
                <w:szCs w:val="24"/>
              </w:rPr>
              <w:t xml:space="preserve"> in Case No. 0</w:t>
            </w:r>
            <w:r w:rsidR="00540893">
              <w:rPr>
                <w:rFonts w:ascii="Times New Roman" w:hAnsi="Times New Roman" w:cs="Times New Roman"/>
                <w:sz w:val="24"/>
                <w:szCs w:val="24"/>
              </w:rPr>
              <w:t>8-1344</w:t>
            </w:r>
            <w:r>
              <w:rPr>
                <w:rFonts w:ascii="Times New Roman" w:hAnsi="Times New Roman" w:cs="Times New Roman"/>
                <w:sz w:val="24"/>
                <w:szCs w:val="24"/>
              </w:rPr>
              <w:t>-GA-EXM.</w:t>
            </w:r>
          </w:p>
          <w:p w:rsidR="00540893" w:rsidRDefault="00540893" w:rsidP="00540893">
            <w:pPr>
              <w:spacing w:line="240" w:lineRule="auto"/>
              <w:rPr>
                <w:rFonts w:ascii="Times New Roman" w:hAnsi="Times New Roman" w:cs="Times New Roman"/>
                <w:sz w:val="24"/>
                <w:szCs w:val="24"/>
              </w:rPr>
            </w:pPr>
          </w:p>
        </w:tc>
        <w:tc>
          <w:tcPr>
            <w:tcW w:w="354" w:type="dxa"/>
          </w:tcPr>
          <w:p w:rsidR="0061611E" w:rsidRDefault="003E6DD7" w:rsidP="005408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61611E" w:rsidRDefault="003E6DD7" w:rsidP="005408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61611E" w:rsidRDefault="003E6DD7" w:rsidP="005408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61611E" w:rsidRDefault="00540893" w:rsidP="00540893">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40893" w:rsidRDefault="00540893" w:rsidP="00540893">
            <w:pPr>
              <w:spacing w:line="240" w:lineRule="auto"/>
              <w:rPr>
                <w:rFonts w:ascii="Times New Roman" w:hAnsi="Times New Roman" w:cs="Times New Roman"/>
                <w:sz w:val="24"/>
                <w:szCs w:val="24"/>
              </w:rPr>
            </w:pPr>
          </w:p>
          <w:p w:rsidR="00540893" w:rsidRDefault="00540893" w:rsidP="00540893">
            <w:pPr>
              <w:spacing w:line="240" w:lineRule="auto"/>
              <w:jc w:val="center"/>
              <w:rPr>
                <w:rFonts w:ascii="Times New Roman" w:hAnsi="Times New Roman" w:cs="Times New Roman"/>
                <w:sz w:val="24"/>
                <w:szCs w:val="24"/>
              </w:rPr>
            </w:pPr>
          </w:p>
        </w:tc>
        <w:tc>
          <w:tcPr>
            <w:tcW w:w="4240" w:type="dxa"/>
          </w:tcPr>
          <w:p w:rsidR="0061611E" w:rsidRDefault="0061611E" w:rsidP="00540893">
            <w:pPr>
              <w:spacing w:after="0" w:line="240" w:lineRule="auto"/>
              <w:ind w:firstLine="612"/>
              <w:rPr>
                <w:rFonts w:ascii="Times New Roman" w:hAnsi="Times New Roman" w:cs="Times New Roman"/>
                <w:sz w:val="24"/>
                <w:szCs w:val="24"/>
              </w:rPr>
            </w:pPr>
          </w:p>
          <w:p w:rsidR="0061611E" w:rsidRDefault="003E6DD7" w:rsidP="00AD751B">
            <w:pPr>
              <w:spacing w:after="0" w:line="240" w:lineRule="auto"/>
              <w:ind w:firstLine="154"/>
              <w:rPr>
                <w:rFonts w:ascii="Times New Roman" w:hAnsi="Times New Roman" w:cs="Times New Roman"/>
                <w:sz w:val="24"/>
                <w:szCs w:val="24"/>
              </w:rPr>
            </w:pPr>
            <w:r>
              <w:rPr>
                <w:rFonts w:ascii="Times New Roman" w:hAnsi="Times New Roman" w:cs="Times New Roman"/>
                <w:sz w:val="24"/>
                <w:szCs w:val="24"/>
              </w:rPr>
              <w:t>Case No. 12-</w:t>
            </w:r>
            <w:r w:rsidR="00540893">
              <w:rPr>
                <w:rFonts w:ascii="Times New Roman" w:hAnsi="Times New Roman" w:cs="Times New Roman"/>
                <w:sz w:val="24"/>
                <w:szCs w:val="24"/>
              </w:rPr>
              <w:t>2</w:t>
            </w:r>
            <w:r w:rsidR="00AD751B">
              <w:rPr>
                <w:rFonts w:ascii="Times New Roman" w:hAnsi="Times New Roman" w:cs="Times New Roman"/>
                <w:sz w:val="24"/>
                <w:szCs w:val="24"/>
              </w:rPr>
              <w:t>63</w:t>
            </w:r>
            <w:r w:rsidR="00540893">
              <w:rPr>
                <w:rFonts w:ascii="Times New Roman" w:hAnsi="Times New Roman" w:cs="Times New Roman"/>
                <w:sz w:val="24"/>
                <w:szCs w:val="24"/>
              </w:rPr>
              <w:t>7</w:t>
            </w:r>
            <w:r>
              <w:rPr>
                <w:rFonts w:ascii="Times New Roman" w:hAnsi="Times New Roman" w:cs="Times New Roman"/>
                <w:sz w:val="24"/>
                <w:szCs w:val="24"/>
              </w:rPr>
              <w:t>-GA-EXM</w:t>
            </w:r>
          </w:p>
        </w:tc>
      </w:tr>
    </w:tbl>
    <w:p w:rsidR="0061611E" w:rsidRDefault="0061611E" w:rsidP="00540893">
      <w:pPr>
        <w:spacing w:after="0" w:line="240" w:lineRule="auto"/>
        <w:ind w:right="-36"/>
        <w:rPr>
          <w:rFonts w:ascii="Times New Roman" w:hAnsi="Times New Roman"/>
          <w:sz w:val="24"/>
          <w:szCs w:val="24"/>
        </w:rPr>
      </w:pPr>
    </w:p>
    <w:p w:rsidR="0061611E" w:rsidRDefault="0061611E">
      <w:pPr>
        <w:spacing w:after="0"/>
        <w:ind w:right="-36"/>
        <w:rPr>
          <w:rFonts w:ascii="Times New Roman" w:hAnsi="Times New Roman"/>
          <w:sz w:val="24"/>
          <w:szCs w:val="24"/>
        </w:rPr>
      </w:pPr>
    </w:p>
    <w:p w:rsidR="0061611E" w:rsidRDefault="003E6DD7" w:rsidP="00540893">
      <w:pPr>
        <w:autoSpaceDE w:val="0"/>
        <w:autoSpaceDN w:val="0"/>
        <w:adjustRightInd w:val="0"/>
        <w:spacing w:after="0" w:line="480" w:lineRule="auto"/>
        <w:jc w:val="center"/>
        <w:rPr>
          <w:rFonts w:ascii="Times New Roman" w:hAnsi="Times New Roman"/>
          <w:b/>
          <w:sz w:val="24"/>
          <w:szCs w:val="24"/>
          <w:u w:val="single"/>
        </w:rPr>
      </w:pPr>
      <w:r>
        <w:rPr>
          <w:rFonts w:ascii="Times New Roman" w:hAnsi="Times New Roman"/>
          <w:b/>
          <w:sz w:val="24"/>
          <w:szCs w:val="24"/>
          <w:u w:val="single"/>
        </w:rPr>
        <w:t xml:space="preserve">DIRECT PREPARED TESTIMONY OF </w:t>
      </w:r>
      <w:r w:rsidR="00540893">
        <w:rPr>
          <w:rFonts w:ascii="Times New Roman" w:hAnsi="Times New Roman"/>
          <w:b/>
          <w:sz w:val="24"/>
          <w:szCs w:val="24"/>
          <w:u w:val="single"/>
        </w:rPr>
        <w:t xml:space="preserve">D. CORY BYZEWSKI </w:t>
      </w:r>
      <w:r>
        <w:rPr>
          <w:rFonts w:ascii="Times New Roman" w:hAnsi="Times New Roman"/>
          <w:b/>
          <w:sz w:val="24"/>
          <w:szCs w:val="24"/>
          <w:u w:val="single"/>
        </w:rPr>
        <w:t xml:space="preserve">ON BEHALF OF </w:t>
      </w:r>
      <w:r w:rsidR="00540893">
        <w:rPr>
          <w:rFonts w:ascii="Times New Roman" w:hAnsi="Times New Roman"/>
          <w:b/>
          <w:sz w:val="24"/>
          <w:szCs w:val="24"/>
          <w:u w:val="single"/>
        </w:rPr>
        <w:t>DIRECT ENERGY SERVICES, LLC AND DIRECT ENERGY BUSINESS, LLC</w:t>
      </w:r>
    </w:p>
    <w:p w:rsidR="00290B4B" w:rsidRDefault="00290B4B">
      <w:pPr>
        <w:spacing w:after="0" w:line="240" w:lineRule="auto"/>
        <w:rPr>
          <w:rFonts w:ascii="Times New Roman" w:hAnsi="Times New Roman"/>
          <w:b/>
          <w:sz w:val="24"/>
          <w:szCs w:val="24"/>
          <w:u w:val="single"/>
        </w:rPr>
      </w:pPr>
    </w:p>
    <w:p w:rsidR="00290B4B" w:rsidRDefault="00290B4B" w:rsidP="00290B4B">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November </w:t>
      </w:r>
      <w:r w:rsidR="00C01A47">
        <w:rPr>
          <w:rFonts w:ascii="Times New Roman" w:hAnsi="Times New Roman"/>
          <w:b/>
          <w:sz w:val="24"/>
          <w:szCs w:val="24"/>
          <w:u w:val="single"/>
        </w:rPr>
        <w:t>13</w:t>
      </w:r>
      <w:r>
        <w:rPr>
          <w:rFonts w:ascii="Times New Roman" w:hAnsi="Times New Roman"/>
          <w:b/>
          <w:sz w:val="24"/>
          <w:szCs w:val="24"/>
          <w:u w:val="single"/>
        </w:rPr>
        <w:t>, 2012</w:t>
      </w:r>
      <w:r>
        <w:rPr>
          <w:rFonts w:ascii="Times New Roman" w:hAnsi="Times New Roman"/>
          <w:b/>
          <w:sz w:val="24"/>
          <w:szCs w:val="24"/>
          <w:u w:val="single"/>
        </w:rPr>
        <w:br w:type="page"/>
      </w:r>
    </w:p>
    <w:p w:rsidR="00290B4B" w:rsidRDefault="00290B4B">
      <w:pPr>
        <w:spacing w:after="0" w:line="240" w:lineRule="auto"/>
        <w:rPr>
          <w:rFonts w:ascii="Times New Roman" w:hAnsi="Times New Roman"/>
          <w:b/>
          <w:sz w:val="24"/>
          <w:szCs w:val="24"/>
          <w:u w:val="single"/>
        </w:rPr>
      </w:pPr>
    </w:p>
    <w:p w:rsidR="0061611E" w:rsidRDefault="00290B4B">
      <w:pPr>
        <w:autoSpaceDE w:val="0"/>
        <w:autoSpaceDN w:val="0"/>
        <w:adjustRightInd w:val="0"/>
        <w:spacing w:line="480" w:lineRule="auto"/>
        <w:jc w:val="center"/>
        <w:rPr>
          <w:rFonts w:ascii="Times New Roman" w:hAnsi="Times New Roman"/>
          <w:b/>
          <w:sz w:val="24"/>
          <w:szCs w:val="24"/>
          <w:u w:val="single"/>
        </w:rPr>
      </w:pPr>
      <w:r>
        <w:rPr>
          <w:rFonts w:ascii="Times New Roman" w:hAnsi="Times New Roman"/>
          <w:b/>
          <w:sz w:val="24"/>
          <w:szCs w:val="24"/>
          <w:u w:val="single"/>
        </w:rPr>
        <w:t>Table of Contents</w:t>
      </w:r>
    </w:p>
    <w:p w:rsidR="00290B4B" w:rsidRDefault="00290B4B" w:rsidP="00290B4B">
      <w:pPr>
        <w:autoSpaceDE w:val="0"/>
        <w:autoSpaceDN w:val="0"/>
        <w:adjustRightInd w:val="0"/>
        <w:spacing w:line="480" w:lineRule="auto"/>
        <w:rPr>
          <w:rFonts w:ascii="Times New Roman" w:hAnsi="Times New Roman"/>
          <w:sz w:val="24"/>
          <w:szCs w:val="24"/>
        </w:rPr>
      </w:pPr>
      <w:r w:rsidRPr="00290B4B">
        <w:rPr>
          <w:rFonts w:ascii="Times New Roman" w:hAnsi="Times New Roman"/>
          <w:sz w:val="24"/>
          <w:szCs w:val="24"/>
          <w:u w:val="single"/>
        </w:rPr>
        <w:t>Description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90B4B">
        <w:rPr>
          <w:rFonts w:ascii="Times New Roman" w:hAnsi="Times New Roman"/>
          <w:sz w:val="24"/>
          <w:szCs w:val="24"/>
          <w:u w:val="single"/>
        </w:rPr>
        <w:t>Page</w:t>
      </w:r>
    </w:p>
    <w:p w:rsidR="00290B4B" w:rsidRDefault="000B27D6" w:rsidP="00D51B34">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WITNESS BACKGROUND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p>
    <w:p w:rsidR="000B27D6" w:rsidRDefault="000B27D6" w:rsidP="00CE44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ALLOCATION METHODOLOGY FOR </w:t>
      </w:r>
      <w:r>
        <w:rPr>
          <w:rFonts w:ascii="Times New Roman" w:hAnsi="Times New Roman"/>
          <w:sz w:val="24"/>
          <w:szCs w:val="24"/>
        </w:rPr>
        <w:tab/>
        <w:t>3</w:t>
      </w:r>
    </w:p>
    <w:p w:rsidR="000B27D6" w:rsidRDefault="000B27D6" w:rsidP="00CE44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REMAINING CUSTOMERS WHEN </w:t>
      </w:r>
    </w:p>
    <w:p w:rsidR="000B27D6" w:rsidRDefault="000B27D6" w:rsidP="00CE44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EXITING THE MERCHANT FUNCTION</w:t>
      </w:r>
    </w:p>
    <w:p w:rsidR="000B27D6" w:rsidRPr="00290B4B" w:rsidRDefault="000B27D6" w:rsidP="00290B4B">
      <w:pPr>
        <w:autoSpaceDE w:val="0"/>
        <w:autoSpaceDN w:val="0"/>
        <w:adjustRightInd w:val="0"/>
        <w:spacing w:line="480" w:lineRule="auto"/>
        <w:rPr>
          <w:rFonts w:ascii="Times New Roman" w:hAnsi="Times New Roman"/>
          <w:sz w:val="24"/>
          <w:szCs w:val="24"/>
        </w:rPr>
      </w:pPr>
    </w:p>
    <w:p w:rsidR="0061611E" w:rsidRDefault="0061611E">
      <w:pPr>
        <w:autoSpaceDE w:val="0"/>
        <w:autoSpaceDN w:val="0"/>
        <w:adjustRightInd w:val="0"/>
        <w:spacing w:line="480" w:lineRule="auto"/>
        <w:jc w:val="center"/>
        <w:rPr>
          <w:rFonts w:ascii="Times New Roman" w:hAnsi="Times New Roman"/>
          <w:b/>
          <w:sz w:val="24"/>
          <w:szCs w:val="24"/>
          <w:u w:val="single"/>
        </w:rPr>
      </w:pPr>
    </w:p>
    <w:p w:rsidR="0061611E" w:rsidRDefault="0061611E">
      <w:pPr>
        <w:autoSpaceDE w:val="0"/>
        <w:autoSpaceDN w:val="0"/>
        <w:adjustRightInd w:val="0"/>
        <w:spacing w:line="480" w:lineRule="auto"/>
        <w:jc w:val="center"/>
        <w:rPr>
          <w:rFonts w:ascii="Times New Roman" w:hAnsi="Times New Roman"/>
          <w:b/>
          <w:sz w:val="24"/>
          <w:szCs w:val="24"/>
        </w:rPr>
        <w:sectPr w:rsidR="0061611E">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pgNumType w:start="1"/>
          <w:cols w:space="720"/>
          <w:titlePg/>
          <w:docGrid w:linePitch="360"/>
        </w:sectPr>
      </w:pPr>
    </w:p>
    <w:p w:rsidR="0061611E" w:rsidRDefault="003E6DD7">
      <w:pPr>
        <w:pStyle w:val="Question"/>
        <w:numPr>
          <w:ilvl w:val="0"/>
          <w:numId w:val="0"/>
        </w:numPr>
        <w:jc w:val="both"/>
      </w:pPr>
      <w:r>
        <w:rPr>
          <w:caps/>
        </w:rPr>
        <w:lastRenderedPageBreak/>
        <w:t>I</w:t>
      </w:r>
      <w:r w:rsidR="0028593C">
        <w:rPr>
          <w:caps/>
        </w:rPr>
        <w:t>.</w:t>
      </w:r>
      <w:r>
        <w:rPr>
          <w:caps/>
        </w:rPr>
        <w:tab/>
        <w:t>Witness background</w:t>
      </w:r>
      <w:r>
        <w:rPr>
          <w:caps/>
        </w:rPr>
        <w:tab/>
      </w:r>
      <w:r>
        <w:rPr>
          <w:caps/>
        </w:rPr>
        <w:br/>
        <w:t>Q1.</w:t>
      </w:r>
      <w:r>
        <w:rPr>
          <w:caps/>
        </w:rPr>
        <w:tab/>
      </w:r>
      <w:r>
        <w:t>Please state your name and business address.</w:t>
      </w:r>
    </w:p>
    <w:p w:rsidR="0061611E" w:rsidRDefault="003E6DD7">
      <w:pPr>
        <w:pStyle w:val="Question"/>
        <w:numPr>
          <w:ilvl w:val="0"/>
          <w:numId w:val="0"/>
        </w:numPr>
        <w:ind w:left="720" w:hanging="720"/>
        <w:jc w:val="both"/>
        <w:rPr>
          <w:b w:val="0"/>
        </w:rPr>
      </w:pPr>
      <w:r>
        <w:t>A1.</w:t>
      </w:r>
      <w:r>
        <w:tab/>
      </w:r>
      <w:r>
        <w:rPr>
          <w:b w:val="0"/>
        </w:rPr>
        <w:t xml:space="preserve">My name is </w:t>
      </w:r>
      <w:r w:rsidR="00540893">
        <w:rPr>
          <w:b w:val="0"/>
        </w:rPr>
        <w:t>D. Cory Byzewski</w:t>
      </w:r>
      <w:r>
        <w:rPr>
          <w:b w:val="0"/>
        </w:rPr>
        <w:t>.  My business address is</w:t>
      </w:r>
      <w:r w:rsidR="0055240C">
        <w:rPr>
          <w:b w:val="0"/>
        </w:rPr>
        <w:t xml:space="preserve"> 1001</w:t>
      </w:r>
      <w:r w:rsidR="00B55427">
        <w:rPr>
          <w:b w:val="0"/>
        </w:rPr>
        <w:t xml:space="preserve"> </w:t>
      </w:r>
      <w:r w:rsidR="0055240C">
        <w:rPr>
          <w:b w:val="0"/>
        </w:rPr>
        <w:t>Liberty Avenue, Suite 1200, Pittsburgh, PA 15222.</w:t>
      </w:r>
      <w:r>
        <w:rPr>
          <w:b w:val="0"/>
        </w:rPr>
        <w:t xml:space="preserve"> </w:t>
      </w:r>
    </w:p>
    <w:p w:rsidR="0061611E" w:rsidRDefault="0061611E">
      <w:pPr>
        <w:pStyle w:val="Question"/>
        <w:numPr>
          <w:ilvl w:val="0"/>
          <w:numId w:val="0"/>
        </w:numPr>
        <w:ind w:left="720" w:hanging="720"/>
        <w:jc w:val="both"/>
        <w:rPr>
          <w:b w:val="0"/>
        </w:rPr>
      </w:pPr>
    </w:p>
    <w:p w:rsidR="0061611E" w:rsidRDefault="003E6DD7">
      <w:pPr>
        <w:pStyle w:val="Question"/>
        <w:numPr>
          <w:ilvl w:val="0"/>
          <w:numId w:val="0"/>
        </w:numPr>
        <w:jc w:val="both"/>
      </w:pPr>
      <w:r>
        <w:t>Q2.</w:t>
      </w:r>
      <w:r>
        <w:tab/>
        <w:t>By whom are you employed and in what capacity?</w:t>
      </w:r>
    </w:p>
    <w:p w:rsidR="0061611E" w:rsidRDefault="003E6DD7">
      <w:pPr>
        <w:pStyle w:val="Answer"/>
        <w:numPr>
          <w:ilvl w:val="0"/>
          <w:numId w:val="0"/>
        </w:numPr>
        <w:tabs>
          <w:tab w:val="clear" w:pos="900"/>
          <w:tab w:val="num" w:pos="720"/>
        </w:tabs>
        <w:ind w:left="720" w:hanging="720"/>
        <w:jc w:val="both"/>
      </w:pPr>
      <w:r>
        <w:rPr>
          <w:b/>
        </w:rPr>
        <w:t>A2.</w:t>
      </w:r>
      <w:r>
        <w:tab/>
      </w:r>
      <w:r w:rsidR="00950BF0">
        <w:t xml:space="preserve">As of December 1, 2012, </w:t>
      </w:r>
      <w:r>
        <w:t xml:space="preserve">I am </w:t>
      </w:r>
      <w:r w:rsidR="00950BF0">
        <w:t>V</w:t>
      </w:r>
      <w:r w:rsidR="00540893">
        <w:t>ice</w:t>
      </w:r>
      <w:r w:rsidR="00950BF0">
        <w:t xml:space="preserve"> President,</w:t>
      </w:r>
      <w:r w:rsidR="00540893">
        <w:t xml:space="preserve"> </w:t>
      </w:r>
      <w:r w:rsidR="00950BF0">
        <w:t>Company-Owned Operations for Clockwork</w:t>
      </w:r>
      <w:r w:rsidR="001805EA">
        <w:t xml:space="preserve"> Home Services (“Clockwork”).</w:t>
      </w:r>
      <w:r w:rsidR="00950BF0">
        <w:t xml:space="preserve">  </w:t>
      </w:r>
      <w:r w:rsidR="00D2730D">
        <w:t xml:space="preserve">Clockwork is </w:t>
      </w:r>
      <w:r w:rsidR="00B55427">
        <w:t xml:space="preserve">a </w:t>
      </w:r>
      <w:r w:rsidR="001805EA">
        <w:t xml:space="preserve">Direct Energy company that </w:t>
      </w:r>
      <w:r w:rsidR="00D2730D">
        <w:t>provides plumbing, electrician, HVAC</w:t>
      </w:r>
      <w:r w:rsidR="006477A8">
        <w:t xml:space="preserve"> (heating, ventilation, and air conditioning)</w:t>
      </w:r>
      <w:r w:rsidR="00D2730D">
        <w:t xml:space="preserve">, </w:t>
      </w:r>
      <w:r w:rsidR="006477A8">
        <w:t xml:space="preserve">energy efficiency audits, energy management consulting services </w:t>
      </w:r>
      <w:r w:rsidR="00D2730D">
        <w:t xml:space="preserve">and other home services to retail customers.  </w:t>
      </w:r>
      <w:r w:rsidR="0055240C">
        <w:t>From November 2009 until December 2012, I was the Vice President and General Manager for Direct Energy’s residential energy business in the northern U.S.</w:t>
      </w:r>
    </w:p>
    <w:p w:rsidR="0061611E" w:rsidRDefault="0061611E">
      <w:pPr>
        <w:pStyle w:val="Answer"/>
        <w:numPr>
          <w:ilvl w:val="0"/>
          <w:numId w:val="0"/>
        </w:numPr>
        <w:tabs>
          <w:tab w:val="clear" w:pos="900"/>
          <w:tab w:val="num" w:pos="720"/>
        </w:tabs>
        <w:ind w:left="720" w:hanging="720"/>
        <w:jc w:val="both"/>
      </w:pPr>
    </w:p>
    <w:p w:rsidR="0061611E" w:rsidRDefault="003E6DD7">
      <w:pPr>
        <w:pStyle w:val="Question"/>
        <w:numPr>
          <w:ilvl w:val="0"/>
          <w:numId w:val="0"/>
        </w:numPr>
        <w:ind w:left="720" w:hanging="720"/>
        <w:jc w:val="both"/>
      </w:pPr>
      <w:r>
        <w:t>Q3.</w:t>
      </w:r>
      <w:r>
        <w:tab/>
        <w:t>Please explain the job responsibilities and duties in your</w:t>
      </w:r>
      <w:r w:rsidR="00950BF0">
        <w:t xml:space="preserve"> previous</w:t>
      </w:r>
      <w:r>
        <w:t xml:space="preserve"> position</w:t>
      </w:r>
      <w:r w:rsidR="00950BF0">
        <w:t xml:space="preserve"> as Vice President </w:t>
      </w:r>
      <w:r w:rsidR="0055240C">
        <w:t>and General Manager</w:t>
      </w:r>
      <w:r>
        <w:t>.</w:t>
      </w:r>
    </w:p>
    <w:p w:rsidR="0061611E" w:rsidRDefault="003E6DD7">
      <w:pPr>
        <w:pStyle w:val="Answer"/>
        <w:numPr>
          <w:ilvl w:val="0"/>
          <w:numId w:val="0"/>
        </w:numPr>
        <w:tabs>
          <w:tab w:val="clear" w:pos="900"/>
          <w:tab w:val="num" w:pos="720"/>
        </w:tabs>
        <w:ind w:left="720" w:hanging="720"/>
        <w:jc w:val="both"/>
      </w:pPr>
      <w:r>
        <w:rPr>
          <w:b/>
        </w:rPr>
        <w:t>A3.</w:t>
      </w:r>
      <w:r>
        <w:tab/>
        <w:t xml:space="preserve">I </w:t>
      </w:r>
      <w:r w:rsidR="00950BF0">
        <w:t>was</w:t>
      </w:r>
      <w:r>
        <w:t xml:space="preserve"> responsible for </w:t>
      </w:r>
      <w:r w:rsidR="0055240C">
        <w:t xml:space="preserve">the growth and profitability of Direct Energy’s residential electricity and natural gas portfolio in twelve states, including Ohio. While I had the role, the business more than tripled in customers to well over one million. Further, our net promoter scores, </w:t>
      </w:r>
      <w:r w:rsidR="00B55427">
        <w:t>our preferred</w:t>
      </w:r>
      <w:r w:rsidR="0055240C">
        <w:t xml:space="preserve"> measure of customer satisfaction, vastly improved. During this period, we also successfully acquired the businesses of Gateway Energy Services, Vectren Source, </w:t>
      </w:r>
      <w:proofErr w:type="spellStart"/>
      <w:r w:rsidR="0055240C">
        <w:t>Energetix</w:t>
      </w:r>
      <w:proofErr w:type="spellEnd"/>
      <w:r w:rsidR="0055240C">
        <w:t xml:space="preserve"> and NYSEG Solutions</w:t>
      </w:r>
      <w:r w:rsidR="001A08CC">
        <w:t>.</w:t>
      </w:r>
    </w:p>
    <w:p w:rsidR="0061611E" w:rsidRDefault="0061611E">
      <w:pPr>
        <w:pStyle w:val="Answer"/>
        <w:numPr>
          <w:ilvl w:val="0"/>
          <w:numId w:val="0"/>
        </w:numPr>
        <w:tabs>
          <w:tab w:val="clear" w:pos="900"/>
          <w:tab w:val="num" w:pos="720"/>
        </w:tabs>
        <w:ind w:left="720" w:hanging="720"/>
        <w:jc w:val="both"/>
      </w:pPr>
    </w:p>
    <w:p w:rsidR="0061611E" w:rsidRDefault="003E6DD7">
      <w:pPr>
        <w:pStyle w:val="Question"/>
        <w:numPr>
          <w:ilvl w:val="0"/>
          <w:numId w:val="0"/>
        </w:numPr>
        <w:ind w:left="720" w:hanging="720"/>
      </w:pPr>
      <w:r>
        <w:lastRenderedPageBreak/>
        <w:t>Q4.</w:t>
      </w:r>
      <w:r>
        <w:tab/>
        <w:t>Please describe your educational background and relevant work experience prior to joining Direct Energy.</w:t>
      </w:r>
    </w:p>
    <w:p w:rsidR="00950BF0" w:rsidRDefault="003E6DD7">
      <w:pPr>
        <w:pStyle w:val="Answer"/>
        <w:numPr>
          <w:ilvl w:val="0"/>
          <w:numId w:val="0"/>
        </w:numPr>
        <w:tabs>
          <w:tab w:val="clear" w:pos="900"/>
          <w:tab w:val="num" w:pos="720"/>
        </w:tabs>
        <w:ind w:left="720" w:hanging="720"/>
        <w:jc w:val="both"/>
      </w:pPr>
      <w:r>
        <w:rPr>
          <w:b/>
        </w:rPr>
        <w:t>A4.</w:t>
      </w:r>
      <w:r>
        <w:rPr>
          <w:b/>
        </w:rPr>
        <w:tab/>
      </w:r>
      <w:r>
        <w:t xml:space="preserve">I hold a </w:t>
      </w:r>
      <w:r w:rsidR="00B11508">
        <w:t>B.B.A. in Economics</w:t>
      </w:r>
      <w:r w:rsidR="00950BF0">
        <w:t xml:space="preserve"> from the University </w:t>
      </w:r>
      <w:proofErr w:type="gramStart"/>
      <w:r w:rsidR="00950BF0">
        <w:t>of</w:t>
      </w:r>
      <w:proofErr w:type="gramEnd"/>
      <w:r w:rsidR="00950BF0">
        <w:t xml:space="preserve"> North Dakota</w:t>
      </w:r>
      <w:r w:rsidR="00B11508">
        <w:t xml:space="preserve"> and an M.B.A. from the University of Mary</w:t>
      </w:r>
      <w:r w:rsidR="00B55427">
        <w:t xml:space="preserve">.  </w:t>
      </w:r>
      <w:r w:rsidR="00950BF0">
        <w:t>I also completed my</w:t>
      </w:r>
      <w:r w:rsidR="00B11508">
        <w:t xml:space="preserve"> J.D.</w:t>
      </w:r>
      <w:r w:rsidR="00950BF0">
        <w:t xml:space="preserve"> in the night program at Capital University in </w:t>
      </w:r>
      <w:r w:rsidR="005F3837" w:rsidRPr="001A08CC">
        <w:t>1999</w:t>
      </w:r>
      <w:r w:rsidR="00950BF0">
        <w:t xml:space="preserve"> and was admitted to the Ohio Bar </w:t>
      </w:r>
      <w:r w:rsidR="00ED207D" w:rsidRPr="000A6BF2">
        <w:t>in 1999</w:t>
      </w:r>
      <w:r w:rsidR="00950BF0">
        <w:t xml:space="preserve">.  </w:t>
      </w:r>
      <w:r>
        <w:t xml:space="preserve"> </w:t>
      </w:r>
      <w:r w:rsidR="00896635">
        <w:t>My Ohio law license is</w:t>
      </w:r>
      <w:r w:rsidR="005F3837">
        <w:t xml:space="preserve"> currently</w:t>
      </w:r>
      <w:r w:rsidR="00896635">
        <w:t xml:space="preserve"> inactive.</w:t>
      </w:r>
    </w:p>
    <w:p w:rsidR="00950BF0" w:rsidRDefault="00950BF0">
      <w:pPr>
        <w:pStyle w:val="Answer"/>
        <w:numPr>
          <w:ilvl w:val="0"/>
          <w:numId w:val="0"/>
        </w:numPr>
        <w:tabs>
          <w:tab w:val="clear" w:pos="900"/>
          <w:tab w:val="num" w:pos="720"/>
        </w:tabs>
        <w:ind w:left="720" w:hanging="720"/>
        <w:jc w:val="both"/>
      </w:pPr>
    </w:p>
    <w:p w:rsidR="00B11508" w:rsidRDefault="00950BF0">
      <w:pPr>
        <w:pStyle w:val="Answer"/>
        <w:numPr>
          <w:ilvl w:val="0"/>
          <w:numId w:val="0"/>
        </w:numPr>
        <w:tabs>
          <w:tab w:val="clear" w:pos="900"/>
          <w:tab w:val="num" w:pos="720"/>
        </w:tabs>
        <w:ind w:left="720" w:hanging="720"/>
        <w:jc w:val="both"/>
      </w:pPr>
      <w:r>
        <w:tab/>
      </w:r>
      <w:r w:rsidR="003E6DD7">
        <w:t xml:space="preserve">I started in the energy industry in </w:t>
      </w:r>
      <w:r w:rsidR="00B11508">
        <w:t>1991 at the Montana-Dakota Utilities Company. In 1993, I took a role at the Indiana Office of Utility Consumer Counselor. From 1994 through most of 2000, I worked in a number of functions at The Columbia Energy Group, now NiSource. Late in 2000, I moved to The New Power Company and stayed there until 2002. From the middle of 2002 through October of 2005, I moved outside the field of energy. In November of 2005, I joined Direct Energy. Prior to my role of Vice President and General Manager at Direct Energy, I held leadership roles in pricing, portfolio management, planning and integration.</w:t>
      </w:r>
    </w:p>
    <w:p w:rsidR="00B55427" w:rsidRDefault="00B55427">
      <w:pPr>
        <w:pStyle w:val="Answer"/>
        <w:numPr>
          <w:ilvl w:val="0"/>
          <w:numId w:val="0"/>
        </w:numPr>
        <w:tabs>
          <w:tab w:val="clear" w:pos="900"/>
          <w:tab w:val="num" w:pos="720"/>
        </w:tabs>
        <w:ind w:left="720" w:hanging="720"/>
        <w:jc w:val="both"/>
        <w:rPr>
          <w:highlight w:val="yellow"/>
        </w:rPr>
      </w:pPr>
    </w:p>
    <w:p w:rsidR="0061611E" w:rsidRDefault="00B11508">
      <w:pPr>
        <w:pStyle w:val="Answer"/>
        <w:numPr>
          <w:ilvl w:val="0"/>
          <w:numId w:val="0"/>
        </w:numPr>
        <w:tabs>
          <w:tab w:val="clear" w:pos="900"/>
          <w:tab w:val="num" w:pos="720"/>
        </w:tabs>
        <w:ind w:left="720"/>
        <w:jc w:val="both"/>
      </w:pPr>
      <w:r>
        <w:t xml:space="preserve">Throughout my energy career, I have worked in a number of different business functions. They include regulatory affairs, gas management services, procurement, corporate planning, information services, marketing, pricing </w:t>
      </w:r>
      <w:r w:rsidR="001308D0">
        <w:t>and various planning functions.</w:t>
      </w:r>
    </w:p>
    <w:p w:rsidR="001308D0" w:rsidRDefault="001308D0">
      <w:pPr>
        <w:pStyle w:val="Answer"/>
        <w:numPr>
          <w:ilvl w:val="0"/>
          <w:numId w:val="0"/>
        </w:numPr>
        <w:tabs>
          <w:tab w:val="clear" w:pos="900"/>
          <w:tab w:val="num" w:pos="720"/>
        </w:tabs>
        <w:ind w:left="720"/>
        <w:jc w:val="both"/>
      </w:pPr>
    </w:p>
    <w:p w:rsidR="0061611E" w:rsidRDefault="003E6DD7">
      <w:pPr>
        <w:pStyle w:val="Question"/>
        <w:numPr>
          <w:ilvl w:val="0"/>
          <w:numId w:val="0"/>
        </w:numPr>
        <w:ind w:left="720" w:hanging="720"/>
        <w:jc w:val="both"/>
      </w:pPr>
      <w:r>
        <w:t>Q5.</w:t>
      </w:r>
      <w:r>
        <w:tab/>
        <w:t>Have you ever testified before a regulatory agency?</w:t>
      </w:r>
    </w:p>
    <w:p w:rsidR="0061611E" w:rsidRDefault="003E6DD7">
      <w:pPr>
        <w:pStyle w:val="Answer"/>
        <w:numPr>
          <w:ilvl w:val="0"/>
          <w:numId w:val="0"/>
        </w:numPr>
        <w:tabs>
          <w:tab w:val="clear" w:pos="900"/>
          <w:tab w:val="num" w:pos="720"/>
        </w:tabs>
        <w:ind w:left="720" w:hanging="720"/>
        <w:jc w:val="both"/>
      </w:pPr>
      <w:r>
        <w:rPr>
          <w:b/>
        </w:rPr>
        <w:t>A5.</w:t>
      </w:r>
      <w:r>
        <w:rPr>
          <w:b/>
        </w:rPr>
        <w:tab/>
      </w:r>
      <w:r>
        <w:t>Yes</w:t>
      </w:r>
      <w:r w:rsidR="001308D0">
        <w:t>, however, it has been quite some time. I presented testimony in Montana in 1992. Further, I presented testimony in Indiana in 1993</w:t>
      </w:r>
      <w:r w:rsidR="00D240B9">
        <w:t>.</w:t>
      </w:r>
      <w:r w:rsidR="001308D0">
        <w:t xml:space="preserve"> </w:t>
      </w:r>
      <w:r w:rsidR="001A08CC">
        <w:t xml:space="preserve">Although not an adjudicated </w:t>
      </w:r>
      <w:r w:rsidR="001A08CC">
        <w:lastRenderedPageBreak/>
        <w:t>proceeding, I also testified this year in front of the Pennsylvania Public Utilities Commission</w:t>
      </w:r>
      <w:r w:rsidR="000B432B">
        <w:t xml:space="preserve"> in its retail markets investigation (“RMI”) regarding the future of default electric service in Pennsylvania.</w:t>
      </w:r>
      <w:r>
        <w:t xml:space="preserve"> </w:t>
      </w:r>
    </w:p>
    <w:p w:rsidR="00B55427" w:rsidRDefault="00B55427">
      <w:pPr>
        <w:pStyle w:val="Answer"/>
        <w:numPr>
          <w:ilvl w:val="0"/>
          <w:numId w:val="0"/>
        </w:numPr>
        <w:tabs>
          <w:tab w:val="clear" w:pos="900"/>
          <w:tab w:val="num" w:pos="720"/>
        </w:tabs>
        <w:ind w:left="720" w:hanging="720"/>
        <w:jc w:val="both"/>
      </w:pPr>
    </w:p>
    <w:p w:rsidR="0061611E" w:rsidRDefault="003E6DD7">
      <w:pPr>
        <w:pStyle w:val="Answer"/>
        <w:numPr>
          <w:ilvl w:val="0"/>
          <w:numId w:val="0"/>
        </w:numPr>
        <w:tabs>
          <w:tab w:val="clear" w:pos="900"/>
          <w:tab w:val="num" w:pos="720"/>
        </w:tabs>
        <w:ind w:left="720" w:hanging="720"/>
        <w:jc w:val="both"/>
        <w:rPr>
          <w:b/>
        </w:rPr>
      </w:pPr>
      <w:r>
        <w:rPr>
          <w:b/>
        </w:rPr>
        <w:t>Q6.</w:t>
      </w:r>
      <w:r>
        <w:tab/>
      </w:r>
      <w:r>
        <w:rPr>
          <w:b/>
        </w:rPr>
        <w:t>On whose behalf are you testifying today?</w:t>
      </w:r>
    </w:p>
    <w:p w:rsidR="00EA4C90" w:rsidRDefault="003E6DD7" w:rsidP="002529FA">
      <w:pPr>
        <w:pStyle w:val="Answer"/>
        <w:numPr>
          <w:ilvl w:val="0"/>
          <w:numId w:val="0"/>
        </w:numPr>
        <w:tabs>
          <w:tab w:val="clear" w:pos="900"/>
          <w:tab w:val="num" w:pos="720"/>
        </w:tabs>
        <w:ind w:left="720" w:hanging="720"/>
      </w:pPr>
      <w:r>
        <w:rPr>
          <w:b/>
        </w:rPr>
        <w:t>A6.</w:t>
      </w:r>
      <w:r>
        <w:tab/>
        <w:t xml:space="preserve">Today, I am testifying on behalf of </w:t>
      </w:r>
      <w:r w:rsidR="002529FA">
        <w:t>Direct Energy Services, LLC and Direct Energy Business, LLC</w:t>
      </w:r>
      <w:r>
        <w:t xml:space="preserve">. </w:t>
      </w:r>
      <w:r w:rsidR="00DD4A45">
        <w:t xml:space="preserve"> </w:t>
      </w:r>
      <w:r w:rsidR="00A03E42">
        <w:t xml:space="preserve">A general corporate profile on </w:t>
      </w:r>
      <w:r w:rsidR="00DD4A45">
        <w:t xml:space="preserve">Direct Energy, a description of Direct Energy’s business interests, and a description of Direct Energy’s presence in Ohio are included as Attachment 1 to my testimony.   </w:t>
      </w:r>
    </w:p>
    <w:p w:rsidR="00EA4C90" w:rsidRDefault="00EA4C90" w:rsidP="002529FA">
      <w:pPr>
        <w:pStyle w:val="Answer"/>
        <w:numPr>
          <w:ilvl w:val="0"/>
          <w:numId w:val="0"/>
        </w:numPr>
        <w:tabs>
          <w:tab w:val="clear" w:pos="900"/>
          <w:tab w:val="num" w:pos="720"/>
        </w:tabs>
        <w:ind w:left="720" w:hanging="720"/>
      </w:pPr>
    </w:p>
    <w:p w:rsidR="00EA4C90" w:rsidRPr="00EA4C90" w:rsidRDefault="00EA4C90" w:rsidP="002529FA">
      <w:pPr>
        <w:pStyle w:val="Answer"/>
        <w:numPr>
          <w:ilvl w:val="0"/>
          <w:numId w:val="0"/>
        </w:numPr>
        <w:tabs>
          <w:tab w:val="clear" w:pos="900"/>
          <w:tab w:val="num" w:pos="720"/>
        </w:tabs>
        <w:ind w:left="720" w:hanging="720"/>
        <w:rPr>
          <w:b/>
        </w:rPr>
      </w:pPr>
      <w:r w:rsidRPr="00EA4C90">
        <w:rPr>
          <w:b/>
        </w:rPr>
        <w:t>Q7.</w:t>
      </w:r>
      <w:r w:rsidRPr="00EA4C90">
        <w:rPr>
          <w:b/>
        </w:rPr>
        <w:tab/>
        <w:t>What is the purpose of your testimony today?</w:t>
      </w:r>
    </w:p>
    <w:p w:rsidR="0061611E" w:rsidRDefault="00EA4C90" w:rsidP="002529FA">
      <w:pPr>
        <w:pStyle w:val="Answer"/>
        <w:numPr>
          <w:ilvl w:val="0"/>
          <w:numId w:val="0"/>
        </w:numPr>
        <w:tabs>
          <w:tab w:val="clear" w:pos="900"/>
          <w:tab w:val="num" w:pos="720"/>
        </w:tabs>
        <w:ind w:left="720" w:hanging="720"/>
      </w:pPr>
      <w:r w:rsidRPr="00C01A47">
        <w:rPr>
          <w:b/>
        </w:rPr>
        <w:t>A7.</w:t>
      </w:r>
      <w:r>
        <w:tab/>
        <w:t xml:space="preserve">The purpose of my testimony is to support Direct Energy’s position as it relates to </w:t>
      </w:r>
      <w:r w:rsidR="00073A20">
        <w:t xml:space="preserve">the </w:t>
      </w:r>
      <w:r>
        <w:t xml:space="preserve">allocation methodology to be used to </w:t>
      </w:r>
      <w:r w:rsidR="009E5D9A">
        <w:t>apportion</w:t>
      </w:r>
      <w:r>
        <w:t xml:space="preserve"> remaining standard choice offer (“SCO”) customers to participating monthly variable rate (“MVR”) </w:t>
      </w:r>
      <w:r w:rsidR="005238C7">
        <w:t xml:space="preserve">competitive retail natural gas </w:t>
      </w:r>
      <w:r w:rsidR="00D263ED">
        <w:t>s</w:t>
      </w:r>
      <w:r>
        <w:t>uppliers</w:t>
      </w:r>
      <w:r w:rsidR="005238C7">
        <w:t xml:space="preserve"> (“Suppliers”)</w:t>
      </w:r>
      <w:r>
        <w:t xml:space="preserve"> after an exit of the merchant function by Columbia</w:t>
      </w:r>
      <w:r w:rsidR="00604164">
        <w:t xml:space="preserve"> Gas of Ohio (“Columbia”)</w:t>
      </w:r>
      <w:r>
        <w:t>.</w:t>
      </w:r>
      <w:r w:rsidR="003E6DD7">
        <w:br/>
      </w:r>
    </w:p>
    <w:p w:rsidR="0001165B" w:rsidRPr="004F7596" w:rsidRDefault="004F7596" w:rsidP="004D5280">
      <w:pPr>
        <w:spacing w:after="0" w:line="480" w:lineRule="auto"/>
        <w:ind w:left="720" w:hanging="720"/>
        <w:rPr>
          <w:rFonts w:ascii="Times New Roman" w:hAnsi="Times New Roman"/>
          <w:b/>
          <w:sz w:val="24"/>
          <w:szCs w:val="24"/>
        </w:rPr>
      </w:pPr>
      <w:r w:rsidRPr="004F7596">
        <w:rPr>
          <w:rFonts w:ascii="Times New Roman" w:hAnsi="Times New Roman"/>
          <w:b/>
          <w:sz w:val="24"/>
          <w:szCs w:val="24"/>
        </w:rPr>
        <w:t>II.</w:t>
      </w:r>
      <w:r w:rsidRPr="004F7596">
        <w:rPr>
          <w:rFonts w:ascii="Times New Roman" w:hAnsi="Times New Roman"/>
          <w:b/>
          <w:sz w:val="24"/>
          <w:szCs w:val="24"/>
        </w:rPr>
        <w:tab/>
        <w:t>ALLOCATION METHODOLOGY FOR REMAINING CUSTOMERS WHEN EXITING THE MERCHANT FUNCTION</w:t>
      </w:r>
      <w:r w:rsidR="00D62B5D" w:rsidRPr="004F7596">
        <w:rPr>
          <w:rFonts w:ascii="Times New Roman" w:hAnsi="Times New Roman"/>
          <w:b/>
          <w:sz w:val="24"/>
          <w:szCs w:val="24"/>
        </w:rPr>
        <w:t xml:space="preserve"> </w:t>
      </w:r>
    </w:p>
    <w:p w:rsidR="00C60DCF" w:rsidRDefault="00C01A47">
      <w:pPr>
        <w:spacing w:after="0" w:line="480" w:lineRule="auto"/>
        <w:ind w:left="720" w:hanging="720"/>
        <w:rPr>
          <w:rFonts w:ascii="Times New Roman" w:hAnsi="Times New Roman"/>
          <w:b/>
          <w:sz w:val="24"/>
          <w:szCs w:val="24"/>
        </w:rPr>
      </w:pPr>
      <w:r>
        <w:rPr>
          <w:rFonts w:ascii="Times New Roman" w:hAnsi="Times New Roman"/>
          <w:b/>
          <w:sz w:val="24"/>
          <w:szCs w:val="24"/>
        </w:rPr>
        <w:t>Q8</w:t>
      </w:r>
      <w:r w:rsidR="00C60DCF">
        <w:rPr>
          <w:rFonts w:ascii="Times New Roman" w:hAnsi="Times New Roman"/>
          <w:b/>
          <w:sz w:val="24"/>
          <w:szCs w:val="24"/>
        </w:rPr>
        <w:t>.</w:t>
      </w:r>
      <w:r w:rsidR="00C60DCF">
        <w:rPr>
          <w:rFonts w:ascii="Times New Roman" w:hAnsi="Times New Roman"/>
          <w:b/>
          <w:sz w:val="24"/>
          <w:szCs w:val="24"/>
        </w:rPr>
        <w:tab/>
        <w:t>Do you have an opinion on how customers should be assigned to participating Suppliers upon an exit of the merchant function by Columbia?</w:t>
      </w:r>
    </w:p>
    <w:p w:rsidR="004A59EF" w:rsidRDefault="00C01A47">
      <w:pPr>
        <w:spacing w:after="0" w:line="480" w:lineRule="auto"/>
        <w:ind w:left="720" w:hanging="720"/>
        <w:rPr>
          <w:rFonts w:ascii="Times New Roman" w:hAnsi="Times New Roman"/>
          <w:sz w:val="24"/>
          <w:szCs w:val="24"/>
        </w:rPr>
      </w:pPr>
      <w:r>
        <w:rPr>
          <w:rFonts w:ascii="Times New Roman" w:hAnsi="Times New Roman"/>
          <w:b/>
          <w:sz w:val="24"/>
          <w:szCs w:val="24"/>
        </w:rPr>
        <w:t>A8</w:t>
      </w:r>
      <w:r w:rsidR="00C60DCF">
        <w:rPr>
          <w:rFonts w:ascii="Times New Roman" w:hAnsi="Times New Roman"/>
          <w:b/>
          <w:sz w:val="24"/>
          <w:szCs w:val="24"/>
        </w:rPr>
        <w:t>.</w:t>
      </w:r>
      <w:r w:rsidR="00C60DCF">
        <w:rPr>
          <w:rFonts w:ascii="Times New Roman" w:hAnsi="Times New Roman"/>
          <w:b/>
          <w:sz w:val="24"/>
          <w:szCs w:val="24"/>
        </w:rPr>
        <w:tab/>
      </w:r>
      <w:r w:rsidR="00C60DCF" w:rsidRPr="00C60DCF">
        <w:rPr>
          <w:rFonts w:ascii="Times New Roman" w:hAnsi="Times New Roman"/>
          <w:sz w:val="24"/>
          <w:szCs w:val="24"/>
        </w:rPr>
        <w:t>The Joint Stipulation and Recommendation (at Page 10) states as follows: “Prior to Columbia’s exit of the mer</w:t>
      </w:r>
      <w:r w:rsidR="00C60DCF">
        <w:rPr>
          <w:rFonts w:ascii="Times New Roman" w:hAnsi="Times New Roman"/>
          <w:sz w:val="24"/>
          <w:szCs w:val="24"/>
        </w:rPr>
        <w:t>chant function, a method for assigning supply default Choice-</w:t>
      </w:r>
      <w:r w:rsidR="00C60DCF">
        <w:rPr>
          <w:rFonts w:ascii="Times New Roman" w:hAnsi="Times New Roman"/>
          <w:sz w:val="24"/>
          <w:szCs w:val="24"/>
        </w:rPr>
        <w:lastRenderedPageBreak/>
        <w:t>Eligible Customer should be determined.  The Parties acknowledge and agree that such method should be part of this proceeding and include both the initial allocation upon Columbia’s exits as well as an allocation methodology for future supply default Choice-Eligible Customers.  The Parties agree that the allocation methodology shall be addressed by the undersigned in the testimony phase of this proceeding.”</w:t>
      </w:r>
      <w:r w:rsidR="004A59EF">
        <w:rPr>
          <w:rFonts w:ascii="Times New Roman" w:hAnsi="Times New Roman"/>
          <w:sz w:val="24"/>
          <w:szCs w:val="24"/>
        </w:rPr>
        <w:t xml:space="preserve">  </w:t>
      </w:r>
      <w:r w:rsidR="00C60DCF">
        <w:rPr>
          <w:rFonts w:ascii="Times New Roman" w:hAnsi="Times New Roman"/>
          <w:sz w:val="24"/>
          <w:szCs w:val="24"/>
        </w:rPr>
        <w:t>Direct Energy supports a proportional allocation methodology</w:t>
      </w:r>
      <w:r w:rsidR="00E4523A">
        <w:rPr>
          <w:rFonts w:ascii="Times New Roman" w:hAnsi="Times New Roman"/>
          <w:sz w:val="24"/>
          <w:szCs w:val="24"/>
        </w:rPr>
        <w:t xml:space="preserve"> </w:t>
      </w:r>
      <w:r w:rsidR="004A59EF">
        <w:rPr>
          <w:rFonts w:ascii="Times New Roman" w:hAnsi="Times New Roman"/>
          <w:sz w:val="24"/>
          <w:szCs w:val="24"/>
        </w:rPr>
        <w:t xml:space="preserve">for </w:t>
      </w:r>
      <w:r w:rsidR="00E4523A">
        <w:rPr>
          <w:rFonts w:ascii="Times New Roman" w:hAnsi="Times New Roman"/>
          <w:sz w:val="24"/>
          <w:szCs w:val="24"/>
        </w:rPr>
        <w:t xml:space="preserve">the initial allocation of customers as well as for the future supply of default </w:t>
      </w:r>
      <w:r w:rsidR="004A59EF">
        <w:rPr>
          <w:rFonts w:ascii="Times New Roman" w:hAnsi="Times New Roman"/>
          <w:sz w:val="24"/>
          <w:szCs w:val="24"/>
        </w:rPr>
        <w:t>Choice-Eligible Customers.</w:t>
      </w:r>
      <w:r w:rsidR="00A73D54">
        <w:rPr>
          <w:rFonts w:ascii="Times New Roman" w:hAnsi="Times New Roman"/>
          <w:sz w:val="24"/>
          <w:szCs w:val="24"/>
        </w:rPr>
        <w:t xml:space="preserve">  </w:t>
      </w:r>
      <w:r w:rsidR="00A73D54" w:rsidRPr="00A73D54">
        <w:rPr>
          <w:rFonts w:ascii="Times New Roman" w:hAnsi="Times New Roman"/>
          <w:sz w:val="24"/>
          <w:szCs w:val="24"/>
        </w:rPr>
        <w:t>Direct Energy</w:t>
      </w:r>
      <w:r w:rsidR="00A73D54">
        <w:rPr>
          <w:rFonts w:ascii="Times New Roman" w:hAnsi="Times New Roman"/>
          <w:sz w:val="24"/>
          <w:szCs w:val="24"/>
        </w:rPr>
        <w:t xml:space="preserve"> also believes the Commission should determine now that a proportional allocation methodology should be considered the default </w:t>
      </w:r>
      <w:r w:rsidR="00B10502">
        <w:rPr>
          <w:rFonts w:ascii="Times New Roman" w:hAnsi="Times New Roman"/>
          <w:sz w:val="24"/>
          <w:szCs w:val="24"/>
        </w:rPr>
        <w:t>construct</w:t>
      </w:r>
      <w:r w:rsidR="00A73D54">
        <w:rPr>
          <w:rFonts w:ascii="Times New Roman" w:hAnsi="Times New Roman"/>
          <w:sz w:val="24"/>
          <w:szCs w:val="24"/>
        </w:rPr>
        <w:t xml:space="preserve"> for how residential customers should be allocated upon an exit of the merchant function if and when an exit of the merchant function for residential customers occurs.</w:t>
      </w:r>
      <w:r w:rsidR="004A59EF">
        <w:rPr>
          <w:rFonts w:ascii="Times New Roman" w:hAnsi="Times New Roman"/>
          <w:sz w:val="24"/>
          <w:szCs w:val="24"/>
        </w:rPr>
        <w:t xml:space="preserve">  </w:t>
      </w:r>
    </w:p>
    <w:p w:rsidR="004A59EF" w:rsidRDefault="004A59EF">
      <w:pPr>
        <w:spacing w:after="0" w:line="480" w:lineRule="auto"/>
        <w:ind w:left="720" w:hanging="720"/>
        <w:rPr>
          <w:rFonts w:ascii="Times New Roman" w:hAnsi="Times New Roman"/>
          <w:sz w:val="24"/>
          <w:szCs w:val="24"/>
        </w:rPr>
      </w:pPr>
    </w:p>
    <w:p w:rsidR="004A59EF" w:rsidRPr="009E5D9A" w:rsidRDefault="00C01A47">
      <w:pPr>
        <w:spacing w:after="0" w:line="480" w:lineRule="auto"/>
        <w:ind w:left="720" w:hanging="720"/>
        <w:rPr>
          <w:rFonts w:ascii="Times New Roman" w:hAnsi="Times New Roman"/>
          <w:b/>
          <w:sz w:val="24"/>
          <w:szCs w:val="24"/>
        </w:rPr>
      </w:pPr>
      <w:r w:rsidRPr="009E5D9A">
        <w:rPr>
          <w:rFonts w:ascii="Times New Roman" w:hAnsi="Times New Roman"/>
          <w:b/>
          <w:sz w:val="24"/>
          <w:szCs w:val="24"/>
        </w:rPr>
        <w:t>Q</w:t>
      </w:r>
      <w:r>
        <w:rPr>
          <w:rFonts w:ascii="Times New Roman" w:hAnsi="Times New Roman"/>
          <w:b/>
          <w:sz w:val="24"/>
          <w:szCs w:val="24"/>
        </w:rPr>
        <w:t>9</w:t>
      </w:r>
      <w:r w:rsidR="004A59EF" w:rsidRPr="009E5D9A">
        <w:rPr>
          <w:rFonts w:ascii="Times New Roman" w:hAnsi="Times New Roman"/>
          <w:b/>
          <w:sz w:val="24"/>
          <w:szCs w:val="24"/>
        </w:rPr>
        <w:t>.</w:t>
      </w:r>
      <w:r w:rsidR="004A59EF" w:rsidRPr="009E5D9A">
        <w:rPr>
          <w:rFonts w:ascii="Times New Roman" w:hAnsi="Times New Roman"/>
          <w:b/>
          <w:sz w:val="24"/>
          <w:szCs w:val="24"/>
        </w:rPr>
        <w:tab/>
        <w:t xml:space="preserve">Can you define </w:t>
      </w:r>
      <w:r w:rsidR="00FE5A40" w:rsidRPr="009E5D9A">
        <w:rPr>
          <w:rFonts w:ascii="Times New Roman" w:hAnsi="Times New Roman"/>
          <w:b/>
          <w:sz w:val="24"/>
          <w:szCs w:val="24"/>
        </w:rPr>
        <w:t>“</w:t>
      </w:r>
      <w:r w:rsidR="004A59EF" w:rsidRPr="009E5D9A">
        <w:rPr>
          <w:rFonts w:ascii="Times New Roman" w:hAnsi="Times New Roman"/>
          <w:b/>
          <w:sz w:val="24"/>
          <w:szCs w:val="24"/>
        </w:rPr>
        <w:t>proportional allocation methodology</w:t>
      </w:r>
      <w:r w:rsidR="00FE5A40" w:rsidRPr="009E5D9A">
        <w:rPr>
          <w:rFonts w:ascii="Times New Roman" w:hAnsi="Times New Roman"/>
          <w:b/>
          <w:sz w:val="24"/>
          <w:szCs w:val="24"/>
        </w:rPr>
        <w:t>”</w:t>
      </w:r>
      <w:r w:rsidR="004A59EF" w:rsidRPr="009E5D9A">
        <w:rPr>
          <w:rFonts w:ascii="Times New Roman" w:hAnsi="Times New Roman"/>
          <w:b/>
          <w:sz w:val="24"/>
          <w:szCs w:val="24"/>
        </w:rPr>
        <w:t xml:space="preserve"> and describe how such a methodology would work in practice?</w:t>
      </w:r>
    </w:p>
    <w:p w:rsidR="00CE7745" w:rsidRDefault="00C01A47" w:rsidP="00CE7745">
      <w:pPr>
        <w:spacing w:after="0" w:line="480" w:lineRule="auto"/>
        <w:ind w:left="720" w:hanging="720"/>
        <w:rPr>
          <w:rFonts w:ascii="Times New Roman" w:hAnsi="Times New Roman"/>
          <w:sz w:val="24"/>
          <w:szCs w:val="24"/>
        </w:rPr>
      </w:pPr>
      <w:r w:rsidRPr="00C01A47">
        <w:rPr>
          <w:rFonts w:ascii="Times New Roman" w:hAnsi="Times New Roman"/>
          <w:b/>
          <w:sz w:val="24"/>
          <w:szCs w:val="24"/>
        </w:rPr>
        <w:t>A9</w:t>
      </w:r>
      <w:r w:rsidR="004A59EF" w:rsidRPr="00C01A47">
        <w:rPr>
          <w:rFonts w:ascii="Times New Roman" w:hAnsi="Times New Roman"/>
          <w:b/>
          <w:sz w:val="24"/>
          <w:szCs w:val="24"/>
        </w:rPr>
        <w:t>.</w:t>
      </w:r>
      <w:r w:rsidR="004A59EF">
        <w:rPr>
          <w:rFonts w:ascii="Times New Roman" w:hAnsi="Times New Roman"/>
          <w:sz w:val="24"/>
          <w:szCs w:val="24"/>
        </w:rPr>
        <w:tab/>
        <w:t>A proportion</w:t>
      </w:r>
      <w:r w:rsidR="00FE5A40">
        <w:rPr>
          <w:rFonts w:ascii="Times New Roman" w:hAnsi="Times New Roman"/>
          <w:sz w:val="24"/>
          <w:szCs w:val="24"/>
        </w:rPr>
        <w:t xml:space="preserve">al allocation methodology would apportion customers to various Suppliers depending on their share of the Columbia market at the time the customer </w:t>
      </w:r>
      <w:r w:rsidR="00D162A2">
        <w:rPr>
          <w:rFonts w:ascii="Times New Roman" w:hAnsi="Times New Roman"/>
          <w:sz w:val="24"/>
          <w:szCs w:val="24"/>
        </w:rPr>
        <w:t xml:space="preserve">is </w:t>
      </w:r>
      <w:r w:rsidR="00FE5A40">
        <w:rPr>
          <w:rFonts w:ascii="Times New Roman" w:hAnsi="Times New Roman"/>
          <w:sz w:val="24"/>
          <w:szCs w:val="24"/>
        </w:rPr>
        <w:t xml:space="preserve">eligible to be assigned to a Supplier.  </w:t>
      </w:r>
      <w:r w:rsidR="00CE7745">
        <w:rPr>
          <w:rFonts w:ascii="Times New Roman" w:hAnsi="Times New Roman"/>
          <w:sz w:val="24"/>
          <w:szCs w:val="24"/>
        </w:rPr>
        <w:t xml:space="preserve">Each Supplier’s market share would be calculated based on their total number of choice eligible customers served inclusive of those enrolled organically on a bi-lateral contract as well as customers in community aggregation programs with a Supplier.  </w:t>
      </w:r>
    </w:p>
    <w:p w:rsidR="009E5D9A" w:rsidRDefault="009E5D9A" w:rsidP="009E5D9A">
      <w:pPr>
        <w:spacing w:after="0" w:line="480" w:lineRule="auto"/>
        <w:ind w:left="720" w:hanging="720"/>
        <w:rPr>
          <w:rFonts w:ascii="Times New Roman" w:hAnsi="Times New Roman"/>
          <w:sz w:val="24"/>
          <w:szCs w:val="24"/>
        </w:rPr>
      </w:pPr>
    </w:p>
    <w:p w:rsidR="00D162A2" w:rsidRDefault="00D162A2" w:rsidP="009E5D9A">
      <w:pPr>
        <w:spacing w:after="0" w:line="480" w:lineRule="auto"/>
        <w:ind w:left="720"/>
        <w:rPr>
          <w:rFonts w:ascii="Times New Roman" w:hAnsi="Times New Roman"/>
          <w:sz w:val="24"/>
          <w:szCs w:val="24"/>
        </w:rPr>
      </w:pPr>
      <w:r>
        <w:rPr>
          <w:rFonts w:ascii="Times New Roman" w:hAnsi="Times New Roman"/>
          <w:sz w:val="24"/>
          <w:szCs w:val="24"/>
        </w:rPr>
        <w:t xml:space="preserve">Market share would </w:t>
      </w:r>
      <w:r w:rsidRPr="00D162A2">
        <w:rPr>
          <w:rFonts w:ascii="Times New Roman" w:hAnsi="Times New Roman"/>
          <w:sz w:val="24"/>
          <w:szCs w:val="24"/>
          <w:u w:val="single"/>
        </w:rPr>
        <w:t>not</w:t>
      </w:r>
      <w:r>
        <w:rPr>
          <w:rFonts w:ascii="Times New Roman" w:hAnsi="Times New Roman"/>
          <w:sz w:val="24"/>
          <w:szCs w:val="24"/>
        </w:rPr>
        <w:t xml:space="preserve"> include a Supplier’s share of customers won through the SCO auction process.</w:t>
      </w:r>
      <w:r w:rsidR="00257DE9">
        <w:rPr>
          <w:rFonts w:ascii="Times New Roman" w:hAnsi="Times New Roman"/>
          <w:sz w:val="24"/>
          <w:szCs w:val="24"/>
        </w:rPr>
        <w:t xml:space="preserve">  Service provided to customers by an SCO auction winner is governed </w:t>
      </w:r>
      <w:r w:rsidR="00257DE9">
        <w:rPr>
          <w:rFonts w:ascii="Times New Roman" w:hAnsi="Times New Roman"/>
          <w:sz w:val="24"/>
          <w:szCs w:val="24"/>
        </w:rPr>
        <w:lastRenderedPageBreak/>
        <w:t>by Columbia’s tariff, not a bi-lateral contract between a Supplier and the customer</w:t>
      </w:r>
      <w:r w:rsidR="009E5D9A">
        <w:rPr>
          <w:rFonts w:ascii="Times New Roman" w:hAnsi="Times New Roman"/>
          <w:sz w:val="24"/>
          <w:szCs w:val="24"/>
        </w:rPr>
        <w:t>,</w:t>
      </w:r>
      <w:r w:rsidR="004878DA">
        <w:rPr>
          <w:rFonts w:ascii="Times New Roman" w:hAnsi="Times New Roman"/>
          <w:sz w:val="24"/>
          <w:szCs w:val="24"/>
        </w:rPr>
        <w:t xml:space="preserve"> and the SCO auction winner has no right to keep that customer after the end of that current auction period. </w:t>
      </w:r>
      <w:r w:rsidR="009E5D9A">
        <w:rPr>
          <w:rFonts w:ascii="Times New Roman" w:hAnsi="Times New Roman"/>
          <w:sz w:val="24"/>
          <w:szCs w:val="24"/>
        </w:rPr>
        <w:t xml:space="preserve"> SCO customers by definition are not shopping customers and therefore should not be counted as part of a company’s market share.  </w:t>
      </w:r>
      <w:r w:rsidR="00B52DC4">
        <w:rPr>
          <w:rFonts w:ascii="Times New Roman" w:hAnsi="Times New Roman"/>
          <w:sz w:val="24"/>
          <w:szCs w:val="24"/>
        </w:rPr>
        <w:t xml:space="preserve">All of my testimony that references a proportional allocation should be understood to mean that SCO customers would not be counted towards a Supplier’s market share.  </w:t>
      </w:r>
      <w:r w:rsidR="004878DA">
        <w:rPr>
          <w:rFonts w:ascii="Times New Roman" w:hAnsi="Times New Roman"/>
          <w:sz w:val="24"/>
          <w:szCs w:val="24"/>
        </w:rPr>
        <w:t xml:space="preserve"> </w:t>
      </w:r>
    </w:p>
    <w:p w:rsidR="00D162A2" w:rsidRDefault="00D162A2">
      <w:pPr>
        <w:spacing w:after="0" w:line="480" w:lineRule="auto"/>
        <w:ind w:left="720" w:hanging="720"/>
        <w:rPr>
          <w:rFonts w:ascii="Times New Roman" w:hAnsi="Times New Roman"/>
          <w:sz w:val="24"/>
          <w:szCs w:val="24"/>
        </w:rPr>
      </w:pPr>
    </w:p>
    <w:p w:rsidR="00C60DCF" w:rsidRDefault="00FE5A40" w:rsidP="00D162A2">
      <w:pPr>
        <w:spacing w:after="0" w:line="480" w:lineRule="auto"/>
        <w:ind w:left="720"/>
        <w:rPr>
          <w:rFonts w:ascii="Times New Roman" w:hAnsi="Times New Roman"/>
          <w:sz w:val="24"/>
          <w:szCs w:val="24"/>
        </w:rPr>
      </w:pPr>
      <w:r>
        <w:rPr>
          <w:rFonts w:ascii="Times New Roman" w:hAnsi="Times New Roman"/>
          <w:sz w:val="24"/>
          <w:szCs w:val="24"/>
        </w:rPr>
        <w:t>As an illustrative example</w:t>
      </w:r>
      <w:r w:rsidR="00BB3661">
        <w:rPr>
          <w:rFonts w:ascii="Times New Roman" w:hAnsi="Times New Roman"/>
          <w:sz w:val="24"/>
          <w:szCs w:val="24"/>
        </w:rPr>
        <w:t xml:space="preserve"> of the proportional allocation methodology</w:t>
      </w:r>
      <w:r>
        <w:rPr>
          <w:rFonts w:ascii="Times New Roman" w:hAnsi="Times New Roman"/>
          <w:sz w:val="24"/>
          <w:szCs w:val="24"/>
        </w:rPr>
        <w:t xml:space="preserve">, assume Supplier A has 40% market share, Supplier B has 30% market share, Supplier C has 20% market share, and Supplier D has 10% market share. </w:t>
      </w:r>
      <w:r w:rsidR="00D162A2">
        <w:rPr>
          <w:rFonts w:ascii="Times New Roman" w:hAnsi="Times New Roman"/>
          <w:sz w:val="24"/>
          <w:szCs w:val="24"/>
        </w:rPr>
        <w:t xml:space="preserve"> </w:t>
      </w:r>
      <w:r>
        <w:rPr>
          <w:rFonts w:ascii="Times New Roman" w:hAnsi="Times New Roman"/>
          <w:sz w:val="24"/>
          <w:szCs w:val="24"/>
        </w:rPr>
        <w:t xml:space="preserve">If there are 100 customers to allocate, then </w:t>
      </w:r>
      <w:proofErr w:type="gramStart"/>
      <w:r>
        <w:rPr>
          <w:rFonts w:ascii="Times New Roman" w:hAnsi="Times New Roman"/>
          <w:sz w:val="24"/>
          <w:szCs w:val="24"/>
        </w:rPr>
        <w:t>Supplier  A</w:t>
      </w:r>
      <w:proofErr w:type="gramEnd"/>
      <w:r>
        <w:rPr>
          <w:rFonts w:ascii="Times New Roman" w:hAnsi="Times New Roman"/>
          <w:sz w:val="24"/>
          <w:szCs w:val="24"/>
        </w:rPr>
        <w:t xml:space="preserve"> would be assigned 40 of those customers, Supplier B would be assigned 30 of those customers, Supplier C would be assigned 20 of those customers, and Supplier D would be assigned 10 of those customers.</w:t>
      </w:r>
      <w:r w:rsidR="003A7C8A">
        <w:rPr>
          <w:rFonts w:ascii="Times New Roman" w:hAnsi="Times New Roman"/>
          <w:sz w:val="24"/>
          <w:szCs w:val="24"/>
        </w:rPr>
        <w:t xml:space="preserve">  A proportional allocation methodology </w:t>
      </w:r>
      <w:r w:rsidR="00CE7745">
        <w:rPr>
          <w:rFonts w:ascii="Times New Roman" w:hAnsi="Times New Roman"/>
          <w:sz w:val="24"/>
          <w:szCs w:val="24"/>
        </w:rPr>
        <w:t>encourages suppliers to increase market share to receive assigned customers,</w:t>
      </w:r>
      <w:r w:rsidR="00754C9C">
        <w:rPr>
          <w:rFonts w:ascii="Times New Roman" w:hAnsi="Times New Roman"/>
          <w:sz w:val="24"/>
          <w:szCs w:val="24"/>
        </w:rPr>
        <w:t xml:space="preserve"> allows a Supplier to keep its earned place in the Columbia market</w:t>
      </w:r>
      <w:r w:rsidR="00CE7745">
        <w:rPr>
          <w:rFonts w:ascii="Times New Roman" w:hAnsi="Times New Roman"/>
          <w:sz w:val="24"/>
          <w:szCs w:val="24"/>
        </w:rPr>
        <w:t>, and ensures small suppliers who may not have the structure to take on an immediate assignment of a large chunk of load from a rotating assignment will receive assignment in proportion to their business</w:t>
      </w:r>
      <w:r w:rsidR="00754C9C">
        <w:rPr>
          <w:rFonts w:ascii="Times New Roman" w:hAnsi="Times New Roman"/>
          <w:sz w:val="24"/>
          <w:szCs w:val="24"/>
        </w:rPr>
        <w:t xml:space="preserve">.  </w:t>
      </w:r>
    </w:p>
    <w:p w:rsidR="00BD4321" w:rsidRDefault="00BD4321" w:rsidP="00553534">
      <w:pPr>
        <w:spacing w:after="0" w:line="480" w:lineRule="auto"/>
        <w:rPr>
          <w:rFonts w:ascii="Times New Roman" w:hAnsi="Times New Roman"/>
          <w:sz w:val="24"/>
          <w:szCs w:val="24"/>
        </w:rPr>
      </w:pPr>
    </w:p>
    <w:p w:rsidR="00553534" w:rsidRPr="002600BA" w:rsidRDefault="00553534" w:rsidP="00553534">
      <w:pPr>
        <w:spacing w:after="0" w:line="480" w:lineRule="auto"/>
        <w:ind w:left="720" w:hanging="720"/>
        <w:rPr>
          <w:rFonts w:ascii="Times New Roman" w:hAnsi="Times New Roman"/>
          <w:b/>
          <w:sz w:val="24"/>
          <w:szCs w:val="24"/>
        </w:rPr>
      </w:pPr>
      <w:r w:rsidRPr="002600BA">
        <w:rPr>
          <w:rFonts w:ascii="Times New Roman" w:hAnsi="Times New Roman"/>
          <w:b/>
          <w:sz w:val="24"/>
          <w:szCs w:val="24"/>
        </w:rPr>
        <w:t>Q</w:t>
      </w:r>
      <w:r w:rsidR="00F63B08">
        <w:rPr>
          <w:rFonts w:ascii="Times New Roman" w:hAnsi="Times New Roman"/>
          <w:b/>
          <w:sz w:val="24"/>
          <w:szCs w:val="24"/>
        </w:rPr>
        <w:t>10</w:t>
      </w:r>
      <w:r w:rsidRPr="002600BA">
        <w:rPr>
          <w:rFonts w:ascii="Times New Roman" w:hAnsi="Times New Roman"/>
          <w:b/>
          <w:sz w:val="24"/>
          <w:szCs w:val="24"/>
        </w:rPr>
        <w:t>.</w:t>
      </w:r>
      <w:r w:rsidRPr="002600BA">
        <w:rPr>
          <w:rFonts w:ascii="Times New Roman" w:hAnsi="Times New Roman"/>
          <w:b/>
          <w:sz w:val="24"/>
          <w:szCs w:val="24"/>
        </w:rPr>
        <w:tab/>
        <w:t>Are there other allocation methodologies that Direct Energy does not support?</w:t>
      </w:r>
    </w:p>
    <w:p w:rsidR="008F08FB" w:rsidRPr="008F08FB" w:rsidRDefault="00553534" w:rsidP="00377060">
      <w:pPr>
        <w:spacing w:after="0" w:line="480" w:lineRule="auto"/>
        <w:ind w:left="720" w:hanging="720"/>
        <w:rPr>
          <w:rFonts w:ascii="Times New Roman" w:hAnsi="Times New Roman"/>
          <w:sz w:val="24"/>
          <w:szCs w:val="24"/>
        </w:rPr>
      </w:pPr>
      <w:r w:rsidRPr="00C01A47">
        <w:rPr>
          <w:rFonts w:ascii="Times New Roman" w:hAnsi="Times New Roman"/>
          <w:b/>
          <w:sz w:val="24"/>
          <w:szCs w:val="24"/>
        </w:rPr>
        <w:t>A1</w:t>
      </w:r>
      <w:r w:rsidR="00F63B08">
        <w:rPr>
          <w:rFonts w:ascii="Times New Roman" w:hAnsi="Times New Roman"/>
          <w:b/>
          <w:sz w:val="24"/>
          <w:szCs w:val="24"/>
        </w:rPr>
        <w:t>0</w:t>
      </w:r>
      <w:r>
        <w:rPr>
          <w:rFonts w:ascii="Times New Roman" w:hAnsi="Times New Roman"/>
          <w:sz w:val="24"/>
          <w:szCs w:val="24"/>
        </w:rPr>
        <w:t>.</w:t>
      </w:r>
      <w:r>
        <w:rPr>
          <w:rFonts w:ascii="Times New Roman" w:hAnsi="Times New Roman"/>
          <w:sz w:val="24"/>
          <w:szCs w:val="24"/>
        </w:rPr>
        <w:tab/>
      </w:r>
      <w:r w:rsidRPr="00404048">
        <w:rPr>
          <w:rFonts w:ascii="Times New Roman" w:hAnsi="Times New Roman"/>
          <w:sz w:val="24"/>
          <w:szCs w:val="24"/>
        </w:rPr>
        <w:t>Direct Energy</w:t>
      </w:r>
      <w:r>
        <w:rPr>
          <w:rFonts w:ascii="Times New Roman" w:hAnsi="Times New Roman"/>
          <w:sz w:val="24"/>
          <w:szCs w:val="24"/>
        </w:rPr>
        <w:t xml:space="preserve"> suspects other Suppliers may propose a rotational allocation methodology.  Under this methodology, customers are randomly and equally assigned to participating Suppliers.  Using the same illustrative example as above, if there are 100 customers to be assigned, then Suppliers A, B, C, and D would each be assigned 25 customers.  . </w:t>
      </w:r>
      <w:r w:rsidR="00377060">
        <w:rPr>
          <w:rFonts w:ascii="Times New Roman" w:hAnsi="Times New Roman"/>
          <w:sz w:val="24"/>
          <w:szCs w:val="24"/>
        </w:rPr>
        <w:lastRenderedPageBreak/>
        <w:t xml:space="preserve">Additionally, </w:t>
      </w:r>
      <w:r w:rsidR="008F08FB" w:rsidRPr="008F08FB">
        <w:rPr>
          <w:rFonts w:ascii="Times New Roman" w:hAnsi="Times New Roman"/>
          <w:sz w:val="24"/>
          <w:szCs w:val="24"/>
        </w:rPr>
        <w:t>Direct Energy</w:t>
      </w:r>
      <w:r w:rsidR="008F08FB">
        <w:rPr>
          <w:rFonts w:ascii="Times New Roman" w:hAnsi="Times New Roman"/>
          <w:sz w:val="24"/>
          <w:szCs w:val="24"/>
        </w:rPr>
        <w:t xml:space="preserve"> also suspects other Suppliers may advocate for inclusion of SCO customers in </w:t>
      </w:r>
      <w:r w:rsidR="00272EEE">
        <w:rPr>
          <w:rFonts w:ascii="Times New Roman" w:hAnsi="Times New Roman"/>
          <w:sz w:val="24"/>
          <w:szCs w:val="24"/>
        </w:rPr>
        <w:t xml:space="preserve">the calculation of market share.  </w:t>
      </w:r>
      <w:r w:rsidR="00377060" w:rsidRPr="00553534">
        <w:rPr>
          <w:rFonts w:ascii="Times New Roman" w:hAnsi="Times New Roman"/>
          <w:sz w:val="24"/>
          <w:szCs w:val="24"/>
        </w:rPr>
        <w:t>Direct Energy</w:t>
      </w:r>
      <w:r w:rsidR="00377060">
        <w:rPr>
          <w:rFonts w:ascii="Times New Roman" w:hAnsi="Times New Roman"/>
          <w:sz w:val="24"/>
          <w:szCs w:val="24"/>
        </w:rPr>
        <w:t xml:space="preserve"> does not support these other allocation methodologies for the reasons described herein.</w:t>
      </w:r>
    </w:p>
    <w:p w:rsidR="00553534" w:rsidRDefault="00553534" w:rsidP="00553534">
      <w:pPr>
        <w:spacing w:after="0" w:line="480" w:lineRule="auto"/>
        <w:rPr>
          <w:rFonts w:ascii="Times New Roman" w:hAnsi="Times New Roman"/>
          <w:sz w:val="24"/>
          <w:szCs w:val="24"/>
        </w:rPr>
      </w:pPr>
    </w:p>
    <w:p w:rsidR="00E4523A" w:rsidRPr="00404048" w:rsidRDefault="00C01A47">
      <w:pPr>
        <w:spacing w:after="0" w:line="480" w:lineRule="auto"/>
        <w:ind w:left="720" w:hanging="720"/>
        <w:rPr>
          <w:rFonts w:ascii="Times New Roman" w:hAnsi="Times New Roman"/>
          <w:b/>
          <w:sz w:val="24"/>
          <w:szCs w:val="24"/>
        </w:rPr>
      </w:pPr>
      <w:r w:rsidRPr="00404048">
        <w:rPr>
          <w:rFonts w:ascii="Times New Roman" w:hAnsi="Times New Roman"/>
          <w:b/>
          <w:sz w:val="24"/>
          <w:szCs w:val="24"/>
        </w:rPr>
        <w:t>Q</w:t>
      </w:r>
      <w:r w:rsidR="00F63B08">
        <w:rPr>
          <w:rFonts w:ascii="Times New Roman" w:hAnsi="Times New Roman"/>
          <w:b/>
          <w:sz w:val="24"/>
          <w:szCs w:val="24"/>
        </w:rPr>
        <w:t>11</w:t>
      </w:r>
      <w:r w:rsidR="004A59EF" w:rsidRPr="00404048">
        <w:rPr>
          <w:rFonts w:ascii="Times New Roman" w:hAnsi="Times New Roman"/>
          <w:b/>
          <w:sz w:val="24"/>
          <w:szCs w:val="24"/>
        </w:rPr>
        <w:t>.</w:t>
      </w:r>
      <w:r w:rsidR="004A59EF" w:rsidRPr="00404048">
        <w:rPr>
          <w:rFonts w:ascii="Times New Roman" w:hAnsi="Times New Roman"/>
          <w:b/>
          <w:sz w:val="24"/>
          <w:szCs w:val="24"/>
        </w:rPr>
        <w:tab/>
        <w:t xml:space="preserve">Why </w:t>
      </w:r>
      <w:r w:rsidR="002E7BD9" w:rsidRPr="00404048">
        <w:rPr>
          <w:rFonts w:ascii="Times New Roman" w:hAnsi="Times New Roman"/>
          <w:b/>
          <w:sz w:val="24"/>
          <w:szCs w:val="24"/>
        </w:rPr>
        <w:t xml:space="preserve">should the Commission adopt </w:t>
      </w:r>
      <w:r w:rsidR="004A59EF" w:rsidRPr="00404048">
        <w:rPr>
          <w:rFonts w:ascii="Times New Roman" w:hAnsi="Times New Roman"/>
          <w:b/>
          <w:sz w:val="24"/>
          <w:szCs w:val="24"/>
        </w:rPr>
        <w:t>a proportional allocation methodology</w:t>
      </w:r>
      <w:r w:rsidR="00DE381D">
        <w:rPr>
          <w:rFonts w:ascii="Times New Roman" w:hAnsi="Times New Roman"/>
          <w:b/>
          <w:sz w:val="24"/>
          <w:szCs w:val="24"/>
        </w:rPr>
        <w:t xml:space="preserve"> for the initial allocation of non-residential customers after an exit of the merchant function by Columbia</w:t>
      </w:r>
      <w:r w:rsidR="004A59EF" w:rsidRPr="00404048">
        <w:rPr>
          <w:rFonts w:ascii="Times New Roman" w:hAnsi="Times New Roman"/>
          <w:b/>
          <w:sz w:val="24"/>
          <w:szCs w:val="24"/>
        </w:rPr>
        <w:t>?</w:t>
      </w:r>
    </w:p>
    <w:p w:rsidR="00404048" w:rsidRDefault="00C01A47">
      <w:pPr>
        <w:spacing w:after="0" w:line="480" w:lineRule="auto"/>
        <w:ind w:left="720" w:hanging="720"/>
        <w:rPr>
          <w:rFonts w:ascii="Times New Roman" w:hAnsi="Times New Roman"/>
          <w:sz w:val="24"/>
          <w:szCs w:val="24"/>
        </w:rPr>
      </w:pPr>
      <w:r w:rsidRPr="00C01A47">
        <w:rPr>
          <w:rFonts w:ascii="Times New Roman" w:hAnsi="Times New Roman"/>
          <w:b/>
          <w:sz w:val="24"/>
          <w:szCs w:val="24"/>
        </w:rPr>
        <w:t>A1</w:t>
      </w:r>
      <w:r w:rsidR="00F63B08">
        <w:rPr>
          <w:rFonts w:ascii="Times New Roman" w:hAnsi="Times New Roman"/>
          <w:b/>
          <w:sz w:val="24"/>
          <w:szCs w:val="24"/>
        </w:rPr>
        <w:t>1</w:t>
      </w:r>
      <w:r w:rsidR="002E7BD9">
        <w:rPr>
          <w:rFonts w:ascii="Times New Roman" w:hAnsi="Times New Roman"/>
          <w:sz w:val="24"/>
          <w:szCs w:val="24"/>
        </w:rPr>
        <w:t>.</w:t>
      </w:r>
      <w:r w:rsidR="002E7BD9">
        <w:rPr>
          <w:rFonts w:ascii="Times New Roman" w:hAnsi="Times New Roman"/>
          <w:sz w:val="24"/>
          <w:szCs w:val="24"/>
        </w:rPr>
        <w:tab/>
        <w:t>A proportional allocation methodology is the most fair allocation methodology to those Suppliers who have made investments into the Columbia service territory and will send the proper messages going forward for continued investments in Columbia’s service territory and elsewhere in Ohio.</w:t>
      </w:r>
      <w:r w:rsidR="00BD4321">
        <w:rPr>
          <w:rFonts w:ascii="Times New Roman" w:hAnsi="Times New Roman"/>
          <w:sz w:val="24"/>
          <w:szCs w:val="24"/>
        </w:rPr>
        <w:t xml:space="preserve">  </w:t>
      </w:r>
      <w:r w:rsidR="00404048">
        <w:rPr>
          <w:rFonts w:ascii="Times New Roman" w:hAnsi="Times New Roman"/>
          <w:sz w:val="24"/>
          <w:szCs w:val="24"/>
        </w:rPr>
        <w:t xml:space="preserve">Direct Energy supports a proportional allocation methodology for both initial customer allocations as well as on-going or future customer allocations.  </w:t>
      </w:r>
    </w:p>
    <w:p w:rsidR="00553534" w:rsidRDefault="00553534">
      <w:pPr>
        <w:spacing w:after="0" w:line="480" w:lineRule="auto"/>
        <w:ind w:left="720" w:hanging="720"/>
        <w:rPr>
          <w:rFonts w:ascii="Times New Roman" w:hAnsi="Times New Roman"/>
          <w:sz w:val="24"/>
          <w:szCs w:val="24"/>
        </w:rPr>
      </w:pPr>
    </w:p>
    <w:p w:rsidR="00553534" w:rsidRDefault="00D52C14" w:rsidP="00553534">
      <w:pPr>
        <w:spacing w:after="0" w:line="480" w:lineRule="auto"/>
        <w:ind w:left="720"/>
        <w:rPr>
          <w:rFonts w:ascii="Times New Roman" w:hAnsi="Times New Roman"/>
          <w:sz w:val="24"/>
          <w:szCs w:val="24"/>
        </w:rPr>
      </w:pPr>
      <w:r>
        <w:rPr>
          <w:rFonts w:ascii="Times New Roman" w:hAnsi="Times New Roman"/>
          <w:sz w:val="24"/>
          <w:szCs w:val="24"/>
        </w:rPr>
        <w:t>O</w:t>
      </w:r>
      <w:r w:rsidR="00B52DC4">
        <w:rPr>
          <w:rFonts w:ascii="Times New Roman" w:hAnsi="Times New Roman"/>
          <w:sz w:val="24"/>
          <w:szCs w:val="24"/>
        </w:rPr>
        <w:t>ther</w:t>
      </w:r>
      <w:r w:rsidR="00553534">
        <w:rPr>
          <w:rFonts w:ascii="Times New Roman" w:hAnsi="Times New Roman"/>
          <w:sz w:val="24"/>
          <w:szCs w:val="24"/>
        </w:rPr>
        <w:t xml:space="preserve"> allocation </w:t>
      </w:r>
      <w:r>
        <w:rPr>
          <w:rFonts w:ascii="Times New Roman" w:hAnsi="Times New Roman"/>
          <w:sz w:val="24"/>
          <w:szCs w:val="24"/>
        </w:rPr>
        <w:t xml:space="preserve">methodologies reduce </w:t>
      </w:r>
      <w:r w:rsidR="00553534">
        <w:rPr>
          <w:rFonts w:ascii="Times New Roman" w:hAnsi="Times New Roman"/>
          <w:sz w:val="24"/>
          <w:szCs w:val="24"/>
        </w:rPr>
        <w:t>the incentive for a Supplier to make the investments and efforts described</w:t>
      </w:r>
      <w:r w:rsidR="00B52DC4">
        <w:rPr>
          <w:rFonts w:ascii="Times New Roman" w:hAnsi="Times New Roman"/>
          <w:sz w:val="24"/>
          <w:szCs w:val="24"/>
        </w:rPr>
        <w:t xml:space="preserve"> in my testimony</w:t>
      </w:r>
      <w:r w:rsidR="00553534">
        <w:rPr>
          <w:rFonts w:ascii="Times New Roman" w:hAnsi="Times New Roman"/>
          <w:sz w:val="24"/>
          <w:szCs w:val="24"/>
        </w:rPr>
        <w:t xml:space="preserve"> inasmuch as a Supplier would not be rewarded commensurate with its previous investments and efforts.  </w:t>
      </w:r>
      <w:r>
        <w:rPr>
          <w:rFonts w:ascii="Times New Roman" w:hAnsi="Times New Roman"/>
          <w:sz w:val="24"/>
          <w:szCs w:val="24"/>
        </w:rPr>
        <w:t>O</w:t>
      </w:r>
      <w:r w:rsidR="00B52DC4">
        <w:rPr>
          <w:rFonts w:ascii="Times New Roman" w:hAnsi="Times New Roman"/>
          <w:sz w:val="24"/>
          <w:szCs w:val="24"/>
        </w:rPr>
        <w:t>ther</w:t>
      </w:r>
      <w:r w:rsidR="00553534">
        <w:rPr>
          <w:rFonts w:ascii="Times New Roman" w:hAnsi="Times New Roman"/>
          <w:sz w:val="24"/>
          <w:szCs w:val="24"/>
        </w:rPr>
        <w:t xml:space="preserve"> </w:t>
      </w:r>
      <w:r>
        <w:rPr>
          <w:rFonts w:ascii="Times New Roman" w:hAnsi="Times New Roman"/>
          <w:sz w:val="24"/>
          <w:szCs w:val="24"/>
        </w:rPr>
        <w:t xml:space="preserve">methodologies </w:t>
      </w:r>
      <w:r w:rsidR="00553534">
        <w:rPr>
          <w:rFonts w:ascii="Times New Roman" w:hAnsi="Times New Roman"/>
          <w:sz w:val="24"/>
          <w:szCs w:val="24"/>
        </w:rPr>
        <w:t xml:space="preserve">send a message that a Supplier should not expect its investments and efforts to hit the 70% shopping requirement for an exit of the merchant function to provide a full return to </w:t>
      </w:r>
      <w:proofErr w:type="gramStart"/>
      <w:r w:rsidR="00553534">
        <w:rPr>
          <w:rFonts w:ascii="Times New Roman" w:hAnsi="Times New Roman"/>
          <w:sz w:val="24"/>
          <w:szCs w:val="24"/>
        </w:rPr>
        <w:t>itself</w:t>
      </w:r>
      <w:proofErr w:type="gramEnd"/>
      <w:r w:rsidR="00553534">
        <w:rPr>
          <w:rFonts w:ascii="Times New Roman" w:hAnsi="Times New Roman"/>
          <w:sz w:val="24"/>
          <w:szCs w:val="24"/>
        </w:rPr>
        <w:t xml:space="preserve"> but rather that its investments and efforts will inure to the benefit of its competitors.  We are not in the business of providing benefits or competitive advantages to our competitors.  Nor are we in the business of making investments with highly variable benefits.  </w:t>
      </w:r>
      <w:r>
        <w:rPr>
          <w:rFonts w:ascii="Times New Roman" w:hAnsi="Times New Roman"/>
          <w:sz w:val="24"/>
          <w:szCs w:val="24"/>
        </w:rPr>
        <w:t>O</w:t>
      </w:r>
      <w:r w:rsidR="00B52DC4">
        <w:rPr>
          <w:rFonts w:ascii="Times New Roman" w:hAnsi="Times New Roman"/>
          <w:sz w:val="24"/>
          <w:szCs w:val="24"/>
        </w:rPr>
        <w:t>ther</w:t>
      </w:r>
      <w:r w:rsidR="00553534">
        <w:rPr>
          <w:rFonts w:ascii="Times New Roman" w:hAnsi="Times New Roman"/>
          <w:sz w:val="24"/>
          <w:szCs w:val="24"/>
        </w:rPr>
        <w:t xml:space="preserve"> allocation </w:t>
      </w:r>
      <w:r>
        <w:rPr>
          <w:rFonts w:ascii="Times New Roman" w:hAnsi="Times New Roman"/>
          <w:sz w:val="24"/>
          <w:szCs w:val="24"/>
        </w:rPr>
        <w:t xml:space="preserve">methodologies </w:t>
      </w:r>
      <w:r w:rsidR="00553534">
        <w:rPr>
          <w:rFonts w:ascii="Times New Roman" w:hAnsi="Times New Roman"/>
          <w:sz w:val="24"/>
          <w:szCs w:val="24"/>
        </w:rPr>
        <w:t xml:space="preserve">would hinder the chances that the 70% targets </w:t>
      </w:r>
      <w:r w:rsidR="00553534">
        <w:rPr>
          <w:rFonts w:ascii="Times New Roman" w:hAnsi="Times New Roman"/>
          <w:sz w:val="24"/>
          <w:szCs w:val="24"/>
        </w:rPr>
        <w:lastRenderedPageBreak/>
        <w:t xml:space="preserve">will actually be hit and the benefits of an exit of the merchant function could become a reality for any customer class.  </w:t>
      </w:r>
    </w:p>
    <w:p w:rsidR="00553534" w:rsidRDefault="00553534" w:rsidP="00553534">
      <w:pPr>
        <w:spacing w:after="0" w:line="480" w:lineRule="auto"/>
        <w:ind w:left="720"/>
        <w:rPr>
          <w:rFonts w:ascii="Times New Roman" w:hAnsi="Times New Roman"/>
          <w:sz w:val="24"/>
          <w:szCs w:val="24"/>
        </w:rPr>
      </w:pPr>
    </w:p>
    <w:p w:rsidR="00CE7745" w:rsidRPr="000B432B" w:rsidRDefault="00C01A47">
      <w:pPr>
        <w:spacing w:after="0" w:line="480" w:lineRule="auto"/>
        <w:ind w:left="720" w:hanging="720"/>
        <w:rPr>
          <w:rFonts w:ascii="Times New Roman" w:hAnsi="Times New Roman"/>
          <w:b/>
          <w:sz w:val="24"/>
          <w:szCs w:val="24"/>
        </w:rPr>
      </w:pPr>
      <w:r w:rsidRPr="000B432B">
        <w:rPr>
          <w:rFonts w:ascii="Times New Roman" w:hAnsi="Times New Roman"/>
          <w:b/>
          <w:sz w:val="24"/>
          <w:szCs w:val="24"/>
        </w:rPr>
        <w:t>Q</w:t>
      </w:r>
      <w:r>
        <w:rPr>
          <w:rFonts w:ascii="Times New Roman" w:hAnsi="Times New Roman"/>
          <w:b/>
          <w:sz w:val="24"/>
          <w:szCs w:val="24"/>
        </w:rPr>
        <w:t>1</w:t>
      </w:r>
      <w:r w:rsidR="00F63B08">
        <w:rPr>
          <w:rFonts w:ascii="Times New Roman" w:hAnsi="Times New Roman"/>
          <w:b/>
          <w:sz w:val="24"/>
          <w:szCs w:val="24"/>
        </w:rPr>
        <w:t>2</w:t>
      </w:r>
      <w:r w:rsidR="00CE7745" w:rsidRPr="000B432B">
        <w:rPr>
          <w:rFonts w:ascii="Times New Roman" w:hAnsi="Times New Roman"/>
          <w:b/>
          <w:sz w:val="24"/>
          <w:szCs w:val="24"/>
        </w:rPr>
        <w:t>.</w:t>
      </w:r>
      <w:r w:rsidR="00CE7745" w:rsidRPr="000B432B">
        <w:rPr>
          <w:rFonts w:ascii="Times New Roman" w:hAnsi="Times New Roman"/>
          <w:b/>
          <w:sz w:val="24"/>
          <w:szCs w:val="24"/>
        </w:rPr>
        <w:tab/>
        <w:t>How does the proportional allocation methodology encourage suppliers to invest in Ohio?</w:t>
      </w:r>
    </w:p>
    <w:p w:rsidR="00CE7745" w:rsidRDefault="00C01A47">
      <w:pPr>
        <w:spacing w:after="0" w:line="480" w:lineRule="auto"/>
        <w:ind w:left="720" w:hanging="720"/>
        <w:rPr>
          <w:rFonts w:ascii="Times New Roman" w:hAnsi="Times New Roman"/>
          <w:sz w:val="24"/>
          <w:szCs w:val="24"/>
        </w:rPr>
      </w:pPr>
      <w:r w:rsidRPr="00C01A47">
        <w:rPr>
          <w:rFonts w:ascii="Times New Roman" w:hAnsi="Times New Roman"/>
          <w:b/>
          <w:sz w:val="24"/>
          <w:szCs w:val="24"/>
        </w:rPr>
        <w:t>A1</w:t>
      </w:r>
      <w:r w:rsidR="00F63B08">
        <w:rPr>
          <w:rFonts w:ascii="Times New Roman" w:hAnsi="Times New Roman"/>
          <w:b/>
          <w:sz w:val="24"/>
          <w:szCs w:val="24"/>
        </w:rPr>
        <w:t>2</w:t>
      </w:r>
      <w:r w:rsidR="00CE7745">
        <w:rPr>
          <w:rFonts w:ascii="Times New Roman" w:hAnsi="Times New Roman"/>
          <w:sz w:val="24"/>
          <w:szCs w:val="24"/>
        </w:rPr>
        <w:t>.</w:t>
      </w:r>
      <w:r w:rsidR="00CE7745">
        <w:rPr>
          <w:rFonts w:ascii="Times New Roman" w:hAnsi="Times New Roman"/>
          <w:sz w:val="24"/>
          <w:szCs w:val="24"/>
        </w:rPr>
        <w:tab/>
      </w:r>
      <w:r w:rsidR="00737933">
        <w:rPr>
          <w:rFonts w:ascii="Times New Roman" w:hAnsi="Times New Roman"/>
          <w:sz w:val="24"/>
          <w:szCs w:val="24"/>
        </w:rPr>
        <w:t xml:space="preserve">Under </w:t>
      </w:r>
      <w:r w:rsidR="00272EEE">
        <w:rPr>
          <w:rFonts w:ascii="Times New Roman" w:hAnsi="Times New Roman"/>
          <w:sz w:val="24"/>
          <w:szCs w:val="24"/>
        </w:rPr>
        <w:t>other</w:t>
      </w:r>
      <w:r w:rsidR="00737933">
        <w:rPr>
          <w:rFonts w:ascii="Times New Roman" w:hAnsi="Times New Roman"/>
          <w:sz w:val="24"/>
          <w:szCs w:val="24"/>
        </w:rPr>
        <w:t xml:space="preserve"> </w:t>
      </w:r>
      <w:r w:rsidR="00272EEE">
        <w:rPr>
          <w:rFonts w:ascii="Times New Roman" w:hAnsi="Times New Roman"/>
          <w:sz w:val="24"/>
          <w:szCs w:val="24"/>
        </w:rPr>
        <w:t xml:space="preserve">methodologies </w:t>
      </w:r>
      <w:r w:rsidR="00737933">
        <w:rPr>
          <w:rFonts w:ascii="Times New Roman" w:hAnsi="Times New Roman"/>
          <w:sz w:val="24"/>
          <w:szCs w:val="24"/>
        </w:rPr>
        <w:t xml:space="preserve">a supplier would be able to enter the market and start serving </w:t>
      </w:r>
      <w:r w:rsidR="00B91F6E">
        <w:rPr>
          <w:rFonts w:ascii="Times New Roman" w:hAnsi="Times New Roman"/>
          <w:sz w:val="24"/>
          <w:szCs w:val="24"/>
        </w:rPr>
        <w:t xml:space="preserve">assigned </w:t>
      </w:r>
      <w:r w:rsidR="00737933">
        <w:rPr>
          <w:rFonts w:ascii="Times New Roman" w:hAnsi="Times New Roman"/>
          <w:sz w:val="24"/>
          <w:szCs w:val="24"/>
        </w:rPr>
        <w:t xml:space="preserve">customers without any investment in marketing and minimal investment in employees and time.  However, with </w:t>
      </w:r>
      <w:r w:rsidR="00F11E4C">
        <w:rPr>
          <w:rFonts w:ascii="Times New Roman" w:hAnsi="Times New Roman"/>
          <w:sz w:val="24"/>
          <w:szCs w:val="24"/>
        </w:rPr>
        <w:t xml:space="preserve">a </w:t>
      </w:r>
      <w:r w:rsidR="00737933">
        <w:rPr>
          <w:rFonts w:ascii="Times New Roman" w:hAnsi="Times New Roman"/>
          <w:sz w:val="24"/>
          <w:szCs w:val="24"/>
        </w:rPr>
        <w:t>proportional</w:t>
      </w:r>
      <w:r w:rsidR="00F11E4C">
        <w:rPr>
          <w:rFonts w:ascii="Times New Roman" w:hAnsi="Times New Roman"/>
          <w:sz w:val="24"/>
          <w:szCs w:val="24"/>
        </w:rPr>
        <w:t xml:space="preserve"> allocation methodology,</w:t>
      </w:r>
      <w:r w:rsidR="00737933">
        <w:rPr>
          <w:rFonts w:ascii="Times New Roman" w:hAnsi="Times New Roman"/>
          <w:sz w:val="24"/>
          <w:szCs w:val="24"/>
        </w:rPr>
        <w:t xml:space="preserve"> a supplier who would like to increase their share of default service customers must fully compete to increase their market share. This means investment in marketing and employee time to garner a greater portion of the market through </w:t>
      </w:r>
      <w:r w:rsidR="00D240B9">
        <w:rPr>
          <w:rFonts w:ascii="Times New Roman" w:hAnsi="Times New Roman"/>
          <w:sz w:val="24"/>
          <w:szCs w:val="24"/>
        </w:rPr>
        <w:t xml:space="preserve">the </w:t>
      </w:r>
      <w:r w:rsidR="00737933">
        <w:rPr>
          <w:rFonts w:ascii="Times New Roman" w:hAnsi="Times New Roman"/>
          <w:sz w:val="24"/>
          <w:szCs w:val="24"/>
        </w:rPr>
        <w:t xml:space="preserve">organic acquisition of customers.  </w:t>
      </w:r>
      <w:r w:rsidR="00272EEE">
        <w:rPr>
          <w:rFonts w:ascii="Times New Roman" w:hAnsi="Times New Roman"/>
          <w:sz w:val="24"/>
          <w:szCs w:val="24"/>
        </w:rPr>
        <w:t>Other methodologies</w:t>
      </w:r>
      <w:r w:rsidR="00F11E4C">
        <w:rPr>
          <w:rFonts w:ascii="Times New Roman" w:hAnsi="Times New Roman"/>
          <w:sz w:val="24"/>
          <w:szCs w:val="24"/>
        </w:rPr>
        <w:t>,</w:t>
      </w:r>
      <w:r w:rsidR="00737933">
        <w:rPr>
          <w:rFonts w:ascii="Times New Roman" w:hAnsi="Times New Roman"/>
          <w:sz w:val="24"/>
          <w:szCs w:val="24"/>
        </w:rPr>
        <w:t xml:space="preserve"> while </w:t>
      </w:r>
      <w:r w:rsidR="00272EEE">
        <w:rPr>
          <w:rFonts w:ascii="Times New Roman" w:hAnsi="Times New Roman"/>
          <w:sz w:val="24"/>
          <w:szCs w:val="24"/>
        </w:rPr>
        <w:t xml:space="preserve">they </w:t>
      </w:r>
      <w:r w:rsidR="00737933">
        <w:rPr>
          <w:rFonts w:ascii="Times New Roman" w:hAnsi="Times New Roman"/>
          <w:sz w:val="24"/>
          <w:szCs w:val="24"/>
        </w:rPr>
        <w:t>may result in more suppliers to the market</w:t>
      </w:r>
      <w:r w:rsidR="00F11E4C">
        <w:rPr>
          <w:rFonts w:ascii="Times New Roman" w:hAnsi="Times New Roman"/>
          <w:sz w:val="24"/>
          <w:szCs w:val="24"/>
        </w:rPr>
        <w:t>,</w:t>
      </w:r>
      <w:r w:rsidR="00737933">
        <w:rPr>
          <w:rFonts w:ascii="Times New Roman" w:hAnsi="Times New Roman"/>
          <w:sz w:val="24"/>
          <w:szCs w:val="24"/>
        </w:rPr>
        <w:t xml:space="preserve"> </w:t>
      </w:r>
      <w:r w:rsidR="00272EEE">
        <w:rPr>
          <w:rFonts w:ascii="Times New Roman" w:hAnsi="Times New Roman"/>
          <w:sz w:val="24"/>
          <w:szCs w:val="24"/>
        </w:rPr>
        <w:t xml:space="preserve">are </w:t>
      </w:r>
      <w:r w:rsidR="00303558">
        <w:rPr>
          <w:rFonts w:ascii="Times New Roman" w:hAnsi="Times New Roman"/>
          <w:sz w:val="24"/>
          <w:szCs w:val="24"/>
        </w:rPr>
        <w:t xml:space="preserve">also </w:t>
      </w:r>
      <w:r w:rsidR="00737933">
        <w:rPr>
          <w:rFonts w:ascii="Times New Roman" w:hAnsi="Times New Roman"/>
          <w:sz w:val="24"/>
          <w:szCs w:val="24"/>
        </w:rPr>
        <w:t>a money for nothing option.  In other words</w:t>
      </w:r>
      <w:r w:rsidR="00F11E4C">
        <w:rPr>
          <w:rFonts w:ascii="Times New Roman" w:hAnsi="Times New Roman"/>
          <w:sz w:val="24"/>
          <w:szCs w:val="24"/>
        </w:rPr>
        <w:t>,</w:t>
      </w:r>
      <w:r w:rsidR="00737933">
        <w:rPr>
          <w:rFonts w:ascii="Times New Roman" w:hAnsi="Times New Roman"/>
          <w:sz w:val="24"/>
          <w:szCs w:val="24"/>
        </w:rPr>
        <w:t xml:space="preserve"> suppliers may enter the market not to build a brand or loyal customer base</w:t>
      </w:r>
      <w:r w:rsidR="00F11E4C">
        <w:rPr>
          <w:rFonts w:ascii="Times New Roman" w:hAnsi="Times New Roman"/>
          <w:sz w:val="24"/>
          <w:szCs w:val="24"/>
        </w:rPr>
        <w:t>,</w:t>
      </w:r>
      <w:r w:rsidR="00737933">
        <w:rPr>
          <w:rFonts w:ascii="Times New Roman" w:hAnsi="Times New Roman"/>
          <w:sz w:val="24"/>
          <w:szCs w:val="24"/>
        </w:rPr>
        <w:t xml:space="preserve"> but only to serve </w:t>
      </w:r>
      <w:r w:rsidR="00CE38B9">
        <w:rPr>
          <w:rFonts w:ascii="Times New Roman" w:hAnsi="Times New Roman"/>
          <w:sz w:val="24"/>
          <w:szCs w:val="24"/>
        </w:rPr>
        <w:t xml:space="preserve">assigned </w:t>
      </w:r>
      <w:r w:rsidR="00737933">
        <w:rPr>
          <w:rFonts w:ascii="Times New Roman" w:hAnsi="Times New Roman"/>
          <w:sz w:val="24"/>
          <w:szCs w:val="24"/>
        </w:rPr>
        <w:t>default customers and provide no other commitment to</w:t>
      </w:r>
      <w:r w:rsidR="005619EF">
        <w:rPr>
          <w:rFonts w:ascii="Times New Roman" w:hAnsi="Times New Roman"/>
          <w:sz w:val="24"/>
          <w:szCs w:val="24"/>
        </w:rPr>
        <w:t xml:space="preserve"> enhancing and growing</w:t>
      </w:r>
      <w:r w:rsidR="00737933">
        <w:rPr>
          <w:rFonts w:ascii="Times New Roman" w:hAnsi="Times New Roman"/>
          <w:sz w:val="24"/>
          <w:szCs w:val="24"/>
        </w:rPr>
        <w:t xml:space="preserve"> the market.</w:t>
      </w:r>
      <w:r w:rsidR="00D07783">
        <w:rPr>
          <w:rFonts w:ascii="Times New Roman" w:hAnsi="Times New Roman"/>
          <w:sz w:val="24"/>
          <w:szCs w:val="24"/>
        </w:rPr>
        <w:t xml:space="preserve"> This would create uncertainty for suppliers that want to build a presence in the market, and detract from their overall willingness to invest.</w:t>
      </w:r>
      <w:r w:rsidR="00ED207D">
        <w:rPr>
          <w:rFonts w:ascii="Times New Roman" w:hAnsi="Times New Roman"/>
          <w:sz w:val="24"/>
          <w:szCs w:val="24"/>
        </w:rPr>
        <w:t xml:space="preserve">  </w:t>
      </w:r>
    </w:p>
    <w:p w:rsidR="00404048" w:rsidRDefault="00404048">
      <w:pPr>
        <w:spacing w:after="0" w:line="480" w:lineRule="auto"/>
        <w:ind w:left="720" w:hanging="720"/>
        <w:rPr>
          <w:rFonts w:ascii="Times New Roman" w:hAnsi="Times New Roman"/>
          <w:sz w:val="24"/>
          <w:szCs w:val="24"/>
        </w:rPr>
      </w:pPr>
    </w:p>
    <w:p w:rsidR="00737933" w:rsidRPr="000B432B" w:rsidRDefault="00C01A47">
      <w:pPr>
        <w:spacing w:after="0" w:line="480" w:lineRule="auto"/>
        <w:ind w:left="720" w:hanging="720"/>
        <w:rPr>
          <w:rFonts w:ascii="Times New Roman" w:hAnsi="Times New Roman"/>
          <w:b/>
          <w:sz w:val="24"/>
          <w:szCs w:val="24"/>
        </w:rPr>
      </w:pPr>
      <w:r w:rsidRPr="000B432B">
        <w:rPr>
          <w:rFonts w:ascii="Times New Roman" w:hAnsi="Times New Roman"/>
          <w:b/>
          <w:sz w:val="24"/>
          <w:szCs w:val="24"/>
        </w:rPr>
        <w:t>Q</w:t>
      </w:r>
      <w:r>
        <w:rPr>
          <w:rFonts w:ascii="Times New Roman" w:hAnsi="Times New Roman"/>
          <w:b/>
          <w:sz w:val="24"/>
          <w:szCs w:val="24"/>
        </w:rPr>
        <w:t>1</w:t>
      </w:r>
      <w:r w:rsidR="00F63B08">
        <w:rPr>
          <w:rFonts w:ascii="Times New Roman" w:hAnsi="Times New Roman"/>
          <w:b/>
          <w:sz w:val="24"/>
          <w:szCs w:val="24"/>
        </w:rPr>
        <w:t>3</w:t>
      </w:r>
      <w:r w:rsidR="00737933" w:rsidRPr="000B432B">
        <w:rPr>
          <w:rFonts w:ascii="Times New Roman" w:hAnsi="Times New Roman"/>
          <w:b/>
          <w:sz w:val="24"/>
          <w:szCs w:val="24"/>
        </w:rPr>
        <w:t>.</w:t>
      </w:r>
      <w:r w:rsidR="00737933" w:rsidRPr="000B432B">
        <w:rPr>
          <w:rFonts w:ascii="Times New Roman" w:hAnsi="Times New Roman"/>
          <w:b/>
          <w:sz w:val="24"/>
          <w:szCs w:val="24"/>
        </w:rPr>
        <w:tab/>
        <w:t>How does a proportional methodology allow a supplier to keep its earned place in the market?</w:t>
      </w:r>
    </w:p>
    <w:p w:rsidR="00CF4ECC" w:rsidRDefault="00C01A47" w:rsidP="00C01A47">
      <w:pPr>
        <w:spacing w:after="0" w:line="480" w:lineRule="auto"/>
        <w:ind w:left="720" w:hanging="720"/>
        <w:rPr>
          <w:rFonts w:ascii="Times New Roman" w:hAnsi="Times New Roman"/>
          <w:sz w:val="24"/>
          <w:szCs w:val="24"/>
        </w:rPr>
      </w:pPr>
      <w:r w:rsidRPr="00C01A47">
        <w:rPr>
          <w:rFonts w:ascii="Times New Roman" w:hAnsi="Times New Roman"/>
          <w:b/>
          <w:sz w:val="24"/>
          <w:szCs w:val="24"/>
        </w:rPr>
        <w:t>A1</w:t>
      </w:r>
      <w:r w:rsidR="00F63B08">
        <w:rPr>
          <w:rFonts w:ascii="Times New Roman" w:hAnsi="Times New Roman"/>
          <w:b/>
          <w:sz w:val="24"/>
          <w:szCs w:val="24"/>
        </w:rPr>
        <w:t>3</w:t>
      </w:r>
      <w:r w:rsidRPr="00C01A47">
        <w:rPr>
          <w:rFonts w:ascii="Times New Roman" w:hAnsi="Times New Roman"/>
          <w:b/>
          <w:sz w:val="24"/>
          <w:szCs w:val="24"/>
        </w:rPr>
        <w:t>.</w:t>
      </w:r>
      <w:r>
        <w:rPr>
          <w:rFonts w:ascii="Times New Roman" w:hAnsi="Times New Roman"/>
          <w:sz w:val="24"/>
          <w:szCs w:val="24"/>
        </w:rPr>
        <w:tab/>
      </w:r>
      <w:r w:rsidR="00BD4321">
        <w:rPr>
          <w:rFonts w:ascii="Times New Roman" w:hAnsi="Times New Roman"/>
          <w:sz w:val="24"/>
          <w:szCs w:val="24"/>
        </w:rPr>
        <w:t>A Supplier must have invested significant resources to earn its customers and market share.  These investments include (but are not limited to): (a) employee time in regards to marketing efforts, coordinating the physical mailing</w:t>
      </w:r>
      <w:r w:rsidR="00CF4ECC">
        <w:rPr>
          <w:rFonts w:ascii="Times New Roman" w:hAnsi="Times New Roman"/>
          <w:sz w:val="24"/>
          <w:szCs w:val="24"/>
        </w:rPr>
        <w:t xml:space="preserve"> of offers</w:t>
      </w:r>
      <w:r w:rsidR="00BD4321">
        <w:rPr>
          <w:rFonts w:ascii="Times New Roman" w:hAnsi="Times New Roman"/>
          <w:sz w:val="24"/>
          <w:szCs w:val="24"/>
        </w:rPr>
        <w:t xml:space="preserve"> or telephon</w:t>
      </w:r>
      <w:r w:rsidR="00CF4ECC">
        <w:rPr>
          <w:rFonts w:ascii="Times New Roman" w:hAnsi="Times New Roman"/>
          <w:sz w:val="24"/>
          <w:szCs w:val="24"/>
        </w:rPr>
        <w:t>ic</w:t>
      </w:r>
      <w:r w:rsidR="00BD4321">
        <w:rPr>
          <w:rFonts w:ascii="Times New Roman" w:hAnsi="Times New Roman"/>
          <w:sz w:val="24"/>
          <w:szCs w:val="24"/>
        </w:rPr>
        <w:t xml:space="preserve"> contacts, </w:t>
      </w:r>
      <w:r w:rsidR="00BD4321">
        <w:rPr>
          <w:rFonts w:ascii="Times New Roman" w:hAnsi="Times New Roman"/>
          <w:sz w:val="24"/>
          <w:szCs w:val="24"/>
        </w:rPr>
        <w:lastRenderedPageBreak/>
        <w:t>understanding and following the Commission’s rules and customer protections for retail marketing to customers</w:t>
      </w:r>
      <w:r w:rsidR="00CF4ECC">
        <w:rPr>
          <w:rFonts w:ascii="Times New Roman" w:hAnsi="Times New Roman"/>
          <w:sz w:val="24"/>
          <w:szCs w:val="24"/>
        </w:rPr>
        <w:t>,</w:t>
      </w:r>
      <w:r w:rsidR="00404048">
        <w:rPr>
          <w:rFonts w:ascii="Times New Roman" w:hAnsi="Times New Roman"/>
          <w:sz w:val="24"/>
          <w:szCs w:val="24"/>
        </w:rPr>
        <w:t xml:space="preserve"> handling customer complaints, </w:t>
      </w:r>
      <w:r w:rsidR="00CF4ECC">
        <w:rPr>
          <w:rFonts w:ascii="Times New Roman" w:hAnsi="Times New Roman"/>
          <w:sz w:val="24"/>
          <w:szCs w:val="24"/>
        </w:rPr>
        <w:t>and participating in the Commission’s regulatory processes;</w:t>
      </w:r>
      <w:r w:rsidR="00BD4321">
        <w:rPr>
          <w:rFonts w:ascii="Times New Roman" w:hAnsi="Times New Roman"/>
          <w:sz w:val="24"/>
          <w:szCs w:val="24"/>
        </w:rPr>
        <w:t xml:space="preserve"> </w:t>
      </w:r>
      <w:r w:rsidR="00CF4ECC">
        <w:rPr>
          <w:rFonts w:ascii="Times New Roman" w:hAnsi="Times New Roman"/>
          <w:sz w:val="24"/>
          <w:szCs w:val="24"/>
        </w:rPr>
        <w:t xml:space="preserve">(b) printing and mailing costs; and (c) outside vendor costs such as door-to-door representatives or telephonic sales.  </w:t>
      </w:r>
    </w:p>
    <w:p w:rsidR="00404048" w:rsidRDefault="00404048" w:rsidP="00404048">
      <w:pPr>
        <w:spacing w:after="0" w:line="480" w:lineRule="auto"/>
        <w:ind w:left="720"/>
        <w:rPr>
          <w:rFonts w:ascii="Times New Roman" w:hAnsi="Times New Roman"/>
          <w:sz w:val="24"/>
          <w:szCs w:val="24"/>
        </w:rPr>
      </w:pPr>
    </w:p>
    <w:p w:rsidR="002E7BD9" w:rsidRDefault="00CF4ECC" w:rsidP="00CF4ECC">
      <w:pPr>
        <w:spacing w:after="0" w:line="480" w:lineRule="auto"/>
        <w:ind w:left="720"/>
        <w:rPr>
          <w:rFonts w:ascii="Times New Roman" w:hAnsi="Times New Roman"/>
          <w:sz w:val="24"/>
          <w:szCs w:val="24"/>
        </w:rPr>
      </w:pPr>
      <w:r>
        <w:rPr>
          <w:rFonts w:ascii="Times New Roman" w:hAnsi="Times New Roman"/>
          <w:sz w:val="24"/>
          <w:szCs w:val="24"/>
        </w:rPr>
        <w:t>As for Direct Energy, many of these investments are made right here in Ohio</w:t>
      </w:r>
      <w:r w:rsidR="00404048">
        <w:rPr>
          <w:rFonts w:ascii="Times New Roman" w:hAnsi="Times New Roman"/>
          <w:sz w:val="24"/>
          <w:szCs w:val="24"/>
        </w:rPr>
        <w:t xml:space="preserve"> and a proportional allocation methodology would encourage further similar investments</w:t>
      </w:r>
      <w:r w:rsidR="009E5D9A">
        <w:rPr>
          <w:rFonts w:ascii="Times New Roman" w:hAnsi="Times New Roman"/>
          <w:sz w:val="24"/>
          <w:szCs w:val="24"/>
        </w:rPr>
        <w:t xml:space="preserve"> in the places closest to our customers</w:t>
      </w:r>
      <w:r>
        <w:rPr>
          <w:rFonts w:ascii="Times New Roman" w:hAnsi="Times New Roman"/>
          <w:sz w:val="24"/>
          <w:szCs w:val="24"/>
        </w:rPr>
        <w:t xml:space="preserve">.  </w:t>
      </w:r>
      <w:r w:rsidR="00E47B2B">
        <w:rPr>
          <w:rFonts w:ascii="Times New Roman" w:hAnsi="Times New Roman"/>
          <w:sz w:val="24"/>
          <w:szCs w:val="24"/>
        </w:rPr>
        <w:t>Direct Energy has invested</w:t>
      </w:r>
      <w:r w:rsidR="000B432B">
        <w:rPr>
          <w:rFonts w:ascii="Times New Roman" w:hAnsi="Times New Roman"/>
          <w:sz w:val="24"/>
          <w:szCs w:val="24"/>
        </w:rPr>
        <w:t xml:space="preserve"> significant</w:t>
      </w:r>
      <w:r w:rsidR="00E47B2B">
        <w:rPr>
          <w:rFonts w:ascii="Times New Roman" w:hAnsi="Times New Roman"/>
          <w:sz w:val="24"/>
          <w:szCs w:val="24"/>
        </w:rPr>
        <w:t xml:space="preserve"> time and money to build a brand and base of customers in Ohio.  We view the move away from auctions as another step in moving customers toward choice.  The default structure assignment process must encourage the entry of companies who care about a long term investment in their relationship with customers.  If a supplier loses market share through poor products or poor relationships the proportional assignment will reflect that.  </w:t>
      </w:r>
      <w:r w:rsidR="008437AF">
        <w:rPr>
          <w:rFonts w:ascii="Times New Roman" w:hAnsi="Times New Roman"/>
          <w:sz w:val="24"/>
          <w:szCs w:val="24"/>
        </w:rPr>
        <w:t xml:space="preserve">Other methodologies </w:t>
      </w:r>
      <w:r w:rsidR="00E47B2B">
        <w:rPr>
          <w:rFonts w:ascii="Times New Roman" w:hAnsi="Times New Roman"/>
          <w:sz w:val="24"/>
          <w:szCs w:val="24"/>
        </w:rPr>
        <w:t xml:space="preserve">reward a </w:t>
      </w:r>
      <w:r w:rsidR="008437AF">
        <w:rPr>
          <w:rFonts w:ascii="Times New Roman" w:hAnsi="Times New Roman"/>
          <w:sz w:val="24"/>
          <w:szCs w:val="24"/>
        </w:rPr>
        <w:t xml:space="preserve">Supplier </w:t>
      </w:r>
      <w:r w:rsidR="00E47B2B">
        <w:rPr>
          <w:rFonts w:ascii="Times New Roman" w:hAnsi="Times New Roman"/>
          <w:sz w:val="24"/>
          <w:szCs w:val="24"/>
        </w:rPr>
        <w:t>regardless of their standing in the market.</w:t>
      </w:r>
      <w:r w:rsidR="008A4041">
        <w:rPr>
          <w:rFonts w:ascii="Times New Roman" w:hAnsi="Times New Roman"/>
          <w:sz w:val="24"/>
          <w:szCs w:val="24"/>
        </w:rPr>
        <w:t xml:space="preserve"> </w:t>
      </w:r>
    </w:p>
    <w:p w:rsidR="00E47B2B" w:rsidRDefault="00E47B2B" w:rsidP="00CF4ECC">
      <w:pPr>
        <w:spacing w:after="0" w:line="480" w:lineRule="auto"/>
        <w:ind w:left="720"/>
        <w:rPr>
          <w:rFonts w:ascii="Times New Roman" w:hAnsi="Times New Roman"/>
          <w:sz w:val="24"/>
          <w:szCs w:val="24"/>
        </w:rPr>
      </w:pPr>
    </w:p>
    <w:p w:rsidR="00B51151" w:rsidRPr="000B432B" w:rsidRDefault="00C01A47" w:rsidP="000B432B">
      <w:pPr>
        <w:spacing w:after="0" w:line="480" w:lineRule="auto"/>
        <w:ind w:left="720" w:hanging="720"/>
        <w:rPr>
          <w:rFonts w:ascii="Times New Roman" w:hAnsi="Times New Roman"/>
          <w:b/>
          <w:sz w:val="24"/>
          <w:szCs w:val="24"/>
        </w:rPr>
      </w:pPr>
      <w:r w:rsidRPr="000B432B">
        <w:rPr>
          <w:rFonts w:ascii="Times New Roman" w:hAnsi="Times New Roman"/>
          <w:b/>
          <w:sz w:val="24"/>
          <w:szCs w:val="24"/>
        </w:rPr>
        <w:t>Q</w:t>
      </w:r>
      <w:r>
        <w:rPr>
          <w:rFonts w:ascii="Times New Roman" w:hAnsi="Times New Roman"/>
          <w:b/>
          <w:sz w:val="24"/>
          <w:szCs w:val="24"/>
        </w:rPr>
        <w:t>1</w:t>
      </w:r>
      <w:r w:rsidR="00F63B08">
        <w:rPr>
          <w:rFonts w:ascii="Times New Roman" w:hAnsi="Times New Roman"/>
          <w:b/>
          <w:sz w:val="24"/>
          <w:szCs w:val="24"/>
        </w:rPr>
        <w:t>4</w:t>
      </w:r>
      <w:r w:rsidR="00E47B2B" w:rsidRPr="000B432B">
        <w:rPr>
          <w:rFonts w:ascii="Times New Roman" w:hAnsi="Times New Roman"/>
          <w:b/>
          <w:sz w:val="24"/>
          <w:szCs w:val="24"/>
        </w:rPr>
        <w:t xml:space="preserve">.   </w:t>
      </w:r>
      <w:r w:rsidR="00553534">
        <w:rPr>
          <w:rFonts w:ascii="Times New Roman" w:hAnsi="Times New Roman"/>
          <w:b/>
          <w:sz w:val="24"/>
          <w:szCs w:val="24"/>
        </w:rPr>
        <w:t xml:space="preserve">What other concerns does </w:t>
      </w:r>
      <w:r w:rsidR="00553534" w:rsidRPr="00553534">
        <w:rPr>
          <w:rFonts w:ascii="Times New Roman" w:hAnsi="Times New Roman"/>
          <w:b/>
          <w:sz w:val="24"/>
          <w:szCs w:val="24"/>
        </w:rPr>
        <w:t>Direct Energy</w:t>
      </w:r>
      <w:r w:rsidR="00553534">
        <w:rPr>
          <w:rFonts w:ascii="Times New Roman" w:hAnsi="Times New Roman"/>
          <w:b/>
          <w:sz w:val="24"/>
          <w:szCs w:val="24"/>
        </w:rPr>
        <w:t xml:space="preserve"> have about a rotational allocation methodology?  </w:t>
      </w:r>
    </w:p>
    <w:p w:rsidR="005960CA" w:rsidRDefault="00C01A47" w:rsidP="000B432B">
      <w:pPr>
        <w:spacing w:after="0" w:line="480" w:lineRule="auto"/>
        <w:ind w:left="720" w:hanging="720"/>
        <w:rPr>
          <w:rFonts w:ascii="Times New Roman" w:hAnsi="Times New Roman"/>
          <w:sz w:val="24"/>
          <w:szCs w:val="24"/>
        </w:rPr>
      </w:pPr>
      <w:r w:rsidRPr="00C01A47">
        <w:rPr>
          <w:rFonts w:ascii="Times New Roman" w:hAnsi="Times New Roman"/>
          <w:b/>
          <w:sz w:val="24"/>
          <w:szCs w:val="24"/>
        </w:rPr>
        <w:t>A1</w:t>
      </w:r>
      <w:r w:rsidR="00F63B08">
        <w:rPr>
          <w:rFonts w:ascii="Times New Roman" w:hAnsi="Times New Roman"/>
          <w:b/>
          <w:sz w:val="24"/>
          <w:szCs w:val="24"/>
        </w:rPr>
        <w:t>4</w:t>
      </w:r>
      <w:r w:rsidR="00E47B2B">
        <w:rPr>
          <w:rFonts w:ascii="Times New Roman" w:hAnsi="Times New Roman"/>
          <w:sz w:val="24"/>
          <w:szCs w:val="24"/>
        </w:rPr>
        <w:t>.</w:t>
      </w:r>
      <w:r w:rsidR="002B16DA">
        <w:rPr>
          <w:rFonts w:ascii="Times New Roman" w:hAnsi="Times New Roman"/>
          <w:sz w:val="24"/>
          <w:szCs w:val="24"/>
        </w:rPr>
        <w:tab/>
        <w:t>First</w:t>
      </w:r>
      <w:r w:rsidR="00F11E4C">
        <w:rPr>
          <w:rFonts w:ascii="Times New Roman" w:hAnsi="Times New Roman"/>
          <w:sz w:val="24"/>
          <w:szCs w:val="24"/>
        </w:rPr>
        <w:t>,</w:t>
      </w:r>
      <w:r w:rsidR="002B16DA">
        <w:rPr>
          <w:rFonts w:ascii="Times New Roman" w:hAnsi="Times New Roman"/>
          <w:sz w:val="24"/>
          <w:szCs w:val="24"/>
        </w:rPr>
        <w:t xml:space="preserve"> there is the obvious question of whether or not all suppliers have the capital and credit to take on a sudden influx of new load.   A methodology which could force a supplier to default or leave the market because they do not have the credit to fulfill the default supply suddenly thrust upon them will result in </w:t>
      </w:r>
      <w:r w:rsidR="00F11E4C">
        <w:rPr>
          <w:rFonts w:ascii="Times New Roman" w:hAnsi="Times New Roman"/>
          <w:sz w:val="24"/>
          <w:szCs w:val="24"/>
        </w:rPr>
        <w:t xml:space="preserve">an </w:t>
      </w:r>
      <w:r w:rsidR="002B16DA">
        <w:rPr>
          <w:rFonts w:ascii="Times New Roman" w:hAnsi="Times New Roman"/>
          <w:sz w:val="24"/>
          <w:szCs w:val="24"/>
        </w:rPr>
        <w:t>unnecessary black</w:t>
      </w:r>
      <w:r w:rsidR="00F11E4C">
        <w:rPr>
          <w:rFonts w:ascii="Times New Roman" w:hAnsi="Times New Roman"/>
          <w:sz w:val="24"/>
          <w:szCs w:val="24"/>
        </w:rPr>
        <w:t xml:space="preserve"> </w:t>
      </w:r>
      <w:r w:rsidR="002B16DA">
        <w:rPr>
          <w:rFonts w:ascii="Times New Roman" w:hAnsi="Times New Roman"/>
          <w:sz w:val="24"/>
          <w:szCs w:val="24"/>
        </w:rPr>
        <w:t xml:space="preserve">eye on the market.  In addition, </w:t>
      </w:r>
      <w:r w:rsidR="00ED207D">
        <w:rPr>
          <w:rFonts w:ascii="Times New Roman" w:hAnsi="Times New Roman"/>
          <w:sz w:val="24"/>
          <w:szCs w:val="24"/>
        </w:rPr>
        <w:t xml:space="preserve">even </w:t>
      </w:r>
      <w:r w:rsidR="002B16DA">
        <w:rPr>
          <w:rFonts w:ascii="Times New Roman" w:hAnsi="Times New Roman"/>
          <w:sz w:val="24"/>
          <w:szCs w:val="24"/>
        </w:rPr>
        <w:t>if these small suppliers can take on the credit requirements</w:t>
      </w:r>
      <w:r w:rsidR="00F11E4C">
        <w:rPr>
          <w:rFonts w:ascii="Times New Roman" w:hAnsi="Times New Roman"/>
          <w:sz w:val="24"/>
          <w:szCs w:val="24"/>
        </w:rPr>
        <w:t>,</w:t>
      </w:r>
      <w:r w:rsidR="002B16DA">
        <w:rPr>
          <w:rFonts w:ascii="Times New Roman" w:hAnsi="Times New Roman"/>
          <w:sz w:val="24"/>
          <w:szCs w:val="24"/>
        </w:rPr>
        <w:t xml:space="preserve"> they may not have the infrastructure to handle the large number of customers</w:t>
      </w:r>
      <w:r w:rsidR="00F11E4C">
        <w:rPr>
          <w:rFonts w:ascii="Times New Roman" w:hAnsi="Times New Roman"/>
          <w:sz w:val="24"/>
          <w:szCs w:val="24"/>
        </w:rPr>
        <w:t>,</w:t>
      </w:r>
      <w:r w:rsidR="002B16DA">
        <w:rPr>
          <w:rFonts w:ascii="Times New Roman" w:hAnsi="Times New Roman"/>
          <w:sz w:val="24"/>
          <w:szCs w:val="24"/>
        </w:rPr>
        <w:t xml:space="preserve"> </w:t>
      </w:r>
      <w:r w:rsidR="002B16DA" w:rsidRPr="003B2EA4">
        <w:rPr>
          <w:rFonts w:ascii="Times New Roman" w:hAnsi="Times New Roman"/>
          <w:sz w:val="24"/>
          <w:szCs w:val="24"/>
        </w:rPr>
        <w:t xml:space="preserve">resulting in </w:t>
      </w:r>
      <w:r w:rsidR="002B16DA" w:rsidRPr="003B2EA4">
        <w:rPr>
          <w:rFonts w:ascii="Times New Roman" w:hAnsi="Times New Roman"/>
          <w:sz w:val="24"/>
          <w:szCs w:val="24"/>
        </w:rPr>
        <w:lastRenderedPageBreak/>
        <w:t>potentially long call center waiting times</w:t>
      </w:r>
      <w:r w:rsidR="00ED207D" w:rsidRPr="003B2EA4">
        <w:rPr>
          <w:rFonts w:ascii="Times New Roman" w:hAnsi="Times New Roman"/>
          <w:sz w:val="24"/>
          <w:szCs w:val="24"/>
        </w:rPr>
        <w:t xml:space="preserve"> and unhappy customers.  Additionally</w:t>
      </w:r>
      <w:r w:rsidR="002B16DA" w:rsidRPr="003B2EA4">
        <w:rPr>
          <w:rFonts w:ascii="Times New Roman" w:hAnsi="Times New Roman"/>
          <w:sz w:val="24"/>
          <w:szCs w:val="24"/>
        </w:rPr>
        <w:t>,</w:t>
      </w:r>
      <w:r w:rsidR="002B16DA" w:rsidRPr="001E7B64">
        <w:rPr>
          <w:rFonts w:ascii="Times New Roman" w:hAnsi="Times New Roman"/>
          <w:sz w:val="24"/>
          <w:szCs w:val="24"/>
        </w:rPr>
        <w:t xml:space="preserve"> </w:t>
      </w:r>
      <w:r w:rsidR="002B16DA" w:rsidRPr="003B2EA4">
        <w:rPr>
          <w:rFonts w:ascii="Times New Roman" w:hAnsi="Times New Roman"/>
          <w:sz w:val="24"/>
          <w:szCs w:val="24"/>
        </w:rPr>
        <w:t>higher default rates</w:t>
      </w:r>
      <w:r w:rsidR="00ED207D" w:rsidRPr="003B2EA4">
        <w:rPr>
          <w:rFonts w:ascii="Times New Roman" w:hAnsi="Times New Roman"/>
          <w:sz w:val="24"/>
          <w:szCs w:val="24"/>
        </w:rPr>
        <w:t xml:space="preserve"> by suppliers could result in Columbia having</w:t>
      </w:r>
      <w:r w:rsidR="002B16DA" w:rsidRPr="003B2EA4">
        <w:rPr>
          <w:rFonts w:ascii="Times New Roman" w:hAnsi="Times New Roman"/>
          <w:sz w:val="24"/>
          <w:szCs w:val="24"/>
        </w:rPr>
        <w:t xml:space="preserve"> </w:t>
      </w:r>
      <w:r w:rsidR="00ED207D" w:rsidRPr="003B2EA4">
        <w:rPr>
          <w:rFonts w:ascii="Times New Roman" w:hAnsi="Times New Roman"/>
          <w:sz w:val="24"/>
          <w:szCs w:val="24"/>
        </w:rPr>
        <w:t xml:space="preserve">to deploy </w:t>
      </w:r>
      <w:r w:rsidR="002B16DA" w:rsidRPr="003B2EA4">
        <w:rPr>
          <w:rFonts w:ascii="Times New Roman" w:hAnsi="Times New Roman"/>
          <w:sz w:val="24"/>
          <w:szCs w:val="24"/>
        </w:rPr>
        <w:t xml:space="preserve">sudden additional </w:t>
      </w:r>
      <w:r w:rsidR="00D240B9" w:rsidRPr="003B2EA4">
        <w:rPr>
          <w:rFonts w:ascii="Times New Roman" w:hAnsi="Times New Roman"/>
          <w:sz w:val="24"/>
          <w:szCs w:val="24"/>
        </w:rPr>
        <w:t>resources</w:t>
      </w:r>
      <w:r w:rsidR="002B16DA" w:rsidRPr="003B2EA4">
        <w:rPr>
          <w:rFonts w:ascii="Times New Roman" w:hAnsi="Times New Roman"/>
          <w:sz w:val="24"/>
          <w:szCs w:val="24"/>
        </w:rPr>
        <w:t xml:space="preserve"> needed </w:t>
      </w:r>
      <w:r w:rsidR="00ED207D" w:rsidRPr="003B2EA4">
        <w:rPr>
          <w:rFonts w:ascii="Times New Roman" w:hAnsi="Times New Roman"/>
          <w:sz w:val="24"/>
          <w:szCs w:val="24"/>
        </w:rPr>
        <w:t>to handle customer inquiries and needs</w:t>
      </w:r>
      <w:r w:rsidR="002B16DA">
        <w:rPr>
          <w:rFonts w:ascii="Times New Roman" w:hAnsi="Times New Roman"/>
          <w:sz w:val="24"/>
          <w:szCs w:val="24"/>
        </w:rPr>
        <w:t xml:space="preserve">.  </w:t>
      </w:r>
    </w:p>
    <w:p w:rsidR="00654868" w:rsidRDefault="00654868" w:rsidP="00654868">
      <w:pPr>
        <w:spacing w:after="0" w:line="480" w:lineRule="auto"/>
        <w:ind w:left="720"/>
        <w:rPr>
          <w:rFonts w:ascii="Times New Roman" w:hAnsi="Times New Roman"/>
          <w:sz w:val="24"/>
          <w:szCs w:val="24"/>
        </w:rPr>
      </w:pPr>
    </w:p>
    <w:p w:rsidR="00654868" w:rsidRDefault="008705AE" w:rsidP="00654868">
      <w:pPr>
        <w:spacing w:after="0" w:line="480" w:lineRule="auto"/>
        <w:ind w:left="720"/>
        <w:rPr>
          <w:rFonts w:ascii="Times New Roman" w:hAnsi="Times New Roman"/>
          <w:sz w:val="24"/>
          <w:szCs w:val="24"/>
        </w:rPr>
      </w:pPr>
      <w:r>
        <w:rPr>
          <w:rFonts w:ascii="Times New Roman" w:hAnsi="Times New Roman"/>
          <w:sz w:val="24"/>
          <w:szCs w:val="24"/>
        </w:rPr>
        <w:t>A</w:t>
      </w:r>
      <w:r w:rsidR="00654868">
        <w:rPr>
          <w:rFonts w:ascii="Times New Roman" w:hAnsi="Times New Roman"/>
          <w:sz w:val="24"/>
          <w:szCs w:val="24"/>
        </w:rPr>
        <w:t xml:space="preserve"> rotational allocation methodology would </w:t>
      </w:r>
      <w:r>
        <w:rPr>
          <w:rFonts w:ascii="Times New Roman" w:hAnsi="Times New Roman"/>
          <w:sz w:val="24"/>
          <w:szCs w:val="24"/>
        </w:rPr>
        <w:t xml:space="preserve">also </w:t>
      </w:r>
      <w:r w:rsidR="00654868">
        <w:rPr>
          <w:rFonts w:ascii="Times New Roman" w:hAnsi="Times New Roman"/>
          <w:sz w:val="24"/>
          <w:szCs w:val="24"/>
        </w:rPr>
        <w:t xml:space="preserve">allow a Supplier to enter the Columbia market just before the initial allocation occurs or merely maintain a license and then reap the benefits of being assigned customers directly </w:t>
      </w:r>
      <w:r w:rsidR="00654868" w:rsidRPr="00A45C6A">
        <w:rPr>
          <w:rFonts w:ascii="Times New Roman" w:hAnsi="Times New Roman"/>
          <w:sz w:val="24"/>
          <w:szCs w:val="24"/>
        </w:rPr>
        <w:t>disproportional</w:t>
      </w:r>
      <w:r w:rsidR="00654868">
        <w:rPr>
          <w:rFonts w:ascii="Times New Roman" w:hAnsi="Times New Roman"/>
          <w:sz w:val="24"/>
          <w:szCs w:val="24"/>
        </w:rPr>
        <w:t xml:space="preserve"> to its investments and efforts to sign up customers.  Considering that Columbia has approximately 108,000 commercial customers</w:t>
      </w:r>
      <w:r w:rsidR="00654868">
        <w:rPr>
          <w:rStyle w:val="FootnoteReference"/>
          <w:rFonts w:ascii="Times New Roman" w:hAnsi="Times New Roman"/>
          <w:sz w:val="24"/>
          <w:szCs w:val="24"/>
        </w:rPr>
        <w:footnoteReference w:id="1"/>
      </w:r>
      <w:r w:rsidR="00654868">
        <w:rPr>
          <w:rFonts w:ascii="Times New Roman" w:hAnsi="Times New Roman"/>
          <w:sz w:val="24"/>
          <w:szCs w:val="24"/>
        </w:rPr>
        <w:t xml:space="preserve">, Suppliers doing nothing but simply </w:t>
      </w:r>
      <w:r w:rsidR="00D52C14">
        <w:rPr>
          <w:rFonts w:ascii="Times New Roman" w:hAnsi="Times New Roman"/>
          <w:sz w:val="24"/>
          <w:szCs w:val="24"/>
        </w:rPr>
        <w:t xml:space="preserve">maintaining a license </w:t>
      </w:r>
      <w:r w:rsidR="00654868">
        <w:rPr>
          <w:rFonts w:ascii="Times New Roman" w:hAnsi="Times New Roman"/>
          <w:sz w:val="24"/>
          <w:szCs w:val="24"/>
        </w:rPr>
        <w:t xml:space="preserve">could sign up to share in the allocation of approximately 32,400 non-residential customers once the 70% shopping threshold is met.  The Commission would likely have no clue whether Suppliers with little or no experience in the Columbia market who </w:t>
      </w:r>
      <w:proofErr w:type="gramStart"/>
      <w:r w:rsidR="00654868">
        <w:rPr>
          <w:rFonts w:ascii="Times New Roman" w:hAnsi="Times New Roman"/>
          <w:sz w:val="24"/>
          <w:szCs w:val="24"/>
        </w:rPr>
        <w:t>sign</w:t>
      </w:r>
      <w:proofErr w:type="gramEnd"/>
      <w:r w:rsidR="00654868">
        <w:rPr>
          <w:rFonts w:ascii="Times New Roman" w:hAnsi="Times New Roman"/>
          <w:sz w:val="24"/>
          <w:szCs w:val="24"/>
        </w:rPr>
        <w:t xml:space="preserve"> up for the MVR program could handle an influx of customers upon initial allocation or upon future allocation.  </w:t>
      </w:r>
      <w:r w:rsidR="00654868" w:rsidRPr="003B2EA4">
        <w:rPr>
          <w:rFonts w:ascii="Times New Roman" w:hAnsi="Times New Roman"/>
          <w:sz w:val="24"/>
          <w:szCs w:val="24"/>
        </w:rPr>
        <w:t>Customers assigned to a Supplier who cannot handle a customer allocation might also experience higher prices than other Suppliers who have already made significant investments in Ohio because this increased risk from lack of experience will be factored into the prices offered to customers</w:t>
      </w:r>
      <w:r w:rsidR="00654868" w:rsidRPr="001E7B64">
        <w:rPr>
          <w:rFonts w:ascii="Times New Roman" w:hAnsi="Times New Roman"/>
          <w:sz w:val="24"/>
          <w:szCs w:val="24"/>
        </w:rPr>
        <w:t>.</w:t>
      </w:r>
      <w:r w:rsidR="00654868">
        <w:rPr>
          <w:rFonts w:ascii="Times New Roman" w:hAnsi="Times New Roman"/>
          <w:sz w:val="24"/>
          <w:szCs w:val="24"/>
        </w:rPr>
        <w:t xml:space="preserve">  </w:t>
      </w:r>
    </w:p>
    <w:p w:rsidR="00654868" w:rsidRDefault="00654868" w:rsidP="00654868">
      <w:pPr>
        <w:spacing w:after="0" w:line="480" w:lineRule="auto"/>
        <w:ind w:left="720"/>
        <w:rPr>
          <w:rFonts w:ascii="Times New Roman" w:hAnsi="Times New Roman"/>
          <w:sz w:val="24"/>
          <w:szCs w:val="24"/>
        </w:rPr>
      </w:pPr>
    </w:p>
    <w:p w:rsidR="00B51151" w:rsidRDefault="00654868" w:rsidP="005960CA">
      <w:pPr>
        <w:spacing w:after="0" w:line="480" w:lineRule="auto"/>
        <w:ind w:left="720"/>
        <w:rPr>
          <w:rFonts w:ascii="Times New Roman" w:hAnsi="Times New Roman"/>
          <w:sz w:val="24"/>
          <w:szCs w:val="24"/>
        </w:rPr>
      </w:pPr>
      <w:r>
        <w:rPr>
          <w:rFonts w:ascii="Times New Roman" w:hAnsi="Times New Roman"/>
          <w:sz w:val="24"/>
          <w:szCs w:val="24"/>
        </w:rPr>
        <w:t>This level of risk does not exist with a proportional allocation methodology where customers are assigned to Suppliers who have proven themselves as stable market participants, as shown by their market shares and likely long-standing history as Suppliers in Ohio.  Further, p</w:t>
      </w:r>
      <w:r w:rsidR="002B16DA">
        <w:rPr>
          <w:rFonts w:ascii="Times New Roman" w:hAnsi="Times New Roman"/>
          <w:sz w:val="24"/>
          <w:szCs w:val="24"/>
        </w:rPr>
        <w:t xml:space="preserve">roportional allocation ensures companies receive customers </w:t>
      </w:r>
      <w:r w:rsidR="002B16DA">
        <w:rPr>
          <w:rFonts w:ascii="Times New Roman" w:hAnsi="Times New Roman"/>
          <w:sz w:val="24"/>
          <w:szCs w:val="24"/>
        </w:rPr>
        <w:lastRenderedPageBreak/>
        <w:t xml:space="preserve">in a reasonable relation to what they are already serving.  If a </w:t>
      </w:r>
      <w:r w:rsidR="00F11E4C">
        <w:rPr>
          <w:rFonts w:ascii="Times New Roman" w:hAnsi="Times New Roman"/>
          <w:sz w:val="24"/>
          <w:szCs w:val="24"/>
        </w:rPr>
        <w:t>S</w:t>
      </w:r>
      <w:r w:rsidR="002B16DA">
        <w:rPr>
          <w:rFonts w:ascii="Times New Roman" w:hAnsi="Times New Roman"/>
          <w:sz w:val="24"/>
          <w:szCs w:val="24"/>
        </w:rPr>
        <w:t>upplier would like to take on more they are always free to increase their marketing efforts, provide better products, and that will not only increase their customer counts but also their proportion of market for new and newly eligible customers</w:t>
      </w:r>
      <w:r w:rsidR="00B76876">
        <w:rPr>
          <w:rFonts w:ascii="Times New Roman" w:hAnsi="Times New Roman"/>
          <w:sz w:val="24"/>
          <w:szCs w:val="24"/>
        </w:rPr>
        <w:t>.</w:t>
      </w:r>
      <w:r w:rsidR="005960CA">
        <w:rPr>
          <w:rFonts w:ascii="Times New Roman" w:hAnsi="Times New Roman"/>
          <w:sz w:val="24"/>
          <w:szCs w:val="24"/>
        </w:rPr>
        <w:t xml:space="preserve"> </w:t>
      </w:r>
      <w:r w:rsidR="00B76876">
        <w:rPr>
          <w:rFonts w:ascii="Times New Roman" w:hAnsi="Times New Roman"/>
          <w:sz w:val="24"/>
          <w:szCs w:val="24"/>
        </w:rPr>
        <w:t xml:space="preserve"> </w:t>
      </w:r>
      <w:r w:rsidR="005960CA" w:rsidRPr="001E7B64">
        <w:rPr>
          <w:rFonts w:ascii="Times New Roman" w:hAnsi="Times New Roman"/>
          <w:sz w:val="24"/>
          <w:szCs w:val="24"/>
        </w:rPr>
        <w:t>T</w:t>
      </w:r>
      <w:r w:rsidR="008A4041" w:rsidRPr="003B2EA4">
        <w:rPr>
          <w:rFonts w:ascii="Times New Roman" w:hAnsi="Times New Roman"/>
          <w:sz w:val="24"/>
          <w:szCs w:val="24"/>
        </w:rPr>
        <w:t xml:space="preserve">he </w:t>
      </w:r>
      <w:r w:rsidR="005960CA" w:rsidRPr="003B2EA4">
        <w:rPr>
          <w:rFonts w:ascii="Times New Roman" w:hAnsi="Times New Roman"/>
          <w:sz w:val="24"/>
          <w:szCs w:val="24"/>
        </w:rPr>
        <w:t xml:space="preserve">proportional </w:t>
      </w:r>
      <w:r w:rsidR="008A4041" w:rsidRPr="003B2EA4">
        <w:rPr>
          <w:rFonts w:ascii="Times New Roman" w:hAnsi="Times New Roman"/>
          <w:sz w:val="24"/>
          <w:szCs w:val="24"/>
        </w:rPr>
        <w:t>allocation methodology would make investment in Ohio more attractive relative to states without this type of program.</w:t>
      </w:r>
    </w:p>
    <w:p w:rsidR="00553534" w:rsidRDefault="00553534" w:rsidP="000B432B">
      <w:pPr>
        <w:spacing w:after="0" w:line="480" w:lineRule="auto"/>
        <w:ind w:left="720" w:hanging="720"/>
        <w:rPr>
          <w:rFonts w:ascii="Times New Roman" w:hAnsi="Times New Roman"/>
          <w:sz w:val="24"/>
          <w:szCs w:val="24"/>
        </w:rPr>
      </w:pPr>
    </w:p>
    <w:p w:rsidR="00942DED" w:rsidRPr="009F5858" w:rsidRDefault="00C01A47" w:rsidP="00942DED">
      <w:pPr>
        <w:spacing w:after="0" w:line="480" w:lineRule="auto"/>
        <w:ind w:left="720" w:hanging="720"/>
        <w:rPr>
          <w:rFonts w:ascii="Times New Roman" w:hAnsi="Times New Roman"/>
          <w:b/>
          <w:sz w:val="24"/>
          <w:szCs w:val="24"/>
        </w:rPr>
      </w:pPr>
      <w:r w:rsidRPr="009F5858">
        <w:rPr>
          <w:rFonts w:ascii="Times New Roman" w:hAnsi="Times New Roman"/>
          <w:b/>
          <w:sz w:val="24"/>
          <w:szCs w:val="24"/>
        </w:rPr>
        <w:t>Q</w:t>
      </w:r>
      <w:r>
        <w:rPr>
          <w:rFonts w:ascii="Times New Roman" w:hAnsi="Times New Roman"/>
          <w:b/>
          <w:sz w:val="24"/>
          <w:szCs w:val="24"/>
        </w:rPr>
        <w:t>1</w:t>
      </w:r>
      <w:r w:rsidR="00F63B08">
        <w:rPr>
          <w:rFonts w:ascii="Times New Roman" w:hAnsi="Times New Roman"/>
          <w:b/>
          <w:sz w:val="24"/>
          <w:szCs w:val="24"/>
        </w:rPr>
        <w:t>5</w:t>
      </w:r>
      <w:r w:rsidR="00942DED" w:rsidRPr="009F5858">
        <w:rPr>
          <w:rFonts w:ascii="Times New Roman" w:hAnsi="Times New Roman"/>
          <w:b/>
          <w:sz w:val="24"/>
          <w:szCs w:val="24"/>
        </w:rPr>
        <w:t>.</w:t>
      </w:r>
      <w:r w:rsidR="00942DED" w:rsidRPr="009F5858">
        <w:rPr>
          <w:rFonts w:ascii="Times New Roman" w:hAnsi="Times New Roman"/>
          <w:b/>
          <w:sz w:val="24"/>
          <w:szCs w:val="24"/>
        </w:rPr>
        <w:tab/>
        <w:t>Why should the Commission adopt a proportional allocation methodology for the on-going or future allocation of customers assigned through the MVR program?</w:t>
      </w:r>
    </w:p>
    <w:p w:rsidR="00942DED" w:rsidRDefault="00C01A47" w:rsidP="00942DED">
      <w:pPr>
        <w:spacing w:after="0" w:line="480" w:lineRule="auto"/>
        <w:ind w:left="720" w:hanging="720"/>
        <w:rPr>
          <w:rFonts w:ascii="Times New Roman" w:hAnsi="Times New Roman"/>
          <w:sz w:val="24"/>
          <w:szCs w:val="24"/>
        </w:rPr>
      </w:pPr>
      <w:r w:rsidRPr="00C01A47">
        <w:rPr>
          <w:rFonts w:ascii="Times New Roman" w:hAnsi="Times New Roman"/>
          <w:b/>
          <w:sz w:val="24"/>
          <w:szCs w:val="24"/>
        </w:rPr>
        <w:t>A1</w:t>
      </w:r>
      <w:r w:rsidR="00F63B08">
        <w:rPr>
          <w:rFonts w:ascii="Times New Roman" w:hAnsi="Times New Roman"/>
          <w:b/>
          <w:sz w:val="24"/>
          <w:szCs w:val="24"/>
        </w:rPr>
        <w:t>5</w:t>
      </w:r>
      <w:r w:rsidR="00942DED">
        <w:rPr>
          <w:rFonts w:ascii="Times New Roman" w:hAnsi="Times New Roman"/>
          <w:sz w:val="24"/>
          <w:szCs w:val="24"/>
        </w:rPr>
        <w:t>.</w:t>
      </w:r>
      <w:r w:rsidR="00942DED">
        <w:rPr>
          <w:rFonts w:ascii="Times New Roman" w:hAnsi="Times New Roman"/>
          <w:sz w:val="24"/>
          <w:szCs w:val="24"/>
        </w:rPr>
        <w:tab/>
        <w:t xml:space="preserve">Again, this is a matter of fairness and assuring that the suppliers who are assigned customers can actually handle those assignments.  A proportional allocation methodology on a future basis after the initial allocation incents those Suppliers active in the market to continue providing solid value propositions to customers knowing their efforts will be recognized and their competitors will not be receiving the same </w:t>
      </w:r>
      <w:r w:rsidR="008925D5">
        <w:rPr>
          <w:rFonts w:ascii="Times New Roman" w:hAnsi="Times New Roman"/>
          <w:sz w:val="24"/>
          <w:szCs w:val="24"/>
        </w:rPr>
        <w:t>benefits</w:t>
      </w:r>
      <w:r w:rsidR="00942DED">
        <w:rPr>
          <w:rFonts w:ascii="Times New Roman" w:hAnsi="Times New Roman"/>
          <w:sz w:val="24"/>
          <w:szCs w:val="24"/>
        </w:rPr>
        <w:t xml:space="preserve"> as they receive with little or no effort.  Additionally, it ensures that Suppliers who are assigned customers as the exit the merchant function process unfolds are capable of handling those customers and providing them reliable and quality service.  </w:t>
      </w:r>
    </w:p>
    <w:p w:rsidR="00942DED" w:rsidRDefault="00942DED" w:rsidP="00942DED">
      <w:pPr>
        <w:spacing w:after="0" w:line="480" w:lineRule="auto"/>
        <w:ind w:left="720" w:hanging="720"/>
        <w:rPr>
          <w:rFonts w:ascii="Times New Roman" w:hAnsi="Times New Roman"/>
          <w:sz w:val="24"/>
          <w:szCs w:val="24"/>
        </w:rPr>
      </w:pPr>
    </w:p>
    <w:p w:rsidR="00942DED" w:rsidRDefault="00942DED" w:rsidP="00942DED">
      <w:pPr>
        <w:spacing w:after="0" w:line="480" w:lineRule="auto"/>
        <w:ind w:left="720" w:hanging="720"/>
        <w:rPr>
          <w:rFonts w:ascii="Times New Roman" w:hAnsi="Times New Roman"/>
          <w:sz w:val="24"/>
          <w:szCs w:val="24"/>
        </w:rPr>
      </w:pPr>
      <w:r>
        <w:rPr>
          <w:rFonts w:ascii="Times New Roman" w:hAnsi="Times New Roman"/>
          <w:sz w:val="24"/>
          <w:szCs w:val="24"/>
        </w:rPr>
        <w:tab/>
        <w:t>If the Commission adopts the proportional allocation methodology for the on-going or future allocation of customers, the Commission should require Columbia to re-calculate the market share of each Supplier each month and then for that month allocate eligible customers according to that month’s market share.  Columbia already provides a monthly update as to shopping customers and other statistics to interested parties so</w:t>
      </w:r>
      <w:r w:rsidR="00D52C14">
        <w:rPr>
          <w:rFonts w:ascii="Times New Roman" w:hAnsi="Times New Roman"/>
          <w:sz w:val="24"/>
          <w:szCs w:val="24"/>
        </w:rPr>
        <w:t xml:space="preserve"> Columbia</w:t>
      </w:r>
      <w:r>
        <w:rPr>
          <w:rFonts w:ascii="Times New Roman" w:hAnsi="Times New Roman"/>
          <w:sz w:val="24"/>
          <w:szCs w:val="24"/>
        </w:rPr>
        <w:t xml:space="preserve"> appears to be collecting and disseminating this kind of data already.  Direct Energy </w:t>
      </w:r>
      <w:r>
        <w:rPr>
          <w:rFonts w:ascii="Times New Roman" w:hAnsi="Times New Roman"/>
          <w:sz w:val="24"/>
          <w:szCs w:val="24"/>
        </w:rPr>
        <w:lastRenderedPageBreak/>
        <w:t>recommends that the Commission order Columbia to work out the details of the monthly re-calculation as part of a working group with Suppliers.</w:t>
      </w:r>
    </w:p>
    <w:p w:rsidR="002A0AEC" w:rsidRDefault="00E4523A" w:rsidP="00076647">
      <w:pPr>
        <w:spacing w:after="0" w:line="480" w:lineRule="auto"/>
        <w:ind w:left="720" w:hanging="720"/>
        <w:rPr>
          <w:rFonts w:ascii="Times New Roman" w:hAnsi="Times New Roman"/>
          <w:sz w:val="24"/>
          <w:szCs w:val="24"/>
        </w:rPr>
      </w:pPr>
      <w:r>
        <w:rPr>
          <w:rFonts w:ascii="Times New Roman" w:hAnsi="Times New Roman"/>
          <w:sz w:val="24"/>
          <w:szCs w:val="24"/>
        </w:rPr>
        <w:tab/>
      </w:r>
    </w:p>
    <w:p w:rsidR="002A0AEC" w:rsidRPr="005D0D42" w:rsidRDefault="00C01A47" w:rsidP="00076647">
      <w:pPr>
        <w:spacing w:after="0" w:line="480" w:lineRule="auto"/>
        <w:ind w:left="720" w:hanging="720"/>
        <w:rPr>
          <w:rFonts w:ascii="Times New Roman" w:hAnsi="Times New Roman"/>
          <w:b/>
          <w:sz w:val="24"/>
          <w:szCs w:val="24"/>
        </w:rPr>
      </w:pPr>
      <w:r w:rsidRPr="005D0D42">
        <w:rPr>
          <w:rFonts w:ascii="Times New Roman" w:hAnsi="Times New Roman"/>
          <w:b/>
          <w:sz w:val="24"/>
          <w:szCs w:val="24"/>
        </w:rPr>
        <w:t>Q</w:t>
      </w:r>
      <w:r>
        <w:rPr>
          <w:rFonts w:ascii="Times New Roman" w:hAnsi="Times New Roman"/>
          <w:b/>
          <w:sz w:val="24"/>
          <w:szCs w:val="24"/>
        </w:rPr>
        <w:t>16</w:t>
      </w:r>
      <w:r w:rsidR="002A0AEC" w:rsidRPr="005D0D42">
        <w:rPr>
          <w:rFonts w:ascii="Times New Roman" w:hAnsi="Times New Roman"/>
          <w:b/>
          <w:sz w:val="24"/>
          <w:szCs w:val="24"/>
        </w:rPr>
        <w:t>.</w:t>
      </w:r>
      <w:r w:rsidR="002A0AEC" w:rsidRPr="005D0D42">
        <w:rPr>
          <w:rFonts w:ascii="Times New Roman" w:hAnsi="Times New Roman"/>
          <w:b/>
          <w:sz w:val="24"/>
          <w:szCs w:val="24"/>
        </w:rPr>
        <w:tab/>
      </w:r>
      <w:r w:rsidR="00942DED">
        <w:rPr>
          <w:rFonts w:ascii="Times New Roman" w:hAnsi="Times New Roman"/>
          <w:b/>
          <w:sz w:val="24"/>
          <w:szCs w:val="24"/>
        </w:rPr>
        <w:t>S</w:t>
      </w:r>
      <w:r w:rsidR="002A0AEC" w:rsidRPr="005D0D42">
        <w:rPr>
          <w:rFonts w:ascii="Times New Roman" w:hAnsi="Times New Roman"/>
          <w:b/>
          <w:sz w:val="24"/>
          <w:szCs w:val="24"/>
        </w:rPr>
        <w:t xml:space="preserve">hould the Commission determine </w:t>
      </w:r>
      <w:r w:rsidR="005D0D42" w:rsidRPr="005D0D42">
        <w:rPr>
          <w:rFonts w:ascii="Times New Roman" w:hAnsi="Times New Roman"/>
          <w:b/>
          <w:sz w:val="24"/>
          <w:szCs w:val="24"/>
        </w:rPr>
        <w:t>in this case</w:t>
      </w:r>
      <w:r w:rsidR="002A0AEC" w:rsidRPr="005D0D42">
        <w:rPr>
          <w:rFonts w:ascii="Times New Roman" w:hAnsi="Times New Roman"/>
          <w:b/>
          <w:sz w:val="24"/>
          <w:szCs w:val="24"/>
        </w:rPr>
        <w:t xml:space="preserve"> that a proportional allocation methodology should be considered the default construct for how residential customers should be allocated upon an exit of the merchant function if and when an exit of the merchant function for residential customers occurs?</w:t>
      </w:r>
    </w:p>
    <w:p w:rsidR="002A0AEC" w:rsidRDefault="00C01A47" w:rsidP="00076647">
      <w:pPr>
        <w:spacing w:after="0" w:line="480" w:lineRule="auto"/>
        <w:ind w:left="720" w:hanging="720"/>
        <w:rPr>
          <w:rFonts w:ascii="Times New Roman" w:hAnsi="Times New Roman"/>
          <w:sz w:val="24"/>
          <w:szCs w:val="24"/>
        </w:rPr>
      </w:pPr>
      <w:r w:rsidRPr="00C01A47">
        <w:rPr>
          <w:rFonts w:ascii="Times New Roman" w:hAnsi="Times New Roman"/>
          <w:b/>
          <w:sz w:val="24"/>
          <w:szCs w:val="24"/>
        </w:rPr>
        <w:t>A16</w:t>
      </w:r>
      <w:r w:rsidR="002A0AEC">
        <w:rPr>
          <w:rFonts w:ascii="Times New Roman" w:hAnsi="Times New Roman"/>
          <w:sz w:val="24"/>
          <w:szCs w:val="24"/>
        </w:rPr>
        <w:t>.</w:t>
      </w:r>
      <w:r w:rsidR="002A0AEC">
        <w:rPr>
          <w:rFonts w:ascii="Times New Roman" w:hAnsi="Times New Roman"/>
          <w:sz w:val="24"/>
          <w:szCs w:val="24"/>
        </w:rPr>
        <w:tab/>
      </w:r>
      <w:r w:rsidR="00942DED">
        <w:rPr>
          <w:rFonts w:ascii="Times New Roman" w:hAnsi="Times New Roman"/>
          <w:sz w:val="24"/>
          <w:szCs w:val="24"/>
        </w:rPr>
        <w:t xml:space="preserve">Yes.  </w:t>
      </w:r>
      <w:r w:rsidR="005D0D42">
        <w:rPr>
          <w:rFonts w:ascii="Times New Roman" w:hAnsi="Times New Roman"/>
          <w:sz w:val="24"/>
          <w:szCs w:val="24"/>
        </w:rPr>
        <w:t xml:space="preserve">The Joint Stipulation and Recommendation contains a trigger under which Columbia </w:t>
      </w:r>
      <w:r w:rsidR="001A08CC">
        <w:rPr>
          <w:rFonts w:ascii="Times New Roman" w:hAnsi="Times New Roman"/>
          <w:sz w:val="24"/>
          <w:szCs w:val="24"/>
        </w:rPr>
        <w:t xml:space="preserve">will </w:t>
      </w:r>
      <w:r w:rsidR="005D0D42">
        <w:rPr>
          <w:rFonts w:ascii="Times New Roman" w:hAnsi="Times New Roman"/>
          <w:sz w:val="24"/>
          <w:szCs w:val="24"/>
        </w:rPr>
        <w:t>file an application for an exit of the merchant function for residential customers.  The Commission, by determining in this case that a proportional allocation methodology should be used</w:t>
      </w:r>
      <w:r w:rsidR="00520EA9">
        <w:rPr>
          <w:rFonts w:ascii="Times New Roman" w:hAnsi="Times New Roman"/>
          <w:sz w:val="24"/>
          <w:szCs w:val="24"/>
        </w:rPr>
        <w:t xml:space="preserve"> for the allocation of residential customers, will send a strong message to the Supplier community that its investments and efforts will be rewarded for residential customers just the same as they will b</w:t>
      </w:r>
      <w:r w:rsidR="003D348A">
        <w:rPr>
          <w:rFonts w:ascii="Times New Roman" w:hAnsi="Times New Roman"/>
          <w:sz w:val="24"/>
          <w:szCs w:val="24"/>
        </w:rPr>
        <w:t xml:space="preserve">e for commercial customers. Even though a residential exit the merchant function is on a delayed track as compared to the non-residential exit the merchant function, efforts to enroll residential customers will continue and the same incentives as described above are just as equally applicable here.  In the alternative, if the Commission does not affirmatively adopt a proportional allocation methodology for </w:t>
      </w:r>
      <w:r w:rsidR="005A6B14">
        <w:rPr>
          <w:rFonts w:ascii="Times New Roman" w:hAnsi="Times New Roman"/>
          <w:sz w:val="24"/>
          <w:szCs w:val="24"/>
        </w:rPr>
        <w:t>a residential customer</w:t>
      </w:r>
      <w:r w:rsidR="00727D5F">
        <w:rPr>
          <w:rFonts w:ascii="Times New Roman" w:hAnsi="Times New Roman"/>
          <w:sz w:val="24"/>
          <w:szCs w:val="24"/>
        </w:rPr>
        <w:t xml:space="preserve"> exit</w:t>
      </w:r>
      <w:r w:rsidR="005A6B14">
        <w:rPr>
          <w:rFonts w:ascii="Times New Roman" w:hAnsi="Times New Roman"/>
          <w:sz w:val="24"/>
          <w:szCs w:val="24"/>
        </w:rPr>
        <w:t>, the</w:t>
      </w:r>
      <w:r w:rsidR="00727D5F">
        <w:rPr>
          <w:rFonts w:ascii="Times New Roman" w:hAnsi="Times New Roman"/>
          <w:sz w:val="24"/>
          <w:szCs w:val="24"/>
        </w:rPr>
        <w:t>n the</w:t>
      </w:r>
      <w:r w:rsidR="005A6B14">
        <w:rPr>
          <w:rFonts w:ascii="Times New Roman" w:hAnsi="Times New Roman"/>
          <w:sz w:val="24"/>
          <w:szCs w:val="24"/>
        </w:rPr>
        <w:t xml:space="preserve"> Commission should</w:t>
      </w:r>
      <w:r w:rsidR="00727D5F">
        <w:rPr>
          <w:rFonts w:ascii="Times New Roman" w:hAnsi="Times New Roman"/>
          <w:sz w:val="24"/>
          <w:szCs w:val="24"/>
        </w:rPr>
        <w:t xml:space="preserve"> at least declare that a proportional allocation methodology will be the rebuttable presumption in any proceeding to exit the merchant function for residential customers.  </w:t>
      </w:r>
    </w:p>
    <w:p w:rsidR="009E5D9A" w:rsidRDefault="009E5D9A" w:rsidP="00FE0D0F">
      <w:pPr>
        <w:spacing w:after="0" w:line="480" w:lineRule="auto"/>
        <w:ind w:left="720"/>
        <w:rPr>
          <w:rFonts w:ascii="Times New Roman" w:hAnsi="Times New Roman"/>
          <w:sz w:val="24"/>
          <w:szCs w:val="24"/>
        </w:rPr>
      </w:pPr>
    </w:p>
    <w:p w:rsidR="002F34F0" w:rsidRDefault="002F34F0">
      <w:pPr>
        <w:spacing w:after="0" w:line="240" w:lineRule="auto"/>
        <w:rPr>
          <w:rFonts w:ascii="Times New Roman" w:hAnsi="Times New Roman"/>
          <w:b/>
          <w:sz w:val="24"/>
          <w:szCs w:val="24"/>
        </w:rPr>
      </w:pPr>
      <w:r>
        <w:rPr>
          <w:rFonts w:ascii="Times New Roman" w:hAnsi="Times New Roman"/>
          <w:b/>
          <w:sz w:val="24"/>
          <w:szCs w:val="24"/>
        </w:rPr>
        <w:br w:type="page"/>
      </w:r>
    </w:p>
    <w:p w:rsidR="0061611E" w:rsidRDefault="00C01A47">
      <w:pPr>
        <w:spacing w:after="0" w:line="480" w:lineRule="auto"/>
        <w:rPr>
          <w:rFonts w:ascii="Times New Roman" w:hAnsi="Times New Roman"/>
          <w:b/>
          <w:sz w:val="24"/>
          <w:szCs w:val="24"/>
        </w:rPr>
      </w:pPr>
      <w:r>
        <w:rPr>
          <w:rFonts w:ascii="Times New Roman" w:hAnsi="Times New Roman"/>
          <w:b/>
          <w:sz w:val="24"/>
          <w:szCs w:val="24"/>
        </w:rPr>
        <w:lastRenderedPageBreak/>
        <w:t>Q17</w:t>
      </w:r>
      <w:r w:rsidR="003E6DD7">
        <w:rPr>
          <w:rFonts w:ascii="Times New Roman" w:hAnsi="Times New Roman"/>
          <w:b/>
          <w:sz w:val="24"/>
          <w:szCs w:val="24"/>
        </w:rPr>
        <w:t>.</w:t>
      </w:r>
      <w:r w:rsidR="003E6DD7">
        <w:rPr>
          <w:rFonts w:ascii="Times New Roman" w:hAnsi="Times New Roman"/>
          <w:b/>
          <w:sz w:val="24"/>
          <w:szCs w:val="24"/>
        </w:rPr>
        <w:tab/>
        <w:t>Does this conclude your testimony?</w:t>
      </w:r>
    </w:p>
    <w:p w:rsidR="0061611E" w:rsidRDefault="00C01A47" w:rsidP="00551F91">
      <w:pPr>
        <w:spacing w:after="0" w:line="480" w:lineRule="auto"/>
        <w:ind w:left="720" w:hanging="720"/>
        <w:rPr>
          <w:rFonts w:ascii="Times New Roman" w:hAnsi="Times New Roman"/>
          <w:sz w:val="24"/>
          <w:szCs w:val="24"/>
        </w:rPr>
      </w:pPr>
      <w:r>
        <w:rPr>
          <w:rFonts w:ascii="Times New Roman" w:hAnsi="Times New Roman"/>
          <w:b/>
          <w:sz w:val="24"/>
          <w:szCs w:val="24"/>
        </w:rPr>
        <w:t>A17</w:t>
      </w:r>
      <w:r w:rsidR="003E6DD7">
        <w:rPr>
          <w:rFonts w:ascii="Times New Roman" w:hAnsi="Times New Roman"/>
          <w:b/>
          <w:sz w:val="24"/>
          <w:szCs w:val="24"/>
        </w:rPr>
        <w:t>.</w:t>
      </w:r>
      <w:r w:rsidR="003E6DD7">
        <w:rPr>
          <w:rFonts w:ascii="Times New Roman" w:hAnsi="Times New Roman"/>
          <w:b/>
          <w:sz w:val="24"/>
          <w:szCs w:val="24"/>
        </w:rPr>
        <w:tab/>
      </w:r>
      <w:r w:rsidR="003E6DD7">
        <w:rPr>
          <w:rFonts w:ascii="Times New Roman" w:hAnsi="Times New Roman"/>
          <w:sz w:val="24"/>
          <w:szCs w:val="24"/>
        </w:rPr>
        <w:t>Yes.</w:t>
      </w:r>
      <w:r>
        <w:rPr>
          <w:rFonts w:ascii="Times New Roman" w:hAnsi="Times New Roman"/>
          <w:sz w:val="24"/>
          <w:szCs w:val="24"/>
        </w:rPr>
        <w:t xml:space="preserve">  However, I reserve the right to </w:t>
      </w:r>
      <w:r w:rsidR="000B27D6">
        <w:rPr>
          <w:rFonts w:ascii="Times New Roman" w:hAnsi="Times New Roman"/>
          <w:sz w:val="24"/>
          <w:szCs w:val="24"/>
        </w:rPr>
        <w:t xml:space="preserve">incorporate new information that may subsequently become available.  </w:t>
      </w:r>
    </w:p>
    <w:p w:rsidR="000B27D6" w:rsidRDefault="000B27D6" w:rsidP="00C01A47">
      <w:pPr>
        <w:spacing w:after="0" w:line="480" w:lineRule="auto"/>
        <w:rPr>
          <w:rFonts w:ascii="Times New Roman" w:hAnsi="Times New Roman"/>
          <w:sz w:val="24"/>
          <w:szCs w:val="24"/>
        </w:rPr>
      </w:pPr>
    </w:p>
    <w:p w:rsidR="0028593C" w:rsidRDefault="0028593C">
      <w:pPr>
        <w:spacing w:after="0" w:line="240" w:lineRule="auto"/>
        <w:rPr>
          <w:rFonts w:ascii="Times New Roman" w:hAnsi="Times New Roman"/>
          <w:b/>
          <w:bCs/>
          <w:color w:val="000000"/>
          <w:sz w:val="24"/>
          <w:szCs w:val="24"/>
        </w:rPr>
      </w:pPr>
      <w:r>
        <w:rPr>
          <w:rFonts w:ascii="Times New Roman" w:hAnsi="Times New Roman"/>
          <w:b/>
          <w:bCs/>
          <w:color w:val="000000"/>
          <w:sz w:val="24"/>
          <w:szCs w:val="24"/>
        </w:rPr>
        <w:br w:type="page"/>
      </w:r>
    </w:p>
    <w:p w:rsidR="0061611E" w:rsidRDefault="003E6DD7">
      <w:pPr>
        <w:spacing w:after="0"/>
        <w:jc w:val="center"/>
        <w:rPr>
          <w:rFonts w:ascii="Times New Roman" w:hAnsi="Times New Roman"/>
          <w:b/>
          <w:bCs/>
          <w:color w:val="000000"/>
          <w:sz w:val="24"/>
          <w:szCs w:val="24"/>
        </w:rPr>
      </w:pPr>
      <w:r>
        <w:rPr>
          <w:rFonts w:ascii="Times New Roman" w:hAnsi="Times New Roman"/>
          <w:b/>
          <w:bCs/>
          <w:color w:val="000000"/>
          <w:sz w:val="24"/>
          <w:szCs w:val="24"/>
        </w:rPr>
        <w:lastRenderedPageBreak/>
        <w:t>CERTIFICATE OF SERVICE</w:t>
      </w:r>
    </w:p>
    <w:p w:rsidR="0061611E" w:rsidRDefault="003E6DD7">
      <w:pPr>
        <w:spacing w:after="0"/>
        <w:ind w:right="-35" w:firstLine="720"/>
        <w:rPr>
          <w:rFonts w:ascii="Times New Roman" w:hAnsi="Times New Roman"/>
          <w:color w:val="000000"/>
          <w:sz w:val="24"/>
          <w:szCs w:val="24"/>
        </w:rPr>
      </w:pPr>
      <w:r>
        <w:rPr>
          <w:rFonts w:ascii="Times New Roman" w:hAnsi="Times New Roman"/>
          <w:color w:val="000000"/>
          <w:sz w:val="24"/>
          <w:szCs w:val="24"/>
        </w:rPr>
        <w:t xml:space="preserve">The undersigned hereby certifies that a true and accurate copy of the foregoing document was served this </w:t>
      </w:r>
      <w:r w:rsidR="00C01A47">
        <w:rPr>
          <w:rFonts w:ascii="Times New Roman" w:hAnsi="Times New Roman"/>
          <w:color w:val="000000"/>
          <w:sz w:val="24"/>
          <w:szCs w:val="24"/>
        </w:rPr>
        <w:t>13</w:t>
      </w:r>
      <w:r w:rsidR="00C01A47">
        <w:rPr>
          <w:rFonts w:ascii="Times New Roman" w:hAnsi="Times New Roman"/>
          <w:color w:val="000000"/>
          <w:sz w:val="24"/>
          <w:szCs w:val="24"/>
          <w:vertAlign w:val="superscript"/>
        </w:rPr>
        <w:t>th</w:t>
      </w:r>
      <w:r w:rsidR="00C01A47">
        <w:rPr>
          <w:rFonts w:ascii="Times New Roman" w:hAnsi="Times New Roman"/>
          <w:color w:val="000000"/>
          <w:sz w:val="24"/>
          <w:szCs w:val="24"/>
        </w:rPr>
        <w:t xml:space="preserve"> </w:t>
      </w:r>
      <w:r>
        <w:rPr>
          <w:rFonts w:ascii="Times New Roman" w:hAnsi="Times New Roman"/>
          <w:color w:val="000000"/>
          <w:sz w:val="24"/>
          <w:szCs w:val="24"/>
        </w:rPr>
        <w:t xml:space="preserve">day of </w:t>
      </w:r>
      <w:r w:rsidR="005720A1">
        <w:rPr>
          <w:rFonts w:ascii="Times New Roman" w:hAnsi="Times New Roman"/>
          <w:color w:val="000000"/>
          <w:sz w:val="24"/>
          <w:szCs w:val="24"/>
        </w:rPr>
        <w:t>Nov</w:t>
      </w:r>
      <w:r>
        <w:rPr>
          <w:rFonts w:ascii="Times New Roman" w:hAnsi="Times New Roman"/>
          <w:color w:val="000000"/>
          <w:sz w:val="24"/>
          <w:szCs w:val="24"/>
        </w:rPr>
        <w:t>ember, 2012 by electronic mail, upon the persons listed below.</w:t>
      </w:r>
    </w:p>
    <w:p w:rsidR="0061611E" w:rsidRDefault="0061611E">
      <w:pPr>
        <w:spacing w:after="0"/>
        <w:ind w:right="-35"/>
        <w:rPr>
          <w:rFonts w:ascii="Times New Roman" w:hAnsi="Times New Roman"/>
          <w:color w:val="000000"/>
          <w:sz w:val="24"/>
          <w:szCs w:val="24"/>
        </w:rPr>
      </w:pPr>
    </w:p>
    <w:p w:rsidR="0061611E" w:rsidRDefault="0061611E">
      <w:pPr>
        <w:spacing w:after="0"/>
        <w:ind w:right="-35"/>
        <w:rPr>
          <w:rFonts w:ascii="Times New Roman" w:hAnsi="Times New Roman"/>
          <w:color w:val="000000"/>
          <w:sz w:val="24"/>
          <w:szCs w:val="24"/>
        </w:rPr>
      </w:pPr>
    </w:p>
    <w:p w:rsidR="0061611E" w:rsidRDefault="003E6DD7">
      <w:pPr>
        <w:spacing w:after="0"/>
        <w:ind w:left="4320" w:right="-35"/>
        <w:rPr>
          <w:rFonts w:ascii="Times New Roman" w:hAnsi="Times New Roman"/>
          <w:color w:val="000000"/>
          <w:sz w:val="24"/>
          <w:szCs w:val="24"/>
          <w:u w:val="single"/>
        </w:rPr>
      </w:pPr>
      <w:r>
        <w:rPr>
          <w:rFonts w:ascii="Times New Roman" w:hAnsi="Times New Roman"/>
          <w:color w:val="000000"/>
          <w:sz w:val="24"/>
          <w:szCs w:val="24"/>
          <w:u w:val="single"/>
        </w:rPr>
        <w:t>     </w:t>
      </w:r>
      <w:r w:rsidR="00567450">
        <w:rPr>
          <w:rFonts w:ascii="Times New Roman" w:hAnsi="Times New Roman"/>
          <w:color w:val="000000"/>
          <w:sz w:val="24"/>
          <w:szCs w:val="24"/>
          <w:u w:val="single"/>
        </w:rPr>
        <w:t>/s/ Joseph M. Clark</w:t>
      </w:r>
      <w:r>
        <w:rPr>
          <w:rFonts w:ascii="Times New Roman" w:hAnsi="Times New Roman"/>
          <w:color w:val="000000"/>
          <w:sz w:val="24"/>
          <w:szCs w:val="24"/>
          <w:u w:val="single"/>
        </w:rPr>
        <w:t xml:space="preserve">     </w:t>
      </w:r>
      <w:r>
        <w:rPr>
          <w:rFonts w:ascii="Times New Roman" w:hAnsi="Times New Roman"/>
          <w:color w:val="000000"/>
          <w:sz w:val="24"/>
          <w:szCs w:val="24"/>
          <w:u w:val="single"/>
        </w:rPr>
        <w:tab/>
        <w:t xml:space="preserve"> </w:t>
      </w:r>
    </w:p>
    <w:p w:rsidR="0061611E" w:rsidRDefault="003E6DD7">
      <w:pPr>
        <w:spacing w:after="0"/>
        <w:ind w:left="3600" w:right="-35"/>
        <w:rPr>
          <w:rFonts w:ascii="Times New Roman" w:hAnsi="Times New Roman"/>
          <w:color w:val="000000"/>
          <w:sz w:val="24"/>
          <w:szCs w:val="24"/>
        </w:rPr>
      </w:pPr>
      <w:r>
        <w:rPr>
          <w:rFonts w:ascii="Times New Roman" w:hAnsi="Times New Roman"/>
          <w:color w:val="000000"/>
          <w:sz w:val="24"/>
          <w:szCs w:val="24"/>
        </w:rPr>
        <w:tab/>
      </w:r>
      <w:r w:rsidR="001805EA">
        <w:rPr>
          <w:rFonts w:ascii="Times New Roman" w:hAnsi="Times New Roman"/>
          <w:color w:val="000000"/>
          <w:sz w:val="24"/>
          <w:szCs w:val="24"/>
        </w:rPr>
        <w:t>Joseph M. Clark</w:t>
      </w:r>
    </w:p>
    <w:p w:rsidR="0061611E" w:rsidRDefault="0061611E">
      <w:pPr>
        <w:ind w:right="-36"/>
      </w:pPr>
    </w:p>
    <w:p w:rsidR="0028593C" w:rsidRPr="008D6673" w:rsidRDefault="0028593C" w:rsidP="00CE44D6">
      <w:pPr>
        <w:spacing w:after="0" w:line="240" w:lineRule="auto"/>
        <w:rPr>
          <w:rFonts w:ascii="Times New Roman" w:hAnsi="Times New Roman"/>
          <w:sz w:val="24"/>
          <w:szCs w:val="24"/>
        </w:rPr>
      </w:pPr>
      <w:r w:rsidRPr="008D6673">
        <w:rPr>
          <w:rFonts w:ascii="Times New Roman" w:hAnsi="Times New Roman"/>
          <w:sz w:val="24"/>
          <w:szCs w:val="24"/>
        </w:rPr>
        <w:t xml:space="preserve">Stephen B. </w:t>
      </w:r>
      <w:proofErr w:type="spellStart"/>
      <w:r w:rsidRPr="008D6673">
        <w:rPr>
          <w:rFonts w:ascii="Times New Roman" w:hAnsi="Times New Roman"/>
          <w:sz w:val="24"/>
          <w:szCs w:val="24"/>
        </w:rPr>
        <w:t>Seiple</w:t>
      </w:r>
      <w:proofErr w:type="spellEnd"/>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t>Stephen Reilly</w:t>
      </w:r>
    </w:p>
    <w:p w:rsidR="0028593C" w:rsidRPr="008D6673" w:rsidRDefault="0028593C" w:rsidP="00CE44D6">
      <w:pPr>
        <w:spacing w:after="0" w:line="240" w:lineRule="auto"/>
        <w:rPr>
          <w:rFonts w:ascii="Times New Roman" w:hAnsi="Times New Roman"/>
          <w:sz w:val="24"/>
          <w:szCs w:val="24"/>
        </w:rPr>
      </w:pPr>
      <w:r w:rsidRPr="008D6673">
        <w:rPr>
          <w:rFonts w:ascii="Times New Roman" w:hAnsi="Times New Roman"/>
          <w:sz w:val="24"/>
          <w:szCs w:val="24"/>
        </w:rPr>
        <w:t>Brooke E. Leslie</w:t>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t>Office of the Ohio Attorney General</w:t>
      </w:r>
    </w:p>
    <w:p w:rsidR="0028593C" w:rsidRPr="008D6673" w:rsidRDefault="0028593C" w:rsidP="00CE44D6">
      <w:pPr>
        <w:spacing w:after="0" w:line="240" w:lineRule="auto"/>
        <w:rPr>
          <w:rFonts w:ascii="Times New Roman" w:hAnsi="Times New Roman"/>
          <w:sz w:val="24"/>
          <w:szCs w:val="24"/>
        </w:rPr>
      </w:pPr>
      <w:proofErr w:type="gramStart"/>
      <w:r w:rsidRPr="008D6673">
        <w:rPr>
          <w:rFonts w:ascii="Times New Roman" w:hAnsi="Times New Roman"/>
          <w:sz w:val="24"/>
          <w:szCs w:val="24"/>
        </w:rPr>
        <w:t>Columbia Gas of Ohio, Inc.</w:t>
      </w:r>
      <w:proofErr w:type="gramEnd"/>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t>Public Utilities Section</w:t>
      </w:r>
    </w:p>
    <w:p w:rsidR="0028593C" w:rsidRPr="008D6673" w:rsidRDefault="0028593C" w:rsidP="00CE44D6">
      <w:pPr>
        <w:spacing w:after="0" w:line="240" w:lineRule="auto"/>
        <w:rPr>
          <w:rFonts w:ascii="Times New Roman" w:hAnsi="Times New Roman"/>
          <w:sz w:val="24"/>
          <w:szCs w:val="24"/>
        </w:rPr>
      </w:pPr>
      <w:r w:rsidRPr="008D6673">
        <w:rPr>
          <w:rFonts w:ascii="Times New Roman" w:hAnsi="Times New Roman"/>
          <w:sz w:val="24"/>
          <w:szCs w:val="24"/>
        </w:rPr>
        <w:t>200 Civic Center Drive</w:t>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t>180 East Broad Street, 6</w:t>
      </w:r>
      <w:r w:rsidRPr="008D6673">
        <w:rPr>
          <w:rFonts w:ascii="Times New Roman" w:hAnsi="Times New Roman"/>
          <w:sz w:val="24"/>
          <w:szCs w:val="24"/>
          <w:vertAlign w:val="superscript"/>
        </w:rPr>
        <w:t>th</w:t>
      </w:r>
      <w:r w:rsidRPr="008D6673">
        <w:rPr>
          <w:rFonts w:ascii="Times New Roman" w:hAnsi="Times New Roman"/>
          <w:sz w:val="24"/>
          <w:szCs w:val="24"/>
        </w:rPr>
        <w:t xml:space="preserve"> Floor</w:t>
      </w:r>
    </w:p>
    <w:p w:rsidR="0028593C" w:rsidRPr="008D6673" w:rsidRDefault="0028593C" w:rsidP="00CE44D6">
      <w:pPr>
        <w:spacing w:after="0" w:line="240" w:lineRule="auto"/>
        <w:rPr>
          <w:rFonts w:ascii="Times New Roman" w:hAnsi="Times New Roman"/>
          <w:sz w:val="24"/>
          <w:szCs w:val="24"/>
        </w:rPr>
      </w:pPr>
      <w:r w:rsidRPr="008D6673">
        <w:rPr>
          <w:rFonts w:ascii="Times New Roman" w:hAnsi="Times New Roman"/>
          <w:sz w:val="24"/>
          <w:szCs w:val="24"/>
        </w:rPr>
        <w:t>P.O. Box 117</w:t>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t>Columbus, Ohio 43215</w:t>
      </w:r>
    </w:p>
    <w:p w:rsidR="0028593C" w:rsidRPr="008D6673" w:rsidRDefault="0028593C" w:rsidP="00CE44D6">
      <w:pPr>
        <w:spacing w:after="0" w:line="240" w:lineRule="auto"/>
        <w:rPr>
          <w:rFonts w:ascii="Times New Roman" w:hAnsi="Times New Roman"/>
          <w:sz w:val="24"/>
          <w:szCs w:val="24"/>
        </w:rPr>
      </w:pPr>
      <w:r w:rsidRPr="008D6673">
        <w:rPr>
          <w:rFonts w:ascii="Times New Roman" w:hAnsi="Times New Roman"/>
          <w:sz w:val="24"/>
          <w:szCs w:val="24"/>
        </w:rPr>
        <w:t>Columbus, Ohio 43216-0117</w:t>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hyperlink r:id="rId15" w:history="1">
        <w:r w:rsidRPr="008D6673">
          <w:rPr>
            <w:rStyle w:val="Hyperlink"/>
            <w:rFonts w:ascii="Times New Roman" w:hAnsi="Times New Roman"/>
            <w:sz w:val="24"/>
            <w:szCs w:val="24"/>
          </w:rPr>
          <w:t>stephen.reilly@puc.state.oh.us</w:t>
        </w:r>
      </w:hyperlink>
    </w:p>
    <w:p w:rsidR="0028593C" w:rsidRPr="008D6673" w:rsidRDefault="003E4DD1" w:rsidP="00CE44D6">
      <w:pPr>
        <w:spacing w:after="0" w:line="240" w:lineRule="auto"/>
        <w:rPr>
          <w:rFonts w:ascii="Times New Roman" w:hAnsi="Times New Roman"/>
          <w:sz w:val="24"/>
          <w:szCs w:val="24"/>
        </w:rPr>
      </w:pPr>
      <w:hyperlink r:id="rId16" w:history="1">
        <w:r w:rsidR="0028593C" w:rsidRPr="008D6673">
          <w:rPr>
            <w:rStyle w:val="Hyperlink"/>
            <w:rFonts w:ascii="Times New Roman" w:hAnsi="Times New Roman"/>
            <w:sz w:val="24"/>
            <w:szCs w:val="24"/>
          </w:rPr>
          <w:t>sseiple@nisource.com</w:t>
        </w:r>
      </w:hyperlink>
    </w:p>
    <w:p w:rsidR="0028593C" w:rsidRPr="008D6673" w:rsidRDefault="003E4DD1" w:rsidP="00CE44D6">
      <w:pPr>
        <w:spacing w:after="0" w:line="240" w:lineRule="auto"/>
        <w:rPr>
          <w:rFonts w:ascii="Times New Roman" w:hAnsi="Times New Roman"/>
          <w:sz w:val="24"/>
          <w:szCs w:val="24"/>
        </w:rPr>
      </w:pPr>
      <w:hyperlink r:id="rId17" w:history="1">
        <w:r w:rsidR="0028593C" w:rsidRPr="008D6673">
          <w:rPr>
            <w:rStyle w:val="Hyperlink"/>
            <w:rFonts w:ascii="Times New Roman" w:hAnsi="Times New Roman"/>
            <w:sz w:val="24"/>
            <w:szCs w:val="24"/>
          </w:rPr>
          <w:t>bleslie@nisource.com</w:t>
        </w:r>
      </w:hyperlink>
      <w:r w:rsidR="0028593C" w:rsidRPr="008D6673">
        <w:rPr>
          <w:rFonts w:ascii="Times New Roman" w:hAnsi="Times New Roman"/>
          <w:sz w:val="24"/>
          <w:szCs w:val="24"/>
        </w:rPr>
        <w:tab/>
      </w:r>
      <w:r w:rsidR="0028593C" w:rsidRPr="008D6673">
        <w:rPr>
          <w:rFonts w:ascii="Times New Roman" w:hAnsi="Times New Roman"/>
          <w:sz w:val="24"/>
          <w:szCs w:val="24"/>
        </w:rPr>
        <w:tab/>
      </w:r>
      <w:r w:rsidR="0028593C" w:rsidRPr="008D6673">
        <w:rPr>
          <w:rFonts w:ascii="Times New Roman" w:hAnsi="Times New Roman"/>
          <w:sz w:val="24"/>
          <w:szCs w:val="24"/>
        </w:rPr>
        <w:tab/>
      </w:r>
      <w:r w:rsidR="0028593C" w:rsidRPr="008D6673">
        <w:rPr>
          <w:rFonts w:ascii="Times New Roman" w:hAnsi="Times New Roman"/>
          <w:sz w:val="24"/>
          <w:szCs w:val="24"/>
        </w:rPr>
        <w:tab/>
        <w:t>Attorney for</w:t>
      </w:r>
    </w:p>
    <w:p w:rsidR="0028593C" w:rsidRPr="008D6673" w:rsidRDefault="0028593C" w:rsidP="00CE44D6">
      <w:pPr>
        <w:spacing w:after="0" w:line="240" w:lineRule="auto"/>
        <w:ind w:left="4320"/>
        <w:rPr>
          <w:rFonts w:ascii="Times New Roman" w:hAnsi="Times New Roman"/>
          <w:sz w:val="24"/>
          <w:szCs w:val="24"/>
        </w:rPr>
      </w:pPr>
      <w:r w:rsidRPr="008D6673">
        <w:rPr>
          <w:rFonts w:ascii="Times New Roman" w:hAnsi="Times New Roman"/>
          <w:sz w:val="24"/>
          <w:szCs w:val="24"/>
        </w:rPr>
        <w:t>STAFF OF THE PUBLIC UTILITIES COMMISSION OF OHIO</w:t>
      </w:r>
    </w:p>
    <w:p w:rsidR="0028593C" w:rsidRPr="008D6673" w:rsidRDefault="0028593C" w:rsidP="00CE44D6">
      <w:pPr>
        <w:spacing w:after="0" w:line="240" w:lineRule="auto"/>
        <w:rPr>
          <w:rFonts w:ascii="Times New Roman" w:hAnsi="Times New Roman"/>
          <w:sz w:val="24"/>
          <w:szCs w:val="24"/>
        </w:rPr>
      </w:pPr>
      <w:r w:rsidRPr="008D6673">
        <w:rPr>
          <w:rFonts w:ascii="Times New Roman" w:hAnsi="Times New Roman"/>
          <w:sz w:val="24"/>
          <w:szCs w:val="24"/>
        </w:rPr>
        <w:t>Daniel R. Conway</w:t>
      </w:r>
    </w:p>
    <w:p w:rsidR="0028593C" w:rsidRPr="008D6673" w:rsidRDefault="0028593C" w:rsidP="00CE44D6">
      <w:pPr>
        <w:spacing w:after="0" w:line="240" w:lineRule="auto"/>
        <w:rPr>
          <w:rFonts w:ascii="Times New Roman" w:hAnsi="Times New Roman"/>
          <w:sz w:val="24"/>
          <w:szCs w:val="24"/>
        </w:rPr>
      </w:pPr>
      <w:r w:rsidRPr="008D6673">
        <w:rPr>
          <w:rFonts w:ascii="Times New Roman" w:hAnsi="Times New Roman"/>
          <w:sz w:val="24"/>
          <w:szCs w:val="24"/>
        </w:rPr>
        <w:t>Eric B. Gallon</w:t>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t>M. Howard Petricoff</w:t>
      </w:r>
    </w:p>
    <w:p w:rsidR="0028593C" w:rsidRPr="008D6673" w:rsidRDefault="0028593C" w:rsidP="00CE44D6">
      <w:pPr>
        <w:spacing w:after="0" w:line="240" w:lineRule="auto"/>
        <w:rPr>
          <w:rFonts w:ascii="Times New Roman" w:hAnsi="Times New Roman"/>
          <w:sz w:val="24"/>
          <w:szCs w:val="24"/>
        </w:rPr>
      </w:pPr>
      <w:r w:rsidRPr="008D6673">
        <w:rPr>
          <w:rFonts w:ascii="Times New Roman" w:hAnsi="Times New Roman"/>
          <w:sz w:val="24"/>
          <w:szCs w:val="24"/>
        </w:rPr>
        <w:t>Porter Wright Morris &amp;Arthur LLP</w:t>
      </w:r>
      <w:r w:rsidRPr="008D6673">
        <w:rPr>
          <w:rFonts w:ascii="Times New Roman" w:hAnsi="Times New Roman"/>
          <w:sz w:val="24"/>
          <w:szCs w:val="24"/>
        </w:rPr>
        <w:tab/>
      </w:r>
      <w:r w:rsidRPr="008D6673">
        <w:rPr>
          <w:rFonts w:ascii="Times New Roman" w:hAnsi="Times New Roman"/>
          <w:sz w:val="24"/>
          <w:szCs w:val="24"/>
        </w:rPr>
        <w:tab/>
      </w:r>
      <w:proofErr w:type="spellStart"/>
      <w:r w:rsidRPr="008D6673">
        <w:rPr>
          <w:rFonts w:ascii="Times New Roman" w:hAnsi="Times New Roman"/>
          <w:sz w:val="24"/>
          <w:szCs w:val="24"/>
        </w:rPr>
        <w:t>Vorys</w:t>
      </w:r>
      <w:proofErr w:type="spellEnd"/>
      <w:r w:rsidRPr="008D6673">
        <w:rPr>
          <w:rFonts w:ascii="Times New Roman" w:hAnsi="Times New Roman"/>
          <w:sz w:val="24"/>
          <w:szCs w:val="24"/>
        </w:rPr>
        <w:t xml:space="preserve">, </w:t>
      </w:r>
      <w:proofErr w:type="spellStart"/>
      <w:r w:rsidRPr="008D6673">
        <w:rPr>
          <w:rFonts w:ascii="Times New Roman" w:hAnsi="Times New Roman"/>
          <w:sz w:val="24"/>
          <w:szCs w:val="24"/>
        </w:rPr>
        <w:t>Sater</w:t>
      </w:r>
      <w:proofErr w:type="spellEnd"/>
      <w:r w:rsidRPr="008D6673">
        <w:rPr>
          <w:rFonts w:ascii="Times New Roman" w:hAnsi="Times New Roman"/>
          <w:sz w:val="24"/>
          <w:szCs w:val="24"/>
        </w:rPr>
        <w:t>, Seymour and Pease, LLP</w:t>
      </w:r>
    </w:p>
    <w:p w:rsidR="0028593C" w:rsidRPr="008D6673" w:rsidRDefault="0028593C" w:rsidP="00CE44D6">
      <w:pPr>
        <w:spacing w:after="0" w:line="240" w:lineRule="auto"/>
        <w:rPr>
          <w:rFonts w:ascii="Times New Roman" w:hAnsi="Times New Roman"/>
          <w:sz w:val="24"/>
          <w:szCs w:val="24"/>
        </w:rPr>
      </w:pPr>
      <w:r w:rsidRPr="008D6673">
        <w:rPr>
          <w:rFonts w:ascii="Times New Roman" w:hAnsi="Times New Roman"/>
          <w:sz w:val="24"/>
          <w:szCs w:val="24"/>
        </w:rPr>
        <w:t>Huntington Center</w:t>
      </w:r>
      <w:proofErr w:type="gramStart"/>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t>52 East Gay Street</w:t>
      </w:r>
      <w:proofErr w:type="gramEnd"/>
    </w:p>
    <w:p w:rsidR="0028593C" w:rsidRPr="008D6673" w:rsidRDefault="0028593C" w:rsidP="00CE44D6">
      <w:pPr>
        <w:spacing w:after="0" w:line="240" w:lineRule="auto"/>
        <w:rPr>
          <w:rFonts w:ascii="Times New Roman" w:hAnsi="Times New Roman"/>
          <w:sz w:val="24"/>
          <w:szCs w:val="24"/>
        </w:rPr>
      </w:pPr>
      <w:r w:rsidRPr="008D6673">
        <w:rPr>
          <w:rFonts w:ascii="Times New Roman" w:hAnsi="Times New Roman"/>
          <w:sz w:val="24"/>
          <w:szCs w:val="24"/>
        </w:rPr>
        <w:t>41 South High Street</w:t>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t>P.O. Box 1008</w:t>
      </w:r>
      <w:r w:rsidRPr="008D6673">
        <w:rPr>
          <w:rFonts w:ascii="Times New Roman" w:hAnsi="Times New Roman"/>
          <w:sz w:val="24"/>
          <w:szCs w:val="24"/>
        </w:rPr>
        <w:tab/>
      </w:r>
    </w:p>
    <w:p w:rsidR="0028593C" w:rsidRPr="008D6673" w:rsidRDefault="0028593C" w:rsidP="00CE44D6">
      <w:pPr>
        <w:spacing w:after="0" w:line="240" w:lineRule="auto"/>
        <w:rPr>
          <w:rFonts w:ascii="Times New Roman" w:hAnsi="Times New Roman"/>
          <w:sz w:val="24"/>
          <w:szCs w:val="24"/>
        </w:rPr>
      </w:pPr>
      <w:r w:rsidRPr="008D6673">
        <w:rPr>
          <w:rFonts w:ascii="Times New Roman" w:hAnsi="Times New Roman"/>
          <w:sz w:val="24"/>
          <w:szCs w:val="24"/>
        </w:rPr>
        <w:t>Columbus, Ohio 43215</w:t>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t>Columbus, OH 43216-1008</w:t>
      </w:r>
    </w:p>
    <w:p w:rsidR="0028593C" w:rsidRPr="008D6673" w:rsidRDefault="003E4DD1" w:rsidP="00CE44D6">
      <w:pPr>
        <w:spacing w:after="0" w:line="240" w:lineRule="auto"/>
        <w:rPr>
          <w:rFonts w:ascii="Times New Roman" w:hAnsi="Times New Roman"/>
          <w:sz w:val="24"/>
          <w:szCs w:val="24"/>
        </w:rPr>
      </w:pPr>
      <w:hyperlink r:id="rId18" w:history="1">
        <w:r w:rsidR="0028593C" w:rsidRPr="008D6673">
          <w:rPr>
            <w:rStyle w:val="Hyperlink"/>
            <w:rFonts w:ascii="Times New Roman" w:hAnsi="Times New Roman"/>
            <w:sz w:val="24"/>
            <w:szCs w:val="24"/>
          </w:rPr>
          <w:t>dconway@porterwright.com</w:t>
        </w:r>
      </w:hyperlink>
      <w:r w:rsidR="0028593C" w:rsidRPr="008D6673">
        <w:rPr>
          <w:rFonts w:ascii="Times New Roman" w:hAnsi="Times New Roman"/>
          <w:sz w:val="24"/>
          <w:szCs w:val="24"/>
        </w:rPr>
        <w:tab/>
      </w:r>
      <w:r w:rsidR="0028593C" w:rsidRPr="008D6673">
        <w:rPr>
          <w:rFonts w:ascii="Times New Roman" w:hAnsi="Times New Roman"/>
          <w:sz w:val="24"/>
          <w:szCs w:val="24"/>
        </w:rPr>
        <w:tab/>
      </w:r>
      <w:r w:rsidR="0028593C" w:rsidRPr="008D6673">
        <w:rPr>
          <w:rFonts w:ascii="Times New Roman" w:hAnsi="Times New Roman"/>
          <w:sz w:val="24"/>
          <w:szCs w:val="24"/>
        </w:rPr>
        <w:tab/>
      </w:r>
      <w:hyperlink r:id="rId19" w:history="1">
        <w:r w:rsidR="0028593C" w:rsidRPr="008D6673">
          <w:rPr>
            <w:rStyle w:val="Hyperlink"/>
            <w:rFonts w:ascii="Times New Roman" w:hAnsi="Times New Roman"/>
            <w:sz w:val="24"/>
            <w:szCs w:val="24"/>
          </w:rPr>
          <w:t>mhpetricoff@vorys.com</w:t>
        </w:r>
      </w:hyperlink>
    </w:p>
    <w:p w:rsidR="0028593C" w:rsidRPr="008D6673" w:rsidRDefault="003E4DD1" w:rsidP="00CE44D6">
      <w:pPr>
        <w:spacing w:after="0" w:line="240" w:lineRule="auto"/>
        <w:rPr>
          <w:rFonts w:ascii="Times New Roman" w:hAnsi="Times New Roman"/>
          <w:sz w:val="24"/>
          <w:szCs w:val="24"/>
        </w:rPr>
      </w:pPr>
      <w:hyperlink r:id="rId20" w:history="1">
        <w:r w:rsidR="0028593C" w:rsidRPr="008D6673">
          <w:rPr>
            <w:rStyle w:val="Hyperlink"/>
            <w:rFonts w:ascii="Times New Roman" w:hAnsi="Times New Roman"/>
            <w:sz w:val="24"/>
            <w:szCs w:val="24"/>
          </w:rPr>
          <w:t>egallon@porterwright.com</w:t>
        </w:r>
      </w:hyperlink>
    </w:p>
    <w:p w:rsidR="0028593C" w:rsidRPr="008D6673" w:rsidRDefault="0028593C" w:rsidP="00CE44D6">
      <w:pPr>
        <w:spacing w:after="0" w:line="240" w:lineRule="auto"/>
        <w:rPr>
          <w:rFonts w:ascii="Times New Roman" w:hAnsi="Times New Roman"/>
          <w:sz w:val="24"/>
          <w:szCs w:val="24"/>
        </w:rPr>
      </w:pP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t>Attorney for</w:t>
      </w:r>
      <w:r w:rsidRPr="008D6673">
        <w:rPr>
          <w:rFonts w:ascii="Times New Roman" w:hAnsi="Times New Roman"/>
          <w:sz w:val="24"/>
          <w:szCs w:val="24"/>
        </w:rPr>
        <w:tab/>
      </w:r>
    </w:p>
    <w:p w:rsidR="0028593C" w:rsidRPr="008D6673" w:rsidRDefault="0028593C" w:rsidP="00CE44D6">
      <w:pPr>
        <w:spacing w:after="0" w:line="240" w:lineRule="auto"/>
        <w:ind w:left="4320" w:hanging="4320"/>
        <w:rPr>
          <w:rFonts w:ascii="Times New Roman" w:hAnsi="Times New Roman"/>
          <w:sz w:val="24"/>
          <w:szCs w:val="24"/>
        </w:rPr>
      </w:pPr>
      <w:r w:rsidRPr="008D6673">
        <w:rPr>
          <w:rFonts w:ascii="Times New Roman" w:hAnsi="Times New Roman"/>
          <w:sz w:val="24"/>
          <w:szCs w:val="24"/>
        </w:rPr>
        <w:t xml:space="preserve">Attorneys for </w:t>
      </w:r>
      <w:r w:rsidRPr="008D6673">
        <w:rPr>
          <w:rFonts w:ascii="Times New Roman" w:hAnsi="Times New Roman"/>
          <w:sz w:val="24"/>
          <w:szCs w:val="24"/>
        </w:rPr>
        <w:tab/>
        <w:t xml:space="preserve">OHIO GAS MARKETERS GROUP, RETAIL </w:t>
      </w:r>
    </w:p>
    <w:p w:rsidR="0028593C" w:rsidRPr="008D6673" w:rsidRDefault="0028593C" w:rsidP="00CE44D6">
      <w:pPr>
        <w:spacing w:after="0" w:line="240" w:lineRule="auto"/>
        <w:ind w:left="4320" w:hanging="4320"/>
        <w:rPr>
          <w:rFonts w:ascii="Times New Roman" w:hAnsi="Times New Roman"/>
          <w:sz w:val="24"/>
          <w:szCs w:val="24"/>
        </w:rPr>
      </w:pPr>
      <w:r w:rsidRPr="008D6673">
        <w:rPr>
          <w:rFonts w:ascii="Times New Roman" w:hAnsi="Times New Roman"/>
          <w:sz w:val="24"/>
          <w:szCs w:val="24"/>
        </w:rPr>
        <w:t>COLUMBIA GAS OF OHIO, INC</w:t>
      </w:r>
      <w:r w:rsidRPr="008D6673">
        <w:rPr>
          <w:rFonts w:ascii="Times New Roman" w:hAnsi="Times New Roman"/>
          <w:sz w:val="24"/>
          <w:szCs w:val="24"/>
        </w:rPr>
        <w:tab/>
        <w:t>ENERGY SUPPLY ASSOCIATION</w:t>
      </w:r>
    </w:p>
    <w:p w:rsidR="0028593C" w:rsidRPr="008D6673" w:rsidRDefault="0028593C" w:rsidP="00CE44D6">
      <w:pPr>
        <w:spacing w:after="0" w:line="240" w:lineRule="auto"/>
        <w:rPr>
          <w:rFonts w:ascii="Times New Roman" w:hAnsi="Times New Roman"/>
          <w:sz w:val="24"/>
          <w:szCs w:val="24"/>
        </w:rPr>
      </w:pPr>
    </w:p>
    <w:p w:rsidR="0028593C" w:rsidRPr="008D6673" w:rsidRDefault="0028593C" w:rsidP="00CE44D6">
      <w:pPr>
        <w:spacing w:after="0" w:line="240" w:lineRule="auto"/>
        <w:rPr>
          <w:rFonts w:ascii="Times New Roman" w:hAnsi="Times New Roman"/>
          <w:sz w:val="24"/>
          <w:szCs w:val="24"/>
        </w:rPr>
      </w:pPr>
      <w:r w:rsidRPr="008D6673">
        <w:rPr>
          <w:rFonts w:ascii="Times New Roman" w:hAnsi="Times New Roman"/>
          <w:sz w:val="24"/>
          <w:szCs w:val="24"/>
        </w:rPr>
        <w:t xml:space="preserve">Joseph P. </w:t>
      </w:r>
      <w:proofErr w:type="spellStart"/>
      <w:r w:rsidRPr="008D6673">
        <w:rPr>
          <w:rFonts w:ascii="Times New Roman" w:hAnsi="Times New Roman"/>
          <w:sz w:val="24"/>
          <w:szCs w:val="24"/>
        </w:rPr>
        <w:t>Serio</w:t>
      </w:r>
      <w:proofErr w:type="spellEnd"/>
      <w:r w:rsidRPr="008D6673">
        <w:rPr>
          <w:rFonts w:ascii="Times New Roman" w:hAnsi="Times New Roman"/>
          <w:sz w:val="24"/>
          <w:szCs w:val="24"/>
        </w:rPr>
        <w:t xml:space="preserve"> </w:t>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t>Colleen L. Mooney</w:t>
      </w:r>
    </w:p>
    <w:p w:rsidR="0028593C" w:rsidRPr="008D6673" w:rsidRDefault="0028593C" w:rsidP="00CE44D6">
      <w:pPr>
        <w:spacing w:after="0" w:line="240" w:lineRule="auto"/>
        <w:rPr>
          <w:rFonts w:ascii="Times New Roman" w:hAnsi="Times New Roman"/>
          <w:sz w:val="24"/>
          <w:szCs w:val="24"/>
        </w:rPr>
      </w:pPr>
      <w:r w:rsidRPr="008D6673">
        <w:rPr>
          <w:rFonts w:ascii="Times New Roman" w:hAnsi="Times New Roman"/>
          <w:sz w:val="24"/>
          <w:szCs w:val="24"/>
        </w:rPr>
        <w:t>Larry S. Sauer</w:t>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t>Ohio Partners for Affordable Energy</w:t>
      </w:r>
    </w:p>
    <w:p w:rsidR="0028593C" w:rsidRPr="008D6673" w:rsidRDefault="0028593C" w:rsidP="00CE44D6">
      <w:pPr>
        <w:spacing w:after="0" w:line="240" w:lineRule="auto"/>
        <w:rPr>
          <w:rFonts w:ascii="Times New Roman" w:hAnsi="Times New Roman"/>
          <w:sz w:val="24"/>
          <w:szCs w:val="24"/>
        </w:rPr>
      </w:pPr>
      <w:r w:rsidRPr="008D6673">
        <w:rPr>
          <w:rFonts w:ascii="Times New Roman" w:hAnsi="Times New Roman"/>
          <w:sz w:val="24"/>
          <w:szCs w:val="24"/>
        </w:rPr>
        <w:t>Office of the Ohio Consumers’ Counsel</w:t>
      </w:r>
      <w:r w:rsidRPr="008D6673">
        <w:rPr>
          <w:rFonts w:ascii="Times New Roman" w:hAnsi="Times New Roman"/>
          <w:sz w:val="24"/>
          <w:szCs w:val="24"/>
        </w:rPr>
        <w:tab/>
        <w:t>231 West Lima Street</w:t>
      </w:r>
    </w:p>
    <w:p w:rsidR="0028593C" w:rsidRPr="008D6673" w:rsidRDefault="0028593C" w:rsidP="00CE44D6">
      <w:pPr>
        <w:spacing w:after="0" w:line="240" w:lineRule="auto"/>
        <w:rPr>
          <w:rFonts w:ascii="Times New Roman" w:hAnsi="Times New Roman"/>
          <w:sz w:val="24"/>
          <w:szCs w:val="24"/>
        </w:rPr>
      </w:pPr>
      <w:r w:rsidRPr="008D6673">
        <w:rPr>
          <w:rFonts w:ascii="Times New Roman" w:hAnsi="Times New Roman"/>
          <w:sz w:val="24"/>
          <w:szCs w:val="24"/>
        </w:rPr>
        <w:t>10 West Broad Street, Suite 1800</w:t>
      </w:r>
      <w:r w:rsidRPr="008D6673">
        <w:rPr>
          <w:rFonts w:ascii="Times New Roman" w:hAnsi="Times New Roman"/>
          <w:sz w:val="24"/>
          <w:szCs w:val="24"/>
        </w:rPr>
        <w:tab/>
      </w:r>
      <w:r w:rsidRPr="008D6673">
        <w:rPr>
          <w:rFonts w:ascii="Times New Roman" w:hAnsi="Times New Roman"/>
          <w:sz w:val="24"/>
          <w:szCs w:val="24"/>
        </w:rPr>
        <w:tab/>
        <w:t>P.O. Box 1793</w:t>
      </w:r>
    </w:p>
    <w:p w:rsidR="0028593C" w:rsidRPr="008D6673" w:rsidRDefault="0028593C" w:rsidP="00CE44D6">
      <w:pPr>
        <w:spacing w:after="0" w:line="240" w:lineRule="auto"/>
        <w:rPr>
          <w:rFonts w:ascii="Times New Roman" w:hAnsi="Times New Roman"/>
          <w:sz w:val="24"/>
          <w:szCs w:val="24"/>
        </w:rPr>
      </w:pPr>
      <w:r w:rsidRPr="008D6673">
        <w:rPr>
          <w:rFonts w:ascii="Times New Roman" w:hAnsi="Times New Roman"/>
          <w:sz w:val="24"/>
          <w:szCs w:val="24"/>
        </w:rPr>
        <w:t>Columbus, Ohio 43215</w:t>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t>Findlay, Ohio 45839-1793</w:t>
      </w:r>
    </w:p>
    <w:p w:rsidR="0028593C" w:rsidRPr="008D6673" w:rsidRDefault="003E4DD1" w:rsidP="00CE44D6">
      <w:pPr>
        <w:spacing w:after="0" w:line="240" w:lineRule="auto"/>
        <w:rPr>
          <w:rFonts w:ascii="Times New Roman" w:hAnsi="Times New Roman"/>
          <w:sz w:val="24"/>
          <w:szCs w:val="24"/>
        </w:rPr>
      </w:pPr>
      <w:hyperlink r:id="rId21" w:history="1">
        <w:r w:rsidR="0028593C" w:rsidRPr="008D6673">
          <w:rPr>
            <w:rStyle w:val="Hyperlink"/>
            <w:rFonts w:ascii="Times New Roman" w:hAnsi="Times New Roman"/>
            <w:sz w:val="24"/>
            <w:szCs w:val="24"/>
          </w:rPr>
          <w:t>serio@occ.state.oh.us</w:t>
        </w:r>
      </w:hyperlink>
      <w:r w:rsidR="0028593C" w:rsidRPr="008D6673">
        <w:rPr>
          <w:rFonts w:ascii="Times New Roman" w:hAnsi="Times New Roman"/>
          <w:sz w:val="24"/>
          <w:szCs w:val="24"/>
        </w:rPr>
        <w:t xml:space="preserve"> </w:t>
      </w:r>
      <w:r w:rsidR="0028593C" w:rsidRPr="008D6673">
        <w:rPr>
          <w:rFonts w:ascii="Times New Roman" w:hAnsi="Times New Roman"/>
          <w:sz w:val="24"/>
          <w:szCs w:val="24"/>
        </w:rPr>
        <w:tab/>
      </w:r>
      <w:r w:rsidR="0028593C" w:rsidRPr="008D6673">
        <w:rPr>
          <w:rFonts w:ascii="Times New Roman" w:hAnsi="Times New Roman"/>
          <w:sz w:val="24"/>
          <w:szCs w:val="24"/>
        </w:rPr>
        <w:tab/>
      </w:r>
      <w:r w:rsidR="0028593C" w:rsidRPr="008D6673">
        <w:rPr>
          <w:rFonts w:ascii="Times New Roman" w:hAnsi="Times New Roman"/>
          <w:sz w:val="24"/>
          <w:szCs w:val="24"/>
        </w:rPr>
        <w:tab/>
      </w:r>
      <w:r w:rsidR="0028593C" w:rsidRPr="008D6673">
        <w:rPr>
          <w:rFonts w:ascii="Times New Roman" w:hAnsi="Times New Roman"/>
          <w:sz w:val="24"/>
          <w:szCs w:val="24"/>
        </w:rPr>
        <w:tab/>
      </w:r>
      <w:hyperlink r:id="rId22" w:history="1">
        <w:r w:rsidR="0028593C" w:rsidRPr="008D6673">
          <w:rPr>
            <w:rStyle w:val="Hyperlink"/>
            <w:rFonts w:ascii="Times New Roman" w:hAnsi="Times New Roman"/>
            <w:sz w:val="24"/>
            <w:szCs w:val="24"/>
          </w:rPr>
          <w:t>cmooney2@columbus.rr.com</w:t>
        </w:r>
      </w:hyperlink>
    </w:p>
    <w:p w:rsidR="0028593C" w:rsidRPr="008D6673" w:rsidRDefault="003E4DD1" w:rsidP="00CE44D6">
      <w:pPr>
        <w:spacing w:after="0" w:line="240" w:lineRule="auto"/>
        <w:rPr>
          <w:rFonts w:ascii="Times New Roman" w:hAnsi="Times New Roman"/>
          <w:sz w:val="24"/>
          <w:szCs w:val="24"/>
        </w:rPr>
      </w:pPr>
      <w:hyperlink r:id="rId23" w:history="1">
        <w:r w:rsidR="0028593C" w:rsidRPr="008D6673">
          <w:rPr>
            <w:rStyle w:val="Hyperlink"/>
            <w:rFonts w:ascii="Times New Roman" w:hAnsi="Times New Roman"/>
            <w:sz w:val="24"/>
            <w:szCs w:val="24"/>
          </w:rPr>
          <w:t>sauer@occ.state.oh.us</w:t>
        </w:r>
      </w:hyperlink>
      <w:r w:rsidR="0028593C" w:rsidRPr="008D6673">
        <w:rPr>
          <w:rFonts w:ascii="Times New Roman" w:hAnsi="Times New Roman"/>
          <w:sz w:val="24"/>
          <w:szCs w:val="24"/>
        </w:rPr>
        <w:t xml:space="preserve"> </w:t>
      </w:r>
    </w:p>
    <w:p w:rsidR="0028593C" w:rsidRPr="008D6673" w:rsidRDefault="0028593C" w:rsidP="00CE44D6">
      <w:pPr>
        <w:spacing w:after="0" w:line="240" w:lineRule="auto"/>
        <w:rPr>
          <w:rFonts w:ascii="Times New Roman" w:hAnsi="Times New Roman"/>
          <w:sz w:val="24"/>
          <w:szCs w:val="24"/>
        </w:rPr>
      </w:pP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t>Attorney for</w:t>
      </w:r>
    </w:p>
    <w:p w:rsidR="0028593C" w:rsidRPr="008D6673" w:rsidRDefault="0028593C" w:rsidP="00CE44D6">
      <w:pPr>
        <w:spacing w:after="0" w:line="240" w:lineRule="auto"/>
        <w:rPr>
          <w:rFonts w:ascii="Times New Roman" w:hAnsi="Times New Roman"/>
          <w:sz w:val="24"/>
          <w:szCs w:val="24"/>
        </w:rPr>
      </w:pPr>
      <w:r w:rsidRPr="008D6673">
        <w:rPr>
          <w:rFonts w:ascii="Times New Roman" w:hAnsi="Times New Roman"/>
          <w:sz w:val="24"/>
          <w:szCs w:val="24"/>
        </w:rPr>
        <w:t xml:space="preserve">Attorneys for </w:t>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t>OHIO PARTNERS FOR AFFORDABLE</w:t>
      </w:r>
    </w:p>
    <w:p w:rsidR="0028593C" w:rsidRPr="008D6673" w:rsidRDefault="0028593C" w:rsidP="00CE44D6">
      <w:pPr>
        <w:spacing w:after="0" w:line="240" w:lineRule="auto"/>
        <w:rPr>
          <w:rFonts w:ascii="Times New Roman" w:hAnsi="Times New Roman"/>
          <w:sz w:val="24"/>
          <w:szCs w:val="24"/>
        </w:rPr>
      </w:pPr>
      <w:r w:rsidRPr="008D6673">
        <w:rPr>
          <w:rFonts w:ascii="Times New Roman" w:hAnsi="Times New Roman"/>
          <w:sz w:val="24"/>
          <w:szCs w:val="24"/>
        </w:rPr>
        <w:t>OFFICE OF THE OHIO CONSUMERS’</w:t>
      </w:r>
      <w:r w:rsidRPr="008D6673">
        <w:rPr>
          <w:rFonts w:ascii="Times New Roman" w:hAnsi="Times New Roman"/>
          <w:sz w:val="24"/>
          <w:szCs w:val="24"/>
        </w:rPr>
        <w:tab/>
        <w:t>ENERGY</w:t>
      </w:r>
    </w:p>
    <w:p w:rsidR="0028593C" w:rsidRPr="008D6673" w:rsidRDefault="0028593C" w:rsidP="00CE44D6">
      <w:pPr>
        <w:spacing w:after="0" w:line="240" w:lineRule="auto"/>
        <w:rPr>
          <w:rFonts w:ascii="Times New Roman" w:hAnsi="Times New Roman"/>
          <w:sz w:val="24"/>
          <w:szCs w:val="24"/>
        </w:rPr>
      </w:pPr>
      <w:r w:rsidRPr="008D6673">
        <w:rPr>
          <w:rFonts w:ascii="Times New Roman" w:hAnsi="Times New Roman"/>
          <w:sz w:val="24"/>
          <w:szCs w:val="24"/>
        </w:rPr>
        <w:t>COUNSEL</w:t>
      </w:r>
      <w:r w:rsidRPr="008D6673">
        <w:rPr>
          <w:rFonts w:ascii="Times New Roman" w:hAnsi="Times New Roman"/>
          <w:sz w:val="24"/>
          <w:szCs w:val="24"/>
        </w:rPr>
        <w:tab/>
      </w:r>
      <w:r w:rsidRPr="008D6673">
        <w:rPr>
          <w:rFonts w:ascii="Times New Roman" w:hAnsi="Times New Roman"/>
          <w:sz w:val="24"/>
          <w:szCs w:val="24"/>
        </w:rPr>
        <w:tab/>
      </w:r>
    </w:p>
    <w:p w:rsidR="0028593C" w:rsidRPr="008D6673" w:rsidRDefault="0028593C" w:rsidP="00CE44D6">
      <w:pPr>
        <w:spacing w:after="0" w:line="240" w:lineRule="auto"/>
        <w:rPr>
          <w:rFonts w:ascii="Times New Roman" w:hAnsi="Times New Roman"/>
          <w:sz w:val="24"/>
          <w:szCs w:val="24"/>
        </w:rPr>
      </w:pP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p>
    <w:p w:rsidR="0028593C" w:rsidRPr="008D6673" w:rsidRDefault="0028593C" w:rsidP="00CE44D6">
      <w:pPr>
        <w:spacing w:after="0" w:line="240" w:lineRule="auto"/>
        <w:rPr>
          <w:rFonts w:ascii="Times New Roman" w:hAnsi="Times New Roman"/>
          <w:sz w:val="24"/>
          <w:szCs w:val="24"/>
        </w:rPr>
      </w:pPr>
    </w:p>
    <w:p w:rsidR="00CE44D6" w:rsidRPr="008D6673" w:rsidRDefault="00CE44D6">
      <w:pPr>
        <w:spacing w:after="0" w:line="240" w:lineRule="auto"/>
        <w:rPr>
          <w:rFonts w:ascii="Times New Roman" w:hAnsi="Times New Roman"/>
          <w:sz w:val="24"/>
          <w:szCs w:val="24"/>
        </w:rPr>
      </w:pPr>
      <w:r w:rsidRPr="008D6673">
        <w:rPr>
          <w:rFonts w:ascii="Times New Roman" w:hAnsi="Times New Roman"/>
          <w:sz w:val="24"/>
          <w:szCs w:val="24"/>
        </w:rPr>
        <w:br w:type="page"/>
      </w:r>
    </w:p>
    <w:p w:rsidR="0028593C" w:rsidRPr="008D6673" w:rsidRDefault="0028593C" w:rsidP="00CE44D6">
      <w:pPr>
        <w:spacing w:after="0" w:line="240" w:lineRule="auto"/>
        <w:rPr>
          <w:rFonts w:ascii="Times New Roman" w:hAnsi="Times New Roman"/>
          <w:sz w:val="24"/>
          <w:szCs w:val="24"/>
        </w:rPr>
      </w:pPr>
      <w:proofErr w:type="gramStart"/>
      <w:r w:rsidRPr="008D6673">
        <w:rPr>
          <w:rFonts w:ascii="Times New Roman" w:hAnsi="Times New Roman"/>
          <w:sz w:val="24"/>
          <w:szCs w:val="24"/>
        </w:rPr>
        <w:lastRenderedPageBreak/>
        <w:t>Barth E. Royer</w:t>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t>Dane Stinson, Esq.</w:t>
      </w:r>
      <w:proofErr w:type="gramEnd"/>
      <w:r w:rsidRPr="008D6673">
        <w:rPr>
          <w:rFonts w:ascii="Times New Roman" w:hAnsi="Times New Roman"/>
          <w:sz w:val="24"/>
          <w:szCs w:val="24"/>
        </w:rPr>
        <w:tab/>
      </w:r>
      <w:r w:rsidRPr="008D6673">
        <w:rPr>
          <w:rFonts w:ascii="Times New Roman" w:hAnsi="Times New Roman"/>
          <w:sz w:val="24"/>
          <w:szCs w:val="24"/>
        </w:rPr>
        <w:tab/>
      </w:r>
    </w:p>
    <w:p w:rsidR="0028593C" w:rsidRPr="008D6673" w:rsidRDefault="0028593C" w:rsidP="00CE44D6">
      <w:pPr>
        <w:spacing w:after="0" w:line="240" w:lineRule="auto"/>
        <w:rPr>
          <w:rFonts w:ascii="Times New Roman" w:hAnsi="Times New Roman"/>
          <w:sz w:val="24"/>
          <w:szCs w:val="24"/>
        </w:rPr>
      </w:pPr>
      <w:r w:rsidRPr="008D6673">
        <w:rPr>
          <w:rFonts w:ascii="Times New Roman" w:hAnsi="Times New Roman"/>
          <w:sz w:val="24"/>
          <w:szCs w:val="24"/>
        </w:rPr>
        <w:t>Bell &amp; Royer Co., LPA</w:t>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t xml:space="preserve">Bailey </w:t>
      </w:r>
      <w:proofErr w:type="spellStart"/>
      <w:r w:rsidRPr="008D6673">
        <w:rPr>
          <w:rFonts w:ascii="Times New Roman" w:hAnsi="Times New Roman"/>
          <w:sz w:val="24"/>
          <w:szCs w:val="24"/>
        </w:rPr>
        <w:t>Cavalieri</w:t>
      </w:r>
      <w:proofErr w:type="spellEnd"/>
      <w:r w:rsidRPr="008D6673">
        <w:rPr>
          <w:rFonts w:ascii="Times New Roman" w:hAnsi="Times New Roman"/>
          <w:sz w:val="24"/>
          <w:szCs w:val="24"/>
        </w:rPr>
        <w:t xml:space="preserve"> LLC</w:t>
      </w:r>
    </w:p>
    <w:p w:rsidR="0028593C" w:rsidRPr="008D6673" w:rsidRDefault="0028593C" w:rsidP="00CE44D6">
      <w:pPr>
        <w:spacing w:after="0" w:line="240" w:lineRule="auto"/>
        <w:rPr>
          <w:rFonts w:ascii="Times New Roman" w:hAnsi="Times New Roman"/>
          <w:sz w:val="24"/>
          <w:szCs w:val="24"/>
        </w:rPr>
      </w:pPr>
      <w:r w:rsidRPr="008D6673">
        <w:rPr>
          <w:rFonts w:ascii="Times New Roman" w:hAnsi="Times New Roman"/>
          <w:sz w:val="24"/>
          <w:szCs w:val="24"/>
        </w:rPr>
        <w:t>33 South Grant Avenue</w:t>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t>10 West Broad Street, Suite 2100</w:t>
      </w:r>
    </w:p>
    <w:p w:rsidR="0028593C" w:rsidRPr="008D6673" w:rsidRDefault="0028593C" w:rsidP="00CE44D6">
      <w:pPr>
        <w:spacing w:after="0" w:line="240" w:lineRule="auto"/>
        <w:rPr>
          <w:rFonts w:ascii="Times New Roman" w:hAnsi="Times New Roman"/>
          <w:sz w:val="24"/>
          <w:szCs w:val="24"/>
        </w:rPr>
      </w:pPr>
      <w:r w:rsidRPr="008D6673">
        <w:rPr>
          <w:rFonts w:ascii="Times New Roman" w:hAnsi="Times New Roman"/>
          <w:sz w:val="24"/>
          <w:szCs w:val="24"/>
        </w:rPr>
        <w:t>Columbus, Ohio 43215-3900</w:t>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t>Columbus, Ohio 43215</w:t>
      </w:r>
    </w:p>
    <w:p w:rsidR="0028593C" w:rsidRPr="008D6673" w:rsidRDefault="003E4DD1" w:rsidP="00CE44D6">
      <w:pPr>
        <w:spacing w:after="0" w:line="240" w:lineRule="auto"/>
        <w:rPr>
          <w:rFonts w:ascii="Times New Roman" w:hAnsi="Times New Roman"/>
          <w:sz w:val="24"/>
          <w:szCs w:val="24"/>
        </w:rPr>
      </w:pPr>
      <w:hyperlink r:id="rId24" w:history="1">
        <w:r w:rsidR="0028593C" w:rsidRPr="008D6673">
          <w:rPr>
            <w:rStyle w:val="Hyperlink"/>
            <w:rFonts w:ascii="Times New Roman" w:hAnsi="Times New Roman"/>
            <w:sz w:val="24"/>
            <w:szCs w:val="24"/>
          </w:rPr>
          <w:t>barthroyer@aol.com</w:t>
        </w:r>
      </w:hyperlink>
      <w:r w:rsidR="0028593C" w:rsidRPr="008D6673">
        <w:rPr>
          <w:rFonts w:ascii="Times New Roman" w:hAnsi="Times New Roman"/>
          <w:sz w:val="24"/>
          <w:szCs w:val="24"/>
        </w:rPr>
        <w:tab/>
      </w:r>
      <w:r w:rsidR="0028593C" w:rsidRPr="008D6673">
        <w:rPr>
          <w:rFonts w:ascii="Times New Roman" w:hAnsi="Times New Roman"/>
          <w:sz w:val="24"/>
          <w:szCs w:val="24"/>
        </w:rPr>
        <w:tab/>
      </w:r>
      <w:r w:rsidR="0028593C" w:rsidRPr="008D6673">
        <w:rPr>
          <w:rFonts w:ascii="Times New Roman" w:hAnsi="Times New Roman"/>
          <w:sz w:val="24"/>
          <w:szCs w:val="24"/>
        </w:rPr>
        <w:tab/>
      </w:r>
      <w:r w:rsidR="0028593C" w:rsidRPr="008D6673">
        <w:rPr>
          <w:rFonts w:ascii="Times New Roman" w:hAnsi="Times New Roman"/>
          <w:sz w:val="24"/>
          <w:szCs w:val="24"/>
        </w:rPr>
        <w:tab/>
      </w:r>
      <w:hyperlink r:id="rId25" w:history="1">
        <w:r w:rsidR="0028593C" w:rsidRPr="008D6673">
          <w:rPr>
            <w:rStyle w:val="Hyperlink"/>
            <w:rFonts w:ascii="Times New Roman" w:hAnsi="Times New Roman"/>
            <w:sz w:val="24"/>
            <w:szCs w:val="24"/>
          </w:rPr>
          <w:t>Dane.Stinson@BaileyCavalieri.com</w:t>
        </w:r>
      </w:hyperlink>
    </w:p>
    <w:p w:rsidR="0028593C" w:rsidRPr="008D6673" w:rsidRDefault="0028593C" w:rsidP="00CE44D6">
      <w:pPr>
        <w:spacing w:after="0" w:line="240" w:lineRule="auto"/>
        <w:rPr>
          <w:rFonts w:ascii="Times New Roman" w:hAnsi="Times New Roman"/>
          <w:sz w:val="24"/>
          <w:szCs w:val="24"/>
        </w:rPr>
      </w:pPr>
    </w:p>
    <w:p w:rsidR="0028593C" w:rsidRPr="008D6673" w:rsidRDefault="0028593C" w:rsidP="00CE44D6">
      <w:pPr>
        <w:spacing w:after="0" w:line="240" w:lineRule="auto"/>
        <w:rPr>
          <w:rFonts w:ascii="Times New Roman" w:hAnsi="Times New Roman"/>
          <w:sz w:val="24"/>
          <w:szCs w:val="24"/>
        </w:rPr>
      </w:pPr>
      <w:r w:rsidRPr="008D6673">
        <w:rPr>
          <w:rFonts w:ascii="Times New Roman" w:hAnsi="Times New Roman"/>
          <w:sz w:val="24"/>
          <w:szCs w:val="24"/>
        </w:rPr>
        <w:t>Attorney for</w:t>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t>Attorney for</w:t>
      </w:r>
    </w:p>
    <w:p w:rsidR="0028593C" w:rsidRPr="008D6673" w:rsidRDefault="0028593C" w:rsidP="00CE44D6">
      <w:pPr>
        <w:spacing w:after="0" w:line="240" w:lineRule="auto"/>
        <w:rPr>
          <w:rFonts w:ascii="Times New Roman" w:hAnsi="Times New Roman"/>
          <w:sz w:val="24"/>
          <w:szCs w:val="24"/>
        </w:rPr>
      </w:pPr>
      <w:r w:rsidRPr="008D6673">
        <w:rPr>
          <w:rFonts w:ascii="Times New Roman" w:hAnsi="Times New Roman"/>
          <w:sz w:val="24"/>
          <w:szCs w:val="24"/>
        </w:rPr>
        <w:t>DOMINION RETAIL, INC.</w:t>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t>HESS CORPORATION</w:t>
      </w:r>
    </w:p>
    <w:p w:rsidR="0028593C" w:rsidRPr="008D6673" w:rsidRDefault="0028593C" w:rsidP="00CE44D6">
      <w:pPr>
        <w:spacing w:after="0" w:line="240" w:lineRule="auto"/>
        <w:rPr>
          <w:rFonts w:ascii="Times New Roman" w:hAnsi="Times New Roman"/>
          <w:sz w:val="24"/>
          <w:szCs w:val="24"/>
        </w:rPr>
      </w:pPr>
    </w:p>
    <w:p w:rsidR="0028593C" w:rsidRPr="008D6673" w:rsidRDefault="0028593C" w:rsidP="00CE44D6">
      <w:pPr>
        <w:spacing w:after="0" w:line="240" w:lineRule="auto"/>
        <w:contextualSpacing/>
        <w:rPr>
          <w:rFonts w:ascii="Times New Roman" w:hAnsi="Times New Roman"/>
          <w:sz w:val="24"/>
          <w:szCs w:val="24"/>
        </w:rPr>
      </w:pPr>
      <w:r w:rsidRPr="008D6673">
        <w:rPr>
          <w:rFonts w:ascii="Times New Roman" w:hAnsi="Times New Roman"/>
          <w:sz w:val="24"/>
          <w:szCs w:val="24"/>
        </w:rPr>
        <w:t>A. Brian McIntosh</w:t>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t xml:space="preserve">Glenn S. </w:t>
      </w:r>
      <w:proofErr w:type="spellStart"/>
      <w:r w:rsidRPr="008D6673">
        <w:rPr>
          <w:rFonts w:ascii="Times New Roman" w:hAnsi="Times New Roman"/>
          <w:sz w:val="24"/>
          <w:szCs w:val="24"/>
        </w:rPr>
        <w:t>Krassen</w:t>
      </w:r>
      <w:proofErr w:type="spellEnd"/>
    </w:p>
    <w:p w:rsidR="0028593C" w:rsidRPr="008D6673" w:rsidRDefault="0028593C" w:rsidP="00CE44D6">
      <w:pPr>
        <w:spacing w:after="0" w:line="240" w:lineRule="auto"/>
        <w:contextualSpacing/>
        <w:rPr>
          <w:rFonts w:ascii="Times New Roman" w:hAnsi="Times New Roman"/>
          <w:sz w:val="24"/>
          <w:szCs w:val="24"/>
        </w:rPr>
      </w:pPr>
      <w:r w:rsidRPr="008D6673">
        <w:rPr>
          <w:rFonts w:ascii="Times New Roman" w:hAnsi="Times New Roman"/>
          <w:sz w:val="24"/>
          <w:szCs w:val="24"/>
        </w:rPr>
        <w:t>McIntosh &amp; McIntosh</w:t>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t xml:space="preserve">Bricker &amp; </w:t>
      </w:r>
      <w:proofErr w:type="spellStart"/>
      <w:r w:rsidRPr="008D6673">
        <w:rPr>
          <w:rFonts w:ascii="Times New Roman" w:hAnsi="Times New Roman"/>
          <w:sz w:val="24"/>
          <w:szCs w:val="24"/>
        </w:rPr>
        <w:t>Eckler</w:t>
      </w:r>
      <w:proofErr w:type="spellEnd"/>
      <w:r w:rsidRPr="008D6673">
        <w:rPr>
          <w:rFonts w:ascii="Times New Roman" w:hAnsi="Times New Roman"/>
          <w:sz w:val="24"/>
          <w:szCs w:val="24"/>
        </w:rPr>
        <w:t xml:space="preserve"> LLP</w:t>
      </w:r>
    </w:p>
    <w:p w:rsidR="0028593C" w:rsidRPr="008D6673" w:rsidRDefault="0028593C" w:rsidP="00CE44D6">
      <w:pPr>
        <w:spacing w:after="0" w:line="240" w:lineRule="auto"/>
        <w:ind w:right="-36"/>
        <w:contextualSpacing/>
        <w:rPr>
          <w:rFonts w:ascii="Times New Roman" w:hAnsi="Times New Roman"/>
          <w:sz w:val="24"/>
          <w:szCs w:val="24"/>
        </w:rPr>
      </w:pPr>
      <w:r w:rsidRPr="008D6673">
        <w:rPr>
          <w:rFonts w:ascii="Times New Roman" w:hAnsi="Times New Roman"/>
          <w:sz w:val="24"/>
          <w:szCs w:val="24"/>
        </w:rPr>
        <w:t>1136 Saint Gregory Street, Suite 100</w:t>
      </w:r>
      <w:r w:rsidRPr="008D6673">
        <w:rPr>
          <w:rFonts w:ascii="Times New Roman" w:hAnsi="Times New Roman"/>
          <w:sz w:val="24"/>
          <w:szCs w:val="24"/>
        </w:rPr>
        <w:tab/>
      </w:r>
      <w:r w:rsidRPr="008D6673">
        <w:rPr>
          <w:rFonts w:ascii="Times New Roman" w:hAnsi="Times New Roman"/>
          <w:sz w:val="24"/>
          <w:szCs w:val="24"/>
        </w:rPr>
        <w:tab/>
        <w:t>1001 Lakeside Ave. East, Suite 1350</w:t>
      </w:r>
    </w:p>
    <w:p w:rsidR="0028593C" w:rsidRPr="008D6673" w:rsidRDefault="0028593C" w:rsidP="00CE44D6">
      <w:pPr>
        <w:spacing w:after="0" w:line="240" w:lineRule="auto"/>
        <w:ind w:right="-36"/>
        <w:contextualSpacing/>
        <w:rPr>
          <w:rFonts w:ascii="Times New Roman" w:hAnsi="Times New Roman"/>
          <w:sz w:val="24"/>
          <w:szCs w:val="24"/>
        </w:rPr>
      </w:pPr>
      <w:r w:rsidRPr="008D6673">
        <w:rPr>
          <w:rFonts w:ascii="Times New Roman" w:hAnsi="Times New Roman"/>
          <w:sz w:val="24"/>
          <w:szCs w:val="24"/>
        </w:rPr>
        <w:t>Cincinnati, Ohio 45202</w:t>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t>Cleveland, Ohio 44114</w:t>
      </w:r>
    </w:p>
    <w:p w:rsidR="0028593C" w:rsidRPr="008D6673" w:rsidRDefault="003E4DD1" w:rsidP="00CE44D6">
      <w:pPr>
        <w:spacing w:after="0" w:line="240" w:lineRule="auto"/>
        <w:ind w:right="-36"/>
        <w:contextualSpacing/>
        <w:rPr>
          <w:rFonts w:ascii="Times New Roman" w:hAnsi="Times New Roman"/>
          <w:sz w:val="24"/>
          <w:szCs w:val="24"/>
        </w:rPr>
      </w:pPr>
      <w:hyperlink r:id="rId26" w:history="1">
        <w:r w:rsidR="0028593C" w:rsidRPr="008D6673">
          <w:rPr>
            <w:rStyle w:val="Hyperlink"/>
            <w:rFonts w:ascii="Times New Roman" w:hAnsi="Times New Roman"/>
            <w:sz w:val="24"/>
            <w:szCs w:val="24"/>
          </w:rPr>
          <w:t>brian@mcintoshlaw.com</w:t>
        </w:r>
      </w:hyperlink>
      <w:r w:rsidR="0028593C" w:rsidRPr="008D6673">
        <w:rPr>
          <w:rFonts w:ascii="Times New Roman" w:hAnsi="Times New Roman"/>
          <w:sz w:val="24"/>
          <w:szCs w:val="24"/>
        </w:rPr>
        <w:tab/>
      </w:r>
      <w:r w:rsidR="0028593C" w:rsidRPr="008D6673">
        <w:rPr>
          <w:rFonts w:ascii="Times New Roman" w:hAnsi="Times New Roman"/>
          <w:sz w:val="24"/>
          <w:szCs w:val="24"/>
        </w:rPr>
        <w:tab/>
      </w:r>
      <w:r w:rsidR="0028593C" w:rsidRPr="008D6673">
        <w:rPr>
          <w:rFonts w:ascii="Times New Roman" w:hAnsi="Times New Roman"/>
          <w:sz w:val="24"/>
          <w:szCs w:val="24"/>
        </w:rPr>
        <w:tab/>
      </w:r>
      <w:hyperlink r:id="rId27" w:history="1">
        <w:r w:rsidR="0028593C" w:rsidRPr="008D6673">
          <w:rPr>
            <w:rStyle w:val="Hyperlink"/>
            <w:rFonts w:ascii="Times New Roman" w:hAnsi="Times New Roman"/>
            <w:sz w:val="24"/>
            <w:szCs w:val="24"/>
          </w:rPr>
          <w:t>gkrassen@bricker.com</w:t>
        </w:r>
      </w:hyperlink>
    </w:p>
    <w:p w:rsidR="0028593C" w:rsidRPr="008D6673" w:rsidRDefault="0028593C" w:rsidP="00CE44D6">
      <w:pPr>
        <w:spacing w:after="0" w:line="240" w:lineRule="auto"/>
        <w:ind w:right="-36"/>
        <w:contextualSpacing/>
        <w:rPr>
          <w:rFonts w:ascii="Times New Roman" w:hAnsi="Times New Roman"/>
          <w:sz w:val="24"/>
          <w:szCs w:val="24"/>
        </w:rPr>
      </w:pP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p>
    <w:p w:rsidR="0028593C" w:rsidRPr="008D6673" w:rsidRDefault="0028593C" w:rsidP="00CE44D6">
      <w:pPr>
        <w:spacing w:after="0" w:line="240" w:lineRule="auto"/>
        <w:ind w:right="-36"/>
        <w:contextualSpacing/>
        <w:rPr>
          <w:rFonts w:ascii="Times New Roman" w:hAnsi="Times New Roman"/>
          <w:sz w:val="24"/>
          <w:szCs w:val="24"/>
        </w:rPr>
      </w:pPr>
      <w:r w:rsidRPr="008D6673">
        <w:rPr>
          <w:rFonts w:ascii="Times New Roman" w:hAnsi="Times New Roman"/>
          <w:sz w:val="24"/>
          <w:szCs w:val="24"/>
        </w:rPr>
        <w:t xml:space="preserve">Attorney for </w:t>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t>Matthew W. Warnock</w:t>
      </w:r>
    </w:p>
    <w:p w:rsidR="0028593C" w:rsidRPr="008D6673" w:rsidRDefault="0028593C" w:rsidP="00CE44D6">
      <w:pPr>
        <w:spacing w:after="0" w:line="240" w:lineRule="auto"/>
        <w:ind w:right="-36"/>
        <w:contextualSpacing/>
        <w:rPr>
          <w:rFonts w:ascii="Times New Roman" w:hAnsi="Times New Roman"/>
          <w:sz w:val="24"/>
          <w:szCs w:val="24"/>
        </w:rPr>
      </w:pPr>
      <w:r w:rsidRPr="008D6673">
        <w:rPr>
          <w:rFonts w:ascii="Times New Roman" w:hAnsi="Times New Roman"/>
          <w:sz w:val="24"/>
          <w:szCs w:val="24"/>
        </w:rPr>
        <w:t>STAND ENERGY CORPORATION</w:t>
      </w:r>
      <w:r w:rsidRPr="008D6673">
        <w:rPr>
          <w:rFonts w:ascii="Times New Roman" w:hAnsi="Times New Roman"/>
          <w:sz w:val="24"/>
          <w:szCs w:val="24"/>
        </w:rPr>
        <w:tab/>
        <w:t xml:space="preserve">Bricker &amp; </w:t>
      </w:r>
      <w:proofErr w:type="spellStart"/>
      <w:r w:rsidRPr="008D6673">
        <w:rPr>
          <w:rFonts w:ascii="Times New Roman" w:hAnsi="Times New Roman"/>
          <w:sz w:val="24"/>
          <w:szCs w:val="24"/>
        </w:rPr>
        <w:t>Eckler</w:t>
      </w:r>
      <w:proofErr w:type="spellEnd"/>
    </w:p>
    <w:p w:rsidR="0028593C" w:rsidRPr="008D6673" w:rsidRDefault="0028593C" w:rsidP="00CE44D6">
      <w:pPr>
        <w:spacing w:after="0" w:line="240" w:lineRule="auto"/>
        <w:ind w:right="-36"/>
        <w:contextualSpacing/>
        <w:rPr>
          <w:rFonts w:ascii="Times New Roman" w:hAnsi="Times New Roman"/>
          <w:sz w:val="24"/>
          <w:szCs w:val="24"/>
        </w:rPr>
      </w:pP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t>100 S. Third Street</w:t>
      </w:r>
    </w:p>
    <w:p w:rsidR="0028593C" w:rsidRPr="008D6673" w:rsidRDefault="0028593C" w:rsidP="00CE44D6">
      <w:pPr>
        <w:spacing w:after="0" w:line="240" w:lineRule="auto"/>
        <w:ind w:right="-36"/>
        <w:contextualSpacing/>
        <w:rPr>
          <w:rFonts w:ascii="Times New Roman" w:hAnsi="Times New Roman"/>
          <w:sz w:val="24"/>
          <w:szCs w:val="24"/>
        </w:rPr>
      </w:pPr>
      <w:r w:rsidRPr="008D6673">
        <w:rPr>
          <w:rFonts w:ascii="Times New Roman" w:hAnsi="Times New Roman"/>
          <w:sz w:val="24"/>
          <w:szCs w:val="24"/>
        </w:rPr>
        <w:t>John L. Einstein, IV</w:t>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t>Columbus, Ohio 43215</w:t>
      </w:r>
    </w:p>
    <w:p w:rsidR="0028593C" w:rsidRPr="008D6673" w:rsidRDefault="0028593C" w:rsidP="00CE44D6">
      <w:pPr>
        <w:spacing w:after="0" w:line="240" w:lineRule="auto"/>
        <w:ind w:right="-36"/>
        <w:contextualSpacing/>
        <w:rPr>
          <w:rFonts w:ascii="Times New Roman" w:hAnsi="Times New Roman"/>
          <w:sz w:val="24"/>
          <w:szCs w:val="24"/>
        </w:rPr>
      </w:pPr>
      <w:r w:rsidRPr="008D6673">
        <w:rPr>
          <w:rFonts w:ascii="Times New Roman" w:hAnsi="Times New Roman"/>
          <w:sz w:val="24"/>
          <w:szCs w:val="24"/>
        </w:rPr>
        <w:t>Volunteer Energy Services, Inc.</w:t>
      </w:r>
      <w:r w:rsidRPr="008D6673">
        <w:rPr>
          <w:rFonts w:ascii="Times New Roman" w:hAnsi="Times New Roman"/>
          <w:sz w:val="24"/>
          <w:szCs w:val="24"/>
        </w:rPr>
        <w:tab/>
      </w:r>
      <w:r w:rsidRPr="008D6673">
        <w:rPr>
          <w:rFonts w:ascii="Times New Roman" w:hAnsi="Times New Roman"/>
          <w:sz w:val="24"/>
          <w:szCs w:val="24"/>
        </w:rPr>
        <w:tab/>
      </w:r>
      <w:hyperlink r:id="rId28" w:history="1">
        <w:r w:rsidRPr="008D6673">
          <w:rPr>
            <w:rStyle w:val="Hyperlink"/>
            <w:rFonts w:ascii="Times New Roman" w:hAnsi="Times New Roman"/>
            <w:sz w:val="24"/>
            <w:szCs w:val="24"/>
          </w:rPr>
          <w:t>mwarnock@bricker.com</w:t>
        </w:r>
      </w:hyperlink>
    </w:p>
    <w:p w:rsidR="0028593C" w:rsidRPr="008D6673" w:rsidRDefault="0028593C" w:rsidP="00CE44D6">
      <w:pPr>
        <w:spacing w:after="0" w:line="240" w:lineRule="auto"/>
        <w:ind w:right="-36"/>
        <w:contextualSpacing/>
        <w:rPr>
          <w:rFonts w:ascii="Times New Roman" w:hAnsi="Times New Roman"/>
          <w:sz w:val="24"/>
          <w:szCs w:val="24"/>
        </w:rPr>
      </w:pPr>
      <w:r w:rsidRPr="008D6673">
        <w:rPr>
          <w:rFonts w:ascii="Times New Roman" w:hAnsi="Times New Roman"/>
          <w:sz w:val="24"/>
          <w:szCs w:val="24"/>
        </w:rPr>
        <w:t xml:space="preserve">790 </w:t>
      </w:r>
      <w:proofErr w:type="spellStart"/>
      <w:r w:rsidRPr="008D6673">
        <w:rPr>
          <w:rFonts w:ascii="Times New Roman" w:hAnsi="Times New Roman"/>
          <w:sz w:val="24"/>
          <w:szCs w:val="24"/>
        </w:rPr>
        <w:t>Windmiller</w:t>
      </w:r>
      <w:proofErr w:type="spellEnd"/>
      <w:r w:rsidRPr="008D6673">
        <w:rPr>
          <w:rFonts w:ascii="Times New Roman" w:hAnsi="Times New Roman"/>
          <w:sz w:val="24"/>
          <w:szCs w:val="24"/>
        </w:rPr>
        <w:t xml:space="preserve"> Drive</w:t>
      </w:r>
      <w:r w:rsidRPr="008D6673">
        <w:rPr>
          <w:rFonts w:ascii="Times New Roman" w:hAnsi="Times New Roman"/>
          <w:sz w:val="24"/>
          <w:szCs w:val="24"/>
        </w:rPr>
        <w:tab/>
      </w:r>
    </w:p>
    <w:p w:rsidR="0028593C" w:rsidRPr="008D6673" w:rsidRDefault="0028593C" w:rsidP="00CE44D6">
      <w:pPr>
        <w:spacing w:after="0" w:line="240" w:lineRule="auto"/>
        <w:ind w:right="-36"/>
        <w:contextualSpacing/>
        <w:rPr>
          <w:rFonts w:ascii="Times New Roman" w:hAnsi="Times New Roman"/>
          <w:sz w:val="24"/>
          <w:szCs w:val="24"/>
        </w:rPr>
      </w:pPr>
      <w:r w:rsidRPr="008D6673">
        <w:rPr>
          <w:rFonts w:ascii="Times New Roman" w:hAnsi="Times New Roman"/>
          <w:sz w:val="24"/>
          <w:szCs w:val="24"/>
        </w:rPr>
        <w:t>Pickerington, Ohio 43147</w:t>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t xml:space="preserve">Attorneys for </w:t>
      </w:r>
    </w:p>
    <w:p w:rsidR="0028593C" w:rsidRPr="008D6673" w:rsidRDefault="003E4DD1" w:rsidP="00CE44D6">
      <w:pPr>
        <w:spacing w:after="0" w:line="240" w:lineRule="auto"/>
        <w:ind w:right="-36"/>
        <w:contextualSpacing/>
        <w:rPr>
          <w:rFonts w:ascii="Times New Roman" w:hAnsi="Times New Roman"/>
          <w:sz w:val="24"/>
          <w:szCs w:val="24"/>
        </w:rPr>
      </w:pPr>
      <w:hyperlink r:id="rId29" w:history="1">
        <w:r w:rsidR="0028593C" w:rsidRPr="008D6673">
          <w:rPr>
            <w:rStyle w:val="Hyperlink"/>
            <w:rFonts w:ascii="Times New Roman" w:hAnsi="Times New Roman"/>
            <w:sz w:val="24"/>
            <w:szCs w:val="24"/>
          </w:rPr>
          <w:t>jeinstein@volunteerenergy.com</w:t>
        </w:r>
      </w:hyperlink>
      <w:r w:rsidR="0028593C" w:rsidRPr="008D6673">
        <w:rPr>
          <w:rFonts w:ascii="Times New Roman" w:hAnsi="Times New Roman"/>
          <w:sz w:val="24"/>
          <w:szCs w:val="24"/>
        </w:rPr>
        <w:t xml:space="preserve"> </w:t>
      </w:r>
      <w:r w:rsidR="0028593C" w:rsidRPr="008D6673">
        <w:rPr>
          <w:rFonts w:ascii="Times New Roman" w:hAnsi="Times New Roman"/>
          <w:sz w:val="24"/>
          <w:szCs w:val="24"/>
        </w:rPr>
        <w:tab/>
      </w:r>
      <w:r w:rsidR="0028593C" w:rsidRPr="008D6673">
        <w:rPr>
          <w:rFonts w:ascii="Times New Roman" w:hAnsi="Times New Roman"/>
          <w:sz w:val="24"/>
          <w:szCs w:val="24"/>
        </w:rPr>
        <w:tab/>
        <w:t>NORTHEAST OHIO PUBLIC ENERGY</w:t>
      </w:r>
    </w:p>
    <w:p w:rsidR="0028593C" w:rsidRPr="008D6673" w:rsidRDefault="0028593C" w:rsidP="00CE44D6">
      <w:pPr>
        <w:spacing w:after="0" w:line="240" w:lineRule="auto"/>
        <w:ind w:left="4320" w:right="-36"/>
        <w:contextualSpacing/>
        <w:rPr>
          <w:rFonts w:ascii="Times New Roman" w:hAnsi="Times New Roman"/>
          <w:sz w:val="24"/>
          <w:szCs w:val="24"/>
        </w:rPr>
      </w:pPr>
      <w:r w:rsidRPr="008D6673">
        <w:rPr>
          <w:rFonts w:ascii="Times New Roman" w:hAnsi="Times New Roman"/>
          <w:sz w:val="24"/>
          <w:szCs w:val="24"/>
        </w:rPr>
        <w:t>COUNCIL and OHIO SCHOOLS COUNCIL</w:t>
      </w:r>
    </w:p>
    <w:p w:rsidR="0028593C" w:rsidRPr="008D6673" w:rsidRDefault="0028593C" w:rsidP="00CE44D6">
      <w:pPr>
        <w:spacing w:after="0" w:line="240" w:lineRule="auto"/>
        <w:ind w:right="-36"/>
        <w:contextualSpacing/>
        <w:rPr>
          <w:rFonts w:ascii="Times New Roman" w:hAnsi="Times New Roman"/>
          <w:sz w:val="24"/>
          <w:szCs w:val="24"/>
        </w:rPr>
      </w:pPr>
      <w:r w:rsidRPr="008D6673">
        <w:rPr>
          <w:rFonts w:ascii="Times New Roman" w:hAnsi="Times New Roman"/>
          <w:sz w:val="24"/>
          <w:szCs w:val="24"/>
        </w:rPr>
        <w:t xml:space="preserve">Attorney for </w:t>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p>
    <w:p w:rsidR="0028593C" w:rsidRPr="008D6673" w:rsidRDefault="0028593C" w:rsidP="00CE44D6">
      <w:pPr>
        <w:spacing w:after="0" w:line="240" w:lineRule="auto"/>
        <w:ind w:right="-36"/>
        <w:contextualSpacing/>
        <w:rPr>
          <w:rFonts w:ascii="Times New Roman" w:hAnsi="Times New Roman"/>
          <w:sz w:val="24"/>
          <w:szCs w:val="24"/>
        </w:rPr>
      </w:pPr>
      <w:r w:rsidRPr="008D6673">
        <w:rPr>
          <w:rFonts w:ascii="Times New Roman" w:hAnsi="Times New Roman"/>
          <w:sz w:val="24"/>
          <w:szCs w:val="24"/>
        </w:rPr>
        <w:t>VOLUNTEER ENERGY SERVICES</w:t>
      </w:r>
    </w:p>
    <w:p w:rsidR="0061611E" w:rsidRPr="008D6673" w:rsidRDefault="0061611E">
      <w:pPr>
        <w:spacing w:after="0" w:line="240" w:lineRule="auto"/>
        <w:ind w:right="-36"/>
        <w:rPr>
          <w:rFonts w:ascii="Times New Roman" w:hAnsi="Times New Roman"/>
          <w:sz w:val="24"/>
          <w:szCs w:val="24"/>
        </w:rPr>
      </w:pPr>
    </w:p>
    <w:p w:rsidR="009D1E3C" w:rsidRPr="008D6673" w:rsidRDefault="0028593C">
      <w:pPr>
        <w:spacing w:after="0" w:line="240" w:lineRule="auto"/>
        <w:ind w:right="-36"/>
        <w:rPr>
          <w:rFonts w:ascii="Times New Roman" w:hAnsi="Times New Roman"/>
          <w:sz w:val="24"/>
          <w:szCs w:val="24"/>
        </w:rPr>
      </w:pPr>
      <w:r w:rsidRPr="008D6673">
        <w:rPr>
          <w:rFonts w:ascii="Times New Roman" w:hAnsi="Times New Roman"/>
          <w:sz w:val="24"/>
          <w:szCs w:val="24"/>
        </w:rPr>
        <w:t>Matthew S. White</w:t>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Pr="008D6673">
        <w:rPr>
          <w:rFonts w:ascii="Times New Roman" w:hAnsi="Times New Roman"/>
          <w:sz w:val="24"/>
          <w:szCs w:val="24"/>
        </w:rPr>
        <w:tab/>
      </w:r>
      <w:r w:rsidR="00CE44D6" w:rsidRPr="008D6673">
        <w:rPr>
          <w:rFonts w:ascii="Times New Roman" w:hAnsi="Times New Roman"/>
          <w:sz w:val="24"/>
          <w:szCs w:val="24"/>
        </w:rPr>
        <w:t>M. Anthony Long</w:t>
      </w:r>
    </w:p>
    <w:p w:rsidR="0028593C" w:rsidRPr="008D6673" w:rsidRDefault="0028593C">
      <w:pPr>
        <w:spacing w:after="0" w:line="240" w:lineRule="auto"/>
        <w:ind w:right="-36"/>
        <w:rPr>
          <w:rFonts w:ascii="Times New Roman" w:hAnsi="Times New Roman"/>
          <w:sz w:val="24"/>
          <w:szCs w:val="24"/>
        </w:rPr>
      </w:pPr>
      <w:r w:rsidRPr="008D6673">
        <w:rPr>
          <w:rFonts w:ascii="Times New Roman" w:hAnsi="Times New Roman"/>
          <w:sz w:val="24"/>
          <w:szCs w:val="24"/>
        </w:rPr>
        <w:t>Interstate Gas Supply, Inc.</w:t>
      </w:r>
      <w:r w:rsidR="00CE44D6" w:rsidRPr="008D6673">
        <w:rPr>
          <w:rFonts w:ascii="Times New Roman" w:hAnsi="Times New Roman"/>
          <w:sz w:val="24"/>
          <w:szCs w:val="24"/>
        </w:rPr>
        <w:tab/>
      </w:r>
      <w:r w:rsidR="00CE44D6" w:rsidRPr="008D6673">
        <w:rPr>
          <w:rFonts w:ascii="Times New Roman" w:hAnsi="Times New Roman"/>
          <w:sz w:val="24"/>
          <w:szCs w:val="24"/>
        </w:rPr>
        <w:tab/>
      </w:r>
      <w:r w:rsidR="00CE44D6" w:rsidRPr="008D6673">
        <w:rPr>
          <w:rFonts w:ascii="Times New Roman" w:hAnsi="Times New Roman"/>
          <w:sz w:val="24"/>
          <w:szCs w:val="24"/>
        </w:rPr>
        <w:tab/>
      </w:r>
      <w:proofErr w:type="gramStart"/>
      <w:r w:rsidR="00CE44D6" w:rsidRPr="008D6673">
        <w:rPr>
          <w:rFonts w:ascii="Times New Roman" w:hAnsi="Times New Roman"/>
          <w:sz w:val="24"/>
          <w:szCs w:val="24"/>
        </w:rPr>
        <w:t xml:space="preserve">Honda of America </w:t>
      </w:r>
      <w:proofErr w:type="spellStart"/>
      <w:r w:rsidR="00CE44D6" w:rsidRPr="008D6673">
        <w:rPr>
          <w:rFonts w:ascii="Times New Roman" w:hAnsi="Times New Roman"/>
          <w:sz w:val="24"/>
          <w:szCs w:val="24"/>
        </w:rPr>
        <w:t>Mfg</w:t>
      </w:r>
      <w:proofErr w:type="spellEnd"/>
      <w:r w:rsidR="00CE44D6" w:rsidRPr="008D6673">
        <w:rPr>
          <w:rFonts w:ascii="Times New Roman" w:hAnsi="Times New Roman"/>
          <w:sz w:val="24"/>
          <w:szCs w:val="24"/>
        </w:rPr>
        <w:t>, Inc.</w:t>
      </w:r>
      <w:proofErr w:type="gramEnd"/>
    </w:p>
    <w:p w:rsidR="0028593C" w:rsidRPr="008D6673" w:rsidRDefault="0028593C">
      <w:pPr>
        <w:spacing w:after="0" w:line="240" w:lineRule="auto"/>
        <w:ind w:right="-36"/>
        <w:rPr>
          <w:rFonts w:ascii="Times New Roman" w:hAnsi="Times New Roman"/>
          <w:sz w:val="24"/>
          <w:szCs w:val="24"/>
        </w:rPr>
      </w:pPr>
      <w:r w:rsidRPr="008D6673">
        <w:rPr>
          <w:rFonts w:ascii="Times New Roman" w:hAnsi="Times New Roman"/>
          <w:sz w:val="24"/>
          <w:szCs w:val="24"/>
        </w:rPr>
        <w:t>6100 Emerald Parkway</w:t>
      </w:r>
      <w:r w:rsidR="00CE44D6" w:rsidRPr="008D6673">
        <w:rPr>
          <w:rFonts w:ascii="Times New Roman" w:hAnsi="Times New Roman"/>
          <w:sz w:val="24"/>
          <w:szCs w:val="24"/>
        </w:rPr>
        <w:tab/>
      </w:r>
      <w:r w:rsidR="00CE44D6" w:rsidRPr="008D6673">
        <w:rPr>
          <w:rFonts w:ascii="Times New Roman" w:hAnsi="Times New Roman"/>
          <w:sz w:val="24"/>
          <w:szCs w:val="24"/>
        </w:rPr>
        <w:tab/>
      </w:r>
      <w:r w:rsidR="00CE44D6" w:rsidRPr="008D6673">
        <w:rPr>
          <w:rFonts w:ascii="Times New Roman" w:hAnsi="Times New Roman"/>
          <w:sz w:val="24"/>
          <w:szCs w:val="24"/>
        </w:rPr>
        <w:tab/>
        <w:t>24000 Honda Parkway</w:t>
      </w:r>
    </w:p>
    <w:p w:rsidR="0028593C" w:rsidRPr="008D6673" w:rsidRDefault="0028593C">
      <w:pPr>
        <w:spacing w:after="0" w:line="240" w:lineRule="auto"/>
        <w:ind w:right="-36"/>
        <w:rPr>
          <w:rFonts w:ascii="Times New Roman" w:hAnsi="Times New Roman"/>
          <w:sz w:val="24"/>
          <w:szCs w:val="24"/>
        </w:rPr>
      </w:pPr>
      <w:r w:rsidRPr="008D6673">
        <w:rPr>
          <w:rFonts w:ascii="Times New Roman" w:hAnsi="Times New Roman"/>
          <w:sz w:val="24"/>
          <w:szCs w:val="24"/>
        </w:rPr>
        <w:t>Dublin, Ohio 43016</w:t>
      </w:r>
      <w:r w:rsidR="00CE44D6" w:rsidRPr="008D6673">
        <w:rPr>
          <w:rFonts w:ascii="Times New Roman" w:hAnsi="Times New Roman"/>
          <w:sz w:val="24"/>
          <w:szCs w:val="24"/>
        </w:rPr>
        <w:tab/>
      </w:r>
      <w:r w:rsidR="00CE44D6" w:rsidRPr="008D6673">
        <w:rPr>
          <w:rFonts w:ascii="Times New Roman" w:hAnsi="Times New Roman"/>
          <w:sz w:val="24"/>
          <w:szCs w:val="24"/>
        </w:rPr>
        <w:tab/>
      </w:r>
      <w:r w:rsidR="00CE44D6" w:rsidRPr="008D6673">
        <w:rPr>
          <w:rFonts w:ascii="Times New Roman" w:hAnsi="Times New Roman"/>
          <w:sz w:val="24"/>
          <w:szCs w:val="24"/>
        </w:rPr>
        <w:tab/>
      </w:r>
      <w:r w:rsidR="00CE44D6" w:rsidRPr="008D6673">
        <w:rPr>
          <w:rFonts w:ascii="Times New Roman" w:hAnsi="Times New Roman"/>
          <w:sz w:val="24"/>
          <w:szCs w:val="24"/>
        </w:rPr>
        <w:tab/>
        <w:t>Marysville, Ohio 43040</w:t>
      </w:r>
    </w:p>
    <w:p w:rsidR="0028593C" w:rsidRPr="008D6673" w:rsidRDefault="003E4DD1">
      <w:pPr>
        <w:spacing w:after="0" w:line="240" w:lineRule="auto"/>
        <w:ind w:right="-36"/>
        <w:rPr>
          <w:rFonts w:ascii="Times New Roman" w:hAnsi="Times New Roman"/>
          <w:sz w:val="24"/>
          <w:szCs w:val="24"/>
        </w:rPr>
      </w:pPr>
      <w:hyperlink r:id="rId30" w:history="1">
        <w:r w:rsidR="0028593C" w:rsidRPr="008D6673">
          <w:rPr>
            <w:rStyle w:val="Hyperlink"/>
            <w:rFonts w:ascii="Times New Roman" w:hAnsi="Times New Roman"/>
            <w:sz w:val="24"/>
            <w:szCs w:val="24"/>
          </w:rPr>
          <w:t>mswhite@igsenergy.com</w:t>
        </w:r>
      </w:hyperlink>
      <w:r w:rsidR="00CE44D6" w:rsidRPr="008D6673">
        <w:rPr>
          <w:rFonts w:ascii="Times New Roman" w:hAnsi="Times New Roman"/>
          <w:sz w:val="24"/>
          <w:szCs w:val="24"/>
        </w:rPr>
        <w:tab/>
      </w:r>
      <w:r w:rsidR="00CE44D6" w:rsidRPr="008D6673">
        <w:rPr>
          <w:rFonts w:ascii="Times New Roman" w:hAnsi="Times New Roman"/>
          <w:sz w:val="24"/>
          <w:szCs w:val="24"/>
        </w:rPr>
        <w:tab/>
      </w:r>
      <w:r w:rsidR="00CE44D6" w:rsidRPr="008D6673">
        <w:rPr>
          <w:rFonts w:ascii="Times New Roman" w:hAnsi="Times New Roman"/>
          <w:sz w:val="24"/>
          <w:szCs w:val="24"/>
        </w:rPr>
        <w:tab/>
        <w:t>tony_long@ham.honda.com</w:t>
      </w:r>
    </w:p>
    <w:p w:rsidR="0028593C" w:rsidRPr="008D6673" w:rsidRDefault="0028593C">
      <w:pPr>
        <w:spacing w:after="0" w:line="240" w:lineRule="auto"/>
        <w:ind w:right="-36"/>
        <w:rPr>
          <w:rFonts w:ascii="Times New Roman" w:hAnsi="Times New Roman"/>
          <w:sz w:val="24"/>
          <w:szCs w:val="24"/>
        </w:rPr>
      </w:pPr>
    </w:p>
    <w:p w:rsidR="0028593C" w:rsidRPr="008D6673" w:rsidRDefault="0028593C">
      <w:pPr>
        <w:spacing w:after="0" w:line="240" w:lineRule="auto"/>
        <w:ind w:right="-36"/>
        <w:rPr>
          <w:rFonts w:ascii="Times New Roman" w:hAnsi="Times New Roman"/>
          <w:sz w:val="24"/>
          <w:szCs w:val="24"/>
        </w:rPr>
      </w:pPr>
      <w:r w:rsidRPr="008D6673">
        <w:rPr>
          <w:rFonts w:ascii="Times New Roman" w:hAnsi="Times New Roman"/>
          <w:sz w:val="24"/>
          <w:szCs w:val="24"/>
        </w:rPr>
        <w:t xml:space="preserve">Attorney for </w:t>
      </w:r>
      <w:r w:rsidR="00CE44D6" w:rsidRPr="008D6673">
        <w:rPr>
          <w:rFonts w:ascii="Times New Roman" w:hAnsi="Times New Roman"/>
          <w:sz w:val="24"/>
          <w:szCs w:val="24"/>
        </w:rPr>
        <w:tab/>
      </w:r>
      <w:r w:rsidR="00CE44D6" w:rsidRPr="008D6673">
        <w:rPr>
          <w:rFonts w:ascii="Times New Roman" w:hAnsi="Times New Roman"/>
          <w:sz w:val="24"/>
          <w:szCs w:val="24"/>
        </w:rPr>
        <w:tab/>
      </w:r>
      <w:r w:rsidR="00CE44D6" w:rsidRPr="008D6673">
        <w:rPr>
          <w:rFonts w:ascii="Times New Roman" w:hAnsi="Times New Roman"/>
          <w:sz w:val="24"/>
          <w:szCs w:val="24"/>
        </w:rPr>
        <w:tab/>
      </w:r>
      <w:r w:rsidR="00CE44D6" w:rsidRPr="008D6673">
        <w:rPr>
          <w:rFonts w:ascii="Times New Roman" w:hAnsi="Times New Roman"/>
          <w:sz w:val="24"/>
          <w:szCs w:val="24"/>
        </w:rPr>
        <w:tab/>
      </w:r>
      <w:r w:rsidR="00CE44D6" w:rsidRPr="008D6673">
        <w:rPr>
          <w:rFonts w:ascii="Times New Roman" w:hAnsi="Times New Roman"/>
          <w:sz w:val="24"/>
          <w:szCs w:val="24"/>
        </w:rPr>
        <w:tab/>
        <w:t>Attorney for</w:t>
      </w:r>
    </w:p>
    <w:p w:rsidR="0028593C" w:rsidRPr="008D6673" w:rsidRDefault="0028593C">
      <w:pPr>
        <w:spacing w:after="0" w:line="240" w:lineRule="auto"/>
        <w:ind w:right="-36"/>
        <w:rPr>
          <w:rFonts w:ascii="Times New Roman" w:hAnsi="Times New Roman"/>
          <w:sz w:val="24"/>
          <w:szCs w:val="24"/>
        </w:rPr>
      </w:pPr>
      <w:r w:rsidRPr="008D6673">
        <w:rPr>
          <w:rFonts w:ascii="Times New Roman" w:hAnsi="Times New Roman"/>
          <w:sz w:val="24"/>
          <w:szCs w:val="24"/>
        </w:rPr>
        <w:t>INTERSTATE GAS SUPPLY, INC.</w:t>
      </w:r>
      <w:r w:rsidR="00CE44D6" w:rsidRPr="008D6673">
        <w:rPr>
          <w:rFonts w:ascii="Times New Roman" w:hAnsi="Times New Roman"/>
          <w:sz w:val="24"/>
          <w:szCs w:val="24"/>
        </w:rPr>
        <w:tab/>
      </w:r>
      <w:r w:rsidR="00CE44D6" w:rsidRPr="008D6673">
        <w:rPr>
          <w:rFonts w:ascii="Times New Roman" w:hAnsi="Times New Roman"/>
          <w:sz w:val="24"/>
          <w:szCs w:val="24"/>
        </w:rPr>
        <w:tab/>
      </w:r>
      <w:proofErr w:type="gramStart"/>
      <w:r w:rsidR="00CE44D6" w:rsidRPr="008D6673">
        <w:rPr>
          <w:rFonts w:ascii="Times New Roman" w:hAnsi="Times New Roman"/>
          <w:sz w:val="24"/>
          <w:szCs w:val="24"/>
        </w:rPr>
        <w:t>HONDA OF AMERICA MFG, INC.</w:t>
      </w:r>
      <w:proofErr w:type="gramEnd"/>
    </w:p>
    <w:p w:rsidR="0061611E" w:rsidRPr="008D6673" w:rsidRDefault="0061611E">
      <w:pPr>
        <w:ind w:right="-36"/>
        <w:rPr>
          <w:rFonts w:ascii="Times New Roman" w:hAnsi="Times New Roman"/>
          <w:sz w:val="24"/>
          <w:szCs w:val="24"/>
        </w:rPr>
      </w:pPr>
    </w:p>
    <w:p w:rsidR="0061611E" w:rsidRDefault="003E6DD7">
      <w:pPr>
        <w:framePr w:w="4766" w:h="700" w:hSpace="180" w:wrap="notBeside" w:vAnchor="page" w:hAnchor="text" w:y="16001" w:anchorLock="1"/>
        <w:rPr>
          <w:color w:val="FF0000"/>
          <w:sz w:val="14"/>
        </w:rPr>
      </w:pPr>
      <w:bookmarkStart w:id="1" w:name="vsLastFooter"/>
      <w:r>
        <w:rPr>
          <w:color w:val="FF0000"/>
          <w:sz w:val="14"/>
        </w:rPr>
        <w:t xml:space="preserve">9/12/2012 14658078 </w:t>
      </w:r>
    </w:p>
    <w:bookmarkEnd w:id="1"/>
    <w:p w:rsidR="0061611E" w:rsidRDefault="0061611E">
      <w:pPr>
        <w:rPr>
          <w:rFonts w:ascii="Times New Roman" w:hAnsi="Times New Roman"/>
          <w:sz w:val="24"/>
          <w:szCs w:val="24"/>
        </w:rPr>
      </w:pPr>
    </w:p>
    <w:sectPr w:rsidR="0061611E" w:rsidSect="00FB1C88">
      <w:footerReference w:type="defaul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DD1" w:rsidRDefault="003E4DD1">
      <w:pPr>
        <w:spacing w:after="0" w:line="240" w:lineRule="auto"/>
      </w:pPr>
      <w:r>
        <w:separator/>
      </w:r>
    </w:p>
  </w:endnote>
  <w:endnote w:type="continuationSeparator" w:id="0">
    <w:p w:rsidR="003E4DD1" w:rsidRDefault="003E4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30" w:rsidRDefault="00615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1E" w:rsidRDefault="0061611E">
    <w:pPr>
      <w:pStyle w:val="Footer"/>
      <w:jc w:val="center"/>
    </w:pPr>
  </w:p>
  <w:p w:rsidR="0061611E" w:rsidRDefault="0061611E">
    <w:pPr>
      <w:pStyle w:val="Footer"/>
      <w:pBdr>
        <w:top w:val="single" w:sz="4" w:space="1" w:color="D9D9D9"/>
      </w:pBd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30" w:rsidRDefault="006151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1E" w:rsidRDefault="00D765E2">
    <w:pPr>
      <w:pStyle w:val="Footer"/>
      <w:jc w:val="center"/>
    </w:pPr>
    <w:r>
      <w:fldChar w:fldCharType="begin"/>
    </w:r>
    <w:r w:rsidR="003E6DD7">
      <w:instrText xml:space="preserve"> PAGE   \* MERGEFORMAT </w:instrText>
    </w:r>
    <w:r>
      <w:fldChar w:fldCharType="separate"/>
    </w:r>
    <w:r w:rsidR="009F5264">
      <w:rPr>
        <w:noProof/>
      </w:rPr>
      <w:t>14</w:t>
    </w:r>
    <w:r>
      <w:rPr>
        <w:noProof/>
      </w:rPr>
      <w:fldChar w:fldCharType="end"/>
    </w:r>
  </w:p>
  <w:p w:rsidR="0061611E" w:rsidRDefault="0061611E">
    <w:pPr>
      <w:pStyle w:val="Footer"/>
      <w:pBdr>
        <w:top w:val="single" w:sz="4" w:space="1" w:color="D9D9D9"/>
      </w:pBd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DD1" w:rsidRDefault="003E4DD1">
      <w:pPr>
        <w:spacing w:after="0" w:line="240" w:lineRule="auto"/>
      </w:pPr>
      <w:r>
        <w:separator/>
      </w:r>
    </w:p>
  </w:footnote>
  <w:footnote w:type="continuationSeparator" w:id="0">
    <w:p w:rsidR="003E4DD1" w:rsidRDefault="003E4DD1">
      <w:pPr>
        <w:spacing w:after="0" w:line="240" w:lineRule="auto"/>
      </w:pPr>
      <w:r>
        <w:continuationSeparator/>
      </w:r>
    </w:p>
  </w:footnote>
  <w:footnote w:id="1">
    <w:p w:rsidR="00654868" w:rsidRDefault="00654868" w:rsidP="00654868">
      <w:pPr>
        <w:pStyle w:val="FootnoteText"/>
      </w:pPr>
      <w:r>
        <w:rPr>
          <w:rStyle w:val="FootnoteReference"/>
        </w:rPr>
        <w:footnoteRef/>
      </w:r>
      <w:r w:rsidRPr="00657D40">
        <w:t>http://www.puco.ohio.gov/emplibrary/files/util/UtilitiesDeptReports/June%202012%20Gas%20Choice%20Enrollment.pdf</w:t>
      </w:r>
    </w:p>
    <w:p w:rsidR="00654868" w:rsidRDefault="00654868" w:rsidP="0065486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30" w:rsidRDefault="00615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30" w:rsidRDefault="006151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30" w:rsidRDefault="00615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6361"/>
    <w:multiLevelType w:val="hybridMultilevel"/>
    <w:tmpl w:val="139224EA"/>
    <w:lvl w:ilvl="0" w:tplc="0409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86690E"/>
    <w:multiLevelType w:val="hybridMultilevel"/>
    <w:tmpl w:val="1F902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803DD5"/>
    <w:multiLevelType w:val="hybridMultilevel"/>
    <w:tmpl w:val="EE98DAB4"/>
    <w:lvl w:ilvl="0" w:tplc="A8F8CAAE">
      <w:start w:val="1"/>
      <w:numFmt w:val="decimal"/>
      <w:lvlText w:val="%1)"/>
      <w:lvlJc w:val="left"/>
      <w:pPr>
        <w:ind w:left="1440" w:hanging="360"/>
      </w:pPr>
      <w:rPr>
        <w:rFonts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280084"/>
    <w:multiLevelType w:val="hybridMultilevel"/>
    <w:tmpl w:val="E28CD9B4"/>
    <w:lvl w:ilvl="0" w:tplc="1994906C">
      <w:start w:val="1"/>
      <w:numFmt w:val="none"/>
      <w:pStyle w:val="Question"/>
      <w:lvlText w:val="Q."/>
      <w:lvlJc w:val="left"/>
      <w:pPr>
        <w:tabs>
          <w:tab w:val="num" w:pos="810"/>
        </w:tabs>
        <w:ind w:left="810" w:hanging="720"/>
      </w:pPr>
      <w:rPr>
        <w:rFonts w:ascii="Times New Roman" w:hAnsi="Times New Roman" w:cs="Times New Roman" w:hint="default"/>
        <w:b/>
        <w:i w:val="0"/>
        <w:sz w:val="24"/>
      </w:rPr>
    </w:lvl>
    <w:lvl w:ilvl="1" w:tplc="4D56501C">
      <w:start w:val="17"/>
      <w:numFmt w:val="upperLetter"/>
      <w:lvlText w:val="%2."/>
      <w:lvlJc w:val="left"/>
      <w:pPr>
        <w:tabs>
          <w:tab w:val="num" w:pos="810"/>
        </w:tabs>
        <w:ind w:left="810" w:hanging="360"/>
      </w:pPr>
      <w:rPr>
        <w:rFonts w:cs="Times New Roman" w:hint="default"/>
      </w:rPr>
    </w:lvl>
    <w:lvl w:ilvl="2" w:tplc="DAE07708">
      <w:numFmt w:val="bullet"/>
      <w:lvlText w:val="-"/>
      <w:lvlJc w:val="left"/>
      <w:pPr>
        <w:ind w:left="2430" w:hanging="360"/>
      </w:pPr>
      <w:rPr>
        <w:rFonts w:ascii="Times New Roman" w:eastAsia="Times New Roman" w:hAnsi="Times New Roman" w:cs="Times New Roman" w:hint="default"/>
      </w:rPr>
    </w:lvl>
    <w:lvl w:ilvl="3" w:tplc="8F4862F0">
      <w:numFmt w:val="bullet"/>
      <w:lvlText w:val=""/>
      <w:lvlJc w:val="left"/>
      <w:pPr>
        <w:ind w:left="2970" w:hanging="360"/>
      </w:pPr>
      <w:rPr>
        <w:rFonts w:ascii="Symbol" w:eastAsia="Times New Roman" w:hAnsi="Symbol" w:cs="Times New Roman" w:hint="default"/>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4">
    <w:nsid w:val="38BA669E"/>
    <w:multiLevelType w:val="hybridMultilevel"/>
    <w:tmpl w:val="A36C002E"/>
    <w:lvl w:ilvl="0" w:tplc="4DD08A42">
      <w:start w:val="1"/>
      <w:numFmt w:val="none"/>
      <w:pStyle w:val="Answer"/>
      <w:lvlText w:val="%1A."/>
      <w:lvlJc w:val="left"/>
      <w:pPr>
        <w:tabs>
          <w:tab w:val="num" w:pos="180"/>
        </w:tabs>
        <w:ind w:left="180" w:hanging="720"/>
      </w:pPr>
      <w:rPr>
        <w:rFonts w:ascii="Times New Roman" w:hAnsi="Times New Roman" w:cs="Times New Roman" w:hint="default"/>
        <w:b/>
        <w:i w:val="0"/>
        <w:sz w:val="24"/>
      </w:rPr>
    </w:lvl>
    <w:lvl w:ilvl="1" w:tplc="04090001">
      <w:start w:val="1"/>
      <w:numFmt w:val="bullet"/>
      <w:lvlText w:val=""/>
      <w:lvlJc w:val="left"/>
      <w:pPr>
        <w:tabs>
          <w:tab w:val="num" w:pos="1440"/>
        </w:tabs>
        <w:ind w:left="1440" w:hanging="360"/>
      </w:pPr>
      <w:rPr>
        <w:rFonts w:ascii="Symbol" w:hAnsi="Symbol" w:hint="default"/>
        <w:b w:val="0"/>
        <w:i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1E"/>
    <w:rsid w:val="00006768"/>
    <w:rsid w:val="0001165B"/>
    <w:rsid w:val="00033D95"/>
    <w:rsid w:val="00041A37"/>
    <w:rsid w:val="0004316D"/>
    <w:rsid w:val="0004511F"/>
    <w:rsid w:val="00052723"/>
    <w:rsid w:val="00073A20"/>
    <w:rsid w:val="00076647"/>
    <w:rsid w:val="0008497F"/>
    <w:rsid w:val="000A3D91"/>
    <w:rsid w:val="000A6BF2"/>
    <w:rsid w:val="000B27D6"/>
    <w:rsid w:val="000B432B"/>
    <w:rsid w:val="000D2303"/>
    <w:rsid w:val="00127BD4"/>
    <w:rsid w:val="001308D0"/>
    <w:rsid w:val="001775E8"/>
    <w:rsid w:val="001805EA"/>
    <w:rsid w:val="0019232C"/>
    <w:rsid w:val="001A08CC"/>
    <w:rsid w:val="001C4BFE"/>
    <w:rsid w:val="001C4E84"/>
    <w:rsid w:val="001E7B64"/>
    <w:rsid w:val="001F0070"/>
    <w:rsid w:val="001F0CE2"/>
    <w:rsid w:val="001F52C6"/>
    <w:rsid w:val="002252F8"/>
    <w:rsid w:val="0024758B"/>
    <w:rsid w:val="002529FA"/>
    <w:rsid w:val="00255CAF"/>
    <w:rsid w:val="00257DE9"/>
    <w:rsid w:val="002600BA"/>
    <w:rsid w:val="00267837"/>
    <w:rsid w:val="00272882"/>
    <w:rsid w:val="00272EEE"/>
    <w:rsid w:val="0028593C"/>
    <w:rsid w:val="00290B4B"/>
    <w:rsid w:val="002A0AEC"/>
    <w:rsid w:val="002B16DA"/>
    <w:rsid w:val="002C515E"/>
    <w:rsid w:val="002D6A8E"/>
    <w:rsid w:val="002E7BD9"/>
    <w:rsid w:val="002F34F0"/>
    <w:rsid w:val="00303558"/>
    <w:rsid w:val="003368A0"/>
    <w:rsid w:val="00377060"/>
    <w:rsid w:val="00392AA2"/>
    <w:rsid w:val="003A06E4"/>
    <w:rsid w:val="003A7C8A"/>
    <w:rsid w:val="003B05CC"/>
    <w:rsid w:val="003B2EA4"/>
    <w:rsid w:val="003B4D73"/>
    <w:rsid w:val="003C1339"/>
    <w:rsid w:val="003D348A"/>
    <w:rsid w:val="003E4DD1"/>
    <w:rsid w:val="003E6DD7"/>
    <w:rsid w:val="00401452"/>
    <w:rsid w:val="00404048"/>
    <w:rsid w:val="004350E2"/>
    <w:rsid w:val="00437290"/>
    <w:rsid w:val="00445AA1"/>
    <w:rsid w:val="0045346B"/>
    <w:rsid w:val="00475371"/>
    <w:rsid w:val="004848A2"/>
    <w:rsid w:val="004878DA"/>
    <w:rsid w:val="004A59EF"/>
    <w:rsid w:val="004D20B9"/>
    <w:rsid w:val="004D5280"/>
    <w:rsid w:val="004F3534"/>
    <w:rsid w:val="004F7596"/>
    <w:rsid w:val="0050645F"/>
    <w:rsid w:val="00507EC2"/>
    <w:rsid w:val="00520EA9"/>
    <w:rsid w:val="005238C7"/>
    <w:rsid w:val="005364C5"/>
    <w:rsid w:val="00540893"/>
    <w:rsid w:val="00550295"/>
    <w:rsid w:val="00551F91"/>
    <w:rsid w:val="0055240C"/>
    <w:rsid w:val="00553534"/>
    <w:rsid w:val="005619EF"/>
    <w:rsid w:val="00567450"/>
    <w:rsid w:val="005720A1"/>
    <w:rsid w:val="00587A3F"/>
    <w:rsid w:val="005924A4"/>
    <w:rsid w:val="005960CA"/>
    <w:rsid w:val="005A6B14"/>
    <w:rsid w:val="005C397A"/>
    <w:rsid w:val="005D0D42"/>
    <w:rsid w:val="005F3837"/>
    <w:rsid w:val="005F452A"/>
    <w:rsid w:val="00604164"/>
    <w:rsid w:val="00613E7A"/>
    <w:rsid w:val="00615130"/>
    <w:rsid w:val="0061611E"/>
    <w:rsid w:val="00624D5F"/>
    <w:rsid w:val="00640DE1"/>
    <w:rsid w:val="006477A8"/>
    <w:rsid w:val="00654868"/>
    <w:rsid w:val="00657D40"/>
    <w:rsid w:val="006921C7"/>
    <w:rsid w:val="0069444C"/>
    <w:rsid w:val="006C3D5A"/>
    <w:rsid w:val="006D3E59"/>
    <w:rsid w:val="007227CE"/>
    <w:rsid w:val="00727D5F"/>
    <w:rsid w:val="00730694"/>
    <w:rsid w:val="00737933"/>
    <w:rsid w:val="00744FEB"/>
    <w:rsid w:val="007466A2"/>
    <w:rsid w:val="00754C9C"/>
    <w:rsid w:val="0076212C"/>
    <w:rsid w:val="00764F9F"/>
    <w:rsid w:val="007C6ECC"/>
    <w:rsid w:val="007E785F"/>
    <w:rsid w:val="00800ACD"/>
    <w:rsid w:val="008041B7"/>
    <w:rsid w:val="0082733F"/>
    <w:rsid w:val="008437AF"/>
    <w:rsid w:val="0086546A"/>
    <w:rsid w:val="008705AE"/>
    <w:rsid w:val="00885687"/>
    <w:rsid w:val="0089170C"/>
    <w:rsid w:val="008925D5"/>
    <w:rsid w:val="00896635"/>
    <w:rsid w:val="008A4041"/>
    <w:rsid w:val="008B6A17"/>
    <w:rsid w:val="008D6673"/>
    <w:rsid w:val="008E5671"/>
    <w:rsid w:val="008F08FB"/>
    <w:rsid w:val="00901D42"/>
    <w:rsid w:val="00942DED"/>
    <w:rsid w:val="00947545"/>
    <w:rsid w:val="00950BF0"/>
    <w:rsid w:val="00975FDC"/>
    <w:rsid w:val="00987187"/>
    <w:rsid w:val="009B506E"/>
    <w:rsid w:val="009D1E3C"/>
    <w:rsid w:val="009E2D04"/>
    <w:rsid w:val="009E5D9A"/>
    <w:rsid w:val="009F139A"/>
    <w:rsid w:val="009F5264"/>
    <w:rsid w:val="009F5858"/>
    <w:rsid w:val="00A03E42"/>
    <w:rsid w:val="00A22FD3"/>
    <w:rsid w:val="00A401FE"/>
    <w:rsid w:val="00A417C3"/>
    <w:rsid w:val="00A45182"/>
    <w:rsid w:val="00A45C6A"/>
    <w:rsid w:val="00A73D54"/>
    <w:rsid w:val="00A806D3"/>
    <w:rsid w:val="00A83219"/>
    <w:rsid w:val="00AD751B"/>
    <w:rsid w:val="00AE2735"/>
    <w:rsid w:val="00B00B9B"/>
    <w:rsid w:val="00B10502"/>
    <w:rsid w:val="00B11508"/>
    <w:rsid w:val="00B16588"/>
    <w:rsid w:val="00B235F4"/>
    <w:rsid w:val="00B51151"/>
    <w:rsid w:val="00B52DC4"/>
    <w:rsid w:val="00B55427"/>
    <w:rsid w:val="00B76876"/>
    <w:rsid w:val="00B91F6E"/>
    <w:rsid w:val="00BA62D8"/>
    <w:rsid w:val="00BB3661"/>
    <w:rsid w:val="00BC7DA5"/>
    <w:rsid w:val="00BD4321"/>
    <w:rsid w:val="00C01A47"/>
    <w:rsid w:val="00C03D95"/>
    <w:rsid w:val="00C1267A"/>
    <w:rsid w:val="00C266F5"/>
    <w:rsid w:val="00C533F9"/>
    <w:rsid w:val="00C60DCF"/>
    <w:rsid w:val="00CA3EF5"/>
    <w:rsid w:val="00CB5A10"/>
    <w:rsid w:val="00CC54E6"/>
    <w:rsid w:val="00CE38B9"/>
    <w:rsid w:val="00CE44D6"/>
    <w:rsid w:val="00CE7745"/>
    <w:rsid w:val="00CF4ECC"/>
    <w:rsid w:val="00D02226"/>
    <w:rsid w:val="00D07783"/>
    <w:rsid w:val="00D162A2"/>
    <w:rsid w:val="00D240B9"/>
    <w:rsid w:val="00D263ED"/>
    <w:rsid w:val="00D2730D"/>
    <w:rsid w:val="00D3201E"/>
    <w:rsid w:val="00D36334"/>
    <w:rsid w:val="00D37EA7"/>
    <w:rsid w:val="00D51B34"/>
    <w:rsid w:val="00D52C14"/>
    <w:rsid w:val="00D62B5D"/>
    <w:rsid w:val="00D64BB7"/>
    <w:rsid w:val="00D765E2"/>
    <w:rsid w:val="00D838CF"/>
    <w:rsid w:val="00DA5F0A"/>
    <w:rsid w:val="00DD4A45"/>
    <w:rsid w:val="00DD544F"/>
    <w:rsid w:val="00DD7B3D"/>
    <w:rsid w:val="00DE381D"/>
    <w:rsid w:val="00E04CBB"/>
    <w:rsid w:val="00E13696"/>
    <w:rsid w:val="00E2476E"/>
    <w:rsid w:val="00E4073A"/>
    <w:rsid w:val="00E4523A"/>
    <w:rsid w:val="00E47B2B"/>
    <w:rsid w:val="00E51952"/>
    <w:rsid w:val="00E55291"/>
    <w:rsid w:val="00E909F8"/>
    <w:rsid w:val="00EA4C90"/>
    <w:rsid w:val="00EA4E2A"/>
    <w:rsid w:val="00EC2C59"/>
    <w:rsid w:val="00ED149F"/>
    <w:rsid w:val="00ED207D"/>
    <w:rsid w:val="00F11E4C"/>
    <w:rsid w:val="00F37FB2"/>
    <w:rsid w:val="00F63B08"/>
    <w:rsid w:val="00F84DA6"/>
    <w:rsid w:val="00F92BFA"/>
    <w:rsid w:val="00F95589"/>
    <w:rsid w:val="00FA69D0"/>
    <w:rsid w:val="00FB1C88"/>
    <w:rsid w:val="00FB5D6F"/>
    <w:rsid w:val="00FC3529"/>
    <w:rsid w:val="00FC652A"/>
    <w:rsid w:val="00FE0D0F"/>
    <w:rsid w:val="00FE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88"/>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C88"/>
    <w:pPr>
      <w:spacing w:after="0" w:line="240" w:lineRule="auto"/>
      <w:ind w:left="720"/>
      <w:contextualSpacing/>
    </w:pPr>
    <w:rPr>
      <w:rFonts w:ascii="Times New Roman" w:eastAsia="Times New Roman" w:hAnsi="Times New Roman"/>
      <w:sz w:val="24"/>
      <w:szCs w:val="20"/>
    </w:rPr>
  </w:style>
  <w:style w:type="character" w:styleId="CommentReference">
    <w:name w:val="annotation reference"/>
    <w:basedOn w:val="DefaultParagraphFont"/>
    <w:uiPriority w:val="99"/>
    <w:semiHidden/>
    <w:unhideWhenUsed/>
    <w:rsid w:val="00FB1C88"/>
    <w:rPr>
      <w:sz w:val="16"/>
      <w:szCs w:val="16"/>
    </w:rPr>
  </w:style>
  <w:style w:type="paragraph" w:styleId="CommentText">
    <w:name w:val="annotation text"/>
    <w:basedOn w:val="Normal"/>
    <w:link w:val="CommentTextChar"/>
    <w:uiPriority w:val="99"/>
    <w:semiHidden/>
    <w:unhideWhenUsed/>
    <w:rsid w:val="00FB1C88"/>
    <w:pPr>
      <w:spacing w:line="240" w:lineRule="auto"/>
    </w:pPr>
    <w:rPr>
      <w:sz w:val="20"/>
      <w:szCs w:val="20"/>
    </w:rPr>
  </w:style>
  <w:style w:type="character" w:customStyle="1" w:styleId="CommentTextChar">
    <w:name w:val="Comment Text Char"/>
    <w:basedOn w:val="DefaultParagraphFont"/>
    <w:link w:val="CommentText"/>
    <w:uiPriority w:val="99"/>
    <w:semiHidden/>
    <w:rsid w:val="00FB1C8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B1C88"/>
    <w:rPr>
      <w:b/>
      <w:bCs/>
    </w:rPr>
  </w:style>
  <w:style w:type="character" w:customStyle="1" w:styleId="CommentSubjectChar">
    <w:name w:val="Comment Subject Char"/>
    <w:basedOn w:val="CommentTextChar"/>
    <w:link w:val="CommentSubject"/>
    <w:uiPriority w:val="99"/>
    <w:semiHidden/>
    <w:rsid w:val="00FB1C88"/>
    <w:rPr>
      <w:rFonts w:ascii="Calibri" w:hAnsi="Calibri" w:cs="Times New Roman"/>
      <w:b/>
      <w:bCs/>
      <w:sz w:val="20"/>
      <w:szCs w:val="20"/>
    </w:rPr>
  </w:style>
  <w:style w:type="paragraph" w:styleId="BalloonText">
    <w:name w:val="Balloon Text"/>
    <w:basedOn w:val="Normal"/>
    <w:link w:val="BalloonTextChar"/>
    <w:uiPriority w:val="99"/>
    <w:semiHidden/>
    <w:unhideWhenUsed/>
    <w:rsid w:val="00FB1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C88"/>
    <w:rPr>
      <w:rFonts w:ascii="Tahoma" w:hAnsi="Tahoma" w:cs="Tahoma"/>
      <w:sz w:val="16"/>
      <w:szCs w:val="16"/>
    </w:rPr>
  </w:style>
  <w:style w:type="paragraph" w:styleId="Footer">
    <w:name w:val="footer"/>
    <w:basedOn w:val="Normal"/>
    <w:link w:val="FooterChar"/>
    <w:uiPriority w:val="99"/>
    <w:rsid w:val="00FB1C88"/>
    <w:pPr>
      <w:spacing w:after="0" w:line="240" w:lineRule="auto"/>
    </w:pPr>
    <w:rPr>
      <w:rFonts w:ascii="Calisto MT" w:eastAsia="Times New Roman" w:hAnsi="Calisto MT"/>
      <w:sz w:val="26"/>
      <w:szCs w:val="26"/>
    </w:rPr>
  </w:style>
  <w:style w:type="character" w:customStyle="1" w:styleId="FooterChar">
    <w:name w:val="Footer Char"/>
    <w:basedOn w:val="DefaultParagraphFont"/>
    <w:link w:val="Footer"/>
    <w:uiPriority w:val="99"/>
    <w:rsid w:val="00FB1C88"/>
    <w:rPr>
      <w:rFonts w:ascii="Calisto MT" w:eastAsia="Times New Roman" w:hAnsi="Calisto MT"/>
      <w:sz w:val="26"/>
      <w:szCs w:val="26"/>
    </w:rPr>
  </w:style>
  <w:style w:type="paragraph" w:customStyle="1" w:styleId="Question">
    <w:name w:val="Question"/>
    <w:basedOn w:val="List"/>
    <w:uiPriority w:val="99"/>
    <w:rsid w:val="00FB1C88"/>
    <w:pPr>
      <w:numPr>
        <w:numId w:val="4"/>
      </w:numPr>
      <w:spacing w:after="0" w:line="480" w:lineRule="auto"/>
      <w:contextualSpacing w:val="0"/>
    </w:pPr>
    <w:rPr>
      <w:rFonts w:ascii="Times New Roman" w:eastAsia="Times New Roman" w:hAnsi="Times New Roman"/>
      <w:b/>
      <w:sz w:val="24"/>
      <w:szCs w:val="24"/>
    </w:rPr>
  </w:style>
  <w:style w:type="paragraph" w:customStyle="1" w:styleId="Answer">
    <w:name w:val="Answer"/>
    <w:basedOn w:val="List"/>
    <w:uiPriority w:val="99"/>
    <w:rsid w:val="00FB1C88"/>
    <w:pPr>
      <w:numPr>
        <w:numId w:val="5"/>
      </w:numPr>
      <w:tabs>
        <w:tab w:val="num" w:pos="900"/>
      </w:tabs>
      <w:spacing w:after="0" w:line="480" w:lineRule="auto"/>
      <w:ind w:left="900"/>
      <w:contextualSpacing w:val="0"/>
    </w:pPr>
    <w:rPr>
      <w:rFonts w:ascii="Times New Roman" w:eastAsia="Times New Roman" w:hAnsi="Times New Roman"/>
      <w:sz w:val="24"/>
      <w:szCs w:val="24"/>
    </w:rPr>
  </w:style>
  <w:style w:type="paragraph" w:styleId="List">
    <w:name w:val="List"/>
    <w:basedOn w:val="Normal"/>
    <w:uiPriority w:val="99"/>
    <w:semiHidden/>
    <w:unhideWhenUsed/>
    <w:rsid w:val="00FB1C88"/>
    <w:pPr>
      <w:ind w:left="360" w:hanging="360"/>
      <w:contextualSpacing/>
    </w:pPr>
  </w:style>
  <w:style w:type="character" w:customStyle="1" w:styleId="vsDraft">
    <w:name w:val="vsDraft"/>
    <w:basedOn w:val="DefaultParagraphFont"/>
    <w:rsid w:val="00FB1C88"/>
    <w:rPr>
      <w:b/>
      <w:bCs/>
      <w:noProof/>
    </w:rPr>
  </w:style>
  <w:style w:type="paragraph" w:customStyle="1" w:styleId="PartnerList">
    <w:name w:val="PartnerList"/>
    <w:basedOn w:val="Normal"/>
    <w:link w:val="PartnerListChar"/>
    <w:rsid w:val="00FB1C88"/>
    <w:pPr>
      <w:spacing w:after="0" w:line="240" w:lineRule="auto"/>
      <w:ind w:right="-36"/>
      <w:jc w:val="center"/>
    </w:pPr>
    <w:rPr>
      <w:rFonts w:ascii="Tahoma" w:hAnsi="Tahoma" w:cs="Tahoma"/>
      <w:b/>
      <w:bCs/>
      <w:color w:val="404040"/>
      <w:sz w:val="8"/>
    </w:rPr>
  </w:style>
  <w:style w:type="character" w:customStyle="1" w:styleId="PartnerListChar">
    <w:name w:val="PartnerList Char"/>
    <w:basedOn w:val="DefaultParagraphFont"/>
    <w:link w:val="PartnerList"/>
    <w:rsid w:val="00FB1C88"/>
    <w:rPr>
      <w:rFonts w:ascii="Tahoma" w:hAnsi="Tahoma" w:cs="Tahoma"/>
      <w:b/>
      <w:bCs/>
      <w:color w:val="404040"/>
      <w:sz w:val="8"/>
      <w:szCs w:val="22"/>
    </w:rPr>
  </w:style>
  <w:style w:type="character" w:customStyle="1" w:styleId="HeaderFooterOfficeInfo">
    <w:name w:val="HeaderFooterOfficeInfo"/>
    <w:basedOn w:val="DefaultParagraphFont"/>
    <w:rsid w:val="00FB1C88"/>
    <w:rPr>
      <w:rFonts w:ascii="Century Schoolbook" w:hAnsi="Century Schoolbook"/>
      <w:b/>
      <w:bCs/>
      <w:noProof/>
      <w:vanish w:val="0"/>
      <w:color w:val="auto"/>
      <w:sz w:val="16"/>
    </w:rPr>
  </w:style>
  <w:style w:type="paragraph" w:customStyle="1" w:styleId="vsLastFooter">
    <w:name w:val="vsLastFooter"/>
    <w:basedOn w:val="Normal"/>
    <w:next w:val="Normal"/>
    <w:rsid w:val="00FB1C88"/>
    <w:pPr>
      <w:widowControl w:val="0"/>
      <w:spacing w:after="240" w:line="276" w:lineRule="exact"/>
      <w:ind w:right="-36"/>
    </w:pPr>
    <w:rPr>
      <w:rFonts w:ascii="Arial" w:hAnsi="Arial" w:cs="Arial"/>
      <w:b/>
      <w:bCs/>
      <w:noProof/>
      <w:color w:val="FF0000"/>
      <w:sz w:val="14"/>
    </w:rPr>
  </w:style>
  <w:style w:type="paragraph" w:styleId="Header">
    <w:name w:val="header"/>
    <w:basedOn w:val="Normal"/>
    <w:link w:val="HeaderChar"/>
    <w:uiPriority w:val="99"/>
    <w:unhideWhenUsed/>
    <w:rsid w:val="00FB1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C88"/>
    <w:rPr>
      <w:rFonts w:ascii="Calibri" w:hAnsi="Calibri" w:cs="Times New Roman"/>
      <w:sz w:val="22"/>
      <w:szCs w:val="22"/>
    </w:rPr>
  </w:style>
  <w:style w:type="paragraph" w:styleId="Revision">
    <w:name w:val="Revision"/>
    <w:hidden/>
    <w:uiPriority w:val="99"/>
    <w:semiHidden/>
    <w:rsid w:val="00FB1C88"/>
    <w:rPr>
      <w:rFonts w:ascii="Calibri" w:hAnsi="Calibri"/>
      <w:sz w:val="22"/>
      <w:szCs w:val="22"/>
    </w:rPr>
  </w:style>
  <w:style w:type="character" w:styleId="LineNumber">
    <w:name w:val="line number"/>
    <w:basedOn w:val="DefaultParagraphFont"/>
    <w:uiPriority w:val="99"/>
    <w:semiHidden/>
    <w:unhideWhenUsed/>
    <w:rsid w:val="00FB1C88"/>
  </w:style>
  <w:style w:type="table" w:styleId="TableGrid">
    <w:name w:val="Table Grid"/>
    <w:basedOn w:val="TableNormal"/>
    <w:uiPriority w:val="59"/>
    <w:rsid w:val="00FB1C8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B1C88"/>
    <w:rPr>
      <w:color w:val="0000FF"/>
      <w:u w:val="single"/>
    </w:rPr>
  </w:style>
  <w:style w:type="paragraph" w:styleId="FootnoteText">
    <w:name w:val="footnote text"/>
    <w:basedOn w:val="Normal"/>
    <w:link w:val="FootnoteTextChar"/>
    <w:uiPriority w:val="99"/>
    <w:semiHidden/>
    <w:unhideWhenUsed/>
    <w:rsid w:val="00800A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ACD"/>
    <w:rPr>
      <w:rFonts w:ascii="Calibri" w:hAnsi="Calibri"/>
    </w:rPr>
  </w:style>
  <w:style w:type="character" w:styleId="FootnoteReference">
    <w:name w:val="footnote reference"/>
    <w:basedOn w:val="DefaultParagraphFont"/>
    <w:uiPriority w:val="99"/>
    <w:semiHidden/>
    <w:unhideWhenUsed/>
    <w:rsid w:val="00800A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88"/>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C88"/>
    <w:pPr>
      <w:spacing w:after="0" w:line="240" w:lineRule="auto"/>
      <w:ind w:left="720"/>
      <w:contextualSpacing/>
    </w:pPr>
    <w:rPr>
      <w:rFonts w:ascii="Times New Roman" w:eastAsia="Times New Roman" w:hAnsi="Times New Roman"/>
      <w:sz w:val="24"/>
      <w:szCs w:val="20"/>
    </w:rPr>
  </w:style>
  <w:style w:type="character" w:styleId="CommentReference">
    <w:name w:val="annotation reference"/>
    <w:basedOn w:val="DefaultParagraphFont"/>
    <w:uiPriority w:val="99"/>
    <w:semiHidden/>
    <w:unhideWhenUsed/>
    <w:rsid w:val="00FB1C88"/>
    <w:rPr>
      <w:sz w:val="16"/>
      <w:szCs w:val="16"/>
    </w:rPr>
  </w:style>
  <w:style w:type="paragraph" w:styleId="CommentText">
    <w:name w:val="annotation text"/>
    <w:basedOn w:val="Normal"/>
    <w:link w:val="CommentTextChar"/>
    <w:uiPriority w:val="99"/>
    <w:semiHidden/>
    <w:unhideWhenUsed/>
    <w:rsid w:val="00FB1C88"/>
    <w:pPr>
      <w:spacing w:line="240" w:lineRule="auto"/>
    </w:pPr>
    <w:rPr>
      <w:sz w:val="20"/>
      <w:szCs w:val="20"/>
    </w:rPr>
  </w:style>
  <w:style w:type="character" w:customStyle="1" w:styleId="CommentTextChar">
    <w:name w:val="Comment Text Char"/>
    <w:basedOn w:val="DefaultParagraphFont"/>
    <w:link w:val="CommentText"/>
    <w:uiPriority w:val="99"/>
    <w:semiHidden/>
    <w:rsid w:val="00FB1C8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B1C88"/>
    <w:rPr>
      <w:b/>
      <w:bCs/>
    </w:rPr>
  </w:style>
  <w:style w:type="character" w:customStyle="1" w:styleId="CommentSubjectChar">
    <w:name w:val="Comment Subject Char"/>
    <w:basedOn w:val="CommentTextChar"/>
    <w:link w:val="CommentSubject"/>
    <w:uiPriority w:val="99"/>
    <w:semiHidden/>
    <w:rsid w:val="00FB1C88"/>
    <w:rPr>
      <w:rFonts w:ascii="Calibri" w:hAnsi="Calibri" w:cs="Times New Roman"/>
      <w:b/>
      <w:bCs/>
      <w:sz w:val="20"/>
      <w:szCs w:val="20"/>
    </w:rPr>
  </w:style>
  <w:style w:type="paragraph" w:styleId="BalloonText">
    <w:name w:val="Balloon Text"/>
    <w:basedOn w:val="Normal"/>
    <w:link w:val="BalloonTextChar"/>
    <w:uiPriority w:val="99"/>
    <w:semiHidden/>
    <w:unhideWhenUsed/>
    <w:rsid w:val="00FB1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C88"/>
    <w:rPr>
      <w:rFonts w:ascii="Tahoma" w:hAnsi="Tahoma" w:cs="Tahoma"/>
      <w:sz w:val="16"/>
      <w:szCs w:val="16"/>
    </w:rPr>
  </w:style>
  <w:style w:type="paragraph" w:styleId="Footer">
    <w:name w:val="footer"/>
    <w:basedOn w:val="Normal"/>
    <w:link w:val="FooterChar"/>
    <w:uiPriority w:val="99"/>
    <w:rsid w:val="00FB1C88"/>
    <w:pPr>
      <w:spacing w:after="0" w:line="240" w:lineRule="auto"/>
    </w:pPr>
    <w:rPr>
      <w:rFonts w:ascii="Calisto MT" w:eastAsia="Times New Roman" w:hAnsi="Calisto MT"/>
      <w:sz w:val="26"/>
      <w:szCs w:val="26"/>
    </w:rPr>
  </w:style>
  <w:style w:type="character" w:customStyle="1" w:styleId="FooterChar">
    <w:name w:val="Footer Char"/>
    <w:basedOn w:val="DefaultParagraphFont"/>
    <w:link w:val="Footer"/>
    <w:uiPriority w:val="99"/>
    <w:rsid w:val="00FB1C88"/>
    <w:rPr>
      <w:rFonts w:ascii="Calisto MT" w:eastAsia="Times New Roman" w:hAnsi="Calisto MT"/>
      <w:sz w:val="26"/>
      <w:szCs w:val="26"/>
    </w:rPr>
  </w:style>
  <w:style w:type="paragraph" w:customStyle="1" w:styleId="Question">
    <w:name w:val="Question"/>
    <w:basedOn w:val="List"/>
    <w:uiPriority w:val="99"/>
    <w:rsid w:val="00FB1C88"/>
    <w:pPr>
      <w:numPr>
        <w:numId w:val="4"/>
      </w:numPr>
      <w:spacing w:after="0" w:line="480" w:lineRule="auto"/>
      <w:contextualSpacing w:val="0"/>
    </w:pPr>
    <w:rPr>
      <w:rFonts w:ascii="Times New Roman" w:eastAsia="Times New Roman" w:hAnsi="Times New Roman"/>
      <w:b/>
      <w:sz w:val="24"/>
      <w:szCs w:val="24"/>
    </w:rPr>
  </w:style>
  <w:style w:type="paragraph" w:customStyle="1" w:styleId="Answer">
    <w:name w:val="Answer"/>
    <w:basedOn w:val="List"/>
    <w:uiPriority w:val="99"/>
    <w:rsid w:val="00FB1C88"/>
    <w:pPr>
      <w:numPr>
        <w:numId w:val="5"/>
      </w:numPr>
      <w:tabs>
        <w:tab w:val="num" w:pos="900"/>
      </w:tabs>
      <w:spacing w:after="0" w:line="480" w:lineRule="auto"/>
      <w:ind w:left="900"/>
      <w:contextualSpacing w:val="0"/>
    </w:pPr>
    <w:rPr>
      <w:rFonts w:ascii="Times New Roman" w:eastAsia="Times New Roman" w:hAnsi="Times New Roman"/>
      <w:sz w:val="24"/>
      <w:szCs w:val="24"/>
    </w:rPr>
  </w:style>
  <w:style w:type="paragraph" w:styleId="List">
    <w:name w:val="List"/>
    <w:basedOn w:val="Normal"/>
    <w:uiPriority w:val="99"/>
    <w:semiHidden/>
    <w:unhideWhenUsed/>
    <w:rsid w:val="00FB1C88"/>
    <w:pPr>
      <w:ind w:left="360" w:hanging="360"/>
      <w:contextualSpacing/>
    </w:pPr>
  </w:style>
  <w:style w:type="character" w:customStyle="1" w:styleId="vsDraft">
    <w:name w:val="vsDraft"/>
    <w:basedOn w:val="DefaultParagraphFont"/>
    <w:rsid w:val="00FB1C88"/>
    <w:rPr>
      <w:b/>
      <w:bCs/>
      <w:noProof/>
    </w:rPr>
  </w:style>
  <w:style w:type="paragraph" w:customStyle="1" w:styleId="PartnerList">
    <w:name w:val="PartnerList"/>
    <w:basedOn w:val="Normal"/>
    <w:link w:val="PartnerListChar"/>
    <w:rsid w:val="00FB1C88"/>
    <w:pPr>
      <w:spacing w:after="0" w:line="240" w:lineRule="auto"/>
      <w:ind w:right="-36"/>
      <w:jc w:val="center"/>
    </w:pPr>
    <w:rPr>
      <w:rFonts w:ascii="Tahoma" w:hAnsi="Tahoma" w:cs="Tahoma"/>
      <w:b/>
      <w:bCs/>
      <w:color w:val="404040"/>
      <w:sz w:val="8"/>
    </w:rPr>
  </w:style>
  <w:style w:type="character" w:customStyle="1" w:styleId="PartnerListChar">
    <w:name w:val="PartnerList Char"/>
    <w:basedOn w:val="DefaultParagraphFont"/>
    <w:link w:val="PartnerList"/>
    <w:rsid w:val="00FB1C88"/>
    <w:rPr>
      <w:rFonts w:ascii="Tahoma" w:hAnsi="Tahoma" w:cs="Tahoma"/>
      <w:b/>
      <w:bCs/>
      <w:color w:val="404040"/>
      <w:sz w:val="8"/>
      <w:szCs w:val="22"/>
    </w:rPr>
  </w:style>
  <w:style w:type="character" w:customStyle="1" w:styleId="HeaderFooterOfficeInfo">
    <w:name w:val="HeaderFooterOfficeInfo"/>
    <w:basedOn w:val="DefaultParagraphFont"/>
    <w:rsid w:val="00FB1C88"/>
    <w:rPr>
      <w:rFonts w:ascii="Century Schoolbook" w:hAnsi="Century Schoolbook"/>
      <w:b/>
      <w:bCs/>
      <w:noProof/>
      <w:vanish w:val="0"/>
      <w:color w:val="auto"/>
      <w:sz w:val="16"/>
    </w:rPr>
  </w:style>
  <w:style w:type="paragraph" w:customStyle="1" w:styleId="vsLastFooter">
    <w:name w:val="vsLastFooter"/>
    <w:basedOn w:val="Normal"/>
    <w:next w:val="Normal"/>
    <w:rsid w:val="00FB1C88"/>
    <w:pPr>
      <w:widowControl w:val="0"/>
      <w:spacing w:after="240" w:line="276" w:lineRule="exact"/>
      <w:ind w:right="-36"/>
    </w:pPr>
    <w:rPr>
      <w:rFonts w:ascii="Arial" w:hAnsi="Arial" w:cs="Arial"/>
      <w:b/>
      <w:bCs/>
      <w:noProof/>
      <w:color w:val="FF0000"/>
      <w:sz w:val="14"/>
    </w:rPr>
  </w:style>
  <w:style w:type="paragraph" w:styleId="Header">
    <w:name w:val="header"/>
    <w:basedOn w:val="Normal"/>
    <w:link w:val="HeaderChar"/>
    <w:uiPriority w:val="99"/>
    <w:unhideWhenUsed/>
    <w:rsid w:val="00FB1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C88"/>
    <w:rPr>
      <w:rFonts w:ascii="Calibri" w:hAnsi="Calibri" w:cs="Times New Roman"/>
      <w:sz w:val="22"/>
      <w:szCs w:val="22"/>
    </w:rPr>
  </w:style>
  <w:style w:type="paragraph" w:styleId="Revision">
    <w:name w:val="Revision"/>
    <w:hidden/>
    <w:uiPriority w:val="99"/>
    <w:semiHidden/>
    <w:rsid w:val="00FB1C88"/>
    <w:rPr>
      <w:rFonts w:ascii="Calibri" w:hAnsi="Calibri"/>
      <w:sz w:val="22"/>
      <w:szCs w:val="22"/>
    </w:rPr>
  </w:style>
  <w:style w:type="character" w:styleId="LineNumber">
    <w:name w:val="line number"/>
    <w:basedOn w:val="DefaultParagraphFont"/>
    <w:uiPriority w:val="99"/>
    <w:semiHidden/>
    <w:unhideWhenUsed/>
    <w:rsid w:val="00FB1C88"/>
  </w:style>
  <w:style w:type="table" w:styleId="TableGrid">
    <w:name w:val="Table Grid"/>
    <w:basedOn w:val="TableNormal"/>
    <w:uiPriority w:val="59"/>
    <w:rsid w:val="00FB1C8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B1C88"/>
    <w:rPr>
      <w:color w:val="0000FF"/>
      <w:u w:val="single"/>
    </w:rPr>
  </w:style>
  <w:style w:type="paragraph" w:styleId="FootnoteText">
    <w:name w:val="footnote text"/>
    <w:basedOn w:val="Normal"/>
    <w:link w:val="FootnoteTextChar"/>
    <w:uiPriority w:val="99"/>
    <w:semiHidden/>
    <w:unhideWhenUsed/>
    <w:rsid w:val="00800A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ACD"/>
    <w:rPr>
      <w:rFonts w:ascii="Calibri" w:hAnsi="Calibri"/>
    </w:rPr>
  </w:style>
  <w:style w:type="character" w:styleId="FootnoteReference">
    <w:name w:val="footnote reference"/>
    <w:basedOn w:val="DefaultParagraphFont"/>
    <w:uiPriority w:val="99"/>
    <w:semiHidden/>
    <w:unhideWhenUsed/>
    <w:rsid w:val="00800A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dconway@porterwright.com" TargetMode="External"/><Relationship Id="rId26" Type="http://schemas.openxmlformats.org/officeDocument/2006/relationships/hyperlink" Target="mailto:brian@mcintoshlaw.com" TargetMode="External"/><Relationship Id="rId3" Type="http://schemas.openxmlformats.org/officeDocument/2006/relationships/styles" Target="styles.xml"/><Relationship Id="rId21" Type="http://schemas.openxmlformats.org/officeDocument/2006/relationships/hyperlink" Target="mailto:serio@occ.state.oh.u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bleslie@nisource.com" TargetMode="External"/><Relationship Id="rId25" Type="http://schemas.openxmlformats.org/officeDocument/2006/relationships/hyperlink" Target="../AppData/Local/Microsoft/Windows/Temporary%20Internet%20Files/Content.Outlook/AppData/Local/Microsoft/Windows/Temporary%20Internet%20Files/Content.Outlook/AppData/Local/Microsoft/Windows/Temporary%20Internet%20Files/Content.Outlook/J28K2SL6/Dane.Stinson@BaileyCavalieri.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seiple@nisource.com" TargetMode="External"/><Relationship Id="rId20" Type="http://schemas.openxmlformats.org/officeDocument/2006/relationships/hyperlink" Target="mailto:egallon@porterwright.com" TargetMode="External"/><Relationship Id="rId29" Type="http://schemas.openxmlformats.org/officeDocument/2006/relationships/hyperlink" Target="mailto:jeinstein@volunteerenerg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barthroyer@aol.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tephen.reilly@puc.state.oh.us" TargetMode="External"/><Relationship Id="rId23" Type="http://schemas.openxmlformats.org/officeDocument/2006/relationships/hyperlink" Target="mailto:sauer@occ.state.oh.us" TargetMode="External"/><Relationship Id="rId28" Type="http://schemas.openxmlformats.org/officeDocument/2006/relationships/hyperlink" Target="../AppData/Local/Microsoft/Windows/Temporary%20Internet%20Files/Content.Outlook/AppData/Local/Microsoft/Windows/Temporary%20Internet%20Files/Content.Outlook/AppData/Local/Microsoft/Windows/Temporary%20Internet%20Files/Content.Outlook/J28K2SL6/mwarnock@bricker.com" TargetMode="External"/><Relationship Id="rId10" Type="http://schemas.openxmlformats.org/officeDocument/2006/relationships/header" Target="header2.xml"/><Relationship Id="rId19" Type="http://schemas.openxmlformats.org/officeDocument/2006/relationships/hyperlink" Target="../AppData/Local/Microsoft/Windows/Temporary%20Internet%20Files/Content.Outlook/AppData/Local/Microsoft/Windows/Temporary%20Internet%20Files/Content.Outlook/AppData/Local/Microsoft/Windows/Temporary%20Internet%20Files/Content.Outlook/J28K2SL6/mhpetricoff@vorys.com"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AppData/Local/Microsoft/Windows/Temporary%20Internet%20Files/Content.Outlook/AppData/Local/Microsoft/Windows/Temporary%20Internet%20Files/Content.Outlook/AppData/Local/Microsoft/Windows/Temporary%20Internet%20Files/Content.Outlook/J28K2SL6/cmooney2@columbus.rr.com" TargetMode="External"/><Relationship Id="rId27" Type="http://schemas.openxmlformats.org/officeDocument/2006/relationships/hyperlink" Target="mailto:gkrassen@bricker.com" TargetMode="External"/><Relationship Id="rId30" Type="http://schemas.openxmlformats.org/officeDocument/2006/relationships/hyperlink" Target="mailto:mswhite@igs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5A31-3A91-4AA2-AE43-E147DFD2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3421</Words>
  <Characters>19501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2012-11-13T17:05:00Z</dcterms:created>
  <dcterms:modified xsi:type="dcterms:W3CDTF">2012-11-13T18:51:00Z</dcterms:modified>
</cp:coreProperties>
</file>