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64DA7" w:rsidRPr="00E66042" w14:paraId="457F08B5" w14:textId="4C73B2F8">
      <w:pPr>
        <w:pStyle w:val="HTMLPreformatted"/>
        <w:tabs>
          <w:tab w:val="clear" w:pos="4580"/>
        </w:tabs>
        <w:jc w:val="center"/>
        <w:rPr>
          <w:rFonts w:ascii="Times New Roman" w:hAnsi="Times New Roman" w:cs="Times New Roman"/>
          <w:b/>
          <w:bCs/>
          <w:sz w:val="24"/>
          <w:szCs w:val="24"/>
        </w:rPr>
      </w:pPr>
      <w:r w:rsidRPr="00E66042">
        <w:rPr>
          <w:rFonts w:ascii="Times New Roman" w:hAnsi="Times New Roman" w:cs="Times New Roman"/>
          <w:b/>
          <w:bCs/>
          <w:sz w:val="24"/>
          <w:szCs w:val="24"/>
        </w:rPr>
        <w:t>BEFORE</w:t>
      </w:r>
    </w:p>
    <w:p w:rsidR="00964DA7" w:rsidRPr="00E66042" w14:paraId="357DEC89" w14:textId="77777777">
      <w:pPr>
        <w:pStyle w:val="HTMLPreformatted"/>
        <w:jc w:val="center"/>
        <w:rPr>
          <w:rFonts w:ascii="Times New Roman" w:hAnsi="Times New Roman" w:cs="Times New Roman"/>
          <w:sz w:val="24"/>
          <w:szCs w:val="24"/>
        </w:rPr>
      </w:pPr>
      <w:r w:rsidRPr="00E66042">
        <w:rPr>
          <w:rFonts w:ascii="Times New Roman" w:hAnsi="Times New Roman" w:cs="Times New Roman"/>
          <w:b/>
          <w:bCs/>
          <w:sz w:val="24"/>
          <w:szCs w:val="24"/>
        </w:rPr>
        <w:t>THE PUBLIC UTILITIES COMMISSION OF OHIO</w:t>
      </w:r>
    </w:p>
    <w:p w:rsidR="00964DA7" w:rsidRPr="00E66042" w14:paraId="3AE80302" w14:textId="77777777">
      <w:pPr>
        <w:pStyle w:val="HTMLPreformatted"/>
        <w:rPr>
          <w:rFonts w:ascii="Times New Roman" w:hAnsi="Times New Roman" w:cs="Times New Roman"/>
          <w:sz w:val="24"/>
          <w:szCs w:val="24"/>
        </w:rPr>
      </w:pPr>
      <w:r w:rsidRPr="00E66042">
        <w:rPr>
          <w:rFonts w:ascii="Times New Roman" w:hAnsi="Times New Roman" w:cs="Times New Roman"/>
          <w:sz w:val="24"/>
          <w:szCs w:val="24"/>
        </w:rPr>
        <w:tab/>
      </w:r>
    </w:p>
    <w:tbl>
      <w:tblPr>
        <w:tblW w:w="9092" w:type="dxa"/>
        <w:tblLook w:val="01E0"/>
      </w:tblPr>
      <w:tblGrid>
        <w:gridCol w:w="8946"/>
        <w:gridCol w:w="222"/>
        <w:gridCol w:w="222"/>
      </w:tblGrid>
      <w:tr w14:paraId="3CFD05DA" w14:textId="77777777" w:rsidTr="00964DA7">
        <w:tblPrEx>
          <w:tblW w:w="9092" w:type="dxa"/>
          <w:tblLook w:val="01E0"/>
        </w:tblPrEx>
        <w:trPr>
          <w:trHeight w:val="807"/>
        </w:trPr>
        <w:tc>
          <w:tcPr>
            <w:tcW w:w="4332" w:type="dxa"/>
            <w:shd w:val="clear" w:color="auto" w:fill="auto"/>
          </w:tcPr>
          <w:tbl>
            <w:tblPr>
              <w:tblW w:w="8730" w:type="dxa"/>
              <w:tblLook w:val="01E0"/>
            </w:tblPr>
            <w:tblGrid>
              <w:gridCol w:w="4122"/>
              <w:gridCol w:w="576"/>
              <w:gridCol w:w="4032"/>
            </w:tblGrid>
            <w:tr w14:paraId="53D1EC99" w14:textId="77777777" w:rsidTr="00964DA7">
              <w:tblPrEx>
                <w:tblW w:w="8730" w:type="dxa"/>
                <w:tblLook w:val="01E0"/>
              </w:tblPrEx>
              <w:trPr>
                <w:trHeight w:val="807"/>
              </w:trPr>
              <w:tc>
                <w:tcPr>
                  <w:tcW w:w="4122" w:type="dxa"/>
                </w:tcPr>
                <w:p w:rsidR="00F76094" w:rsidRPr="00E66042" w:rsidP="00EA767E" w14:paraId="789877D0" w14:textId="5C6DD1EE">
                  <w:pPr>
                    <w:tabs>
                      <w:tab w:val="left" w:pos="8730"/>
                    </w:tabs>
                    <w:adjustRightInd w:val="0"/>
                    <w:rPr>
                      <w:szCs w:val="24"/>
                    </w:rPr>
                  </w:pPr>
                  <w:r>
                    <w:rPr>
                      <w:rFonts w:eastAsia="Calibri"/>
                      <w:szCs w:val="24"/>
                    </w:rPr>
                    <w:t xml:space="preserve">In the Matter of the Application of The Dayton Power and Light Company d/b/a AES Ohio for Establishing New Reliability Standards. </w:t>
                  </w:r>
                </w:p>
              </w:tc>
              <w:tc>
                <w:tcPr>
                  <w:tcW w:w="576" w:type="dxa"/>
                </w:tcPr>
                <w:p w:rsidR="00F76094" w:rsidRPr="00E66042" w:rsidP="00F76094" w14:paraId="0C3956CF" w14:textId="77777777">
                  <w:pPr>
                    <w:pStyle w:val="HTMLPreformatted"/>
                    <w:tabs>
                      <w:tab w:val="left" w:pos="8730"/>
                      <w:tab w:val="clear" w:pos="10076"/>
                    </w:tabs>
                    <w:rPr>
                      <w:rFonts w:ascii="Times New Roman" w:hAnsi="Times New Roman" w:cs="Times New Roman"/>
                      <w:sz w:val="24"/>
                      <w:szCs w:val="24"/>
                    </w:rPr>
                  </w:pPr>
                  <w:r w:rsidRPr="00E66042">
                    <w:rPr>
                      <w:rFonts w:ascii="Times New Roman" w:hAnsi="Times New Roman" w:cs="Times New Roman"/>
                      <w:sz w:val="24"/>
                      <w:szCs w:val="24"/>
                    </w:rPr>
                    <w:t>)</w:t>
                  </w:r>
                </w:p>
                <w:p w:rsidR="00F76094" w:rsidP="00F76094" w14:paraId="4537F8BD" w14:textId="77777777">
                  <w:pPr>
                    <w:pStyle w:val="HTMLPreformatted"/>
                    <w:tabs>
                      <w:tab w:val="left" w:pos="8730"/>
                      <w:tab w:val="clear" w:pos="10076"/>
                    </w:tabs>
                    <w:rPr>
                      <w:rFonts w:ascii="Times New Roman" w:hAnsi="Times New Roman" w:cs="Times New Roman"/>
                      <w:sz w:val="24"/>
                      <w:szCs w:val="24"/>
                    </w:rPr>
                  </w:pPr>
                  <w:r w:rsidRPr="00E66042">
                    <w:rPr>
                      <w:rFonts w:ascii="Times New Roman" w:hAnsi="Times New Roman" w:cs="Times New Roman"/>
                      <w:sz w:val="24"/>
                      <w:szCs w:val="24"/>
                    </w:rPr>
                    <w:t>)</w:t>
                  </w:r>
                </w:p>
                <w:p w:rsidR="00EA767E" w:rsidP="00F76094" w14:paraId="22FFADD7" w14:textId="77777777">
                  <w:pPr>
                    <w:pStyle w:val="HTMLPreformatted"/>
                    <w:tabs>
                      <w:tab w:val="left" w:pos="8730"/>
                      <w:tab w:val="clear" w:pos="10076"/>
                    </w:tabs>
                    <w:rPr>
                      <w:rFonts w:ascii="Times New Roman" w:hAnsi="Times New Roman" w:cs="Times New Roman"/>
                      <w:sz w:val="24"/>
                      <w:szCs w:val="24"/>
                    </w:rPr>
                  </w:pPr>
                  <w:r>
                    <w:rPr>
                      <w:rFonts w:ascii="Times New Roman" w:hAnsi="Times New Roman" w:cs="Times New Roman"/>
                      <w:sz w:val="24"/>
                      <w:szCs w:val="24"/>
                    </w:rPr>
                    <w:t>)</w:t>
                  </w:r>
                </w:p>
                <w:p w:rsidR="00EA767E" w:rsidP="00F76094" w14:paraId="4EB12EE4" w14:textId="77777777">
                  <w:pPr>
                    <w:pStyle w:val="HTMLPreformatted"/>
                    <w:tabs>
                      <w:tab w:val="left" w:pos="8730"/>
                      <w:tab w:val="clear" w:pos="10076"/>
                    </w:tabs>
                    <w:rPr>
                      <w:rFonts w:ascii="Times New Roman" w:hAnsi="Times New Roman" w:cs="Times New Roman"/>
                      <w:sz w:val="24"/>
                      <w:szCs w:val="24"/>
                    </w:rPr>
                  </w:pPr>
                  <w:r>
                    <w:rPr>
                      <w:rFonts w:ascii="Times New Roman" w:hAnsi="Times New Roman" w:cs="Times New Roman"/>
                      <w:sz w:val="24"/>
                      <w:szCs w:val="24"/>
                    </w:rPr>
                    <w:t>)</w:t>
                  </w:r>
                </w:p>
                <w:p w:rsidR="00EA767E" w:rsidRPr="00E66042" w:rsidP="00F76094" w14:paraId="50CF7F86" w14:textId="51C005F3">
                  <w:pPr>
                    <w:pStyle w:val="HTMLPreformatted"/>
                    <w:tabs>
                      <w:tab w:val="left" w:pos="8730"/>
                      <w:tab w:val="clear" w:pos="10076"/>
                    </w:tabs>
                    <w:rPr>
                      <w:rFonts w:ascii="Times New Roman" w:hAnsi="Times New Roman" w:cs="Times New Roman"/>
                      <w:sz w:val="24"/>
                      <w:szCs w:val="24"/>
                    </w:rPr>
                  </w:pPr>
                </w:p>
              </w:tc>
              <w:tc>
                <w:tcPr>
                  <w:tcW w:w="4032" w:type="dxa"/>
                </w:tcPr>
                <w:p w:rsidR="00F76094" w:rsidP="00F76094" w14:paraId="40E47B73" w14:textId="77777777">
                  <w:pPr>
                    <w:pStyle w:val="HTMLPreformatted"/>
                    <w:tabs>
                      <w:tab w:val="left" w:pos="8730"/>
                      <w:tab w:val="clear" w:pos="10076"/>
                    </w:tabs>
                    <w:rPr>
                      <w:rFonts w:ascii="Times New Roman" w:hAnsi="Times New Roman" w:cs="Times New Roman"/>
                      <w:sz w:val="24"/>
                      <w:szCs w:val="24"/>
                    </w:rPr>
                  </w:pPr>
                </w:p>
                <w:p w:rsidR="00EA767E" w:rsidRPr="00E66042" w:rsidP="00F76094" w14:paraId="597AB72C" w14:textId="1860B9AE">
                  <w:pPr>
                    <w:pStyle w:val="HTMLPreformatted"/>
                    <w:tabs>
                      <w:tab w:val="left" w:pos="8730"/>
                      <w:tab w:val="clear" w:pos="10076"/>
                    </w:tabs>
                    <w:rPr>
                      <w:rFonts w:ascii="Times New Roman" w:hAnsi="Times New Roman" w:cs="Times New Roman"/>
                      <w:sz w:val="24"/>
                      <w:szCs w:val="24"/>
                    </w:rPr>
                  </w:pPr>
                  <w:r w:rsidRPr="00E66042">
                    <w:rPr>
                      <w:rFonts w:ascii="Times New Roman" w:hAnsi="Times New Roman" w:cs="Times New Roman"/>
                      <w:sz w:val="24"/>
                      <w:szCs w:val="24"/>
                    </w:rPr>
                    <w:t xml:space="preserve">Case No. </w:t>
                  </w:r>
                  <w:r>
                    <w:rPr>
                      <w:rFonts w:ascii="Times New Roman" w:hAnsi="Times New Roman" w:cs="Times New Roman"/>
                      <w:sz w:val="24"/>
                      <w:szCs w:val="24"/>
                    </w:rPr>
                    <w:t>21-0956-EL-ESS</w:t>
                  </w:r>
                </w:p>
              </w:tc>
            </w:tr>
          </w:tbl>
          <w:p w:rsidR="00964DA7" w:rsidRPr="00E66042" w14:paraId="376E8CB7" w14:textId="77777777">
            <w:pPr>
              <w:pStyle w:val="HTMLPreformatted"/>
              <w:rPr>
                <w:rFonts w:ascii="Times New Roman" w:hAnsi="Times New Roman" w:cs="Times New Roman"/>
                <w:sz w:val="24"/>
                <w:szCs w:val="24"/>
              </w:rPr>
            </w:pPr>
          </w:p>
        </w:tc>
        <w:tc>
          <w:tcPr>
            <w:tcW w:w="360" w:type="dxa"/>
            <w:shd w:val="clear" w:color="auto" w:fill="auto"/>
          </w:tcPr>
          <w:p w:rsidR="00964DA7" w:rsidRPr="00E66042" w14:paraId="271907DF" w14:textId="77777777">
            <w:pPr>
              <w:pStyle w:val="HTMLPreformatted"/>
              <w:rPr>
                <w:rFonts w:ascii="Times New Roman" w:hAnsi="Times New Roman" w:cs="Times New Roman"/>
                <w:sz w:val="24"/>
                <w:szCs w:val="24"/>
              </w:rPr>
            </w:pPr>
          </w:p>
        </w:tc>
        <w:tc>
          <w:tcPr>
            <w:tcW w:w="4400" w:type="dxa"/>
            <w:shd w:val="clear" w:color="auto" w:fill="auto"/>
          </w:tcPr>
          <w:p w:rsidR="00964DA7" w:rsidRPr="00E66042" w14:paraId="064FC31E" w14:textId="77777777">
            <w:pPr>
              <w:pStyle w:val="HTMLPreformatted"/>
              <w:rPr>
                <w:rFonts w:ascii="Times New Roman" w:hAnsi="Times New Roman" w:cs="Times New Roman"/>
                <w:sz w:val="24"/>
                <w:szCs w:val="24"/>
              </w:rPr>
            </w:pPr>
          </w:p>
        </w:tc>
      </w:tr>
    </w:tbl>
    <w:p w:rsidR="00964DA7" w:rsidRPr="00E66042" w14:paraId="51D65FA0" w14:textId="77777777">
      <w:pPr>
        <w:pStyle w:val="HTMLPreformatted"/>
        <w:pBdr>
          <w:top w:val="single" w:sz="12" w:space="1" w:color="auto"/>
        </w:pBdr>
        <w:rPr>
          <w:rFonts w:ascii="Times New Roman" w:hAnsi="Times New Roman" w:cs="Times New Roman"/>
          <w:sz w:val="24"/>
          <w:szCs w:val="24"/>
        </w:rPr>
      </w:pPr>
    </w:p>
    <w:p w:rsidR="00F76094" w:rsidP="00F76094" w14:paraId="1AF9DA48" w14:textId="3F574D82">
      <w:pPr>
        <w:jc w:val="center"/>
        <w:rPr>
          <w:b/>
          <w:bCs/>
          <w:szCs w:val="24"/>
        </w:rPr>
      </w:pPr>
      <w:r w:rsidRPr="00E66042">
        <w:rPr>
          <w:b/>
          <w:bCs/>
          <w:szCs w:val="24"/>
        </w:rPr>
        <w:t xml:space="preserve">MEMORANDUM CONTRA </w:t>
      </w:r>
      <w:r>
        <w:rPr>
          <w:b/>
          <w:bCs/>
          <w:szCs w:val="24"/>
        </w:rPr>
        <w:t>MOTION OF AES OHIO TO ESTABLISH A PROCEDURAL SCHEDULE AND REQUEST FOR EXPEDITED RULING</w:t>
      </w:r>
    </w:p>
    <w:p w:rsidR="00FF4456" w:rsidP="00F76094" w14:paraId="5E93F939" w14:textId="2443A1BC">
      <w:pPr>
        <w:jc w:val="center"/>
        <w:rPr>
          <w:b/>
          <w:bCs/>
          <w:szCs w:val="24"/>
        </w:rPr>
      </w:pPr>
      <w:r>
        <w:rPr>
          <w:b/>
          <w:bCs/>
          <w:szCs w:val="24"/>
        </w:rPr>
        <w:t>BY</w:t>
      </w:r>
    </w:p>
    <w:p w:rsidR="00FF4456" w:rsidRPr="00E66042" w:rsidP="00F76094" w14:paraId="51A081B6" w14:textId="47114FB3">
      <w:pPr>
        <w:jc w:val="center"/>
        <w:rPr>
          <w:b/>
          <w:bCs/>
          <w:szCs w:val="24"/>
        </w:rPr>
      </w:pPr>
      <w:r>
        <w:rPr>
          <w:b/>
          <w:bCs/>
          <w:szCs w:val="24"/>
        </w:rPr>
        <w:t>OFFICE OF THE OHIO CONSUMERS’ COUNSEL</w:t>
      </w:r>
    </w:p>
    <w:p w:rsidR="00964DA7" w:rsidRPr="00E66042" w14:paraId="7E37AB5C" w14:textId="77777777">
      <w:pPr>
        <w:pBdr>
          <w:bottom w:val="single" w:sz="12" w:space="1" w:color="auto"/>
        </w:pBdr>
        <w:tabs>
          <w:tab w:val="left" w:pos="4320"/>
        </w:tabs>
        <w:rPr>
          <w:szCs w:val="24"/>
        </w:rPr>
      </w:pPr>
    </w:p>
    <w:p w:rsidR="00964DA7" w:rsidRPr="00E66042" w14:paraId="38B5D2E5" w14:textId="77777777">
      <w:pPr>
        <w:tabs>
          <w:tab w:val="left" w:pos="4320"/>
        </w:tabs>
        <w:rPr>
          <w:szCs w:val="24"/>
        </w:rPr>
      </w:pPr>
    </w:p>
    <w:p w:rsidR="00EA767E" w:rsidRPr="00CB48D6" w:rsidP="00B127D3" w14:paraId="0833B0FB" w14:textId="5B2E8991">
      <w:pPr>
        <w:pStyle w:val="Heading1"/>
      </w:pPr>
      <w:bookmarkStart w:id="0" w:name="_Toc104905064"/>
      <w:r w:rsidRPr="00E66042">
        <w:t>I.</w:t>
      </w:r>
      <w:r w:rsidRPr="00E66042">
        <w:tab/>
        <w:t>INTRODUCTION</w:t>
      </w:r>
      <w:r>
        <w:t xml:space="preserve"> </w:t>
      </w:r>
    </w:p>
    <w:p w:rsidR="00484FDC" w:rsidP="00E64A86" w14:paraId="5A50BE07" w14:textId="7D6AA713">
      <w:pPr>
        <w:pStyle w:val="BodyTextIndent3"/>
        <w:widowControl w:val="0"/>
        <w:spacing w:line="480" w:lineRule="auto"/>
        <w:rPr>
          <w:szCs w:val="24"/>
        </w:rPr>
      </w:pPr>
      <w:r>
        <w:rPr>
          <w:szCs w:val="24"/>
        </w:rPr>
        <w:t>Consumers need reliable electric</w:t>
      </w:r>
      <w:r w:rsidR="00DA6671">
        <w:rPr>
          <w:szCs w:val="24"/>
        </w:rPr>
        <w:t>ity</w:t>
      </w:r>
      <w:r>
        <w:rPr>
          <w:szCs w:val="24"/>
        </w:rPr>
        <w:t xml:space="preserve">. </w:t>
      </w:r>
      <w:r w:rsidR="00D007DB">
        <w:rPr>
          <w:szCs w:val="24"/>
        </w:rPr>
        <w:t>Ohio law requires every public utility to furn</w:t>
      </w:r>
      <w:r w:rsidR="00703719">
        <w:rPr>
          <w:szCs w:val="24"/>
        </w:rPr>
        <w:t>ish</w:t>
      </w:r>
      <w:r w:rsidR="00D007DB">
        <w:rPr>
          <w:szCs w:val="24"/>
        </w:rPr>
        <w:t xml:space="preserve"> “necessary and adequate service” that </w:t>
      </w:r>
      <w:r w:rsidR="00F050CF">
        <w:rPr>
          <w:szCs w:val="24"/>
        </w:rPr>
        <w:t>is</w:t>
      </w:r>
      <w:r w:rsidR="00D007DB">
        <w:rPr>
          <w:szCs w:val="24"/>
        </w:rPr>
        <w:t xml:space="preserve"> in “all respects just and reasonable.”</w:t>
      </w:r>
      <w:r>
        <w:rPr>
          <w:rStyle w:val="FootnoteReference"/>
          <w:szCs w:val="24"/>
        </w:rPr>
        <w:footnoteReference w:id="2"/>
      </w:r>
      <w:r w:rsidR="00D007DB">
        <w:rPr>
          <w:szCs w:val="24"/>
        </w:rPr>
        <w:t xml:space="preserve"> </w:t>
      </w:r>
      <w:r>
        <w:rPr>
          <w:szCs w:val="24"/>
        </w:rPr>
        <w:t xml:space="preserve">Unannounced outages disrupt medical devices, interrupt communication, </w:t>
      </w:r>
      <w:r w:rsidR="00DA6671">
        <w:rPr>
          <w:szCs w:val="24"/>
        </w:rPr>
        <w:t>spoil food</w:t>
      </w:r>
      <w:r>
        <w:rPr>
          <w:szCs w:val="24"/>
        </w:rPr>
        <w:t xml:space="preserve">, and </w:t>
      </w:r>
      <w:r w:rsidR="00DA6671">
        <w:rPr>
          <w:szCs w:val="24"/>
        </w:rPr>
        <w:t>leave</w:t>
      </w:r>
      <w:r>
        <w:rPr>
          <w:szCs w:val="24"/>
        </w:rPr>
        <w:t xml:space="preserve"> Ohioans </w:t>
      </w:r>
      <w:r w:rsidR="00CF30AD">
        <w:rPr>
          <w:szCs w:val="24"/>
        </w:rPr>
        <w:t xml:space="preserve">in the </w:t>
      </w:r>
      <w:r w:rsidR="00DA6671">
        <w:rPr>
          <w:szCs w:val="24"/>
        </w:rPr>
        <w:t xml:space="preserve">dark and </w:t>
      </w:r>
      <w:r>
        <w:rPr>
          <w:szCs w:val="24"/>
        </w:rPr>
        <w:t xml:space="preserve">vulnerable to extreme </w:t>
      </w:r>
      <w:r w:rsidR="00DA6671">
        <w:rPr>
          <w:szCs w:val="24"/>
        </w:rPr>
        <w:t>weather</w:t>
      </w:r>
      <w:r>
        <w:rPr>
          <w:szCs w:val="24"/>
        </w:rPr>
        <w:t xml:space="preserve">. </w:t>
      </w:r>
      <w:r w:rsidR="007743C1">
        <w:rPr>
          <w:szCs w:val="24"/>
        </w:rPr>
        <w:t>Dayton Power and Light Company</w:t>
      </w:r>
      <w:r w:rsidR="00DA6671">
        <w:rPr>
          <w:szCs w:val="24"/>
        </w:rPr>
        <w:t xml:space="preserve"> (“DP&amp;L”)</w:t>
      </w:r>
      <w:r>
        <w:rPr>
          <w:szCs w:val="24"/>
        </w:rPr>
        <w:t xml:space="preserve"> has struggled to protect consumers from electric outages. </w:t>
      </w:r>
      <w:r w:rsidR="00CB48D6">
        <w:rPr>
          <w:szCs w:val="24"/>
        </w:rPr>
        <w:t xml:space="preserve">Rather than </w:t>
      </w:r>
      <w:r w:rsidR="00621F95">
        <w:rPr>
          <w:szCs w:val="24"/>
        </w:rPr>
        <w:t>reduc</w:t>
      </w:r>
      <w:r w:rsidR="00FC3728">
        <w:rPr>
          <w:szCs w:val="24"/>
        </w:rPr>
        <w:t>e</w:t>
      </w:r>
      <w:r>
        <w:rPr>
          <w:szCs w:val="24"/>
        </w:rPr>
        <w:t xml:space="preserve"> electric outage</w:t>
      </w:r>
      <w:r w:rsidR="00621F95">
        <w:rPr>
          <w:szCs w:val="24"/>
        </w:rPr>
        <w:t>s</w:t>
      </w:r>
      <w:r>
        <w:rPr>
          <w:szCs w:val="24"/>
        </w:rPr>
        <w:t xml:space="preserve"> and </w:t>
      </w:r>
      <w:r w:rsidR="00621F95">
        <w:rPr>
          <w:szCs w:val="24"/>
        </w:rPr>
        <w:t>improv</w:t>
      </w:r>
      <w:r w:rsidR="00FC3728">
        <w:rPr>
          <w:szCs w:val="24"/>
        </w:rPr>
        <w:t>e</w:t>
      </w:r>
      <w:r w:rsidR="00621F95">
        <w:rPr>
          <w:szCs w:val="24"/>
        </w:rPr>
        <w:t xml:space="preserve"> </w:t>
      </w:r>
      <w:r>
        <w:rPr>
          <w:szCs w:val="24"/>
        </w:rPr>
        <w:t xml:space="preserve">restoration times, DP&amp;L proposes </w:t>
      </w:r>
      <w:r w:rsidR="002D387C">
        <w:rPr>
          <w:szCs w:val="24"/>
        </w:rPr>
        <w:t xml:space="preserve">that </w:t>
      </w:r>
      <w:r w:rsidR="00E061DE">
        <w:rPr>
          <w:szCs w:val="24"/>
        </w:rPr>
        <w:t xml:space="preserve">the PUCO </w:t>
      </w:r>
      <w:r w:rsidR="00D007DB">
        <w:rPr>
          <w:szCs w:val="24"/>
        </w:rPr>
        <w:t xml:space="preserve">allow it to provide consumers with less reliable service. </w:t>
      </w:r>
      <w:r w:rsidR="00E061DE">
        <w:rPr>
          <w:szCs w:val="24"/>
        </w:rPr>
        <w:t xml:space="preserve"> The PUCO should reject </w:t>
      </w:r>
      <w:r w:rsidR="00DA6671">
        <w:rPr>
          <w:szCs w:val="24"/>
        </w:rPr>
        <w:t xml:space="preserve">DP&amp;L’s request. </w:t>
      </w:r>
    </w:p>
    <w:p w:rsidR="009E13B7" w:rsidP="00E64A86" w14:paraId="4B1F49FF" w14:textId="77777777">
      <w:pPr>
        <w:pStyle w:val="BodyTextIndent3"/>
        <w:widowControl w:val="0"/>
        <w:spacing w:line="480" w:lineRule="auto"/>
        <w:rPr>
          <w:color w:val="000000" w:themeColor="text1"/>
        </w:rPr>
        <w:sectPr w:rsidSect="00EE471A">
          <w:footerReference w:type="default" r:id="rId6"/>
          <w:footerReference w:type="first" r:id="rId7"/>
          <w:pgSz w:w="12240" w:h="15840"/>
          <w:pgMar w:top="1440" w:right="1800" w:bottom="1440" w:left="1800" w:header="720" w:footer="720" w:gutter="0"/>
          <w:pgNumType w:start="2"/>
          <w:cols w:space="720"/>
          <w:titlePg/>
          <w:docGrid w:linePitch="65"/>
        </w:sectPr>
      </w:pPr>
      <w:r>
        <w:rPr>
          <w:szCs w:val="24"/>
        </w:rPr>
        <w:t xml:space="preserve">Now, DP&amp;L </w:t>
      </w:r>
      <w:r w:rsidR="00CB48D6">
        <w:rPr>
          <w:szCs w:val="24"/>
        </w:rPr>
        <w:t xml:space="preserve">also </w:t>
      </w:r>
      <w:r w:rsidR="00D007DB">
        <w:rPr>
          <w:szCs w:val="24"/>
        </w:rPr>
        <w:t>ask</w:t>
      </w:r>
      <w:r w:rsidR="00A40EC0">
        <w:rPr>
          <w:szCs w:val="24"/>
        </w:rPr>
        <w:t>s</w:t>
      </w:r>
      <w:r w:rsidR="00D007DB">
        <w:rPr>
          <w:szCs w:val="24"/>
        </w:rPr>
        <w:t xml:space="preserve"> the PUCO to adopt a procedural schedule that truncates </w:t>
      </w:r>
      <w:r w:rsidR="00C75BE0">
        <w:rPr>
          <w:szCs w:val="24"/>
        </w:rPr>
        <w:t xml:space="preserve">the </w:t>
      </w:r>
      <w:r w:rsidR="00D007DB">
        <w:rPr>
          <w:szCs w:val="24"/>
        </w:rPr>
        <w:t xml:space="preserve">parties’ </w:t>
      </w:r>
      <w:r w:rsidR="00A40EC0">
        <w:rPr>
          <w:szCs w:val="24"/>
        </w:rPr>
        <w:t xml:space="preserve">discovery </w:t>
      </w:r>
      <w:r w:rsidR="00D007DB">
        <w:rPr>
          <w:szCs w:val="24"/>
        </w:rPr>
        <w:t>rights</w:t>
      </w:r>
      <w:r w:rsidR="00A40EC0">
        <w:rPr>
          <w:szCs w:val="24"/>
        </w:rPr>
        <w:t>.</w:t>
      </w:r>
      <w:r>
        <w:rPr>
          <w:rStyle w:val="FootnoteReference"/>
          <w:szCs w:val="24"/>
        </w:rPr>
        <w:footnoteReference w:id="3"/>
      </w:r>
      <w:r w:rsidR="00CB48D6">
        <w:rPr>
          <w:szCs w:val="24"/>
        </w:rPr>
        <w:t xml:space="preserve"> </w:t>
      </w:r>
      <w:r w:rsidR="007743C1">
        <w:rPr>
          <w:color w:val="000000" w:themeColor="text1"/>
        </w:rPr>
        <w:t>DP&amp;L’s schedule</w:t>
      </w:r>
      <w:r w:rsidRPr="00753B06" w:rsidR="007743C1">
        <w:rPr>
          <w:color w:val="000000" w:themeColor="text1"/>
        </w:rPr>
        <w:t xml:space="preserve"> </w:t>
      </w:r>
      <w:r w:rsidR="007743C1">
        <w:rPr>
          <w:color w:val="000000" w:themeColor="text1"/>
        </w:rPr>
        <w:t xml:space="preserve">violates </w:t>
      </w:r>
      <w:r w:rsidRPr="00753B06" w:rsidR="007743C1">
        <w:rPr>
          <w:color w:val="000000" w:themeColor="text1"/>
        </w:rPr>
        <w:t>Ohio law and PUCO</w:t>
      </w:r>
      <w:r w:rsidR="00A40EC0">
        <w:rPr>
          <w:color w:val="000000" w:themeColor="text1"/>
        </w:rPr>
        <w:t xml:space="preserve"> </w:t>
      </w:r>
      <w:r w:rsidRPr="00753B06" w:rsidR="007743C1">
        <w:rPr>
          <w:color w:val="000000" w:themeColor="text1"/>
        </w:rPr>
        <w:t xml:space="preserve">rules, which </w:t>
      </w:r>
    </w:p>
    <w:p w:rsidR="00E64A86" w:rsidP="00E64A86" w14:paraId="4C907DEB" w14:textId="2A75A7DB">
      <w:pPr>
        <w:pStyle w:val="BodyTextIndent3"/>
        <w:widowControl w:val="0"/>
        <w:spacing w:line="480" w:lineRule="auto"/>
        <w:ind w:firstLine="0"/>
        <w:rPr>
          <w:color w:val="000000" w:themeColor="text1"/>
        </w:rPr>
      </w:pPr>
      <w:r w:rsidRPr="00753B06">
        <w:rPr>
          <w:color w:val="000000" w:themeColor="text1"/>
        </w:rPr>
        <w:t xml:space="preserve">explicitly </w:t>
      </w:r>
      <w:r>
        <w:rPr>
          <w:color w:val="000000" w:themeColor="text1"/>
        </w:rPr>
        <w:t>provide for “ample rights of discovery</w:t>
      </w:r>
      <w:r w:rsidRPr="00753B06">
        <w:rPr>
          <w:color w:val="000000" w:themeColor="text1"/>
        </w:rPr>
        <w:t>.</w:t>
      </w:r>
      <w:r>
        <w:rPr>
          <w:color w:val="000000" w:themeColor="text1"/>
        </w:rPr>
        <w:t>”</w:t>
      </w:r>
      <w:r>
        <w:rPr>
          <w:rStyle w:val="FootnoteReference"/>
          <w:color w:val="000000" w:themeColor="text1"/>
        </w:rPr>
        <w:footnoteReference w:id="4"/>
      </w:r>
      <w:r w:rsidRPr="00753B06">
        <w:rPr>
          <w:color w:val="000000" w:themeColor="text1"/>
        </w:rPr>
        <w:t xml:space="preserve"> </w:t>
      </w:r>
      <w:r>
        <w:rPr>
          <w:color w:val="000000" w:themeColor="text1"/>
        </w:rPr>
        <w:t>DP&amp;L</w:t>
      </w:r>
      <w:r w:rsidR="00CB48D6">
        <w:rPr>
          <w:color w:val="000000" w:themeColor="text1"/>
        </w:rPr>
        <w:t>’s proposal</w:t>
      </w:r>
      <w:r>
        <w:rPr>
          <w:color w:val="000000" w:themeColor="text1"/>
        </w:rPr>
        <w:t xml:space="preserve"> </w:t>
      </w:r>
      <w:r w:rsidR="00C75BE0">
        <w:rPr>
          <w:color w:val="000000" w:themeColor="text1"/>
        </w:rPr>
        <w:t xml:space="preserve">also </w:t>
      </w:r>
      <w:r w:rsidRPr="00753B06">
        <w:rPr>
          <w:color w:val="000000" w:themeColor="text1"/>
        </w:rPr>
        <w:t xml:space="preserve">prevents OCC from preparing to represent consumers. </w:t>
      </w:r>
      <w:r w:rsidR="0083098A">
        <w:rPr>
          <w:color w:val="000000" w:themeColor="text1"/>
        </w:rPr>
        <w:t xml:space="preserve">OCC </w:t>
      </w:r>
      <w:r w:rsidRPr="00753B06">
        <w:rPr>
          <w:color w:val="000000" w:themeColor="text1"/>
        </w:rPr>
        <w:t xml:space="preserve">asks the PUCO to </w:t>
      </w:r>
      <w:r>
        <w:rPr>
          <w:color w:val="000000" w:themeColor="text1"/>
        </w:rPr>
        <w:t>reject or modify DP&amp;L’s</w:t>
      </w:r>
      <w:r w:rsidR="00D16DAF">
        <w:rPr>
          <w:color w:val="000000" w:themeColor="text1"/>
        </w:rPr>
        <w:t xml:space="preserve"> </w:t>
      </w:r>
      <w:r w:rsidR="002D387C">
        <w:rPr>
          <w:color w:val="000000" w:themeColor="text1"/>
        </w:rPr>
        <w:t xml:space="preserve">proposed </w:t>
      </w:r>
      <w:r>
        <w:rPr>
          <w:color w:val="000000" w:themeColor="text1"/>
        </w:rPr>
        <w:t>schedule</w:t>
      </w:r>
      <w:r w:rsidR="009E13B7">
        <w:rPr>
          <w:color w:val="000000" w:themeColor="text1"/>
        </w:rPr>
        <w:t>.</w:t>
      </w:r>
      <w:r>
        <w:rPr>
          <w:rStyle w:val="FootnoteReference"/>
          <w:color w:val="000000" w:themeColor="text1"/>
        </w:rPr>
        <w:footnoteReference w:id="5"/>
      </w:r>
      <w:r>
        <w:rPr>
          <w:color w:val="000000" w:themeColor="text1"/>
        </w:rPr>
        <w:t xml:space="preserve"> </w:t>
      </w:r>
    </w:p>
    <w:p w:rsidR="00E64A86" w:rsidP="00E64A86" w14:paraId="28EB3D51" w14:textId="77777777">
      <w:pPr>
        <w:pStyle w:val="BodyTextIndent3"/>
        <w:widowControl w:val="0"/>
        <w:spacing w:line="240" w:lineRule="auto"/>
        <w:ind w:firstLine="0"/>
        <w:rPr>
          <w:color w:val="000000" w:themeColor="text1"/>
        </w:rPr>
      </w:pPr>
    </w:p>
    <w:p w:rsidR="00621F95" w:rsidRPr="00753B06" w:rsidP="00B127D3" w14:paraId="56D3B7D1" w14:textId="284DD27B">
      <w:pPr>
        <w:pStyle w:val="Heading1"/>
      </w:pPr>
      <w:r>
        <w:t xml:space="preserve">II. </w:t>
      </w:r>
      <w:r>
        <w:tab/>
      </w:r>
      <w:r w:rsidRPr="00753B06">
        <w:t>LAW AND ARGUMENT</w:t>
      </w:r>
    </w:p>
    <w:p w:rsidR="00621F95" w:rsidRPr="00753B06" w:rsidP="00621F95" w14:paraId="133FB634" w14:textId="482A566A">
      <w:pPr>
        <w:pStyle w:val="ListParagraph"/>
        <w:numPr>
          <w:ilvl w:val="0"/>
          <w:numId w:val="25"/>
        </w:numPr>
        <w:ind w:left="1440" w:hanging="720"/>
        <w:contextualSpacing/>
        <w:rPr>
          <w:b/>
          <w:bCs/>
          <w:color w:val="000000" w:themeColor="text1"/>
        </w:rPr>
      </w:pPr>
      <w:r>
        <w:rPr>
          <w:rStyle w:val="Heading2Char"/>
          <w:color w:val="000000" w:themeColor="text1"/>
        </w:rPr>
        <w:t xml:space="preserve">DP&amp;L’s schedule violates </w:t>
      </w:r>
      <w:r w:rsidR="00E97274">
        <w:rPr>
          <w:rStyle w:val="Heading2Char"/>
          <w:color w:val="000000" w:themeColor="text1"/>
        </w:rPr>
        <w:t xml:space="preserve">the parties’ </w:t>
      </w:r>
      <w:r>
        <w:rPr>
          <w:rStyle w:val="Heading2Char"/>
          <w:color w:val="000000" w:themeColor="text1"/>
        </w:rPr>
        <w:t>discovery rights</w:t>
      </w:r>
      <w:r w:rsidR="00C75BE0">
        <w:rPr>
          <w:rStyle w:val="Heading2Char"/>
          <w:color w:val="000000" w:themeColor="text1"/>
        </w:rPr>
        <w:t xml:space="preserve">, which </w:t>
      </w:r>
      <w:r>
        <w:rPr>
          <w:rStyle w:val="Heading2Char"/>
          <w:color w:val="000000" w:themeColor="text1"/>
        </w:rPr>
        <w:t>Ohio law and the Ohio Administrative Code</w:t>
      </w:r>
      <w:r w:rsidR="00FC3728">
        <w:rPr>
          <w:rStyle w:val="Heading2Char"/>
          <w:color w:val="000000" w:themeColor="text1"/>
        </w:rPr>
        <w:t xml:space="preserve"> guarantee. </w:t>
      </w:r>
    </w:p>
    <w:p w:rsidR="00EA767E" w:rsidRPr="00EA767E" w:rsidP="00EA767E" w14:paraId="6DCDBFD9" w14:textId="77777777">
      <w:pPr>
        <w:rPr>
          <w:rFonts w:ascii="Calibri" w:hAnsi="Calibri" w:cs="Calibri"/>
          <w:color w:val="000000"/>
          <w:sz w:val="22"/>
          <w:szCs w:val="22"/>
        </w:rPr>
      </w:pPr>
    </w:p>
    <w:p w:rsidR="00F62A4C" w:rsidP="00F62A4C" w14:paraId="09A40E61" w14:textId="2E1CFD76">
      <w:pPr>
        <w:spacing w:line="480" w:lineRule="auto"/>
        <w:ind w:firstLine="720"/>
      </w:pPr>
      <w:r w:rsidRPr="00753B06">
        <w:rPr>
          <w:color w:val="000000" w:themeColor="text1"/>
        </w:rPr>
        <w:t>Ohio law provides that “[a]ll parties and intervenors shall be granted ample rights of discovery” in PUCO proceedings.</w:t>
      </w:r>
      <w:r>
        <w:rPr>
          <w:rStyle w:val="FootnoteReference"/>
          <w:color w:val="000000" w:themeColor="text1"/>
        </w:rPr>
        <w:footnoteReference w:id="6"/>
      </w:r>
      <w:r w:rsidRPr="00753B06">
        <w:rPr>
          <w:color w:val="000000" w:themeColor="text1"/>
        </w:rPr>
        <w:t xml:space="preserve"> In accordance with this law, the PUCO adopted discovery rules designed to “facilitate thorough and adequate preparation for participation in commission proceedings.”</w:t>
      </w:r>
      <w:r>
        <w:rPr>
          <w:rStyle w:val="FootnoteReference"/>
          <w:color w:val="000000" w:themeColor="text1"/>
        </w:rPr>
        <w:footnoteReference w:id="7"/>
      </w:r>
      <w:r w:rsidRPr="001F346E">
        <w:t xml:space="preserve"> </w:t>
      </w:r>
      <w:r w:rsidR="00F93B73">
        <w:t>A party that moves to intervene in a proceeding before the PUCO is entitled to immediately participate in the discovery process on equal footing with all other parties.</w:t>
      </w:r>
      <w:r>
        <w:rPr>
          <w:rStyle w:val="FootnoteReference"/>
        </w:rPr>
        <w:footnoteReference w:id="8"/>
      </w:r>
      <w:r w:rsidR="00F93B73">
        <w:t xml:space="preserve"> </w:t>
      </w:r>
    </w:p>
    <w:p w:rsidR="00F62A4C" w:rsidP="00CF30AD" w14:paraId="740F2F5A" w14:textId="2CC9023B">
      <w:pPr>
        <w:spacing w:line="480" w:lineRule="auto"/>
        <w:ind w:firstLine="720"/>
      </w:pPr>
      <w:r>
        <w:t xml:space="preserve">DP&amp;L’s schedule </w:t>
      </w:r>
      <w:r w:rsidR="00F93B73">
        <w:t xml:space="preserve">undercuts </w:t>
      </w:r>
      <w:r w:rsidR="00E97274">
        <w:t xml:space="preserve">the parties’ </w:t>
      </w:r>
      <w:r w:rsidR="00F93B73">
        <w:t>discovery rights. The right to participate in discovery includes the right to serve interrogatories and requests for production of documents.</w:t>
      </w:r>
      <w:r>
        <w:rPr>
          <w:rStyle w:val="FootnoteReference"/>
        </w:rPr>
        <w:footnoteReference w:id="9"/>
      </w:r>
      <w:r w:rsidR="00F93B73">
        <w:t xml:space="preserve"> </w:t>
      </w:r>
      <w:r w:rsidR="00CF30AD">
        <w:t>A party</w:t>
      </w:r>
      <w:r w:rsidR="00F93B73">
        <w:t xml:space="preserve"> served </w:t>
      </w:r>
      <w:r w:rsidR="00CF30AD">
        <w:t>with written interrogatories usually has 20 days to answer or object</w:t>
      </w:r>
      <w:r w:rsidR="00F93B73">
        <w:t>.</w:t>
      </w:r>
      <w:r>
        <w:rPr>
          <w:rStyle w:val="FootnoteReference"/>
        </w:rPr>
        <w:footnoteReference w:id="10"/>
      </w:r>
      <w:r w:rsidR="00F93B73">
        <w:t xml:space="preserve"> </w:t>
      </w:r>
      <w:r w:rsidR="000609AC">
        <w:t>A</w:t>
      </w:r>
      <w:r w:rsidR="00CF30AD">
        <w:t xml:space="preserve"> party served with requests for document production can usually take 20 days to produce the documents, permit their inspection, or object.</w:t>
      </w:r>
      <w:r>
        <w:rPr>
          <w:rStyle w:val="FootnoteReference"/>
        </w:rPr>
        <w:footnoteReference w:id="11"/>
      </w:r>
      <w:r w:rsidR="00CF30AD">
        <w:t xml:space="preserve"> </w:t>
      </w:r>
      <w:r w:rsidR="00237D52">
        <w:t xml:space="preserve">Yet </w:t>
      </w:r>
      <w:r w:rsidR="00F93B73">
        <w:t xml:space="preserve">DP&amp;L’s </w:t>
      </w:r>
      <w:r w:rsidR="002D387C">
        <w:t xml:space="preserve">proposed </w:t>
      </w:r>
      <w:r w:rsidR="00237D52">
        <w:t xml:space="preserve">schedule requires OCC </w:t>
      </w:r>
      <w:r w:rsidR="00E97274">
        <w:t xml:space="preserve">and PUCO Staff </w:t>
      </w:r>
      <w:r w:rsidR="00237D52">
        <w:t xml:space="preserve">to file </w:t>
      </w:r>
      <w:r w:rsidRPr="00CF30AD" w:rsidR="00237D52">
        <w:t>testimony</w:t>
      </w:r>
      <w:r w:rsidRPr="00CF30AD" w:rsidR="00237D52">
        <w:rPr>
          <w:i/>
          <w:iCs/>
        </w:rPr>
        <w:t xml:space="preserve"> just 21 days </w:t>
      </w:r>
      <w:r w:rsidRPr="00CF30AD" w:rsidR="00237D52">
        <w:t xml:space="preserve">after </w:t>
      </w:r>
      <w:r w:rsidRPr="00CF30AD" w:rsidR="00CF30AD">
        <w:t>DP&amp;L</w:t>
      </w:r>
      <w:r w:rsidR="000609AC">
        <w:t xml:space="preserve"> does</w:t>
      </w:r>
      <w:r w:rsidR="00237D52">
        <w:t>.</w:t>
      </w:r>
      <w:r>
        <w:rPr>
          <w:rStyle w:val="FootnoteReference"/>
        </w:rPr>
        <w:footnoteReference w:id="12"/>
      </w:r>
      <w:r w:rsidR="00237D52">
        <w:t xml:space="preserve"> This does not leave</w:t>
      </w:r>
      <w:r w:rsidR="00C75BE0">
        <w:t xml:space="preserve"> the parties</w:t>
      </w:r>
      <w:r w:rsidR="00237D52">
        <w:t xml:space="preserve"> time to conduct discovery </w:t>
      </w:r>
      <w:r w:rsidR="00F17E3B">
        <w:t xml:space="preserve">on </w:t>
      </w:r>
      <w:r w:rsidR="00237D52">
        <w:t>DP&amp;L’s testimony</w:t>
      </w:r>
      <w:r w:rsidR="002D387C">
        <w:t>, analyze DP&amp;L’s responses,</w:t>
      </w:r>
      <w:r w:rsidR="000609AC">
        <w:t xml:space="preserve"> and </w:t>
      </w:r>
      <w:r w:rsidR="002D387C">
        <w:t>consider the responses in preparing</w:t>
      </w:r>
      <w:r w:rsidR="000609AC">
        <w:t xml:space="preserve"> </w:t>
      </w:r>
      <w:r w:rsidR="00C75BE0">
        <w:t xml:space="preserve">their </w:t>
      </w:r>
      <w:r w:rsidR="000609AC">
        <w:t>own testimony</w:t>
      </w:r>
      <w:r w:rsidR="00FC3728">
        <w:t>.</w:t>
      </w:r>
    </w:p>
    <w:p w:rsidR="001F346E" w:rsidRPr="00F9612C" w:rsidP="002715CB" w14:paraId="0655C4F8" w14:textId="0EDF0B88">
      <w:pPr>
        <w:spacing w:line="480" w:lineRule="auto"/>
        <w:ind w:firstLine="720"/>
        <w:rPr>
          <w:szCs w:val="24"/>
        </w:rPr>
      </w:pPr>
      <w:r>
        <w:t xml:space="preserve">Denying </w:t>
      </w:r>
      <w:r w:rsidR="00E97274">
        <w:t xml:space="preserve">the parties </w:t>
      </w:r>
      <w:r>
        <w:t xml:space="preserve">discovery upsets the purposes of </w:t>
      </w:r>
      <w:r w:rsidR="00F62A4C">
        <w:t>the PUCO’s discovery</w:t>
      </w:r>
      <w:r>
        <w:t xml:space="preserve"> rules: to encourage </w:t>
      </w:r>
      <w:r w:rsidR="000609AC">
        <w:t xml:space="preserve">thorough and </w:t>
      </w:r>
      <w:r>
        <w:t>adequate preparation for hearings. Without answers to discovery requests</w:t>
      </w:r>
      <w:r w:rsidR="000609AC">
        <w:t xml:space="preserve"> about DP&amp;L’s testimony</w:t>
      </w:r>
      <w:r>
        <w:t xml:space="preserve">, OCC cannot </w:t>
      </w:r>
      <w:r w:rsidR="00F17E3B">
        <w:t xml:space="preserve">fully </w:t>
      </w:r>
      <w:r>
        <w:t xml:space="preserve">prepare to represent Ohio consumers. </w:t>
      </w:r>
      <w:r w:rsidR="00A40EC0">
        <w:t>T</w:t>
      </w:r>
      <w:r w:rsidR="000609AC">
        <w:t>he</w:t>
      </w:r>
      <w:r w:rsidR="002715CB">
        <w:t xml:space="preserve"> PUCO </w:t>
      </w:r>
      <w:r w:rsidR="00F62A4C">
        <w:t xml:space="preserve">will </w:t>
      </w:r>
      <w:r w:rsidR="00F17E3B">
        <w:t xml:space="preserve">lack the full and complete record necessary to make its required findings of fact and conclusions of law. </w:t>
      </w:r>
      <w:r w:rsidR="002715CB">
        <w:t xml:space="preserve"> </w:t>
      </w:r>
      <w:r>
        <w:t xml:space="preserve">To </w:t>
      </w:r>
      <w:r w:rsidR="00D16DAF">
        <w:t xml:space="preserve">protect consumers, </w:t>
      </w:r>
      <w:r>
        <w:t xml:space="preserve">preserve the </w:t>
      </w:r>
      <w:r w:rsidRPr="00F9612C">
        <w:rPr>
          <w:szCs w:val="24"/>
        </w:rPr>
        <w:t xml:space="preserve">intent of its discovery </w:t>
      </w:r>
      <w:r w:rsidRPr="00F9612C" w:rsidR="002715CB">
        <w:rPr>
          <w:szCs w:val="24"/>
        </w:rPr>
        <w:t>rules</w:t>
      </w:r>
      <w:r w:rsidRPr="00F9612C">
        <w:rPr>
          <w:szCs w:val="24"/>
        </w:rPr>
        <w:t xml:space="preserve"> and resolve this matter justly</w:t>
      </w:r>
      <w:r w:rsidRPr="00F9612C" w:rsidR="002715CB">
        <w:rPr>
          <w:szCs w:val="24"/>
        </w:rPr>
        <w:t xml:space="preserve">, the PUCO should </w:t>
      </w:r>
      <w:r w:rsidRPr="00F9612C">
        <w:rPr>
          <w:szCs w:val="24"/>
        </w:rPr>
        <w:t xml:space="preserve">reject DP&amp;L’s </w:t>
      </w:r>
      <w:r w:rsidR="002D387C">
        <w:rPr>
          <w:szCs w:val="24"/>
        </w:rPr>
        <w:t xml:space="preserve">proposed </w:t>
      </w:r>
      <w:r w:rsidRPr="00F9612C">
        <w:rPr>
          <w:szCs w:val="24"/>
        </w:rPr>
        <w:t>schedule.</w:t>
      </w:r>
    </w:p>
    <w:p w:rsidR="00237D52" w:rsidRPr="00F9612C" w:rsidP="00237D52" w14:paraId="0FB15C1F" w14:textId="321D0F5D">
      <w:pPr>
        <w:pStyle w:val="ListParagraph"/>
        <w:numPr>
          <w:ilvl w:val="0"/>
          <w:numId w:val="25"/>
        </w:numPr>
        <w:ind w:left="1440" w:hanging="720"/>
        <w:contextualSpacing/>
        <w:rPr>
          <w:rStyle w:val="Heading2Char"/>
          <w:rFonts w:ascii="Times New Roman" w:hAnsi="Times New Roman"/>
          <w:bCs/>
          <w:color w:val="000000" w:themeColor="text1"/>
        </w:rPr>
      </w:pPr>
      <w:r>
        <w:rPr>
          <w:rStyle w:val="Heading2Char"/>
          <w:rFonts w:ascii="Times New Roman" w:hAnsi="Times New Roman"/>
          <w:color w:val="000000" w:themeColor="text1"/>
        </w:rPr>
        <w:t>In consumers’ interest, t</w:t>
      </w:r>
      <w:r w:rsidRPr="00F9612C">
        <w:rPr>
          <w:rStyle w:val="Heading2Char"/>
          <w:rFonts w:ascii="Times New Roman" w:hAnsi="Times New Roman"/>
          <w:color w:val="000000" w:themeColor="text1"/>
        </w:rPr>
        <w:t xml:space="preserve">he PUCO should adopt a schedule that guarantees </w:t>
      </w:r>
      <w:r w:rsidR="00E87ADB">
        <w:rPr>
          <w:rStyle w:val="Heading2Char"/>
          <w:rFonts w:ascii="Times New Roman" w:hAnsi="Times New Roman"/>
          <w:color w:val="000000" w:themeColor="text1"/>
        </w:rPr>
        <w:t xml:space="preserve">the </w:t>
      </w:r>
      <w:r w:rsidR="008841C2">
        <w:rPr>
          <w:rStyle w:val="Heading2Char"/>
          <w:rFonts w:ascii="Times New Roman" w:hAnsi="Times New Roman"/>
          <w:color w:val="000000" w:themeColor="text1"/>
        </w:rPr>
        <w:t xml:space="preserve">parties </w:t>
      </w:r>
      <w:r w:rsidRPr="00F9612C">
        <w:rPr>
          <w:rStyle w:val="Heading2Char"/>
          <w:rFonts w:ascii="Times New Roman" w:hAnsi="Times New Roman"/>
          <w:color w:val="000000" w:themeColor="text1"/>
        </w:rPr>
        <w:t xml:space="preserve">time to conduct discovery </w:t>
      </w:r>
      <w:r w:rsidR="00387A24">
        <w:rPr>
          <w:rStyle w:val="Heading2Char"/>
          <w:rFonts w:ascii="Times New Roman" w:hAnsi="Times New Roman"/>
          <w:color w:val="000000" w:themeColor="text1"/>
        </w:rPr>
        <w:t>on</w:t>
      </w:r>
      <w:r w:rsidRPr="00F9612C">
        <w:rPr>
          <w:rStyle w:val="Heading2Char"/>
          <w:rFonts w:ascii="Times New Roman" w:hAnsi="Times New Roman"/>
          <w:color w:val="000000" w:themeColor="text1"/>
        </w:rPr>
        <w:t xml:space="preserve"> DP&amp;L’s testimony. </w:t>
      </w:r>
    </w:p>
    <w:p w:rsidR="00237D52" w:rsidRPr="00F9612C" w:rsidP="00237D52" w14:paraId="1883FC1F" w14:textId="4CA1A69F">
      <w:pPr>
        <w:contextualSpacing/>
        <w:rPr>
          <w:b/>
          <w:bCs/>
          <w:color w:val="000000" w:themeColor="text1"/>
          <w:szCs w:val="24"/>
        </w:rPr>
      </w:pPr>
    </w:p>
    <w:p w:rsidR="00E64A86" w:rsidP="009E13B7" w14:paraId="7003FB3D" w14:textId="707EE1BE">
      <w:pPr>
        <w:spacing w:line="480" w:lineRule="auto"/>
        <w:ind w:firstLine="720"/>
        <w:rPr>
          <w:color w:val="000000"/>
          <w:szCs w:val="24"/>
        </w:rPr>
      </w:pPr>
      <w:r w:rsidRPr="00F9612C">
        <w:rPr>
          <w:color w:val="000000"/>
          <w:szCs w:val="24"/>
        </w:rPr>
        <w:t xml:space="preserve">The PUCO </w:t>
      </w:r>
      <w:r w:rsidR="00181BC5">
        <w:rPr>
          <w:color w:val="000000"/>
          <w:szCs w:val="24"/>
        </w:rPr>
        <w:t>should</w:t>
      </w:r>
      <w:r w:rsidRPr="00F9612C">
        <w:rPr>
          <w:color w:val="000000"/>
          <w:szCs w:val="24"/>
        </w:rPr>
        <w:t xml:space="preserve"> guarantee </w:t>
      </w:r>
      <w:r w:rsidR="00E97274">
        <w:rPr>
          <w:color w:val="000000"/>
          <w:szCs w:val="24"/>
        </w:rPr>
        <w:t>the parties</w:t>
      </w:r>
      <w:r w:rsidRPr="00F9612C" w:rsidR="00E97274">
        <w:rPr>
          <w:color w:val="000000"/>
          <w:szCs w:val="24"/>
        </w:rPr>
        <w:t xml:space="preserve"> </w:t>
      </w:r>
      <w:r w:rsidRPr="00F9612C">
        <w:rPr>
          <w:color w:val="000000"/>
          <w:szCs w:val="24"/>
        </w:rPr>
        <w:t xml:space="preserve">time to conduct </w:t>
      </w:r>
      <w:r w:rsidR="002D387C">
        <w:rPr>
          <w:color w:val="000000"/>
          <w:szCs w:val="24"/>
        </w:rPr>
        <w:t xml:space="preserve">meaningful </w:t>
      </w:r>
      <w:r w:rsidRPr="00F9612C">
        <w:rPr>
          <w:color w:val="000000"/>
          <w:szCs w:val="24"/>
        </w:rPr>
        <w:t xml:space="preserve">discovery in </w:t>
      </w:r>
      <w:r w:rsidR="00181BC5">
        <w:rPr>
          <w:color w:val="000000"/>
          <w:szCs w:val="24"/>
        </w:rPr>
        <w:t xml:space="preserve">one of </w:t>
      </w:r>
      <w:r w:rsidRPr="00F9612C">
        <w:rPr>
          <w:color w:val="000000"/>
          <w:szCs w:val="24"/>
        </w:rPr>
        <w:t xml:space="preserve">two ways. First, the PUCO </w:t>
      </w:r>
      <w:r w:rsidR="00181BC5">
        <w:rPr>
          <w:color w:val="000000"/>
          <w:szCs w:val="24"/>
        </w:rPr>
        <w:t>should</w:t>
      </w:r>
      <w:r w:rsidRPr="00F9612C">
        <w:rPr>
          <w:color w:val="000000"/>
          <w:szCs w:val="24"/>
        </w:rPr>
        <w:t xml:space="preserve"> extend OCC</w:t>
      </w:r>
      <w:r w:rsidR="00E97274">
        <w:rPr>
          <w:color w:val="000000"/>
          <w:szCs w:val="24"/>
        </w:rPr>
        <w:t xml:space="preserve"> and PUCO Staff’s</w:t>
      </w:r>
      <w:r w:rsidRPr="00F9612C">
        <w:rPr>
          <w:color w:val="000000"/>
          <w:szCs w:val="24"/>
        </w:rPr>
        <w:t xml:space="preserve"> testimony deadline </w:t>
      </w:r>
      <w:r w:rsidR="00F9612C">
        <w:rPr>
          <w:color w:val="000000"/>
          <w:szCs w:val="24"/>
        </w:rPr>
        <w:t xml:space="preserve">to </w:t>
      </w:r>
      <w:r w:rsidRPr="00F9612C">
        <w:rPr>
          <w:color w:val="000000"/>
          <w:szCs w:val="24"/>
        </w:rPr>
        <w:t>November 14, 2022</w:t>
      </w:r>
      <w:r w:rsidRPr="00F9612C" w:rsidR="00F9612C">
        <w:rPr>
          <w:color w:val="000000"/>
          <w:szCs w:val="24"/>
        </w:rPr>
        <w:t>, one month after DP&amp;L’s own deadline</w:t>
      </w:r>
      <w:r w:rsidRPr="00F9612C">
        <w:rPr>
          <w:color w:val="000000"/>
          <w:szCs w:val="24"/>
        </w:rPr>
        <w:t xml:space="preserve">. This would give </w:t>
      </w:r>
      <w:r w:rsidR="00E97274">
        <w:rPr>
          <w:color w:val="000000"/>
          <w:szCs w:val="24"/>
        </w:rPr>
        <w:t>the parties</w:t>
      </w:r>
      <w:r w:rsidRPr="00F9612C" w:rsidR="00E97274">
        <w:rPr>
          <w:color w:val="000000"/>
          <w:szCs w:val="24"/>
        </w:rPr>
        <w:t xml:space="preserve"> </w:t>
      </w:r>
      <w:r w:rsidRPr="00F9612C">
        <w:rPr>
          <w:color w:val="000000"/>
          <w:szCs w:val="24"/>
        </w:rPr>
        <w:t xml:space="preserve">time to serve discovery </w:t>
      </w:r>
      <w:r w:rsidR="00F9612C">
        <w:rPr>
          <w:color w:val="000000"/>
          <w:szCs w:val="24"/>
        </w:rPr>
        <w:t>about</w:t>
      </w:r>
      <w:r w:rsidRPr="00F9612C">
        <w:rPr>
          <w:color w:val="000000"/>
          <w:szCs w:val="24"/>
        </w:rPr>
        <w:t xml:space="preserve"> DP&amp;L’s testimony</w:t>
      </w:r>
      <w:r w:rsidRPr="00F9612C" w:rsidR="00F9612C">
        <w:rPr>
          <w:color w:val="000000"/>
          <w:szCs w:val="24"/>
        </w:rPr>
        <w:t xml:space="preserve">, </w:t>
      </w:r>
      <w:r w:rsidR="002D387C">
        <w:rPr>
          <w:color w:val="000000"/>
          <w:szCs w:val="24"/>
        </w:rPr>
        <w:t>analyze the</w:t>
      </w:r>
      <w:r w:rsidRPr="00F9612C" w:rsidR="00F9612C">
        <w:rPr>
          <w:color w:val="000000"/>
          <w:szCs w:val="24"/>
        </w:rPr>
        <w:t xml:space="preserve"> responses, and </w:t>
      </w:r>
      <w:r w:rsidR="002D387C">
        <w:rPr>
          <w:color w:val="000000"/>
          <w:szCs w:val="24"/>
        </w:rPr>
        <w:t>us</w:t>
      </w:r>
      <w:r w:rsidR="00D16DAF">
        <w:rPr>
          <w:color w:val="000000"/>
          <w:szCs w:val="24"/>
        </w:rPr>
        <w:t>e</w:t>
      </w:r>
      <w:r w:rsidR="002D387C">
        <w:rPr>
          <w:color w:val="000000"/>
          <w:szCs w:val="24"/>
        </w:rPr>
        <w:t xml:space="preserve"> them in preparing </w:t>
      </w:r>
      <w:r w:rsidR="00C75BE0">
        <w:rPr>
          <w:color w:val="000000"/>
          <w:szCs w:val="24"/>
        </w:rPr>
        <w:t xml:space="preserve">their </w:t>
      </w:r>
      <w:r w:rsidR="002D387C">
        <w:rPr>
          <w:color w:val="000000"/>
          <w:szCs w:val="24"/>
        </w:rPr>
        <w:t>own testimony</w:t>
      </w:r>
      <w:r w:rsidRPr="00F9612C">
        <w:rPr>
          <w:color w:val="000000"/>
          <w:szCs w:val="24"/>
        </w:rPr>
        <w:t xml:space="preserve">. </w:t>
      </w:r>
      <w:r w:rsidR="002D387C">
        <w:rPr>
          <w:color w:val="000000"/>
          <w:szCs w:val="24"/>
        </w:rPr>
        <w:t xml:space="preserve">Alternatively, </w:t>
      </w:r>
      <w:r w:rsidR="00B25166">
        <w:rPr>
          <w:color w:val="000000"/>
          <w:szCs w:val="24"/>
        </w:rPr>
        <w:t>i</w:t>
      </w:r>
      <w:r w:rsidR="00BF0031">
        <w:rPr>
          <w:color w:val="000000"/>
          <w:szCs w:val="24"/>
        </w:rPr>
        <w:t>f</w:t>
      </w:r>
      <w:r w:rsidR="00F9612C">
        <w:rPr>
          <w:color w:val="000000"/>
          <w:szCs w:val="24"/>
        </w:rPr>
        <w:t xml:space="preserve"> the PUCO adopts DP&amp;L’s </w:t>
      </w:r>
      <w:r w:rsidRPr="00BF0031" w:rsidR="00F9612C">
        <w:rPr>
          <w:color w:val="000000"/>
          <w:szCs w:val="24"/>
        </w:rPr>
        <w:t xml:space="preserve">schedule, it </w:t>
      </w:r>
      <w:r w:rsidRPr="00BF0031" w:rsidR="00BF0031">
        <w:rPr>
          <w:color w:val="000000"/>
          <w:szCs w:val="24"/>
        </w:rPr>
        <w:t>should also direct</w:t>
      </w:r>
      <w:r w:rsidRPr="00BF0031" w:rsidR="00181BC5">
        <w:rPr>
          <w:color w:val="000000"/>
          <w:szCs w:val="24"/>
        </w:rPr>
        <w:t xml:space="preserve"> DP&amp;L to respond to discovery requests within 7 days of service</w:t>
      </w:r>
      <w:r w:rsidRPr="00BF0031" w:rsidR="00F9612C">
        <w:rPr>
          <w:color w:val="000000"/>
          <w:szCs w:val="24"/>
        </w:rPr>
        <w:t>.</w:t>
      </w:r>
      <w:r>
        <w:rPr>
          <w:rStyle w:val="FootnoteReference"/>
          <w:color w:val="000000"/>
          <w:szCs w:val="24"/>
        </w:rPr>
        <w:footnoteReference w:id="13"/>
      </w:r>
      <w:r w:rsidRPr="00BF0031" w:rsidR="00F9612C">
        <w:rPr>
          <w:color w:val="000000"/>
          <w:szCs w:val="24"/>
        </w:rPr>
        <w:t xml:space="preserve"> </w:t>
      </w:r>
      <w:r w:rsidRPr="00BF0031" w:rsidR="00BF0031">
        <w:rPr>
          <w:color w:val="000000"/>
          <w:szCs w:val="24"/>
        </w:rPr>
        <w:t xml:space="preserve">This would give </w:t>
      </w:r>
      <w:r w:rsidR="00E97274">
        <w:rPr>
          <w:color w:val="000000"/>
          <w:szCs w:val="24"/>
        </w:rPr>
        <w:t>the parties</w:t>
      </w:r>
      <w:r w:rsidRPr="00BF0031" w:rsidR="00E97274">
        <w:rPr>
          <w:color w:val="000000"/>
          <w:szCs w:val="24"/>
        </w:rPr>
        <w:t xml:space="preserve"> </w:t>
      </w:r>
      <w:r w:rsidRPr="00BF0031" w:rsidR="00BF0031">
        <w:rPr>
          <w:color w:val="000000"/>
          <w:szCs w:val="24"/>
        </w:rPr>
        <w:t xml:space="preserve">time to </w:t>
      </w:r>
      <w:r w:rsidR="00B25166">
        <w:rPr>
          <w:color w:val="000000"/>
          <w:szCs w:val="24"/>
        </w:rPr>
        <w:t xml:space="preserve">conduct, analyze, </w:t>
      </w:r>
      <w:r w:rsidR="008841C2">
        <w:rPr>
          <w:color w:val="000000"/>
          <w:szCs w:val="24"/>
        </w:rPr>
        <w:t xml:space="preserve">send follow-up discovery </w:t>
      </w:r>
      <w:r w:rsidR="00B25166">
        <w:rPr>
          <w:color w:val="000000"/>
          <w:szCs w:val="24"/>
        </w:rPr>
        <w:t xml:space="preserve">and use the discovery in </w:t>
      </w:r>
      <w:r w:rsidR="00C75BE0">
        <w:rPr>
          <w:color w:val="000000"/>
          <w:szCs w:val="24"/>
        </w:rPr>
        <w:t>their</w:t>
      </w:r>
      <w:r w:rsidR="00B25166">
        <w:rPr>
          <w:color w:val="000000"/>
          <w:szCs w:val="24"/>
        </w:rPr>
        <w:t xml:space="preserve"> </w:t>
      </w:r>
      <w:r w:rsidR="008841C2">
        <w:rPr>
          <w:color w:val="000000"/>
          <w:szCs w:val="24"/>
        </w:rPr>
        <w:t xml:space="preserve">testimony </w:t>
      </w:r>
      <w:r w:rsidR="00B25166">
        <w:rPr>
          <w:color w:val="000000"/>
          <w:szCs w:val="24"/>
        </w:rPr>
        <w:t>to the PUCO</w:t>
      </w:r>
      <w:r w:rsidRPr="00BF0031" w:rsidR="00181BC5">
        <w:rPr>
          <w:color w:val="000000"/>
          <w:szCs w:val="24"/>
        </w:rPr>
        <w:t>.</w:t>
      </w:r>
      <w:r>
        <w:rPr>
          <w:color w:val="000000"/>
          <w:szCs w:val="24"/>
        </w:rPr>
        <w:br w:type="page"/>
      </w:r>
    </w:p>
    <w:p w:rsidR="00303310" w:rsidP="009E13B7" w14:paraId="37A34714" w14:textId="3E43139F">
      <w:pPr>
        <w:spacing w:line="480" w:lineRule="auto"/>
        <w:rPr>
          <w:color w:val="000000"/>
          <w:szCs w:val="24"/>
        </w:rPr>
      </w:pPr>
      <w:r>
        <w:rPr>
          <w:color w:val="000000"/>
          <w:szCs w:val="24"/>
        </w:rPr>
        <w:t xml:space="preserve"> </w:t>
      </w:r>
    </w:p>
    <w:p w:rsidR="00964DA7" w:rsidRPr="00BF0031" w:rsidP="00B127D3" w14:paraId="7CD5D28D" w14:textId="77777777">
      <w:pPr>
        <w:pStyle w:val="Heading1"/>
      </w:pPr>
      <w:bookmarkStart w:id="1" w:name="_Toc104905072"/>
      <w:bookmarkEnd w:id="0"/>
      <w:r w:rsidRPr="00BF0031">
        <w:t>III.</w:t>
      </w:r>
      <w:r w:rsidRPr="00BF0031">
        <w:tab/>
        <w:t>CONCLUSION</w:t>
      </w:r>
      <w:bookmarkEnd w:id="1"/>
    </w:p>
    <w:p w:rsidR="005321D9" w:rsidP="00833E01" w14:paraId="0F290F50" w14:textId="224129C1">
      <w:pPr>
        <w:pStyle w:val="BodyTextIndent3"/>
        <w:widowControl w:val="0"/>
        <w:spacing w:line="480" w:lineRule="auto"/>
        <w:ind w:right="24"/>
        <w:rPr>
          <w:szCs w:val="24"/>
        </w:rPr>
      </w:pPr>
      <w:r>
        <w:rPr>
          <w:szCs w:val="24"/>
        </w:rPr>
        <w:t>In protecting consumers right to reliable electricity</w:t>
      </w:r>
      <w:r w:rsidR="00A40EC0">
        <w:rPr>
          <w:szCs w:val="24"/>
        </w:rPr>
        <w:t>,</w:t>
      </w:r>
      <w:r>
        <w:rPr>
          <w:szCs w:val="24"/>
        </w:rPr>
        <w:t xml:space="preserve"> </w:t>
      </w:r>
      <w:r w:rsidR="00D73BC8">
        <w:rPr>
          <w:szCs w:val="24"/>
        </w:rPr>
        <w:t xml:space="preserve">OCC is entitled to conduct discovery on DP&amp;L’s testimony. The PUCO should give </w:t>
      </w:r>
      <w:r w:rsidR="00E97274">
        <w:rPr>
          <w:szCs w:val="24"/>
        </w:rPr>
        <w:t xml:space="preserve">the parties </w:t>
      </w:r>
      <w:r w:rsidR="00D73BC8">
        <w:rPr>
          <w:szCs w:val="24"/>
        </w:rPr>
        <w:t xml:space="preserve">until November 14, 2022 to file testimony so </w:t>
      </w:r>
      <w:r w:rsidR="00E97274">
        <w:rPr>
          <w:szCs w:val="24"/>
        </w:rPr>
        <w:t>they have</w:t>
      </w:r>
      <w:r w:rsidR="00D73BC8">
        <w:rPr>
          <w:szCs w:val="24"/>
        </w:rPr>
        <w:t xml:space="preserve"> time to conduct discovery </w:t>
      </w:r>
      <w:r w:rsidR="00D50CD2">
        <w:rPr>
          <w:szCs w:val="24"/>
        </w:rPr>
        <w:t>about DP&amp;L’s testimony</w:t>
      </w:r>
      <w:r w:rsidR="00D73BC8">
        <w:rPr>
          <w:szCs w:val="24"/>
        </w:rPr>
        <w:t xml:space="preserve">. Alternatively, </w:t>
      </w:r>
      <w:r w:rsidR="00B25166">
        <w:rPr>
          <w:szCs w:val="24"/>
        </w:rPr>
        <w:t xml:space="preserve">if </w:t>
      </w:r>
      <w:r w:rsidR="00D73BC8">
        <w:rPr>
          <w:szCs w:val="24"/>
        </w:rPr>
        <w:t>the PUCO</w:t>
      </w:r>
      <w:r w:rsidR="00B25166">
        <w:rPr>
          <w:szCs w:val="24"/>
        </w:rPr>
        <w:t xml:space="preserve"> adopts DP&amp;L’s proposed schedule, the PUCO</w:t>
      </w:r>
      <w:r w:rsidR="00D73BC8">
        <w:rPr>
          <w:szCs w:val="24"/>
        </w:rPr>
        <w:t xml:space="preserve"> should require DP&amp;L to answer discovery requests within 7 days of service.</w:t>
      </w:r>
      <w:r w:rsidR="00D50CD2">
        <w:rPr>
          <w:szCs w:val="24"/>
        </w:rPr>
        <w:t xml:space="preserve"> </w:t>
      </w:r>
    </w:p>
    <w:p w:rsidR="00D73BC8" w:rsidP="00D73BC8" w14:paraId="0302333D" w14:textId="77777777">
      <w:pPr>
        <w:pStyle w:val="BodyTextIndent3"/>
        <w:widowControl w:val="0"/>
        <w:spacing w:line="480" w:lineRule="auto"/>
        <w:ind w:right="24"/>
        <w:rPr>
          <w:szCs w:val="24"/>
        </w:rPr>
      </w:pPr>
    </w:p>
    <w:p w:rsidR="00535C4D" w:rsidRPr="00E66042" w:rsidP="00535C4D" w14:paraId="6FCACC66" w14:textId="314069D6">
      <w:pPr>
        <w:tabs>
          <w:tab w:val="left" w:pos="8730"/>
        </w:tabs>
        <w:ind w:left="4320"/>
        <w:rPr>
          <w:szCs w:val="24"/>
        </w:rPr>
      </w:pPr>
      <w:r w:rsidRPr="00E66042">
        <w:rPr>
          <w:szCs w:val="24"/>
        </w:rPr>
        <w:t>Respectfully</w:t>
      </w:r>
      <w:r w:rsidRPr="00E66042">
        <w:rPr>
          <w:spacing w:val="8"/>
          <w:szCs w:val="24"/>
        </w:rPr>
        <w:t xml:space="preserve"> </w:t>
      </w:r>
      <w:r w:rsidRPr="00E66042">
        <w:rPr>
          <w:szCs w:val="24"/>
        </w:rPr>
        <w:t>submitted,</w:t>
      </w:r>
    </w:p>
    <w:p w:rsidR="00535C4D" w:rsidRPr="00E66042" w:rsidP="00535C4D" w14:paraId="52104842" w14:textId="77777777">
      <w:pPr>
        <w:tabs>
          <w:tab w:val="left" w:pos="8730"/>
        </w:tabs>
        <w:ind w:left="4320"/>
        <w:rPr>
          <w:szCs w:val="24"/>
        </w:rPr>
      </w:pPr>
    </w:p>
    <w:p w:rsidR="00535C4D" w:rsidRPr="00E66042" w:rsidP="00535C4D" w14:paraId="55B0F8B2" w14:textId="77777777">
      <w:pPr>
        <w:tabs>
          <w:tab w:val="left" w:pos="8730"/>
        </w:tabs>
        <w:ind w:left="4320"/>
        <w:rPr>
          <w:szCs w:val="24"/>
        </w:rPr>
      </w:pPr>
      <w:r w:rsidRPr="00E66042">
        <w:rPr>
          <w:szCs w:val="24"/>
        </w:rPr>
        <w:t xml:space="preserve">Bruce Weston (0016973) </w:t>
      </w:r>
    </w:p>
    <w:p w:rsidR="00535C4D" w:rsidRPr="00E66042" w:rsidP="00535C4D" w14:paraId="0141B403" w14:textId="77777777">
      <w:pPr>
        <w:tabs>
          <w:tab w:val="left" w:pos="8730"/>
        </w:tabs>
        <w:ind w:left="4320"/>
        <w:rPr>
          <w:szCs w:val="24"/>
        </w:rPr>
      </w:pPr>
      <w:r w:rsidRPr="00E66042">
        <w:rPr>
          <w:szCs w:val="24"/>
        </w:rPr>
        <w:t>Ohio</w:t>
      </w:r>
      <w:r w:rsidRPr="00E66042">
        <w:rPr>
          <w:spacing w:val="-15"/>
          <w:szCs w:val="24"/>
        </w:rPr>
        <w:t xml:space="preserve"> </w:t>
      </w:r>
      <w:r w:rsidRPr="00E66042">
        <w:rPr>
          <w:szCs w:val="24"/>
        </w:rPr>
        <w:t>Consumers’</w:t>
      </w:r>
      <w:r w:rsidRPr="00E66042">
        <w:rPr>
          <w:spacing w:val="-15"/>
          <w:szCs w:val="24"/>
        </w:rPr>
        <w:t xml:space="preserve"> </w:t>
      </w:r>
      <w:r w:rsidRPr="00E66042">
        <w:rPr>
          <w:szCs w:val="24"/>
        </w:rPr>
        <w:t>Counsel</w:t>
      </w:r>
    </w:p>
    <w:p w:rsidR="00535C4D" w:rsidRPr="00E66042" w:rsidP="00535C4D" w14:paraId="50A3876B" w14:textId="77777777">
      <w:pPr>
        <w:tabs>
          <w:tab w:val="left" w:pos="8730"/>
        </w:tabs>
        <w:ind w:left="4320"/>
        <w:rPr>
          <w:szCs w:val="24"/>
        </w:rPr>
      </w:pPr>
    </w:p>
    <w:p w:rsidR="00535C4D" w:rsidRPr="00E66042" w:rsidP="00535C4D" w14:paraId="2C8EF3C8" w14:textId="4662FEF7">
      <w:pPr>
        <w:tabs>
          <w:tab w:val="left" w:pos="8730"/>
        </w:tabs>
        <w:ind w:left="4320"/>
        <w:rPr>
          <w:szCs w:val="24"/>
        </w:rPr>
      </w:pPr>
      <w:r w:rsidRPr="00E66042">
        <w:rPr>
          <w:i/>
          <w:szCs w:val="24"/>
          <w:u w:val="single"/>
        </w:rPr>
        <w:t xml:space="preserve">/s/ </w:t>
      </w:r>
      <w:r w:rsidR="001D52FC">
        <w:rPr>
          <w:i/>
          <w:szCs w:val="24"/>
          <w:u w:val="single"/>
        </w:rPr>
        <w:t>William J. Michael</w:t>
      </w:r>
      <w:r w:rsidRPr="00E66042">
        <w:rPr>
          <w:i/>
          <w:szCs w:val="24"/>
        </w:rPr>
        <w:br/>
      </w:r>
      <w:r w:rsidR="001D52FC">
        <w:rPr>
          <w:szCs w:val="24"/>
        </w:rPr>
        <w:t xml:space="preserve">William J. Michael </w:t>
      </w:r>
      <w:r w:rsidRPr="00E66042">
        <w:rPr>
          <w:szCs w:val="24"/>
        </w:rPr>
        <w:t>(00</w:t>
      </w:r>
      <w:r w:rsidR="001D52FC">
        <w:rPr>
          <w:szCs w:val="24"/>
        </w:rPr>
        <w:t>70921</w:t>
      </w:r>
      <w:r w:rsidRPr="00E66042">
        <w:rPr>
          <w:szCs w:val="24"/>
        </w:rPr>
        <w:t xml:space="preserve">) </w:t>
      </w:r>
      <w:r w:rsidRPr="00E66042">
        <w:rPr>
          <w:szCs w:val="24"/>
        </w:rPr>
        <w:br/>
        <w:t>Counsel of Record</w:t>
      </w:r>
    </w:p>
    <w:p w:rsidR="00535C4D" w:rsidRPr="00E66042" w:rsidP="00535C4D" w14:paraId="032B11C8" w14:textId="6821FCBA">
      <w:pPr>
        <w:tabs>
          <w:tab w:val="left" w:pos="8730"/>
        </w:tabs>
        <w:ind w:left="4320"/>
        <w:rPr>
          <w:szCs w:val="24"/>
        </w:rPr>
      </w:pPr>
      <w:r>
        <w:rPr>
          <w:szCs w:val="24"/>
        </w:rPr>
        <w:t>Connor D. Semple (0101102)</w:t>
      </w:r>
      <w:r w:rsidRPr="00E66042">
        <w:rPr>
          <w:szCs w:val="24"/>
        </w:rPr>
        <w:br/>
        <w:t>Assistant</w:t>
      </w:r>
      <w:r w:rsidRPr="00E66042">
        <w:rPr>
          <w:spacing w:val="-12"/>
          <w:szCs w:val="24"/>
        </w:rPr>
        <w:t xml:space="preserve"> </w:t>
      </w:r>
      <w:r w:rsidRPr="00E66042">
        <w:rPr>
          <w:szCs w:val="24"/>
        </w:rPr>
        <w:t>Consumers’</w:t>
      </w:r>
      <w:r w:rsidRPr="00E66042">
        <w:rPr>
          <w:spacing w:val="-13"/>
          <w:szCs w:val="24"/>
        </w:rPr>
        <w:t xml:space="preserve"> </w:t>
      </w:r>
      <w:r w:rsidRPr="00E66042">
        <w:rPr>
          <w:szCs w:val="24"/>
        </w:rPr>
        <w:t>Counsel</w:t>
      </w:r>
    </w:p>
    <w:p w:rsidR="00535C4D" w:rsidRPr="00E66042" w:rsidP="00535C4D" w14:paraId="2655DC22" w14:textId="77777777">
      <w:pPr>
        <w:tabs>
          <w:tab w:val="left" w:pos="8730"/>
        </w:tabs>
        <w:ind w:left="4320"/>
        <w:rPr>
          <w:szCs w:val="24"/>
        </w:rPr>
      </w:pPr>
    </w:p>
    <w:p w:rsidR="00535C4D" w:rsidRPr="00E66042" w:rsidP="00535C4D" w14:paraId="46EAB9DA" w14:textId="77777777">
      <w:pPr>
        <w:tabs>
          <w:tab w:val="left" w:pos="8730"/>
        </w:tabs>
        <w:ind w:left="4320"/>
        <w:rPr>
          <w:b/>
          <w:bCs/>
          <w:szCs w:val="24"/>
        </w:rPr>
      </w:pPr>
      <w:r w:rsidRPr="00E66042">
        <w:rPr>
          <w:b/>
          <w:bCs/>
          <w:szCs w:val="24"/>
        </w:rPr>
        <w:t>Office</w:t>
      </w:r>
      <w:r w:rsidRPr="00E66042">
        <w:rPr>
          <w:b/>
          <w:bCs/>
          <w:spacing w:val="-7"/>
          <w:szCs w:val="24"/>
        </w:rPr>
        <w:t xml:space="preserve"> </w:t>
      </w:r>
      <w:r w:rsidRPr="00E66042">
        <w:rPr>
          <w:b/>
          <w:bCs/>
          <w:szCs w:val="24"/>
        </w:rPr>
        <w:t>of</w:t>
      </w:r>
      <w:r w:rsidRPr="00E66042">
        <w:rPr>
          <w:b/>
          <w:bCs/>
          <w:spacing w:val="-5"/>
          <w:szCs w:val="24"/>
        </w:rPr>
        <w:t xml:space="preserve"> </w:t>
      </w:r>
      <w:r w:rsidRPr="00E66042">
        <w:rPr>
          <w:b/>
          <w:bCs/>
          <w:szCs w:val="24"/>
        </w:rPr>
        <w:t>the</w:t>
      </w:r>
      <w:r w:rsidRPr="00E66042">
        <w:rPr>
          <w:b/>
          <w:bCs/>
          <w:spacing w:val="-7"/>
          <w:szCs w:val="24"/>
        </w:rPr>
        <w:t xml:space="preserve"> </w:t>
      </w:r>
      <w:r w:rsidRPr="00E66042">
        <w:rPr>
          <w:b/>
          <w:bCs/>
          <w:szCs w:val="24"/>
        </w:rPr>
        <w:t>Ohio</w:t>
      </w:r>
      <w:r w:rsidRPr="00E66042">
        <w:rPr>
          <w:b/>
          <w:bCs/>
          <w:spacing w:val="-6"/>
          <w:szCs w:val="24"/>
        </w:rPr>
        <w:t xml:space="preserve"> </w:t>
      </w:r>
      <w:r w:rsidRPr="00E66042">
        <w:rPr>
          <w:b/>
          <w:bCs/>
          <w:szCs w:val="24"/>
        </w:rPr>
        <w:t>Consumers'</w:t>
      </w:r>
      <w:r w:rsidRPr="00E66042">
        <w:rPr>
          <w:b/>
          <w:bCs/>
          <w:spacing w:val="-6"/>
          <w:szCs w:val="24"/>
        </w:rPr>
        <w:t xml:space="preserve"> </w:t>
      </w:r>
      <w:r w:rsidRPr="00E66042">
        <w:rPr>
          <w:b/>
          <w:bCs/>
          <w:szCs w:val="24"/>
        </w:rPr>
        <w:t>Counsel</w:t>
      </w:r>
    </w:p>
    <w:p w:rsidR="00535C4D" w:rsidRPr="00E66042" w:rsidP="00535C4D" w14:paraId="35E8C533" w14:textId="77777777">
      <w:pPr>
        <w:tabs>
          <w:tab w:val="left" w:pos="8730"/>
        </w:tabs>
        <w:ind w:left="4320"/>
        <w:rPr>
          <w:szCs w:val="24"/>
        </w:rPr>
      </w:pPr>
      <w:r w:rsidRPr="00E66042">
        <w:rPr>
          <w:szCs w:val="24"/>
        </w:rPr>
        <w:t>65</w:t>
      </w:r>
      <w:r w:rsidRPr="00E66042">
        <w:rPr>
          <w:spacing w:val="-5"/>
          <w:szCs w:val="24"/>
        </w:rPr>
        <w:t xml:space="preserve"> </w:t>
      </w:r>
      <w:r w:rsidRPr="00E66042">
        <w:rPr>
          <w:szCs w:val="24"/>
        </w:rPr>
        <w:t>East</w:t>
      </w:r>
      <w:r w:rsidRPr="00E66042">
        <w:rPr>
          <w:spacing w:val="-5"/>
          <w:szCs w:val="24"/>
        </w:rPr>
        <w:t xml:space="preserve"> </w:t>
      </w:r>
      <w:r w:rsidRPr="00E66042">
        <w:rPr>
          <w:szCs w:val="24"/>
        </w:rPr>
        <w:t>State</w:t>
      </w:r>
      <w:r w:rsidRPr="00E66042">
        <w:rPr>
          <w:spacing w:val="-6"/>
          <w:szCs w:val="24"/>
        </w:rPr>
        <w:t xml:space="preserve"> </w:t>
      </w:r>
      <w:r w:rsidRPr="00E66042">
        <w:rPr>
          <w:szCs w:val="24"/>
        </w:rPr>
        <w:t>Street,</w:t>
      </w:r>
      <w:r w:rsidRPr="00E66042">
        <w:rPr>
          <w:spacing w:val="-5"/>
          <w:szCs w:val="24"/>
        </w:rPr>
        <w:t xml:space="preserve"> </w:t>
      </w:r>
      <w:r w:rsidRPr="00E66042">
        <w:rPr>
          <w:szCs w:val="24"/>
        </w:rPr>
        <w:t>Suite</w:t>
      </w:r>
      <w:r w:rsidRPr="00E66042">
        <w:rPr>
          <w:spacing w:val="-6"/>
          <w:szCs w:val="24"/>
        </w:rPr>
        <w:t xml:space="preserve"> </w:t>
      </w:r>
      <w:r w:rsidRPr="00E66042">
        <w:rPr>
          <w:spacing w:val="-5"/>
          <w:szCs w:val="24"/>
        </w:rPr>
        <w:t>700</w:t>
      </w:r>
    </w:p>
    <w:p w:rsidR="00535C4D" w:rsidRPr="00E66042" w:rsidP="00535C4D" w14:paraId="3DE209AC" w14:textId="77777777">
      <w:pPr>
        <w:tabs>
          <w:tab w:val="left" w:pos="8730"/>
        </w:tabs>
        <w:ind w:left="4320"/>
        <w:rPr>
          <w:szCs w:val="24"/>
        </w:rPr>
      </w:pPr>
      <w:r w:rsidRPr="00E66042">
        <w:rPr>
          <w:szCs w:val="24"/>
        </w:rPr>
        <w:t>Columbus,</w:t>
      </w:r>
      <w:r w:rsidRPr="00E66042">
        <w:rPr>
          <w:spacing w:val="-8"/>
          <w:szCs w:val="24"/>
        </w:rPr>
        <w:t xml:space="preserve"> </w:t>
      </w:r>
      <w:r w:rsidRPr="00E66042">
        <w:rPr>
          <w:szCs w:val="24"/>
        </w:rPr>
        <w:t>Ohio</w:t>
      </w:r>
      <w:r w:rsidRPr="00E66042">
        <w:rPr>
          <w:spacing w:val="-8"/>
          <w:szCs w:val="24"/>
        </w:rPr>
        <w:t xml:space="preserve"> </w:t>
      </w:r>
      <w:r w:rsidRPr="00E66042">
        <w:rPr>
          <w:szCs w:val="24"/>
        </w:rPr>
        <w:t>43215</w:t>
      </w:r>
    </w:p>
    <w:p w:rsidR="00535C4D" w:rsidRPr="00E66042" w:rsidP="00535C4D" w14:paraId="2399E4A7" w14:textId="64005AEF">
      <w:pPr>
        <w:tabs>
          <w:tab w:val="left" w:pos="8730"/>
        </w:tabs>
        <w:ind w:left="4320"/>
        <w:rPr>
          <w:szCs w:val="24"/>
        </w:rPr>
      </w:pPr>
      <w:r w:rsidRPr="00E66042">
        <w:rPr>
          <w:szCs w:val="24"/>
        </w:rPr>
        <w:t>Telephone:</w:t>
      </w:r>
      <w:r w:rsidRPr="00E66042">
        <w:rPr>
          <w:spacing w:val="-12"/>
          <w:szCs w:val="24"/>
        </w:rPr>
        <w:t xml:space="preserve"> </w:t>
      </w:r>
      <w:r w:rsidRPr="00E66042">
        <w:rPr>
          <w:szCs w:val="24"/>
        </w:rPr>
        <w:t>[</w:t>
      </w:r>
      <w:r w:rsidR="001D52FC">
        <w:rPr>
          <w:szCs w:val="24"/>
        </w:rPr>
        <w:t>Michael]: (614) 466-1291</w:t>
      </w:r>
    </w:p>
    <w:p w:rsidR="001D52FC" w:rsidP="00535C4D" w14:paraId="1C34EF87" w14:textId="681266C8">
      <w:pPr>
        <w:tabs>
          <w:tab w:val="left" w:pos="8730"/>
        </w:tabs>
        <w:ind w:left="4320"/>
        <w:rPr>
          <w:szCs w:val="24"/>
        </w:rPr>
      </w:pPr>
      <w:r w:rsidRPr="00E66042">
        <w:rPr>
          <w:szCs w:val="24"/>
        </w:rPr>
        <w:t>Telephone</w:t>
      </w:r>
      <w:r w:rsidRPr="00E66042">
        <w:rPr>
          <w:spacing w:val="-13"/>
          <w:szCs w:val="24"/>
        </w:rPr>
        <w:t xml:space="preserve"> </w:t>
      </w:r>
      <w:r w:rsidRPr="00E66042">
        <w:rPr>
          <w:szCs w:val="24"/>
        </w:rPr>
        <w:t>[</w:t>
      </w:r>
      <w:r>
        <w:rPr>
          <w:szCs w:val="24"/>
        </w:rPr>
        <w:t>Semple]: (614) 466-9565</w:t>
      </w:r>
    </w:p>
    <w:p w:rsidR="00535C4D" w:rsidP="00535C4D" w14:paraId="61E593FD" w14:textId="2EE618DA">
      <w:pPr>
        <w:tabs>
          <w:tab w:val="left" w:pos="8730"/>
        </w:tabs>
        <w:ind w:left="4320"/>
        <w:rPr>
          <w:color w:val="0000FF"/>
          <w:szCs w:val="24"/>
        </w:rPr>
      </w:pPr>
      <w:hyperlink r:id="rId8" w:history="1">
        <w:r w:rsidRPr="003E36A2" w:rsidR="00232377">
          <w:rPr>
            <w:rStyle w:val="Hyperlink"/>
            <w:szCs w:val="24"/>
          </w:rPr>
          <w:t>william.michael@occ.ohio.gov</w:t>
        </w:r>
      </w:hyperlink>
      <w:r w:rsidRPr="00E66042" w:rsidR="00232377">
        <w:rPr>
          <w:color w:val="0000FF"/>
          <w:szCs w:val="24"/>
        </w:rPr>
        <w:t xml:space="preserve"> </w:t>
      </w:r>
    </w:p>
    <w:p w:rsidR="00232377" w:rsidP="00232377" w14:paraId="24BE4538" w14:textId="77777777">
      <w:pPr>
        <w:tabs>
          <w:tab w:val="left" w:pos="8730"/>
        </w:tabs>
        <w:ind w:left="4320"/>
        <w:rPr>
          <w:color w:val="0000FF"/>
          <w:szCs w:val="24"/>
        </w:rPr>
      </w:pPr>
      <w:hyperlink r:id="rId9" w:history="1">
        <w:r w:rsidRPr="003E36A2" w:rsidR="00FF4456">
          <w:rPr>
            <w:rStyle w:val="Hyperlink"/>
            <w:szCs w:val="24"/>
          </w:rPr>
          <w:t>connor.semple@occ.ohio.gov</w:t>
        </w:r>
      </w:hyperlink>
    </w:p>
    <w:p w:rsidR="00535C4D" w:rsidRPr="00232377" w:rsidP="00232377" w14:paraId="3F6B2907" w14:textId="51D99F3A">
      <w:pPr>
        <w:tabs>
          <w:tab w:val="left" w:pos="8730"/>
        </w:tabs>
        <w:ind w:left="4320"/>
        <w:rPr>
          <w:color w:val="0000FF"/>
          <w:szCs w:val="24"/>
        </w:rPr>
      </w:pPr>
      <w:r w:rsidRPr="00E66042">
        <w:rPr>
          <w:szCs w:val="24"/>
        </w:rPr>
        <w:t>(willing to accept service by e-mail)</w:t>
      </w:r>
    </w:p>
    <w:p w:rsidR="00964DA7" w:rsidRPr="00E66042" w:rsidP="007744C6" w14:paraId="7C755A23" w14:textId="493C2FEA">
      <w:pPr>
        <w:jc w:val="center"/>
        <w:rPr>
          <w:b/>
          <w:bCs/>
          <w:szCs w:val="24"/>
          <w:u w:val="single"/>
        </w:rPr>
      </w:pPr>
      <w:r w:rsidRPr="00E66042">
        <w:rPr>
          <w:szCs w:val="24"/>
        </w:rPr>
        <w:br w:type="page"/>
      </w:r>
      <w:r w:rsidRPr="00E66042">
        <w:rPr>
          <w:b/>
          <w:bCs/>
          <w:szCs w:val="24"/>
          <w:u w:val="single"/>
        </w:rPr>
        <w:t>CERTIFICATE OF SERVICE</w:t>
      </w:r>
    </w:p>
    <w:p w:rsidR="007744C6" w:rsidRPr="00E66042" w:rsidP="007744C6" w14:paraId="7C69256F" w14:textId="77777777">
      <w:pPr>
        <w:rPr>
          <w:szCs w:val="24"/>
        </w:rPr>
      </w:pPr>
    </w:p>
    <w:p w:rsidR="007744C6" w:rsidRPr="00E66042" w:rsidP="00446E8B" w14:paraId="34F1B3F9" w14:textId="28CA6CB5">
      <w:pPr>
        <w:spacing w:line="480" w:lineRule="auto"/>
        <w:ind w:firstLine="720"/>
        <w:rPr>
          <w:szCs w:val="24"/>
        </w:rPr>
      </w:pPr>
      <w:r w:rsidRPr="00E66042">
        <w:rPr>
          <w:szCs w:val="24"/>
        </w:rPr>
        <w:t xml:space="preserve">I hereby certify that a copy of this Memorandum Contra </w:t>
      </w:r>
      <w:r w:rsidR="00EA767E">
        <w:rPr>
          <w:szCs w:val="24"/>
        </w:rPr>
        <w:t>AES Ohio’s Motion to Establish a Procedural Schedule and Request for Expedited Ruling</w:t>
      </w:r>
      <w:r w:rsidRPr="00E66042">
        <w:rPr>
          <w:szCs w:val="24"/>
        </w:rPr>
        <w:t xml:space="preserve"> was served on the persons stated below via electronic transmission, this </w:t>
      </w:r>
      <w:r w:rsidR="00303310">
        <w:rPr>
          <w:szCs w:val="24"/>
        </w:rPr>
        <w:t>12</w:t>
      </w:r>
      <w:r w:rsidRPr="00D2773C" w:rsidR="00D2773C">
        <w:rPr>
          <w:szCs w:val="24"/>
          <w:vertAlign w:val="superscript"/>
        </w:rPr>
        <w:t>th</w:t>
      </w:r>
      <w:r w:rsidRPr="00E66042">
        <w:rPr>
          <w:szCs w:val="24"/>
        </w:rPr>
        <w:t xml:space="preserve"> day of </w:t>
      </w:r>
      <w:r w:rsidR="00EA767E">
        <w:rPr>
          <w:szCs w:val="24"/>
        </w:rPr>
        <w:t>October</w:t>
      </w:r>
      <w:r w:rsidRPr="00E66042">
        <w:rPr>
          <w:szCs w:val="24"/>
        </w:rPr>
        <w:t xml:space="preserve"> 2022.</w:t>
      </w:r>
    </w:p>
    <w:p w:rsidR="007744C6" w:rsidRPr="00E66042" w:rsidP="007744C6" w14:paraId="37922635" w14:textId="7D5B72D7">
      <w:pPr>
        <w:tabs>
          <w:tab w:val="left" w:pos="4320"/>
        </w:tabs>
        <w:rPr>
          <w:i/>
          <w:iCs/>
          <w:szCs w:val="24"/>
          <w:u w:val="single"/>
        </w:rPr>
      </w:pPr>
      <w:r w:rsidRPr="00E66042">
        <w:rPr>
          <w:szCs w:val="24"/>
        </w:rPr>
        <w:tab/>
      </w:r>
      <w:r w:rsidRPr="00E66042">
        <w:rPr>
          <w:i/>
          <w:iCs/>
          <w:szCs w:val="24"/>
          <w:u w:val="single"/>
        </w:rPr>
        <w:t xml:space="preserve">/s/ </w:t>
      </w:r>
      <w:r w:rsidR="00232377">
        <w:rPr>
          <w:i/>
          <w:iCs/>
          <w:szCs w:val="24"/>
          <w:u w:val="single"/>
        </w:rPr>
        <w:t>William J. Michael</w:t>
      </w:r>
      <w:r w:rsidRPr="00E66042">
        <w:rPr>
          <w:i/>
          <w:iCs/>
          <w:szCs w:val="24"/>
          <w:u w:val="single"/>
        </w:rPr>
        <w:tab/>
      </w:r>
    </w:p>
    <w:p w:rsidR="007744C6" w:rsidRPr="00E66042" w:rsidP="007744C6" w14:paraId="7CD0956B" w14:textId="18A91752">
      <w:pPr>
        <w:tabs>
          <w:tab w:val="left" w:pos="4320"/>
        </w:tabs>
        <w:rPr>
          <w:szCs w:val="24"/>
        </w:rPr>
      </w:pPr>
      <w:r w:rsidRPr="00E66042">
        <w:rPr>
          <w:szCs w:val="24"/>
        </w:rPr>
        <w:tab/>
      </w:r>
      <w:r w:rsidR="00232377">
        <w:rPr>
          <w:szCs w:val="24"/>
        </w:rPr>
        <w:t>William J. Michael</w:t>
      </w:r>
    </w:p>
    <w:p w:rsidR="007744C6" w:rsidRPr="00E66042" w:rsidP="007744C6" w14:paraId="690125BA" w14:textId="77777777">
      <w:pPr>
        <w:tabs>
          <w:tab w:val="left" w:pos="4320"/>
        </w:tabs>
        <w:rPr>
          <w:szCs w:val="24"/>
        </w:rPr>
      </w:pPr>
      <w:r w:rsidRPr="00E66042">
        <w:rPr>
          <w:szCs w:val="24"/>
        </w:rPr>
        <w:tab/>
        <w:t>Assistant Consumers’ Counsel</w:t>
      </w:r>
    </w:p>
    <w:p w:rsidR="007744C6" w:rsidRPr="00E66042" w:rsidP="007744C6" w14:paraId="6C113426" w14:textId="77777777">
      <w:pPr>
        <w:pStyle w:val="CommentSubject"/>
        <w:rPr>
          <w:szCs w:val="24"/>
        </w:rPr>
      </w:pPr>
    </w:p>
    <w:p w:rsidR="007744C6" w:rsidRPr="00E66042" w:rsidP="007744C6" w14:paraId="6B0A7F00" w14:textId="77777777">
      <w:pPr>
        <w:pStyle w:val="CommentText"/>
      </w:pPr>
      <w:r w:rsidRPr="00E66042">
        <w:t>The PUCO’s e-filing system will electronically serve notice of the filing of this document on the following parties:</w:t>
      </w:r>
    </w:p>
    <w:p w:rsidR="007744C6" w:rsidRPr="00E66042" w:rsidP="007744C6" w14:paraId="0CB7241B" w14:textId="77777777">
      <w:pPr>
        <w:pStyle w:val="CommentText"/>
      </w:pPr>
    </w:p>
    <w:p w:rsidR="007744C6" w:rsidRPr="00E66042" w:rsidP="007744C6" w14:paraId="68F0D215" w14:textId="77777777">
      <w:pPr>
        <w:pStyle w:val="CommentText"/>
        <w:jc w:val="center"/>
        <w:rPr>
          <w:b/>
          <w:u w:val="single"/>
        </w:rPr>
      </w:pPr>
      <w:r w:rsidRPr="00E66042">
        <w:rPr>
          <w:b/>
          <w:u w:val="single"/>
        </w:rPr>
        <w:t>SERVICE LIST</w:t>
      </w:r>
    </w:p>
    <w:p w:rsidR="007744C6" w:rsidRPr="00E66042" w:rsidP="009F14BC" w14:paraId="79B86B42" w14:textId="77777777">
      <w:pPr>
        <w:pStyle w:val="BodyText"/>
        <w:jc w:val="lef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C02A848" w14:textId="77777777" w:rsidTr="006B50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E64A86" w:rsidP="006B50E9" w14:paraId="1ED23023" w14:textId="514F18E8">
            <w:pPr>
              <w:pStyle w:val="CommentText"/>
              <w:jc w:val="both"/>
              <w:rPr>
                <w:rStyle w:val="Hyperlink"/>
                <w:bCs/>
              </w:rPr>
            </w:pPr>
            <w:hyperlink r:id="rId10" w:history="1">
              <w:r w:rsidRPr="00E144EF" w:rsidR="003A3A72">
                <w:rPr>
                  <w:rStyle w:val="Hyperlink"/>
                  <w:bCs/>
                </w:rPr>
                <w:t>rhiannon.plant@ohioAGO.gov</w:t>
              </w:r>
            </w:hyperlink>
          </w:p>
          <w:p w:rsidR="00E64A86" w:rsidRPr="004C4382" w:rsidP="006B50E9" w14:paraId="008D784C" w14:textId="77777777">
            <w:pPr>
              <w:pStyle w:val="CommentText"/>
              <w:jc w:val="both"/>
              <w:rPr>
                <w:bCs/>
              </w:rPr>
            </w:pPr>
            <w:r>
              <w:rPr>
                <w:rStyle w:val="Hyperlink"/>
                <w:bCs/>
              </w:rPr>
              <w:t>sarah.feldkamp@ohioAGO.gov</w:t>
            </w:r>
          </w:p>
          <w:p w:rsidR="00E64A86" w:rsidRPr="004C4382" w:rsidP="006B50E9" w14:paraId="4E4CBD52" w14:textId="77777777">
            <w:pPr>
              <w:pStyle w:val="CommentText"/>
              <w:jc w:val="both"/>
              <w:rPr>
                <w:bCs/>
              </w:rPr>
            </w:pPr>
          </w:p>
          <w:p w:rsidR="00E64A86" w:rsidRPr="004C4382" w:rsidP="006B50E9" w14:paraId="7107D817" w14:textId="77777777">
            <w:pPr>
              <w:pStyle w:val="CommentText"/>
              <w:jc w:val="both"/>
              <w:rPr>
                <w:bCs/>
              </w:rPr>
            </w:pPr>
            <w:r w:rsidRPr="004C4382">
              <w:rPr>
                <w:bCs/>
              </w:rPr>
              <w:t>Attorney Examiners:</w:t>
            </w:r>
          </w:p>
          <w:p w:rsidR="00E64A86" w:rsidRPr="004C4382" w:rsidP="006B50E9" w14:paraId="54F9E5D6" w14:textId="77777777">
            <w:pPr>
              <w:pStyle w:val="CommentText"/>
              <w:jc w:val="both"/>
              <w:rPr>
                <w:bCs/>
              </w:rPr>
            </w:pPr>
            <w:hyperlink r:id="rId11" w:history="1">
              <w:r w:rsidRPr="004C4382" w:rsidR="00FF4456">
                <w:rPr>
                  <w:rStyle w:val="Hyperlink"/>
                  <w:bCs/>
                </w:rPr>
                <w:t>Jacqueline.st.john@puco.ohio.gov</w:t>
              </w:r>
            </w:hyperlink>
          </w:p>
          <w:p w:rsidR="00E64A86" w:rsidRPr="004C4382" w:rsidP="006B50E9" w14:paraId="11F329C6" w14:textId="77777777">
            <w:pPr>
              <w:pStyle w:val="CommentText"/>
              <w:jc w:val="both"/>
              <w:rPr>
                <w:bCs/>
              </w:rPr>
            </w:pPr>
            <w:hyperlink r:id="rId12" w:history="1">
              <w:r w:rsidRPr="004C4382" w:rsidR="00FF4456">
                <w:rPr>
                  <w:rStyle w:val="Hyperlink"/>
                  <w:bCs/>
                </w:rPr>
                <w:t>Michael.williams@puco.ohio.gov</w:t>
              </w:r>
            </w:hyperlink>
          </w:p>
          <w:p w:rsidR="00E64A86" w:rsidRPr="004C4382" w:rsidP="006B50E9" w14:paraId="38963B0A" w14:textId="77777777">
            <w:pPr>
              <w:pStyle w:val="CommentText"/>
              <w:jc w:val="both"/>
              <w:rPr>
                <w:bCs/>
              </w:rPr>
            </w:pPr>
          </w:p>
        </w:tc>
        <w:tc>
          <w:tcPr>
            <w:tcW w:w="4315" w:type="dxa"/>
          </w:tcPr>
          <w:p w:rsidR="00E64A86" w:rsidRPr="004C4382" w:rsidP="003A3A72" w14:paraId="7663CB9E" w14:textId="77777777">
            <w:pPr>
              <w:pStyle w:val="CommentText"/>
              <w:rPr>
                <w:color w:val="0000FF"/>
              </w:rPr>
            </w:pPr>
            <w:hyperlink r:id="rId13" w:history="1">
              <w:r w:rsidRPr="004C4382" w:rsidR="00FF4456">
                <w:rPr>
                  <w:rStyle w:val="Hyperlink"/>
                </w:rPr>
                <w:t>randall.griffin@aes.com</w:t>
              </w:r>
            </w:hyperlink>
          </w:p>
          <w:p w:rsidR="00E64A86" w:rsidRPr="004C4382" w:rsidP="006B50E9" w14:paraId="6D875632" w14:textId="73BB95EB">
            <w:pPr>
              <w:pStyle w:val="CommentText"/>
              <w:rPr>
                <w:b/>
                <w:u w:val="single"/>
              </w:rPr>
            </w:pPr>
            <w:r w:rsidRPr="003A3A72">
              <w:rPr>
                <w:rStyle w:val="Hyperlink"/>
                <w:bCs/>
              </w:rPr>
              <w:t>christopher.hollon@aes.com</w:t>
            </w:r>
          </w:p>
        </w:tc>
      </w:tr>
    </w:tbl>
    <w:p w:rsidR="007744C6" w:rsidRPr="00E66042" w14:paraId="19A2E5AE" w14:textId="19520CAB">
      <w:pPr>
        <w:rPr>
          <w:szCs w:val="24"/>
        </w:rPr>
      </w:pPr>
    </w:p>
    <w:sectPr w:rsidSect="00EE471A">
      <w:footerReference w:type="first" r:id="rId14"/>
      <w:pgSz w:w="12240" w:h="15840"/>
      <w:pgMar w:top="1440" w:right="1800" w:bottom="1440" w:left="1800" w:header="720" w:footer="720" w:gutter="0"/>
      <w:pgNumType w:start="2"/>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2521620"/>
      <w:docPartObj>
        <w:docPartGallery w:val="Page Numbers (Bottom of Page)"/>
        <w:docPartUnique/>
      </w:docPartObj>
    </w:sdtPr>
    <w:sdtEndPr>
      <w:rPr>
        <w:noProof/>
        <w:sz w:val="24"/>
        <w:szCs w:val="24"/>
      </w:rPr>
    </w:sdtEndPr>
    <w:sdtContent>
      <w:p w:rsidR="00E64A86" w:rsidRPr="00E64A86" w14:paraId="5F906E28" w14:textId="7F73F48C">
        <w:pPr>
          <w:pStyle w:val="Footer"/>
          <w:jc w:val="center"/>
          <w:rPr>
            <w:sz w:val="24"/>
            <w:szCs w:val="24"/>
          </w:rPr>
        </w:pPr>
        <w:r w:rsidRPr="00E64A86">
          <w:rPr>
            <w:sz w:val="24"/>
            <w:szCs w:val="24"/>
          </w:rPr>
          <w:fldChar w:fldCharType="begin"/>
        </w:r>
        <w:r w:rsidRPr="00E64A86">
          <w:rPr>
            <w:sz w:val="24"/>
            <w:szCs w:val="24"/>
          </w:rPr>
          <w:instrText xml:space="preserve"> PAGE   \* MERGEFORMAT </w:instrText>
        </w:r>
        <w:r w:rsidRPr="00E64A86">
          <w:rPr>
            <w:sz w:val="24"/>
            <w:szCs w:val="24"/>
          </w:rPr>
          <w:fldChar w:fldCharType="separate"/>
        </w:r>
        <w:r w:rsidRPr="00E64A86">
          <w:rPr>
            <w:noProof/>
            <w:sz w:val="24"/>
            <w:szCs w:val="24"/>
          </w:rPr>
          <w:t>2</w:t>
        </w:r>
        <w:r w:rsidRPr="00E64A86">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631" w:rsidRPr="00943631" w14:paraId="445C279B" w14:textId="1C299594">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0849633"/>
      <w:docPartObj>
        <w:docPartGallery w:val="Page Numbers (Bottom of Page)"/>
        <w:docPartUnique/>
      </w:docPartObj>
    </w:sdtPr>
    <w:sdtEndPr>
      <w:rPr>
        <w:noProof/>
        <w:sz w:val="24"/>
        <w:szCs w:val="24"/>
      </w:rPr>
    </w:sdtEndPr>
    <w:sdtContent>
      <w:p w:rsidR="00303310" w:rsidRPr="00303310" w14:paraId="7FDA340C" w14:textId="24D352EA">
        <w:pPr>
          <w:pStyle w:val="Footer"/>
          <w:jc w:val="center"/>
          <w:rPr>
            <w:sz w:val="24"/>
            <w:szCs w:val="24"/>
          </w:rPr>
        </w:pPr>
        <w:r w:rsidRPr="00303310">
          <w:rPr>
            <w:sz w:val="24"/>
            <w:szCs w:val="24"/>
          </w:rPr>
          <w:fldChar w:fldCharType="begin"/>
        </w:r>
        <w:r w:rsidRPr="00303310">
          <w:rPr>
            <w:sz w:val="24"/>
            <w:szCs w:val="24"/>
          </w:rPr>
          <w:instrText xml:space="preserve"> PAGE   \* MERGEFORMAT </w:instrText>
        </w:r>
        <w:r w:rsidRPr="00303310">
          <w:rPr>
            <w:sz w:val="24"/>
            <w:szCs w:val="24"/>
          </w:rPr>
          <w:fldChar w:fldCharType="separate"/>
        </w:r>
        <w:r w:rsidRPr="00303310">
          <w:rPr>
            <w:noProof/>
            <w:sz w:val="24"/>
            <w:szCs w:val="24"/>
          </w:rPr>
          <w:t>2</w:t>
        </w:r>
        <w:r w:rsidRPr="0030331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3ECD" w14:paraId="6FBFFD81" w14:textId="77777777">
      <w:r>
        <w:separator/>
      </w:r>
    </w:p>
  </w:footnote>
  <w:footnote w:type="continuationSeparator" w:id="1">
    <w:p w:rsidR="003B3ECD" w14:paraId="7FF30F81" w14:textId="77777777">
      <w:r>
        <w:continuationSeparator/>
      </w:r>
    </w:p>
  </w:footnote>
  <w:footnote w:id="2">
    <w:p w:rsidR="00F050CF" w:rsidRPr="009E13B7" w:rsidP="009E13B7" w14:paraId="11FCFCBE" w14:textId="330C3D85">
      <w:pPr>
        <w:pStyle w:val="FootnoteText"/>
        <w:spacing w:after="120"/>
      </w:pPr>
      <w:r w:rsidRPr="009E13B7">
        <w:rPr>
          <w:rStyle w:val="FootnoteReference"/>
        </w:rPr>
        <w:footnoteRef/>
      </w:r>
      <w:r w:rsidRPr="009E13B7">
        <w:t xml:space="preserve"> R.C. 4905.22. </w:t>
      </w:r>
    </w:p>
  </w:footnote>
  <w:footnote w:id="3">
    <w:p w:rsidR="002D387C" w:rsidRPr="009E13B7" w:rsidP="009E13B7" w14:paraId="5BC18103" w14:textId="7E557D54">
      <w:pPr>
        <w:pStyle w:val="FootnoteText"/>
        <w:spacing w:after="120"/>
      </w:pPr>
      <w:r w:rsidRPr="009E13B7">
        <w:rPr>
          <w:rStyle w:val="FootnoteReference"/>
        </w:rPr>
        <w:footnoteRef/>
      </w:r>
      <w:r w:rsidRPr="009E13B7">
        <w:t xml:space="preserve"> </w:t>
      </w:r>
      <w:r w:rsidRPr="009E13B7">
        <w:rPr>
          <w:i/>
          <w:iCs/>
        </w:rPr>
        <w:t xml:space="preserve">See </w:t>
      </w:r>
      <w:r w:rsidRPr="009E13B7">
        <w:t>Motion of AES Ohio to Establish a Procedural Schedule (October 5, 2022) (“Motion”).</w:t>
      </w:r>
    </w:p>
  </w:footnote>
  <w:footnote w:id="4">
    <w:p w:rsidR="007743C1" w:rsidRPr="009E13B7" w:rsidP="009E13B7" w14:paraId="7CED385F" w14:textId="348CF7DF">
      <w:pPr>
        <w:pStyle w:val="FootnoteText"/>
        <w:spacing w:after="120"/>
      </w:pPr>
      <w:r w:rsidRPr="009E13B7">
        <w:rPr>
          <w:rStyle w:val="FootnoteReference"/>
        </w:rPr>
        <w:footnoteRef/>
      </w:r>
      <w:r w:rsidRPr="009E13B7">
        <w:t xml:space="preserve"> </w:t>
      </w:r>
      <w:r w:rsidRPr="009E13B7" w:rsidR="00A40EC0">
        <w:t>R.C. 4903.082.</w:t>
      </w:r>
    </w:p>
  </w:footnote>
  <w:footnote w:id="5">
    <w:p w:rsidR="00A40EC0" w:rsidRPr="009E13B7" w:rsidP="009E13B7" w14:paraId="50AB3C60" w14:textId="503D79C1">
      <w:pPr>
        <w:pStyle w:val="FootnoteText"/>
        <w:spacing w:after="120"/>
      </w:pPr>
      <w:r w:rsidRPr="009E13B7">
        <w:rPr>
          <w:rStyle w:val="FootnoteReference"/>
        </w:rPr>
        <w:footnoteRef/>
      </w:r>
      <w:r w:rsidRPr="009E13B7">
        <w:t xml:space="preserve"> OCC does not oppose </w:t>
      </w:r>
      <w:r w:rsidRPr="009E13B7">
        <w:rPr>
          <w:color w:val="000000" w:themeColor="text1"/>
        </w:rPr>
        <w:t xml:space="preserve">DP&amp;L’s request for an expedited ruling. </w:t>
      </w:r>
    </w:p>
  </w:footnote>
  <w:footnote w:id="6">
    <w:p w:rsidR="001F346E" w:rsidRPr="009E13B7" w:rsidP="009E13B7" w14:paraId="7BF62058" w14:textId="77777777">
      <w:pPr>
        <w:pStyle w:val="FootnoteText"/>
        <w:spacing w:after="120"/>
      </w:pPr>
      <w:r w:rsidRPr="009E13B7">
        <w:rPr>
          <w:rStyle w:val="FootnoteReference"/>
        </w:rPr>
        <w:footnoteRef/>
      </w:r>
      <w:r w:rsidRPr="009E13B7">
        <w:t xml:space="preserve"> R.C. 4903.082. </w:t>
      </w:r>
    </w:p>
  </w:footnote>
  <w:footnote w:id="7">
    <w:p w:rsidR="001F346E" w:rsidRPr="009E13B7" w:rsidP="009E13B7" w14:paraId="2C43CB9A" w14:textId="77777777">
      <w:pPr>
        <w:pStyle w:val="FootnoteText"/>
        <w:spacing w:after="120"/>
      </w:pPr>
      <w:r w:rsidRPr="009E13B7">
        <w:rPr>
          <w:rStyle w:val="FootnoteReference"/>
        </w:rPr>
        <w:footnoteRef/>
      </w:r>
      <w:r w:rsidRPr="009E13B7">
        <w:t xml:space="preserve"> O.A.C. 4901-1-16(A).</w:t>
      </w:r>
    </w:p>
  </w:footnote>
  <w:footnote w:id="8">
    <w:p w:rsidR="00F93B73" w:rsidRPr="009E13B7" w:rsidP="009E13B7" w14:paraId="08A17E33" w14:textId="77777777">
      <w:pPr>
        <w:pStyle w:val="FootnoteText"/>
        <w:spacing w:after="120"/>
      </w:pPr>
      <w:r w:rsidRPr="009E13B7">
        <w:rPr>
          <w:rStyle w:val="FootnoteReference"/>
        </w:rPr>
        <w:footnoteRef/>
      </w:r>
      <w:r w:rsidRPr="009E13B7">
        <w:t xml:space="preserve"> O.A.C. 4901-1-16(H).</w:t>
      </w:r>
    </w:p>
  </w:footnote>
  <w:footnote w:id="9">
    <w:p w:rsidR="00F93B73" w:rsidRPr="009E13B7" w:rsidP="009E13B7" w14:paraId="47060094" w14:textId="77777777">
      <w:pPr>
        <w:pStyle w:val="FootnoteText"/>
        <w:spacing w:after="120"/>
      </w:pPr>
      <w:r w:rsidRPr="009E13B7">
        <w:rPr>
          <w:rStyle w:val="FootnoteReference"/>
        </w:rPr>
        <w:footnoteRef/>
      </w:r>
      <w:r w:rsidRPr="009E13B7">
        <w:t xml:space="preserve"> O.A.C. 4901-1-19; 4091-01-20. </w:t>
      </w:r>
    </w:p>
  </w:footnote>
  <w:footnote w:id="10">
    <w:p w:rsidR="00F93B73" w:rsidRPr="009E13B7" w:rsidP="009E13B7" w14:paraId="5901EDB1" w14:textId="77777777">
      <w:pPr>
        <w:pStyle w:val="FootnoteText"/>
        <w:spacing w:after="120"/>
      </w:pPr>
      <w:r w:rsidRPr="009E13B7">
        <w:rPr>
          <w:rStyle w:val="FootnoteReference"/>
        </w:rPr>
        <w:footnoteRef/>
      </w:r>
      <w:r w:rsidRPr="009E13B7">
        <w:t xml:space="preserve"> O.A.C. 4901-1-19(A).</w:t>
      </w:r>
    </w:p>
  </w:footnote>
  <w:footnote w:id="11">
    <w:p w:rsidR="00CF30AD" w:rsidRPr="009E13B7" w:rsidP="009E13B7" w14:paraId="1D3E4A64" w14:textId="77777777">
      <w:pPr>
        <w:pStyle w:val="FootnoteText"/>
        <w:spacing w:after="120"/>
      </w:pPr>
      <w:r w:rsidRPr="009E13B7">
        <w:rPr>
          <w:rStyle w:val="FootnoteReference"/>
        </w:rPr>
        <w:footnoteRef/>
      </w:r>
      <w:r w:rsidRPr="009E13B7">
        <w:t xml:space="preserve"> O.A.C. 4901-1-20(C).</w:t>
      </w:r>
    </w:p>
  </w:footnote>
  <w:footnote w:id="12">
    <w:p w:rsidR="002D387C" w:rsidRPr="009E13B7" w:rsidP="009E13B7" w14:paraId="4F2BDE18" w14:textId="2B338C7A">
      <w:pPr>
        <w:pStyle w:val="FootnoteText"/>
        <w:spacing w:after="120"/>
      </w:pPr>
      <w:r w:rsidRPr="009E13B7">
        <w:rPr>
          <w:rStyle w:val="FootnoteReference"/>
        </w:rPr>
        <w:footnoteRef/>
      </w:r>
      <w:r w:rsidRPr="009E13B7">
        <w:t xml:space="preserve"> </w:t>
      </w:r>
      <w:r w:rsidRPr="009E13B7">
        <w:rPr>
          <w:i/>
          <w:iCs/>
        </w:rPr>
        <w:t xml:space="preserve">See </w:t>
      </w:r>
      <w:r w:rsidRPr="009E13B7">
        <w:t>Motion.</w:t>
      </w:r>
    </w:p>
  </w:footnote>
  <w:footnote w:id="13">
    <w:p w:rsidR="00B25166" w:rsidRPr="009E13B7" w:rsidP="009E13B7" w14:paraId="203A0A3E" w14:textId="77777777">
      <w:pPr>
        <w:pStyle w:val="FootnoteText"/>
        <w:spacing w:after="120"/>
      </w:pPr>
      <w:r w:rsidRPr="009E13B7">
        <w:rPr>
          <w:rStyle w:val="FootnoteReference"/>
        </w:rPr>
        <w:footnoteRef/>
      </w:r>
      <w:r w:rsidRPr="009E13B7">
        <w:t xml:space="preserve"> O.A.C. 4901-1-19(A), O.A.C. 4901-1-20(C).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7"/>
  </w:num>
  <w:num w:numId="2">
    <w:abstractNumId w:val="16"/>
  </w:num>
  <w:num w:numId="3">
    <w:abstractNumId w:val="20"/>
  </w:num>
  <w:num w:numId="4">
    <w:abstractNumId w:val="19"/>
  </w:num>
  <w:num w:numId="5">
    <w:abstractNumId w:val="13"/>
  </w:num>
  <w:num w:numId="6">
    <w:abstractNumId w:val="25"/>
  </w:num>
  <w:num w:numId="7">
    <w:abstractNumId w:val="22"/>
  </w:num>
  <w:num w:numId="8">
    <w:abstractNumId w:val="26"/>
  </w:num>
  <w:num w:numId="9">
    <w:abstractNumId w:val="24"/>
  </w:num>
  <w:num w:numId="10">
    <w:abstractNumId w:val="18"/>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1"/>
  </w:num>
  <w:num w:numId="24">
    <w:abstractNumId w:val="14"/>
  </w:num>
  <w:num w:numId="25">
    <w:abstractNumId w:val="11"/>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10B59"/>
    <w:rsid w:val="0001103E"/>
    <w:rsid w:val="0001128B"/>
    <w:rsid w:val="00024614"/>
    <w:rsid w:val="00025833"/>
    <w:rsid w:val="00027C64"/>
    <w:rsid w:val="00032949"/>
    <w:rsid w:val="00032DA0"/>
    <w:rsid w:val="0004130B"/>
    <w:rsid w:val="000609AC"/>
    <w:rsid w:val="000637AC"/>
    <w:rsid w:val="0006716D"/>
    <w:rsid w:val="0007139E"/>
    <w:rsid w:val="0008241A"/>
    <w:rsid w:val="00082F86"/>
    <w:rsid w:val="00096109"/>
    <w:rsid w:val="000A1E61"/>
    <w:rsid w:val="000A3CB4"/>
    <w:rsid w:val="000B1CB4"/>
    <w:rsid w:val="000B2735"/>
    <w:rsid w:val="000C4C02"/>
    <w:rsid w:val="000C5C18"/>
    <w:rsid w:val="000D5DC2"/>
    <w:rsid w:val="000E0326"/>
    <w:rsid w:val="000E0AE1"/>
    <w:rsid w:val="000E55B1"/>
    <w:rsid w:val="000E6BBD"/>
    <w:rsid w:val="000F0633"/>
    <w:rsid w:val="000F7329"/>
    <w:rsid w:val="00101244"/>
    <w:rsid w:val="00112549"/>
    <w:rsid w:val="001133CC"/>
    <w:rsid w:val="001161B5"/>
    <w:rsid w:val="001179CC"/>
    <w:rsid w:val="00120D8D"/>
    <w:rsid w:val="00121A2E"/>
    <w:rsid w:val="001232D9"/>
    <w:rsid w:val="00124D1C"/>
    <w:rsid w:val="00137BF3"/>
    <w:rsid w:val="0016048E"/>
    <w:rsid w:val="0018182B"/>
    <w:rsid w:val="00181BC5"/>
    <w:rsid w:val="001A073F"/>
    <w:rsid w:val="001A0C05"/>
    <w:rsid w:val="001A10D2"/>
    <w:rsid w:val="001B17ED"/>
    <w:rsid w:val="001C0724"/>
    <w:rsid w:val="001C4904"/>
    <w:rsid w:val="001D52FC"/>
    <w:rsid w:val="001D535F"/>
    <w:rsid w:val="001E33AF"/>
    <w:rsid w:val="001E7837"/>
    <w:rsid w:val="001F346E"/>
    <w:rsid w:val="001F5F3C"/>
    <w:rsid w:val="001F73CA"/>
    <w:rsid w:val="00203E7A"/>
    <w:rsid w:val="0020418B"/>
    <w:rsid w:val="0020461B"/>
    <w:rsid w:val="00206E19"/>
    <w:rsid w:val="00225924"/>
    <w:rsid w:val="00232377"/>
    <w:rsid w:val="00237D52"/>
    <w:rsid w:val="002434B2"/>
    <w:rsid w:val="00244ED5"/>
    <w:rsid w:val="00254036"/>
    <w:rsid w:val="002673F2"/>
    <w:rsid w:val="002715CB"/>
    <w:rsid w:val="00275D11"/>
    <w:rsid w:val="002A1D69"/>
    <w:rsid w:val="002A2A08"/>
    <w:rsid w:val="002A57A7"/>
    <w:rsid w:val="002A5E15"/>
    <w:rsid w:val="002B7E2B"/>
    <w:rsid w:val="002D387C"/>
    <w:rsid w:val="002E0376"/>
    <w:rsid w:val="002E1D26"/>
    <w:rsid w:val="002F0C0D"/>
    <w:rsid w:val="002F0D09"/>
    <w:rsid w:val="002F4A32"/>
    <w:rsid w:val="00300539"/>
    <w:rsid w:val="00303310"/>
    <w:rsid w:val="0030435B"/>
    <w:rsid w:val="003044B1"/>
    <w:rsid w:val="003056EB"/>
    <w:rsid w:val="0031477A"/>
    <w:rsid w:val="00325D1C"/>
    <w:rsid w:val="00326A10"/>
    <w:rsid w:val="00341930"/>
    <w:rsid w:val="0035186B"/>
    <w:rsid w:val="00361D3E"/>
    <w:rsid w:val="00366501"/>
    <w:rsid w:val="003764D5"/>
    <w:rsid w:val="0037653E"/>
    <w:rsid w:val="00382CF9"/>
    <w:rsid w:val="00384F51"/>
    <w:rsid w:val="00387A24"/>
    <w:rsid w:val="00393BC8"/>
    <w:rsid w:val="003A235F"/>
    <w:rsid w:val="003A2F1E"/>
    <w:rsid w:val="003A3A72"/>
    <w:rsid w:val="003A4F34"/>
    <w:rsid w:val="003B3ECD"/>
    <w:rsid w:val="003B5088"/>
    <w:rsid w:val="003C1E3B"/>
    <w:rsid w:val="003C5F17"/>
    <w:rsid w:val="003D64C5"/>
    <w:rsid w:val="003E1BBB"/>
    <w:rsid w:val="003E36A2"/>
    <w:rsid w:val="003E4519"/>
    <w:rsid w:val="003E5BC5"/>
    <w:rsid w:val="003E5D45"/>
    <w:rsid w:val="004347E5"/>
    <w:rsid w:val="00434DAB"/>
    <w:rsid w:val="00445EE2"/>
    <w:rsid w:val="00446E8B"/>
    <w:rsid w:val="004561A3"/>
    <w:rsid w:val="004664A0"/>
    <w:rsid w:val="00471D2C"/>
    <w:rsid w:val="00484FDC"/>
    <w:rsid w:val="004856B6"/>
    <w:rsid w:val="00485A92"/>
    <w:rsid w:val="00486361"/>
    <w:rsid w:val="004A2AEA"/>
    <w:rsid w:val="004A3F72"/>
    <w:rsid w:val="004A757B"/>
    <w:rsid w:val="004C4382"/>
    <w:rsid w:val="004D0A73"/>
    <w:rsid w:val="004E4001"/>
    <w:rsid w:val="004E4FE5"/>
    <w:rsid w:val="00512125"/>
    <w:rsid w:val="0051409B"/>
    <w:rsid w:val="00517BC7"/>
    <w:rsid w:val="00517CA3"/>
    <w:rsid w:val="005211B7"/>
    <w:rsid w:val="005321D9"/>
    <w:rsid w:val="00532502"/>
    <w:rsid w:val="00535351"/>
    <w:rsid w:val="00535C4D"/>
    <w:rsid w:val="00562C23"/>
    <w:rsid w:val="00564ECC"/>
    <w:rsid w:val="00566DB1"/>
    <w:rsid w:val="0057090F"/>
    <w:rsid w:val="005828C5"/>
    <w:rsid w:val="00583B06"/>
    <w:rsid w:val="00585170"/>
    <w:rsid w:val="00591EFB"/>
    <w:rsid w:val="00594356"/>
    <w:rsid w:val="00594A1E"/>
    <w:rsid w:val="005A7640"/>
    <w:rsid w:val="005C27C3"/>
    <w:rsid w:val="005C370A"/>
    <w:rsid w:val="005C49D4"/>
    <w:rsid w:val="005D08A4"/>
    <w:rsid w:val="005E60FC"/>
    <w:rsid w:val="005F12CD"/>
    <w:rsid w:val="005F7921"/>
    <w:rsid w:val="00606DB5"/>
    <w:rsid w:val="00607F89"/>
    <w:rsid w:val="00610F07"/>
    <w:rsid w:val="006113C4"/>
    <w:rsid w:val="00613F3E"/>
    <w:rsid w:val="00621F95"/>
    <w:rsid w:val="006227A7"/>
    <w:rsid w:val="006259FD"/>
    <w:rsid w:val="0062762F"/>
    <w:rsid w:val="00644057"/>
    <w:rsid w:val="006568FC"/>
    <w:rsid w:val="006611C6"/>
    <w:rsid w:val="006720BF"/>
    <w:rsid w:val="00687B04"/>
    <w:rsid w:val="0069101B"/>
    <w:rsid w:val="00693299"/>
    <w:rsid w:val="006947B3"/>
    <w:rsid w:val="006B3D30"/>
    <w:rsid w:val="006B50E9"/>
    <w:rsid w:val="006B6324"/>
    <w:rsid w:val="006C1B77"/>
    <w:rsid w:val="006C4413"/>
    <w:rsid w:val="006C6603"/>
    <w:rsid w:val="006C6D5F"/>
    <w:rsid w:val="006D1915"/>
    <w:rsid w:val="006F1010"/>
    <w:rsid w:val="006F4B02"/>
    <w:rsid w:val="007009B3"/>
    <w:rsid w:val="00703719"/>
    <w:rsid w:val="00722DD3"/>
    <w:rsid w:val="00735276"/>
    <w:rsid w:val="007369C8"/>
    <w:rsid w:val="007371F3"/>
    <w:rsid w:val="00753193"/>
    <w:rsid w:val="00753B06"/>
    <w:rsid w:val="00754107"/>
    <w:rsid w:val="007613E8"/>
    <w:rsid w:val="00762C8B"/>
    <w:rsid w:val="00763597"/>
    <w:rsid w:val="00763ACF"/>
    <w:rsid w:val="00767BFD"/>
    <w:rsid w:val="007727DB"/>
    <w:rsid w:val="007743C1"/>
    <w:rsid w:val="007744C6"/>
    <w:rsid w:val="0077599C"/>
    <w:rsid w:val="0078755F"/>
    <w:rsid w:val="00791369"/>
    <w:rsid w:val="007974F8"/>
    <w:rsid w:val="007A34E9"/>
    <w:rsid w:val="007B0711"/>
    <w:rsid w:val="007B55DE"/>
    <w:rsid w:val="007C11A8"/>
    <w:rsid w:val="007C1D25"/>
    <w:rsid w:val="007E2309"/>
    <w:rsid w:val="007E6B07"/>
    <w:rsid w:val="007F1157"/>
    <w:rsid w:val="007F2BE5"/>
    <w:rsid w:val="007F5CA4"/>
    <w:rsid w:val="007F73A1"/>
    <w:rsid w:val="008102A3"/>
    <w:rsid w:val="00814BC0"/>
    <w:rsid w:val="00817035"/>
    <w:rsid w:val="008221EE"/>
    <w:rsid w:val="0083098A"/>
    <w:rsid w:val="00833E01"/>
    <w:rsid w:val="00844334"/>
    <w:rsid w:val="0084570A"/>
    <w:rsid w:val="0085576C"/>
    <w:rsid w:val="008562D9"/>
    <w:rsid w:val="008658CE"/>
    <w:rsid w:val="00867177"/>
    <w:rsid w:val="00876080"/>
    <w:rsid w:val="008841C2"/>
    <w:rsid w:val="00892793"/>
    <w:rsid w:val="00895776"/>
    <w:rsid w:val="008B2315"/>
    <w:rsid w:val="008C3969"/>
    <w:rsid w:val="008D4814"/>
    <w:rsid w:val="008F1DDE"/>
    <w:rsid w:val="008F3D5C"/>
    <w:rsid w:val="00903EF9"/>
    <w:rsid w:val="0090654A"/>
    <w:rsid w:val="00915BA7"/>
    <w:rsid w:val="00915E0E"/>
    <w:rsid w:val="009213C3"/>
    <w:rsid w:val="00921BEA"/>
    <w:rsid w:val="00942778"/>
    <w:rsid w:val="00943631"/>
    <w:rsid w:val="00954F23"/>
    <w:rsid w:val="009626AF"/>
    <w:rsid w:val="00964DA7"/>
    <w:rsid w:val="009663F7"/>
    <w:rsid w:val="009730E4"/>
    <w:rsid w:val="00985645"/>
    <w:rsid w:val="009875C3"/>
    <w:rsid w:val="0099500D"/>
    <w:rsid w:val="00997AB3"/>
    <w:rsid w:val="009A3B33"/>
    <w:rsid w:val="009A4265"/>
    <w:rsid w:val="009B6724"/>
    <w:rsid w:val="009B7423"/>
    <w:rsid w:val="009C1E0C"/>
    <w:rsid w:val="009C2A91"/>
    <w:rsid w:val="009C6EA7"/>
    <w:rsid w:val="009D5AFF"/>
    <w:rsid w:val="009E13B7"/>
    <w:rsid w:val="009E2EF0"/>
    <w:rsid w:val="009E48DF"/>
    <w:rsid w:val="009F11C4"/>
    <w:rsid w:val="009F14BC"/>
    <w:rsid w:val="009F5033"/>
    <w:rsid w:val="009F5D6A"/>
    <w:rsid w:val="009F7064"/>
    <w:rsid w:val="00A05643"/>
    <w:rsid w:val="00A057D4"/>
    <w:rsid w:val="00A076C0"/>
    <w:rsid w:val="00A22FE8"/>
    <w:rsid w:val="00A3235E"/>
    <w:rsid w:val="00A34191"/>
    <w:rsid w:val="00A37646"/>
    <w:rsid w:val="00A40EC0"/>
    <w:rsid w:val="00A4133F"/>
    <w:rsid w:val="00A51B0B"/>
    <w:rsid w:val="00A6060A"/>
    <w:rsid w:val="00A61E98"/>
    <w:rsid w:val="00A81BEE"/>
    <w:rsid w:val="00A83132"/>
    <w:rsid w:val="00A96992"/>
    <w:rsid w:val="00AA14FD"/>
    <w:rsid w:val="00AB5B08"/>
    <w:rsid w:val="00AC4F77"/>
    <w:rsid w:val="00AC7371"/>
    <w:rsid w:val="00AE1D72"/>
    <w:rsid w:val="00AE227B"/>
    <w:rsid w:val="00AE306B"/>
    <w:rsid w:val="00AF3CCB"/>
    <w:rsid w:val="00B00658"/>
    <w:rsid w:val="00B05638"/>
    <w:rsid w:val="00B127D3"/>
    <w:rsid w:val="00B20DA8"/>
    <w:rsid w:val="00B25166"/>
    <w:rsid w:val="00B34637"/>
    <w:rsid w:val="00B375A0"/>
    <w:rsid w:val="00B4498F"/>
    <w:rsid w:val="00B51A30"/>
    <w:rsid w:val="00B52CA7"/>
    <w:rsid w:val="00B608F4"/>
    <w:rsid w:val="00B72C0B"/>
    <w:rsid w:val="00B7356F"/>
    <w:rsid w:val="00B8069F"/>
    <w:rsid w:val="00BB582F"/>
    <w:rsid w:val="00BC25D6"/>
    <w:rsid w:val="00BD48C1"/>
    <w:rsid w:val="00BE3BDE"/>
    <w:rsid w:val="00BE650F"/>
    <w:rsid w:val="00BF0031"/>
    <w:rsid w:val="00C16468"/>
    <w:rsid w:val="00C16470"/>
    <w:rsid w:val="00C2766A"/>
    <w:rsid w:val="00C306DF"/>
    <w:rsid w:val="00C34FD5"/>
    <w:rsid w:val="00C355AA"/>
    <w:rsid w:val="00C43CA2"/>
    <w:rsid w:val="00C44644"/>
    <w:rsid w:val="00C55D23"/>
    <w:rsid w:val="00C6655A"/>
    <w:rsid w:val="00C66EF5"/>
    <w:rsid w:val="00C75BE0"/>
    <w:rsid w:val="00C77822"/>
    <w:rsid w:val="00C800CA"/>
    <w:rsid w:val="00C96DF2"/>
    <w:rsid w:val="00CA0188"/>
    <w:rsid w:val="00CA35A1"/>
    <w:rsid w:val="00CA37C5"/>
    <w:rsid w:val="00CA405C"/>
    <w:rsid w:val="00CA669E"/>
    <w:rsid w:val="00CB48D6"/>
    <w:rsid w:val="00CB64C6"/>
    <w:rsid w:val="00CD3C1D"/>
    <w:rsid w:val="00CD6248"/>
    <w:rsid w:val="00CE2969"/>
    <w:rsid w:val="00CF30AD"/>
    <w:rsid w:val="00D007DB"/>
    <w:rsid w:val="00D01424"/>
    <w:rsid w:val="00D045E7"/>
    <w:rsid w:val="00D04759"/>
    <w:rsid w:val="00D055FC"/>
    <w:rsid w:val="00D05D46"/>
    <w:rsid w:val="00D15376"/>
    <w:rsid w:val="00D16DAF"/>
    <w:rsid w:val="00D2773C"/>
    <w:rsid w:val="00D33226"/>
    <w:rsid w:val="00D35CE2"/>
    <w:rsid w:val="00D421A0"/>
    <w:rsid w:val="00D466A8"/>
    <w:rsid w:val="00D50CD2"/>
    <w:rsid w:val="00D70870"/>
    <w:rsid w:val="00D73BC8"/>
    <w:rsid w:val="00D81F4E"/>
    <w:rsid w:val="00D943FE"/>
    <w:rsid w:val="00DA6671"/>
    <w:rsid w:val="00DB1F71"/>
    <w:rsid w:val="00DC1B99"/>
    <w:rsid w:val="00DC6A55"/>
    <w:rsid w:val="00DD4DDF"/>
    <w:rsid w:val="00DE46DA"/>
    <w:rsid w:val="00E02A22"/>
    <w:rsid w:val="00E02B6E"/>
    <w:rsid w:val="00E04518"/>
    <w:rsid w:val="00E04F2C"/>
    <w:rsid w:val="00E061DE"/>
    <w:rsid w:val="00E06719"/>
    <w:rsid w:val="00E144EF"/>
    <w:rsid w:val="00E276B3"/>
    <w:rsid w:val="00E40CA9"/>
    <w:rsid w:val="00E460BA"/>
    <w:rsid w:val="00E46DB6"/>
    <w:rsid w:val="00E51266"/>
    <w:rsid w:val="00E54A05"/>
    <w:rsid w:val="00E64A86"/>
    <w:rsid w:val="00E66042"/>
    <w:rsid w:val="00E8476B"/>
    <w:rsid w:val="00E86CE0"/>
    <w:rsid w:val="00E87ADB"/>
    <w:rsid w:val="00E928F8"/>
    <w:rsid w:val="00E95A13"/>
    <w:rsid w:val="00E96311"/>
    <w:rsid w:val="00E97274"/>
    <w:rsid w:val="00E975AC"/>
    <w:rsid w:val="00EA1791"/>
    <w:rsid w:val="00EA767E"/>
    <w:rsid w:val="00EC7271"/>
    <w:rsid w:val="00ED13DE"/>
    <w:rsid w:val="00ED41FE"/>
    <w:rsid w:val="00EE471A"/>
    <w:rsid w:val="00EF23FE"/>
    <w:rsid w:val="00EF5955"/>
    <w:rsid w:val="00F00582"/>
    <w:rsid w:val="00F0065E"/>
    <w:rsid w:val="00F01E13"/>
    <w:rsid w:val="00F02C9A"/>
    <w:rsid w:val="00F050CF"/>
    <w:rsid w:val="00F13BA9"/>
    <w:rsid w:val="00F15F5C"/>
    <w:rsid w:val="00F17826"/>
    <w:rsid w:val="00F17E3B"/>
    <w:rsid w:val="00F211FD"/>
    <w:rsid w:val="00F25B74"/>
    <w:rsid w:val="00F322DF"/>
    <w:rsid w:val="00F36FD9"/>
    <w:rsid w:val="00F45212"/>
    <w:rsid w:val="00F50D5E"/>
    <w:rsid w:val="00F55683"/>
    <w:rsid w:val="00F62A4C"/>
    <w:rsid w:val="00F7444B"/>
    <w:rsid w:val="00F76094"/>
    <w:rsid w:val="00F80D8C"/>
    <w:rsid w:val="00F8522E"/>
    <w:rsid w:val="00F90686"/>
    <w:rsid w:val="00F9095C"/>
    <w:rsid w:val="00F92058"/>
    <w:rsid w:val="00F93B73"/>
    <w:rsid w:val="00F94FCF"/>
    <w:rsid w:val="00F9612C"/>
    <w:rsid w:val="00F9782B"/>
    <w:rsid w:val="00FA0304"/>
    <w:rsid w:val="00FA07E8"/>
    <w:rsid w:val="00FA3655"/>
    <w:rsid w:val="00FA39AA"/>
    <w:rsid w:val="00FA3AFE"/>
    <w:rsid w:val="00FA58F9"/>
    <w:rsid w:val="00FB1592"/>
    <w:rsid w:val="00FB1E99"/>
    <w:rsid w:val="00FB3E40"/>
    <w:rsid w:val="00FC3728"/>
    <w:rsid w:val="00FD51A2"/>
    <w:rsid w:val="00FF44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B127D3"/>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uiPriority w:val="99"/>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621F95"/>
    <w:rPr>
      <w:rFonts w:ascii="Times New Roman Bold" w:hAnsi="Times New Roman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hiannon.plant@ohioAGO.gov" TargetMode="External" /><Relationship Id="rId11" Type="http://schemas.openxmlformats.org/officeDocument/2006/relationships/hyperlink" Target="mailto:Jacqueline.st.john@puco.ohio.gov" TargetMode="External" /><Relationship Id="rId12" Type="http://schemas.openxmlformats.org/officeDocument/2006/relationships/hyperlink" Target="mailto:Michael.williams@puco.ohio.gov" TargetMode="External" /><Relationship Id="rId13" Type="http://schemas.openxmlformats.org/officeDocument/2006/relationships/hyperlink" Target="mailto:randall.griffin@aes.com" TargetMode="Externa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william.michael@occ.ohio.gov" TargetMode="External" /><Relationship Id="rId9" Type="http://schemas.openxmlformats.org/officeDocument/2006/relationships/hyperlink" Target="mailto:connor.semple@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2022-10-12T20:32:43Z</dcterms:created>
  <dcterms:modified xsi:type="dcterms:W3CDTF">2022-10-12T20:32:43Z</dcterms:modified>
</cp:coreProperties>
</file>