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5B05F" w14:textId="77777777" w:rsidR="00663D6A" w:rsidRPr="002D54AC" w:rsidRDefault="00663D6A" w:rsidP="00663D6A">
      <w:pPr>
        <w:jc w:val="center"/>
        <w:rPr>
          <w:b/>
          <w:sz w:val="26"/>
          <w:szCs w:val="26"/>
        </w:rPr>
      </w:pPr>
      <w:r w:rsidRPr="002D54AC">
        <w:rPr>
          <w:b/>
          <w:sz w:val="26"/>
          <w:szCs w:val="26"/>
        </w:rPr>
        <w:t>BEFORE</w:t>
      </w:r>
    </w:p>
    <w:p w14:paraId="1A5C0335" w14:textId="77777777"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14:paraId="56F3C1CC" w14:textId="77777777" w:rsidR="00663D6A" w:rsidRDefault="00663D6A" w:rsidP="00663D6A">
      <w:pPr>
        <w:pStyle w:val="Title"/>
        <w:tabs>
          <w:tab w:val="left" w:pos="5130"/>
          <w:tab w:val="left" w:pos="5670"/>
        </w:tabs>
        <w:rPr>
          <w:rFonts w:ascii="Times New Roman" w:hAnsi="Times New Roman"/>
          <w:sz w:val="26"/>
          <w:szCs w:val="26"/>
        </w:rPr>
      </w:pPr>
    </w:p>
    <w:p w14:paraId="605E9C21" w14:textId="77777777" w:rsidR="003B12DD" w:rsidRDefault="003B12DD" w:rsidP="00663D6A">
      <w:pPr>
        <w:pStyle w:val="Title"/>
        <w:tabs>
          <w:tab w:val="left" w:pos="5130"/>
          <w:tab w:val="left" w:pos="5670"/>
        </w:tabs>
        <w:rPr>
          <w:rFonts w:ascii="Times New Roman" w:hAnsi="Times New Roman"/>
          <w:sz w:val="26"/>
          <w:szCs w:val="26"/>
        </w:rPr>
      </w:pPr>
    </w:p>
    <w:p w14:paraId="289882D8" w14:textId="77777777"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80"/>
        <w:gridCol w:w="289"/>
        <w:gridCol w:w="4491"/>
      </w:tblGrid>
      <w:tr w:rsidR="00C040F7" w14:paraId="58092113" w14:textId="77777777" w:rsidTr="00E84922">
        <w:tc>
          <w:tcPr>
            <w:tcW w:w="4698" w:type="dxa"/>
          </w:tcPr>
          <w:p w14:paraId="7DE05EAC" w14:textId="31EAE2E5" w:rsidR="00C040F7" w:rsidRPr="00221496" w:rsidRDefault="00C040F7" w:rsidP="00E84922">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of Duke Energy Ohio, Inc., for Approval of a Grid Modernization Opt-Out Tariff and a Change in Accounting Procedures Including a Cost Recovery Mechanism.</w:t>
            </w:r>
          </w:p>
        </w:tc>
        <w:tc>
          <w:tcPr>
            <w:tcW w:w="270" w:type="dxa"/>
          </w:tcPr>
          <w:p w14:paraId="239CF442" w14:textId="77777777" w:rsidR="00C040F7" w:rsidRPr="00221496" w:rsidRDefault="00C040F7" w:rsidP="00E8492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5753408C" w14:textId="77777777" w:rsidR="00C040F7" w:rsidRPr="00221496" w:rsidRDefault="00C040F7" w:rsidP="00E8492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2FE01A05" w14:textId="77777777" w:rsidR="00C040F7" w:rsidRDefault="00C040F7" w:rsidP="00E8492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4352FF84" w14:textId="77777777" w:rsidR="00C040F7" w:rsidRDefault="00C040F7" w:rsidP="00E84922">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622152A7" w14:textId="77777777" w:rsidR="00C040F7" w:rsidRPr="00221496" w:rsidRDefault="00C040F7" w:rsidP="00E84922">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14:paraId="336CB97E" w14:textId="77777777" w:rsidR="00C040F7" w:rsidRDefault="00C040F7" w:rsidP="00E84922">
            <w:pPr>
              <w:pStyle w:val="Title"/>
              <w:tabs>
                <w:tab w:val="left" w:pos="1142"/>
                <w:tab w:val="left" w:pos="5130"/>
                <w:tab w:val="left" w:pos="5670"/>
              </w:tabs>
              <w:jc w:val="left"/>
              <w:rPr>
                <w:rFonts w:ascii="Times New Roman" w:hAnsi="Times New Roman"/>
                <w:sz w:val="26"/>
                <w:szCs w:val="26"/>
              </w:rPr>
            </w:pPr>
          </w:p>
          <w:p w14:paraId="6D14F508" w14:textId="77777777" w:rsidR="00C040F7" w:rsidRPr="00221496" w:rsidRDefault="00C040F7" w:rsidP="00E84922">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Case Nos.</w:t>
            </w:r>
            <w:r>
              <w:rPr>
                <w:rFonts w:ascii="Times New Roman" w:hAnsi="Times New Roman"/>
                <w:sz w:val="26"/>
                <w:szCs w:val="26"/>
              </w:rPr>
              <w:tab/>
              <w:t>14-1160-EL-UNC</w:t>
            </w:r>
            <w:r>
              <w:rPr>
                <w:rFonts w:ascii="Times New Roman" w:hAnsi="Times New Roman"/>
                <w:sz w:val="26"/>
                <w:szCs w:val="26"/>
              </w:rPr>
              <w:br/>
            </w:r>
            <w:r>
              <w:rPr>
                <w:rFonts w:ascii="Times New Roman" w:hAnsi="Times New Roman"/>
                <w:sz w:val="26"/>
                <w:szCs w:val="26"/>
              </w:rPr>
              <w:tab/>
              <w:t>14-1161-EL-AAM</w:t>
            </w:r>
          </w:p>
        </w:tc>
      </w:tr>
    </w:tbl>
    <w:p w14:paraId="7146C8C4" w14:textId="77777777" w:rsidR="00E10679" w:rsidRDefault="00E10679" w:rsidP="00663D6A">
      <w:pPr>
        <w:pStyle w:val="Title"/>
        <w:tabs>
          <w:tab w:val="left" w:pos="5130"/>
          <w:tab w:val="left" w:pos="5670"/>
        </w:tabs>
        <w:jc w:val="left"/>
        <w:rPr>
          <w:rFonts w:ascii="Times New Roman" w:hAnsi="Times New Roman"/>
          <w:sz w:val="26"/>
          <w:szCs w:val="26"/>
        </w:rPr>
      </w:pPr>
    </w:p>
    <w:p w14:paraId="4390F280" w14:textId="77777777" w:rsidR="003B12DD" w:rsidRDefault="003B12DD" w:rsidP="00663D6A">
      <w:pPr>
        <w:pStyle w:val="Title"/>
        <w:tabs>
          <w:tab w:val="left" w:pos="5130"/>
          <w:tab w:val="left" w:pos="5670"/>
        </w:tabs>
        <w:jc w:val="left"/>
        <w:rPr>
          <w:rFonts w:ascii="Times New Roman" w:hAnsi="Times New Roman"/>
          <w:sz w:val="26"/>
          <w:szCs w:val="26"/>
        </w:rPr>
      </w:pPr>
    </w:p>
    <w:p w14:paraId="2AB3F689" w14:textId="77777777"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5505BE09" w14:textId="77777777" w:rsidR="00E10679" w:rsidRPr="00C040F7" w:rsidRDefault="00C040F7" w:rsidP="00C040F7">
      <w:pPr>
        <w:jc w:val="center"/>
        <w:rPr>
          <w:b/>
          <w:sz w:val="32"/>
          <w:szCs w:val="32"/>
        </w:rPr>
      </w:pPr>
      <w:r w:rsidRPr="00C040F7">
        <w:rPr>
          <w:b/>
          <w:sz w:val="32"/>
          <w:szCs w:val="32"/>
        </w:rPr>
        <w:t>REPLY</w:t>
      </w:r>
      <w:r w:rsidR="00E10679" w:rsidRPr="00C040F7">
        <w:rPr>
          <w:b/>
          <w:sz w:val="32"/>
          <w:szCs w:val="32"/>
        </w:rPr>
        <w:t xml:space="preserve"> BRIEF</w:t>
      </w:r>
    </w:p>
    <w:p w14:paraId="5858380F" w14:textId="77777777" w:rsidR="00663D6A" w:rsidRPr="00C040F7" w:rsidRDefault="00663D6A" w:rsidP="00C040F7">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C040F7">
        <w:rPr>
          <w:sz w:val="28"/>
          <w:szCs w:val="28"/>
        </w:rPr>
        <w:t>SUBMITTED ON BEHALF OF THE STAFF OF</w:t>
      </w:r>
      <w:bookmarkEnd w:id="0"/>
      <w:bookmarkEnd w:id="1"/>
      <w:bookmarkEnd w:id="2"/>
      <w:bookmarkEnd w:id="3"/>
      <w:bookmarkEnd w:id="4"/>
      <w:bookmarkEnd w:id="5"/>
      <w:bookmarkEnd w:id="6"/>
    </w:p>
    <w:p w14:paraId="4B6B7AA7" w14:textId="77777777" w:rsidR="00663D6A" w:rsidRPr="00C040F7" w:rsidRDefault="00663D6A" w:rsidP="00C040F7">
      <w:pPr>
        <w:jc w:val="center"/>
        <w:rPr>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C040F7">
        <w:rPr>
          <w:sz w:val="28"/>
          <w:szCs w:val="28"/>
        </w:rPr>
        <w:t>THE PUBLIC UTILITIES COMMISSION OF OHIO</w:t>
      </w:r>
      <w:bookmarkEnd w:id="7"/>
      <w:bookmarkEnd w:id="8"/>
      <w:bookmarkEnd w:id="9"/>
      <w:bookmarkEnd w:id="10"/>
      <w:bookmarkEnd w:id="11"/>
      <w:bookmarkEnd w:id="12"/>
      <w:bookmarkEnd w:id="13"/>
    </w:p>
    <w:p w14:paraId="754D4563" w14:textId="77777777"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306BD64F" w14:textId="77777777" w:rsidR="00E10679" w:rsidRPr="002D54AC" w:rsidRDefault="00E10679" w:rsidP="00663D6A">
      <w:pPr>
        <w:pStyle w:val="PlainText"/>
        <w:jc w:val="center"/>
        <w:outlineLvl w:val="0"/>
        <w:rPr>
          <w:rFonts w:ascii="Times New Roman" w:hAnsi="Times New Roman"/>
          <w:sz w:val="26"/>
          <w:szCs w:val="26"/>
        </w:rPr>
      </w:pPr>
    </w:p>
    <w:p w14:paraId="34096B8B" w14:textId="77777777"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14:paraId="686F7AFA"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14:paraId="17CDAD9A" w14:textId="77777777" w:rsidR="00E10679" w:rsidRDefault="00E10679" w:rsidP="00E10679">
      <w:pPr>
        <w:pStyle w:val="Title"/>
        <w:tabs>
          <w:tab w:val="left" w:pos="4320"/>
        </w:tabs>
        <w:jc w:val="left"/>
        <w:rPr>
          <w:rFonts w:ascii="Times New Roman" w:hAnsi="Times New Roman"/>
          <w:sz w:val="26"/>
          <w:szCs w:val="26"/>
        </w:rPr>
      </w:pPr>
    </w:p>
    <w:p w14:paraId="4889AC2F"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14:paraId="649F6C9A"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14:paraId="53162E81" w14:textId="77777777" w:rsidR="00E10679" w:rsidRDefault="00E10679" w:rsidP="00E10679">
      <w:pPr>
        <w:pStyle w:val="Title"/>
        <w:tabs>
          <w:tab w:val="left" w:pos="4320"/>
        </w:tabs>
        <w:jc w:val="left"/>
        <w:rPr>
          <w:rFonts w:ascii="Times New Roman" w:hAnsi="Times New Roman"/>
          <w:sz w:val="26"/>
          <w:szCs w:val="26"/>
        </w:rPr>
      </w:pPr>
    </w:p>
    <w:p w14:paraId="1502ED8C" w14:textId="77777777" w:rsidR="00C040F7" w:rsidRDefault="00C040F7" w:rsidP="00C040F7">
      <w:pPr>
        <w:pStyle w:val="Title"/>
        <w:tabs>
          <w:tab w:val="left" w:pos="4320"/>
        </w:tabs>
        <w:jc w:val="left"/>
        <w:rPr>
          <w:rFonts w:ascii="Times New Roman" w:hAnsi="Times New Roman"/>
          <w:b/>
          <w:sz w:val="26"/>
          <w:szCs w:val="26"/>
        </w:rPr>
      </w:pPr>
      <w:r>
        <w:rPr>
          <w:rFonts w:ascii="Times New Roman" w:hAnsi="Times New Roman"/>
          <w:b/>
          <w:sz w:val="26"/>
          <w:szCs w:val="26"/>
        </w:rPr>
        <w:tab/>
        <w:t>Natalia V. Messenger</w:t>
      </w:r>
    </w:p>
    <w:p w14:paraId="2C5FCFCE" w14:textId="77777777" w:rsidR="00C040F7" w:rsidRDefault="00C040F7" w:rsidP="00C040F7">
      <w:pPr>
        <w:pStyle w:val="Title"/>
        <w:tabs>
          <w:tab w:val="left" w:pos="4320"/>
        </w:tabs>
        <w:jc w:val="left"/>
        <w:rPr>
          <w:rFonts w:ascii="Times New Roman" w:hAnsi="Times New Roman"/>
          <w:b/>
          <w:sz w:val="26"/>
          <w:szCs w:val="26"/>
        </w:rPr>
      </w:pPr>
      <w:r>
        <w:rPr>
          <w:rFonts w:ascii="Times New Roman" w:hAnsi="Times New Roman"/>
          <w:b/>
          <w:sz w:val="26"/>
          <w:szCs w:val="26"/>
        </w:rPr>
        <w:tab/>
        <w:t>John H. Jones</w:t>
      </w:r>
    </w:p>
    <w:p w14:paraId="72B3D14C"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t>Assistant Attorneys General</w:t>
      </w:r>
    </w:p>
    <w:p w14:paraId="77714B0A"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14:paraId="5058B757"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14:paraId="767E766B"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14:paraId="6C91E3B3"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14:paraId="33D93B8B"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14:paraId="2FCE2488"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r>
      <w:hyperlink r:id="rId8" w:history="1">
        <w:r w:rsidRPr="00DA1EB2">
          <w:rPr>
            <w:rStyle w:val="Hyperlink"/>
            <w:rFonts w:ascii="Times New Roman" w:hAnsi="Times New Roman"/>
            <w:sz w:val="26"/>
            <w:szCs w:val="26"/>
          </w:rPr>
          <w:t>john.jones@puc.state.oh.us</w:t>
        </w:r>
      </w:hyperlink>
    </w:p>
    <w:p w14:paraId="125C3180" w14:textId="77777777" w:rsidR="00C040F7" w:rsidRDefault="00C040F7" w:rsidP="00C040F7">
      <w:pPr>
        <w:pStyle w:val="Title"/>
        <w:tabs>
          <w:tab w:val="left" w:pos="4320"/>
        </w:tabs>
        <w:jc w:val="left"/>
        <w:rPr>
          <w:rFonts w:ascii="Times New Roman" w:hAnsi="Times New Roman"/>
          <w:sz w:val="26"/>
          <w:szCs w:val="26"/>
        </w:rPr>
      </w:pPr>
      <w:r>
        <w:rPr>
          <w:rFonts w:ascii="Times New Roman" w:hAnsi="Times New Roman"/>
          <w:sz w:val="26"/>
          <w:szCs w:val="26"/>
        </w:rPr>
        <w:tab/>
      </w:r>
      <w:hyperlink r:id="rId9" w:history="1">
        <w:r w:rsidRPr="00DA1EB2">
          <w:rPr>
            <w:rStyle w:val="Hyperlink"/>
            <w:rFonts w:ascii="Times New Roman" w:hAnsi="Times New Roman"/>
            <w:sz w:val="26"/>
            <w:szCs w:val="26"/>
          </w:rPr>
          <w:t>natalia.messenger@puc.state.oh.us</w:t>
        </w:r>
      </w:hyperlink>
    </w:p>
    <w:p w14:paraId="75E3C8E6" w14:textId="77777777" w:rsidR="00C040F7" w:rsidRDefault="00C040F7" w:rsidP="00C040F7">
      <w:pPr>
        <w:pStyle w:val="Title"/>
        <w:tabs>
          <w:tab w:val="left" w:pos="4320"/>
        </w:tabs>
        <w:jc w:val="left"/>
        <w:rPr>
          <w:rFonts w:ascii="Times New Roman" w:hAnsi="Times New Roman"/>
          <w:sz w:val="26"/>
          <w:szCs w:val="26"/>
        </w:rPr>
      </w:pPr>
    </w:p>
    <w:p w14:paraId="3E9F11BF" w14:textId="77777777" w:rsidR="00C040F7" w:rsidRDefault="00C040F7" w:rsidP="00C040F7">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Counsel on behalf of the Staff of</w:t>
      </w:r>
      <w:r>
        <w:rPr>
          <w:rFonts w:ascii="Times New Roman" w:hAnsi="Times New Roman"/>
          <w:b/>
          <w:sz w:val="26"/>
          <w:szCs w:val="26"/>
        </w:rPr>
        <w:br/>
      </w:r>
      <w:r>
        <w:rPr>
          <w:rFonts w:ascii="Times New Roman" w:hAnsi="Times New Roman"/>
          <w:b/>
          <w:sz w:val="26"/>
          <w:szCs w:val="26"/>
        </w:rPr>
        <w:tab/>
        <w:t>The Public Utilities Commission of Ohio</w:t>
      </w:r>
    </w:p>
    <w:p w14:paraId="77789F54" w14:textId="77777777" w:rsidR="00E10679" w:rsidRPr="00E10679" w:rsidRDefault="00E10679" w:rsidP="00E10679">
      <w:pPr>
        <w:pStyle w:val="Title"/>
        <w:tabs>
          <w:tab w:val="left" w:pos="4320"/>
        </w:tabs>
        <w:jc w:val="left"/>
        <w:rPr>
          <w:rFonts w:ascii="Times New Roman" w:hAnsi="Times New Roman"/>
          <w:sz w:val="26"/>
          <w:szCs w:val="26"/>
        </w:rPr>
      </w:pPr>
    </w:p>
    <w:p w14:paraId="69855CA3" w14:textId="77777777" w:rsidR="00663D6A" w:rsidRPr="002D54AC" w:rsidRDefault="00663D6A" w:rsidP="00663D6A">
      <w:pPr>
        <w:pStyle w:val="Title"/>
        <w:tabs>
          <w:tab w:val="left" w:pos="5130"/>
          <w:tab w:val="left" w:pos="5670"/>
        </w:tabs>
        <w:jc w:val="left"/>
        <w:rPr>
          <w:rFonts w:ascii="Times New Roman" w:hAnsi="Times New Roman"/>
          <w:sz w:val="26"/>
          <w:szCs w:val="26"/>
        </w:rPr>
      </w:pPr>
    </w:p>
    <w:p w14:paraId="3C3FD49F" w14:textId="77777777" w:rsidR="00663D6A" w:rsidRPr="002D54AC" w:rsidRDefault="00663D6A" w:rsidP="00663D6A">
      <w:pPr>
        <w:pStyle w:val="Title"/>
        <w:tabs>
          <w:tab w:val="left" w:pos="5130"/>
          <w:tab w:val="left" w:pos="5670"/>
        </w:tabs>
        <w:jc w:val="left"/>
        <w:rPr>
          <w:rFonts w:ascii="Times New Roman" w:hAnsi="Times New Roman"/>
          <w:sz w:val="26"/>
          <w:szCs w:val="26"/>
        </w:rPr>
      </w:pPr>
    </w:p>
    <w:p w14:paraId="77CCB7D1" w14:textId="77777777" w:rsidR="00663D6A" w:rsidRPr="002D54AC" w:rsidRDefault="00C040F7" w:rsidP="004B6358">
      <w:pPr>
        <w:pStyle w:val="PlainText"/>
        <w:rPr>
          <w:rFonts w:ascii="Times New Roman" w:hAnsi="Times New Roman"/>
          <w:sz w:val="26"/>
          <w:szCs w:val="26"/>
        </w:rPr>
      </w:pPr>
      <w:r>
        <w:rPr>
          <w:rFonts w:ascii="Times New Roman" w:hAnsi="Times New Roman"/>
          <w:sz w:val="26"/>
          <w:szCs w:val="26"/>
        </w:rPr>
        <w:t>December 15, 2015</w:t>
      </w:r>
    </w:p>
    <w:p w14:paraId="03B4C7E3" w14:textId="77777777" w:rsidR="003B12DD" w:rsidRDefault="003B12DD" w:rsidP="00663D6A">
      <w:pPr>
        <w:jc w:val="center"/>
        <w:rPr>
          <w:b/>
          <w:sz w:val="26"/>
          <w:szCs w:val="26"/>
        </w:rPr>
        <w:sectPr w:rsidR="003B12DD" w:rsidSect="003B12DD">
          <w:headerReference w:type="default" r:id="rId10"/>
          <w:footerReference w:type="default" r:id="rId11"/>
          <w:headerReference w:type="first" r:id="rId12"/>
          <w:pgSz w:w="12240" w:h="15840" w:code="1"/>
          <w:pgMar w:top="1440" w:right="1440" w:bottom="1440" w:left="1440" w:header="720" w:footer="720" w:gutter="0"/>
          <w:pgNumType w:fmt="lowerRoman" w:start="1"/>
          <w:cols w:space="720"/>
          <w:titlePg/>
          <w:docGrid w:linePitch="360"/>
        </w:sectPr>
      </w:pPr>
    </w:p>
    <w:p w14:paraId="07A1EBA2" w14:textId="77777777" w:rsidR="003F2034" w:rsidRDefault="00BF0931">
      <w:pPr>
        <w:pStyle w:val="TOC1"/>
        <w:rPr>
          <w:rFonts w:asciiTheme="minorHAnsi" w:eastAsiaTheme="minorEastAsia" w:hAnsiTheme="minorHAnsi" w:cstheme="minorBidi"/>
          <w:noProof/>
          <w:sz w:val="22"/>
          <w:szCs w:val="22"/>
        </w:rPr>
      </w:pPr>
      <w:r>
        <w:lastRenderedPageBreak/>
        <w:fldChar w:fldCharType="begin"/>
      </w:r>
      <w:r w:rsidR="00C95499" w:rsidRPr="00944CBC">
        <w:instrText xml:space="preserve"> TOC \o "1-3" \u </w:instrText>
      </w:r>
      <w:r>
        <w:fldChar w:fldCharType="separate"/>
      </w:r>
      <w:r w:rsidR="003F2034">
        <w:rPr>
          <w:noProof/>
        </w:rPr>
        <w:t>INTRODUCTION</w:t>
      </w:r>
      <w:r w:rsidR="003F2034">
        <w:rPr>
          <w:noProof/>
        </w:rPr>
        <w:tab/>
      </w:r>
      <w:r w:rsidR="003F2034">
        <w:rPr>
          <w:noProof/>
        </w:rPr>
        <w:fldChar w:fldCharType="begin"/>
      </w:r>
      <w:r w:rsidR="003F2034">
        <w:rPr>
          <w:noProof/>
        </w:rPr>
        <w:instrText xml:space="preserve"> PAGEREF _Toc437949693 \h </w:instrText>
      </w:r>
      <w:r w:rsidR="003F2034">
        <w:rPr>
          <w:noProof/>
        </w:rPr>
      </w:r>
      <w:r w:rsidR="003F2034">
        <w:rPr>
          <w:noProof/>
        </w:rPr>
        <w:fldChar w:fldCharType="separate"/>
      </w:r>
      <w:r w:rsidR="003C0964">
        <w:rPr>
          <w:noProof/>
        </w:rPr>
        <w:t>1</w:t>
      </w:r>
      <w:r w:rsidR="003F2034">
        <w:rPr>
          <w:noProof/>
        </w:rPr>
        <w:fldChar w:fldCharType="end"/>
      </w:r>
    </w:p>
    <w:p w14:paraId="69D94FE2" w14:textId="77777777" w:rsidR="003F2034" w:rsidRDefault="003F2034">
      <w:pPr>
        <w:pStyle w:val="TOC1"/>
        <w:rPr>
          <w:rFonts w:asciiTheme="minorHAnsi" w:eastAsiaTheme="minorEastAsia" w:hAnsiTheme="minorHAnsi" w:cstheme="minorBidi"/>
          <w:noProof/>
          <w:sz w:val="22"/>
          <w:szCs w:val="22"/>
        </w:rPr>
      </w:pPr>
      <w:r>
        <w:rPr>
          <w:noProof/>
        </w:rPr>
        <w:t>DISCUSSION</w:t>
      </w:r>
      <w:r>
        <w:rPr>
          <w:noProof/>
        </w:rPr>
        <w:tab/>
      </w:r>
      <w:r>
        <w:rPr>
          <w:noProof/>
        </w:rPr>
        <w:fldChar w:fldCharType="begin"/>
      </w:r>
      <w:r>
        <w:rPr>
          <w:noProof/>
        </w:rPr>
        <w:instrText xml:space="preserve"> PAGEREF _Toc437949694 \h </w:instrText>
      </w:r>
      <w:r>
        <w:rPr>
          <w:noProof/>
        </w:rPr>
      </w:r>
      <w:r>
        <w:rPr>
          <w:noProof/>
        </w:rPr>
        <w:fldChar w:fldCharType="separate"/>
      </w:r>
      <w:r w:rsidR="003C0964">
        <w:rPr>
          <w:noProof/>
        </w:rPr>
        <w:t>2</w:t>
      </w:r>
      <w:r>
        <w:rPr>
          <w:noProof/>
        </w:rPr>
        <w:fldChar w:fldCharType="end"/>
      </w:r>
    </w:p>
    <w:p w14:paraId="50DA8D7B" w14:textId="77777777" w:rsidR="003F2034" w:rsidRDefault="003F2034">
      <w:pPr>
        <w:pStyle w:val="TOC3"/>
        <w:tabs>
          <w:tab w:val="left" w:pos="216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The deferral criteria used by Staff to evaluate deferral requests is consistent with the Commission’s review of past deferral requests.</w:t>
      </w:r>
      <w:r>
        <w:rPr>
          <w:noProof/>
        </w:rPr>
        <w:tab/>
      </w:r>
      <w:r>
        <w:rPr>
          <w:noProof/>
        </w:rPr>
        <w:fldChar w:fldCharType="begin"/>
      </w:r>
      <w:r>
        <w:rPr>
          <w:noProof/>
        </w:rPr>
        <w:instrText xml:space="preserve"> PAGEREF _Toc437949695 \h </w:instrText>
      </w:r>
      <w:r>
        <w:rPr>
          <w:noProof/>
        </w:rPr>
      </w:r>
      <w:r>
        <w:rPr>
          <w:noProof/>
        </w:rPr>
        <w:fldChar w:fldCharType="separate"/>
      </w:r>
      <w:r w:rsidR="003C0964">
        <w:rPr>
          <w:noProof/>
        </w:rPr>
        <w:t>2</w:t>
      </w:r>
      <w:r>
        <w:rPr>
          <w:noProof/>
        </w:rPr>
        <w:fldChar w:fldCharType="end"/>
      </w:r>
    </w:p>
    <w:p w14:paraId="6B72959A" w14:textId="77777777" w:rsidR="003F2034" w:rsidRDefault="003F2034">
      <w:pPr>
        <w:pStyle w:val="TOC3"/>
        <w:tabs>
          <w:tab w:val="left" w:pos="216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The one-time fixed charge for IT system change costs should not be granted deferral because it does not meet the deferral criteria.</w:t>
      </w:r>
      <w:r>
        <w:rPr>
          <w:noProof/>
        </w:rPr>
        <w:tab/>
      </w:r>
      <w:r>
        <w:rPr>
          <w:noProof/>
        </w:rPr>
        <w:fldChar w:fldCharType="begin"/>
      </w:r>
      <w:r>
        <w:rPr>
          <w:noProof/>
        </w:rPr>
        <w:instrText xml:space="preserve"> PAGEREF _Toc437949696 \h </w:instrText>
      </w:r>
      <w:r>
        <w:rPr>
          <w:noProof/>
        </w:rPr>
      </w:r>
      <w:r>
        <w:rPr>
          <w:noProof/>
        </w:rPr>
        <w:fldChar w:fldCharType="separate"/>
      </w:r>
      <w:r w:rsidR="003C0964">
        <w:rPr>
          <w:noProof/>
        </w:rPr>
        <w:t>6</w:t>
      </w:r>
      <w:r>
        <w:rPr>
          <w:noProof/>
        </w:rPr>
        <w:fldChar w:fldCharType="end"/>
      </w:r>
    </w:p>
    <w:p w14:paraId="25E220B2" w14:textId="77777777" w:rsidR="003F2034" w:rsidRDefault="003F2034">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_Toc437949697 \h </w:instrText>
      </w:r>
      <w:r>
        <w:rPr>
          <w:noProof/>
        </w:rPr>
      </w:r>
      <w:r>
        <w:rPr>
          <w:noProof/>
        </w:rPr>
        <w:fldChar w:fldCharType="separate"/>
      </w:r>
      <w:r w:rsidR="003C0964">
        <w:rPr>
          <w:noProof/>
        </w:rPr>
        <w:t>7</w:t>
      </w:r>
      <w:r>
        <w:rPr>
          <w:noProof/>
        </w:rPr>
        <w:fldChar w:fldCharType="end"/>
      </w:r>
    </w:p>
    <w:p w14:paraId="6F0D07EE" w14:textId="77777777" w:rsidR="003F2034" w:rsidRDefault="003F2034">
      <w:pPr>
        <w:pStyle w:val="TOC1"/>
        <w:rPr>
          <w:rFonts w:asciiTheme="minorHAnsi" w:eastAsiaTheme="minorEastAsia" w:hAnsiTheme="minorHAnsi" w:cstheme="minorBidi"/>
          <w:noProof/>
          <w:sz w:val="22"/>
          <w:szCs w:val="22"/>
        </w:rPr>
      </w:pPr>
      <w:r>
        <w:rPr>
          <w:noProof/>
        </w:rPr>
        <w:t>PROOF OF SERVICE</w:t>
      </w:r>
      <w:r>
        <w:rPr>
          <w:noProof/>
        </w:rPr>
        <w:tab/>
      </w:r>
      <w:r>
        <w:rPr>
          <w:noProof/>
        </w:rPr>
        <w:fldChar w:fldCharType="begin"/>
      </w:r>
      <w:r>
        <w:rPr>
          <w:noProof/>
        </w:rPr>
        <w:instrText xml:space="preserve"> PAGEREF _Toc437949698 \h </w:instrText>
      </w:r>
      <w:r>
        <w:rPr>
          <w:noProof/>
        </w:rPr>
      </w:r>
      <w:r>
        <w:rPr>
          <w:noProof/>
        </w:rPr>
        <w:fldChar w:fldCharType="separate"/>
      </w:r>
      <w:r w:rsidR="003C0964">
        <w:rPr>
          <w:noProof/>
        </w:rPr>
        <w:t>8</w:t>
      </w:r>
      <w:r>
        <w:rPr>
          <w:noProof/>
        </w:rPr>
        <w:fldChar w:fldCharType="end"/>
      </w:r>
    </w:p>
    <w:p w14:paraId="3D31A04F" w14:textId="77777777" w:rsidR="0064436A" w:rsidRDefault="00BF0931" w:rsidP="00CB5644">
      <w:pPr>
        <w:jc w:val="center"/>
        <w:rPr>
          <w:b/>
          <w:sz w:val="26"/>
          <w:szCs w:val="26"/>
        </w:rPr>
        <w:sectPr w:rsidR="0064436A" w:rsidSect="00C95499">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14:paraId="33DFC91F" w14:textId="77777777" w:rsidR="00CB5644" w:rsidRPr="002D54AC" w:rsidRDefault="00CB5644" w:rsidP="00CB5644">
      <w:pPr>
        <w:jc w:val="center"/>
        <w:rPr>
          <w:b/>
          <w:sz w:val="26"/>
          <w:szCs w:val="26"/>
        </w:rPr>
      </w:pPr>
      <w:r w:rsidRPr="002D54AC">
        <w:rPr>
          <w:b/>
          <w:sz w:val="26"/>
          <w:szCs w:val="26"/>
        </w:rPr>
        <w:lastRenderedPageBreak/>
        <w:t>BEFORE</w:t>
      </w:r>
    </w:p>
    <w:p w14:paraId="2B337C9C" w14:textId="77777777" w:rsidR="00CB5644" w:rsidRDefault="00CB5644" w:rsidP="00CB5644">
      <w:pPr>
        <w:jc w:val="center"/>
        <w:rPr>
          <w:b/>
          <w:sz w:val="26"/>
          <w:szCs w:val="26"/>
        </w:rPr>
      </w:pPr>
      <w:r w:rsidRPr="002D54AC">
        <w:rPr>
          <w:b/>
          <w:sz w:val="26"/>
          <w:szCs w:val="26"/>
        </w:rPr>
        <w:t>THE PUBLIC UTILITIES COMMISSION OF OHIO</w:t>
      </w:r>
    </w:p>
    <w:p w14:paraId="7140380C" w14:textId="77777777" w:rsidR="00E10679" w:rsidRDefault="00E10679" w:rsidP="00CB5644">
      <w:pPr>
        <w:jc w:val="center"/>
        <w:rPr>
          <w:b/>
          <w:sz w:val="26"/>
          <w:szCs w:val="26"/>
        </w:rPr>
      </w:pPr>
    </w:p>
    <w:p w14:paraId="47B31A39" w14:textId="77777777" w:rsidR="00E10679" w:rsidRDefault="00E10679" w:rsidP="00CB5644">
      <w:pPr>
        <w:jc w:val="center"/>
        <w:rPr>
          <w:b/>
          <w:sz w:val="26"/>
          <w:szCs w:val="26"/>
        </w:rPr>
      </w:pPr>
    </w:p>
    <w:p w14:paraId="3D01CBE8" w14:textId="77777777" w:rsidR="00E10679" w:rsidRDefault="00E10679" w:rsidP="00CB5644">
      <w:pPr>
        <w:jc w:val="center"/>
        <w:rPr>
          <w:b/>
          <w:sz w:val="26"/>
          <w:szCs w:val="26"/>
        </w:rPr>
      </w:pPr>
    </w:p>
    <w:tbl>
      <w:tblPr>
        <w:tblW w:w="0" w:type="auto"/>
        <w:tblLook w:val="01E0" w:firstRow="1" w:lastRow="1" w:firstColumn="1" w:lastColumn="1" w:noHBand="0" w:noVBand="0"/>
      </w:tblPr>
      <w:tblGrid>
        <w:gridCol w:w="4580"/>
        <w:gridCol w:w="289"/>
        <w:gridCol w:w="4491"/>
      </w:tblGrid>
      <w:tr w:rsidR="00C040F7" w14:paraId="787FCB99" w14:textId="77777777" w:rsidTr="00E84922">
        <w:tc>
          <w:tcPr>
            <w:tcW w:w="4698" w:type="dxa"/>
          </w:tcPr>
          <w:p w14:paraId="08F85CE6" w14:textId="3495CD0B" w:rsidR="00C040F7" w:rsidRPr="00221496" w:rsidRDefault="00C040F7" w:rsidP="00E84922">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of Duke Energy Ohio, Inc., for Approval of a Grid Modernization Opt-Out Tariff and a Change in Accounting Procedures Including a Cost Recovery Mechanism.</w:t>
            </w:r>
          </w:p>
        </w:tc>
        <w:tc>
          <w:tcPr>
            <w:tcW w:w="270" w:type="dxa"/>
          </w:tcPr>
          <w:p w14:paraId="3B10A052" w14:textId="77777777" w:rsidR="00C040F7" w:rsidRPr="00221496" w:rsidRDefault="00C040F7" w:rsidP="00E8492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07E34F8C" w14:textId="77777777" w:rsidR="00C040F7" w:rsidRPr="00221496" w:rsidRDefault="00C040F7" w:rsidP="00E8492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366F5499" w14:textId="77777777" w:rsidR="00C040F7" w:rsidRDefault="00C040F7" w:rsidP="00E8492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680D47E6" w14:textId="77777777" w:rsidR="00C040F7" w:rsidRDefault="00C040F7" w:rsidP="00E84922">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608C25FC" w14:textId="77777777" w:rsidR="00C040F7" w:rsidRPr="00221496" w:rsidRDefault="00C040F7" w:rsidP="00E84922">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14:paraId="7B9A0FCE" w14:textId="77777777" w:rsidR="00C040F7" w:rsidRDefault="00C040F7" w:rsidP="00E84922">
            <w:pPr>
              <w:pStyle w:val="Title"/>
              <w:tabs>
                <w:tab w:val="left" w:pos="1142"/>
                <w:tab w:val="left" w:pos="5130"/>
                <w:tab w:val="left" w:pos="5670"/>
              </w:tabs>
              <w:jc w:val="left"/>
              <w:rPr>
                <w:rFonts w:ascii="Times New Roman" w:hAnsi="Times New Roman"/>
                <w:sz w:val="26"/>
                <w:szCs w:val="26"/>
              </w:rPr>
            </w:pPr>
          </w:p>
          <w:p w14:paraId="605D5B2E" w14:textId="77777777" w:rsidR="00C040F7" w:rsidRPr="00221496" w:rsidRDefault="00C040F7" w:rsidP="00E84922">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Case Nos.</w:t>
            </w:r>
            <w:r>
              <w:rPr>
                <w:rFonts w:ascii="Times New Roman" w:hAnsi="Times New Roman"/>
                <w:sz w:val="26"/>
                <w:szCs w:val="26"/>
              </w:rPr>
              <w:tab/>
              <w:t>14-1160-EL-UNC</w:t>
            </w:r>
            <w:r>
              <w:rPr>
                <w:rFonts w:ascii="Times New Roman" w:hAnsi="Times New Roman"/>
                <w:sz w:val="26"/>
                <w:szCs w:val="26"/>
              </w:rPr>
              <w:br/>
            </w:r>
            <w:r>
              <w:rPr>
                <w:rFonts w:ascii="Times New Roman" w:hAnsi="Times New Roman"/>
                <w:sz w:val="26"/>
                <w:szCs w:val="26"/>
              </w:rPr>
              <w:tab/>
              <w:t>14-1161-EL-AAM</w:t>
            </w:r>
          </w:p>
        </w:tc>
      </w:tr>
    </w:tbl>
    <w:p w14:paraId="59B2AF41" w14:textId="77777777" w:rsidR="00C040F7" w:rsidRDefault="00C040F7" w:rsidP="00C040F7">
      <w:pPr>
        <w:pStyle w:val="Title"/>
        <w:tabs>
          <w:tab w:val="left" w:pos="5130"/>
          <w:tab w:val="left" w:pos="5670"/>
        </w:tabs>
        <w:jc w:val="left"/>
        <w:rPr>
          <w:rFonts w:ascii="Times New Roman" w:hAnsi="Times New Roman"/>
          <w:sz w:val="26"/>
          <w:szCs w:val="26"/>
        </w:rPr>
      </w:pPr>
    </w:p>
    <w:p w14:paraId="36FA486D" w14:textId="77777777" w:rsidR="00C040F7" w:rsidRDefault="00C040F7" w:rsidP="00C040F7">
      <w:pPr>
        <w:pStyle w:val="Title"/>
        <w:tabs>
          <w:tab w:val="left" w:pos="5130"/>
          <w:tab w:val="left" w:pos="5670"/>
        </w:tabs>
        <w:jc w:val="left"/>
        <w:rPr>
          <w:rFonts w:ascii="Times New Roman" w:hAnsi="Times New Roman"/>
          <w:sz w:val="26"/>
          <w:szCs w:val="26"/>
        </w:rPr>
      </w:pPr>
    </w:p>
    <w:p w14:paraId="3AB94215" w14:textId="77777777" w:rsidR="00C040F7" w:rsidRDefault="00C040F7" w:rsidP="00C040F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7028FA37" w14:textId="77777777" w:rsidR="00C040F7" w:rsidRPr="00C040F7" w:rsidRDefault="00C040F7" w:rsidP="00C040F7">
      <w:pPr>
        <w:jc w:val="center"/>
        <w:rPr>
          <w:b/>
          <w:sz w:val="32"/>
          <w:szCs w:val="32"/>
        </w:rPr>
      </w:pPr>
      <w:r w:rsidRPr="00C040F7">
        <w:rPr>
          <w:b/>
          <w:sz w:val="32"/>
          <w:szCs w:val="32"/>
        </w:rPr>
        <w:t>REPLY BRIEF</w:t>
      </w:r>
    </w:p>
    <w:p w14:paraId="6F1400F8" w14:textId="77777777" w:rsidR="00C040F7" w:rsidRPr="00C040F7" w:rsidRDefault="00C040F7" w:rsidP="00C040F7">
      <w:pPr>
        <w:jc w:val="center"/>
        <w:rPr>
          <w:sz w:val="28"/>
          <w:szCs w:val="28"/>
        </w:rPr>
      </w:pPr>
      <w:r w:rsidRPr="00C040F7">
        <w:rPr>
          <w:sz w:val="28"/>
          <w:szCs w:val="28"/>
        </w:rPr>
        <w:t>SUBMITTED ON BEHALF OF THE STAFF OF</w:t>
      </w:r>
    </w:p>
    <w:p w14:paraId="6D7626FF" w14:textId="77777777" w:rsidR="00C040F7" w:rsidRPr="00C040F7" w:rsidRDefault="00C040F7" w:rsidP="00C040F7">
      <w:pPr>
        <w:jc w:val="center"/>
        <w:rPr>
          <w:sz w:val="28"/>
          <w:szCs w:val="28"/>
        </w:rPr>
      </w:pPr>
      <w:r w:rsidRPr="00C040F7">
        <w:rPr>
          <w:sz w:val="28"/>
          <w:szCs w:val="28"/>
        </w:rPr>
        <w:t>THE PUBLIC UTILITIES COMMISSION OF OHIO</w:t>
      </w:r>
    </w:p>
    <w:p w14:paraId="68C2FD0B" w14:textId="77777777" w:rsidR="00C040F7" w:rsidRDefault="00C040F7" w:rsidP="00C040F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1B728B4E" w14:textId="77777777" w:rsidR="00CB5644" w:rsidRPr="00613023" w:rsidRDefault="00CB5644" w:rsidP="0064436A">
      <w:pPr>
        <w:pStyle w:val="Heading1"/>
      </w:pPr>
      <w:bookmarkStart w:id="14" w:name="_Toc437949693"/>
      <w:r w:rsidRPr="00613023">
        <w:t>INTRODUCTION</w:t>
      </w:r>
      <w:bookmarkEnd w:id="14"/>
    </w:p>
    <w:p w14:paraId="1456EFED" w14:textId="0D75A428" w:rsidR="00E10679" w:rsidRDefault="0064436A" w:rsidP="006A3730">
      <w:pPr>
        <w:pStyle w:val="textstyle0"/>
      </w:pPr>
      <w:r>
        <w:tab/>
      </w:r>
      <w:r w:rsidR="00E64213">
        <w:t xml:space="preserve">The </w:t>
      </w:r>
      <w:r w:rsidR="004D4EFB">
        <w:t>Staff</w:t>
      </w:r>
      <w:r w:rsidR="00E64213">
        <w:t xml:space="preserve"> of the Public Utilities Commission of Ohio (“Staff”)</w:t>
      </w:r>
      <w:r w:rsidR="004D4EFB">
        <w:t xml:space="preserve"> has set forth a</w:t>
      </w:r>
      <w:r w:rsidR="00145162">
        <w:t xml:space="preserve"> valid and reasonable</w:t>
      </w:r>
      <w:r w:rsidR="004D4EFB">
        <w:t xml:space="preserve"> </w:t>
      </w:r>
      <w:r w:rsidR="00C764B1">
        <w:t>list</w:t>
      </w:r>
      <w:r w:rsidR="000446E5">
        <w:t xml:space="preserve"> of deferral criteria that it uses</w:t>
      </w:r>
      <w:r w:rsidR="00C764B1">
        <w:t xml:space="preserve"> to evaluate deferral requests.</w:t>
      </w:r>
      <w:r w:rsidR="00E64213">
        <w:rPr>
          <w:rStyle w:val="FootnoteReference"/>
        </w:rPr>
        <w:footnoteReference w:id="1"/>
      </w:r>
      <w:r w:rsidR="00C764B1">
        <w:t xml:space="preserve"> In its Post-Hearing Brief, Duke</w:t>
      </w:r>
      <w:r w:rsidR="00145162">
        <w:t xml:space="preserve"> Energy Ohio (</w:t>
      </w:r>
      <w:r w:rsidR="00E64213">
        <w:t>“</w:t>
      </w:r>
      <w:r w:rsidR="00145162">
        <w:t>Duke</w:t>
      </w:r>
      <w:r w:rsidR="00E64213">
        <w:t>”</w:t>
      </w:r>
      <w:r w:rsidR="00145162">
        <w:t xml:space="preserve"> or </w:t>
      </w:r>
      <w:r w:rsidR="00E64213">
        <w:t>“</w:t>
      </w:r>
      <w:r w:rsidR="00145162">
        <w:t>the Company</w:t>
      </w:r>
      <w:r w:rsidR="00E64213">
        <w:t>”</w:t>
      </w:r>
      <w:r w:rsidR="00145162">
        <w:t>)</w:t>
      </w:r>
      <w:r w:rsidR="00C764B1">
        <w:t xml:space="preserve"> </w:t>
      </w:r>
      <w:r w:rsidR="000446E5">
        <w:t>mischaracterizes Staff Witness Lipthratt’s testimony regarding the criteria, as well as the origin and appli</w:t>
      </w:r>
      <w:r w:rsidR="00AF6762">
        <w:softHyphen/>
      </w:r>
      <w:r w:rsidR="000446E5">
        <w:t xml:space="preserve">cation of the criteria in past cases. The deferral criteria originated from an application filed by a company in a past case, and Staff has developed it into </w:t>
      </w:r>
      <w:r w:rsidR="008F3DA9">
        <w:t>the six c</w:t>
      </w:r>
      <w:r w:rsidR="00BD3652">
        <w:t>r</w:t>
      </w:r>
      <w:r w:rsidR="008F3DA9">
        <w:t>iteria</w:t>
      </w:r>
      <w:r w:rsidR="000446E5">
        <w:t xml:space="preserve"> presented in this case. Several of the criteria have been used by the Commission in past cases to </w:t>
      </w:r>
      <w:r w:rsidR="003D040C">
        <w:lastRenderedPageBreak/>
        <w:t xml:space="preserve">review deferral requests. </w:t>
      </w:r>
      <w:r w:rsidR="001319C4">
        <w:t>The Commission should apply Staff’s deferral criteria to Duke’s deferral request in this case and deny deferral.</w:t>
      </w:r>
    </w:p>
    <w:p w14:paraId="663F209A" w14:textId="77777777" w:rsidR="00E10679" w:rsidRDefault="00E10679" w:rsidP="00E10679">
      <w:pPr>
        <w:pStyle w:val="Heading1"/>
      </w:pPr>
      <w:bookmarkStart w:id="15" w:name="_Toc437949694"/>
      <w:r>
        <w:t>DISCUSSION</w:t>
      </w:r>
      <w:bookmarkEnd w:id="15"/>
    </w:p>
    <w:p w14:paraId="0FACFD26" w14:textId="7E6DAFA1" w:rsidR="00C040F7" w:rsidRPr="00C040F7" w:rsidRDefault="001319C4" w:rsidP="001319C4">
      <w:pPr>
        <w:pStyle w:val="Heading3"/>
        <w:rPr>
          <w:sz w:val="26"/>
        </w:rPr>
      </w:pPr>
      <w:bookmarkStart w:id="16" w:name="_Toc437949695"/>
      <w:r>
        <w:t>A</w:t>
      </w:r>
      <w:r w:rsidR="00C040F7">
        <w:t>.</w:t>
      </w:r>
      <w:r w:rsidR="00C040F7">
        <w:tab/>
        <w:t>The deferral criteria used by Staff to evaluate defer</w:t>
      </w:r>
      <w:r w:rsidR="009D4C7E">
        <w:softHyphen/>
      </w:r>
      <w:r w:rsidR="00C040F7">
        <w:t>ral requests is consistent with the Commission’s review of past deferral requests.</w:t>
      </w:r>
      <w:bookmarkEnd w:id="16"/>
    </w:p>
    <w:p w14:paraId="7A786415" w14:textId="47D83484" w:rsidR="00C040F7" w:rsidRDefault="006A3730" w:rsidP="00C040F7">
      <w:pPr>
        <w:pStyle w:val="textstyle0"/>
      </w:pPr>
      <w:r>
        <w:tab/>
      </w:r>
      <w:r w:rsidR="00C040F7">
        <w:t>The deferral criteria is supported by previous Commission decisions.  Most recently, in Case No. 15-222-GA-AAM, Staff filed Review and Recommendations that listed the criteria.</w:t>
      </w:r>
      <w:r w:rsidR="00C040F7">
        <w:rPr>
          <w:rStyle w:val="FootnoteReference"/>
          <w:sz w:val="24"/>
        </w:rPr>
        <w:footnoteReference w:id="2"/>
      </w:r>
      <w:r w:rsidR="00C040F7">
        <w:t xml:space="preserve">  Staff used the criteria there to review the deferral request and make its recommendation.</w:t>
      </w:r>
      <w:r w:rsidR="00C040F7">
        <w:rPr>
          <w:rStyle w:val="FootnoteReference"/>
          <w:sz w:val="24"/>
        </w:rPr>
        <w:footnoteReference w:id="3"/>
      </w:r>
      <w:r w:rsidR="00C040F7">
        <w:t xml:space="preserve">  The Commission granted Ohio Gas’s deferral request, adopting Staff’s recommendations in their entirety.”</w:t>
      </w:r>
      <w:r w:rsidR="00C040F7">
        <w:rPr>
          <w:rStyle w:val="FootnoteReference"/>
          <w:sz w:val="24"/>
        </w:rPr>
        <w:footnoteReference w:id="4"/>
      </w:r>
      <w:r w:rsidR="00C040F7">
        <w:t xml:space="preserve">  By adopting Staff’s recommendations, the Commission accepted Staff’s use of the deferral criteria to evaluate the request. </w:t>
      </w:r>
    </w:p>
    <w:p w14:paraId="77A46C31" w14:textId="4519ACD7" w:rsidR="00C040F7" w:rsidRDefault="00C040F7" w:rsidP="00C040F7">
      <w:pPr>
        <w:pStyle w:val="textstyle0"/>
      </w:pPr>
      <w:r>
        <w:tab/>
        <w:t>Mr. Lipthratt properly represented the origin of Staff’s deferral criteria.  As Mr. Lipthratt testified, in Case No. 98-1701-WS-AAM, Citizens Utilities</w:t>
      </w:r>
      <w:r w:rsidR="00000CB1">
        <w:t xml:space="preserve"> Company of Ohio put forth two</w:t>
      </w:r>
      <w:r>
        <w:t xml:space="preserve"> of the six criteria now used by Staff for reviewing deferral requests: the problem is outsi</w:t>
      </w:r>
      <w:r w:rsidR="00000CB1">
        <w:t>de the control of the applicant and</w:t>
      </w:r>
      <w:r>
        <w:t xml:space="preserve"> the expenditures are atypical and </w:t>
      </w:r>
      <w:r>
        <w:lastRenderedPageBreak/>
        <w:t>infrequent.</w:t>
      </w:r>
      <w:r>
        <w:rPr>
          <w:rStyle w:val="FootnoteReference"/>
          <w:sz w:val="24"/>
        </w:rPr>
        <w:footnoteReference w:id="5"/>
      </w:r>
      <w:r>
        <w:t xml:space="preserve">  Mr. Lipthratt stated that the Citizens case was only the starting point for the criteria used today</w:t>
      </w:r>
      <w:r w:rsidR="00772894">
        <w:t xml:space="preserve"> and</w:t>
      </w:r>
      <w:r>
        <w:t xml:space="preserve"> it “began to grow from there.”</w:t>
      </w:r>
      <w:r>
        <w:rPr>
          <w:rStyle w:val="FootnoteReference"/>
          <w:sz w:val="24"/>
        </w:rPr>
        <w:footnoteReference w:id="6"/>
      </w:r>
      <w:r>
        <w:t xml:space="preserve">  The Commission does indeed acknowledge the criteria that Citizens put forth.</w:t>
      </w:r>
      <w:r>
        <w:rPr>
          <w:rStyle w:val="FootnoteReference"/>
          <w:sz w:val="24"/>
        </w:rPr>
        <w:footnoteReference w:id="7"/>
      </w:r>
      <w:r>
        <w:t xml:space="preserve">  The Commission ultimately decided to deny the deferral because Citizens did not provide sufficient information on the financial impact of the costs on the Company,</w:t>
      </w:r>
      <w:r>
        <w:rPr>
          <w:rStyle w:val="FootnoteReference"/>
          <w:sz w:val="24"/>
        </w:rPr>
        <w:footnoteReference w:id="8"/>
      </w:r>
      <w:r>
        <w:t xml:space="preserve"> which is actually another criterion for evaluating deferral requests.</w:t>
      </w:r>
      <w:r>
        <w:rPr>
          <w:rStyle w:val="FootnoteReference"/>
          <w:sz w:val="24"/>
        </w:rPr>
        <w:footnoteReference w:id="9"/>
      </w:r>
    </w:p>
    <w:p w14:paraId="6127ED5B" w14:textId="77777777" w:rsidR="000C425B" w:rsidRDefault="00C040F7" w:rsidP="00C040F7">
      <w:pPr>
        <w:pStyle w:val="textstyle0"/>
      </w:pPr>
      <w:r>
        <w:tab/>
        <w:t>In its brief, the Company lists several cases in which the Commission granted a deferral for one-time costs.</w:t>
      </w:r>
      <w:r>
        <w:rPr>
          <w:rStyle w:val="FootnoteReference"/>
          <w:sz w:val="24"/>
        </w:rPr>
        <w:footnoteReference w:id="10"/>
      </w:r>
      <w:r>
        <w:t xml:space="preserve">  The Company, however, overlooked the reasoning used by the Commission in several of those cases.  While the Commission may not have listed and numbered the criteria, it still used several of the criteria in its analysis in the cases </w:t>
      </w:r>
      <w:r w:rsidR="000C425B">
        <w:br w:type="page"/>
      </w:r>
    </w:p>
    <w:p w14:paraId="79D789A9" w14:textId="4175D98E" w:rsidR="00C040F7" w:rsidRDefault="00C040F7" w:rsidP="00C040F7">
      <w:pPr>
        <w:pStyle w:val="textstyle0"/>
      </w:pPr>
      <w:r>
        <w:lastRenderedPageBreak/>
        <w:t>provided.</w:t>
      </w:r>
      <w:r>
        <w:rPr>
          <w:rStyle w:val="FootnoteReference"/>
          <w:sz w:val="24"/>
        </w:rPr>
        <w:footnoteReference w:id="11"/>
      </w:r>
      <w:r>
        <w:t xml:space="preserve">  For instance, in Case No. </w:t>
      </w:r>
      <w:r w:rsidRPr="00161B23">
        <w:t>12-3224-GA</w:t>
      </w:r>
      <w:r>
        <w:t>-AAM, the Commission analyzed the deferral request by considering that the costs incurred were a necessary cost of doing business (outside of the control of the company), could negatively impact earnings if not deferred (financial harm to the company), and were not recovered in base rates (current level of costs included in the last rate case was insufficient).</w:t>
      </w:r>
      <w:r>
        <w:rPr>
          <w:rStyle w:val="FootnoteReference"/>
          <w:sz w:val="24"/>
        </w:rPr>
        <w:footnoteReference w:id="12"/>
      </w:r>
      <w:r>
        <w:t xml:space="preserve">  In Case No. </w:t>
      </w:r>
      <w:r w:rsidRPr="00161B23">
        <w:t>14-1615-</w:t>
      </w:r>
      <w:r>
        <w:t>GA-AAM, the Commission again used several of the deferral criteria.</w:t>
      </w:r>
      <w:r>
        <w:rPr>
          <w:rStyle w:val="FootnoteReference"/>
          <w:sz w:val="24"/>
        </w:rPr>
        <w:footnoteReference w:id="13"/>
      </w:r>
      <w:r>
        <w:t xml:space="preserve">  It considered that the costs were incurred in complying with federal law (outside of the control of the com</w:t>
      </w:r>
      <w:r w:rsidR="00AF6762">
        <w:softHyphen/>
      </w:r>
      <w:r>
        <w:t>pany), may compromise the company’s financial integrity if not deferred (financial harm to the company), and were not recovered in base rates (current level of costs included in the last rate case was insufficient).</w:t>
      </w:r>
      <w:r>
        <w:rPr>
          <w:rStyle w:val="FootnoteReference"/>
          <w:sz w:val="24"/>
        </w:rPr>
        <w:footnoteReference w:id="14"/>
      </w:r>
      <w:r>
        <w:t xml:space="preserve"> </w:t>
      </w:r>
      <w:r w:rsidR="006B513F">
        <w:t xml:space="preserve"> </w:t>
      </w:r>
      <w:r>
        <w:t>The criteria used by Staff here is found throughout the cases provided by Duke.</w:t>
      </w:r>
    </w:p>
    <w:p w14:paraId="5CC90DF5" w14:textId="1B13E5C9" w:rsidR="00C040F7" w:rsidRDefault="006B513F" w:rsidP="006B513F">
      <w:pPr>
        <w:pStyle w:val="textstyle0"/>
      </w:pPr>
      <w:r>
        <w:lastRenderedPageBreak/>
        <w:tab/>
      </w:r>
      <w:r w:rsidR="00C040F7">
        <w:t>In providing those cases, Duke also sought to show that the Commission has granted deferral requests in past cases for one-time costs</w:t>
      </w:r>
      <w:r w:rsidR="00772894">
        <w:t xml:space="preserve"> and requests</w:t>
      </w:r>
      <w:r w:rsidR="00C040F7">
        <w:t xml:space="preserve"> that the Commis</w:t>
      </w:r>
      <w:r w:rsidR="00AF6762">
        <w:softHyphen/>
      </w:r>
      <w:r w:rsidR="00C040F7">
        <w:t xml:space="preserve">sion do so here. </w:t>
      </w:r>
      <w:r>
        <w:t xml:space="preserve"> </w:t>
      </w:r>
      <w:r w:rsidR="00C040F7">
        <w:t>However, Mr. Lipthratt explains that “each case is unique” and must “be reviewed as a whole.”</w:t>
      </w:r>
      <w:r w:rsidR="00C040F7">
        <w:rPr>
          <w:rStyle w:val="FootnoteReference"/>
          <w:sz w:val="24"/>
        </w:rPr>
        <w:footnoteReference w:id="15"/>
      </w:r>
      <w:r w:rsidR="00C040F7">
        <w:t xml:space="preserve"> </w:t>
      </w:r>
      <w:r>
        <w:t xml:space="preserve"> </w:t>
      </w:r>
      <w:r w:rsidR="00C040F7">
        <w:t>Duke must prove that deferral is warranted here based on the cri</w:t>
      </w:r>
      <w:r w:rsidR="00AF6762">
        <w:softHyphen/>
      </w:r>
      <w:r w:rsidR="00C040F7">
        <w:t>teria provided by Staff.</w:t>
      </w:r>
    </w:p>
    <w:p w14:paraId="282949B2" w14:textId="01509787" w:rsidR="00C040F7" w:rsidRDefault="006B513F" w:rsidP="006B513F">
      <w:pPr>
        <w:pStyle w:val="textstyle0"/>
      </w:pPr>
      <w:r>
        <w:tab/>
      </w:r>
      <w:r w:rsidR="00C040F7">
        <w:t xml:space="preserve">The deferral criteria has been standardized by Staff recently in order to provide for a more uniform review of deferral requests. </w:t>
      </w:r>
      <w:r>
        <w:t xml:space="preserve"> </w:t>
      </w:r>
      <w:r w:rsidR="00C040F7">
        <w:t>That is evident in recent cases, such as 15-222-GA-AAM and the case before us now.</w:t>
      </w:r>
      <w:r w:rsidR="00772894">
        <w:rPr>
          <w:rStyle w:val="FootnoteReference"/>
        </w:rPr>
        <w:footnoteReference w:id="16"/>
      </w:r>
      <w:r w:rsidR="00C040F7">
        <w:t xml:space="preserve"> </w:t>
      </w:r>
      <w:r>
        <w:t xml:space="preserve"> </w:t>
      </w:r>
      <w:r w:rsidR="00C040F7">
        <w:t>The fact that the criteria have been com</w:t>
      </w:r>
      <w:r w:rsidR="00AF6762">
        <w:softHyphen/>
      </w:r>
      <w:r w:rsidR="00C040F7">
        <w:t>piled into a list and numbered does not mean that they are new to Staff or the Commis</w:t>
      </w:r>
      <w:r w:rsidR="00AF6762">
        <w:softHyphen/>
      </w:r>
      <w:r w:rsidR="00C040F7">
        <w:t xml:space="preserve">sion. </w:t>
      </w:r>
      <w:r>
        <w:t xml:space="preserve"> </w:t>
      </w:r>
      <w:r w:rsidR="00C040F7">
        <w:t>A careful reading of the authority provided by Mr. Lipthratt and Duke reveals that this cri</w:t>
      </w:r>
      <w:r w:rsidR="009D4C7E">
        <w:softHyphen/>
      </w:r>
      <w:r w:rsidR="00C040F7">
        <w:t>teria is not “random and unsupported;” it did not “originate out of nowhere.”</w:t>
      </w:r>
      <w:r>
        <w:t xml:space="preserve"> </w:t>
      </w:r>
      <w:r w:rsidR="00C040F7">
        <w:t xml:space="preserve"> It is sup</w:t>
      </w:r>
      <w:r w:rsidR="009D4C7E">
        <w:softHyphen/>
      </w:r>
      <w:r w:rsidR="00C040F7">
        <w:t xml:space="preserve">ported by past cases and should be applied here by the Commission. </w:t>
      </w:r>
    </w:p>
    <w:p w14:paraId="52FCF566" w14:textId="4DB48A48" w:rsidR="00C040F7" w:rsidRDefault="001319C4" w:rsidP="001319C4">
      <w:pPr>
        <w:pStyle w:val="Heading3"/>
      </w:pPr>
      <w:bookmarkStart w:id="17" w:name="_Toc437949696"/>
      <w:r>
        <w:lastRenderedPageBreak/>
        <w:t>B</w:t>
      </w:r>
      <w:r w:rsidR="006B513F">
        <w:t>.</w:t>
      </w:r>
      <w:r w:rsidR="006B513F">
        <w:tab/>
      </w:r>
      <w:r>
        <w:t>The one-time fixed charge for IT system change costs should not be granted deferral because it does</w:t>
      </w:r>
      <w:r w:rsidR="00C040F7">
        <w:t xml:space="preserve"> not meet the deferral criteria.</w:t>
      </w:r>
      <w:bookmarkEnd w:id="17"/>
    </w:p>
    <w:p w14:paraId="4D5F2BB0" w14:textId="0CC4B54D" w:rsidR="00C040F7" w:rsidRDefault="006B513F" w:rsidP="006B513F">
      <w:pPr>
        <w:pStyle w:val="textstyle0"/>
      </w:pPr>
      <w:r>
        <w:tab/>
      </w:r>
      <w:r w:rsidR="00C040F7" w:rsidRPr="00915D48">
        <w:t>Duke has not met the criteria set forth by staff for determining the deferral of costs.  Duke has not shown that the level of costs included in the last rate case was insuf</w:t>
      </w:r>
      <w:r w:rsidR="00C040F7" w:rsidRPr="00915D48">
        <w:softHyphen/>
        <w:t>ficient.</w:t>
      </w:r>
      <w:r w:rsidR="00C040F7" w:rsidRPr="00915D48">
        <w:rPr>
          <w:rStyle w:val="FootnoteReference"/>
          <w:sz w:val="24"/>
        </w:rPr>
        <w:footnoteReference w:id="17"/>
      </w:r>
      <w:r w:rsidR="009E33F0">
        <w:t xml:space="preserve"> </w:t>
      </w:r>
      <w:r w:rsidR="00AF6762">
        <w:t xml:space="preserve"> </w:t>
      </w:r>
      <w:r w:rsidR="009E33F0">
        <w:t>In fact, Duke ignores that criteria and criticizes Staff for not proposing an alter</w:t>
      </w:r>
      <w:r w:rsidR="00AF6762">
        <w:softHyphen/>
      </w:r>
      <w:r w:rsidR="009E33F0">
        <w:t>native method for recovering IT costs.</w:t>
      </w:r>
      <w:r w:rsidR="009E33F0">
        <w:rPr>
          <w:rStyle w:val="FootnoteReference"/>
        </w:rPr>
        <w:footnoteReference w:id="18"/>
      </w:r>
      <w:r w:rsidR="00AF6762">
        <w:t xml:space="preserve"> </w:t>
      </w:r>
      <w:r w:rsidR="00C040F7" w:rsidRPr="00915D48">
        <w:t xml:space="preserve"> </w:t>
      </w:r>
      <w:r w:rsidR="00E66C24">
        <w:t>Because Staff found that the IT costs were included in base rates,</w:t>
      </w:r>
      <w:r w:rsidR="00B40E5F">
        <w:rPr>
          <w:rStyle w:val="FootnoteReference"/>
        </w:rPr>
        <w:footnoteReference w:id="19"/>
      </w:r>
      <w:r w:rsidR="009E33F0">
        <w:t xml:space="preserve"> Duke is already recovering these costs. </w:t>
      </w:r>
      <w:r w:rsidR="00AF6762">
        <w:t xml:space="preserve"> </w:t>
      </w:r>
      <w:r w:rsidR="009E33F0">
        <w:t>There is no need to sug</w:t>
      </w:r>
      <w:r w:rsidR="00AF6762">
        <w:softHyphen/>
      </w:r>
      <w:r w:rsidR="009E33F0">
        <w:t>gest another method for recovery.</w:t>
      </w:r>
      <w:r w:rsidR="00C040F7" w:rsidRPr="00915D48">
        <w:t xml:space="preserve"> </w:t>
      </w:r>
      <w:r w:rsidR="00AF6762">
        <w:t xml:space="preserve"> </w:t>
      </w:r>
      <w:r w:rsidR="00C040F7" w:rsidRPr="00915D48">
        <w:t xml:space="preserve">Staff </w:t>
      </w:r>
      <w:r w:rsidR="00AC0AF5">
        <w:t>also found that</w:t>
      </w:r>
      <w:r w:rsidR="00C040F7" w:rsidRPr="00915D48">
        <w:t xml:space="preserve"> the IT costs </w:t>
      </w:r>
      <w:r w:rsidR="00AC0AF5">
        <w:t>were not</w:t>
      </w:r>
      <w:r w:rsidR="00C040F7" w:rsidRPr="00915D48">
        <w:t xml:space="preserve"> material in nature </w:t>
      </w:r>
      <w:r w:rsidR="00AC0AF5">
        <w:t>and would not</w:t>
      </w:r>
      <w:r w:rsidR="00C040F7" w:rsidRPr="00915D48">
        <w:t xml:space="preserve"> cause financial harm to the Company if not granted deferral.  And the costs are not atypical or infrequent.  Therefore, the one-time fixed charge for IT sys</w:t>
      </w:r>
      <w:r w:rsidR="00AF6762">
        <w:softHyphen/>
      </w:r>
      <w:r w:rsidR="00C040F7" w:rsidRPr="00915D48">
        <w:t>tem change costs must not be granted deferral.</w:t>
      </w:r>
    </w:p>
    <w:p w14:paraId="55D36C29" w14:textId="12A8282F" w:rsidR="006B513F" w:rsidRPr="00B60F5A" w:rsidRDefault="006B513F" w:rsidP="006B513F">
      <w:pPr>
        <w:pStyle w:val="textstyle0"/>
      </w:pPr>
      <w:r>
        <w:tab/>
        <w:t>The Commission cannot rubber stamp the Company’s application simply because the Company is aware of their costs.  Duke is only in the best position to provide suffi</w:t>
      </w:r>
      <w:r w:rsidR="009D4C7E">
        <w:softHyphen/>
      </w:r>
      <w:r>
        <w:t>cient information concerning its costs to the Commission for review.  Because Duke has failed to do that, the Commission should deny deferral and grant recovery as proposed by Staff.</w:t>
      </w:r>
    </w:p>
    <w:p w14:paraId="2AE93E08" w14:textId="77777777" w:rsidR="001A5C2F" w:rsidRDefault="001A5C2F" w:rsidP="001A5C2F">
      <w:pPr>
        <w:pStyle w:val="Heading1"/>
      </w:pPr>
      <w:bookmarkStart w:id="18" w:name="_Toc437949697"/>
      <w:r>
        <w:lastRenderedPageBreak/>
        <w:t>CONCLUSION</w:t>
      </w:r>
      <w:bookmarkEnd w:id="18"/>
    </w:p>
    <w:p w14:paraId="50FD8A47" w14:textId="68BD2A63" w:rsidR="00E10679" w:rsidRDefault="001A5C2F" w:rsidP="006A3730">
      <w:pPr>
        <w:pStyle w:val="textstyle0"/>
      </w:pPr>
      <w:r>
        <w:tab/>
      </w:r>
      <w:r w:rsidR="001319C4">
        <w:t xml:space="preserve">The Commission should apply the deferral criteria set forth by Staff to review Duke’s deferral request. </w:t>
      </w:r>
      <w:r w:rsidR="00AF6762">
        <w:t xml:space="preserve"> </w:t>
      </w:r>
      <w:r w:rsidR="001319C4">
        <w:t>Because Duke’s IT costs do not meet the deferral criteria, the Commission should deny deferral.</w:t>
      </w:r>
    </w:p>
    <w:p w14:paraId="29AEA9AD" w14:textId="77777777" w:rsidR="00200A0A" w:rsidRPr="0064436A" w:rsidRDefault="00200A0A" w:rsidP="006B513F">
      <w:pPr>
        <w:tabs>
          <w:tab w:val="left" w:pos="9348"/>
        </w:tabs>
        <w:spacing w:line="480" w:lineRule="auto"/>
        <w:ind w:left="4320"/>
        <w:rPr>
          <w:sz w:val="26"/>
          <w:szCs w:val="26"/>
        </w:rPr>
      </w:pPr>
      <w:r w:rsidRPr="0064436A">
        <w:rPr>
          <w:sz w:val="26"/>
          <w:szCs w:val="26"/>
        </w:rPr>
        <w:t>Respectfully submitted,</w:t>
      </w:r>
    </w:p>
    <w:p w14:paraId="2CB00A32" w14:textId="77777777" w:rsidR="006B513F" w:rsidRDefault="006B513F" w:rsidP="006B513F">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Michael DeWine</w:t>
      </w:r>
    </w:p>
    <w:p w14:paraId="7883EA6A"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Ohio Attorney General</w:t>
      </w:r>
    </w:p>
    <w:p w14:paraId="77C4E4EF" w14:textId="77777777" w:rsidR="006B513F" w:rsidRDefault="006B513F" w:rsidP="006B513F">
      <w:pPr>
        <w:pStyle w:val="Title"/>
        <w:tabs>
          <w:tab w:val="left" w:pos="4320"/>
        </w:tabs>
        <w:jc w:val="left"/>
        <w:rPr>
          <w:rFonts w:ascii="Times New Roman" w:hAnsi="Times New Roman"/>
          <w:sz w:val="26"/>
          <w:szCs w:val="26"/>
        </w:rPr>
      </w:pPr>
    </w:p>
    <w:p w14:paraId="578F8B8D"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14:paraId="38E97B43"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14:paraId="702A876A" w14:textId="77777777" w:rsidR="006B513F" w:rsidRDefault="006B513F" w:rsidP="006B513F">
      <w:pPr>
        <w:pStyle w:val="Title"/>
        <w:tabs>
          <w:tab w:val="left" w:pos="4320"/>
        </w:tabs>
        <w:jc w:val="left"/>
        <w:rPr>
          <w:rFonts w:ascii="Times New Roman" w:hAnsi="Times New Roman"/>
          <w:sz w:val="26"/>
          <w:szCs w:val="26"/>
        </w:rPr>
      </w:pPr>
    </w:p>
    <w:p w14:paraId="2A99D1B0" w14:textId="4B4E636F" w:rsidR="006B513F" w:rsidRPr="006B513F" w:rsidRDefault="006B513F" w:rsidP="006B513F">
      <w:pPr>
        <w:pStyle w:val="Title"/>
        <w:tabs>
          <w:tab w:val="left" w:pos="4320"/>
          <w:tab w:val="left" w:pos="9360"/>
        </w:tabs>
        <w:jc w:val="left"/>
        <w:rPr>
          <w:rFonts w:ascii="AR BLANCA" w:hAnsi="AR BLANCA"/>
          <w:i/>
          <w:sz w:val="32"/>
          <w:szCs w:val="32"/>
          <w:u w:val="single"/>
        </w:rPr>
      </w:pPr>
      <w:r w:rsidRPr="006B513F">
        <w:rPr>
          <w:rFonts w:ascii="AR BLANCA" w:hAnsi="AR BLANCA"/>
          <w:b/>
          <w:sz w:val="32"/>
          <w:szCs w:val="32"/>
        </w:rPr>
        <w:tab/>
      </w:r>
      <w:r w:rsidR="00AF6762" w:rsidRPr="00540182">
        <w:rPr>
          <w:rFonts w:ascii="Lucida Calligraphy" w:hAnsi="Lucida Calligraphy"/>
          <w:i/>
          <w:sz w:val="26"/>
          <w:szCs w:val="26"/>
          <w:u w:val="single"/>
        </w:rPr>
        <w:t>Natalia V. Messenger</w:t>
      </w:r>
      <w:r w:rsidR="00AF6762">
        <w:rPr>
          <w:rFonts w:ascii="Lucida Calligraphy" w:hAnsi="Lucida Calligraphy"/>
          <w:i/>
          <w:sz w:val="26"/>
          <w:szCs w:val="26"/>
          <w:u w:val="single"/>
        </w:rPr>
        <w:tab/>
      </w:r>
    </w:p>
    <w:p w14:paraId="6A0E213B" w14:textId="77777777" w:rsidR="006B513F" w:rsidRDefault="006B513F" w:rsidP="006B513F">
      <w:pPr>
        <w:pStyle w:val="Title"/>
        <w:tabs>
          <w:tab w:val="left" w:pos="4320"/>
        </w:tabs>
        <w:jc w:val="left"/>
        <w:rPr>
          <w:rFonts w:ascii="Times New Roman" w:hAnsi="Times New Roman"/>
          <w:b/>
          <w:sz w:val="26"/>
          <w:szCs w:val="26"/>
        </w:rPr>
      </w:pPr>
      <w:r>
        <w:rPr>
          <w:rFonts w:ascii="Times New Roman" w:hAnsi="Times New Roman"/>
          <w:b/>
          <w:sz w:val="26"/>
          <w:szCs w:val="26"/>
        </w:rPr>
        <w:tab/>
        <w:t>Natalia V. Messenger</w:t>
      </w:r>
    </w:p>
    <w:p w14:paraId="3B1DBB89" w14:textId="77777777" w:rsidR="006B513F" w:rsidRDefault="006B513F" w:rsidP="006B513F">
      <w:pPr>
        <w:pStyle w:val="Title"/>
        <w:tabs>
          <w:tab w:val="left" w:pos="4320"/>
        </w:tabs>
        <w:jc w:val="left"/>
        <w:rPr>
          <w:rFonts w:ascii="Times New Roman" w:hAnsi="Times New Roman"/>
          <w:b/>
          <w:sz w:val="26"/>
          <w:szCs w:val="26"/>
        </w:rPr>
      </w:pPr>
      <w:r>
        <w:rPr>
          <w:rFonts w:ascii="Times New Roman" w:hAnsi="Times New Roman"/>
          <w:b/>
          <w:sz w:val="26"/>
          <w:szCs w:val="26"/>
        </w:rPr>
        <w:tab/>
        <w:t>John H. Jones</w:t>
      </w:r>
    </w:p>
    <w:p w14:paraId="7EB04E35"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Assistant Attorneys General</w:t>
      </w:r>
    </w:p>
    <w:p w14:paraId="4CB5467B"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14:paraId="615DC701"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14:paraId="65A867E6"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14:paraId="08A6CA09"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14:paraId="01A168D4"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14:paraId="283F5147" w14:textId="77777777" w:rsidR="006B513F" w:rsidRDefault="006B513F" w:rsidP="006B513F">
      <w:pPr>
        <w:pStyle w:val="Title"/>
        <w:tabs>
          <w:tab w:val="left" w:pos="4320"/>
        </w:tabs>
        <w:jc w:val="left"/>
        <w:rPr>
          <w:rFonts w:ascii="Times New Roman" w:hAnsi="Times New Roman"/>
          <w:sz w:val="26"/>
          <w:szCs w:val="26"/>
        </w:rPr>
      </w:pPr>
      <w:r>
        <w:rPr>
          <w:rFonts w:ascii="Times New Roman" w:hAnsi="Times New Roman"/>
          <w:sz w:val="26"/>
          <w:szCs w:val="26"/>
        </w:rPr>
        <w:tab/>
      </w:r>
      <w:hyperlink r:id="rId17" w:history="1">
        <w:r w:rsidRPr="00DA1EB2">
          <w:rPr>
            <w:rStyle w:val="Hyperlink"/>
            <w:rFonts w:ascii="Times New Roman" w:hAnsi="Times New Roman"/>
            <w:sz w:val="26"/>
            <w:szCs w:val="26"/>
          </w:rPr>
          <w:t>natalia.messenger@puc.state.oh.us</w:t>
        </w:r>
      </w:hyperlink>
    </w:p>
    <w:p w14:paraId="201DD67B" w14:textId="77777777" w:rsidR="006B513F" w:rsidRDefault="006B513F" w:rsidP="006B513F">
      <w:pPr>
        <w:pStyle w:val="Title"/>
        <w:tabs>
          <w:tab w:val="left" w:pos="4320"/>
        </w:tabs>
        <w:jc w:val="left"/>
        <w:rPr>
          <w:rStyle w:val="Hyperlink"/>
          <w:rFonts w:ascii="Times New Roman" w:hAnsi="Times New Roman"/>
          <w:sz w:val="26"/>
          <w:szCs w:val="26"/>
        </w:rPr>
      </w:pPr>
      <w:r>
        <w:rPr>
          <w:rFonts w:ascii="Times New Roman" w:hAnsi="Times New Roman"/>
          <w:sz w:val="26"/>
          <w:szCs w:val="26"/>
        </w:rPr>
        <w:tab/>
      </w:r>
      <w:hyperlink r:id="rId18" w:history="1">
        <w:r w:rsidRPr="00DA1EB2">
          <w:rPr>
            <w:rStyle w:val="Hyperlink"/>
            <w:rFonts w:ascii="Times New Roman" w:hAnsi="Times New Roman"/>
            <w:sz w:val="26"/>
            <w:szCs w:val="26"/>
          </w:rPr>
          <w:t>john.jones@puc.state.oh.us</w:t>
        </w:r>
      </w:hyperlink>
    </w:p>
    <w:p w14:paraId="33B9E8D1" w14:textId="77777777" w:rsidR="006B513F" w:rsidRDefault="006B513F" w:rsidP="006B513F">
      <w:pPr>
        <w:pStyle w:val="Title"/>
        <w:tabs>
          <w:tab w:val="left" w:pos="4320"/>
        </w:tabs>
        <w:jc w:val="left"/>
        <w:rPr>
          <w:rStyle w:val="Hyperlink"/>
          <w:rFonts w:ascii="Times New Roman" w:hAnsi="Times New Roman"/>
          <w:sz w:val="26"/>
          <w:szCs w:val="26"/>
        </w:rPr>
      </w:pPr>
    </w:p>
    <w:p w14:paraId="7E2557A0" w14:textId="77777777" w:rsidR="006B513F" w:rsidRDefault="006B513F" w:rsidP="006B513F">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Counsel on behalf of the Staff of</w:t>
      </w:r>
      <w:r>
        <w:rPr>
          <w:rFonts w:ascii="Times New Roman" w:hAnsi="Times New Roman"/>
          <w:b/>
          <w:sz w:val="26"/>
          <w:szCs w:val="26"/>
        </w:rPr>
        <w:br/>
      </w:r>
      <w:r>
        <w:rPr>
          <w:rFonts w:ascii="Times New Roman" w:hAnsi="Times New Roman"/>
          <w:b/>
          <w:sz w:val="26"/>
          <w:szCs w:val="26"/>
        </w:rPr>
        <w:tab/>
        <w:t>The Public Utilities Commission of Ohio</w:t>
      </w:r>
    </w:p>
    <w:p w14:paraId="799F986F" w14:textId="77777777" w:rsidR="006B513F" w:rsidRPr="00934B92" w:rsidRDefault="00200A0A" w:rsidP="006B513F">
      <w:pPr>
        <w:pStyle w:val="Heading1"/>
      </w:pPr>
      <w:bookmarkStart w:id="19" w:name="_GoBack"/>
      <w:bookmarkEnd w:id="19"/>
      <w:r w:rsidRPr="00955E20">
        <w:br w:type="page"/>
      </w:r>
      <w:bookmarkStart w:id="20" w:name="_Toc205862526"/>
      <w:bookmarkStart w:id="21" w:name="_Toc435712973"/>
      <w:bookmarkStart w:id="22" w:name="_Toc437949698"/>
      <w:r w:rsidR="006B513F" w:rsidRPr="00934B92">
        <w:lastRenderedPageBreak/>
        <w:t>PROOF OF SERVICE</w:t>
      </w:r>
      <w:bookmarkEnd w:id="20"/>
      <w:bookmarkEnd w:id="21"/>
      <w:bookmarkEnd w:id="22"/>
    </w:p>
    <w:p w14:paraId="7AA7D3EE" w14:textId="092EA783" w:rsidR="006B513F" w:rsidRPr="00934B92" w:rsidRDefault="006B513F" w:rsidP="006B513F">
      <w:pPr>
        <w:pStyle w:val="textstyle0"/>
      </w:pPr>
      <w:r>
        <w:tab/>
      </w:r>
      <w:r w:rsidRPr="00934B92">
        <w:t xml:space="preserve">I hereby certify that a true copy of the foregoing </w:t>
      </w:r>
      <w:r>
        <w:rPr>
          <w:b/>
        </w:rPr>
        <w:t xml:space="preserve">Reply Brief </w:t>
      </w:r>
      <w:r w:rsidRPr="00934B92">
        <w:t>submitted on behalf of the Staff of the Public Utilities Commis</w:t>
      </w:r>
      <w:r w:rsidRPr="00934B92">
        <w:softHyphen/>
        <w:t>sion of Ohio,</w:t>
      </w:r>
      <w:r w:rsidRPr="00934B92">
        <w:rPr>
          <w:b/>
        </w:rPr>
        <w:t xml:space="preserve"> </w:t>
      </w:r>
      <w:r w:rsidRPr="00934B92">
        <w:t xml:space="preserve">was served </w:t>
      </w:r>
      <w:r>
        <w:t>via electronic mail</w:t>
      </w:r>
      <w:r w:rsidRPr="00934B92">
        <w:t xml:space="preserve"> upon </w:t>
      </w:r>
      <w:r>
        <w:t xml:space="preserve">the following Parties of Record, </w:t>
      </w:r>
      <w:r w:rsidRPr="00934B92">
        <w:t>this</w:t>
      </w:r>
      <w:r>
        <w:t xml:space="preserve"> 15</w:t>
      </w:r>
      <w:r w:rsidRPr="001A5C2F">
        <w:rPr>
          <w:vertAlign w:val="superscript"/>
        </w:rPr>
        <w:t>th</w:t>
      </w:r>
      <w:r>
        <w:t xml:space="preserve"> d</w:t>
      </w:r>
      <w:r w:rsidRPr="00934B92">
        <w:t xml:space="preserve">ay of </w:t>
      </w:r>
      <w:r w:rsidR="00AF6762">
        <w:t>December</w:t>
      </w:r>
      <w:r>
        <w:t>, 2015</w:t>
      </w:r>
      <w:r w:rsidRPr="00934B92">
        <w:t>.</w:t>
      </w:r>
    </w:p>
    <w:p w14:paraId="137A4A2C" w14:textId="77777777" w:rsidR="006B513F" w:rsidRPr="00DF3D54" w:rsidRDefault="006B513F" w:rsidP="006B513F">
      <w:pPr>
        <w:spacing w:line="480" w:lineRule="auto"/>
        <w:jc w:val="both"/>
      </w:pPr>
    </w:p>
    <w:p w14:paraId="557C4570" w14:textId="77777777" w:rsidR="006B513F" w:rsidRPr="00540182" w:rsidRDefault="006B513F" w:rsidP="006B513F">
      <w:pPr>
        <w:tabs>
          <w:tab w:val="right" w:pos="9360"/>
        </w:tabs>
        <w:ind w:left="4320"/>
        <w:jc w:val="both"/>
        <w:rPr>
          <w:rFonts w:ascii="Lucida Calligraphy" w:hAnsi="Lucida Calligraphy"/>
          <w:i/>
          <w:sz w:val="26"/>
          <w:szCs w:val="26"/>
          <w:u w:val="single"/>
        </w:rPr>
      </w:pPr>
      <w:r w:rsidRPr="00540182">
        <w:rPr>
          <w:rFonts w:ascii="Lucida Calligraphy" w:hAnsi="Lucida Calligraphy"/>
          <w:i/>
          <w:sz w:val="26"/>
          <w:szCs w:val="26"/>
          <w:u w:val="single"/>
        </w:rPr>
        <w:t>Natalia V. Messenger</w:t>
      </w:r>
      <w:r w:rsidRPr="00540182">
        <w:rPr>
          <w:rFonts w:ascii="Lucida Calligraphy" w:hAnsi="Lucida Calligraphy"/>
          <w:i/>
          <w:sz w:val="26"/>
          <w:szCs w:val="26"/>
          <w:u w:val="single"/>
        </w:rPr>
        <w:tab/>
      </w:r>
    </w:p>
    <w:p w14:paraId="1B80B028" w14:textId="77777777" w:rsidR="006B513F" w:rsidRPr="00DF3D54" w:rsidRDefault="006B513F" w:rsidP="006B513F">
      <w:pPr>
        <w:ind w:left="4332"/>
        <w:jc w:val="both"/>
        <w:rPr>
          <w:b/>
          <w:sz w:val="26"/>
          <w:szCs w:val="26"/>
        </w:rPr>
      </w:pPr>
      <w:r>
        <w:rPr>
          <w:b/>
          <w:sz w:val="26"/>
          <w:szCs w:val="26"/>
        </w:rPr>
        <w:t>Natalia V. Messenger</w:t>
      </w:r>
    </w:p>
    <w:p w14:paraId="32F2B989" w14:textId="77777777" w:rsidR="006B513F" w:rsidRDefault="006B513F" w:rsidP="006B513F">
      <w:pPr>
        <w:ind w:left="4332"/>
        <w:jc w:val="both"/>
        <w:rPr>
          <w:sz w:val="26"/>
          <w:szCs w:val="26"/>
        </w:rPr>
      </w:pPr>
      <w:r w:rsidRPr="00DF3D54">
        <w:rPr>
          <w:sz w:val="26"/>
          <w:szCs w:val="26"/>
        </w:rPr>
        <w:t>Assistant Attorney General</w:t>
      </w:r>
    </w:p>
    <w:p w14:paraId="24C48FCB" w14:textId="77777777" w:rsidR="006B513F" w:rsidRDefault="006B513F" w:rsidP="006B513F">
      <w:pPr>
        <w:ind w:left="4332"/>
        <w:jc w:val="both"/>
        <w:rPr>
          <w:sz w:val="26"/>
          <w:szCs w:val="26"/>
        </w:rPr>
      </w:pPr>
    </w:p>
    <w:p w14:paraId="23CD1C1D" w14:textId="77777777" w:rsidR="006B513F" w:rsidRDefault="006B513F" w:rsidP="006B513F">
      <w:pPr>
        <w:rPr>
          <w:b/>
          <w:sz w:val="26"/>
          <w:szCs w:val="26"/>
        </w:rPr>
      </w:pPr>
      <w:r w:rsidRPr="00DF3D54">
        <w:rPr>
          <w:b/>
          <w:sz w:val="26"/>
          <w:szCs w:val="26"/>
        </w:rPr>
        <w:t>Parties of Record:</w:t>
      </w:r>
    </w:p>
    <w:p w14:paraId="0EBC5550" w14:textId="77777777" w:rsidR="006B513F" w:rsidRPr="00DF3D54" w:rsidRDefault="006B513F" w:rsidP="006B513F">
      <w:pPr>
        <w:rPr>
          <w:b/>
          <w:sz w:val="26"/>
          <w:szCs w:val="26"/>
        </w:rPr>
      </w:pPr>
    </w:p>
    <w:tbl>
      <w:tblPr>
        <w:tblW w:w="0" w:type="auto"/>
        <w:tblLook w:val="01E0" w:firstRow="1" w:lastRow="1" w:firstColumn="1" w:lastColumn="1" w:noHBand="0" w:noVBand="0"/>
      </w:tblPr>
      <w:tblGrid>
        <w:gridCol w:w="4665"/>
        <w:gridCol w:w="4695"/>
      </w:tblGrid>
      <w:tr w:rsidR="006B513F" w:rsidRPr="0028141F" w14:paraId="3ED467E4" w14:textId="77777777" w:rsidTr="00E84922">
        <w:tc>
          <w:tcPr>
            <w:tcW w:w="4788" w:type="dxa"/>
            <w:shd w:val="clear" w:color="auto" w:fill="auto"/>
          </w:tcPr>
          <w:p w14:paraId="6A218A31" w14:textId="77777777" w:rsidR="006B513F" w:rsidRDefault="006B513F" w:rsidP="00E84922">
            <w:pPr>
              <w:rPr>
                <w:sz w:val="26"/>
                <w:szCs w:val="26"/>
              </w:rPr>
            </w:pPr>
            <w:r>
              <w:rPr>
                <w:sz w:val="26"/>
                <w:szCs w:val="26"/>
              </w:rPr>
              <w:t>Amy B. Spiller</w:t>
            </w:r>
          </w:p>
          <w:p w14:paraId="23BF797B" w14:textId="77777777" w:rsidR="006B513F" w:rsidRDefault="006B513F" w:rsidP="00E84922">
            <w:pPr>
              <w:rPr>
                <w:sz w:val="26"/>
                <w:szCs w:val="26"/>
              </w:rPr>
            </w:pPr>
            <w:r>
              <w:rPr>
                <w:sz w:val="26"/>
                <w:szCs w:val="26"/>
              </w:rPr>
              <w:t>Elizabeth H. Watts</w:t>
            </w:r>
          </w:p>
          <w:p w14:paraId="03A42AF2" w14:textId="77777777" w:rsidR="006B513F" w:rsidRDefault="006B513F" w:rsidP="00E84922">
            <w:pPr>
              <w:rPr>
                <w:sz w:val="26"/>
                <w:szCs w:val="26"/>
              </w:rPr>
            </w:pPr>
            <w:r>
              <w:rPr>
                <w:sz w:val="26"/>
                <w:szCs w:val="26"/>
              </w:rPr>
              <w:t>Duke Energy Ohio, Inc.</w:t>
            </w:r>
          </w:p>
          <w:p w14:paraId="4C102F6D" w14:textId="77777777" w:rsidR="006B513F" w:rsidRDefault="006B513F" w:rsidP="00E84922">
            <w:pPr>
              <w:rPr>
                <w:sz w:val="26"/>
                <w:szCs w:val="26"/>
              </w:rPr>
            </w:pPr>
            <w:r>
              <w:rPr>
                <w:sz w:val="26"/>
                <w:szCs w:val="26"/>
              </w:rPr>
              <w:t>139 East Fourth Street</w:t>
            </w:r>
          </w:p>
          <w:p w14:paraId="23F83434" w14:textId="77777777" w:rsidR="006B513F" w:rsidRDefault="006B513F" w:rsidP="00E84922">
            <w:pPr>
              <w:rPr>
                <w:sz w:val="26"/>
                <w:szCs w:val="26"/>
              </w:rPr>
            </w:pPr>
            <w:r>
              <w:rPr>
                <w:sz w:val="26"/>
                <w:szCs w:val="26"/>
              </w:rPr>
              <w:t>Cincinnati, OH  45201-0960</w:t>
            </w:r>
          </w:p>
          <w:p w14:paraId="03F76CEF" w14:textId="77777777" w:rsidR="006B513F" w:rsidRDefault="003C0964" w:rsidP="00E84922">
            <w:pPr>
              <w:rPr>
                <w:sz w:val="26"/>
                <w:szCs w:val="26"/>
              </w:rPr>
            </w:pPr>
            <w:hyperlink r:id="rId19" w:history="1">
              <w:r w:rsidR="006B513F" w:rsidRPr="0037295D">
                <w:rPr>
                  <w:rStyle w:val="Hyperlink"/>
                  <w:sz w:val="26"/>
                  <w:szCs w:val="26"/>
                </w:rPr>
                <w:t>amy.spiller@duke-energy.com</w:t>
              </w:r>
            </w:hyperlink>
          </w:p>
          <w:p w14:paraId="461ACF96" w14:textId="77777777" w:rsidR="006B513F" w:rsidRDefault="003C0964" w:rsidP="00E84922">
            <w:pPr>
              <w:rPr>
                <w:sz w:val="26"/>
                <w:szCs w:val="26"/>
              </w:rPr>
            </w:pPr>
            <w:hyperlink r:id="rId20" w:history="1">
              <w:r w:rsidR="006B513F" w:rsidRPr="0037295D">
                <w:rPr>
                  <w:rStyle w:val="Hyperlink"/>
                  <w:sz w:val="26"/>
                  <w:szCs w:val="26"/>
                </w:rPr>
                <w:t>elizabeth.watts@duke-energy.com</w:t>
              </w:r>
            </w:hyperlink>
          </w:p>
          <w:p w14:paraId="0D9A8144" w14:textId="77777777" w:rsidR="006B513F" w:rsidRDefault="006B513F" w:rsidP="00E84922">
            <w:pPr>
              <w:rPr>
                <w:sz w:val="26"/>
                <w:szCs w:val="26"/>
              </w:rPr>
            </w:pPr>
          </w:p>
          <w:p w14:paraId="7B5DC406" w14:textId="77777777" w:rsidR="006B513F" w:rsidRDefault="006B513F" w:rsidP="00E84922">
            <w:pPr>
              <w:rPr>
                <w:sz w:val="26"/>
                <w:szCs w:val="26"/>
              </w:rPr>
            </w:pPr>
            <w:r>
              <w:rPr>
                <w:sz w:val="26"/>
                <w:szCs w:val="26"/>
              </w:rPr>
              <w:t>Terry L. Etter</w:t>
            </w:r>
          </w:p>
          <w:p w14:paraId="57360E78" w14:textId="77777777" w:rsidR="006B513F" w:rsidRDefault="006B513F" w:rsidP="00E84922">
            <w:pPr>
              <w:rPr>
                <w:sz w:val="26"/>
                <w:szCs w:val="26"/>
              </w:rPr>
            </w:pPr>
            <w:r>
              <w:rPr>
                <w:sz w:val="26"/>
                <w:szCs w:val="26"/>
              </w:rPr>
              <w:t>Assistant Consumers Counsel</w:t>
            </w:r>
          </w:p>
          <w:p w14:paraId="4FD5E7D6" w14:textId="77777777" w:rsidR="006B513F" w:rsidRDefault="006B513F" w:rsidP="00E84922">
            <w:pPr>
              <w:rPr>
                <w:sz w:val="26"/>
                <w:szCs w:val="26"/>
              </w:rPr>
            </w:pPr>
            <w:r>
              <w:rPr>
                <w:sz w:val="26"/>
                <w:szCs w:val="26"/>
              </w:rPr>
              <w:t>Office of the Ohio Consumers’ Counsel</w:t>
            </w:r>
          </w:p>
          <w:p w14:paraId="5C2BD934" w14:textId="77777777" w:rsidR="006B513F" w:rsidRDefault="006B513F" w:rsidP="00E84922">
            <w:pPr>
              <w:rPr>
                <w:sz w:val="26"/>
                <w:szCs w:val="26"/>
              </w:rPr>
            </w:pPr>
            <w:r>
              <w:rPr>
                <w:sz w:val="26"/>
                <w:szCs w:val="26"/>
              </w:rPr>
              <w:t>10 West Broad Street, 18</w:t>
            </w:r>
            <w:r w:rsidRPr="00660577">
              <w:rPr>
                <w:sz w:val="26"/>
                <w:szCs w:val="26"/>
                <w:vertAlign w:val="superscript"/>
              </w:rPr>
              <w:t>th</w:t>
            </w:r>
            <w:r>
              <w:rPr>
                <w:sz w:val="26"/>
                <w:szCs w:val="26"/>
              </w:rPr>
              <w:t xml:space="preserve"> Floor</w:t>
            </w:r>
          </w:p>
          <w:p w14:paraId="19387F47" w14:textId="77777777" w:rsidR="006B513F" w:rsidRDefault="006B513F" w:rsidP="00E84922">
            <w:pPr>
              <w:rPr>
                <w:sz w:val="26"/>
                <w:szCs w:val="26"/>
              </w:rPr>
            </w:pPr>
            <w:r>
              <w:rPr>
                <w:sz w:val="26"/>
                <w:szCs w:val="26"/>
              </w:rPr>
              <w:t>Columbus, OH  43215</w:t>
            </w:r>
          </w:p>
          <w:p w14:paraId="2777830A" w14:textId="77777777" w:rsidR="006B513F" w:rsidRDefault="003C0964" w:rsidP="00E84922">
            <w:pPr>
              <w:rPr>
                <w:sz w:val="26"/>
                <w:szCs w:val="26"/>
              </w:rPr>
            </w:pPr>
            <w:hyperlink r:id="rId21" w:history="1">
              <w:r w:rsidR="006B513F" w:rsidRPr="0037295D">
                <w:rPr>
                  <w:rStyle w:val="Hyperlink"/>
                  <w:sz w:val="26"/>
                  <w:szCs w:val="26"/>
                </w:rPr>
                <w:t>etter@occ.state.oh.us</w:t>
              </w:r>
            </w:hyperlink>
          </w:p>
          <w:p w14:paraId="2EEACB9C" w14:textId="77777777" w:rsidR="006B513F" w:rsidRDefault="006B513F" w:rsidP="00E84922">
            <w:pPr>
              <w:rPr>
                <w:sz w:val="26"/>
                <w:szCs w:val="26"/>
              </w:rPr>
            </w:pPr>
          </w:p>
          <w:p w14:paraId="0091E343" w14:textId="77777777" w:rsidR="006B513F" w:rsidRPr="00AE33CA" w:rsidRDefault="006B513F" w:rsidP="00E84922">
            <w:pPr>
              <w:rPr>
                <w:sz w:val="26"/>
                <w:szCs w:val="26"/>
              </w:rPr>
            </w:pPr>
          </w:p>
          <w:p w14:paraId="77C82EAB" w14:textId="77777777" w:rsidR="006B513F" w:rsidRPr="00AE33CA" w:rsidRDefault="006B513F" w:rsidP="00E84922">
            <w:pPr>
              <w:rPr>
                <w:sz w:val="26"/>
                <w:szCs w:val="26"/>
              </w:rPr>
            </w:pPr>
          </w:p>
          <w:p w14:paraId="55B35234" w14:textId="77777777" w:rsidR="006B513F" w:rsidRPr="00AE33CA" w:rsidRDefault="006B513F" w:rsidP="00E84922">
            <w:pPr>
              <w:rPr>
                <w:sz w:val="26"/>
                <w:szCs w:val="26"/>
              </w:rPr>
            </w:pPr>
          </w:p>
        </w:tc>
        <w:tc>
          <w:tcPr>
            <w:tcW w:w="4788" w:type="dxa"/>
            <w:shd w:val="clear" w:color="auto" w:fill="auto"/>
          </w:tcPr>
          <w:p w14:paraId="5B65727A" w14:textId="77777777" w:rsidR="006B513F" w:rsidRDefault="006B513F" w:rsidP="00E84922">
            <w:pPr>
              <w:rPr>
                <w:sz w:val="26"/>
                <w:szCs w:val="26"/>
              </w:rPr>
            </w:pPr>
            <w:r>
              <w:rPr>
                <w:sz w:val="26"/>
                <w:szCs w:val="26"/>
              </w:rPr>
              <w:t>Colleen L. Mooney</w:t>
            </w:r>
          </w:p>
          <w:p w14:paraId="5DE58723" w14:textId="77777777" w:rsidR="006B513F" w:rsidRDefault="006B513F" w:rsidP="00E84922">
            <w:pPr>
              <w:rPr>
                <w:sz w:val="26"/>
                <w:szCs w:val="26"/>
              </w:rPr>
            </w:pPr>
            <w:r>
              <w:rPr>
                <w:sz w:val="26"/>
                <w:szCs w:val="26"/>
              </w:rPr>
              <w:t>Ohio Partners for Affordable Energy</w:t>
            </w:r>
          </w:p>
          <w:p w14:paraId="497E3B3B" w14:textId="77777777" w:rsidR="006B513F" w:rsidRDefault="006B513F" w:rsidP="00E84922">
            <w:pPr>
              <w:rPr>
                <w:sz w:val="26"/>
                <w:szCs w:val="26"/>
              </w:rPr>
            </w:pPr>
            <w:r>
              <w:rPr>
                <w:sz w:val="26"/>
                <w:szCs w:val="26"/>
              </w:rPr>
              <w:t>231 West Lima Street</w:t>
            </w:r>
          </w:p>
          <w:p w14:paraId="0AB32765" w14:textId="77777777" w:rsidR="006B513F" w:rsidRDefault="006B513F" w:rsidP="00E84922">
            <w:pPr>
              <w:rPr>
                <w:sz w:val="26"/>
                <w:szCs w:val="26"/>
              </w:rPr>
            </w:pPr>
            <w:r>
              <w:rPr>
                <w:sz w:val="26"/>
                <w:szCs w:val="26"/>
              </w:rPr>
              <w:t>Findlay, OH  45839-1793</w:t>
            </w:r>
          </w:p>
          <w:p w14:paraId="15FB02D2" w14:textId="77777777" w:rsidR="006B513F" w:rsidRDefault="003C0964" w:rsidP="00E84922">
            <w:pPr>
              <w:rPr>
                <w:sz w:val="26"/>
                <w:szCs w:val="26"/>
              </w:rPr>
            </w:pPr>
            <w:hyperlink r:id="rId22" w:history="1">
              <w:r w:rsidR="006B513F" w:rsidRPr="0037295D">
                <w:rPr>
                  <w:rStyle w:val="Hyperlink"/>
                  <w:sz w:val="26"/>
                  <w:szCs w:val="26"/>
                </w:rPr>
                <w:t>cmooney@ohiopartners.org</w:t>
              </w:r>
            </w:hyperlink>
          </w:p>
          <w:p w14:paraId="59A7DD72" w14:textId="77777777" w:rsidR="006B513F" w:rsidRPr="00AE33CA" w:rsidRDefault="006B513F" w:rsidP="00E84922">
            <w:pPr>
              <w:rPr>
                <w:sz w:val="26"/>
                <w:szCs w:val="26"/>
              </w:rPr>
            </w:pPr>
          </w:p>
          <w:p w14:paraId="17E7503C" w14:textId="77777777" w:rsidR="006B513F" w:rsidRDefault="006B513F" w:rsidP="00E84922">
            <w:pPr>
              <w:rPr>
                <w:sz w:val="26"/>
                <w:szCs w:val="26"/>
              </w:rPr>
            </w:pPr>
            <w:r>
              <w:rPr>
                <w:sz w:val="26"/>
                <w:szCs w:val="26"/>
              </w:rPr>
              <w:t>Dane Stinson</w:t>
            </w:r>
          </w:p>
          <w:p w14:paraId="1FFDBDE7" w14:textId="77777777" w:rsidR="006B513F" w:rsidRDefault="006B513F" w:rsidP="00E84922">
            <w:pPr>
              <w:rPr>
                <w:sz w:val="26"/>
                <w:szCs w:val="26"/>
              </w:rPr>
            </w:pPr>
            <w:r>
              <w:rPr>
                <w:sz w:val="26"/>
                <w:szCs w:val="26"/>
              </w:rPr>
              <w:t>Bricker &amp; Eckler</w:t>
            </w:r>
          </w:p>
          <w:p w14:paraId="646B11EB" w14:textId="77777777" w:rsidR="006B513F" w:rsidRDefault="006B513F" w:rsidP="00E84922">
            <w:pPr>
              <w:rPr>
                <w:sz w:val="26"/>
                <w:szCs w:val="26"/>
              </w:rPr>
            </w:pPr>
            <w:r>
              <w:rPr>
                <w:sz w:val="26"/>
                <w:szCs w:val="26"/>
              </w:rPr>
              <w:t>100 South Third Street</w:t>
            </w:r>
          </w:p>
          <w:p w14:paraId="7A9B5DC0" w14:textId="77777777" w:rsidR="006B513F" w:rsidRPr="00AE33CA" w:rsidRDefault="006B513F" w:rsidP="00E84922">
            <w:pPr>
              <w:rPr>
                <w:sz w:val="26"/>
                <w:szCs w:val="26"/>
              </w:rPr>
            </w:pPr>
            <w:r>
              <w:rPr>
                <w:sz w:val="26"/>
                <w:szCs w:val="26"/>
              </w:rPr>
              <w:t>Columbus, OH  43215</w:t>
            </w:r>
          </w:p>
          <w:p w14:paraId="356898D8" w14:textId="77777777" w:rsidR="006B513F" w:rsidRDefault="003C0964" w:rsidP="00E84922">
            <w:pPr>
              <w:rPr>
                <w:sz w:val="26"/>
                <w:szCs w:val="26"/>
              </w:rPr>
            </w:pPr>
            <w:hyperlink r:id="rId23" w:history="1">
              <w:r w:rsidR="006B513F" w:rsidRPr="00DA1EB2">
                <w:rPr>
                  <w:rStyle w:val="Hyperlink"/>
                  <w:sz w:val="26"/>
                  <w:szCs w:val="26"/>
                </w:rPr>
                <w:t>dstinson@bricker.com</w:t>
              </w:r>
            </w:hyperlink>
          </w:p>
          <w:p w14:paraId="08BC6752" w14:textId="77777777" w:rsidR="006B513F" w:rsidRPr="00AE33CA" w:rsidRDefault="006B513F" w:rsidP="00E84922">
            <w:pPr>
              <w:rPr>
                <w:sz w:val="26"/>
                <w:szCs w:val="26"/>
              </w:rPr>
            </w:pPr>
          </w:p>
        </w:tc>
      </w:tr>
    </w:tbl>
    <w:p w14:paraId="75A26B05" w14:textId="77777777" w:rsidR="00977F01" w:rsidRPr="00DF3D54" w:rsidRDefault="00977F01" w:rsidP="006B513F">
      <w:pPr>
        <w:pStyle w:val="Heading1"/>
        <w:rPr>
          <w:sz w:val="26"/>
          <w:szCs w:val="26"/>
        </w:rPr>
      </w:pPr>
    </w:p>
    <w:sectPr w:rsidR="00977F01" w:rsidRPr="00DF3D54" w:rsidSect="003B12DD">
      <w:headerReference w:type="default" r:id="rId24"/>
      <w:footerReference w:type="default" r:id="rId25"/>
      <w:headerReference w:type="first" r:id="rId26"/>
      <w:footerReference w:type="first" r:id="rId2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A6938" w14:textId="77777777" w:rsidR="007E1D90" w:rsidRDefault="007E1D90" w:rsidP="008866FC">
      <w:pPr>
        <w:pStyle w:val="Title"/>
      </w:pPr>
      <w:r>
        <w:separator/>
      </w:r>
    </w:p>
  </w:endnote>
  <w:endnote w:type="continuationSeparator" w:id="0">
    <w:p w14:paraId="4ED2C102" w14:textId="77777777" w:rsidR="007E1D90" w:rsidRDefault="007E1D90"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 BLANCA">
    <w:altName w:val="Times New Roman"/>
    <w:panose1 w:val="02000000000000000000"/>
    <w:charset w:val="00"/>
    <w:family w:val="auto"/>
    <w:pitch w:val="variable"/>
    <w:sig w:usb0="8000002F" w:usb1="0000000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E685" w14:textId="77777777" w:rsidR="00FB4C8A" w:rsidRDefault="00BF0931" w:rsidP="003B12DD">
    <w:pPr>
      <w:pStyle w:val="Footer"/>
      <w:jc w:val="center"/>
    </w:pPr>
    <w:r>
      <w:rPr>
        <w:rStyle w:val="PageNumber"/>
      </w:rPr>
      <w:fldChar w:fldCharType="begin"/>
    </w:r>
    <w:r w:rsidR="00FB4C8A">
      <w:rPr>
        <w:rStyle w:val="PageNumber"/>
      </w:rPr>
      <w:instrText xml:space="preserve"> PAGE </w:instrText>
    </w:r>
    <w:r>
      <w:rPr>
        <w:rStyle w:val="PageNumber"/>
      </w:rPr>
      <w:fldChar w:fldCharType="separate"/>
    </w:r>
    <w:r w:rsidR="00C040F7">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B5B1" w14:textId="77777777"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FB4C8A">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9E4A1" w14:textId="77777777" w:rsidR="00FB4C8A" w:rsidRPr="00C95499" w:rsidRDefault="00BF0931" w:rsidP="00C95499">
    <w:pPr>
      <w:pStyle w:val="Footer"/>
      <w:jc w:val="center"/>
      <w:rPr>
        <w:sz w:val="26"/>
        <w:szCs w:val="26"/>
      </w:rPr>
    </w:pPr>
    <w:r w:rsidRPr="00C95499">
      <w:rPr>
        <w:sz w:val="26"/>
        <w:szCs w:val="26"/>
      </w:rPr>
      <w:fldChar w:fldCharType="begin"/>
    </w:r>
    <w:r w:rsidR="00FB4C8A" w:rsidRPr="00C95499">
      <w:rPr>
        <w:sz w:val="26"/>
        <w:szCs w:val="26"/>
      </w:rPr>
      <w:instrText xml:space="preserve"> PAGE   \* MERGEFORMAT </w:instrText>
    </w:r>
    <w:r w:rsidRPr="00C95499">
      <w:rPr>
        <w:sz w:val="26"/>
        <w:szCs w:val="26"/>
      </w:rPr>
      <w:fldChar w:fldCharType="separate"/>
    </w:r>
    <w:r w:rsidR="003C0964">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E9CD" w14:textId="77777777"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3C0964">
      <w:rPr>
        <w:rStyle w:val="PageNumber"/>
        <w:noProof/>
        <w:sz w:val="24"/>
        <w:szCs w:val="24"/>
      </w:rPr>
      <w:t>8</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5D747" w14:textId="77777777" w:rsidR="00FB4C8A" w:rsidRPr="00C95499" w:rsidRDefault="00FB4C8A"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70954" w14:textId="77777777" w:rsidR="007E1D90" w:rsidRDefault="007E1D90" w:rsidP="00663D6A">
      <w:pPr>
        <w:pStyle w:val="Title"/>
        <w:jc w:val="left"/>
      </w:pPr>
      <w:r>
        <w:separator/>
      </w:r>
    </w:p>
  </w:footnote>
  <w:footnote w:type="continuationSeparator" w:id="0">
    <w:p w14:paraId="1DC18488" w14:textId="77777777" w:rsidR="007E1D90" w:rsidRDefault="007E1D90" w:rsidP="008866FC">
      <w:pPr>
        <w:pStyle w:val="Title"/>
      </w:pPr>
      <w:r>
        <w:continuationSeparator/>
      </w:r>
    </w:p>
  </w:footnote>
  <w:footnote w:id="1">
    <w:p w14:paraId="7F35F5D3" w14:textId="365D22C3" w:rsidR="00E64213" w:rsidRPr="00E64213" w:rsidRDefault="00E64213">
      <w:pPr>
        <w:pStyle w:val="FootnoteText"/>
      </w:pPr>
      <w:r>
        <w:rPr>
          <w:rStyle w:val="FootnoteReference"/>
        </w:rPr>
        <w:footnoteRef/>
      </w:r>
      <w:r>
        <w:t xml:space="preserve"> </w:t>
      </w:r>
      <w:r w:rsidR="00E4424D">
        <w:tab/>
      </w:r>
      <w:r w:rsidR="00E4424D">
        <w:tab/>
      </w:r>
      <w:r>
        <w:rPr>
          <w:i/>
        </w:rPr>
        <w:t>See</w:t>
      </w:r>
      <w:r>
        <w:t xml:space="preserve"> Prefiled Testimony of David M</w:t>
      </w:r>
      <w:r w:rsidR="002C5AD1">
        <w:t>. Lipthratt (</w:t>
      </w:r>
      <w:r w:rsidR="00E4424D">
        <w:t>“</w:t>
      </w:r>
      <w:r w:rsidR="002C5AD1">
        <w:t>Lipthratt Test.</w:t>
      </w:r>
      <w:r w:rsidR="00E4424D">
        <w:t>”)</w:t>
      </w:r>
      <w:r>
        <w:t xml:space="preserve"> at 5-6 (Oct. 2, 2015).</w:t>
      </w:r>
    </w:p>
  </w:footnote>
  <w:footnote w:id="2">
    <w:p w14:paraId="1A14542B" w14:textId="7D8574B1" w:rsidR="00C040F7" w:rsidRDefault="00C040F7" w:rsidP="00C040F7">
      <w:pPr>
        <w:pStyle w:val="FootnoteText"/>
      </w:pPr>
      <w:r>
        <w:rPr>
          <w:rStyle w:val="FootnoteReference"/>
        </w:rPr>
        <w:footnoteRef/>
      </w:r>
      <w:r>
        <w:t xml:space="preserve"> </w:t>
      </w:r>
      <w:r>
        <w:tab/>
      </w:r>
      <w:r>
        <w:tab/>
      </w:r>
      <w:r>
        <w:rPr>
          <w:i/>
        </w:rPr>
        <w:t>In the Matter of the Application of the Ohio Gas Company for Approval to Change Accounting Methods</w:t>
      </w:r>
      <w:r>
        <w:t>, Case No. 15-222-GA-AAM (</w:t>
      </w:r>
      <w:r w:rsidR="00E4424D">
        <w:t>“</w:t>
      </w:r>
      <w:r>
        <w:rPr>
          <w:i/>
        </w:rPr>
        <w:t>In re Ohio Gas Co.</w:t>
      </w:r>
      <w:r w:rsidR="00E4424D">
        <w:t>”</w:t>
      </w:r>
      <w:r>
        <w:t xml:space="preserve">) (Staff’s Review and Recommendations at 3) (May 15, 2015). </w:t>
      </w:r>
    </w:p>
  </w:footnote>
  <w:footnote w:id="3">
    <w:p w14:paraId="18EDB1B7" w14:textId="77777777" w:rsidR="00C040F7" w:rsidRPr="00301EF6" w:rsidRDefault="00C040F7" w:rsidP="00C040F7">
      <w:pPr>
        <w:pStyle w:val="FootnoteText"/>
      </w:pPr>
      <w:r>
        <w:rPr>
          <w:rStyle w:val="FootnoteReference"/>
        </w:rPr>
        <w:footnoteRef/>
      </w:r>
      <w:r>
        <w:t xml:space="preserve"> </w:t>
      </w:r>
      <w:r>
        <w:tab/>
      </w:r>
      <w:r>
        <w:tab/>
      </w:r>
      <w:r>
        <w:rPr>
          <w:i/>
        </w:rPr>
        <w:t>Id.</w:t>
      </w:r>
      <w:r>
        <w:t xml:space="preserve">; </w:t>
      </w:r>
      <w:r>
        <w:rPr>
          <w:i/>
        </w:rPr>
        <w:t>see also</w:t>
      </w:r>
      <w:r>
        <w:t xml:space="preserve"> Tr. at 164.</w:t>
      </w:r>
    </w:p>
  </w:footnote>
  <w:footnote w:id="4">
    <w:p w14:paraId="71C786E1" w14:textId="2E0B6CC1" w:rsidR="00C040F7" w:rsidRPr="00034749" w:rsidRDefault="00C040F7" w:rsidP="00C040F7">
      <w:pPr>
        <w:pStyle w:val="FootnoteText"/>
      </w:pPr>
      <w:r>
        <w:rPr>
          <w:rStyle w:val="FootnoteReference"/>
        </w:rPr>
        <w:footnoteRef/>
      </w:r>
      <w:r>
        <w:t xml:space="preserve"> </w:t>
      </w:r>
      <w:r>
        <w:tab/>
      </w:r>
      <w:r>
        <w:tab/>
      </w:r>
      <w:r>
        <w:rPr>
          <w:i/>
        </w:rPr>
        <w:t>In re Ohio Gas Co.</w:t>
      </w:r>
      <w:r>
        <w:t xml:space="preserve"> (Finding and Order at 6) (Jul. 29, 2015); </w:t>
      </w:r>
      <w:r>
        <w:rPr>
          <w:i/>
        </w:rPr>
        <w:t>see also</w:t>
      </w:r>
      <w:r>
        <w:t xml:space="preserve"> Tr. at 164.</w:t>
      </w:r>
      <w:r w:rsidR="001319C4">
        <w:t xml:space="preserve"> </w:t>
      </w:r>
      <w:r w:rsidR="00E4424D">
        <w:t xml:space="preserve"> </w:t>
      </w:r>
      <w:r w:rsidR="001319C4">
        <w:t>Although the deferral criteria is not listed in the Finding and Order, Duke need only look to Staff’s Review and Recommendations to see w</w:t>
      </w:r>
      <w:r w:rsidR="00000CB1">
        <w:t>hat the Commission adopted in its Finding and Order.</w:t>
      </w:r>
    </w:p>
  </w:footnote>
  <w:footnote w:id="5">
    <w:p w14:paraId="0E8E57EF" w14:textId="3B1D60DB" w:rsidR="00C040F7" w:rsidRPr="00917250" w:rsidRDefault="00C040F7" w:rsidP="00C040F7">
      <w:pPr>
        <w:pStyle w:val="FootnoteText"/>
      </w:pPr>
      <w:r>
        <w:rPr>
          <w:rStyle w:val="FootnoteReference"/>
        </w:rPr>
        <w:footnoteRef/>
      </w:r>
      <w:r>
        <w:t xml:space="preserve"> </w:t>
      </w:r>
      <w:r>
        <w:tab/>
      </w:r>
      <w:r>
        <w:tab/>
        <w:t xml:space="preserve">Tr. at 165; </w:t>
      </w:r>
      <w:r>
        <w:rPr>
          <w:i/>
        </w:rPr>
        <w:t>see also</w:t>
      </w:r>
      <w:r>
        <w:t xml:space="preserve"> </w:t>
      </w:r>
      <w:r>
        <w:rPr>
          <w:i/>
        </w:rPr>
        <w:t>In the Matter of the Application of Citizens Utilities Company of Ohio for an Order Approving Deferred Accounting for Year 2000 Compliance Costs</w:t>
      </w:r>
      <w:r>
        <w:t>, Case No. 98-1701-WS-AAM (</w:t>
      </w:r>
      <w:r w:rsidR="00E4424D">
        <w:t>“</w:t>
      </w:r>
      <w:r>
        <w:rPr>
          <w:i/>
        </w:rPr>
        <w:t>In re Citizens Utilities Co.</w:t>
      </w:r>
      <w:r w:rsidR="00E4424D">
        <w:t>”</w:t>
      </w:r>
      <w:r>
        <w:t>) (Applicatio</w:t>
      </w:r>
      <w:r w:rsidR="00000CB1">
        <w:t>n at 3-4</w:t>
      </w:r>
      <w:r>
        <w:t>) (Dec. 29, 1998).</w:t>
      </w:r>
    </w:p>
  </w:footnote>
  <w:footnote w:id="6">
    <w:p w14:paraId="05D01869" w14:textId="77777777" w:rsidR="00C040F7" w:rsidRDefault="00C040F7" w:rsidP="00C040F7">
      <w:pPr>
        <w:pStyle w:val="FootnoteText"/>
      </w:pPr>
      <w:r>
        <w:rPr>
          <w:rStyle w:val="FootnoteReference"/>
        </w:rPr>
        <w:footnoteRef/>
      </w:r>
      <w:r>
        <w:t xml:space="preserve"> </w:t>
      </w:r>
      <w:r>
        <w:tab/>
      </w:r>
      <w:r>
        <w:tab/>
        <w:t>Tr. at 165.</w:t>
      </w:r>
    </w:p>
  </w:footnote>
  <w:footnote w:id="7">
    <w:p w14:paraId="1B452A8C" w14:textId="77777777" w:rsidR="00C040F7" w:rsidRDefault="00C040F7" w:rsidP="00C040F7">
      <w:pPr>
        <w:pStyle w:val="FootnoteText"/>
      </w:pPr>
      <w:r>
        <w:rPr>
          <w:rStyle w:val="FootnoteReference"/>
        </w:rPr>
        <w:footnoteRef/>
      </w:r>
      <w:r>
        <w:t xml:space="preserve"> </w:t>
      </w:r>
      <w:r>
        <w:tab/>
      </w:r>
      <w:r>
        <w:tab/>
      </w:r>
      <w:r>
        <w:rPr>
          <w:i/>
        </w:rPr>
        <w:t>In re Citizens Utilities Co.</w:t>
      </w:r>
      <w:r>
        <w:t xml:space="preserve"> (Finding and Order at 1) (Apr. 29, 1999).</w:t>
      </w:r>
    </w:p>
  </w:footnote>
  <w:footnote w:id="8">
    <w:p w14:paraId="477DEB64" w14:textId="77777777" w:rsidR="00C040F7" w:rsidRPr="001F4B1F" w:rsidRDefault="00C040F7" w:rsidP="00C040F7">
      <w:pPr>
        <w:pStyle w:val="FootnoteText"/>
      </w:pPr>
      <w:r>
        <w:rPr>
          <w:rStyle w:val="FootnoteReference"/>
        </w:rPr>
        <w:footnoteRef/>
      </w:r>
      <w:r>
        <w:t xml:space="preserve"> </w:t>
      </w:r>
      <w:r>
        <w:tab/>
      </w:r>
      <w:r>
        <w:tab/>
      </w:r>
      <w:r>
        <w:rPr>
          <w:i/>
        </w:rPr>
        <w:t>Id.</w:t>
      </w:r>
      <w:r>
        <w:t xml:space="preserve"> at 2.</w:t>
      </w:r>
    </w:p>
  </w:footnote>
  <w:footnote w:id="9">
    <w:p w14:paraId="44BC2D73" w14:textId="5621C161" w:rsidR="00C040F7" w:rsidRDefault="00C040F7" w:rsidP="00C040F7">
      <w:pPr>
        <w:pStyle w:val="FootnoteText"/>
      </w:pPr>
      <w:r>
        <w:rPr>
          <w:rStyle w:val="FootnoteReference"/>
        </w:rPr>
        <w:footnoteRef/>
      </w:r>
      <w:r>
        <w:t xml:space="preserve"> </w:t>
      </w:r>
      <w:r>
        <w:tab/>
      </w:r>
      <w:r>
        <w:tab/>
        <w:t>Lipthratt Test. at 5 (listing “financial harm to the Company” as a criterion).</w:t>
      </w:r>
    </w:p>
  </w:footnote>
  <w:footnote w:id="10">
    <w:p w14:paraId="0228719E" w14:textId="5AD26FF1" w:rsidR="00C040F7" w:rsidRDefault="00C040F7" w:rsidP="00C040F7">
      <w:pPr>
        <w:pStyle w:val="FootnoteText"/>
      </w:pPr>
      <w:r>
        <w:rPr>
          <w:rStyle w:val="FootnoteReference"/>
        </w:rPr>
        <w:footnoteRef/>
      </w:r>
      <w:r>
        <w:t xml:space="preserve"> </w:t>
      </w:r>
      <w:r>
        <w:tab/>
      </w:r>
      <w:r>
        <w:tab/>
        <w:t>Duke Brief at 3-4.</w:t>
      </w:r>
    </w:p>
  </w:footnote>
  <w:footnote w:id="11">
    <w:p w14:paraId="649B6FE5" w14:textId="0CB8C565" w:rsidR="00C040F7" w:rsidRPr="00AF6762" w:rsidRDefault="00C040F7" w:rsidP="00C040F7">
      <w:pPr>
        <w:pStyle w:val="FootnoteText"/>
      </w:pPr>
      <w:r>
        <w:rPr>
          <w:rStyle w:val="FootnoteReference"/>
        </w:rPr>
        <w:footnoteRef/>
      </w:r>
      <w:r>
        <w:t xml:space="preserve"> </w:t>
      </w:r>
      <w:r>
        <w:tab/>
      </w:r>
      <w:r w:rsidRPr="00AF6762">
        <w:tab/>
      </w:r>
      <w:r w:rsidRPr="00AF6762">
        <w:rPr>
          <w:i/>
        </w:rPr>
        <w:t>See</w:t>
      </w:r>
      <w:r w:rsidR="00CA7D5C" w:rsidRPr="00AF6762">
        <w:t xml:space="preserve">, </w:t>
      </w:r>
      <w:r w:rsidR="00CA7D5C" w:rsidRPr="00AF6762">
        <w:rPr>
          <w:i/>
        </w:rPr>
        <w:t xml:space="preserve">e.g., </w:t>
      </w:r>
      <w:r w:rsidR="00E4424D" w:rsidRPr="00AF6762">
        <w:rPr>
          <w:i/>
          <w:color w:val="232323"/>
        </w:rPr>
        <w:t xml:space="preserve">In the </w:t>
      </w:r>
      <w:r w:rsidR="00E4424D" w:rsidRPr="00AF6762">
        <w:rPr>
          <w:i/>
          <w:color w:val="232323"/>
        </w:rPr>
        <w:t xml:space="preserve">Matter </w:t>
      </w:r>
      <w:r w:rsidR="00E4424D" w:rsidRPr="00AF6762">
        <w:rPr>
          <w:i/>
          <w:color w:val="232323"/>
        </w:rPr>
        <w:t xml:space="preserve">of Columbia Gas of Ohio, Inc. for </w:t>
      </w:r>
      <w:r w:rsidR="00E4424D" w:rsidRPr="00AF6762">
        <w:rPr>
          <w:i/>
          <w:color w:val="232323"/>
        </w:rPr>
        <w:t xml:space="preserve">Approval </w:t>
      </w:r>
      <w:r w:rsidR="00E4424D" w:rsidRPr="00AF6762">
        <w:rPr>
          <w:i/>
          <w:color w:val="232323"/>
        </w:rPr>
        <w:t xml:space="preserve">to </w:t>
      </w:r>
      <w:r w:rsidR="00E4424D" w:rsidRPr="00AF6762">
        <w:rPr>
          <w:i/>
          <w:color w:val="232323"/>
        </w:rPr>
        <w:t>Change Accounting Methods</w:t>
      </w:r>
      <w:r w:rsidR="00E4424D" w:rsidRPr="00AF6762">
        <w:rPr>
          <w:color w:val="232323"/>
        </w:rPr>
        <w:t xml:space="preserve">, Case No. </w:t>
      </w:r>
      <w:r w:rsidR="00CA7D5C" w:rsidRPr="00AF6762">
        <w:t>09-371-GA-AAM</w:t>
      </w:r>
      <w:r w:rsidR="00E4424D">
        <w:t xml:space="preserve"> </w:t>
      </w:r>
      <w:r w:rsidR="00E4424D" w:rsidRPr="00AF6762">
        <w:t>(</w:t>
      </w:r>
      <w:r w:rsidR="00CA7D5C" w:rsidRPr="00AF6762">
        <w:t>Entry at 2-3</w:t>
      </w:r>
      <w:r w:rsidR="00E4424D" w:rsidRPr="00AF6762">
        <w:t>)</w:t>
      </w:r>
      <w:r w:rsidR="006B0BF7" w:rsidRPr="00AF6762">
        <w:t xml:space="preserve"> (Jul</w:t>
      </w:r>
      <w:r w:rsidR="00E4424D" w:rsidRPr="00AF6762">
        <w:t>.</w:t>
      </w:r>
      <w:r w:rsidR="006B0BF7" w:rsidRPr="00AF6762">
        <w:t xml:space="preserve"> 8, 2009)</w:t>
      </w:r>
      <w:r w:rsidR="00CA7D5C" w:rsidRPr="00AF6762">
        <w:t xml:space="preserve"> (granting deferral because the expenses were “a necessary business cost,” outside of the company’s control);</w:t>
      </w:r>
      <w:r w:rsidR="00CA7D5C" w:rsidRPr="00AF6762">
        <w:rPr>
          <w:i/>
        </w:rPr>
        <w:t xml:space="preserve"> </w:t>
      </w:r>
      <w:r w:rsidR="00E4424D" w:rsidRPr="00AF6762">
        <w:rPr>
          <w:i/>
          <w:color w:val="232323"/>
        </w:rPr>
        <w:t xml:space="preserve">In the </w:t>
      </w:r>
      <w:r w:rsidR="00E4424D" w:rsidRPr="00AF6762">
        <w:rPr>
          <w:i/>
          <w:color w:val="232323"/>
        </w:rPr>
        <w:t xml:space="preserve">Matter </w:t>
      </w:r>
      <w:r w:rsidR="00E4424D" w:rsidRPr="00AF6762">
        <w:rPr>
          <w:i/>
          <w:color w:val="232323"/>
        </w:rPr>
        <w:t xml:space="preserve">of the </w:t>
      </w:r>
      <w:r w:rsidR="00E4424D" w:rsidRPr="00AF6762">
        <w:rPr>
          <w:i/>
          <w:color w:val="232323"/>
        </w:rPr>
        <w:t xml:space="preserve">Application </w:t>
      </w:r>
      <w:r w:rsidR="00E4424D" w:rsidRPr="00AF6762">
        <w:rPr>
          <w:i/>
          <w:color w:val="232323"/>
        </w:rPr>
        <w:t xml:space="preserve">of Duke Energy Ohio, Inc. for </w:t>
      </w:r>
      <w:r w:rsidR="00E4424D" w:rsidRPr="00AF6762">
        <w:rPr>
          <w:i/>
          <w:color w:val="232323"/>
        </w:rPr>
        <w:t xml:space="preserve">Authority </w:t>
      </w:r>
      <w:r w:rsidR="00E4424D" w:rsidRPr="00AF6762">
        <w:rPr>
          <w:i/>
          <w:color w:val="232323"/>
        </w:rPr>
        <w:t xml:space="preserve">to </w:t>
      </w:r>
      <w:r w:rsidR="00E4424D" w:rsidRPr="00AF6762">
        <w:rPr>
          <w:i/>
          <w:color w:val="232323"/>
        </w:rPr>
        <w:t xml:space="preserve">Defer Environmental Investigation </w:t>
      </w:r>
      <w:r w:rsidR="00E4424D" w:rsidRPr="00AF6762">
        <w:rPr>
          <w:i/>
          <w:color w:val="232323"/>
        </w:rPr>
        <w:t xml:space="preserve">and </w:t>
      </w:r>
      <w:r w:rsidR="00E4424D" w:rsidRPr="00AF6762">
        <w:rPr>
          <w:i/>
          <w:color w:val="232323"/>
        </w:rPr>
        <w:t>Remediation Costs</w:t>
      </w:r>
      <w:r w:rsidR="00E4424D" w:rsidRPr="00AF6762">
        <w:rPr>
          <w:color w:val="232323"/>
        </w:rPr>
        <w:t xml:space="preserve">, Case No. </w:t>
      </w:r>
      <w:r w:rsidR="00CA7D5C" w:rsidRPr="00AF6762">
        <w:t>09-712</w:t>
      </w:r>
      <w:r w:rsidR="006B0BF7" w:rsidRPr="00AF6762">
        <w:t>-GA-AAM</w:t>
      </w:r>
      <w:r w:rsidR="00E4424D" w:rsidRPr="00AF6762">
        <w:t xml:space="preserve"> (</w:t>
      </w:r>
      <w:r w:rsidR="006B0BF7" w:rsidRPr="00AF6762">
        <w:t xml:space="preserve">Finding and Order at </w:t>
      </w:r>
      <w:r w:rsidR="00C778D5" w:rsidRPr="00AF6762">
        <w:t>3</w:t>
      </w:r>
      <w:r w:rsidR="00E4424D" w:rsidRPr="00AF6762">
        <w:t xml:space="preserve">) </w:t>
      </w:r>
      <w:r w:rsidR="006B0BF7" w:rsidRPr="00AF6762">
        <w:t>(Nov. 12, 2009) (</w:t>
      </w:r>
      <w:r w:rsidR="00C778D5" w:rsidRPr="00AF6762">
        <w:t>granting deferral because the costs were incurred “in compliance with Ohio regulations and federal statutes)</w:t>
      </w:r>
      <w:r w:rsidR="00CA7D5C" w:rsidRPr="00AF6762">
        <w:t xml:space="preserve">; </w:t>
      </w:r>
      <w:r w:rsidR="00E4424D" w:rsidRPr="00AF6762">
        <w:rPr>
          <w:i/>
          <w:color w:val="232323"/>
        </w:rPr>
        <w:t xml:space="preserve">In the </w:t>
      </w:r>
      <w:r w:rsidR="00E4424D" w:rsidRPr="00AF6762">
        <w:rPr>
          <w:i/>
          <w:color w:val="232323"/>
        </w:rPr>
        <w:t xml:space="preserve">Matter </w:t>
      </w:r>
      <w:r w:rsidR="00E4424D" w:rsidRPr="00AF6762">
        <w:rPr>
          <w:i/>
          <w:color w:val="232323"/>
        </w:rPr>
        <w:t>of the Application of The Dayton Power and Light Company for Authority to Mo</w:t>
      </w:r>
      <w:r w:rsidR="00E4424D" w:rsidRPr="00AF6762">
        <w:rPr>
          <w:i/>
          <w:color w:val="232323"/>
        </w:rPr>
        <w:t>dify its Accounting Procedures f</w:t>
      </w:r>
      <w:r w:rsidR="00E4424D" w:rsidRPr="00AF6762">
        <w:rPr>
          <w:i/>
          <w:color w:val="232323"/>
        </w:rPr>
        <w:t>or Certain Storm-Related Service Restoration Costs</w:t>
      </w:r>
      <w:r w:rsidR="00E4424D" w:rsidRPr="00AF6762">
        <w:rPr>
          <w:color w:val="232323"/>
        </w:rPr>
        <w:t xml:space="preserve">, Case No. </w:t>
      </w:r>
      <w:r w:rsidR="00CA7D5C" w:rsidRPr="00AF6762">
        <w:t>12-2281</w:t>
      </w:r>
      <w:r w:rsidR="00C778D5" w:rsidRPr="00AF6762">
        <w:t>-EL-AAM</w:t>
      </w:r>
      <w:r w:rsidR="00E4424D" w:rsidRPr="00AF6762">
        <w:t xml:space="preserve"> (</w:t>
      </w:r>
      <w:r w:rsidR="00C778D5" w:rsidRPr="00AF6762">
        <w:t>Finding and Order at 2</w:t>
      </w:r>
      <w:r w:rsidR="00E4424D" w:rsidRPr="00AF6762">
        <w:t>)</w:t>
      </w:r>
      <w:r w:rsidR="00C778D5" w:rsidRPr="00AF6762">
        <w:t xml:space="preserve"> (Dec. 19, 2012) (gra</w:t>
      </w:r>
      <w:r w:rsidR="00DF2CCD" w:rsidRPr="00AF6762">
        <w:t>nting deferral of expenses that are incremental to base rates)</w:t>
      </w:r>
      <w:r w:rsidR="00CA7D5C" w:rsidRPr="00AF6762">
        <w:t xml:space="preserve">; </w:t>
      </w:r>
      <w:r w:rsidR="00E4424D" w:rsidRPr="00AF6762">
        <w:rPr>
          <w:i/>
          <w:color w:val="232323"/>
        </w:rPr>
        <w:t xml:space="preserve">In the </w:t>
      </w:r>
      <w:r w:rsidR="00E4424D" w:rsidRPr="00AF6762">
        <w:rPr>
          <w:i/>
          <w:color w:val="232323"/>
        </w:rPr>
        <w:t xml:space="preserve">Matter </w:t>
      </w:r>
      <w:r w:rsidR="00E4424D" w:rsidRPr="00AF6762">
        <w:rPr>
          <w:i/>
          <w:color w:val="232323"/>
        </w:rPr>
        <w:t xml:space="preserve">of the </w:t>
      </w:r>
      <w:r w:rsidR="00E4424D" w:rsidRPr="00AF6762">
        <w:rPr>
          <w:i/>
          <w:color w:val="232323"/>
        </w:rPr>
        <w:t xml:space="preserve">Application </w:t>
      </w:r>
      <w:r w:rsidR="00E4424D" w:rsidRPr="00AF6762">
        <w:rPr>
          <w:i/>
          <w:color w:val="232323"/>
        </w:rPr>
        <w:t>for Approval to Establish a Regulatory Asset</w:t>
      </w:r>
      <w:r w:rsidR="00E4424D" w:rsidRPr="00AF6762">
        <w:rPr>
          <w:color w:val="232323"/>
        </w:rPr>
        <w:t xml:space="preserve">, Case No. </w:t>
      </w:r>
      <w:r w:rsidR="00CA7D5C" w:rsidRPr="00AF6762">
        <w:t>12-3224</w:t>
      </w:r>
      <w:r w:rsidR="00DF2CCD" w:rsidRPr="00AF6762">
        <w:t>-GA-AAM</w:t>
      </w:r>
      <w:r w:rsidR="00CA7D5C" w:rsidRPr="00AF6762">
        <w:t xml:space="preserve">; </w:t>
      </w:r>
      <w:r w:rsidR="00E4424D" w:rsidRPr="00AF6762">
        <w:rPr>
          <w:i/>
          <w:color w:val="232323"/>
        </w:rPr>
        <w:t xml:space="preserve">In the </w:t>
      </w:r>
      <w:r w:rsidR="00E4424D" w:rsidRPr="00AF6762">
        <w:rPr>
          <w:i/>
          <w:color w:val="232323"/>
        </w:rPr>
        <w:t xml:space="preserve">Matter </w:t>
      </w:r>
      <w:r w:rsidR="00E4424D" w:rsidRPr="00AF6762">
        <w:rPr>
          <w:i/>
          <w:color w:val="232323"/>
        </w:rPr>
        <w:t>of the Application for Authority to Establish a Regulatory Asset</w:t>
      </w:r>
      <w:r w:rsidR="00E4424D" w:rsidRPr="00AF6762">
        <w:rPr>
          <w:color w:val="232323"/>
        </w:rPr>
        <w:t xml:space="preserve">, Case No. </w:t>
      </w:r>
      <w:r w:rsidR="00CA7D5C" w:rsidRPr="00AF6762">
        <w:t>14-1615</w:t>
      </w:r>
      <w:r w:rsidR="00DF2CCD" w:rsidRPr="00AF6762">
        <w:t>-GA-AAM</w:t>
      </w:r>
      <w:r w:rsidR="00CA7D5C" w:rsidRPr="00AF6762">
        <w:t>.</w:t>
      </w:r>
      <w:r w:rsidRPr="00AF6762">
        <w:t xml:space="preserve"> </w:t>
      </w:r>
    </w:p>
  </w:footnote>
  <w:footnote w:id="12">
    <w:p w14:paraId="3A20988F" w14:textId="2779769B" w:rsidR="00C040F7" w:rsidRDefault="00C040F7" w:rsidP="00C040F7">
      <w:pPr>
        <w:pStyle w:val="FootnoteText"/>
      </w:pPr>
      <w:r>
        <w:rPr>
          <w:rStyle w:val="FootnoteReference"/>
        </w:rPr>
        <w:footnoteRef/>
      </w:r>
      <w:r>
        <w:t xml:space="preserve"> </w:t>
      </w:r>
      <w:r>
        <w:tab/>
      </w:r>
      <w:r>
        <w:tab/>
      </w:r>
      <w:r w:rsidR="00AF6762" w:rsidRPr="00121E31">
        <w:rPr>
          <w:i/>
          <w:color w:val="232323"/>
        </w:rPr>
        <w:t>In the Matter of the Application for Authority to Establish a Regulatory Asset</w:t>
      </w:r>
      <w:r w:rsidR="00AF6762" w:rsidRPr="00121E31">
        <w:rPr>
          <w:color w:val="232323"/>
        </w:rPr>
        <w:t xml:space="preserve">, Case No. </w:t>
      </w:r>
      <w:r w:rsidR="00BC247A">
        <w:t>12-3224-GA-AAM</w:t>
      </w:r>
      <w:r w:rsidR="00AF6762">
        <w:t xml:space="preserve"> (</w:t>
      </w:r>
      <w:r w:rsidR="00BC247A">
        <w:t>Finding and Order at 2-3</w:t>
      </w:r>
      <w:r w:rsidR="00AF6762">
        <w:t>)</w:t>
      </w:r>
      <w:r w:rsidR="00BC247A">
        <w:t xml:space="preserve"> (Oct. 30, 2013).</w:t>
      </w:r>
    </w:p>
  </w:footnote>
  <w:footnote w:id="13">
    <w:p w14:paraId="0F8973CE" w14:textId="020F821E" w:rsidR="00C040F7" w:rsidRDefault="00C040F7" w:rsidP="00C040F7">
      <w:pPr>
        <w:pStyle w:val="FootnoteText"/>
      </w:pPr>
      <w:r>
        <w:rPr>
          <w:rStyle w:val="FootnoteReference"/>
        </w:rPr>
        <w:footnoteRef/>
      </w:r>
      <w:r>
        <w:t xml:space="preserve"> </w:t>
      </w:r>
      <w:r>
        <w:tab/>
      </w:r>
      <w:r w:rsidRPr="00AF6762">
        <w:tab/>
      </w:r>
      <w:r w:rsidR="00AF6762" w:rsidRPr="00AF6762">
        <w:rPr>
          <w:i/>
          <w:color w:val="232323"/>
        </w:rPr>
        <w:t xml:space="preserve">In the </w:t>
      </w:r>
      <w:r w:rsidR="00AF6762" w:rsidRPr="00AF6762">
        <w:rPr>
          <w:i/>
          <w:color w:val="232323"/>
        </w:rPr>
        <w:t xml:space="preserve">Matter </w:t>
      </w:r>
      <w:r w:rsidR="00AF6762" w:rsidRPr="00AF6762">
        <w:rPr>
          <w:i/>
          <w:color w:val="232323"/>
        </w:rPr>
        <w:t>of the Application for Authority to Establish a Regulatory Asset</w:t>
      </w:r>
      <w:r w:rsidR="00AF6762" w:rsidRPr="00AF6762">
        <w:rPr>
          <w:color w:val="232323"/>
        </w:rPr>
        <w:t xml:space="preserve">, Case No. </w:t>
      </w:r>
      <w:r w:rsidR="00BC247A" w:rsidRPr="00AF6762">
        <w:t>14-1615-GA-AA</w:t>
      </w:r>
      <w:r w:rsidR="00AF6762" w:rsidRPr="00AF6762">
        <w:t>M</w:t>
      </w:r>
      <w:r w:rsidR="00AF6762">
        <w:t xml:space="preserve"> (</w:t>
      </w:r>
      <w:r w:rsidR="00BC247A" w:rsidRPr="00AF6762">
        <w:t>Finding and Ord</w:t>
      </w:r>
      <w:r w:rsidR="00BC247A">
        <w:t>er at 15-19</w:t>
      </w:r>
      <w:r w:rsidR="00AF6762">
        <w:t>)</w:t>
      </w:r>
      <w:r w:rsidR="00BC247A">
        <w:t xml:space="preserve"> (Dec. 17, 2014).</w:t>
      </w:r>
    </w:p>
  </w:footnote>
  <w:footnote w:id="14">
    <w:p w14:paraId="272C4EC0" w14:textId="3F53233C" w:rsidR="00C040F7" w:rsidRPr="00AF6762" w:rsidRDefault="00C040F7" w:rsidP="00C040F7">
      <w:pPr>
        <w:pStyle w:val="FootnoteText"/>
        <w:rPr>
          <w:i/>
        </w:rPr>
      </w:pPr>
      <w:r>
        <w:rPr>
          <w:rStyle w:val="FootnoteReference"/>
        </w:rPr>
        <w:footnoteRef/>
      </w:r>
      <w:r>
        <w:t xml:space="preserve"> </w:t>
      </w:r>
      <w:r w:rsidR="006B513F">
        <w:tab/>
      </w:r>
      <w:r w:rsidR="006B513F">
        <w:tab/>
      </w:r>
      <w:r w:rsidR="002C5AD1">
        <w:rPr>
          <w:i/>
        </w:rPr>
        <w:t>Id.</w:t>
      </w:r>
    </w:p>
  </w:footnote>
  <w:footnote w:id="15">
    <w:p w14:paraId="69D5D5F8" w14:textId="77777777" w:rsidR="00C040F7" w:rsidRDefault="00C040F7" w:rsidP="00C040F7">
      <w:pPr>
        <w:pStyle w:val="FootnoteText"/>
      </w:pPr>
      <w:r>
        <w:rPr>
          <w:rStyle w:val="FootnoteReference"/>
        </w:rPr>
        <w:footnoteRef/>
      </w:r>
      <w:r>
        <w:t xml:space="preserve"> </w:t>
      </w:r>
      <w:r w:rsidR="006B513F">
        <w:tab/>
      </w:r>
      <w:r w:rsidR="006B513F">
        <w:tab/>
      </w:r>
      <w:r>
        <w:t>Tr. at 166.</w:t>
      </w:r>
    </w:p>
  </w:footnote>
  <w:footnote w:id="16">
    <w:p w14:paraId="60CA258A" w14:textId="4B761126" w:rsidR="00772894" w:rsidRDefault="00772894">
      <w:pPr>
        <w:pStyle w:val="FootnoteText"/>
      </w:pPr>
      <w:r>
        <w:rPr>
          <w:rStyle w:val="FootnoteReference"/>
        </w:rPr>
        <w:footnoteRef/>
      </w:r>
      <w:r>
        <w:t xml:space="preserve"> </w:t>
      </w:r>
      <w:r w:rsidR="00AF6762">
        <w:tab/>
      </w:r>
      <w:r w:rsidR="00AF6762">
        <w:tab/>
      </w:r>
      <w:r>
        <w:t xml:space="preserve">On December 9, 2015, Staff filed a letter recommending deferral in Case No. 15-855-GA-AAM. </w:t>
      </w:r>
      <w:r w:rsidR="00AF6762">
        <w:t xml:space="preserve"> </w:t>
      </w:r>
      <w:r>
        <w:t>Staff listed the criteria in that letter.</w:t>
      </w:r>
    </w:p>
  </w:footnote>
  <w:footnote w:id="17">
    <w:p w14:paraId="4B7E6A1A" w14:textId="0B4403B1" w:rsidR="00C040F7" w:rsidRDefault="00C040F7" w:rsidP="00C040F7">
      <w:pPr>
        <w:pStyle w:val="FootnoteText"/>
      </w:pPr>
      <w:r>
        <w:rPr>
          <w:rStyle w:val="FootnoteReference"/>
        </w:rPr>
        <w:footnoteRef/>
      </w:r>
      <w:r>
        <w:t xml:space="preserve"> </w:t>
      </w:r>
      <w:r w:rsidR="006B513F">
        <w:tab/>
      </w:r>
      <w:r w:rsidR="006B513F">
        <w:tab/>
      </w:r>
      <w:r>
        <w:t>See OCC Ex. 3, Testimony of James D. Williams</w:t>
      </w:r>
      <w:r w:rsidR="006B513F">
        <w:t xml:space="preserve"> at 11-12 (Sep</w:t>
      </w:r>
      <w:r>
        <w:t>.</w:t>
      </w:r>
      <w:r w:rsidR="006B513F">
        <w:t> </w:t>
      </w:r>
      <w:r>
        <w:t xml:space="preserve">18, 2015) (Duke claims information requested by OCC was not available to confirm its total annual costs for billing system changes incurred during the test year for its last electric distribution rate case and what it has incurred each year since its last distribution rate case.). </w:t>
      </w:r>
    </w:p>
  </w:footnote>
  <w:footnote w:id="18">
    <w:p w14:paraId="617A7F39" w14:textId="0EA2B43B" w:rsidR="009E33F0" w:rsidRDefault="009E33F0">
      <w:pPr>
        <w:pStyle w:val="FootnoteText"/>
      </w:pPr>
      <w:r>
        <w:rPr>
          <w:rStyle w:val="FootnoteReference"/>
        </w:rPr>
        <w:footnoteRef/>
      </w:r>
      <w:r>
        <w:t xml:space="preserve"> </w:t>
      </w:r>
      <w:r w:rsidR="00AF6762">
        <w:tab/>
      </w:r>
      <w:r w:rsidR="00AF6762">
        <w:tab/>
      </w:r>
      <w:r>
        <w:t xml:space="preserve">Duke Brief at </w:t>
      </w:r>
      <w:r w:rsidR="00AF6762">
        <w:t>5.</w:t>
      </w:r>
    </w:p>
  </w:footnote>
  <w:footnote w:id="19">
    <w:p w14:paraId="0669DC84" w14:textId="3E0BE0D5" w:rsidR="00B40E5F" w:rsidRDefault="00B40E5F">
      <w:pPr>
        <w:pStyle w:val="FootnoteText"/>
      </w:pPr>
      <w:r>
        <w:rPr>
          <w:rStyle w:val="FootnoteReference"/>
        </w:rPr>
        <w:footnoteRef/>
      </w:r>
      <w:r>
        <w:t xml:space="preserve"> </w:t>
      </w:r>
      <w:r w:rsidR="00AF6762">
        <w:tab/>
      </w:r>
      <w:r w:rsidR="00AF6762">
        <w:tab/>
      </w:r>
      <w:r>
        <w:t>Lipthratt Test. 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67EE" w14:textId="5B8C7044" w:rsidR="00FB4C8A" w:rsidRDefault="00FB4C8A" w:rsidP="003B12DD">
    <w:pPr>
      <w:pStyle w:val="Header"/>
      <w:jc w:val="center"/>
      <w:rPr>
        <w:b/>
        <w:color w:val="FF0000"/>
      </w:rPr>
    </w:pPr>
    <w:r>
      <w:rPr>
        <w:b/>
        <w:color w:val="FF0000"/>
      </w:rPr>
      <w:t xml:space="preserve">DRAFT - </w:t>
    </w:r>
    <w:r w:rsidR="00BF0931">
      <w:rPr>
        <w:b/>
        <w:color w:val="FF0000"/>
      </w:rPr>
      <w:fldChar w:fldCharType="begin"/>
    </w:r>
    <w:r>
      <w:rPr>
        <w:b/>
        <w:color w:val="FF0000"/>
      </w:rPr>
      <w:instrText xml:space="preserve"> DATE \@ "M/d/yyyy" </w:instrText>
    </w:r>
    <w:r w:rsidR="00BF0931">
      <w:rPr>
        <w:b/>
        <w:color w:val="FF0000"/>
      </w:rPr>
      <w:fldChar w:fldCharType="separate"/>
    </w:r>
    <w:r w:rsidR="003C0964">
      <w:rPr>
        <w:b/>
        <w:noProof/>
        <w:color w:val="FF0000"/>
      </w:rPr>
      <w:t>12/15/2015</w:t>
    </w:r>
    <w:r w:rsidR="00BF0931">
      <w:rPr>
        <w:b/>
        <w:color w:val="FF0000"/>
      </w:rPr>
      <w:fldChar w:fldCharType="end"/>
    </w:r>
    <w:r>
      <w:rPr>
        <w:b/>
        <w:color w:val="FF0000"/>
      </w:rPr>
      <w:t xml:space="preserve"> - </w:t>
    </w:r>
    <w:r w:rsidR="00BF0931">
      <w:rPr>
        <w:b/>
        <w:color w:val="FF0000"/>
      </w:rPr>
      <w:fldChar w:fldCharType="begin"/>
    </w:r>
    <w:r>
      <w:rPr>
        <w:b/>
        <w:color w:val="FF0000"/>
      </w:rPr>
      <w:instrText xml:space="preserve"> TIME \@ "h:mm:ss am/pm" </w:instrText>
    </w:r>
    <w:r w:rsidR="00BF0931">
      <w:rPr>
        <w:b/>
        <w:color w:val="FF0000"/>
      </w:rPr>
      <w:fldChar w:fldCharType="separate"/>
    </w:r>
    <w:r w:rsidR="003C0964">
      <w:rPr>
        <w:b/>
        <w:noProof/>
        <w:color w:val="FF0000"/>
      </w:rPr>
      <w:t>1:33:29 PM</w:t>
    </w:r>
    <w:r w:rsidR="00BF0931">
      <w:rPr>
        <w:b/>
        <w:color w:val="FF0000"/>
      </w:rPr>
      <w:fldChar w:fldCharType="end"/>
    </w:r>
  </w:p>
  <w:p w14:paraId="629BD1B4" w14:textId="77777777" w:rsidR="00FB4C8A" w:rsidRPr="003B12DD" w:rsidRDefault="00BF0931" w:rsidP="003B12DD">
    <w:pPr>
      <w:pStyle w:val="Header"/>
      <w:jc w:val="center"/>
      <w:rPr>
        <w:b/>
        <w:color w:val="FF0000"/>
      </w:rPr>
    </w:pPr>
    <w:r w:rsidRPr="003B12DD">
      <w:rPr>
        <w:b/>
        <w:color w:val="FF0000"/>
      </w:rPr>
      <w:fldChar w:fldCharType="begin"/>
    </w:r>
    <w:r w:rsidR="00FB4C8A" w:rsidRPr="003B12DD">
      <w:rPr>
        <w:b/>
        <w:color w:val="FF0000"/>
      </w:rPr>
      <w:instrText xml:space="preserve"> FILENAME \p </w:instrText>
    </w:r>
    <w:r w:rsidRPr="003B12DD">
      <w:rPr>
        <w:b/>
        <w:color w:val="FF0000"/>
      </w:rPr>
      <w:fldChar w:fldCharType="separate"/>
    </w:r>
    <w:r w:rsidR="003C0964">
      <w:rPr>
        <w:b/>
        <w:noProof/>
        <w:color w:val="FF0000"/>
      </w:rPr>
      <w:t>\\puc\shares\Departments\Attorney General\Attorneys\Messenger\Commission Cases\Electric\14-1160-EL-UNC (Duke Opt-Out)\Reply Brief 121515.docx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58CE" w14:textId="2E937526" w:rsidR="00FB4C8A" w:rsidRPr="000D039F" w:rsidRDefault="00FB4C8A" w:rsidP="000D039F">
    <w:pPr>
      <w:pStyle w:val="Header"/>
      <w:jc w:val="center"/>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879D4" w14:textId="3D770EDB" w:rsidR="00FB4C8A" w:rsidRDefault="00FB4C8A" w:rsidP="003B12DD">
    <w:pPr>
      <w:pStyle w:val="Header"/>
      <w:jc w:val="center"/>
      <w:rPr>
        <w:b/>
        <w:color w:val="FF0000"/>
      </w:rPr>
    </w:pPr>
    <w:r>
      <w:rPr>
        <w:b/>
        <w:color w:val="FF0000"/>
      </w:rPr>
      <w:t xml:space="preserve">DRAFT - </w:t>
    </w:r>
    <w:r w:rsidR="00BF0931">
      <w:rPr>
        <w:b/>
        <w:color w:val="FF0000"/>
      </w:rPr>
      <w:fldChar w:fldCharType="begin"/>
    </w:r>
    <w:r>
      <w:rPr>
        <w:b/>
        <w:color w:val="FF0000"/>
      </w:rPr>
      <w:instrText xml:space="preserve"> DATE \@ "M/d/yyyy" </w:instrText>
    </w:r>
    <w:r w:rsidR="00BF0931">
      <w:rPr>
        <w:b/>
        <w:color w:val="FF0000"/>
      </w:rPr>
      <w:fldChar w:fldCharType="separate"/>
    </w:r>
    <w:r w:rsidR="003C0964">
      <w:rPr>
        <w:b/>
        <w:noProof/>
        <w:color w:val="FF0000"/>
      </w:rPr>
      <w:t>12/15/2015</w:t>
    </w:r>
    <w:r w:rsidR="00BF0931">
      <w:rPr>
        <w:b/>
        <w:color w:val="FF0000"/>
      </w:rPr>
      <w:fldChar w:fldCharType="end"/>
    </w:r>
    <w:r>
      <w:rPr>
        <w:b/>
        <w:color w:val="FF0000"/>
      </w:rPr>
      <w:t xml:space="preserve"> - </w:t>
    </w:r>
    <w:r w:rsidR="00BF0931">
      <w:rPr>
        <w:b/>
        <w:color w:val="FF0000"/>
      </w:rPr>
      <w:fldChar w:fldCharType="begin"/>
    </w:r>
    <w:r>
      <w:rPr>
        <w:b/>
        <w:color w:val="FF0000"/>
      </w:rPr>
      <w:instrText xml:space="preserve"> TIME \@ "h:mm:ss am/pm" </w:instrText>
    </w:r>
    <w:r w:rsidR="00BF0931">
      <w:rPr>
        <w:b/>
        <w:color w:val="FF0000"/>
      </w:rPr>
      <w:fldChar w:fldCharType="separate"/>
    </w:r>
    <w:r w:rsidR="003C0964">
      <w:rPr>
        <w:b/>
        <w:noProof/>
        <w:color w:val="FF0000"/>
      </w:rPr>
      <w:t>1:33:29 PM</w:t>
    </w:r>
    <w:r w:rsidR="00BF0931">
      <w:rPr>
        <w:b/>
        <w:color w:val="FF0000"/>
      </w:rPr>
      <w:fldChar w:fldCharType="end"/>
    </w:r>
  </w:p>
  <w:p w14:paraId="39E6A0F8" w14:textId="77777777" w:rsidR="00FB4C8A" w:rsidRPr="003B12DD" w:rsidRDefault="00BF0931" w:rsidP="003B12DD">
    <w:pPr>
      <w:pStyle w:val="Header"/>
      <w:jc w:val="center"/>
      <w:rPr>
        <w:b/>
        <w:color w:val="FF0000"/>
      </w:rPr>
    </w:pPr>
    <w:r w:rsidRPr="003B12DD">
      <w:rPr>
        <w:b/>
        <w:color w:val="FF0000"/>
      </w:rPr>
      <w:fldChar w:fldCharType="begin"/>
    </w:r>
    <w:r w:rsidR="00FB4C8A" w:rsidRPr="003B12DD">
      <w:rPr>
        <w:b/>
        <w:color w:val="FF0000"/>
      </w:rPr>
      <w:instrText xml:space="preserve"> FILENAME \p </w:instrText>
    </w:r>
    <w:r w:rsidRPr="003B12DD">
      <w:rPr>
        <w:b/>
        <w:color w:val="FF0000"/>
      </w:rPr>
      <w:fldChar w:fldCharType="separate"/>
    </w:r>
    <w:r w:rsidR="003C0964">
      <w:rPr>
        <w:b/>
        <w:noProof/>
        <w:color w:val="FF0000"/>
      </w:rPr>
      <w:t>\\puc\shares\Departments\Attorney General\Attorneys\Messenger\Commission Cases\Electric\14-1160-EL-UNC (Duke Opt-Out)\Reply Brief 121515.docx</w:t>
    </w:r>
    <w:r w:rsidRPr="003B12DD">
      <w:rPr>
        <w:b/>
        <w:color w:val="FF000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72EA" w14:textId="77777777" w:rsidR="00FB4C8A" w:rsidRDefault="00FB4C8A" w:rsidP="003B12DD">
    <w:pPr>
      <w:pStyle w:val="Header"/>
      <w:jc w:val="center"/>
      <w:rPr>
        <w:b/>
        <w:sz w:val="28"/>
        <w:szCs w:val="28"/>
      </w:rPr>
    </w:pPr>
    <w:r>
      <w:rPr>
        <w:b/>
        <w:sz w:val="28"/>
        <w:szCs w:val="28"/>
      </w:rPr>
      <w:t>TABLE OF CONTENTS</w:t>
    </w:r>
  </w:p>
  <w:p w14:paraId="252A6FC0" w14:textId="77777777" w:rsidR="00FB4C8A" w:rsidRDefault="00FB4C8A" w:rsidP="00C95499">
    <w:pPr>
      <w:pStyle w:val="Header"/>
      <w:jc w:val="right"/>
      <w:rPr>
        <w:b/>
        <w:sz w:val="28"/>
        <w:szCs w:val="28"/>
      </w:rPr>
    </w:pPr>
    <w:r>
      <w:rPr>
        <w:b/>
        <w:sz w:val="28"/>
        <w:szCs w:val="28"/>
      </w:rPr>
      <w:t>Page</w:t>
    </w:r>
  </w:p>
  <w:p w14:paraId="680DCC13" w14:textId="77777777" w:rsidR="00FB4C8A" w:rsidRPr="00C95499" w:rsidRDefault="00FB4C8A" w:rsidP="00C95499">
    <w:pPr>
      <w:pStyle w:val="Header"/>
      <w:jc w:val="right"/>
      <w:rPr>
        <w:b/>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912F" w14:textId="0D467DE1" w:rsidR="00FB4C8A" w:rsidRPr="000D039F" w:rsidRDefault="00FB4C8A" w:rsidP="000D039F">
    <w:pPr>
      <w:pStyle w:val="Header"/>
      <w:jc w:val="center"/>
      <w:rPr>
        <w:b/>
        <w:color w:val="FF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F9C37" w14:textId="2A3B0C8C" w:rsidR="00FB4C8A" w:rsidRPr="000D039F" w:rsidRDefault="00FB4C8A" w:rsidP="000D039F">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63377D"/>
    <w:multiLevelType w:val="hybridMultilevel"/>
    <w:tmpl w:val="FCB43442"/>
    <w:lvl w:ilvl="0" w:tplc="4EE657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F437D1"/>
    <w:multiLevelType w:val="hybridMultilevel"/>
    <w:tmpl w:val="C00C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EA75B81"/>
    <w:multiLevelType w:val="hybridMultilevel"/>
    <w:tmpl w:val="F34A2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F7"/>
    <w:rsid w:val="0000004B"/>
    <w:rsid w:val="0000052E"/>
    <w:rsid w:val="000007BF"/>
    <w:rsid w:val="00000CB1"/>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B91"/>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6E5"/>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25B"/>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9C4"/>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162"/>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B6B"/>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5A2"/>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5AD1"/>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64"/>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40C"/>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034"/>
    <w:rsid w:val="003F220B"/>
    <w:rsid w:val="003F23D6"/>
    <w:rsid w:val="003F2814"/>
    <w:rsid w:val="003F28FD"/>
    <w:rsid w:val="003F2D8C"/>
    <w:rsid w:val="003F2FB1"/>
    <w:rsid w:val="003F403E"/>
    <w:rsid w:val="003F4FBA"/>
    <w:rsid w:val="003F5487"/>
    <w:rsid w:val="003F56A3"/>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4EFB"/>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C8A"/>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BF7"/>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3F"/>
    <w:rsid w:val="006B51DB"/>
    <w:rsid w:val="006B578B"/>
    <w:rsid w:val="006B5BF8"/>
    <w:rsid w:val="006B658D"/>
    <w:rsid w:val="006B665E"/>
    <w:rsid w:val="006B6954"/>
    <w:rsid w:val="006B6E41"/>
    <w:rsid w:val="006B6F42"/>
    <w:rsid w:val="006B758F"/>
    <w:rsid w:val="006B7F54"/>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894"/>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9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3DA9"/>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C7E"/>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3F0"/>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0AF5"/>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762"/>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0E5F"/>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47A"/>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3652"/>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0F7"/>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2E3"/>
    <w:rsid w:val="00C7532A"/>
    <w:rsid w:val="00C75C75"/>
    <w:rsid w:val="00C75D56"/>
    <w:rsid w:val="00C7613C"/>
    <w:rsid w:val="00C761BE"/>
    <w:rsid w:val="00C764B1"/>
    <w:rsid w:val="00C76584"/>
    <w:rsid w:val="00C765D8"/>
    <w:rsid w:val="00C76F91"/>
    <w:rsid w:val="00C77693"/>
    <w:rsid w:val="00C778AA"/>
    <w:rsid w:val="00C778D5"/>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A7D5C"/>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2CCD"/>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4D"/>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213"/>
    <w:rsid w:val="00E64500"/>
    <w:rsid w:val="00E64CF1"/>
    <w:rsid w:val="00E64CF5"/>
    <w:rsid w:val="00E65595"/>
    <w:rsid w:val="00E65B82"/>
    <w:rsid w:val="00E6630B"/>
    <w:rsid w:val="00E6630C"/>
    <w:rsid w:val="00E66417"/>
    <w:rsid w:val="00E664D9"/>
    <w:rsid w:val="00E66C24"/>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AEC"/>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592E7E5"/>
  <w15:docId w15:val="{3C30B6A2-DE55-4B4C-8DC5-3DF8D63A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C040F7"/>
    <w:pPr>
      <w:keepNext/>
      <w:spacing w:before="360" w:after="240"/>
      <w:ind w:left="1440" w:right="720" w:hanging="720"/>
      <w:outlineLvl w:val="1"/>
    </w:pPr>
    <w:rPr>
      <w:b/>
      <w:bCs/>
      <w:iCs/>
      <w:sz w:val="28"/>
      <w:szCs w:val="24"/>
    </w:rPr>
  </w:style>
  <w:style w:type="paragraph" w:styleId="Heading3">
    <w:name w:val="heading 3"/>
    <w:basedOn w:val="Normal"/>
    <w:next w:val="Normal"/>
    <w:link w:val="Heading3Char"/>
    <w:autoRedefine/>
    <w:unhideWhenUsed/>
    <w:qFormat/>
    <w:rsid w:val="001319C4"/>
    <w:pPr>
      <w:keepNext/>
      <w:spacing w:before="360" w:after="240"/>
      <w:ind w:left="1440" w:right="720" w:hanging="720"/>
      <w:outlineLvl w:val="2"/>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153B6B"/>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C040F7"/>
    <w:rPr>
      <w:b/>
      <w:bCs/>
      <w:iCs/>
      <w:sz w:val="28"/>
      <w:szCs w:val="24"/>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6B7F54"/>
    <w:pPr>
      <w:tabs>
        <w:tab w:val="left" w:pos="660"/>
        <w:tab w:val="left" w:pos="1440"/>
        <w:tab w:val="right" w:leader="dot" w:pos="9350"/>
      </w:tabs>
      <w:spacing w:before="240" w:after="240"/>
      <w:ind w:left="1440" w:right="1440" w:hanging="720"/>
    </w:pPr>
    <w:rPr>
      <w:sz w:val="26"/>
    </w:rPr>
  </w:style>
  <w:style w:type="character" w:customStyle="1" w:styleId="Heading3Char">
    <w:name w:val="Heading 3 Char"/>
    <w:basedOn w:val="DefaultParagraphFont"/>
    <w:link w:val="Heading3"/>
    <w:rsid w:val="001319C4"/>
    <w:rPr>
      <w:rFonts w:eastAsiaTheme="majorEastAsia" w:cstheme="majorBidi"/>
      <w:b/>
      <w:bCs/>
      <w:sz w:val="28"/>
      <w:szCs w:val="26"/>
    </w:rPr>
  </w:style>
  <w:style w:type="paragraph" w:styleId="ListParagraph">
    <w:name w:val="List Paragraph"/>
    <w:basedOn w:val="Normal"/>
    <w:uiPriority w:val="34"/>
    <w:qFormat/>
    <w:rsid w:val="00C040F7"/>
    <w:pPr>
      <w:spacing w:after="160" w:line="259"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C040F7"/>
    <w:rPr>
      <w:sz w:val="16"/>
      <w:szCs w:val="16"/>
    </w:rPr>
  </w:style>
  <w:style w:type="paragraph" w:styleId="CommentText">
    <w:name w:val="annotation text"/>
    <w:basedOn w:val="Normal"/>
    <w:link w:val="CommentTextChar"/>
    <w:uiPriority w:val="99"/>
    <w:semiHidden/>
    <w:unhideWhenUsed/>
    <w:rsid w:val="00C040F7"/>
    <w:pPr>
      <w:spacing w:after="160"/>
    </w:pPr>
    <w:rPr>
      <w:rFonts w:ascii="Calibri" w:eastAsia="Calibri" w:hAnsi="Calibri"/>
    </w:rPr>
  </w:style>
  <w:style w:type="character" w:customStyle="1" w:styleId="CommentTextChar">
    <w:name w:val="Comment Text Char"/>
    <w:basedOn w:val="DefaultParagraphFont"/>
    <w:link w:val="CommentText"/>
    <w:uiPriority w:val="99"/>
    <w:semiHidden/>
    <w:rsid w:val="00C040F7"/>
    <w:rPr>
      <w:rFonts w:ascii="Calibri" w:eastAsia="Calibri" w:hAnsi="Calibri"/>
    </w:rPr>
  </w:style>
  <w:style w:type="paragraph" w:styleId="Revision">
    <w:name w:val="Revision"/>
    <w:hidden/>
    <w:uiPriority w:val="99"/>
    <w:semiHidden/>
    <w:rsid w:val="009D4C7E"/>
  </w:style>
  <w:style w:type="paragraph" w:styleId="TOC3">
    <w:name w:val="toc 3"/>
    <w:basedOn w:val="Normal"/>
    <w:next w:val="Normal"/>
    <w:autoRedefine/>
    <w:uiPriority w:val="39"/>
    <w:unhideWhenUsed/>
    <w:rsid w:val="00153B6B"/>
    <w:pPr>
      <w:tabs>
        <w:tab w:val="left" w:pos="1440"/>
        <w:tab w:val="right" w:leader="dot" w:pos="9350"/>
      </w:tabs>
      <w:spacing w:before="240" w:after="240"/>
      <w:ind w:left="2160" w:right="1440" w:hanging="720"/>
    </w:pPr>
    <w:rPr>
      <w:sz w:val="26"/>
    </w:rPr>
  </w:style>
  <w:style w:type="paragraph" w:styleId="CommentSubject">
    <w:name w:val="annotation subject"/>
    <w:basedOn w:val="CommentText"/>
    <w:next w:val="CommentText"/>
    <w:link w:val="CommentSubjectChar"/>
    <w:semiHidden/>
    <w:unhideWhenUsed/>
    <w:rsid w:val="004D4EF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4D4EFB"/>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jones@puc.state.oh.us" TargetMode="External"/><Relationship Id="rId13" Type="http://schemas.openxmlformats.org/officeDocument/2006/relationships/header" Target="header3.xml"/><Relationship Id="rId18" Type="http://schemas.openxmlformats.org/officeDocument/2006/relationships/hyperlink" Target="mailto:john.jones@puc.state.oh.u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etter@occ.state.oh.u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natalia.messenger@puc.state.oh.u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lizabeth.watts@duke-energy.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dstinson@bricker.co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my.spiller@duke-energy.com" TargetMode="External"/><Relationship Id="rId4" Type="http://schemas.openxmlformats.org/officeDocument/2006/relationships/settings" Target="settings.xml"/><Relationship Id="rId9" Type="http://schemas.openxmlformats.org/officeDocument/2006/relationships/hyperlink" Target="mailto:natalia.messenger@puc.state.oh.us" TargetMode="External"/><Relationship Id="rId14" Type="http://schemas.openxmlformats.org/officeDocument/2006/relationships/footer" Target="footer2.xml"/><Relationship Id="rId22" Type="http://schemas.openxmlformats.org/officeDocument/2006/relationships/hyperlink" Target="mailto:cmooney@ohiopartners.org" TargetMode="Externa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5A22-7544-46B7-975B-736B28E8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Pleading.dotx</Template>
  <TotalTime>148</TotalTime>
  <Pages>10</Pages>
  <Words>1351</Words>
  <Characters>8134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9467</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8</cp:revision>
  <cp:lastPrinted>2015-12-15T18:33:00Z</cp:lastPrinted>
  <dcterms:created xsi:type="dcterms:W3CDTF">2015-12-14T21:07:00Z</dcterms:created>
  <dcterms:modified xsi:type="dcterms:W3CDTF">2015-12-15T18:33:00Z</dcterms:modified>
</cp:coreProperties>
</file>