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41E61" w:rsidRPr="00B54B36" w:rsidP="00941E61">
      <w:pPr>
        <w:pStyle w:val="Footer"/>
        <w:tabs>
          <w:tab w:val="left" w:pos="3960"/>
          <w:tab w:val="clear" w:pos="4320"/>
          <w:tab w:val="clear" w:pos="8640"/>
        </w:tabs>
        <w:spacing w:before="240"/>
        <w:jc w:val="center"/>
        <w:rPr>
          <w:b/>
          <w:bCs/>
          <w:sz w:val="24"/>
          <w:szCs w:val="24"/>
        </w:rPr>
      </w:pPr>
      <w:bookmarkStart w:id="0" w:name="_GoBack"/>
      <w:bookmarkEnd w:id="0"/>
      <w:r w:rsidRPr="00B54B36">
        <w:rPr>
          <w:b/>
          <w:bCs/>
          <w:sz w:val="24"/>
          <w:szCs w:val="24"/>
        </w:rPr>
        <w:t>BEFORE</w:t>
      </w:r>
    </w:p>
    <w:p w:rsidR="00941E61" w:rsidRPr="00B54B36" w:rsidP="00941E61">
      <w:pPr>
        <w:pStyle w:val="HTMLPreformatted"/>
        <w:jc w:val="center"/>
        <w:rPr>
          <w:rFonts w:ascii="Times New Roman" w:hAnsi="Times New Roman" w:cs="Times New Roman"/>
          <w:sz w:val="24"/>
          <w:szCs w:val="24"/>
        </w:rPr>
      </w:pPr>
      <w:r w:rsidRPr="00B54B36">
        <w:rPr>
          <w:rFonts w:ascii="Times New Roman" w:hAnsi="Times New Roman" w:cs="Times New Roman"/>
          <w:b/>
          <w:bCs/>
          <w:sz w:val="24"/>
          <w:szCs w:val="24"/>
        </w:rPr>
        <w:t>THE PUBLIC UTILITIES COMMISSION OF OHIO</w:t>
      </w:r>
    </w:p>
    <w:p w:rsidR="00941E61" w:rsidRPr="00B54B36" w:rsidP="00941E61">
      <w:pPr>
        <w:pStyle w:val="HTMLPreformatted"/>
        <w:rPr>
          <w:rFonts w:ascii="Times New Roman" w:hAnsi="Times New Roman" w:cs="Times New Roman"/>
          <w:sz w:val="24"/>
          <w:szCs w:val="24"/>
        </w:rPr>
      </w:pPr>
    </w:p>
    <w:tbl>
      <w:tblPr>
        <w:tblW w:w="9468" w:type="dxa"/>
        <w:tblLook w:val="01E0"/>
      </w:tblPr>
      <w:tblGrid>
        <w:gridCol w:w="4698"/>
        <w:gridCol w:w="360"/>
        <w:gridCol w:w="4410"/>
      </w:tblGrid>
      <w:tr w:rsidTr="001F243B">
        <w:tblPrEx>
          <w:tblW w:w="9468" w:type="dxa"/>
          <w:tblLook w:val="01E0"/>
        </w:tblPrEx>
        <w:trPr>
          <w:trHeight w:val="807"/>
        </w:trPr>
        <w:tc>
          <w:tcPr>
            <w:tcW w:w="4698" w:type="dxa"/>
            <w:shd w:val="clear" w:color="auto" w:fill="auto"/>
          </w:tcPr>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In the Matter of the Application of Vectren Energy Delivery of Ohio, Inc. for Approval to Continue Demand Side Management Program for its Residential, Commercial, and Industrial Customers.</w:t>
            </w:r>
          </w:p>
        </w:tc>
        <w:tc>
          <w:tcPr>
            <w:tcW w:w="360" w:type="dxa"/>
            <w:shd w:val="clear" w:color="auto" w:fill="auto"/>
          </w:tcPr>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tc>
        <w:tc>
          <w:tcPr>
            <w:tcW w:w="4410" w:type="dxa"/>
            <w:shd w:val="clear" w:color="auto" w:fill="auto"/>
          </w:tcPr>
          <w:p w:rsidR="00941E61" w:rsidRPr="00B54B36" w:rsidP="001F243B">
            <w:pPr>
              <w:pStyle w:val="HTMLPreformatted"/>
              <w:rPr>
                <w:rFonts w:ascii="Times New Roman" w:hAnsi="Times New Roman" w:cs="Times New Roman"/>
                <w:sz w:val="24"/>
                <w:szCs w:val="24"/>
              </w:rPr>
            </w:pPr>
          </w:p>
          <w:p w:rsidR="00941E61" w:rsidRPr="00B54B36" w:rsidP="001F243B">
            <w:pPr>
              <w:pStyle w:val="HTMLPreformatted"/>
              <w:rPr>
                <w:rFonts w:ascii="Times New Roman" w:hAnsi="Times New Roman" w:cs="Times New Roman"/>
                <w:sz w:val="24"/>
                <w:szCs w:val="24"/>
              </w:rPr>
            </w:pPr>
          </w:p>
          <w:p w:rsidR="00941E61" w:rsidRPr="00B54B36" w:rsidP="001F243B">
            <w:pPr>
              <w:pStyle w:val="HTMLPreformatted"/>
              <w:rPr>
                <w:rFonts w:ascii="Times New Roman" w:hAnsi="Times New Roman" w:cs="Times New Roman"/>
                <w:sz w:val="24"/>
                <w:szCs w:val="24"/>
              </w:rPr>
            </w:pPr>
            <w:r w:rsidRPr="00B54B36">
              <w:rPr>
                <w:rFonts w:ascii="Times New Roman" w:hAnsi="Times New Roman" w:cs="Times New Roman"/>
                <w:sz w:val="24"/>
                <w:szCs w:val="24"/>
              </w:rPr>
              <w:t>Case No. 19-2084-GA-UNC</w:t>
            </w:r>
          </w:p>
          <w:p w:rsidR="00941E61" w:rsidRPr="00B54B36" w:rsidP="001F243B">
            <w:pPr>
              <w:pStyle w:val="HTMLPreformatted"/>
              <w:rPr>
                <w:rFonts w:ascii="Times New Roman" w:hAnsi="Times New Roman" w:cs="Times New Roman"/>
                <w:sz w:val="24"/>
                <w:szCs w:val="24"/>
              </w:rPr>
            </w:pPr>
          </w:p>
        </w:tc>
      </w:tr>
    </w:tbl>
    <w:p w:rsidR="00941E61" w:rsidRPr="00D46F5E" w:rsidP="00941E61">
      <w:pPr>
        <w:pStyle w:val="HTMLPreformatted"/>
        <w:rPr>
          <w:rFonts w:ascii="Times New Roman" w:hAnsi="Times New Roman" w:cs="Times New Roman"/>
          <w:sz w:val="24"/>
          <w:szCs w:val="24"/>
        </w:rPr>
      </w:pPr>
    </w:p>
    <w:p w:rsidR="00941E61" w:rsidRPr="00D46F5E" w:rsidP="00941E61">
      <w:pPr>
        <w:pStyle w:val="HTMLPreformatted"/>
        <w:pBdr>
          <w:top w:val="single" w:sz="12" w:space="1" w:color="auto"/>
        </w:pBdr>
        <w:rPr>
          <w:rFonts w:ascii="Times New Roman" w:hAnsi="Times New Roman" w:cs="Times New Roman"/>
          <w:sz w:val="24"/>
          <w:szCs w:val="24"/>
        </w:rPr>
      </w:pPr>
    </w:p>
    <w:p w:rsidR="00941E61" w:rsidRPr="00D46F5E" w:rsidP="00941E61">
      <w:pPr>
        <w:jc w:val="center"/>
        <w:rPr>
          <w:b/>
          <w:bCs/>
          <w:szCs w:val="24"/>
        </w:rPr>
      </w:pPr>
      <w:r>
        <w:rPr>
          <w:b/>
          <w:bCs/>
          <w:szCs w:val="24"/>
        </w:rPr>
        <w:t>REPLY</w:t>
      </w:r>
      <w:r w:rsidRPr="00D46F5E" w:rsidR="00530347">
        <w:rPr>
          <w:b/>
          <w:bCs/>
          <w:szCs w:val="24"/>
        </w:rPr>
        <w:t xml:space="preserve"> BRIEF</w:t>
      </w:r>
    </w:p>
    <w:p w:rsidR="00941E61" w:rsidRPr="00D46F5E" w:rsidP="00941E61">
      <w:pPr>
        <w:jc w:val="center"/>
        <w:rPr>
          <w:b/>
          <w:bCs/>
          <w:szCs w:val="24"/>
        </w:rPr>
      </w:pPr>
      <w:r w:rsidRPr="00D46F5E">
        <w:rPr>
          <w:b/>
          <w:bCs/>
          <w:szCs w:val="24"/>
        </w:rPr>
        <w:t>BY</w:t>
      </w:r>
    </w:p>
    <w:p w:rsidR="00941E61" w:rsidRPr="00D46F5E" w:rsidP="00941E61">
      <w:pPr>
        <w:jc w:val="center"/>
        <w:rPr>
          <w:b/>
          <w:bCs/>
          <w:szCs w:val="24"/>
        </w:rPr>
      </w:pPr>
      <w:r w:rsidRPr="00D46F5E">
        <w:rPr>
          <w:b/>
          <w:bCs/>
          <w:szCs w:val="24"/>
        </w:rPr>
        <w:t>THE OFFICE OF THE OHIO CONSUMERS’ COUNSEL</w:t>
      </w:r>
    </w:p>
    <w:p w:rsidR="00941E61" w:rsidRPr="00D46F5E" w:rsidP="00941E61">
      <w:pPr>
        <w:pBdr>
          <w:bottom w:val="single" w:sz="12" w:space="1" w:color="auto"/>
        </w:pBdr>
        <w:tabs>
          <w:tab w:val="left" w:pos="4320"/>
        </w:tabs>
        <w:rPr>
          <w:szCs w:val="24"/>
        </w:rPr>
      </w:pPr>
    </w:p>
    <w:p w:rsidR="00941E61" w:rsidRPr="00D46F5E" w:rsidP="00941E61">
      <w:pPr>
        <w:tabs>
          <w:tab w:val="left" w:pos="4320"/>
        </w:tabs>
        <w:rPr>
          <w:szCs w:val="24"/>
        </w:rPr>
      </w:pPr>
    </w:p>
    <w:p w:rsidR="00941E61" w:rsidP="00941E61">
      <w:pPr>
        <w:pStyle w:val="Footer"/>
        <w:tabs>
          <w:tab w:val="left" w:pos="3960"/>
          <w:tab w:val="clear" w:pos="4320"/>
          <w:tab w:val="clear" w:pos="8640"/>
        </w:tabs>
        <w:spacing w:before="240"/>
        <w:rPr>
          <w:sz w:val="24"/>
          <w:szCs w:val="24"/>
        </w:rPr>
      </w:pPr>
      <w:r>
        <w:rPr>
          <w:sz w:val="24"/>
          <w:szCs w:val="24"/>
        </w:rPr>
        <w:tab/>
      </w:r>
    </w:p>
    <w:p w:rsidR="00941E61" w:rsidP="00941E61">
      <w:pPr>
        <w:pStyle w:val="Footer"/>
        <w:tabs>
          <w:tab w:val="left" w:pos="3960"/>
          <w:tab w:val="clear" w:pos="4320"/>
          <w:tab w:val="clear" w:pos="8640"/>
        </w:tabs>
        <w:spacing w:before="240"/>
        <w:rPr>
          <w:sz w:val="24"/>
          <w:szCs w:val="24"/>
        </w:rPr>
      </w:pPr>
    </w:p>
    <w:p w:rsidR="00941E61" w:rsidRPr="00B54B36" w:rsidP="00941E61">
      <w:pPr>
        <w:pStyle w:val="Footer"/>
        <w:tabs>
          <w:tab w:val="left" w:pos="3960"/>
          <w:tab w:val="clear" w:pos="4320"/>
          <w:tab w:val="clear" w:pos="8640"/>
        </w:tabs>
        <w:spacing w:before="240"/>
        <w:rPr>
          <w:sz w:val="24"/>
          <w:szCs w:val="24"/>
        </w:rPr>
      </w:pPr>
      <w:r>
        <w:rPr>
          <w:sz w:val="24"/>
          <w:szCs w:val="24"/>
        </w:rPr>
        <w:tab/>
      </w:r>
      <w:r w:rsidRPr="00B54B36">
        <w:rPr>
          <w:sz w:val="24"/>
          <w:szCs w:val="24"/>
        </w:rPr>
        <w:t>Bruce Weston (0016973)</w:t>
      </w:r>
    </w:p>
    <w:p w:rsidR="00941E61" w:rsidRPr="00B54B36" w:rsidP="00941E61">
      <w:pPr>
        <w:tabs>
          <w:tab w:val="left" w:pos="3960"/>
        </w:tabs>
        <w:rPr>
          <w:szCs w:val="24"/>
        </w:rPr>
      </w:pPr>
      <w:r w:rsidRPr="00B54B36">
        <w:rPr>
          <w:szCs w:val="24"/>
        </w:rPr>
        <w:tab/>
        <w:t>Ohio Consumers’ Counsel</w:t>
      </w:r>
    </w:p>
    <w:p w:rsidR="00941E61" w:rsidP="00941E61">
      <w:pPr>
        <w:tabs>
          <w:tab w:val="left" w:pos="3960"/>
        </w:tabs>
        <w:rPr>
          <w:szCs w:val="24"/>
        </w:rPr>
      </w:pPr>
      <w:r w:rsidRPr="00B54B36">
        <w:rPr>
          <w:szCs w:val="24"/>
        </w:rPr>
        <w:tab/>
      </w:r>
      <w:r w:rsidRPr="00B54B36">
        <w:rPr>
          <w:szCs w:val="24"/>
        </w:rPr>
        <w:tab/>
      </w:r>
    </w:p>
    <w:p w:rsidR="00941E61" w:rsidRPr="00B54B36" w:rsidP="00941E61">
      <w:pPr>
        <w:tabs>
          <w:tab w:val="left" w:pos="3960"/>
        </w:tabs>
        <w:rPr>
          <w:szCs w:val="24"/>
        </w:rPr>
      </w:pPr>
      <w:r>
        <w:rPr>
          <w:szCs w:val="24"/>
        </w:rPr>
        <w:tab/>
      </w:r>
      <w:r w:rsidRPr="00B54B36">
        <w:rPr>
          <w:szCs w:val="24"/>
        </w:rPr>
        <w:t>Amy Botschner O’Brien (0074423)</w:t>
      </w:r>
    </w:p>
    <w:p w:rsidR="00941E61" w:rsidRPr="00B54B36" w:rsidP="00941E61">
      <w:pPr>
        <w:tabs>
          <w:tab w:val="left" w:pos="3960"/>
        </w:tabs>
        <w:rPr>
          <w:szCs w:val="24"/>
        </w:rPr>
      </w:pPr>
      <w:r w:rsidRPr="00B54B36">
        <w:rPr>
          <w:szCs w:val="24"/>
        </w:rPr>
        <w:tab/>
        <w:t>Counsel of Record</w:t>
      </w:r>
    </w:p>
    <w:p w:rsidR="00941E61" w:rsidP="00941E61">
      <w:pPr>
        <w:tabs>
          <w:tab w:val="left" w:pos="3960"/>
        </w:tabs>
        <w:ind w:firstLine="3960"/>
        <w:rPr>
          <w:szCs w:val="24"/>
        </w:rPr>
      </w:pPr>
      <w:r w:rsidRPr="00B54B36">
        <w:rPr>
          <w:szCs w:val="24"/>
        </w:rPr>
        <w:t xml:space="preserve">Ambrosia E. </w:t>
      </w:r>
      <w:r w:rsidR="00222429">
        <w:rPr>
          <w:szCs w:val="24"/>
        </w:rPr>
        <w:t>Wilson</w:t>
      </w:r>
      <w:r w:rsidRPr="00B54B36">
        <w:rPr>
          <w:szCs w:val="24"/>
        </w:rPr>
        <w:t xml:space="preserve"> (0096598)</w:t>
      </w:r>
    </w:p>
    <w:p w:rsidR="00941E61" w:rsidRPr="00B54B36" w:rsidP="00941E61">
      <w:pPr>
        <w:tabs>
          <w:tab w:val="left" w:pos="3960"/>
        </w:tabs>
        <w:ind w:firstLine="3960"/>
        <w:rPr>
          <w:szCs w:val="24"/>
        </w:rPr>
      </w:pPr>
      <w:r>
        <w:rPr>
          <w:szCs w:val="24"/>
        </w:rPr>
        <w:t>Christopher Healey (0086027)</w:t>
      </w:r>
    </w:p>
    <w:p w:rsidR="00941E61" w:rsidRPr="00B54B36" w:rsidP="00941E61">
      <w:pPr>
        <w:tabs>
          <w:tab w:val="left" w:pos="3960"/>
        </w:tabs>
        <w:ind w:firstLine="3960"/>
        <w:rPr>
          <w:szCs w:val="24"/>
        </w:rPr>
      </w:pPr>
      <w:r w:rsidRPr="00B54B36">
        <w:rPr>
          <w:szCs w:val="24"/>
        </w:rPr>
        <w:t>Assistant Consumers’ Counsel</w:t>
      </w:r>
    </w:p>
    <w:p w:rsidR="00941E61" w:rsidRPr="00B54B36" w:rsidP="00941E61">
      <w:pPr>
        <w:tabs>
          <w:tab w:val="left" w:pos="3960"/>
        </w:tabs>
        <w:rPr>
          <w:szCs w:val="24"/>
        </w:rPr>
      </w:pPr>
      <w:r w:rsidRPr="00B54B36">
        <w:rPr>
          <w:szCs w:val="24"/>
        </w:rPr>
        <w:tab/>
      </w:r>
    </w:p>
    <w:p w:rsidR="00941E61" w:rsidRPr="00B54B36" w:rsidP="00941E61">
      <w:pPr>
        <w:tabs>
          <w:tab w:val="left" w:pos="3960"/>
        </w:tabs>
        <w:rPr>
          <w:b/>
          <w:bCs/>
          <w:szCs w:val="24"/>
        </w:rPr>
      </w:pPr>
      <w:r w:rsidRPr="00B54B36">
        <w:rPr>
          <w:szCs w:val="24"/>
        </w:rPr>
        <w:tab/>
      </w:r>
      <w:r w:rsidRPr="00B54B36">
        <w:rPr>
          <w:b/>
          <w:bCs/>
          <w:szCs w:val="24"/>
        </w:rPr>
        <w:t>Office of the Ohio Consumers’ Counsel</w:t>
      </w:r>
    </w:p>
    <w:p w:rsidR="00941E61" w:rsidRPr="00B54B36" w:rsidP="00941E61">
      <w:pPr>
        <w:tabs>
          <w:tab w:val="left" w:pos="3960"/>
        </w:tabs>
        <w:rPr>
          <w:b/>
          <w:szCs w:val="24"/>
        </w:rPr>
      </w:pPr>
      <w:r w:rsidRPr="00B54B36">
        <w:rPr>
          <w:szCs w:val="24"/>
        </w:rPr>
        <w:tab/>
        <w:t>65 East State Street, 7th Floor</w:t>
      </w:r>
    </w:p>
    <w:p w:rsidR="00941E61" w:rsidRPr="00B54B36" w:rsidP="00941E61">
      <w:pPr>
        <w:tabs>
          <w:tab w:val="left" w:pos="3960"/>
        </w:tabs>
        <w:rPr>
          <w:b/>
          <w:szCs w:val="24"/>
        </w:rPr>
      </w:pPr>
      <w:r w:rsidRPr="00B54B36">
        <w:rPr>
          <w:szCs w:val="24"/>
        </w:rPr>
        <w:tab/>
        <w:t>Columbus, Ohio 43215</w:t>
      </w:r>
    </w:p>
    <w:p w:rsidR="00941E61" w:rsidRPr="00B54B36" w:rsidP="00941E61">
      <w:pPr>
        <w:tabs>
          <w:tab w:val="left" w:pos="3960"/>
        </w:tabs>
        <w:autoSpaceDE w:val="0"/>
        <w:autoSpaceDN w:val="0"/>
        <w:adjustRightInd w:val="0"/>
        <w:ind w:left="3600" w:firstLine="360"/>
        <w:rPr>
          <w:szCs w:val="24"/>
        </w:rPr>
      </w:pPr>
      <w:r w:rsidRPr="00B54B36">
        <w:rPr>
          <w:szCs w:val="24"/>
        </w:rPr>
        <w:t>Telephone [Botschner O’Brien]: (614) 466-9575</w:t>
      </w:r>
    </w:p>
    <w:p w:rsidR="00941E61" w:rsidP="00941E61">
      <w:pPr>
        <w:tabs>
          <w:tab w:val="left" w:pos="3960"/>
        </w:tabs>
        <w:autoSpaceDE w:val="0"/>
        <w:autoSpaceDN w:val="0"/>
        <w:adjustRightInd w:val="0"/>
        <w:ind w:left="3600" w:firstLine="360"/>
        <w:rPr>
          <w:szCs w:val="24"/>
        </w:rPr>
      </w:pPr>
      <w:r w:rsidRPr="00B54B36">
        <w:rPr>
          <w:szCs w:val="24"/>
        </w:rPr>
        <w:t>Telephone [</w:t>
      </w:r>
      <w:r>
        <w:rPr>
          <w:szCs w:val="24"/>
        </w:rPr>
        <w:t>Wilson</w:t>
      </w:r>
      <w:r w:rsidRPr="00B54B36">
        <w:rPr>
          <w:szCs w:val="24"/>
        </w:rPr>
        <w:t>]: (614) 466-1292</w:t>
      </w:r>
    </w:p>
    <w:p w:rsidR="00941E61" w:rsidRPr="00B54B36" w:rsidP="00941E61">
      <w:pPr>
        <w:tabs>
          <w:tab w:val="left" w:pos="3960"/>
        </w:tabs>
        <w:autoSpaceDE w:val="0"/>
        <w:autoSpaceDN w:val="0"/>
        <w:adjustRightInd w:val="0"/>
        <w:ind w:left="3600" w:firstLine="360"/>
        <w:rPr>
          <w:szCs w:val="24"/>
        </w:rPr>
      </w:pPr>
      <w:r>
        <w:rPr>
          <w:szCs w:val="24"/>
        </w:rPr>
        <w:t>Telephone [Healey]: (614) 466-9571</w:t>
      </w:r>
    </w:p>
    <w:p w:rsidR="00941E61" w:rsidRPr="00B54B36" w:rsidP="00941E61">
      <w:pPr>
        <w:tabs>
          <w:tab w:val="left" w:pos="3960"/>
        </w:tabs>
        <w:ind w:firstLine="360"/>
        <w:rPr>
          <w:rStyle w:val="Hyperlink"/>
          <w:szCs w:val="24"/>
        </w:rPr>
      </w:pPr>
      <w:r w:rsidRPr="00B54B36">
        <w:rPr>
          <w:szCs w:val="24"/>
        </w:rPr>
        <w:tab/>
      </w:r>
      <w:hyperlink r:id="rId6" w:history="1">
        <w:r w:rsidRPr="00B54B36">
          <w:rPr>
            <w:rStyle w:val="Hyperlink"/>
            <w:szCs w:val="24"/>
          </w:rPr>
          <w:t>amy.botschner.obrien@occ.ohio.gov</w:t>
        </w:r>
      </w:hyperlink>
    </w:p>
    <w:p w:rsidR="00941E61" w:rsidP="00941E61">
      <w:pPr>
        <w:tabs>
          <w:tab w:val="left" w:pos="3960"/>
        </w:tabs>
        <w:ind w:firstLine="360"/>
      </w:pPr>
      <w:r w:rsidRPr="00B54B36">
        <w:rPr>
          <w:rStyle w:val="Hyperlink"/>
          <w:szCs w:val="24"/>
          <w:u w:val="none"/>
        </w:rPr>
        <w:tab/>
      </w:r>
      <w:hyperlink r:id="rId7" w:history="1">
        <w:r w:rsidRPr="00262DD0">
          <w:rPr>
            <w:rStyle w:val="Hyperlink"/>
            <w:szCs w:val="24"/>
          </w:rPr>
          <w:t>ambrosia.wilson@occ.ohio.gov</w:t>
        </w:r>
      </w:hyperlink>
    </w:p>
    <w:p w:rsidR="00941E61" w:rsidP="00941E61">
      <w:pPr>
        <w:tabs>
          <w:tab w:val="left" w:pos="3960"/>
        </w:tabs>
        <w:ind w:firstLine="3960"/>
        <w:rPr>
          <w:rStyle w:val="Hyperlink"/>
          <w:szCs w:val="24"/>
          <w:u w:val="none"/>
        </w:rPr>
      </w:pPr>
      <w:hyperlink r:id="rId8" w:history="1">
        <w:r w:rsidRPr="00192ABA" w:rsidR="000D5C64">
          <w:rPr>
            <w:rStyle w:val="Hyperlink"/>
          </w:rPr>
          <w:t>christopher.healey@occ.ohio.gov</w:t>
        </w:r>
      </w:hyperlink>
      <w:r w:rsidR="000D5C64">
        <w:t xml:space="preserve"> </w:t>
      </w:r>
    </w:p>
    <w:p w:rsidR="00941E61" w:rsidRPr="006735F7" w:rsidP="00941E61">
      <w:pPr>
        <w:tabs>
          <w:tab w:val="left" w:pos="3960"/>
        </w:tabs>
        <w:rPr>
          <w:color w:val="0000FF"/>
          <w:szCs w:val="24"/>
        </w:rPr>
      </w:pPr>
      <w:r>
        <w:rPr>
          <w:szCs w:val="24"/>
        </w:rPr>
        <w:t xml:space="preserve">September </w:t>
      </w:r>
      <w:r w:rsidR="00A12228">
        <w:rPr>
          <w:szCs w:val="24"/>
        </w:rPr>
        <w:t>17</w:t>
      </w:r>
      <w:r w:rsidR="00530347">
        <w:rPr>
          <w:szCs w:val="24"/>
        </w:rPr>
        <w:t>, 2020</w:t>
      </w:r>
      <w:r w:rsidR="00530347">
        <w:rPr>
          <w:szCs w:val="24"/>
        </w:rPr>
        <w:tab/>
      </w:r>
      <w:r w:rsidRPr="00B54B36" w:rsidR="00530347">
        <w:rPr>
          <w:szCs w:val="24"/>
        </w:rPr>
        <w:t>(willing to accept service by e-mail)</w:t>
      </w:r>
    </w:p>
    <w:p w:rsidR="0002433C" w:rsidP="002A5A45">
      <w:pPr>
        <w:pStyle w:val="Footer"/>
        <w:tabs>
          <w:tab w:val="left" w:pos="3960"/>
          <w:tab w:val="clear" w:pos="4320"/>
          <w:tab w:val="clear" w:pos="8640"/>
        </w:tabs>
        <w:spacing w:before="240"/>
        <w:jc w:val="center"/>
        <w:rPr>
          <w:b/>
          <w:bCs/>
          <w:sz w:val="24"/>
          <w:szCs w:val="24"/>
        </w:rPr>
      </w:pPr>
    </w:p>
    <w:p w:rsidR="00941E61" w:rsidP="002A5A45">
      <w:pPr>
        <w:pStyle w:val="Footer"/>
        <w:tabs>
          <w:tab w:val="left" w:pos="3960"/>
          <w:tab w:val="clear" w:pos="4320"/>
          <w:tab w:val="clear" w:pos="8640"/>
        </w:tabs>
        <w:spacing w:before="240"/>
        <w:jc w:val="center"/>
        <w:rPr>
          <w:b/>
          <w:bCs/>
          <w:sz w:val="24"/>
          <w:szCs w:val="24"/>
        </w:rPr>
      </w:pPr>
    </w:p>
    <w:p w:rsidR="00941E61" w:rsidP="002A5A45">
      <w:pPr>
        <w:pStyle w:val="Footer"/>
        <w:tabs>
          <w:tab w:val="left" w:pos="3960"/>
          <w:tab w:val="clear" w:pos="4320"/>
          <w:tab w:val="clear" w:pos="8640"/>
        </w:tabs>
        <w:spacing w:before="240"/>
        <w:jc w:val="center"/>
        <w:rPr>
          <w:b/>
          <w:bCs/>
          <w:sz w:val="24"/>
          <w:szCs w:val="24"/>
        </w:rPr>
        <w:sectPr w:rsidSect="0002433C">
          <w:footerReference w:type="default" r:id="rId9"/>
          <w:footerReference w:type="first" r:id="rId10"/>
          <w:pgSz w:w="12240" w:h="15840"/>
          <w:pgMar w:top="1440" w:right="1440" w:bottom="1440" w:left="1440" w:header="720" w:footer="720" w:gutter="0"/>
          <w:pgNumType w:start="1"/>
          <w:cols w:space="720"/>
          <w:titlePg/>
          <w:docGrid w:linePitch="326"/>
        </w:sectPr>
      </w:pPr>
    </w:p>
    <w:p w:rsidR="00DA11D1" w:rsidP="002A5A45">
      <w:pPr>
        <w:pStyle w:val="Footer"/>
        <w:tabs>
          <w:tab w:val="left" w:pos="3960"/>
          <w:tab w:val="clear" w:pos="4320"/>
          <w:tab w:val="clear" w:pos="8640"/>
        </w:tabs>
        <w:spacing w:before="240"/>
        <w:jc w:val="center"/>
        <w:rPr>
          <w:b/>
          <w:bCs/>
          <w:sz w:val="24"/>
          <w:szCs w:val="24"/>
          <w:u w:val="single"/>
        </w:rPr>
      </w:pPr>
      <w:r>
        <w:rPr>
          <w:b/>
          <w:bCs/>
          <w:sz w:val="24"/>
          <w:szCs w:val="24"/>
          <w:u w:val="single"/>
        </w:rPr>
        <w:t>TABLE OF CONTENTS</w:t>
      </w:r>
    </w:p>
    <w:p w:rsidR="00DA11D1" w:rsidP="00DA11D1">
      <w:pPr>
        <w:pStyle w:val="Footer"/>
        <w:tabs>
          <w:tab w:val="left" w:pos="3960"/>
          <w:tab w:val="clear" w:pos="4320"/>
          <w:tab w:val="clear" w:pos="8640"/>
        </w:tabs>
        <w:spacing w:after="240"/>
        <w:jc w:val="right"/>
        <w:rPr>
          <w:b/>
          <w:bCs/>
          <w:sz w:val="24"/>
          <w:szCs w:val="24"/>
        </w:rPr>
      </w:pPr>
      <w:r>
        <w:rPr>
          <w:b/>
          <w:bCs/>
          <w:sz w:val="24"/>
          <w:szCs w:val="24"/>
        </w:rPr>
        <w:t>PAGE</w:t>
      </w:r>
    </w:p>
    <w:p w:rsidR="008D2EE7">
      <w:pPr>
        <w:pStyle w:val="TOC1"/>
        <w:rPr>
          <w:rFonts w:asciiTheme="minorHAnsi" w:eastAsiaTheme="minorEastAsia" w:hAnsiTheme="minorHAnsi" w:cstheme="minorBidi"/>
          <w:caps w:val="0"/>
          <w:noProof/>
          <w:sz w:val="22"/>
          <w:szCs w:val="22"/>
        </w:rPr>
      </w:pPr>
      <w:r>
        <w:rPr>
          <w:b/>
          <w:bCs/>
          <w:caps w:val="0"/>
          <w:szCs w:val="24"/>
        </w:rPr>
        <w:fldChar w:fldCharType="begin"/>
      </w:r>
      <w:r w:rsidR="006E7805">
        <w:rPr>
          <w:b/>
          <w:bCs/>
          <w:caps w:val="0"/>
          <w:szCs w:val="24"/>
        </w:rPr>
        <w:instrText xml:space="preserve"> TOC \o "1-3" \h \z \u </w:instrText>
      </w:r>
      <w:r>
        <w:rPr>
          <w:b/>
          <w:bCs/>
          <w:caps w:val="0"/>
          <w:szCs w:val="24"/>
        </w:rPr>
        <w:fldChar w:fldCharType="separate"/>
      </w:r>
      <w:hyperlink w:anchor="_Toc51250294" w:history="1">
        <w:r w:rsidRPr="00EC2ED4">
          <w:rPr>
            <w:rStyle w:val="Hyperlink"/>
            <w:noProof/>
          </w:rPr>
          <w:t>I.</w:t>
        </w:r>
        <w:r>
          <w:rPr>
            <w:rFonts w:asciiTheme="minorHAnsi" w:eastAsiaTheme="minorEastAsia" w:hAnsiTheme="minorHAnsi" w:cstheme="minorBidi"/>
            <w:caps w:val="0"/>
            <w:noProof/>
            <w:sz w:val="22"/>
            <w:szCs w:val="22"/>
          </w:rPr>
          <w:tab/>
        </w:r>
        <w:r w:rsidRPr="00EC2ED4">
          <w:rPr>
            <w:rStyle w:val="Hyperlink"/>
            <w:noProof/>
          </w:rPr>
          <w:t>INTRODUCTION</w:t>
        </w:r>
        <w:r>
          <w:rPr>
            <w:noProof/>
            <w:webHidden/>
          </w:rPr>
          <w:tab/>
        </w:r>
        <w:r>
          <w:rPr>
            <w:noProof/>
            <w:webHidden/>
          </w:rPr>
          <w:fldChar w:fldCharType="begin"/>
        </w:r>
        <w:r>
          <w:rPr>
            <w:noProof/>
            <w:webHidden/>
          </w:rPr>
          <w:instrText xml:space="preserve"> PAGEREF _Toc51250294 \h </w:instrText>
        </w:r>
        <w:r>
          <w:rPr>
            <w:noProof/>
            <w:webHidden/>
          </w:rPr>
          <w:fldChar w:fldCharType="separate"/>
        </w:r>
        <w:r>
          <w:rPr>
            <w:noProof/>
            <w:webHidden/>
          </w:rPr>
          <w:t>1</w:t>
        </w:r>
        <w:r>
          <w:rPr>
            <w:noProof/>
            <w:webHidden/>
          </w:rPr>
          <w:fldChar w:fldCharType="end"/>
        </w:r>
      </w:hyperlink>
    </w:p>
    <w:p w:rsidR="008D2EE7">
      <w:pPr>
        <w:pStyle w:val="TOC1"/>
        <w:rPr>
          <w:rFonts w:asciiTheme="minorHAnsi" w:eastAsiaTheme="minorEastAsia" w:hAnsiTheme="minorHAnsi" w:cstheme="minorBidi"/>
          <w:caps w:val="0"/>
          <w:noProof/>
          <w:sz w:val="22"/>
          <w:szCs w:val="22"/>
        </w:rPr>
      </w:pPr>
      <w:hyperlink w:anchor="_Toc51250295" w:history="1">
        <w:r w:rsidRPr="00EC2ED4">
          <w:rPr>
            <w:rStyle w:val="Hyperlink"/>
            <w:noProof/>
          </w:rPr>
          <w:t>II.</w:t>
        </w:r>
        <w:r>
          <w:rPr>
            <w:rFonts w:asciiTheme="minorHAnsi" w:eastAsiaTheme="minorEastAsia" w:hAnsiTheme="minorHAnsi" w:cstheme="minorBidi"/>
            <w:caps w:val="0"/>
            <w:noProof/>
            <w:sz w:val="22"/>
            <w:szCs w:val="22"/>
          </w:rPr>
          <w:tab/>
        </w:r>
        <w:r w:rsidRPr="00EC2ED4">
          <w:rPr>
            <w:rStyle w:val="Hyperlink"/>
            <w:noProof/>
          </w:rPr>
          <w:t>REPLY</w:t>
        </w:r>
        <w:r>
          <w:rPr>
            <w:noProof/>
            <w:webHidden/>
          </w:rPr>
          <w:tab/>
        </w:r>
        <w:r>
          <w:rPr>
            <w:noProof/>
            <w:webHidden/>
          </w:rPr>
          <w:fldChar w:fldCharType="begin"/>
        </w:r>
        <w:r>
          <w:rPr>
            <w:noProof/>
            <w:webHidden/>
          </w:rPr>
          <w:instrText xml:space="preserve"> PAGEREF _Toc51250295 \h </w:instrText>
        </w:r>
        <w:r>
          <w:rPr>
            <w:noProof/>
            <w:webHidden/>
          </w:rPr>
          <w:fldChar w:fldCharType="separate"/>
        </w:r>
        <w:r>
          <w:rPr>
            <w:noProof/>
            <w:webHidden/>
          </w:rPr>
          <w:t>2</w:t>
        </w:r>
        <w:r>
          <w:rPr>
            <w:noProof/>
            <w:webHidden/>
          </w:rPr>
          <w:fldChar w:fldCharType="end"/>
        </w:r>
      </w:hyperlink>
    </w:p>
    <w:p w:rsidR="008D2EE7">
      <w:pPr>
        <w:pStyle w:val="TOC2"/>
        <w:tabs>
          <w:tab w:val="left" w:pos="1440"/>
        </w:tabs>
        <w:rPr>
          <w:rFonts w:asciiTheme="minorHAnsi" w:eastAsiaTheme="minorEastAsia" w:hAnsiTheme="minorHAnsi" w:cstheme="minorBidi"/>
          <w:noProof/>
          <w:sz w:val="22"/>
          <w:szCs w:val="22"/>
        </w:rPr>
      </w:pPr>
      <w:hyperlink w:anchor="_Toc51250296" w:history="1">
        <w:r w:rsidRPr="00EC2ED4">
          <w:rPr>
            <w:rStyle w:val="Hyperlink"/>
            <w:noProof/>
          </w:rPr>
          <w:t>A.</w:t>
        </w:r>
        <w:r>
          <w:rPr>
            <w:rFonts w:asciiTheme="minorHAnsi" w:eastAsiaTheme="minorEastAsia" w:hAnsiTheme="minorHAnsi" w:cstheme="minorBidi"/>
            <w:noProof/>
            <w:sz w:val="22"/>
            <w:szCs w:val="22"/>
          </w:rPr>
          <w:tab/>
        </w:r>
        <w:r w:rsidRPr="00EC2ED4">
          <w:rPr>
            <w:rStyle w:val="Hyperlink"/>
            <w:noProof/>
          </w:rPr>
          <w:t xml:space="preserve">The Settlement does not benefit customers or the public interest because it </w:t>
        </w:r>
        <w:r>
          <w:rPr>
            <w:rStyle w:val="Hyperlink"/>
            <w:noProof/>
          </w:rPr>
          <w:br/>
        </w:r>
        <w:r w:rsidRPr="00EC2ED4">
          <w:rPr>
            <w:rStyle w:val="Hyperlink"/>
            <w:noProof/>
          </w:rPr>
          <w:t>does not put money to the best possible use: bill payment assistance.</w:t>
        </w:r>
        <w:r>
          <w:rPr>
            <w:noProof/>
            <w:webHidden/>
          </w:rPr>
          <w:tab/>
        </w:r>
        <w:r>
          <w:rPr>
            <w:noProof/>
            <w:webHidden/>
          </w:rPr>
          <w:fldChar w:fldCharType="begin"/>
        </w:r>
        <w:r>
          <w:rPr>
            <w:noProof/>
            <w:webHidden/>
          </w:rPr>
          <w:instrText xml:space="preserve"> PAGEREF _Toc51250296 \h </w:instrText>
        </w:r>
        <w:r>
          <w:rPr>
            <w:noProof/>
            <w:webHidden/>
          </w:rPr>
          <w:fldChar w:fldCharType="separate"/>
        </w:r>
        <w:r>
          <w:rPr>
            <w:noProof/>
            <w:webHidden/>
          </w:rPr>
          <w:t>2</w:t>
        </w:r>
        <w:r>
          <w:rPr>
            <w:noProof/>
            <w:webHidden/>
          </w:rPr>
          <w:fldChar w:fldCharType="end"/>
        </w:r>
      </w:hyperlink>
    </w:p>
    <w:p w:rsidR="008D2EE7">
      <w:pPr>
        <w:pStyle w:val="TOC2"/>
        <w:tabs>
          <w:tab w:val="left" w:pos="1440"/>
        </w:tabs>
        <w:rPr>
          <w:rFonts w:asciiTheme="minorHAnsi" w:eastAsiaTheme="minorEastAsia" w:hAnsiTheme="minorHAnsi" w:cstheme="minorBidi"/>
          <w:noProof/>
          <w:sz w:val="22"/>
          <w:szCs w:val="22"/>
        </w:rPr>
      </w:pPr>
      <w:hyperlink w:anchor="_Toc51250297" w:history="1">
        <w:r w:rsidRPr="00EC2ED4">
          <w:rPr>
            <w:rStyle w:val="Hyperlink"/>
            <w:noProof/>
          </w:rPr>
          <w:t>B.</w:t>
        </w:r>
        <w:r>
          <w:rPr>
            <w:rFonts w:asciiTheme="minorHAnsi" w:eastAsiaTheme="minorEastAsia" w:hAnsiTheme="minorHAnsi" w:cstheme="minorBidi"/>
            <w:noProof/>
            <w:sz w:val="22"/>
            <w:szCs w:val="22"/>
          </w:rPr>
          <w:tab/>
        </w:r>
        <w:r w:rsidRPr="00EC2ED4">
          <w:rPr>
            <w:rStyle w:val="Hyperlink"/>
            <w:noProof/>
          </w:rPr>
          <w:t xml:space="preserve">OCC is asking the PUCO to end customer-funded subsidies for energy </w:t>
        </w:r>
        <w:r>
          <w:rPr>
            <w:rStyle w:val="Hyperlink"/>
            <w:noProof/>
          </w:rPr>
          <w:br/>
        </w:r>
        <w:r w:rsidRPr="00EC2ED4">
          <w:rPr>
            <w:rStyle w:val="Hyperlink"/>
            <w:noProof/>
          </w:rPr>
          <w:t xml:space="preserve">efficiency programs. Vectren and others can continue the programs at their </w:t>
        </w:r>
        <w:r>
          <w:rPr>
            <w:rStyle w:val="Hyperlink"/>
            <w:noProof/>
          </w:rPr>
          <w:br/>
        </w:r>
        <w:r w:rsidRPr="00EC2ED4">
          <w:rPr>
            <w:rStyle w:val="Hyperlink"/>
            <w:noProof/>
          </w:rPr>
          <w:t>own cost.</w:t>
        </w:r>
        <w:r>
          <w:rPr>
            <w:noProof/>
            <w:webHidden/>
          </w:rPr>
          <w:tab/>
        </w:r>
        <w:r>
          <w:rPr>
            <w:noProof/>
            <w:webHidden/>
          </w:rPr>
          <w:fldChar w:fldCharType="begin"/>
        </w:r>
        <w:r>
          <w:rPr>
            <w:noProof/>
            <w:webHidden/>
          </w:rPr>
          <w:instrText xml:space="preserve"> PAGEREF _Toc51250297 \h </w:instrText>
        </w:r>
        <w:r>
          <w:rPr>
            <w:noProof/>
            <w:webHidden/>
          </w:rPr>
          <w:fldChar w:fldCharType="separate"/>
        </w:r>
        <w:r>
          <w:rPr>
            <w:noProof/>
            <w:webHidden/>
          </w:rPr>
          <w:t>3</w:t>
        </w:r>
        <w:r>
          <w:rPr>
            <w:noProof/>
            <w:webHidden/>
          </w:rPr>
          <w:fldChar w:fldCharType="end"/>
        </w:r>
      </w:hyperlink>
    </w:p>
    <w:p w:rsidR="008D2EE7">
      <w:pPr>
        <w:pStyle w:val="TOC2"/>
        <w:tabs>
          <w:tab w:val="left" w:pos="1440"/>
        </w:tabs>
        <w:rPr>
          <w:rFonts w:asciiTheme="minorHAnsi" w:eastAsiaTheme="minorEastAsia" w:hAnsiTheme="minorHAnsi" w:cstheme="minorBidi"/>
          <w:noProof/>
          <w:sz w:val="22"/>
          <w:szCs w:val="22"/>
        </w:rPr>
      </w:pPr>
      <w:hyperlink w:anchor="_Toc51250298" w:history="1">
        <w:r w:rsidRPr="00EC2ED4">
          <w:rPr>
            <w:rStyle w:val="Hyperlink"/>
            <w:noProof/>
          </w:rPr>
          <w:t>C.</w:t>
        </w:r>
        <w:r>
          <w:rPr>
            <w:rFonts w:asciiTheme="minorHAnsi" w:eastAsiaTheme="minorEastAsia" w:hAnsiTheme="minorHAnsi" w:cstheme="minorBidi"/>
            <w:noProof/>
            <w:sz w:val="22"/>
            <w:szCs w:val="22"/>
          </w:rPr>
          <w:tab/>
        </w:r>
        <w:r w:rsidRPr="00EC2ED4">
          <w:rPr>
            <w:rStyle w:val="Hyperlink"/>
            <w:noProof/>
          </w:rPr>
          <w:t>The Settlement violates regulatory principles and practices.</w:t>
        </w:r>
        <w:r>
          <w:rPr>
            <w:noProof/>
            <w:webHidden/>
          </w:rPr>
          <w:tab/>
        </w:r>
        <w:r>
          <w:rPr>
            <w:noProof/>
            <w:webHidden/>
          </w:rPr>
          <w:fldChar w:fldCharType="begin"/>
        </w:r>
        <w:r>
          <w:rPr>
            <w:noProof/>
            <w:webHidden/>
          </w:rPr>
          <w:instrText xml:space="preserve"> PAGEREF _Toc51250298 \h </w:instrText>
        </w:r>
        <w:r>
          <w:rPr>
            <w:noProof/>
            <w:webHidden/>
          </w:rPr>
          <w:fldChar w:fldCharType="separate"/>
        </w:r>
        <w:r>
          <w:rPr>
            <w:noProof/>
            <w:webHidden/>
          </w:rPr>
          <w:t>5</w:t>
        </w:r>
        <w:r>
          <w:rPr>
            <w:noProof/>
            <w:webHidden/>
          </w:rPr>
          <w:fldChar w:fldCharType="end"/>
        </w:r>
      </w:hyperlink>
    </w:p>
    <w:p w:rsidR="008D2EE7">
      <w:pPr>
        <w:pStyle w:val="TOC2"/>
        <w:tabs>
          <w:tab w:val="left" w:pos="1440"/>
        </w:tabs>
        <w:rPr>
          <w:rFonts w:asciiTheme="minorHAnsi" w:eastAsiaTheme="minorEastAsia" w:hAnsiTheme="minorHAnsi" w:cstheme="minorBidi"/>
          <w:noProof/>
          <w:sz w:val="22"/>
          <w:szCs w:val="22"/>
        </w:rPr>
      </w:pPr>
      <w:hyperlink w:anchor="_Toc51250299" w:history="1">
        <w:r w:rsidRPr="00EC2ED4">
          <w:rPr>
            <w:rStyle w:val="Hyperlink"/>
            <w:noProof/>
          </w:rPr>
          <w:t>D.</w:t>
        </w:r>
        <w:r>
          <w:rPr>
            <w:rFonts w:asciiTheme="minorHAnsi" w:eastAsiaTheme="minorEastAsia" w:hAnsiTheme="minorHAnsi" w:cstheme="minorBidi"/>
            <w:noProof/>
            <w:sz w:val="22"/>
            <w:szCs w:val="22"/>
          </w:rPr>
          <w:tab/>
        </w:r>
        <w:r w:rsidRPr="00EC2ED4">
          <w:rPr>
            <w:rStyle w:val="Hyperlink"/>
            <w:noProof/>
          </w:rPr>
          <w:t xml:space="preserve">The PUCO should reject the many false statements found in OPAE’s initial </w:t>
        </w:r>
        <w:r>
          <w:rPr>
            <w:rStyle w:val="Hyperlink"/>
            <w:noProof/>
          </w:rPr>
          <w:br/>
        </w:r>
        <w:r w:rsidRPr="00EC2ED4">
          <w:rPr>
            <w:rStyle w:val="Hyperlink"/>
            <w:noProof/>
          </w:rPr>
          <w:t>brief.</w:t>
        </w:r>
        <w:r>
          <w:rPr>
            <w:noProof/>
            <w:webHidden/>
          </w:rPr>
          <w:tab/>
        </w:r>
        <w:r>
          <w:rPr>
            <w:noProof/>
            <w:webHidden/>
          </w:rPr>
          <w:fldChar w:fldCharType="begin"/>
        </w:r>
        <w:r>
          <w:rPr>
            <w:noProof/>
            <w:webHidden/>
          </w:rPr>
          <w:instrText xml:space="preserve"> PAGEREF _Toc51250299 \h </w:instrText>
        </w:r>
        <w:r>
          <w:rPr>
            <w:noProof/>
            <w:webHidden/>
          </w:rPr>
          <w:fldChar w:fldCharType="separate"/>
        </w:r>
        <w:r>
          <w:rPr>
            <w:noProof/>
            <w:webHidden/>
          </w:rPr>
          <w:t>6</w:t>
        </w:r>
        <w:r>
          <w:rPr>
            <w:noProof/>
            <w:webHidden/>
          </w:rPr>
          <w:fldChar w:fldCharType="end"/>
        </w:r>
      </w:hyperlink>
    </w:p>
    <w:p w:rsidR="008D2EE7">
      <w:pPr>
        <w:pStyle w:val="TOC1"/>
        <w:rPr>
          <w:rFonts w:asciiTheme="minorHAnsi" w:eastAsiaTheme="minorEastAsia" w:hAnsiTheme="minorHAnsi" w:cstheme="minorBidi"/>
          <w:caps w:val="0"/>
          <w:noProof/>
          <w:sz w:val="22"/>
          <w:szCs w:val="22"/>
        </w:rPr>
      </w:pPr>
      <w:hyperlink w:anchor="_Toc51250300" w:history="1">
        <w:r w:rsidRPr="00EC2ED4">
          <w:rPr>
            <w:rStyle w:val="Hyperlink"/>
            <w:noProof/>
          </w:rPr>
          <w:t>Iii.</w:t>
        </w:r>
        <w:r>
          <w:rPr>
            <w:rFonts w:asciiTheme="minorHAnsi" w:eastAsiaTheme="minorEastAsia" w:hAnsiTheme="minorHAnsi" w:cstheme="minorBidi"/>
            <w:caps w:val="0"/>
            <w:noProof/>
            <w:sz w:val="22"/>
            <w:szCs w:val="22"/>
          </w:rPr>
          <w:tab/>
        </w:r>
        <w:r w:rsidRPr="00EC2ED4">
          <w:rPr>
            <w:rStyle w:val="Hyperlink"/>
            <w:noProof/>
          </w:rPr>
          <w:t>CONCLUSION</w:t>
        </w:r>
        <w:r>
          <w:rPr>
            <w:noProof/>
            <w:webHidden/>
          </w:rPr>
          <w:tab/>
        </w:r>
        <w:r>
          <w:rPr>
            <w:noProof/>
            <w:webHidden/>
          </w:rPr>
          <w:fldChar w:fldCharType="begin"/>
        </w:r>
        <w:r>
          <w:rPr>
            <w:noProof/>
            <w:webHidden/>
          </w:rPr>
          <w:instrText xml:space="preserve"> PAGEREF _Toc51250300 \h </w:instrText>
        </w:r>
        <w:r>
          <w:rPr>
            <w:noProof/>
            <w:webHidden/>
          </w:rPr>
          <w:fldChar w:fldCharType="separate"/>
        </w:r>
        <w:r>
          <w:rPr>
            <w:noProof/>
            <w:webHidden/>
          </w:rPr>
          <w:t>8</w:t>
        </w:r>
        <w:r>
          <w:rPr>
            <w:noProof/>
            <w:webHidden/>
          </w:rPr>
          <w:fldChar w:fldCharType="end"/>
        </w:r>
      </w:hyperlink>
    </w:p>
    <w:p w:rsidR="00DA11D1" w:rsidP="002A5A45">
      <w:pPr>
        <w:pStyle w:val="Footer"/>
        <w:tabs>
          <w:tab w:val="left" w:pos="3960"/>
          <w:tab w:val="clear" w:pos="4320"/>
          <w:tab w:val="clear" w:pos="8640"/>
        </w:tabs>
        <w:spacing w:before="240"/>
        <w:jc w:val="center"/>
        <w:rPr>
          <w:b/>
          <w:bCs/>
          <w:sz w:val="24"/>
          <w:szCs w:val="24"/>
        </w:rPr>
        <w:sectPr w:rsidSect="00DA11D1">
          <w:footerReference w:type="first" r:id="rId11"/>
          <w:pgSz w:w="12240" w:h="15840"/>
          <w:pgMar w:top="1440" w:right="1440" w:bottom="1440" w:left="1440" w:header="720" w:footer="720" w:gutter="0"/>
          <w:pgNumType w:fmt="lowerRoman" w:start="1"/>
          <w:cols w:space="720"/>
          <w:titlePg/>
          <w:docGrid w:linePitch="326"/>
        </w:sectPr>
      </w:pPr>
      <w:r>
        <w:rPr>
          <w:b/>
          <w:bCs/>
          <w:caps/>
          <w:sz w:val="24"/>
          <w:szCs w:val="24"/>
        </w:rPr>
        <w:fldChar w:fldCharType="end"/>
      </w:r>
    </w:p>
    <w:p w:rsidR="002A5A45" w:rsidRPr="00B54B36" w:rsidP="002A5A45">
      <w:pPr>
        <w:pStyle w:val="Footer"/>
        <w:tabs>
          <w:tab w:val="left" w:pos="3960"/>
          <w:tab w:val="clear" w:pos="4320"/>
          <w:tab w:val="clear" w:pos="8640"/>
        </w:tabs>
        <w:spacing w:before="240"/>
        <w:jc w:val="center"/>
        <w:rPr>
          <w:b/>
          <w:bCs/>
          <w:sz w:val="24"/>
          <w:szCs w:val="24"/>
        </w:rPr>
      </w:pPr>
      <w:r w:rsidRPr="00B54B36">
        <w:rPr>
          <w:b/>
          <w:bCs/>
          <w:sz w:val="24"/>
          <w:szCs w:val="24"/>
        </w:rPr>
        <w:t>BEFORE</w:t>
      </w:r>
    </w:p>
    <w:p w:rsidR="002A5A45" w:rsidRPr="00B54B36" w:rsidP="002A5A45">
      <w:pPr>
        <w:pStyle w:val="HTMLPreformatted"/>
        <w:jc w:val="center"/>
        <w:rPr>
          <w:rFonts w:ascii="Times New Roman" w:hAnsi="Times New Roman" w:cs="Times New Roman"/>
          <w:sz w:val="24"/>
          <w:szCs w:val="24"/>
        </w:rPr>
      </w:pPr>
      <w:r w:rsidRPr="00B54B36">
        <w:rPr>
          <w:rFonts w:ascii="Times New Roman" w:hAnsi="Times New Roman" w:cs="Times New Roman"/>
          <w:b/>
          <w:bCs/>
          <w:sz w:val="24"/>
          <w:szCs w:val="24"/>
        </w:rPr>
        <w:t>THE PUBLIC UTILITIES COMMISSION OF OHIO</w:t>
      </w:r>
    </w:p>
    <w:p w:rsidR="002A5A45" w:rsidRPr="00B54B36" w:rsidP="002A5A45">
      <w:pPr>
        <w:pStyle w:val="HTMLPreformatted"/>
        <w:rPr>
          <w:rFonts w:ascii="Times New Roman" w:hAnsi="Times New Roman" w:cs="Times New Roman"/>
          <w:sz w:val="24"/>
          <w:szCs w:val="24"/>
        </w:rPr>
      </w:pPr>
    </w:p>
    <w:tbl>
      <w:tblPr>
        <w:tblW w:w="9468" w:type="dxa"/>
        <w:tblLook w:val="01E0"/>
      </w:tblPr>
      <w:tblGrid>
        <w:gridCol w:w="4698"/>
        <w:gridCol w:w="360"/>
        <w:gridCol w:w="4410"/>
      </w:tblGrid>
      <w:tr w:rsidTr="0002433C">
        <w:tblPrEx>
          <w:tblW w:w="9468" w:type="dxa"/>
          <w:tblLook w:val="01E0"/>
        </w:tblPrEx>
        <w:trPr>
          <w:trHeight w:val="807"/>
        </w:trPr>
        <w:tc>
          <w:tcPr>
            <w:tcW w:w="4698" w:type="dxa"/>
            <w:shd w:val="clear" w:color="auto" w:fill="auto"/>
          </w:tcPr>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In the Matter of the Application of Vectren Energy Delivery of Ohio, Inc. for Approval to Continue Demand Side Management Program for its Residential, Commercial, and Industrial Customers.</w:t>
            </w:r>
          </w:p>
        </w:tc>
        <w:tc>
          <w:tcPr>
            <w:tcW w:w="360" w:type="dxa"/>
            <w:shd w:val="clear" w:color="auto" w:fill="auto"/>
          </w:tcPr>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tc>
        <w:tc>
          <w:tcPr>
            <w:tcW w:w="4410" w:type="dxa"/>
            <w:shd w:val="clear" w:color="auto" w:fill="auto"/>
          </w:tcPr>
          <w:p w:rsidR="002A5A45" w:rsidRPr="00B54B36" w:rsidP="002A5A45">
            <w:pPr>
              <w:pStyle w:val="HTMLPreformatted"/>
              <w:rPr>
                <w:rFonts w:ascii="Times New Roman" w:hAnsi="Times New Roman" w:cs="Times New Roman"/>
                <w:sz w:val="24"/>
                <w:szCs w:val="24"/>
              </w:rPr>
            </w:pPr>
          </w:p>
          <w:p w:rsidR="002A5A45" w:rsidRPr="00B54B36" w:rsidP="002A5A45">
            <w:pPr>
              <w:pStyle w:val="HTMLPreformatted"/>
              <w:rPr>
                <w:rFonts w:ascii="Times New Roman" w:hAnsi="Times New Roman" w:cs="Times New Roman"/>
                <w:sz w:val="24"/>
                <w:szCs w:val="24"/>
              </w:rPr>
            </w:pPr>
          </w:p>
          <w:p w:rsidR="002A5A45" w:rsidRPr="00B54B36" w:rsidP="002A5A45">
            <w:pPr>
              <w:pStyle w:val="HTMLPreformatted"/>
              <w:rPr>
                <w:rFonts w:ascii="Times New Roman" w:hAnsi="Times New Roman" w:cs="Times New Roman"/>
                <w:sz w:val="24"/>
                <w:szCs w:val="24"/>
              </w:rPr>
            </w:pPr>
            <w:r w:rsidRPr="00B54B36">
              <w:rPr>
                <w:rFonts w:ascii="Times New Roman" w:hAnsi="Times New Roman" w:cs="Times New Roman"/>
                <w:sz w:val="24"/>
                <w:szCs w:val="24"/>
              </w:rPr>
              <w:t>Case No. 19-2084-GA-UNC</w:t>
            </w:r>
          </w:p>
          <w:p w:rsidR="002A5A45" w:rsidRPr="00B54B36" w:rsidP="002A5A45">
            <w:pPr>
              <w:pStyle w:val="HTMLPreformatted"/>
              <w:rPr>
                <w:rFonts w:ascii="Times New Roman" w:hAnsi="Times New Roman" w:cs="Times New Roman"/>
                <w:sz w:val="24"/>
                <w:szCs w:val="24"/>
              </w:rPr>
            </w:pPr>
          </w:p>
        </w:tc>
      </w:tr>
    </w:tbl>
    <w:p w:rsidR="008852CC" w:rsidRPr="00D46F5E" w:rsidP="008852CC">
      <w:pPr>
        <w:pStyle w:val="HTMLPreformatted"/>
        <w:rPr>
          <w:rFonts w:ascii="Times New Roman" w:hAnsi="Times New Roman" w:cs="Times New Roman"/>
          <w:sz w:val="24"/>
          <w:szCs w:val="24"/>
        </w:rPr>
      </w:pPr>
    </w:p>
    <w:p w:rsidR="008852CC" w:rsidRPr="00D46F5E" w:rsidP="008852CC">
      <w:pPr>
        <w:pStyle w:val="HTMLPreformatted"/>
        <w:pBdr>
          <w:top w:val="single" w:sz="12" w:space="1" w:color="auto"/>
        </w:pBdr>
        <w:rPr>
          <w:rFonts w:ascii="Times New Roman" w:hAnsi="Times New Roman" w:cs="Times New Roman"/>
          <w:sz w:val="24"/>
          <w:szCs w:val="24"/>
        </w:rPr>
      </w:pPr>
    </w:p>
    <w:p w:rsidR="008852CC" w:rsidRPr="00D46F5E" w:rsidP="008852CC">
      <w:pPr>
        <w:jc w:val="center"/>
        <w:rPr>
          <w:b/>
          <w:bCs/>
          <w:szCs w:val="24"/>
        </w:rPr>
      </w:pPr>
      <w:r>
        <w:rPr>
          <w:b/>
          <w:bCs/>
          <w:szCs w:val="24"/>
        </w:rPr>
        <w:t>REPLY</w:t>
      </w:r>
      <w:r w:rsidRPr="00D46F5E" w:rsidR="00530347">
        <w:rPr>
          <w:b/>
          <w:bCs/>
          <w:szCs w:val="24"/>
        </w:rPr>
        <w:t xml:space="preserve"> BRIEF</w:t>
      </w:r>
    </w:p>
    <w:p w:rsidR="008852CC" w:rsidRPr="00D46F5E" w:rsidP="008852CC">
      <w:pPr>
        <w:jc w:val="center"/>
        <w:rPr>
          <w:b/>
          <w:bCs/>
          <w:szCs w:val="24"/>
        </w:rPr>
      </w:pPr>
      <w:r w:rsidRPr="00D46F5E">
        <w:rPr>
          <w:b/>
          <w:bCs/>
          <w:szCs w:val="24"/>
        </w:rPr>
        <w:t>BY</w:t>
      </w:r>
    </w:p>
    <w:p w:rsidR="008852CC" w:rsidRPr="00D46F5E" w:rsidP="008852CC">
      <w:pPr>
        <w:jc w:val="center"/>
        <w:rPr>
          <w:b/>
          <w:bCs/>
          <w:szCs w:val="24"/>
        </w:rPr>
      </w:pPr>
      <w:r w:rsidRPr="00D46F5E">
        <w:rPr>
          <w:b/>
          <w:bCs/>
          <w:szCs w:val="24"/>
        </w:rPr>
        <w:t>THE OFFICE OF THE OHIO CONSUMERS’ COUNSEL</w:t>
      </w:r>
    </w:p>
    <w:p w:rsidR="008852CC" w:rsidRPr="00D46F5E" w:rsidP="008852CC">
      <w:pPr>
        <w:pBdr>
          <w:bottom w:val="single" w:sz="12" w:space="1" w:color="auto"/>
        </w:pBdr>
        <w:tabs>
          <w:tab w:val="left" w:pos="4320"/>
        </w:tabs>
        <w:rPr>
          <w:szCs w:val="24"/>
        </w:rPr>
      </w:pPr>
    </w:p>
    <w:p w:rsidR="008852CC" w:rsidRPr="00D46F5E" w:rsidP="008852CC">
      <w:pPr>
        <w:tabs>
          <w:tab w:val="left" w:pos="4320"/>
        </w:tabs>
        <w:rPr>
          <w:szCs w:val="24"/>
        </w:rPr>
      </w:pPr>
    </w:p>
    <w:p w:rsidR="00A007B8" w:rsidRPr="00D46F5E" w:rsidP="008852CC">
      <w:pPr>
        <w:pStyle w:val="Heading1"/>
      </w:pPr>
      <w:bookmarkStart w:id="1" w:name="_Toc38958694"/>
      <w:bookmarkStart w:id="2" w:name="_Toc50042245"/>
      <w:bookmarkStart w:id="3" w:name="_Toc51250294"/>
      <w:r w:rsidRPr="00D46F5E">
        <w:t>I.</w:t>
      </w:r>
      <w:r w:rsidRPr="00D46F5E">
        <w:tab/>
        <w:t>INTRODUCTION</w:t>
      </w:r>
      <w:bookmarkEnd w:id="1"/>
      <w:bookmarkEnd w:id="2"/>
      <w:bookmarkEnd w:id="3"/>
    </w:p>
    <w:p w:rsidR="000E1957" w:rsidP="0004208F">
      <w:pPr>
        <w:pStyle w:val="BodyTextIndent3"/>
        <w:spacing w:line="480" w:lineRule="auto"/>
        <w:rPr>
          <w:szCs w:val="24"/>
        </w:rPr>
      </w:pPr>
      <w:r>
        <w:rPr>
          <w:szCs w:val="24"/>
        </w:rPr>
        <w:t xml:space="preserve">Now and for the foreseeable future, </w:t>
      </w:r>
      <w:r w:rsidR="00CB1091">
        <w:rPr>
          <w:szCs w:val="24"/>
        </w:rPr>
        <w:t xml:space="preserve">Dayton-area consumers </w:t>
      </w:r>
      <w:r>
        <w:rPr>
          <w:szCs w:val="24"/>
        </w:rPr>
        <w:t>will need help getting through the coronavirus pandemic and financial emergency resulting from it. They need lower natu</w:t>
      </w:r>
      <w:r w:rsidR="00CB1091">
        <w:rPr>
          <w:szCs w:val="24"/>
        </w:rPr>
        <w:t>ral gas bills, not higher ones.</w:t>
      </w:r>
    </w:p>
    <w:p w:rsidR="00E32FD0" w:rsidP="0004208F">
      <w:pPr>
        <w:pStyle w:val="BodyTextIndent3"/>
        <w:spacing w:line="480" w:lineRule="auto"/>
        <w:rPr>
          <w:szCs w:val="24"/>
        </w:rPr>
      </w:pPr>
      <w:r>
        <w:rPr>
          <w:szCs w:val="24"/>
        </w:rPr>
        <w:t xml:space="preserve">Vectren’s proposed Settlement, which would </w:t>
      </w:r>
      <w:r w:rsidR="000E1957">
        <w:rPr>
          <w:szCs w:val="24"/>
        </w:rPr>
        <w:t xml:space="preserve">allow Vectren to charge customers $18 million over three years for energy efficiency, is ill-timed and </w:t>
      </w:r>
      <w:r w:rsidR="006E7805">
        <w:rPr>
          <w:szCs w:val="24"/>
        </w:rPr>
        <w:t>poorly designed</w:t>
      </w:r>
      <w:r w:rsidR="000E1957">
        <w:rPr>
          <w:szCs w:val="24"/>
        </w:rPr>
        <w:t xml:space="preserve">. It would require customers to continue subsidizing </w:t>
      </w:r>
      <w:r w:rsidR="00DB3593">
        <w:rPr>
          <w:szCs w:val="24"/>
        </w:rPr>
        <w:t xml:space="preserve">natural </w:t>
      </w:r>
      <w:r w:rsidR="00B4647F">
        <w:rPr>
          <w:szCs w:val="24"/>
        </w:rPr>
        <w:t xml:space="preserve">gas </w:t>
      </w:r>
      <w:r w:rsidR="000E1957">
        <w:rPr>
          <w:szCs w:val="24"/>
        </w:rPr>
        <w:t xml:space="preserve">energy efficiency programs that benefit the few who choose to participate, leaving other customers with nothing more than a higher utility bill </w:t>
      </w:r>
      <w:r w:rsidR="00D36350">
        <w:rPr>
          <w:szCs w:val="24"/>
        </w:rPr>
        <w:t xml:space="preserve">to subsidize the program participants </w:t>
      </w:r>
      <w:r w:rsidR="000E1957">
        <w:rPr>
          <w:szCs w:val="24"/>
        </w:rPr>
        <w:t>when they can least afford it.</w:t>
      </w:r>
    </w:p>
    <w:p w:rsidR="000E1957" w:rsidP="0004208F">
      <w:pPr>
        <w:pStyle w:val="BodyTextIndent3"/>
        <w:spacing w:line="480" w:lineRule="auto"/>
        <w:rPr>
          <w:szCs w:val="24"/>
        </w:rPr>
      </w:pPr>
      <w:r>
        <w:rPr>
          <w:szCs w:val="24"/>
        </w:rPr>
        <w:t xml:space="preserve">The Office of the Ohio Consumers’ Counsel (“OCC”), in contrast, proposes a higher </w:t>
      </w:r>
      <w:r w:rsidR="00D36350">
        <w:rPr>
          <w:szCs w:val="24"/>
        </w:rPr>
        <w:t xml:space="preserve">purpose </w:t>
      </w:r>
      <w:r>
        <w:rPr>
          <w:szCs w:val="24"/>
        </w:rPr>
        <w:t>and better use for this money: bill payment assistance. While Vectren’s weatherization program is projected to help just 334 customers per year, that same money could be used to help 10,000 customers with bill payment assistance. This should not be a hard choice. Help 334? Or help 10,000? The PUCO should do the right thing and reject the Settlement.</w:t>
      </w:r>
    </w:p>
    <w:p w:rsidR="00A007B8" w:rsidRPr="00D46F5E" w:rsidP="008852CC">
      <w:pPr>
        <w:pStyle w:val="Heading1"/>
      </w:pPr>
      <w:bookmarkStart w:id="4" w:name="_Toc38958699"/>
      <w:bookmarkStart w:id="5" w:name="_Toc50042246"/>
      <w:bookmarkStart w:id="6" w:name="_Toc51250295"/>
      <w:r w:rsidRPr="00D46F5E">
        <w:t>II.</w:t>
      </w:r>
      <w:r w:rsidRPr="00D46F5E">
        <w:tab/>
      </w:r>
      <w:bookmarkEnd w:id="4"/>
      <w:bookmarkEnd w:id="5"/>
      <w:r w:rsidR="00325B1D">
        <w:t>REPLY</w:t>
      </w:r>
      <w:bookmarkEnd w:id="6"/>
    </w:p>
    <w:p w:rsidR="00A007B8" w:rsidP="00DC2854">
      <w:pPr>
        <w:pStyle w:val="Heading2"/>
      </w:pPr>
      <w:bookmarkStart w:id="7" w:name="_Toc38958700"/>
      <w:bookmarkStart w:id="8" w:name="_Toc50042247"/>
      <w:bookmarkStart w:id="9" w:name="_Toc51250296"/>
      <w:r w:rsidRPr="00D46F5E">
        <w:t>A.</w:t>
      </w:r>
      <w:r w:rsidRPr="00D46F5E">
        <w:tab/>
      </w:r>
      <w:bookmarkEnd w:id="7"/>
      <w:bookmarkEnd w:id="8"/>
      <w:r w:rsidR="00325B1D">
        <w:t xml:space="preserve">The Settlement does not benefit customers or the public </w:t>
      </w:r>
      <w:r w:rsidR="00325B1D">
        <w:rPr>
          <w:rFonts w:hint="eastAsia"/>
        </w:rPr>
        <w:t>interest</w:t>
      </w:r>
      <w:r w:rsidR="00325B1D">
        <w:t xml:space="preserve"> because it does not put money to the best </w:t>
      </w:r>
      <w:r w:rsidR="00325B1D">
        <w:rPr>
          <w:rFonts w:hint="eastAsia"/>
        </w:rPr>
        <w:t>possible</w:t>
      </w:r>
      <w:r w:rsidR="00325B1D">
        <w:t xml:space="preserve"> use: bill payment assistance.</w:t>
      </w:r>
      <w:bookmarkEnd w:id="9"/>
    </w:p>
    <w:p w:rsidR="00325B1D" w:rsidRPr="00325B1D" w:rsidP="00617C14">
      <w:pPr>
        <w:pStyle w:val="BodyTextIndent3"/>
        <w:spacing w:line="480" w:lineRule="auto"/>
        <w:rPr>
          <w:szCs w:val="24"/>
        </w:rPr>
      </w:pPr>
      <w:r>
        <w:rPr>
          <w:szCs w:val="24"/>
        </w:rPr>
        <w:t xml:space="preserve">In their initial briefs, Vectren, OPAE, and the PUCO Staff largely miss the point by focusing on the potential benefits of energy efficiency programs. No one disputes that energy efficiency programs provide </w:t>
      </w:r>
      <w:r>
        <w:rPr>
          <w:i/>
          <w:szCs w:val="24"/>
        </w:rPr>
        <w:t>some</w:t>
      </w:r>
      <w:r>
        <w:rPr>
          <w:szCs w:val="24"/>
        </w:rPr>
        <w:t xml:space="preserve"> benefits to customers. </w:t>
      </w:r>
      <w:r w:rsidR="00C61E3C">
        <w:rPr>
          <w:szCs w:val="24"/>
        </w:rPr>
        <w:t xml:space="preserve">The question the PUCO should be answering is whether </w:t>
      </w:r>
      <w:r w:rsidR="00DB3593">
        <w:rPr>
          <w:szCs w:val="24"/>
        </w:rPr>
        <w:t xml:space="preserve">natural </w:t>
      </w:r>
      <w:r w:rsidR="00B4647F">
        <w:rPr>
          <w:szCs w:val="24"/>
        </w:rPr>
        <w:t xml:space="preserve">gas </w:t>
      </w:r>
      <w:r w:rsidR="00C61E3C">
        <w:rPr>
          <w:szCs w:val="24"/>
        </w:rPr>
        <w:t xml:space="preserve">energy efficiency is the </w:t>
      </w:r>
      <w:r w:rsidR="00C61E3C">
        <w:rPr>
          <w:i/>
          <w:szCs w:val="24"/>
        </w:rPr>
        <w:t>best</w:t>
      </w:r>
      <w:r w:rsidR="00C61E3C">
        <w:rPr>
          <w:szCs w:val="24"/>
        </w:rPr>
        <w:t xml:space="preserve"> use of </w:t>
      </w:r>
      <w:r w:rsidR="00B4647F">
        <w:rPr>
          <w:szCs w:val="24"/>
        </w:rPr>
        <w:t xml:space="preserve">customer-provided </w:t>
      </w:r>
      <w:r w:rsidR="00C61E3C">
        <w:rPr>
          <w:szCs w:val="24"/>
        </w:rPr>
        <w:t>funds. It isn’t.</w:t>
      </w:r>
    </w:p>
    <w:p w:rsidR="00C61E3C" w:rsidP="00C61E3C">
      <w:pPr>
        <w:pStyle w:val="BodyTextIndent3"/>
        <w:spacing w:line="480" w:lineRule="auto"/>
        <w:rPr>
          <w:szCs w:val="24"/>
        </w:rPr>
      </w:pPr>
      <w:r>
        <w:rPr>
          <w:szCs w:val="24"/>
        </w:rPr>
        <w:t xml:space="preserve">Vectren’s low-income weatherization program is expensive. Let’s consider what customers are really getting for their money with Vectren’s </w:t>
      </w:r>
      <w:r w:rsidR="00DB3593">
        <w:rPr>
          <w:szCs w:val="24"/>
        </w:rPr>
        <w:t xml:space="preserve">natural gas </w:t>
      </w:r>
      <w:r>
        <w:rPr>
          <w:szCs w:val="24"/>
        </w:rPr>
        <w:t>weatherization program. Vectren expects to spend $6,200 per home on low-income weatherization.</w:t>
      </w:r>
      <w:r>
        <w:rPr>
          <w:rStyle w:val="FootnoteReference"/>
          <w:szCs w:val="24"/>
        </w:rPr>
        <w:footnoteReference w:id="2"/>
      </w:r>
      <w:r>
        <w:rPr>
          <w:szCs w:val="24"/>
        </w:rPr>
        <w:t xml:space="preserve"> The average low-income customer whose home is weatherized will reduce usage by 208 ccf.</w:t>
      </w:r>
      <w:r>
        <w:rPr>
          <w:rStyle w:val="FootnoteReference"/>
          <w:szCs w:val="24"/>
        </w:rPr>
        <w:footnoteReference w:id="3"/>
      </w:r>
      <w:r>
        <w:rPr>
          <w:szCs w:val="24"/>
        </w:rPr>
        <w:t xml:space="preserve"> Vectren’s current standard choice offer rate is $0.35095 per ccf.</w:t>
      </w:r>
      <w:r>
        <w:rPr>
          <w:rStyle w:val="FootnoteReference"/>
          <w:szCs w:val="24"/>
        </w:rPr>
        <w:footnoteReference w:id="4"/>
      </w:r>
      <w:r>
        <w:rPr>
          <w:szCs w:val="24"/>
        </w:rPr>
        <w:t xml:space="preserve"> This means that the average low-income customer will save $73 per year as a result of weatherization (208 ccf * $0.35095). At that rate, it would take </w:t>
      </w:r>
      <w:r>
        <w:rPr>
          <w:i/>
          <w:szCs w:val="24"/>
        </w:rPr>
        <w:t>85 years</w:t>
      </w:r>
      <w:r>
        <w:rPr>
          <w:szCs w:val="24"/>
        </w:rPr>
        <w:t xml:space="preserve"> for the weatherization investment to pay off (longer once you account for time-value of money).</w:t>
      </w:r>
      <w:r>
        <w:rPr>
          <w:rStyle w:val="FootnoteReference"/>
          <w:szCs w:val="24"/>
        </w:rPr>
        <w:footnoteReference w:id="5"/>
      </w:r>
      <w:r>
        <w:rPr>
          <w:szCs w:val="24"/>
        </w:rPr>
        <w:t xml:space="preserve"> Is</w:t>
      </w:r>
      <w:r w:rsidR="00CB1091">
        <w:rPr>
          <w:szCs w:val="24"/>
        </w:rPr>
        <w:t xml:space="preserve"> s</w:t>
      </w:r>
      <w:r>
        <w:rPr>
          <w:szCs w:val="24"/>
        </w:rPr>
        <w:t>pending $6,200 per home to help a customer save $73 per year</w:t>
      </w:r>
      <w:r w:rsidR="00CB1091">
        <w:rPr>
          <w:szCs w:val="24"/>
        </w:rPr>
        <w:t xml:space="preserve"> the best use of money</w:t>
      </w:r>
      <w:r>
        <w:rPr>
          <w:szCs w:val="24"/>
        </w:rPr>
        <w:t>?</w:t>
      </w:r>
    </w:p>
    <w:p w:rsidR="00C61E3C" w:rsidP="00C61E3C">
      <w:pPr>
        <w:pStyle w:val="BodyTextIndent3"/>
        <w:spacing w:line="480" w:lineRule="auto"/>
        <w:rPr>
          <w:szCs w:val="24"/>
        </w:rPr>
      </w:pPr>
      <w:r>
        <w:rPr>
          <w:szCs w:val="24"/>
        </w:rPr>
        <w:t>As OCC expert James Williams explained, bill payment assistance is far more beneficial to customers.</w:t>
      </w:r>
      <w:r>
        <w:rPr>
          <w:rStyle w:val="FootnoteReference"/>
          <w:szCs w:val="24"/>
        </w:rPr>
        <w:footnoteReference w:id="6"/>
      </w:r>
      <w:r>
        <w:rPr>
          <w:szCs w:val="24"/>
        </w:rPr>
        <w:t xml:space="preserve"> Instead of spending $2.1 million on weatherization to help just 334 customers, that same money could be used to help 10,000 customers pay their natural gas bills.</w:t>
      </w:r>
      <w:r>
        <w:rPr>
          <w:rStyle w:val="FootnoteReference"/>
          <w:szCs w:val="24"/>
        </w:rPr>
        <w:footnoteReference w:id="7"/>
      </w:r>
      <w:r>
        <w:rPr>
          <w:szCs w:val="24"/>
        </w:rPr>
        <w:t xml:space="preserve"> And this type of bill payment assistance is </w:t>
      </w:r>
      <w:r w:rsidR="00DB3593">
        <w:rPr>
          <w:szCs w:val="24"/>
        </w:rPr>
        <w:t xml:space="preserve">especially </w:t>
      </w:r>
      <w:r>
        <w:rPr>
          <w:szCs w:val="24"/>
        </w:rPr>
        <w:t xml:space="preserve">critical during and after the coronavirus pandemic and financial emergency. Most notably, because OCC’s proposed bill payment assistance would be available to customers up to 300% of the Federal Poverty Guidelines, there are some customers for whom it would be the </w:t>
      </w:r>
      <w:r>
        <w:rPr>
          <w:i/>
          <w:szCs w:val="24"/>
        </w:rPr>
        <w:t>only</w:t>
      </w:r>
      <w:r>
        <w:rPr>
          <w:szCs w:val="24"/>
        </w:rPr>
        <w:t xml:space="preserve"> available option. The Federal LIHEAP program only assists customers up to 175% of the Poverty Guidelines, and Ohio’s PIPP program is only available for customers up to 150% of the Poverty Guidelines, for instance.</w:t>
      </w:r>
      <w:r>
        <w:rPr>
          <w:rStyle w:val="FootnoteReference"/>
          <w:szCs w:val="24"/>
        </w:rPr>
        <w:footnoteReference w:id="8"/>
      </w:r>
      <w:r>
        <w:rPr>
          <w:szCs w:val="24"/>
        </w:rPr>
        <w:t xml:space="preserve"> And of course, customers who are eligible for other programs would still be eligible for OCC’s proposed assistance program because customers should be allowed any opportunity for help paying their bills during the coronavirus pandemic and financial fallout.</w:t>
      </w:r>
    </w:p>
    <w:p w:rsidR="00DF4B20" w:rsidRPr="00213783" w:rsidP="00C61E3C">
      <w:pPr>
        <w:pStyle w:val="BodyTextIndent3"/>
        <w:spacing w:line="480" w:lineRule="auto"/>
        <w:rPr>
          <w:szCs w:val="24"/>
        </w:rPr>
      </w:pPr>
      <w:r>
        <w:rPr>
          <w:szCs w:val="24"/>
        </w:rPr>
        <w:t>As OCC explained in detail in its initial brief, the PUCO should find that bill payment assistance is a far better use of money right now than continuing customer-funded energy efficiency programs.</w:t>
      </w:r>
    </w:p>
    <w:p w:rsidR="00325B1D" w:rsidRPr="00325B1D" w:rsidP="006E7805">
      <w:pPr>
        <w:pStyle w:val="Heading2"/>
        <w:rPr>
          <w:u w:val="single"/>
        </w:rPr>
      </w:pPr>
      <w:bookmarkStart w:id="10" w:name="_Toc51250297"/>
      <w:r>
        <w:t>B.</w:t>
      </w:r>
      <w:r>
        <w:tab/>
      </w:r>
      <w:r w:rsidRPr="006E7805">
        <w:t>OCC is asking the PUCO to end customer</w:t>
      </w:r>
      <w:r w:rsidRPr="006E7805" w:rsidR="00D8332D">
        <w:t>-</w:t>
      </w:r>
      <w:r w:rsidRPr="006E7805">
        <w:t>funded subsidies for energy efficiency programs</w:t>
      </w:r>
      <w:r w:rsidRPr="006E7805" w:rsidR="00DF4B20">
        <w:t xml:space="preserve">. </w:t>
      </w:r>
      <w:r w:rsidR="00CB1091">
        <w:t>Vectren and others can</w:t>
      </w:r>
      <w:r w:rsidRPr="006E7805">
        <w:t xml:space="preserve"> continue the programs at their own cost.</w:t>
      </w:r>
      <w:bookmarkEnd w:id="10"/>
    </w:p>
    <w:p w:rsidR="00325B1D" w:rsidP="00617C14">
      <w:pPr>
        <w:pStyle w:val="BodyTextIndent3"/>
        <w:spacing w:line="480" w:lineRule="auto"/>
        <w:rPr>
          <w:szCs w:val="24"/>
        </w:rPr>
      </w:pPr>
      <w:r>
        <w:rPr>
          <w:szCs w:val="24"/>
        </w:rPr>
        <w:t>Vectren and OPAE each accuse OCC of calling for the end of Vectren’s energy efficiency programs. According to Vectren, OCC “proposes to eliminate them.”</w:t>
      </w:r>
      <w:r>
        <w:rPr>
          <w:rStyle w:val="FootnoteReference"/>
          <w:szCs w:val="24"/>
        </w:rPr>
        <w:footnoteReference w:id="9"/>
      </w:r>
      <w:r>
        <w:rPr>
          <w:szCs w:val="24"/>
        </w:rPr>
        <w:t xml:space="preserve"> Vectren similarly comments in its initial brief that “OCC does not explain why EE programs need to be eliminated to provide assistance.”</w:t>
      </w:r>
      <w:r>
        <w:rPr>
          <w:rStyle w:val="FootnoteReference"/>
          <w:szCs w:val="24"/>
        </w:rPr>
        <w:footnoteReference w:id="10"/>
      </w:r>
      <w:r>
        <w:rPr>
          <w:szCs w:val="24"/>
        </w:rPr>
        <w:t xml:space="preserve"> OPAE likewise states that OCC “proposes the elimination of all non-low-income programs.”</w:t>
      </w:r>
      <w:r>
        <w:rPr>
          <w:rStyle w:val="FootnoteReference"/>
          <w:szCs w:val="24"/>
        </w:rPr>
        <w:footnoteReference w:id="11"/>
      </w:r>
      <w:r>
        <w:rPr>
          <w:szCs w:val="24"/>
        </w:rPr>
        <w:t xml:space="preserve"> This is not OCC’s position at all.</w:t>
      </w:r>
    </w:p>
    <w:p w:rsidR="00325B1D" w:rsidP="00617C14">
      <w:pPr>
        <w:pStyle w:val="BodyTextIndent3"/>
        <w:spacing w:line="480" w:lineRule="auto"/>
        <w:rPr>
          <w:szCs w:val="24"/>
        </w:rPr>
      </w:pPr>
      <w:r>
        <w:rPr>
          <w:szCs w:val="24"/>
        </w:rPr>
        <w:t>As OCC explained in its initial brief, “If Vectren wants to run an energy efficiency program for its corporate sustainability efforts, it should do so—on its own dime. But Vectren should not ask its customers to pay for it.”</w:t>
      </w:r>
      <w:r>
        <w:rPr>
          <w:rStyle w:val="FootnoteReference"/>
          <w:szCs w:val="24"/>
        </w:rPr>
        <w:footnoteReference w:id="12"/>
      </w:r>
      <w:r>
        <w:rPr>
          <w:szCs w:val="24"/>
        </w:rPr>
        <w:t xml:space="preserve"> This is an important distinction.</w:t>
      </w:r>
    </w:p>
    <w:p w:rsidR="00C61E3C" w:rsidP="00617C14">
      <w:pPr>
        <w:pStyle w:val="BodyTextIndent3"/>
        <w:spacing w:line="480" w:lineRule="auto"/>
        <w:rPr>
          <w:szCs w:val="24"/>
        </w:rPr>
      </w:pPr>
      <w:r>
        <w:rPr>
          <w:szCs w:val="24"/>
        </w:rPr>
        <w:t xml:space="preserve">Notably, </w:t>
      </w:r>
      <w:r w:rsidR="00E75099">
        <w:rPr>
          <w:szCs w:val="24"/>
        </w:rPr>
        <w:t>the signatory parties to the settlement vigorously support nearly $18 million in energy efficiency programs—as long as someone else pays for it, that someone else being captive</w:t>
      </w:r>
      <w:r w:rsidR="008C69D8">
        <w:rPr>
          <w:szCs w:val="24"/>
        </w:rPr>
        <w:t xml:space="preserve"> distribution</w:t>
      </w:r>
      <w:r w:rsidR="00E75099">
        <w:rPr>
          <w:szCs w:val="24"/>
        </w:rPr>
        <w:t xml:space="preserve"> customers who have no choice. </w:t>
      </w:r>
      <w:r>
        <w:rPr>
          <w:szCs w:val="24"/>
        </w:rPr>
        <w:t xml:space="preserve">Vectren goes so far as to claim that the “amount of ratepayer funding is relatively small,” casually suggesting that it is no big deal for </w:t>
      </w:r>
      <w:r w:rsidR="00DF4B20">
        <w:rPr>
          <w:szCs w:val="24"/>
        </w:rPr>
        <w:t>customers</w:t>
      </w:r>
      <w:r>
        <w:rPr>
          <w:szCs w:val="24"/>
        </w:rPr>
        <w:t xml:space="preserve"> to pay these charges against their will.</w:t>
      </w:r>
      <w:r>
        <w:rPr>
          <w:rStyle w:val="FootnoteReference"/>
          <w:szCs w:val="24"/>
        </w:rPr>
        <w:footnoteReference w:id="13"/>
      </w:r>
    </w:p>
    <w:p w:rsidR="00325B1D" w:rsidP="00617C14">
      <w:pPr>
        <w:pStyle w:val="BodyTextIndent3"/>
        <w:spacing w:line="480" w:lineRule="auto"/>
        <w:rPr>
          <w:szCs w:val="24"/>
        </w:rPr>
      </w:pPr>
      <w:r>
        <w:rPr>
          <w:szCs w:val="24"/>
        </w:rPr>
        <w:t xml:space="preserve">The PUCO should ask itself: if these programs are so successful and so important, then why aren’t Vectren’s shareholders paying for them? </w:t>
      </w:r>
      <w:r w:rsidR="00C61E3C">
        <w:rPr>
          <w:szCs w:val="24"/>
        </w:rPr>
        <w:t>If the cost of the programs is “relatively small, given the energy savings and other benefits that these EE programs provide for customer [sic] in VEDO’s service territory,” as Vectren claims,</w:t>
      </w:r>
      <w:r>
        <w:rPr>
          <w:rStyle w:val="FootnoteReference"/>
          <w:szCs w:val="24"/>
        </w:rPr>
        <w:footnoteReference w:id="14"/>
      </w:r>
      <w:r w:rsidR="00C61E3C">
        <w:rPr>
          <w:szCs w:val="24"/>
        </w:rPr>
        <w:t xml:space="preserve"> then why aren’t Vectren’s shareholders willing to pay these “relatively small” costs? </w:t>
      </w:r>
      <w:r>
        <w:rPr>
          <w:szCs w:val="24"/>
        </w:rPr>
        <w:t>Why isn’t OPAE using its own money to run programs</w:t>
      </w:r>
      <w:r w:rsidR="00DF4B20">
        <w:rPr>
          <w:szCs w:val="24"/>
        </w:rPr>
        <w:t xml:space="preserve"> if it believes in them so strongly</w:t>
      </w:r>
      <w:r>
        <w:rPr>
          <w:szCs w:val="24"/>
        </w:rPr>
        <w:t>? It is easy to tout the benefits of a program and claim that it is money well spent when that money is someone else’s money. Here, that s</w:t>
      </w:r>
      <w:r w:rsidR="00901E40">
        <w:rPr>
          <w:szCs w:val="24"/>
        </w:rPr>
        <w:t xml:space="preserve">omeone else is </w:t>
      </w:r>
      <w:r w:rsidR="00DB3593">
        <w:rPr>
          <w:szCs w:val="24"/>
        </w:rPr>
        <w:t xml:space="preserve">all </w:t>
      </w:r>
      <w:r w:rsidR="00901E40">
        <w:rPr>
          <w:szCs w:val="24"/>
        </w:rPr>
        <w:t>consumers</w:t>
      </w:r>
      <w:r w:rsidR="00DB3593">
        <w:rPr>
          <w:szCs w:val="24"/>
        </w:rPr>
        <w:t>, including residential consumers</w:t>
      </w:r>
      <w:r w:rsidR="00901E40">
        <w:rPr>
          <w:szCs w:val="24"/>
        </w:rPr>
        <w:t xml:space="preserve">—whose </w:t>
      </w:r>
      <w:r>
        <w:rPr>
          <w:szCs w:val="24"/>
        </w:rPr>
        <w:t xml:space="preserve">interests OCC represents. </w:t>
      </w:r>
    </w:p>
    <w:p w:rsidR="00E75099" w:rsidP="00617C14">
      <w:pPr>
        <w:pStyle w:val="BodyTextIndent3"/>
        <w:spacing w:line="480" w:lineRule="auto"/>
        <w:rPr>
          <w:szCs w:val="24"/>
        </w:rPr>
      </w:pPr>
      <w:r>
        <w:rPr>
          <w:szCs w:val="24"/>
        </w:rPr>
        <w:t>OCC takes no position on whether the programs should continue. Vectren</w:t>
      </w:r>
      <w:r w:rsidR="00901E40">
        <w:rPr>
          <w:szCs w:val="24"/>
        </w:rPr>
        <w:t>’s shareholders</w:t>
      </w:r>
      <w:r>
        <w:rPr>
          <w:szCs w:val="24"/>
        </w:rPr>
        <w:t>, OPAE, and the other signatory parties can run any and all energy efficiency programs that they want if customers are not paying for them. OCC’s opposition is to</w:t>
      </w:r>
      <w:r w:rsidR="00901E40">
        <w:rPr>
          <w:szCs w:val="24"/>
        </w:rPr>
        <w:t xml:space="preserve"> customers </w:t>
      </w:r>
      <w:r>
        <w:rPr>
          <w:szCs w:val="24"/>
        </w:rPr>
        <w:t>pay</w:t>
      </w:r>
      <w:r w:rsidR="006F1228">
        <w:rPr>
          <w:szCs w:val="24"/>
        </w:rPr>
        <w:t>ing</w:t>
      </w:r>
      <w:r>
        <w:rPr>
          <w:szCs w:val="24"/>
        </w:rPr>
        <w:t xml:space="preserve"> for the </w:t>
      </w:r>
      <w:r w:rsidR="00DB3593">
        <w:rPr>
          <w:szCs w:val="24"/>
        </w:rPr>
        <w:t xml:space="preserve">gas energy efficiency </w:t>
      </w:r>
      <w:r>
        <w:rPr>
          <w:szCs w:val="24"/>
        </w:rPr>
        <w:t>programs against their will.</w:t>
      </w:r>
    </w:p>
    <w:p w:rsidR="00A251A2" w:rsidRPr="00A251A2" w:rsidP="006E7805">
      <w:pPr>
        <w:pStyle w:val="Heading2"/>
      </w:pPr>
      <w:bookmarkStart w:id="11" w:name="_Toc51250298"/>
      <w:r>
        <w:t>C.</w:t>
      </w:r>
      <w:r>
        <w:tab/>
        <w:t>The Settlement violates regulatory principles and practices.</w:t>
      </w:r>
      <w:bookmarkEnd w:id="11"/>
    </w:p>
    <w:p w:rsidR="00A251A2" w:rsidP="00617C14">
      <w:pPr>
        <w:pStyle w:val="BodyTextIndent3"/>
        <w:spacing w:line="480" w:lineRule="auto"/>
        <w:rPr>
          <w:szCs w:val="24"/>
        </w:rPr>
      </w:pPr>
      <w:r>
        <w:rPr>
          <w:szCs w:val="24"/>
        </w:rPr>
        <w:t>OPAE and Vectren argue that the continuation of customer-funded natural gas energy efficiency programs supports regulatory principles, citing R.C. 4905.70 and 4929.02</w:t>
      </w:r>
      <w:r w:rsidR="00AA3ADD">
        <w:rPr>
          <w:szCs w:val="24"/>
        </w:rPr>
        <w:t>(A)</w:t>
      </w:r>
      <w:r>
        <w:rPr>
          <w:szCs w:val="24"/>
        </w:rPr>
        <w:t xml:space="preserve">(12). But these statutes do not </w:t>
      </w:r>
      <w:r w:rsidR="00305553">
        <w:rPr>
          <w:szCs w:val="24"/>
        </w:rPr>
        <w:t>offer the support that</w:t>
      </w:r>
      <w:r>
        <w:rPr>
          <w:szCs w:val="24"/>
        </w:rPr>
        <w:t xml:space="preserve"> OPAE and Vectren seem to suggest.</w:t>
      </w:r>
    </w:p>
    <w:p w:rsidR="00B85C2D" w:rsidP="00617C14">
      <w:pPr>
        <w:pStyle w:val="BodyTextIndent3"/>
        <w:spacing w:line="480" w:lineRule="auto"/>
        <w:rPr>
          <w:szCs w:val="24"/>
        </w:rPr>
      </w:pPr>
      <w:r>
        <w:rPr>
          <w:szCs w:val="24"/>
        </w:rPr>
        <w:t xml:space="preserve">R.C. 4905.70 says only that the PUCO “shall initiate programs that will promote and encourage conservation of energy and a reduction in the growth rate of energy consumption, promote economic efficiencies, and take into account long-run incremental costs.” Based on this language, OPAE and Vectren claim that the Settlement (and its continuation of customer-funded energy efficiency programs) is consistent with state policy. But R.C. 4905.70 does not require such programs to be offered by </w:t>
      </w:r>
      <w:r w:rsidR="00AA3ADD">
        <w:rPr>
          <w:szCs w:val="24"/>
        </w:rPr>
        <w:t>every</w:t>
      </w:r>
      <w:r>
        <w:rPr>
          <w:szCs w:val="24"/>
        </w:rPr>
        <w:t xml:space="preserve"> utilit</w:t>
      </w:r>
      <w:r w:rsidR="00AA3ADD">
        <w:rPr>
          <w:szCs w:val="24"/>
        </w:rPr>
        <w:t>y</w:t>
      </w:r>
      <w:r>
        <w:rPr>
          <w:szCs w:val="24"/>
        </w:rPr>
        <w:t>,</w:t>
      </w:r>
      <w:r>
        <w:rPr>
          <w:rStyle w:val="FootnoteReference"/>
          <w:szCs w:val="24"/>
        </w:rPr>
        <w:footnoteReference w:id="15"/>
      </w:r>
      <w:r>
        <w:rPr>
          <w:szCs w:val="24"/>
        </w:rPr>
        <w:t xml:space="preserve"> nor does it require customers to pay for them. It simply says that such programs shall exist. Rejecting the settlement would not violate R.C. 4905.70 because the law does not require Vectren’s customers to pay for energy efficiency.</w:t>
      </w:r>
    </w:p>
    <w:p w:rsidR="00AA3ADD" w:rsidP="00617C14">
      <w:pPr>
        <w:pStyle w:val="BodyTextIndent3"/>
        <w:spacing w:line="480" w:lineRule="auto"/>
        <w:rPr>
          <w:szCs w:val="24"/>
        </w:rPr>
      </w:pPr>
      <w:r>
        <w:rPr>
          <w:szCs w:val="24"/>
        </w:rPr>
        <w:t>OPAE’s and Vectren’s reliance on R.C. 4929.02(A)(12) is also misplaced. R.C. 4929.02(A)</w:t>
      </w:r>
      <w:r w:rsidR="00305553">
        <w:rPr>
          <w:szCs w:val="24"/>
        </w:rPr>
        <w:t>(12)</w:t>
      </w:r>
      <w:r>
        <w:rPr>
          <w:szCs w:val="24"/>
        </w:rPr>
        <w:t xml:space="preserve"> provides that it is state policy to “[p]romote an alignment of natural gas company interests with consumer interest in energy efficiency and energy conservation.” Though the signatory parties claim that this policy supports the Settlement, it does the opposite. Requiring customers to pay for Vectren’s energy efficiency programs does not align customers’ and the utility’s interests. It is not in customers’ interests to be required to subsidize energy efficiency programs for other customers. The Settlement therefore drives a wedge between Vectren, wh</w:t>
      </w:r>
      <w:r w:rsidR="00305553">
        <w:rPr>
          <w:szCs w:val="24"/>
        </w:rPr>
        <w:t>ich</w:t>
      </w:r>
      <w:r>
        <w:rPr>
          <w:szCs w:val="24"/>
        </w:rPr>
        <w:t xml:space="preserve"> wants customers to pay for the programs, and customers, who would be better off not paying for them. Thus, it does not “align” the two interests.</w:t>
      </w:r>
    </w:p>
    <w:p w:rsidR="00AA3ADD" w:rsidP="00617C14">
      <w:pPr>
        <w:pStyle w:val="BodyTextIndent3"/>
        <w:spacing w:line="480" w:lineRule="auto"/>
        <w:rPr>
          <w:szCs w:val="24"/>
        </w:rPr>
      </w:pPr>
      <w:r>
        <w:rPr>
          <w:szCs w:val="24"/>
        </w:rPr>
        <w:t xml:space="preserve">OPAE and Vectren also omit reference to other state policies found in R.C. 4929.02(A) that do not support the continuation of customer-funded subsidies for energy efficiency. </w:t>
      </w:r>
      <w:r w:rsidR="00DE59DA">
        <w:rPr>
          <w:szCs w:val="24"/>
        </w:rPr>
        <w:t xml:space="preserve">R.C. 4929.02(A)(1), for example, provides that it is state policy to “[p]romote the availability to consumers of adequate, reliable, and reasonably priced natural gas services and goods.” OCC witness Shutrump explained that the Settlement violates this policy by charging customers subsidies for natural gas energy efficiency. </w:t>
      </w:r>
      <w:r>
        <w:rPr>
          <w:szCs w:val="24"/>
        </w:rPr>
        <w:t xml:space="preserve">R.C. 4929.02(A)(4) provides that it is state policy to “[e]ncourage innovation and market access for cost-effective ... demand-side </w:t>
      </w:r>
      <w:r w:rsidR="00305553">
        <w:rPr>
          <w:szCs w:val="24"/>
        </w:rPr>
        <w:t xml:space="preserve">natural </w:t>
      </w:r>
      <w:r>
        <w:rPr>
          <w:szCs w:val="24"/>
        </w:rPr>
        <w:t>gas services and goods.” The Settlement does not support this state policy because it encourages monopoly-customer-funded demand-side gas services, which is the opposite of “market access.” R.C. 4929.02(A)(7) provides that it is state policy to “[p]romote an expeditious transition to the provision of natural gas services and goods in a manner that achieves effective competition and transactions between willing buyers and willin</w:t>
      </w:r>
      <w:r w:rsidR="00516F1B">
        <w:rPr>
          <w:szCs w:val="24"/>
        </w:rPr>
        <w:t xml:space="preserve">g sellers....” The Settlement contradicts this regulatory principle because it turns customers into </w:t>
      </w:r>
      <w:r w:rsidR="00516F1B">
        <w:rPr>
          <w:i/>
          <w:szCs w:val="24"/>
        </w:rPr>
        <w:t>unwilling</w:t>
      </w:r>
      <w:r w:rsidR="00516F1B">
        <w:rPr>
          <w:szCs w:val="24"/>
        </w:rPr>
        <w:t xml:space="preserve"> buyers of energy efficiency. R.C. 4929.02(A)(8) provides that it is state policy to “[p]romote effective competition in the provision of natural gas services and goods by avoiding subsidies flowing to or from regulated natural gas services and goods.” Again, the Settlement does not do this—instead it promotes </w:t>
      </w:r>
      <w:r w:rsidRPr="00516F1B" w:rsidR="00516F1B">
        <w:rPr>
          <w:szCs w:val="24"/>
        </w:rPr>
        <w:t>more</w:t>
      </w:r>
      <w:r w:rsidR="00516F1B">
        <w:rPr>
          <w:i/>
          <w:szCs w:val="24"/>
        </w:rPr>
        <w:t xml:space="preserve"> </w:t>
      </w:r>
      <w:r w:rsidR="00516F1B">
        <w:rPr>
          <w:szCs w:val="24"/>
        </w:rPr>
        <w:t>subsidies flowing from customers to their natural gas utility.</w:t>
      </w:r>
    </w:p>
    <w:p w:rsidR="00516F1B" w:rsidRPr="00516F1B" w:rsidP="00617C14">
      <w:pPr>
        <w:pStyle w:val="BodyTextIndent3"/>
        <w:spacing w:line="480" w:lineRule="auto"/>
        <w:rPr>
          <w:szCs w:val="24"/>
        </w:rPr>
      </w:pPr>
      <w:r>
        <w:rPr>
          <w:szCs w:val="24"/>
        </w:rPr>
        <w:t>In sum, the PUCO should find that the Settlement is inconsistent with regulatory policies and it should reject the Settlement on that basis.</w:t>
      </w:r>
    </w:p>
    <w:p w:rsidR="00E75099" w:rsidRPr="00E75099" w:rsidP="006E7805">
      <w:pPr>
        <w:pStyle w:val="Heading2"/>
      </w:pPr>
      <w:bookmarkStart w:id="12" w:name="_Toc51250299"/>
      <w:r>
        <w:t>D</w:t>
      </w:r>
      <w:r>
        <w:t>.</w:t>
      </w:r>
      <w:r>
        <w:tab/>
      </w:r>
      <w:r w:rsidRPr="006E7805">
        <w:t>The PUCO should reject the many false statements found in OPAE’s initial brief.</w:t>
      </w:r>
      <w:bookmarkEnd w:id="12"/>
    </w:p>
    <w:p w:rsidR="00A251A2" w:rsidP="00617C14">
      <w:pPr>
        <w:pStyle w:val="BodyTextIndent3"/>
        <w:spacing w:line="480" w:lineRule="auto"/>
        <w:rPr>
          <w:szCs w:val="24"/>
        </w:rPr>
      </w:pPr>
      <w:r>
        <w:rPr>
          <w:szCs w:val="24"/>
        </w:rPr>
        <w:t>OPAE’s brief contains various statements that the record does not support. The PUCO should reject OPAE’s misstatements.</w:t>
      </w:r>
    </w:p>
    <w:p w:rsidR="00A251A2" w:rsidRPr="00A251A2" w:rsidP="00A251A2">
      <w:pPr>
        <w:pStyle w:val="BodyTextIndent3"/>
        <w:spacing w:line="480" w:lineRule="auto"/>
        <w:rPr>
          <w:i/>
          <w:szCs w:val="24"/>
        </w:rPr>
      </w:pPr>
      <w:r>
        <w:rPr>
          <w:szCs w:val="24"/>
        </w:rPr>
        <w:t>First, OPAE states that “it is the duty of the local utility to help its customers hedge against high prices and price volatility.”</w:t>
      </w:r>
      <w:r>
        <w:rPr>
          <w:rStyle w:val="FootnoteReference"/>
          <w:szCs w:val="24"/>
        </w:rPr>
        <w:footnoteReference w:id="16"/>
      </w:r>
      <w:r>
        <w:rPr>
          <w:szCs w:val="24"/>
        </w:rPr>
        <w:t xml:space="preserve"> OPAE cites no support for this bold statement because there is none. And there is none because this statement is false. Statutory policy says precisely the opposite: that it is state policy to “encourage innovation and </w:t>
      </w:r>
      <w:r>
        <w:rPr>
          <w:i/>
          <w:szCs w:val="24"/>
        </w:rPr>
        <w:t>market access</w:t>
      </w:r>
      <w:r>
        <w:rPr>
          <w:szCs w:val="24"/>
        </w:rPr>
        <w:t xml:space="preserve"> for cost-effective ... demand-side natural gas services and goods.”</w:t>
      </w:r>
      <w:r>
        <w:rPr>
          <w:rStyle w:val="FootnoteReference"/>
          <w:szCs w:val="24"/>
        </w:rPr>
        <w:footnoteReference w:id="17"/>
      </w:r>
      <w:r>
        <w:rPr>
          <w:szCs w:val="24"/>
        </w:rPr>
        <w:t xml:space="preserve"> Having a monopoly utility use its captive customers’ funds to subsidize its efforts in the market for energy efficiency services is the opposite of encouraging market access.</w:t>
      </w:r>
    </w:p>
    <w:p w:rsidR="00A251A2" w:rsidP="00617C14">
      <w:pPr>
        <w:pStyle w:val="BodyTextIndent3"/>
        <w:spacing w:line="480" w:lineRule="auto"/>
        <w:rPr>
          <w:szCs w:val="24"/>
        </w:rPr>
      </w:pPr>
      <w:r>
        <w:rPr>
          <w:szCs w:val="24"/>
        </w:rPr>
        <w:t>Second, OPAE claims in its brief that “it is uncontroverted that the programs in the proposed DSM portfolio are cost-effective and address market failures.”</w:t>
      </w:r>
      <w:r>
        <w:rPr>
          <w:rStyle w:val="FootnoteReference"/>
          <w:szCs w:val="24"/>
        </w:rPr>
        <w:footnoteReference w:id="18"/>
      </w:r>
      <w:r>
        <w:rPr>
          <w:szCs w:val="24"/>
        </w:rPr>
        <w:t xml:space="preserve"> This too is false. The low-income weatherization is </w:t>
      </w:r>
      <w:r w:rsidR="00CB1091">
        <w:rPr>
          <w:szCs w:val="24"/>
        </w:rPr>
        <w:t xml:space="preserve">likely </w:t>
      </w:r>
      <w:r>
        <w:rPr>
          <w:szCs w:val="24"/>
        </w:rPr>
        <w:t xml:space="preserve">not cost-effective, as explained above. Further, OCC witness Shutrump explicitly contradicted the claim that energy efficiency is needed to “address market failures.” </w:t>
      </w:r>
      <w:r w:rsidR="00A12228">
        <w:rPr>
          <w:szCs w:val="24"/>
        </w:rPr>
        <w:t>A</w:t>
      </w:r>
      <w:r>
        <w:rPr>
          <w:szCs w:val="24"/>
        </w:rPr>
        <w:t>s Ms. Shutrump explained, the market for energy efficiency is robust and thriving, thus signaling an absence of market failures.</w:t>
      </w:r>
      <w:r>
        <w:rPr>
          <w:rStyle w:val="FootnoteReference"/>
          <w:szCs w:val="24"/>
        </w:rPr>
        <w:footnoteReference w:id="19"/>
      </w:r>
    </w:p>
    <w:p w:rsidR="00A251A2" w:rsidP="00617C14">
      <w:pPr>
        <w:pStyle w:val="BodyTextIndent3"/>
        <w:spacing w:line="480" w:lineRule="auto"/>
        <w:rPr>
          <w:szCs w:val="24"/>
        </w:rPr>
      </w:pPr>
      <w:r>
        <w:rPr>
          <w:szCs w:val="24"/>
        </w:rPr>
        <w:t>Third, OPAE claims that Vectren’s portfolio of energy efficiency programs “does not increase a customer bills [sic].”</w:t>
      </w:r>
      <w:r>
        <w:rPr>
          <w:rStyle w:val="FootnoteReference"/>
          <w:szCs w:val="24"/>
        </w:rPr>
        <w:footnoteReference w:id="20"/>
      </w:r>
      <w:r>
        <w:rPr>
          <w:szCs w:val="24"/>
        </w:rPr>
        <w:t xml:space="preserve"> It is not clear how OPAE arrives at this conclusion, given that (i) the programs will cost customers nearly $18 million, (ii) the weatherization program is </w:t>
      </w:r>
      <w:r w:rsidR="00CB1091">
        <w:rPr>
          <w:szCs w:val="24"/>
        </w:rPr>
        <w:t>likely</w:t>
      </w:r>
      <w:r>
        <w:rPr>
          <w:szCs w:val="24"/>
        </w:rPr>
        <w:t xml:space="preserve"> not cost-effective, thus resulting in a net loss for consumers, and (iii) non-participating customers will </w:t>
      </w:r>
      <w:r w:rsidR="00EB0E3D">
        <w:rPr>
          <w:szCs w:val="24"/>
        </w:rPr>
        <w:t>subsidize</w:t>
      </w:r>
      <w:r>
        <w:rPr>
          <w:szCs w:val="24"/>
        </w:rPr>
        <w:t xml:space="preserve"> the programs but not receive any benefits.</w:t>
      </w:r>
    </w:p>
    <w:p w:rsidR="00470FD9" w:rsidP="00617C14">
      <w:pPr>
        <w:pStyle w:val="BodyTextIndent3"/>
        <w:spacing w:line="480" w:lineRule="auto"/>
        <w:rPr>
          <w:szCs w:val="24"/>
        </w:rPr>
      </w:pPr>
      <w:r>
        <w:rPr>
          <w:szCs w:val="24"/>
        </w:rPr>
        <w:t>Fourth, OPAE falsely accuses OCC of “ignor[ing] the benefits to customers” of natural gas energy efficiency programs.</w:t>
      </w:r>
      <w:r>
        <w:rPr>
          <w:rStyle w:val="FootnoteReference"/>
          <w:szCs w:val="24"/>
        </w:rPr>
        <w:footnoteReference w:id="21"/>
      </w:r>
      <w:r>
        <w:rPr>
          <w:szCs w:val="24"/>
        </w:rPr>
        <w:t xml:space="preserve"> This is also false. OCC has never stated that energy efficiency provides zero benefits to customers. Indeed, customers who </w:t>
      </w:r>
      <w:r w:rsidR="00BC797A">
        <w:rPr>
          <w:szCs w:val="24"/>
        </w:rPr>
        <w:t xml:space="preserve">choose to </w:t>
      </w:r>
      <w:r>
        <w:rPr>
          <w:szCs w:val="24"/>
        </w:rPr>
        <w:t xml:space="preserve">participate in the programs can save money over time. OCC’s position in this case is that (i) the money spent on these programs is better spent on bill payment assistance, and (ii) someone other than customers should pay for </w:t>
      </w:r>
      <w:r w:rsidR="00CB1091">
        <w:rPr>
          <w:szCs w:val="24"/>
        </w:rPr>
        <w:t>energy efficiency</w:t>
      </w:r>
      <w:r>
        <w:rPr>
          <w:szCs w:val="24"/>
        </w:rPr>
        <w:t xml:space="preserve"> programs. Neither of these positions “ignores the benefits to customers” of energy efficiency.</w:t>
      </w:r>
    </w:p>
    <w:p w:rsidR="006E7805" w:rsidP="006E7805">
      <w:pPr>
        <w:pStyle w:val="BodyTextIndent3"/>
        <w:spacing w:line="240" w:lineRule="auto"/>
        <w:rPr>
          <w:szCs w:val="24"/>
        </w:rPr>
      </w:pPr>
    </w:p>
    <w:p w:rsidR="00A007B8" w:rsidRPr="00D46F5E" w:rsidP="008852CC">
      <w:pPr>
        <w:pStyle w:val="Heading1"/>
      </w:pPr>
      <w:bookmarkStart w:id="13" w:name="_Toc38958711"/>
      <w:bookmarkStart w:id="14" w:name="_Toc50042261"/>
      <w:bookmarkStart w:id="15" w:name="_Toc51250300"/>
      <w:r w:rsidRPr="00D46F5E">
        <w:t>I</w:t>
      </w:r>
      <w:r w:rsidR="00DA11D1">
        <w:t>ii</w:t>
      </w:r>
      <w:r w:rsidRPr="00D46F5E">
        <w:t>.</w:t>
      </w:r>
      <w:r w:rsidRPr="00D46F5E">
        <w:tab/>
        <w:t>CONCLUSION</w:t>
      </w:r>
      <w:bookmarkEnd w:id="13"/>
      <w:bookmarkEnd w:id="14"/>
      <w:bookmarkEnd w:id="15"/>
    </w:p>
    <w:p w:rsidR="005931B1" w:rsidP="0004208F">
      <w:pPr>
        <w:pStyle w:val="BodyTextIndent3"/>
        <w:spacing w:line="480" w:lineRule="auto"/>
        <w:rPr>
          <w:szCs w:val="24"/>
        </w:rPr>
      </w:pPr>
      <w:r>
        <w:rPr>
          <w:szCs w:val="24"/>
        </w:rPr>
        <w:t>The Settlement does not benefit customers because it requires them to continue subsidizing Vectren’s energy efficiency programs. The money that would be charged to customers—without their consent—under the Settlement, is better left in their pockets or used for bill payment assistance. The PUCO should reject the Settlement and end the subsidies that Vectren customers have been paying for a decade.</w:t>
      </w:r>
    </w:p>
    <w:p w:rsidR="005931B1">
      <w:pPr>
        <w:rPr>
          <w:szCs w:val="24"/>
        </w:rPr>
      </w:pPr>
      <w:r>
        <w:rPr>
          <w:szCs w:val="24"/>
        </w:rPr>
        <w:br w:type="page"/>
      </w:r>
    </w:p>
    <w:p w:rsidR="006735F7" w:rsidRPr="007C6967" w:rsidP="006735F7">
      <w:pPr>
        <w:pStyle w:val="Footer"/>
        <w:tabs>
          <w:tab w:val="left" w:pos="3960"/>
          <w:tab w:val="clear" w:pos="4320"/>
          <w:tab w:val="clear" w:pos="8640"/>
        </w:tabs>
        <w:spacing w:before="240" w:after="240"/>
        <w:ind w:firstLine="3960"/>
        <w:rPr>
          <w:sz w:val="24"/>
          <w:szCs w:val="24"/>
        </w:rPr>
      </w:pPr>
      <w:r w:rsidRPr="007C6967">
        <w:rPr>
          <w:sz w:val="24"/>
          <w:szCs w:val="24"/>
        </w:rPr>
        <w:t>Respectfully submitted,</w:t>
      </w:r>
    </w:p>
    <w:p w:rsidR="006735F7" w:rsidRPr="00B54B36" w:rsidP="006735F7">
      <w:pPr>
        <w:pStyle w:val="Footer"/>
        <w:tabs>
          <w:tab w:val="left" w:pos="3960"/>
          <w:tab w:val="clear" w:pos="4320"/>
          <w:tab w:val="clear" w:pos="8640"/>
        </w:tabs>
        <w:spacing w:before="240"/>
        <w:rPr>
          <w:sz w:val="24"/>
          <w:szCs w:val="24"/>
        </w:rPr>
      </w:pPr>
      <w:r w:rsidRPr="00B54B36">
        <w:rPr>
          <w:sz w:val="24"/>
          <w:szCs w:val="24"/>
        </w:rPr>
        <w:tab/>
        <w:t>Bruce Weston (0016973)</w:t>
      </w:r>
    </w:p>
    <w:p w:rsidR="006735F7" w:rsidRPr="00B54B36" w:rsidP="006735F7">
      <w:pPr>
        <w:tabs>
          <w:tab w:val="left" w:pos="3960"/>
        </w:tabs>
        <w:rPr>
          <w:szCs w:val="24"/>
        </w:rPr>
      </w:pPr>
      <w:r w:rsidRPr="00B54B36">
        <w:rPr>
          <w:szCs w:val="24"/>
        </w:rPr>
        <w:tab/>
        <w:t>Ohio Consumers’ Counsel</w:t>
      </w:r>
    </w:p>
    <w:p w:rsidR="006735F7" w:rsidP="006735F7">
      <w:pPr>
        <w:tabs>
          <w:tab w:val="left" w:pos="3960"/>
        </w:tabs>
        <w:rPr>
          <w:szCs w:val="24"/>
        </w:rPr>
      </w:pPr>
      <w:r w:rsidRPr="00B54B36">
        <w:rPr>
          <w:szCs w:val="24"/>
        </w:rPr>
        <w:tab/>
      </w:r>
      <w:r w:rsidRPr="00B54B36">
        <w:rPr>
          <w:szCs w:val="24"/>
        </w:rPr>
        <w:tab/>
      </w:r>
    </w:p>
    <w:p w:rsidR="006735F7" w:rsidRPr="00B54B36" w:rsidP="006735F7">
      <w:pPr>
        <w:tabs>
          <w:tab w:val="left" w:pos="3960"/>
        </w:tabs>
        <w:rPr>
          <w:szCs w:val="24"/>
          <w:u w:val="single"/>
        </w:rPr>
      </w:pPr>
      <w:r>
        <w:rPr>
          <w:szCs w:val="24"/>
        </w:rPr>
        <w:tab/>
      </w:r>
      <w:r w:rsidRPr="00B54B36">
        <w:rPr>
          <w:szCs w:val="24"/>
          <w:u w:val="single"/>
        </w:rPr>
        <w:t xml:space="preserve">/s/ </w:t>
      </w:r>
      <w:r>
        <w:rPr>
          <w:i/>
          <w:iCs/>
          <w:szCs w:val="24"/>
          <w:u w:val="single"/>
        </w:rPr>
        <w:t>Christopher Healey</w:t>
      </w:r>
      <w:r w:rsidRPr="00B54B36">
        <w:rPr>
          <w:i/>
          <w:iCs/>
          <w:szCs w:val="24"/>
          <w:u w:val="single"/>
        </w:rPr>
        <w:tab/>
      </w:r>
      <w:r>
        <w:rPr>
          <w:i/>
          <w:iCs/>
          <w:szCs w:val="24"/>
          <w:u w:val="single"/>
        </w:rPr>
        <w:tab/>
      </w:r>
      <w:r>
        <w:rPr>
          <w:i/>
          <w:iCs/>
          <w:szCs w:val="24"/>
          <w:u w:val="single"/>
        </w:rPr>
        <w:tab/>
      </w:r>
    </w:p>
    <w:p w:rsidR="006735F7" w:rsidRPr="00B54B36" w:rsidP="006735F7">
      <w:pPr>
        <w:tabs>
          <w:tab w:val="left" w:pos="3960"/>
        </w:tabs>
        <w:ind w:firstLine="3960"/>
        <w:rPr>
          <w:szCs w:val="24"/>
        </w:rPr>
      </w:pPr>
      <w:r w:rsidRPr="00B54B36">
        <w:rPr>
          <w:szCs w:val="24"/>
        </w:rPr>
        <w:t>Amy Botschner O’Brien (0074423)</w:t>
      </w:r>
    </w:p>
    <w:p w:rsidR="006735F7" w:rsidRPr="00B54B36" w:rsidP="006735F7">
      <w:pPr>
        <w:tabs>
          <w:tab w:val="left" w:pos="3960"/>
        </w:tabs>
        <w:rPr>
          <w:szCs w:val="24"/>
        </w:rPr>
      </w:pPr>
      <w:r w:rsidRPr="00B54B36">
        <w:rPr>
          <w:szCs w:val="24"/>
        </w:rPr>
        <w:tab/>
        <w:t>Counsel of Record</w:t>
      </w:r>
    </w:p>
    <w:p w:rsidR="006735F7" w:rsidP="006735F7">
      <w:pPr>
        <w:tabs>
          <w:tab w:val="left" w:pos="3960"/>
        </w:tabs>
        <w:ind w:firstLine="3960"/>
        <w:rPr>
          <w:szCs w:val="24"/>
        </w:rPr>
      </w:pPr>
      <w:r w:rsidRPr="00B54B36">
        <w:rPr>
          <w:szCs w:val="24"/>
        </w:rPr>
        <w:t xml:space="preserve">Ambrosia E. </w:t>
      </w:r>
      <w:r w:rsidR="00763B87">
        <w:rPr>
          <w:szCs w:val="24"/>
        </w:rPr>
        <w:t>Wilson</w:t>
      </w:r>
      <w:r w:rsidRPr="00B54B36">
        <w:rPr>
          <w:szCs w:val="24"/>
        </w:rPr>
        <w:t xml:space="preserve"> (0096598)</w:t>
      </w:r>
    </w:p>
    <w:p w:rsidR="006735F7" w:rsidRPr="00B54B36" w:rsidP="006735F7">
      <w:pPr>
        <w:tabs>
          <w:tab w:val="left" w:pos="3960"/>
        </w:tabs>
        <w:ind w:firstLine="3960"/>
        <w:rPr>
          <w:szCs w:val="24"/>
        </w:rPr>
      </w:pPr>
      <w:r>
        <w:rPr>
          <w:szCs w:val="24"/>
        </w:rPr>
        <w:t>Christopher Healey (0086027)</w:t>
      </w:r>
    </w:p>
    <w:p w:rsidR="006735F7" w:rsidRPr="00B54B36" w:rsidP="006735F7">
      <w:pPr>
        <w:tabs>
          <w:tab w:val="left" w:pos="3960"/>
        </w:tabs>
        <w:ind w:firstLine="3960"/>
        <w:rPr>
          <w:szCs w:val="24"/>
        </w:rPr>
      </w:pPr>
      <w:r w:rsidRPr="00B54B36">
        <w:rPr>
          <w:szCs w:val="24"/>
        </w:rPr>
        <w:t>Assistant Consumers’ Counsel</w:t>
      </w:r>
    </w:p>
    <w:p w:rsidR="006735F7" w:rsidRPr="00B54B36" w:rsidP="006735F7">
      <w:pPr>
        <w:tabs>
          <w:tab w:val="left" w:pos="3960"/>
        </w:tabs>
        <w:rPr>
          <w:szCs w:val="24"/>
        </w:rPr>
      </w:pPr>
      <w:r w:rsidRPr="00B54B36">
        <w:rPr>
          <w:szCs w:val="24"/>
        </w:rPr>
        <w:tab/>
      </w:r>
    </w:p>
    <w:p w:rsidR="006735F7" w:rsidRPr="00B54B36" w:rsidP="006735F7">
      <w:pPr>
        <w:tabs>
          <w:tab w:val="left" w:pos="3960"/>
        </w:tabs>
        <w:rPr>
          <w:b/>
          <w:bCs/>
          <w:szCs w:val="24"/>
        </w:rPr>
      </w:pPr>
      <w:r w:rsidRPr="00B54B36">
        <w:rPr>
          <w:szCs w:val="24"/>
        </w:rPr>
        <w:tab/>
      </w:r>
      <w:r w:rsidRPr="00B54B36">
        <w:rPr>
          <w:b/>
          <w:bCs/>
          <w:szCs w:val="24"/>
        </w:rPr>
        <w:t>Office of the Ohio Consumers’ Counsel</w:t>
      </w:r>
    </w:p>
    <w:p w:rsidR="006735F7" w:rsidRPr="00B54B36" w:rsidP="006735F7">
      <w:pPr>
        <w:tabs>
          <w:tab w:val="left" w:pos="3960"/>
        </w:tabs>
        <w:rPr>
          <w:b/>
          <w:szCs w:val="24"/>
        </w:rPr>
      </w:pPr>
      <w:r w:rsidRPr="00B54B36">
        <w:rPr>
          <w:szCs w:val="24"/>
        </w:rPr>
        <w:tab/>
        <w:t>65 East State Street, 7th Floor</w:t>
      </w:r>
    </w:p>
    <w:p w:rsidR="006735F7" w:rsidRPr="00B54B36" w:rsidP="006735F7">
      <w:pPr>
        <w:tabs>
          <w:tab w:val="left" w:pos="3960"/>
        </w:tabs>
        <w:rPr>
          <w:b/>
          <w:szCs w:val="24"/>
        </w:rPr>
      </w:pPr>
      <w:r w:rsidRPr="00B54B36">
        <w:rPr>
          <w:szCs w:val="24"/>
        </w:rPr>
        <w:tab/>
        <w:t>Columbus, Ohio 43215</w:t>
      </w:r>
    </w:p>
    <w:p w:rsidR="006735F7" w:rsidRPr="00B54B36" w:rsidP="006735F7">
      <w:pPr>
        <w:tabs>
          <w:tab w:val="left" w:pos="3960"/>
        </w:tabs>
        <w:autoSpaceDE w:val="0"/>
        <w:autoSpaceDN w:val="0"/>
        <w:adjustRightInd w:val="0"/>
        <w:ind w:left="3600" w:firstLine="360"/>
        <w:rPr>
          <w:szCs w:val="24"/>
        </w:rPr>
      </w:pPr>
      <w:r w:rsidRPr="00B54B36">
        <w:rPr>
          <w:szCs w:val="24"/>
        </w:rPr>
        <w:t>Telephone [Botschner O’Brien]: (614) 466-9575</w:t>
      </w:r>
    </w:p>
    <w:p w:rsidR="006735F7" w:rsidP="006735F7">
      <w:pPr>
        <w:tabs>
          <w:tab w:val="left" w:pos="3960"/>
        </w:tabs>
        <w:autoSpaceDE w:val="0"/>
        <w:autoSpaceDN w:val="0"/>
        <w:adjustRightInd w:val="0"/>
        <w:ind w:left="3600" w:firstLine="360"/>
        <w:rPr>
          <w:szCs w:val="24"/>
        </w:rPr>
      </w:pPr>
      <w:r w:rsidRPr="00B54B36">
        <w:rPr>
          <w:szCs w:val="24"/>
        </w:rPr>
        <w:t>Telephone [</w:t>
      </w:r>
      <w:r>
        <w:rPr>
          <w:szCs w:val="24"/>
        </w:rPr>
        <w:t>Wilson</w:t>
      </w:r>
      <w:r w:rsidRPr="00B54B36">
        <w:rPr>
          <w:szCs w:val="24"/>
        </w:rPr>
        <w:t>]: (614) 466-1292</w:t>
      </w:r>
    </w:p>
    <w:p w:rsidR="006735F7" w:rsidRPr="00B54B36" w:rsidP="006735F7">
      <w:pPr>
        <w:tabs>
          <w:tab w:val="left" w:pos="3960"/>
        </w:tabs>
        <w:autoSpaceDE w:val="0"/>
        <w:autoSpaceDN w:val="0"/>
        <w:adjustRightInd w:val="0"/>
        <w:ind w:left="3600" w:firstLine="360"/>
        <w:rPr>
          <w:szCs w:val="24"/>
        </w:rPr>
      </w:pPr>
      <w:r>
        <w:rPr>
          <w:szCs w:val="24"/>
        </w:rPr>
        <w:t>Telephone [Healey]: (614) 466-9571</w:t>
      </w:r>
    </w:p>
    <w:p w:rsidR="006735F7" w:rsidRPr="00B54B36" w:rsidP="006735F7">
      <w:pPr>
        <w:tabs>
          <w:tab w:val="left" w:pos="3960"/>
        </w:tabs>
        <w:ind w:firstLine="360"/>
        <w:rPr>
          <w:rStyle w:val="Hyperlink"/>
          <w:szCs w:val="24"/>
        </w:rPr>
      </w:pPr>
      <w:r w:rsidRPr="00B54B36">
        <w:rPr>
          <w:szCs w:val="24"/>
        </w:rPr>
        <w:tab/>
      </w:r>
      <w:hyperlink r:id="rId6" w:history="1">
        <w:r w:rsidRPr="00B54B36">
          <w:rPr>
            <w:rStyle w:val="Hyperlink"/>
            <w:szCs w:val="24"/>
          </w:rPr>
          <w:t>amy.botschner.obrien@occ.ohio.gov</w:t>
        </w:r>
      </w:hyperlink>
    </w:p>
    <w:p w:rsidR="006735F7" w:rsidP="006735F7">
      <w:pPr>
        <w:tabs>
          <w:tab w:val="left" w:pos="3960"/>
        </w:tabs>
        <w:ind w:firstLine="360"/>
      </w:pPr>
      <w:r w:rsidRPr="00B54B36">
        <w:rPr>
          <w:rStyle w:val="Hyperlink"/>
          <w:szCs w:val="24"/>
          <w:u w:val="none"/>
        </w:rPr>
        <w:tab/>
      </w:r>
      <w:hyperlink r:id="rId7" w:history="1">
        <w:r w:rsidRPr="00262DD0">
          <w:rPr>
            <w:rStyle w:val="Hyperlink"/>
            <w:szCs w:val="24"/>
          </w:rPr>
          <w:t>ambrosia.wilson@occ.ohio.gov</w:t>
        </w:r>
      </w:hyperlink>
    </w:p>
    <w:p w:rsidR="006735F7" w:rsidP="006735F7">
      <w:pPr>
        <w:tabs>
          <w:tab w:val="left" w:pos="3960"/>
        </w:tabs>
        <w:ind w:firstLine="3960"/>
        <w:rPr>
          <w:rStyle w:val="Hyperlink"/>
          <w:szCs w:val="24"/>
          <w:u w:val="none"/>
        </w:rPr>
      </w:pPr>
      <w:hyperlink r:id="rId8" w:history="1">
        <w:r w:rsidRPr="00192ABA" w:rsidR="000D5C64">
          <w:rPr>
            <w:rStyle w:val="Hyperlink"/>
          </w:rPr>
          <w:t>christopher.healey@occ.ohio.gov</w:t>
        </w:r>
      </w:hyperlink>
      <w:r w:rsidR="000D5C64">
        <w:t xml:space="preserve"> </w:t>
      </w:r>
    </w:p>
    <w:p w:rsidR="00A044B5" w:rsidRPr="006735F7" w:rsidP="006735F7">
      <w:pPr>
        <w:tabs>
          <w:tab w:val="left" w:pos="3960"/>
        </w:tabs>
        <w:ind w:firstLine="3960"/>
        <w:rPr>
          <w:color w:val="0000FF"/>
          <w:szCs w:val="24"/>
        </w:rPr>
      </w:pPr>
      <w:r w:rsidRPr="00B54B36">
        <w:rPr>
          <w:szCs w:val="24"/>
        </w:rPr>
        <w:t>(willing to accept service by e-mail)</w:t>
      </w:r>
    </w:p>
    <w:p w:rsidR="00A044B5" w:rsidRPr="00D46F5E" w:rsidP="0004208F">
      <w:pPr>
        <w:rPr>
          <w:szCs w:val="24"/>
        </w:rPr>
      </w:pPr>
    </w:p>
    <w:p w:rsidR="00AA603E">
      <w:pPr>
        <w:rPr>
          <w:b/>
          <w:bCs/>
          <w:szCs w:val="24"/>
          <w:u w:val="single"/>
        </w:rPr>
      </w:pPr>
      <w:r>
        <w:rPr>
          <w:b/>
          <w:bCs/>
          <w:szCs w:val="24"/>
          <w:u w:val="single"/>
        </w:rPr>
        <w:br w:type="page"/>
      </w:r>
    </w:p>
    <w:p w:rsidR="00A044B5" w:rsidRPr="00D46F5E" w:rsidP="0004208F">
      <w:pPr>
        <w:jc w:val="center"/>
        <w:rPr>
          <w:b/>
          <w:bCs/>
          <w:szCs w:val="24"/>
          <w:u w:val="single"/>
        </w:rPr>
      </w:pPr>
      <w:r w:rsidRPr="00D46F5E">
        <w:rPr>
          <w:b/>
          <w:bCs/>
          <w:szCs w:val="24"/>
          <w:u w:val="single"/>
        </w:rPr>
        <w:t>CERTIFICATE OF SERVICE</w:t>
      </w:r>
    </w:p>
    <w:p w:rsidR="00A044B5" w:rsidRPr="00D46F5E" w:rsidP="0004208F">
      <w:pPr>
        <w:spacing w:line="480" w:lineRule="atLeast"/>
        <w:rPr>
          <w:szCs w:val="24"/>
        </w:rPr>
      </w:pPr>
      <w:r w:rsidRPr="00D46F5E">
        <w:rPr>
          <w:szCs w:val="24"/>
        </w:rPr>
        <w:tab/>
        <w:t>I hereby certify that a copy of th</w:t>
      </w:r>
      <w:r w:rsidRPr="00D46F5E" w:rsidR="005A0D38">
        <w:rPr>
          <w:szCs w:val="24"/>
        </w:rPr>
        <w:t xml:space="preserve">is </w:t>
      </w:r>
      <w:r w:rsidR="000E1957">
        <w:rPr>
          <w:szCs w:val="24"/>
        </w:rPr>
        <w:t>Reply</w:t>
      </w:r>
      <w:r w:rsidRPr="00D46F5E" w:rsidR="005A0D38">
        <w:rPr>
          <w:szCs w:val="24"/>
        </w:rPr>
        <w:t xml:space="preserve"> Brief </w:t>
      </w:r>
      <w:r w:rsidRPr="00D46F5E">
        <w:rPr>
          <w:szCs w:val="24"/>
        </w:rPr>
        <w:t xml:space="preserve">was served on the persons stated below </w:t>
      </w:r>
      <w:r w:rsidRPr="00D46F5E">
        <w:rPr>
          <w:i/>
          <w:szCs w:val="24"/>
        </w:rPr>
        <w:t>via</w:t>
      </w:r>
      <w:r w:rsidRPr="00D46F5E" w:rsidR="002A4912">
        <w:rPr>
          <w:szCs w:val="24"/>
        </w:rPr>
        <w:t xml:space="preserve"> electronic transmission</w:t>
      </w:r>
      <w:r w:rsidRPr="00D46F5E">
        <w:rPr>
          <w:szCs w:val="24"/>
        </w:rPr>
        <w:t xml:space="preserve">, this </w:t>
      </w:r>
      <w:r w:rsidR="00A12228">
        <w:rPr>
          <w:szCs w:val="24"/>
        </w:rPr>
        <w:t>17th</w:t>
      </w:r>
      <w:r w:rsidRPr="00D46F5E" w:rsidR="008C6C9F">
        <w:rPr>
          <w:szCs w:val="24"/>
        </w:rPr>
        <w:t xml:space="preserve"> </w:t>
      </w:r>
      <w:r w:rsidRPr="00D46F5E">
        <w:rPr>
          <w:szCs w:val="24"/>
        </w:rPr>
        <w:t xml:space="preserve">day of </w:t>
      </w:r>
      <w:r w:rsidR="0004693B">
        <w:rPr>
          <w:szCs w:val="24"/>
        </w:rPr>
        <w:t>September</w:t>
      </w:r>
      <w:r w:rsidRPr="00D46F5E">
        <w:rPr>
          <w:szCs w:val="24"/>
        </w:rPr>
        <w:t xml:space="preserve"> 2020.</w:t>
      </w:r>
    </w:p>
    <w:p w:rsidR="00A044B5" w:rsidRPr="00D46F5E" w:rsidP="0004208F">
      <w:pPr>
        <w:spacing w:line="480" w:lineRule="atLeast"/>
        <w:rPr>
          <w:szCs w:val="24"/>
        </w:rPr>
      </w:pPr>
    </w:p>
    <w:p w:rsidR="00A044B5" w:rsidRPr="00D46F5E" w:rsidP="0004208F">
      <w:pPr>
        <w:tabs>
          <w:tab w:val="left" w:pos="4320"/>
        </w:tabs>
        <w:rPr>
          <w:i/>
          <w:iCs/>
          <w:szCs w:val="24"/>
          <w:u w:val="single"/>
        </w:rPr>
      </w:pPr>
      <w:r w:rsidRPr="00D46F5E">
        <w:rPr>
          <w:szCs w:val="24"/>
        </w:rPr>
        <w:tab/>
      </w:r>
      <w:r w:rsidRPr="00D46F5E" w:rsidR="00D57131">
        <w:rPr>
          <w:szCs w:val="24"/>
          <w:u w:val="single"/>
        </w:rPr>
        <w:t xml:space="preserve">/s/ </w:t>
      </w:r>
      <w:r w:rsidRPr="00D46F5E" w:rsidR="005A0D38">
        <w:rPr>
          <w:i/>
          <w:iCs/>
          <w:szCs w:val="24"/>
          <w:u w:val="single"/>
        </w:rPr>
        <w:t>Christopher Healey</w:t>
      </w:r>
      <w:r w:rsidRPr="00D46F5E" w:rsidR="00D57131">
        <w:rPr>
          <w:i/>
          <w:iCs/>
          <w:szCs w:val="24"/>
          <w:u w:val="single"/>
        </w:rPr>
        <w:tab/>
      </w:r>
      <w:r w:rsidRPr="00D46F5E" w:rsidR="00D57131">
        <w:rPr>
          <w:i/>
          <w:iCs/>
          <w:szCs w:val="24"/>
          <w:u w:val="single"/>
        </w:rPr>
        <w:tab/>
      </w:r>
    </w:p>
    <w:p w:rsidR="00A044B5" w:rsidRPr="00D46F5E" w:rsidP="0004208F">
      <w:pPr>
        <w:tabs>
          <w:tab w:val="left" w:pos="4320"/>
        </w:tabs>
        <w:rPr>
          <w:szCs w:val="24"/>
        </w:rPr>
      </w:pPr>
      <w:r w:rsidRPr="00D46F5E">
        <w:rPr>
          <w:szCs w:val="24"/>
        </w:rPr>
        <w:tab/>
      </w:r>
      <w:r w:rsidRPr="00D46F5E" w:rsidR="005A0D38">
        <w:rPr>
          <w:szCs w:val="24"/>
        </w:rPr>
        <w:t>Christopher Healey</w:t>
      </w:r>
    </w:p>
    <w:p w:rsidR="00A044B5" w:rsidRPr="00D46F5E" w:rsidP="0004208F">
      <w:pPr>
        <w:tabs>
          <w:tab w:val="left" w:pos="4320"/>
        </w:tabs>
        <w:rPr>
          <w:szCs w:val="24"/>
        </w:rPr>
      </w:pPr>
      <w:r w:rsidRPr="00D46F5E">
        <w:rPr>
          <w:szCs w:val="24"/>
        </w:rPr>
        <w:tab/>
        <w:t>Assistant Consumers</w:t>
      </w:r>
      <w:r w:rsidRPr="00D46F5E" w:rsidR="00DA7A21">
        <w:rPr>
          <w:szCs w:val="24"/>
        </w:rPr>
        <w:t>’</w:t>
      </w:r>
      <w:r w:rsidRPr="00D46F5E">
        <w:rPr>
          <w:szCs w:val="24"/>
        </w:rPr>
        <w:t xml:space="preserve"> Counsel</w:t>
      </w:r>
    </w:p>
    <w:p w:rsidR="00A044B5" w:rsidRPr="00D46F5E" w:rsidP="0004208F">
      <w:pPr>
        <w:pStyle w:val="CommentSubject"/>
        <w:rPr>
          <w:szCs w:val="24"/>
        </w:rPr>
      </w:pPr>
    </w:p>
    <w:p w:rsidR="00DA7A21" w:rsidRPr="00D46F5E" w:rsidP="0004208F">
      <w:pPr>
        <w:rPr>
          <w:szCs w:val="24"/>
        </w:rPr>
      </w:pPr>
      <w:r w:rsidRPr="00D46F5E">
        <w:rPr>
          <w:szCs w:val="24"/>
        </w:rPr>
        <w:t>The PUCO’s e-filing system will electronically serve notice of the filing of this document on the following parties:</w:t>
      </w:r>
    </w:p>
    <w:p w:rsidR="00A044B5" w:rsidRPr="00D46F5E" w:rsidP="0004208F">
      <w:pPr>
        <w:pStyle w:val="CommentText"/>
      </w:pPr>
    </w:p>
    <w:p w:rsidR="0002433C" w:rsidP="0002433C">
      <w:pPr>
        <w:pStyle w:val="CommentText"/>
        <w:jc w:val="center"/>
        <w:rPr>
          <w:b/>
          <w:u w:val="single"/>
        </w:rPr>
      </w:pPr>
      <w:r>
        <w:rPr>
          <w:b/>
          <w:u w:val="single"/>
        </w:rPr>
        <w:t>SERVICE LIST</w:t>
      </w:r>
    </w:p>
    <w:p w:rsidR="0002433C" w:rsidP="0002433C">
      <w:pPr>
        <w:pStyle w:val="CommentText"/>
        <w:jc w:val="center"/>
        <w:rPr>
          <w:b/>
          <w:u w:val="single"/>
        </w:rPr>
      </w:pPr>
    </w:p>
    <w:tbl>
      <w:tblPr>
        <w:tblW w:w="0" w:type="auto"/>
        <w:tblLook w:val="04A0"/>
      </w:tblPr>
      <w:tblGrid>
        <w:gridCol w:w="4428"/>
        <w:gridCol w:w="4428"/>
      </w:tblGrid>
      <w:tr w:rsidTr="001F243B">
        <w:tblPrEx>
          <w:tblW w:w="0" w:type="auto"/>
          <w:tblLook w:val="04A0"/>
        </w:tblPrEx>
        <w:tc>
          <w:tcPr>
            <w:tcW w:w="4428" w:type="dxa"/>
          </w:tcPr>
          <w:p w:rsidR="0002433C" w:rsidP="00723BFB">
            <w:pPr>
              <w:spacing w:line="256" w:lineRule="auto"/>
              <w:rPr>
                <w:rStyle w:val="Hyperlink"/>
                <w:szCs w:val="24"/>
              </w:rPr>
            </w:pPr>
            <w:hyperlink r:id="rId12" w:history="1">
              <w:r w:rsidRPr="009C156A" w:rsidR="000D5C64">
                <w:rPr>
                  <w:rStyle w:val="Hyperlink"/>
                </w:rPr>
                <w:t>w</w:t>
              </w:r>
              <w:r w:rsidRPr="009C156A" w:rsidR="000D5C64">
                <w:rPr>
                  <w:rStyle w:val="Hyperlink"/>
                  <w:szCs w:val="24"/>
                </w:rPr>
                <w:t>erner.margard@ohioattorneygeneral.gov</w:t>
              </w:r>
            </w:hyperlink>
          </w:p>
          <w:p w:rsidR="00723BFB" w:rsidP="001F243B">
            <w:pPr>
              <w:spacing w:after="160" w:line="256" w:lineRule="auto"/>
              <w:rPr>
                <w:color w:val="0000FF"/>
                <w:szCs w:val="24"/>
                <w:u w:val="single"/>
              </w:rPr>
            </w:pPr>
          </w:p>
          <w:p w:rsidR="0002433C" w:rsidP="001F243B">
            <w:pPr>
              <w:pStyle w:val="CommentText"/>
            </w:pPr>
            <w:r>
              <w:t>Attorney Examiners:</w:t>
            </w:r>
          </w:p>
          <w:p w:rsidR="0002433C" w:rsidP="001F243B">
            <w:pPr>
              <w:pStyle w:val="CommentText"/>
            </w:pPr>
          </w:p>
          <w:p w:rsidR="0002433C" w:rsidP="001F243B">
            <w:pPr>
              <w:adjustRightInd w:val="0"/>
              <w:rPr>
                <w:color w:val="0000FF"/>
                <w:szCs w:val="24"/>
                <w:u w:val="single"/>
              </w:rPr>
            </w:pPr>
            <w:r>
              <w:rPr>
                <w:color w:val="0000FF"/>
                <w:szCs w:val="24"/>
                <w:u w:val="single"/>
              </w:rPr>
              <w:t>patricia.schabo@puco.ohio.gov</w:t>
            </w:r>
          </w:p>
          <w:p w:rsidR="0002433C" w:rsidP="001F243B">
            <w:pPr>
              <w:spacing w:after="160" w:line="256" w:lineRule="auto"/>
              <w:rPr>
                <w:u w:val="single"/>
              </w:rPr>
            </w:pPr>
          </w:p>
        </w:tc>
        <w:tc>
          <w:tcPr>
            <w:tcW w:w="4428" w:type="dxa"/>
          </w:tcPr>
          <w:p w:rsidR="0002433C" w:rsidP="0002433C">
            <w:pPr>
              <w:pStyle w:val="BodyText"/>
              <w:ind w:left="614"/>
              <w:rPr>
                <w:color w:val="0000FF"/>
                <w:szCs w:val="24"/>
                <w:u w:val="single"/>
              </w:rPr>
            </w:pPr>
            <w:r>
              <w:rPr>
                <w:color w:val="0000FF"/>
                <w:szCs w:val="24"/>
                <w:u w:val="single"/>
              </w:rPr>
              <w:t>kennedy@whitt-sturtevant.com</w:t>
            </w:r>
          </w:p>
          <w:p w:rsidR="0002433C" w:rsidP="0002433C">
            <w:pPr>
              <w:pStyle w:val="BodyText"/>
              <w:ind w:left="614"/>
              <w:rPr>
                <w:color w:val="0000FF"/>
                <w:szCs w:val="24"/>
                <w:u w:val="single"/>
              </w:rPr>
            </w:pPr>
            <w:hyperlink r:id="rId13" w:history="1">
              <w:r w:rsidR="000D5C64">
                <w:rPr>
                  <w:rStyle w:val="Hyperlink"/>
                  <w:szCs w:val="24"/>
                </w:rPr>
                <w:t>fykes@whitt-sturtevant.com</w:t>
              </w:r>
            </w:hyperlink>
          </w:p>
          <w:p w:rsidR="0002433C" w:rsidP="0002433C">
            <w:pPr>
              <w:pStyle w:val="BodyText"/>
              <w:ind w:left="614"/>
              <w:rPr>
                <w:color w:val="0000FF"/>
                <w:szCs w:val="24"/>
              </w:rPr>
            </w:pPr>
            <w:hyperlink r:id="rId14" w:history="1">
              <w:r w:rsidR="000D5C64">
                <w:rPr>
                  <w:rStyle w:val="Hyperlink"/>
                  <w:szCs w:val="24"/>
                </w:rPr>
                <w:t>ccox@elpc.org</w:t>
              </w:r>
            </w:hyperlink>
          </w:p>
          <w:p w:rsidR="0002433C" w:rsidP="0002433C">
            <w:pPr>
              <w:pStyle w:val="BodyText"/>
              <w:ind w:left="614"/>
              <w:rPr>
                <w:color w:val="0000FF"/>
                <w:szCs w:val="24"/>
              </w:rPr>
            </w:pPr>
            <w:hyperlink r:id="rId15" w:history="1">
              <w:r w:rsidR="000D5C64">
                <w:rPr>
                  <w:rStyle w:val="Hyperlink"/>
                  <w:szCs w:val="24"/>
                </w:rPr>
                <w:t>rdove@keglerbrown.com</w:t>
              </w:r>
            </w:hyperlink>
          </w:p>
          <w:p w:rsidR="0002433C" w:rsidP="0002433C">
            <w:pPr>
              <w:pStyle w:val="BodyText"/>
              <w:ind w:left="614"/>
              <w:rPr>
                <w:color w:val="0000FF"/>
                <w:szCs w:val="24"/>
              </w:rPr>
            </w:pPr>
            <w:hyperlink r:id="rId16" w:history="1">
              <w:r w:rsidRPr="009C156A" w:rsidR="000D5C64">
                <w:rPr>
                  <w:rStyle w:val="Hyperlink"/>
                </w:rPr>
                <w:t>m</w:t>
              </w:r>
              <w:r w:rsidRPr="009C156A" w:rsidR="000D5C64">
                <w:rPr>
                  <w:rStyle w:val="Hyperlink"/>
                  <w:szCs w:val="24"/>
                </w:rPr>
                <w:t>ichael.nugent@igs.com</w:t>
              </w:r>
            </w:hyperlink>
          </w:p>
          <w:p w:rsidR="0002433C" w:rsidP="0002433C">
            <w:pPr>
              <w:pStyle w:val="BodyText"/>
              <w:ind w:left="614"/>
              <w:rPr>
                <w:color w:val="0000FF"/>
                <w:szCs w:val="24"/>
              </w:rPr>
            </w:pPr>
            <w:hyperlink r:id="rId17" w:history="1">
              <w:r w:rsidRPr="009C156A" w:rsidR="000D5C64">
                <w:rPr>
                  <w:rStyle w:val="Hyperlink"/>
                </w:rPr>
                <w:t>j</w:t>
              </w:r>
              <w:r w:rsidRPr="009C156A" w:rsidR="000D5C64">
                <w:rPr>
                  <w:rStyle w:val="Hyperlink"/>
                  <w:szCs w:val="24"/>
                </w:rPr>
                <w:t>oe.oliker@igs.com</w:t>
              </w:r>
            </w:hyperlink>
          </w:p>
          <w:p w:rsidR="0002433C" w:rsidP="0002433C">
            <w:pPr>
              <w:pStyle w:val="BodyText"/>
              <w:ind w:left="614"/>
              <w:rPr>
                <w:color w:val="0000FF"/>
                <w:szCs w:val="24"/>
              </w:rPr>
            </w:pPr>
            <w:hyperlink r:id="rId18" w:history="1">
              <w:r w:rsidRPr="009C156A" w:rsidR="000D5C64">
                <w:rPr>
                  <w:rStyle w:val="Hyperlink"/>
                </w:rPr>
                <w:t>b</w:t>
              </w:r>
              <w:r w:rsidRPr="009C156A" w:rsidR="000D5C64">
                <w:rPr>
                  <w:rStyle w:val="Hyperlink"/>
                  <w:szCs w:val="24"/>
                </w:rPr>
                <w:t>ethany.allen@igs.com</w:t>
              </w:r>
            </w:hyperlink>
          </w:p>
          <w:p w:rsidR="0002433C" w:rsidP="0002433C">
            <w:pPr>
              <w:pStyle w:val="BodyText"/>
              <w:ind w:left="614"/>
              <w:rPr>
                <w:color w:val="0000FF"/>
                <w:szCs w:val="24"/>
              </w:rPr>
            </w:pPr>
            <w:hyperlink r:id="rId19" w:history="1">
              <w:r w:rsidR="000D5C64">
                <w:rPr>
                  <w:rStyle w:val="Hyperlink"/>
                  <w:szCs w:val="24"/>
                </w:rPr>
                <w:t>mjsettineri@vorys.com</w:t>
              </w:r>
            </w:hyperlink>
          </w:p>
          <w:p w:rsidR="0002433C" w:rsidP="0002433C">
            <w:pPr>
              <w:pStyle w:val="BodyText"/>
              <w:ind w:left="614"/>
              <w:rPr>
                <w:color w:val="0000FF"/>
                <w:szCs w:val="24"/>
              </w:rPr>
            </w:pPr>
            <w:hyperlink r:id="rId20" w:history="1">
              <w:r w:rsidR="000D5C64">
                <w:rPr>
                  <w:rStyle w:val="Hyperlink"/>
                  <w:szCs w:val="24"/>
                </w:rPr>
                <w:t>glpetrucci@vorys.com</w:t>
              </w:r>
            </w:hyperlink>
          </w:p>
          <w:p w:rsidR="0002433C" w:rsidP="001F243B">
            <w:pPr>
              <w:pStyle w:val="BodyText"/>
              <w:rPr>
                <w:color w:val="0000FF"/>
                <w:szCs w:val="24"/>
                <w:u w:val="single"/>
              </w:rPr>
            </w:pPr>
          </w:p>
        </w:tc>
      </w:tr>
    </w:tbl>
    <w:p w:rsidR="005956C8" w:rsidRPr="00D46F5E" w:rsidP="0002433C">
      <w:pPr>
        <w:pStyle w:val="CommentText"/>
        <w:jc w:val="center"/>
        <w:rPr>
          <w:b/>
          <w:u w:val="single"/>
        </w:rPr>
      </w:pPr>
    </w:p>
    <w:sectPr w:rsidSect="0002433C">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8209882"/>
      <w:docPartObj>
        <w:docPartGallery w:val="Page Numbers (Bottom of Page)"/>
        <w:docPartUnique/>
      </w:docPartObj>
    </w:sdtPr>
    <w:sdtEndPr>
      <w:rPr>
        <w:sz w:val="24"/>
        <w:szCs w:val="24"/>
      </w:rPr>
    </w:sdtEndPr>
    <w:sdtContent>
      <w:p w:rsidR="00E32FD0" w:rsidRPr="00610BCA">
        <w:pPr>
          <w:pStyle w:val="Footer"/>
          <w:jc w:val="center"/>
          <w:rPr>
            <w:sz w:val="24"/>
            <w:szCs w:val="24"/>
          </w:rPr>
        </w:pPr>
        <w:r w:rsidRPr="00610BCA">
          <w:rPr>
            <w:sz w:val="24"/>
            <w:szCs w:val="24"/>
          </w:rPr>
          <w:fldChar w:fldCharType="begin"/>
        </w:r>
        <w:r w:rsidRPr="00610BCA">
          <w:rPr>
            <w:sz w:val="24"/>
            <w:szCs w:val="24"/>
          </w:rPr>
          <w:instrText xml:space="preserve"> PAGE   \* MERGEFORMAT </w:instrText>
        </w:r>
        <w:r w:rsidRPr="00610BCA">
          <w:rPr>
            <w:sz w:val="24"/>
            <w:szCs w:val="24"/>
          </w:rPr>
          <w:fldChar w:fldCharType="separate"/>
        </w:r>
        <w:r w:rsidR="00CB1091">
          <w:rPr>
            <w:noProof/>
            <w:sz w:val="24"/>
            <w:szCs w:val="24"/>
          </w:rPr>
          <w:t>10</w:t>
        </w:r>
        <w:r w:rsidRPr="00610BC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FD0" w:rsidRPr="0002433C">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1104692"/>
      <w:docPartObj>
        <w:docPartGallery w:val="Page Numbers (Bottom of Page)"/>
        <w:docPartUnique/>
      </w:docPartObj>
    </w:sdtPr>
    <w:sdtEndPr>
      <w:rPr>
        <w:noProof/>
        <w:sz w:val="24"/>
        <w:szCs w:val="24"/>
      </w:rPr>
    </w:sdtEndPr>
    <w:sdtContent>
      <w:p w:rsidR="00E32FD0" w:rsidRPr="00DA11D1">
        <w:pPr>
          <w:pStyle w:val="Footer"/>
          <w:jc w:val="center"/>
          <w:rPr>
            <w:sz w:val="24"/>
            <w:szCs w:val="24"/>
          </w:rPr>
        </w:pPr>
        <w:r w:rsidRPr="00DA11D1">
          <w:rPr>
            <w:sz w:val="24"/>
            <w:szCs w:val="24"/>
          </w:rPr>
          <w:fldChar w:fldCharType="begin"/>
        </w:r>
        <w:r w:rsidRPr="00DA11D1">
          <w:rPr>
            <w:sz w:val="24"/>
            <w:szCs w:val="24"/>
          </w:rPr>
          <w:instrText xml:space="preserve"> PAGE   \* MERGEFORMAT </w:instrText>
        </w:r>
        <w:r w:rsidRPr="00DA11D1">
          <w:rPr>
            <w:sz w:val="24"/>
            <w:szCs w:val="24"/>
          </w:rPr>
          <w:fldChar w:fldCharType="separate"/>
        </w:r>
        <w:r w:rsidR="00CB1091">
          <w:rPr>
            <w:noProof/>
            <w:sz w:val="24"/>
            <w:szCs w:val="24"/>
          </w:rPr>
          <w:t>1</w:t>
        </w:r>
        <w:r w:rsidRPr="00DA11D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1194">
      <w:r>
        <w:separator/>
      </w:r>
    </w:p>
  </w:footnote>
  <w:footnote w:type="continuationSeparator" w:id="1">
    <w:p w:rsidR="002C1194">
      <w:r>
        <w:continuationSeparator/>
      </w:r>
    </w:p>
  </w:footnote>
  <w:footnote w:id="2">
    <w:p w:rsidR="00E32FD0" w:rsidP="007C5F49">
      <w:pPr>
        <w:pStyle w:val="FootnoteText"/>
        <w:spacing w:after="120"/>
      </w:pPr>
      <w:r>
        <w:rPr>
          <w:rStyle w:val="FootnoteReference"/>
        </w:rPr>
        <w:footnoteRef/>
      </w:r>
      <w:r>
        <w:t xml:space="preserve"> Application at 8, Table 1 ($2,102,145 in 2021 to weatherize 334 homes).</w:t>
      </w:r>
    </w:p>
  </w:footnote>
  <w:footnote w:id="3">
    <w:p w:rsidR="00E32FD0" w:rsidP="007C5F49">
      <w:pPr>
        <w:pStyle w:val="FootnoteText"/>
        <w:spacing w:after="120"/>
      </w:pPr>
      <w:r>
        <w:rPr>
          <w:rStyle w:val="FootnoteReference"/>
        </w:rPr>
        <w:footnoteRef/>
      </w:r>
      <w:r>
        <w:t xml:space="preserve"> Application at 8, Table 1 (69,531 ccf saved by 334 customers; 69,531 / 334 = 208 ccf per customer).</w:t>
      </w:r>
    </w:p>
  </w:footnote>
  <w:footnote w:id="4">
    <w:p w:rsidR="00E32FD0" w:rsidRPr="00213783" w:rsidP="007C5F49">
      <w:pPr>
        <w:pStyle w:val="FootnoteText"/>
        <w:spacing w:after="120"/>
      </w:pPr>
      <w:r>
        <w:rPr>
          <w:rStyle w:val="FootnoteReference"/>
        </w:rPr>
        <w:footnoteRef/>
      </w:r>
      <w:r>
        <w:t xml:space="preserve"> </w:t>
      </w:r>
      <w:r>
        <w:rPr>
          <w:i/>
        </w:rPr>
        <w:t>See</w:t>
      </w:r>
      <w:r>
        <w:t xml:space="preserve"> </w:t>
      </w:r>
      <w:hyperlink r:id="rId1" w:history="1">
        <w:r w:rsidRPr="002A0E90">
          <w:rPr>
            <w:rStyle w:val="Hyperlink"/>
          </w:rPr>
          <w:t>http://www.energychoice.ohio.gov/ApplesToApplesComparision.aspx?Category=NaturalGas&amp;TerritoryId=11&amp;RateCode=1</w:t>
        </w:r>
      </w:hyperlink>
      <w:r>
        <w:t xml:space="preserve"> (accessed Sept. 8, 2020).</w:t>
      </w:r>
    </w:p>
  </w:footnote>
  <w:footnote w:id="5">
    <w:p w:rsidR="00E32FD0" w:rsidRPr="00C61E3C" w:rsidP="007C5F49">
      <w:pPr>
        <w:pStyle w:val="FootnoteText"/>
        <w:spacing w:after="120"/>
      </w:pPr>
      <w:r>
        <w:rPr>
          <w:rStyle w:val="FootnoteReference"/>
        </w:rPr>
        <w:footnoteRef/>
      </w:r>
      <w:r>
        <w:t xml:space="preserve"> $6,200 / $73 = 84.9 years. Vectren conveniently omits the weatherization program from its cost-effectiveness calculations when touting the benefits of the programs. </w:t>
      </w:r>
      <w:r>
        <w:rPr>
          <w:i/>
        </w:rPr>
        <w:t>See</w:t>
      </w:r>
      <w:r>
        <w:t xml:space="preserve"> Vectren Brief at 14-16.</w:t>
      </w:r>
    </w:p>
  </w:footnote>
  <w:footnote w:id="6">
    <w:p w:rsidR="00E32FD0" w:rsidP="007C5F49">
      <w:pPr>
        <w:pStyle w:val="FootnoteText"/>
        <w:spacing w:after="120"/>
      </w:pPr>
      <w:r>
        <w:rPr>
          <w:rStyle w:val="FootnoteReference"/>
        </w:rPr>
        <w:footnoteRef/>
      </w:r>
      <w:r>
        <w:t xml:space="preserve"> Williams Testimony at 7.</w:t>
      </w:r>
    </w:p>
  </w:footnote>
  <w:footnote w:id="7">
    <w:p w:rsidR="00E32FD0" w:rsidRPr="00C61E3C" w:rsidP="007C5F49">
      <w:pPr>
        <w:pStyle w:val="FootnoteText"/>
        <w:spacing w:after="120"/>
      </w:pPr>
      <w:r>
        <w:rPr>
          <w:rStyle w:val="FootnoteReference"/>
        </w:rPr>
        <w:footnoteRef/>
      </w:r>
      <w:r>
        <w:t xml:space="preserve"> </w:t>
      </w:r>
      <w:r>
        <w:rPr>
          <w:i/>
        </w:rPr>
        <w:t>Id.</w:t>
      </w:r>
      <w:r>
        <w:t xml:space="preserve"> at 6-7.</w:t>
      </w:r>
    </w:p>
  </w:footnote>
  <w:footnote w:id="8">
    <w:p w:rsidR="00E32FD0" w:rsidP="007C5F49">
      <w:pPr>
        <w:pStyle w:val="FootnoteText"/>
        <w:spacing w:after="120"/>
      </w:pPr>
      <w:r>
        <w:rPr>
          <w:rStyle w:val="FootnoteReference"/>
        </w:rPr>
        <w:footnoteRef/>
      </w:r>
      <w:r>
        <w:t xml:space="preserve"> Williams Testimony at 20-21.</w:t>
      </w:r>
    </w:p>
  </w:footnote>
  <w:footnote w:id="9">
    <w:p w:rsidR="00E32FD0" w:rsidP="007C5F49">
      <w:pPr>
        <w:pStyle w:val="FootnoteText"/>
        <w:spacing w:after="120"/>
      </w:pPr>
      <w:r>
        <w:rPr>
          <w:rStyle w:val="FootnoteReference"/>
        </w:rPr>
        <w:footnoteRef/>
      </w:r>
      <w:r>
        <w:t xml:space="preserve"> Vectren Brief at 1.</w:t>
      </w:r>
    </w:p>
  </w:footnote>
  <w:footnote w:id="10">
    <w:p w:rsidR="00E32FD0" w:rsidP="007C5F49">
      <w:pPr>
        <w:pStyle w:val="FootnoteText"/>
        <w:spacing w:after="120"/>
      </w:pPr>
      <w:r>
        <w:rPr>
          <w:rStyle w:val="FootnoteReference"/>
        </w:rPr>
        <w:footnoteRef/>
      </w:r>
      <w:r>
        <w:t xml:space="preserve"> Vectren Brief at 9.</w:t>
      </w:r>
    </w:p>
  </w:footnote>
  <w:footnote w:id="11">
    <w:p w:rsidR="00E32FD0" w:rsidP="007C5F49">
      <w:pPr>
        <w:pStyle w:val="FootnoteText"/>
        <w:spacing w:after="120"/>
      </w:pPr>
      <w:r>
        <w:rPr>
          <w:rStyle w:val="FootnoteReference"/>
        </w:rPr>
        <w:footnoteRef/>
      </w:r>
      <w:r>
        <w:t xml:space="preserve"> OPAE Brief at 4.</w:t>
      </w:r>
    </w:p>
  </w:footnote>
  <w:footnote w:id="12">
    <w:p w:rsidR="00E32FD0" w:rsidP="007C5F49">
      <w:pPr>
        <w:pStyle w:val="FootnoteText"/>
        <w:spacing w:after="120"/>
      </w:pPr>
      <w:r>
        <w:rPr>
          <w:rStyle w:val="FootnoteReference"/>
        </w:rPr>
        <w:footnoteRef/>
      </w:r>
      <w:r>
        <w:t xml:space="preserve"> OCC Initial Brief at 2.</w:t>
      </w:r>
    </w:p>
  </w:footnote>
  <w:footnote w:id="13">
    <w:p w:rsidR="00E32FD0" w:rsidP="007C5F49">
      <w:pPr>
        <w:pStyle w:val="FootnoteText"/>
        <w:spacing w:after="120"/>
      </w:pPr>
      <w:r>
        <w:rPr>
          <w:rStyle w:val="FootnoteReference"/>
        </w:rPr>
        <w:footnoteRef/>
      </w:r>
      <w:r>
        <w:t xml:space="preserve"> Vectren Brief at 19.</w:t>
      </w:r>
    </w:p>
  </w:footnote>
  <w:footnote w:id="14">
    <w:p w:rsidR="00E32FD0" w:rsidP="007C5F49">
      <w:pPr>
        <w:pStyle w:val="FootnoteText"/>
        <w:spacing w:after="120"/>
      </w:pPr>
      <w:r>
        <w:rPr>
          <w:rStyle w:val="FootnoteReference"/>
        </w:rPr>
        <w:footnoteRef/>
      </w:r>
      <w:r>
        <w:t xml:space="preserve"> Vectren Brief at 19.</w:t>
      </w:r>
    </w:p>
  </w:footnote>
  <w:footnote w:id="15">
    <w:p w:rsidR="00E32FD0" w:rsidRPr="00AA3ADD" w:rsidP="007C5F49">
      <w:pPr>
        <w:pStyle w:val="FootnoteText"/>
        <w:spacing w:after="120"/>
      </w:pPr>
      <w:r>
        <w:rPr>
          <w:rStyle w:val="FootnoteReference"/>
        </w:rPr>
        <w:footnoteRef/>
      </w:r>
      <w:r>
        <w:t xml:space="preserve"> </w:t>
      </w:r>
      <w:r>
        <w:rPr>
          <w:i/>
        </w:rPr>
        <w:t>See, e.g., In re Suburban Natural Gas Co.</w:t>
      </w:r>
      <w:r>
        <w:t>, Case No. 11-5846-GA-SLF, Opinion &amp; Order (Aug. 15, 2012) (denying natural gas distribution utility’s request to offer energy efficiency programs).</w:t>
      </w:r>
    </w:p>
  </w:footnote>
  <w:footnote w:id="16">
    <w:p w:rsidR="00E32FD0" w:rsidP="007C5F49">
      <w:pPr>
        <w:pStyle w:val="FootnoteText"/>
        <w:spacing w:after="120"/>
      </w:pPr>
      <w:r>
        <w:rPr>
          <w:rStyle w:val="FootnoteReference"/>
        </w:rPr>
        <w:footnoteRef/>
      </w:r>
      <w:r>
        <w:t xml:space="preserve"> OPAE Brief at 2.</w:t>
      </w:r>
    </w:p>
  </w:footnote>
  <w:footnote w:id="17">
    <w:p w:rsidR="00E32FD0" w:rsidP="007C5F49">
      <w:pPr>
        <w:pStyle w:val="FootnoteText"/>
        <w:spacing w:after="120"/>
      </w:pPr>
      <w:r>
        <w:rPr>
          <w:rStyle w:val="FootnoteReference"/>
        </w:rPr>
        <w:footnoteRef/>
      </w:r>
      <w:r>
        <w:t xml:space="preserve"> R.C. 4929.02(A)(4) (emphasis added).</w:t>
      </w:r>
    </w:p>
  </w:footnote>
  <w:footnote w:id="18">
    <w:p w:rsidR="00E32FD0" w:rsidP="007C5F49">
      <w:pPr>
        <w:pStyle w:val="FootnoteText"/>
        <w:spacing w:after="120"/>
      </w:pPr>
      <w:r>
        <w:rPr>
          <w:rStyle w:val="FootnoteReference"/>
        </w:rPr>
        <w:footnoteRef/>
      </w:r>
      <w:r>
        <w:t xml:space="preserve"> OPAE Brief at 4.</w:t>
      </w:r>
    </w:p>
  </w:footnote>
  <w:footnote w:id="19">
    <w:p w:rsidR="00E32FD0" w:rsidP="007C5F49">
      <w:pPr>
        <w:pStyle w:val="FootnoteText"/>
        <w:spacing w:after="120"/>
      </w:pPr>
      <w:r>
        <w:rPr>
          <w:rStyle w:val="FootnoteReference"/>
        </w:rPr>
        <w:footnoteRef/>
      </w:r>
      <w:r>
        <w:t xml:space="preserve"> Shutrump Testimony at 12-13.</w:t>
      </w:r>
    </w:p>
  </w:footnote>
  <w:footnote w:id="20">
    <w:p w:rsidR="00E32FD0" w:rsidP="007C5F49">
      <w:pPr>
        <w:pStyle w:val="FootnoteText"/>
        <w:spacing w:after="120"/>
      </w:pPr>
      <w:r>
        <w:rPr>
          <w:rStyle w:val="FootnoteReference"/>
        </w:rPr>
        <w:footnoteRef/>
      </w:r>
      <w:r>
        <w:t xml:space="preserve"> OPAE Brief at 4.</w:t>
      </w:r>
    </w:p>
  </w:footnote>
  <w:footnote w:id="21">
    <w:p w:rsidR="00E32FD0" w:rsidP="007C5F49">
      <w:pPr>
        <w:pStyle w:val="FootnoteText"/>
        <w:spacing w:after="120"/>
      </w:pPr>
      <w:r>
        <w:rPr>
          <w:rStyle w:val="FootnoteReference"/>
        </w:rPr>
        <w:footnoteRef/>
      </w:r>
      <w:r>
        <w:t xml:space="preserve"> OPAE Brief at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DA9A98"/>
    <w:lvl w:ilvl="0">
      <w:start w:val="1"/>
      <w:numFmt w:val="decimal"/>
      <w:lvlText w:val="%1."/>
      <w:lvlJc w:val="left"/>
      <w:pPr>
        <w:tabs>
          <w:tab w:val="num" w:pos="1800"/>
        </w:tabs>
        <w:ind w:left="1800" w:hanging="360"/>
      </w:pPr>
    </w:lvl>
  </w:abstractNum>
  <w:abstractNum w:abstractNumId="1">
    <w:nsid w:val="FFFFFF7D"/>
    <w:multiLevelType w:val="singleLevel"/>
    <w:tmpl w:val="4E3CAB78"/>
    <w:lvl w:ilvl="0">
      <w:start w:val="1"/>
      <w:numFmt w:val="decimal"/>
      <w:lvlText w:val="%1."/>
      <w:lvlJc w:val="left"/>
      <w:pPr>
        <w:tabs>
          <w:tab w:val="num" w:pos="1440"/>
        </w:tabs>
        <w:ind w:left="1440" w:hanging="360"/>
      </w:pPr>
    </w:lvl>
  </w:abstractNum>
  <w:abstractNum w:abstractNumId="2">
    <w:nsid w:val="FFFFFF7E"/>
    <w:multiLevelType w:val="singleLevel"/>
    <w:tmpl w:val="7F28A3EE"/>
    <w:lvl w:ilvl="0">
      <w:start w:val="1"/>
      <w:numFmt w:val="decimal"/>
      <w:lvlText w:val="%1."/>
      <w:lvlJc w:val="left"/>
      <w:pPr>
        <w:tabs>
          <w:tab w:val="num" w:pos="1080"/>
        </w:tabs>
        <w:ind w:left="1080" w:hanging="360"/>
      </w:pPr>
    </w:lvl>
  </w:abstractNum>
  <w:abstractNum w:abstractNumId="3">
    <w:nsid w:val="FFFFFF7F"/>
    <w:multiLevelType w:val="singleLevel"/>
    <w:tmpl w:val="D2BE645C"/>
    <w:lvl w:ilvl="0">
      <w:start w:val="1"/>
      <w:numFmt w:val="decimal"/>
      <w:lvlText w:val="%1."/>
      <w:lvlJc w:val="left"/>
      <w:pPr>
        <w:tabs>
          <w:tab w:val="num" w:pos="720"/>
        </w:tabs>
        <w:ind w:left="720" w:hanging="360"/>
      </w:pPr>
    </w:lvl>
  </w:abstractNum>
  <w:abstractNum w:abstractNumId="4">
    <w:nsid w:val="FFFFFF80"/>
    <w:multiLevelType w:val="singleLevel"/>
    <w:tmpl w:val="FEB63E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0E99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34BC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7E41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98BC1A"/>
    <w:lvl w:ilvl="0">
      <w:start w:val="1"/>
      <w:numFmt w:val="decimal"/>
      <w:lvlText w:val="%1."/>
      <w:lvlJc w:val="left"/>
      <w:pPr>
        <w:tabs>
          <w:tab w:val="num" w:pos="360"/>
        </w:tabs>
        <w:ind w:left="360" w:hanging="360"/>
      </w:pPr>
    </w:lvl>
  </w:abstractNum>
  <w:abstractNum w:abstractNumId="9">
    <w:nsid w:val="FFFFFF89"/>
    <w:multiLevelType w:val="singleLevel"/>
    <w:tmpl w:val="295E5378"/>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9037FCD"/>
    <w:multiLevelType w:val="hybridMultilevel"/>
    <w:tmpl w:val="39FA9B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65577B7D"/>
    <w:multiLevelType w:val="hybridMultilevel"/>
    <w:tmpl w:val="7DFEE9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75482DEE"/>
    <w:multiLevelType w:val="hybridMultilevel"/>
    <w:tmpl w:val="29FC059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3"/>
  </w:num>
  <w:num w:numId="2">
    <w:abstractNumId w:val="11"/>
  </w:num>
  <w:num w:numId="3">
    <w:abstractNumId w:val="16"/>
  </w:num>
  <w:num w:numId="4">
    <w:abstractNumId w:val="14"/>
  </w:num>
  <w:num w:numId="5">
    <w:abstractNumId w:val="10"/>
  </w:num>
  <w:num w:numId="6">
    <w:abstractNumId w:val="18"/>
  </w:num>
  <w:num w:numId="7">
    <w:abstractNumId w:val="12"/>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2"/>
    <w:rsid w:val="00006278"/>
    <w:rsid w:val="00010B70"/>
    <w:rsid w:val="00013C4A"/>
    <w:rsid w:val="00014314"/>
    <w:rsid w:val="0001508C"/>
    <w:rsid w:val="0001543C"/>
    <w:rsid w:val="000171D2"/>
    <w:rsid w:val="00020453"/>
    <w:rsid w:val="0002433C"/>
    <w:rsid w:val="0002642D"/>
    <w:rsid w:val="00031A04"/>
    <w:rsid w:val="00032D7F"/>
    <w:rsid w:val="0003766E"/>
    <w:rsid w:val="0004208F"/>
    <w:rsid w:val="00044622"/>
    <w:rsid w:val="0004524E"/>
    <w:rsid w:val="0004693B"/>
    <w:rsid w:val="000501D0"/>
    <w:rsid w:val="00050777"/>
    <w:rsid w:val="000549C7"/>
    <w:rsid w:val="00062A14"/>
    <w:rsid w:val="00064761"/>
    <w:rsid w:val="00065EC4"/>
    <w:rsid w:val="00077ABF"/>
    <w:rsid w:val="00082870"/>
    <w:rsid w:val="000A1A64"/>
    <w:rsid w:val="000A2F64"/>
    <w:rsid w:val="000A40F5"/>
    <w:rsid w:val="000B6CCE"/>
    <w:rsid w:val="000C202F"/>
    <w:rsid w:val="000C3A11"/>
    <w:rsid w:val="000C619A"/>
    <w:rsid w:val="000D0057"/>
    <w:rsid w:val="000D1129"/>
    <w:rsid w:val="000D1D67"/>
    <w:rsid w:val="000D4421"/>
    <w:rsid w:val="000D5725"/>
    <w:rsid w:val="000D5C64"/>
    <w:rsid w:val="000D673E"/>
    <w:rsid w:val="000E1957"/>
    <w:rsid w:val="000E2F3D"/>
    <w:rsid w:val="000E4ACE"/>
    <w:rsid w:val="000E5F37"/>
    <w:rsid w:val="000E703F"/>
    <w:rsid w:val="000E7779"/>
    <w:rsid w:val="000E7814"/>
    <w:rsid w:val="000E7843"/>
    <w:rsid w:val="000F4F25"/>
    <w:rsid w:val="00104252"/>
    <w:rsid w:val="00106E13"/>
    <w:rsid w:val="0012017C"/>
    <w:rsid w:val="0012580B"/>
    <w:rsid w:val="0012631F"/>
    <w:rsid w:val="00126BF2"/>
    <w:rsid w:val="00130F15"/>
    <w:rsid w:val="00132A4B"/>
    <w:rsid w:val="0013732A"/>
    <w:rsid w:val="0014330C"/>
    <w:rsid w:val="001457E1"/>
    <w:rsid w:val="001529D4"/>
    <w:rsid w:val="00153C3B"/>
    <w:rsid w:val="00155E0E"/>
    <w:rsid w:val="00157D03"/>
    <w:rsid w:val="00161849"/>
    <w:rsid w:val="001666B1"/>
    <w:rsid w:val="001716BB"/>
    <w:rsid w:val="00177CC7"/>
    <w:rsid w:val="001814DA"/>
    <w:rsid w:val="0018262C"/>
    <w:rsid w:val="00190A1A"/>
    <w:rsid w:val="00191526"/>
    <w:rsid w:val="00192ABA"/>
    <w:rsid w:val="00193CA9"/>
    <w:rsid w:val="001944A7"/>
    <w:rsid w:val="00194737"/>
    <w:rsid w:val="001A2385"/>
    <w:rsid w:val="001B398F"/>
    <w:rsid w:val="001B5672"/>
    <w:rsid w:val="001B7F12"/>
    <w:rsid w:val="001C1614"/>
    <w:rsid w:val="001C405C"/>
    <w:rsid w:val="001D0069"/>
    <w:rsid w:val="001D0897"/>
    <w:rsid w:val="001D2C0A"/>
    <w:rsid w:val="001E4672"/>
    <w:rsid w:val="001F01C5"/>
    <w:rsid w:val="001F091A"/>
    <w:rsid w:val="001F243B"/>
    <w:rsid w:val="001F37B6"/>
    <w:rsid w:val="00203CC3"/>
    <w:rsid w:val="00203F93"/>
    <w:rsid w:val="00213783"/>
    <w:rsid w:val="00215F2A"/>
    <w:rsid w:val="00220311"/>
    <w:rsid w:val="00222429"/>
    <w:rsid w:val="002228AB"/>
    <w:rsid w:val="0022717F"/>
    <w:rsid w:val="002334E5"/>
    <w:rsid w:val="002348F0"/>
    <w:rsid w:val="00235DFB"/>
    <w:rsid w:val="00236223"/>
    <w:rsid w:val="00237381"/>
    <w:rsid w:val="0024640A"/>
    <w:rsid w:val="002514FB"/>
    <w:rsid w:val="002543B7"/>
    <w:rsid w:val="00257722"/>
    <w:rsid w:val="00260621"/>
    <w:rsid w:val="00262DD0"/>
    <w:rsid w:val="00264B4F"/>
    <w:rsid w:val="00264E12"/>
    <w:rsid w:val="00265CFC"/>
    <w:rsid w:val="00270856"/>
    <w:rsid w:val="002715CB"/>
    <w:rsid w:val="00271EE2"/>
    <w:rsid w:val="002731C4"/>
    <w:rsid w:val="00273E49"/>
    <w:rsid w:val="00275DEB"/>
    <w:rsid w:val="00284B14"/>
    <w:rsid w:val="00291CA6"/>
    <w:rsid w:val="00293DEB"/>
    <w:rsid w:val="002A0563"/>
    <w:rsid w:val="002A0E90"/>
    <w:rsid w:val="002A4912"/>
    <w:rsid w:val="002A5A45"/>
    <w:rsid w:val="002C1194"/>
    <w:rsid w:val="002D0F22"/>
    <w:rsid w:val="002D414B"/>
    <w:rsid w:val="002D5D02"/>
    <w:rsid w:val="002F3625"/>
    <w:rsid w:val="002F4428"/>
    <w:rsid w:val="002F69E4"/>
    <w:rsid w:val="002F6D93"/>
    <w:rsid w:val="0030236C"/>
    <w:rsid w:val="00302FD8"/>
    <w:rsid w:val="00303168"/>
    <w:rsid w:val="003037C4"/>
    <w:rsid w:val="00305553"/>
    <w:rsid w:val="003073A5"/>
    <w:rsid w:val="003075FB"/>
    <w:rsid w:val="0031242C"/>
    <w:rsid w:val="003157AE"/>
    <w:rsid w:val="003174F1"/>
    <w:rsid w:val="003217F2"/>
    <w:rsid w:val="00325867"/>
    <w:rsid w:val="00325B1D"/>
    <w:rsid w:val="0032670A"/>
    <w:rsid w:val="0033637D"/>
    <w:rsid w:val="00340433"/>
    <w:rsid w:val="00341BC2"/>
    <w:rsid w:val="00346163"/>
    <w:rsid w:val="0035289C"/>
    <w:rsid w:val="00360E18"/>
    <w:rsid w:val="0036718F"/>
    <w:rsid w:val="003712EC"/>
    <w:rsid w:val="00375FC8"/>
    <w:rsid w:val="00381E76"/>
    <w:rsid w:val="00386706"/>
    <w:rsid w:val="00387BAA"/>
    <w:rsid w:val="003A5D54"/>
    <w:rsid w:val="003B0008"/>
    <w:rsid w:val="003B4F0B"/>
    <w:rsid w:val="003B568F"/>
    <w:rsid w:val="003B7CA8"/>
    <w:rsid w:val="003C1456"/>
    <w:rsid w:val="003C4F2B"/>
    <w:rsid w:val="003D2177"/>
    <w:rsid w:val="003E138D"/>
    <w:rsid w:val="003E44AB"/>
    <w:rsid w:val="003E7C65"/>
    <w:rsid w:val="003F0FBF"/>
    <w:rsid w:val="003F68F1"/>
    <w:rsid w:val="003F7DF8"/>
    <w:rsid w:val="00401FD7"/>
    <w:rsid w:val="004107AA"/>
    <w:rsid w:val="00412895"/>
    <w:rsid w:val="00431082"/>
    <w:rsid w:val="00435F91"/>
    <w:rsid w:val="004368A4"/>
    <w:rsid w:val="0043716D"/>
    <w:rsid w:val="0043719D"/>
    <w:rsid w:val="004434A9"/>
    <w:rsid w:val="00451BB2"/>
    <w:rsid w:val="00453892"/>
    <w:rsid w:val="0046219A"/>
    <w:rsid w:val="0046364B"/>
    <w:rsid w:val="00465E57"/>
    <w:rsid w:val="00470FD9"/>
    <w:rsid w:val="00476981"/>
    <w:rsid w:val="0048060C"/>
    <w:rsid w:val="004836C6"/>
    <w:rsid w:val="004912D0"/>
    <w:rsid w:val="00491F5B"/>
    <w:rsid w:val="0049376A"/>
    <w:rsid w:val="00493CB9"/>
    <w:rsid w:val="0049435D"/>
    <w:rsid w:val="00496A0E"/>
    <w:rsid w:val="004B3863"/>
    <w:rsid w:val="004C3AB9"/>
    <w:rsid w:val="004E29E0"/>
    <w:rsid w:val="004E53C9"/>
    <w:rsid w:val="004E54BB"/>
    <w:rsid w:val="004F5562"/>
    <w:rsid w:val="005002F8"/>
    <w:rsid w:val="005013E8"/>
    <w:rsid w:val="00503756"/>
    <w:rsid w:val="005054BA"/>
    <w:rsid w:val="00505B6E"/>
    <w:rsid w:val="00507046"/>
    <w:rsid w:val="0050793F"/>
    <w:rsid w:val="00511A37"/>
    <w:rsid w:val="00511F0B"/>
    <w:rsid w:val="00512B71"/>
    <w:rsid w:val="00513F4D"/>
    <w:rsid w:val="0051520D"/>
    <w:rsid w:val="00515E10"/>
    <w:rsid w:val="00516744"/>
    <w:rsid w:val="00516F1B"/>
    <w:rsid w:val="00517A00"/>
    <w:rsid w:val="00524EB8"/>
    <w:rsid w:val="005270F0"/>
    <w:rsid w:val="00530347"/>
    <w:rsid w:val="005305FD"/>
    <w:rsid w:val="0053117F"/>
    <w:rsid w:val="00531F9A"/>
    <w:rsid w:val="00532571"/>
    <w:rsid w:val="00532B44"/>
    <w:rsid w:val="00540970"/>
    <w:rsid w:val="005456F4"/>
    <w:rsid w:val="00547378"/>
    <w:rsid w:val="0055107B"/>
    <w:rsid w:val="0055291A"/>
    <w:rsid w:val="005541F4"/>
    <w:rsid w:val="005544C4"/>
    <w:rsid w:val="00555763"/>
    <w:rsid w:val="00555861"/>
    <w:rsid w:val="00561387"/>
    <w:rsid w:val="00561A39"/>
    <w:rsid w:val="00563A3C"/>
    <w:rsid w:val="005660E8"/>
    <w:rsid w:val="005754BB"/>
    <w:rsid w:val="0059210E"/>
    <w:rsid w:val="005931B1"/>
    <w:rsid w:val="005933DC"/>
    <w:rsid w:val="00594ABF"/>
    <w:rsid w:val="005956C8"/>
    <w:rsid w:val="005A0D38"/>
    <w:rsid w:val="005A6744"/>
    <w:rsid w:val="005A7B03"/>
    <w:rsid w:val="005A7F50"/>
    <w:rsid w:val="005B069E"/>
    <w:rsid w:val="005B1A52"/>
    <w:rsid w:val="005B4D76"/>
    <w:rsid w:val="005C0B33"/>
    <w:rsid w:val="005C6877"/>
    <w:rsid w:val="005C6E39"/>
    <w:rsid w:val="005D0D79"/>
    <w:rsid w:val="005D2707"/>
    <w:rsid w:val="005D40F0"/>
    <w:rsid w:val="005D637F"/>
    <w:rsid w:val="005D65F6"/>
    <w:rsid w:val="005E3D50"/>
    <w:rsid w:val="005E5B02"/>
    <w:rsid w:val="005E7C4C"/>
    <w:rsid w:val="006018D5"/>
    <w:rsid w:val="00603244"/>
    <w:rsid w:val="006039C5"/>
    <w:rsid w:val="00606CEB"/>
    <w:rsid w:val="00610BCA"/>
    <w:rsid w:val="00613242"/>
    <w:rsid w:val="00617C14"/>
    <w:rsid w:val="0062108F"/>
    <w:rsid w:val="00622EDB"/>
    <w:rsid w:val="006261E5"/>
    <w:rsid w:val="00633012"/>
    <w:rsid w:val="00641070"/>
    <w:rsid w:val="006447EF"/>
    <w:rsid w:val="00645095"/>
    <w:rsid w:val="006527CB"/>
    <w:rsid w:val="00661409"/>
    <w:rsid w:val="0066364B"/>
    <w:rsid w:val="00667B4A"/>
    <w:rsid w:val="006735F7"/>
    <w:rsid w:val="0067381F"/>
    <w:rsid w:val="006738EF"/>
    <w:rsid w:val="0067666A"/>
    <w:rsid w:val="00690511"/>
    <w:rsid w:val="006919CB"/>
    <w:rsid w:val="00692777"/>
    <w:rsid w:val="00692B66"/>
    <w:rsid w:val="00693926"/>
    <w:rsid w:val="00696471"/>
    <w:rsid w:val="006A0761"/>
    <w:rsid w:val="006A1485"/>
    <w:rsid w:val="006A4366"/>
    <w:rsid w:val="006A587C"/>
    <w:rsid w:val="006B4247"/>
    <w:rsid w:val="006C11AE"/>
    <w:rsid w:val="006C354C"/>
    <w:rsid w:val="006C52C3"/>
    <w:rsid w:val="006C5841"/>
    <w:rsid w:val="006C6045"/>
    <w:rsid w:val="006D1093"/>
    <w:rsid w:val="006D47F7"/>
    <w:rsid w:val="006D53F3"/>
    <w:rsid w:val="006D6F24"/>
    <w:rsid w:val="006E1DB4"/>
    <w:rsid w:val="006E75B4"/>
    <w:rsid w:val="006E7805"/>
    <w:rsid w:val="006E78A8"/>
    <w:rsid w:val="006F024D"/>
    <w:rsid w:val="006F0410"/>
    <w:rsid w:val="006F1228"/>
    <w:rsid w:val="006F6C88"/>
    <w:rsid w:val="006F7C80"/>
    <w:rsid w:val="00701ADF"/>
    <w:rsid w:val="00705740"/>
    <w:rsid w:val="00710E80"/>
    <w:rsid w:val="00711F92"/>
    <w:rsid w:val="007123F7"/>
    <w:rsid w:val="00714460"/>
    <w:rsid w:val="007144B8"/>
    <w:rsid w:val="007158AA"/>
    <w:rsid w:val="00723BFB"/>
    <w:rsid w:val="007240A7"/>
    <w:rsid w:val="0072423D"/>
    <w:rsid w:val="00727955"/>
    <w:rsid w:val="00730C0C"/>
    <w:rsid w:val="0073757A"/>
    <w:rsid w:val="00744A23"/>
    <w:rsid w:val="0074516B"/>
    <w:rsid w:val="0075163D"/>
    <w:rsid w:val="0075404C"/>
    <w:rsid w:val="0076006A"/>
    <w:rsid w:val="00760DE9"/>
    <w:rsid w:val="007625BD"/>
    <w:rsid w:val="00763610"/>
    <w:rsid w:val="00763B87"/>
    <w:rsid w:val="007650B0"/>
    <w:rsid w:val="00766BCB"/>
    <w:rsid w:val="00770036"/>
    <w:rsid w:val="00771128"/>
    <w:rsid w:val="0078027F"/>
    <w:rsid w:val="00783DC9"/>
    <w:rsid w:val="007867F2"/>
    <w:rsid w:val="00791F59"/>
    <w:rsid w:val="00792C3D"/>
    <w:rsid w:val="007A05C9"/>
    <w:rsid w:val="007A1E1D"/>
    <w:rsid w:val="007A636D"/>
    <w:rsid w:val="007A71B8"/>
    <w:rsid w:val="007B2769"/>
    <w:rsid w:val="007B390B"/>
    <w:rsid w:val="007B59B7"/>
    <w:rsid w:val="007C311C"/>
    <w:rsid w:val="007C3749"/>
    <w:rsid w:val="007C4E89"/>
    <w:rsid w:val="007C5F49"/>
    <w:rsid w:val="007C6382"/>
    <w:rsid w:val="007C64DD"/>
    <w:rsid w:val="007C6967"/>
    <w:rsid w:val="007D5C39"/>
    <w:rsid w:val="007E0FA4"/>
    <w:rsid w:val="007E55B4"/>
    <w:rsid w:val="007E60B8"/>
    <w:rsid w:val="007F4595"/>
    <w:rsid w:val="007F6642"/>
    <w:rsid w:val="007F7B9C"/>
    <w:rsid w:val="00801F4E"/>
    <w:rsid w:val="00802759"/>
    <w:rsid w:val="0080610B"/>
    <w:rsid w:val="00812F90"/>
    <w:rsid w:val="008151BE"/>
    <w:rsid w:val="00815ED8"/>
    <w:rsid w:val="008161D3"/>
    <w:rsid w:val="00820BB7"/>
    <w:rsid w:val="00832EE2"/>
    <w:rsid w:val="00834227"/>
    <w:rsid w:val="00837E03"/>
    <w:rsid w:val="0084648F"/>
    <w:rsid w:val="00850210"/>
    <w:rsid w:val="0085454A"/>
    <w:rsid w:val="00854A85"/>
    <w:rsid w:val="008553E0"/>
    <w:rsid w:val="00855876"/>
    <w:rsid w:val="00860348"/>
    <w:rsid w:val="008613B5"/>
    <w:rsid w:val="008629EB"/>
    <w:rsid w:val="00865BF7"/>
    <w:rsid w:val="00870C2A"/>
    <w:rsid w:val="0087486A"/>
    <w:rsid w:val="008758F8"/>
    <w:rsid w:val="008775B7"/>
    <w:rsid w:val="0087782C"/>
    <w:rsid w:val="00882C6C"/>
    <w:rsid w:val="008852CC"/>
    <w:rsid w:val="00885B3C"/>
    <w:rsid w:val="008904AD"/>
    <w:rsid w:val="00893ABC"/>
    <w:rsid w:val="00893D0C"/>
    <w:rsid w:val="008A0B7B"/>
    <w:rsid w:val="008A1A9E"/>
    <w:rsid w:val="008B13BB"/>
    <w:rsid w:val="008B268A"/>
    <w:rsid w:val="008B7694"/>
    <w:rsid w:val="008C1A41"/>
    <w:rsid w:val="008C1BE4"/>
    <w:rsid w:val="008C69D8"/>
    <w:rsid w:val="008C6C9F"/>
    <w:rsid w:val="008D2EE7"/>
    <w:rsid w:val="008D3A4F"/>
    <w:rsid w:val="008E4B92"/>
    <w:rsid w:val="008F4272"/>
    <w:rsid w:val="008F5227"/>
    <w:rsid w:val="008F54B9"/>
    <w:rsid w:val="008F563F"/>
    <w:rsid w:val="008F7DD8"/>
    <w:rsid w:val="00901E40"/>
    <w:rsid w:val="00902A27"/>
    <w:rsid w:val="0090453F"/>
    <w:rsid w:val="009120DD"/>
    <w:rsid w:val="00912727"/>
    <w:rsid w:val="00915304"/>
    <w:rsid w:val="00916FDE"/>
    <w:rsid w:val="0092311C"/>
    <w:rsid w:val="009243AF"/>
    <w:rsid w:val="00930D55"/>
    <w:rsid w:val="00931526"/>
    <w:rsid w:val="0093172F"/>
    <w:rsid w:val="00934058"/>
    <w:rsid w:val="00934530"/>
    <w:rsid w:val="00941E61"/>
    <w:rsid w:val="00944CA2"/>
    <w:rsid w:val="00945858"/>
    <w:rsid w:val="00946E16"/>
    <w:rsid w:val="00947363"/>
    <w:rsid w:val="009512E6"/>
    <w:rsid w:val="00952941"/>
    <w:rsid w:val="0096025E"/>
    <w:rsid w:val="00966D2A"/>
    <w:rsid w:val="00967DD2"/>
    <w:rsid w:val="00970106"/>
    <w:rsid w:val="00972F8B"/>
    <w:rsid w:val="00974829"/>
    <w:rsid w:val="00975518"/>
    <w:rsid w:val="009810A3"/>
    <w:rsid w:val="00992E47"/>
    <w:rsid w:val="00994AF7"/>
    <w:rsid w:val="00994D0D"/>
    <w:rsid w:val="00997B3C"/>
    <w:rsid w:val="009A1421"/>
    <w:rsid w:val="009A3EDF"/>
    <w:rsid w:val="009A62EA"/>
    <w:rsid w:val="009B14DA"/>
    <w:rsid w:val="009B25F0"/>
    <w:rsid w:val="009B2FBD"/>
    <w:rsid w:val="009B5E29"/>
    <w:rsid w:val="009B6D8B"/>
    <w:rsid w:val="009B79D5"/>
    <w:rsid w:val="009B7DF1"/>
    <w:rsid w:val="009C156A"/>
    <w:rsid w:val="009C31F6"/>
    <w:rsid w:val="009C4FAE"/>
    <w:rsid w:val="009E5F40"/>
    <w:rsid w:val="009E7A93"/>
    <w:rsid w:val="009F140C"/>
    <w:rsid w:val="009F4065"/>
    <w:rsid w:val="009F4F02"/>
    <w:rsid w:val="00A007B8"/>
    <w:rsid w:val="00A044B5"/>
    <w:rsid w:val="00A045EC"/>
    <w:rsid w:val="00A062B1"/>
    <w:rsid w:val="00A06616"/>
    <w:rsid w:val="00A07A84"/>
    <w:rsid w:val="00A12228"/>
    <w:rsid w:val="00A135C1"/>
    <w:rsid w:val="00A20F38"/>
    <w:rsid w:val="00A23E7A"/>
    <w:rsid w:val="00A251A2"/>
    <w:rsid w:val="00A27F65"/>
    <w:rsid w:val="00A31D17"/>
    <w:rsid w:val="00A35296"/>
    <w:rsid w:val="00A352F9"/>
    <w:rsid w:val="00A37FB4"/>
    <w:rsid w:val="00A46531"/>
    <w:rsid w:val="00A47942"/>
    <w:rsid w:val="00A51EFA"/>
    <w:rsid w:val="00A5514C"/>
    <w:rsid w:val="00A659C6"/>
    <w:rsid w:val="00A661D0"/>
    <w:rsid w:val="00A67382"/>
    <w:rsid w:val="00A7279C"/>
    <w:rsid w:val="00A72EE4"/>
    <w:rsid w:val="00A741F4"/>
    <w:rsid w:val="00A742AC"/>
    <w:rsid w:val="00A746F8"/>
    <w:rsid w:val="00A769CA"/>
    <w:rsid w:val="00A82514"/>
    <w:rsid w:val="00A83D81"/>
    <w:rsid w:val="00A86CF5"/>
    <w:rsid w:val="00A92AD3"/>
    <w:rsid w:val="00A96F4A"/>
    <w:rsid w:val="00AA20BE"/>
    <w:rsid w:val="00AA2725"/>
    <w:rsid w:val="00AA3ADD"/>
    <w:rsid w:val="00AA603E"/>
    <w:rsid w:val="00AB2BED"/>
    <w:rsid w:val="00AB57ED"/>
    <w:rsid w:val="00AC102B"/>
    <w:rsid w:val="00AC14BF"/>
    <w:rsid w:val="00AC4D1C"/>
    <w:rsid w:val="00AC6E35"/>
    <w:rsid w:val="00AC745F"/>
    <w:rsid w:val="00AC7C08"/>
    <w:rsid w:val="00AD135E"/>
    <w:rsid w:val="00AD2ED3"/>
    <w:rsid w:val="00AD43F1"/>
    <w:rsid w:val="00AD707D"/>
    <w:rsid w:val="00AE0FF9"/>
    <w:rsid w:val="00AE437E"/>
    <w:rsid w:val="00AE6102"/>
    <w:rsid w:val="00AE7C03"/>
    <w:rsid w:val="00AF1B45"/>
    <w:rsid w:val="00AF296B"/>
    <w:rsid w:val="00AF3C6E"/>
    <w:rsid w:val="00B00E78"/>
    <w:rsid w:val="00B049C6"/>
    <w:rsid w:val="00B05031"/>
    <w:rsid w:val="00B06BF6"/>
    <w:rsid w:val="00B111D4"/>
    <w:rsid w:val="00B125A7"/>
    <w:rsid w:val="00B1272D"/>
    <w:rsid w:val="00B17A7B"/>
    <w:rsid w:val="00B23379"/>
    <w:rsid w:val="00B33274"/>
    <w:rsid w:val="00B33503"/>
    <w:rsid w:val="00B363C6"/>
    <w:rsid w:val="00B45576"/>
    <w:rsid w:val="00B4647F"/>
    <w:rsid w:val="00B537F2"/>
    <w:rsid w:val="00B54B36"/>
    <w:rsid w:val="00B600A4"/>
    <w:rsid w:val="00B61360"/>
    <w:rsid w:val="00B6367E"/>
    <w:rsid w:val="00B65ED1"/>
    <w:rsid w:val="00B72B71"/>
    <w:rsid w:val="00B763EC"/>
    <w:rsid w:val="00B827A7"/>
    <w:rsid w:val="00B8450F"/>
    <w:rsid w:val="00B85C2D"/>
    <w:rsid w:val="00B874C0"/>
    <w:rsid w:val="00B9099D"/>
    <w:rsid w:val="00B962BE"/>
    <w:rsid w:val="00B96460"/>
    <w:rsid w:val="00BA04FB"/>
    <w:rsid w:val="00BA1436"/>
    <w:rsid w:val="00BA2E11"/>
    <w:rsid w:val="00BA335C"/>
    <w:rsid w:val="00BB4AB4"/>
    <w:rsid w:val="00BB680E"/>
    <w:rsid w:val="00BC28A2"/>
    <w:rsid w:val="00BC366E"/>
    <w:rsid w:val="00BC797A"/>
    <w:rsid w:val="00BC7AB9"/>
    <w:rsid w:val="00BD0BFE"/>
    <w:rsid w:val="00BF334E"/>
    <w:rsid w:val="00BF3E82"/>
    <w:rsid w:val="00BF5E77"/>
    <w:rsid w:val="00BF7C6B"/>
    <w:rsid w:val="00C025D0"/>
    <w:rsid w:val="00C06742"/>
    <w:rsid w:val="00C06CFA"/>
    <w:rsid w:val="00C0745C"/>
    <w:rsid w:val="00C115FB"/>
    <w:rsid w:val="00C14272"/>
    <w:rsid w:val="00C16D40"/>
    <w:rsid w:val="00C20243"/>
    <w:rsid w:val="00C20999"/>
    <w:rsid w:val="00C21877"/>
    <w:rsid w:val="00C23424"/>
    <w:rsid w:val="00C24B95"/>
    <w:rsid w:val="00C27107"/>
    <w:rsid w:val="00C32D8B"/>
    <w:rsid w:val="00C40712"/>
    <w:rsid w:val="00C40C11"/>
    <w:rsid w:val="00C42AD2"/>
    <w:rsid w:val="00C43CA1"/>
    <w:rsid w:val="00C45151"/>
    <w:rsid w:val="00C55938"/>
    <w:rsid w:val="00C56779"/>
    <w:rsid w:val="00C61E3C"/>
    <w:rsid w:val="00C61F95"/>
    <w:rsid w:val="00C6286A"/>
    <w:rsid w:val="00C64067"/>
    <w:rsid w:val="00C64320"/>
    <w:rsid w:val="00C66259"/>
    <w:rsid w:val="00C66A74"/>
    <w:rsid w:val="00C6776A"/>
    <w:rsid w:val="00C7251D"/>
    <w:rsid w:val="00C754A7"/>
    <w:rsid w:val="00C82538"/>
    <w:rsid w:val="00C86B6D"/>
    <w:rsid w:val="00C872E6"/>
    <w:rsid w:val="00C910AC"/>
    <w:rsid w:val="00C92364"/>
    <w:rsid w:val="00C946B4"/>
    <w:rsid w:val="00C97D03"/>
    <w:rsid w:val="00CA18CB"/>
    <w:rsid w:val="00CA3F81"/>
    <w:rsid w:val="00CA431D"/>
    <w:rsid w:val="00CA7DFE"/>
    <w:rsid w:val="00CB00D0"/>
    <w:rsid w:val="00CB1091"/>
    <w:rsid w:val="00CB198B"/>
    <w:rsid w:val="00CB21FC"/>
    <w:rsid w:val="00CB4A26"/>
    <w:rsid w:val="00CB5303"/>
    <w:rsid w:val="00CC2813"/>
    <w:rsid w:val="00CD477D"/>
    <w:rsid w:val="00CE05E9"/>
    <w:rsid w:val="00CE0A3F"/>
    <w:rsid w:val="00CE0D48"/>
    <w:rsid w:val="00CE4EC5"/>
    <w:rsid w:val="00CF0F84"/>
    <w:rsid w:val="00CF6A91"/>
    <w:rsid w:val="00CF7151"/>
    <w:rsid w:val="00D036AA"/>
    <w:rsid w:val="00D03CD9"/>
    <w:rsid w:val="00D05442"/>
    <w:rsid w:val="00D14528"/>
    <w:rsid w:val="00D2310E"/>
    <w:rsid w:val="00D25E5C"/>
    <w:rsid w:val="00D34432"/>
    <w:rsid w:val="00D36350"/>
    <w:rsid w:val="00D42005"/>
    <w:rsid w:val="00D46F5E"/>
    <w:rsid w:val="00D513F3"/>
    <w:rsid w:val="00D52AF0"/>
    <w:rsid w:val="00D5300E"/>
    <w:rsid w:val="00D55177"/>
    <w:rsid w:val="00D557D7"/>
    <w:rsid w:val="00D57131"/>
    <w:rsid w:val="00D57504"/>
    <w:rsid w:val="00D605D3"/>
    <w:rsid w:val="00D65ACC"/>
    <w:rsid w:val="00D74BAB"/>
    <w:rsid w:val="00D77046"/>
    <w:rsid w:val="00D779A7"/>
    <w:rsid w:val="00D822B4"/>
    <w:rsid w:val="00D8332D"/>
    <w:rsid w:val="00D84DB1"/>
    <w:rsid w:val="00D909BF"/>
    <w:rsid w:val="00D94172"/>
    <w:rsid w:val="00D95F35"/>
    <w:rsid w:val="00DA11D1"/>
    <w:rsid w:val="00DA1D85"/>
    <w:rsid w:val="00DA616B"/>
    <w:rsid w:val="00DA7A21"/>
    <w:rsid w:val="00DB32B4"/>
    <w:rsid w:val="00DB3593"/>
    <w:rsid w:val="00DC2854"/>
    <w:rsid w:val="00DC5ED8"/>
    <w:rsid w:val="00DC63A4"/>
    <w:rsid w:val="00DD1401"/>
    <w:rsid w:val="00DD5699"/>
    <w:rsid w:val="00DD57D3"/>
    <w:rsid w:val="00DE2C58"/>
    <w:rsid w:val="00DE3BDA"/>
    <w:rsid w:val="00DE59DA"/>
    <w:rsid w:val="00DF11CB"/>
    <w:rsid w:val="00DF4B20"/>
    <w:rsid w:val="00DF60D6"/>
    <w:rsid w:val="00E0021D"/>
    <w:rsid w:val="00E01427"/>
    <w:rsid w:val="00E05DF7"/>
    <w:rsid w:val="00E0644F"/>
    <w:rsid w:val="00E07B23"/>
    <w:rsid w:val="00E100B5"/>
    <w:rsid w:val="00E11029"/>
    <w:rsid w:val="00E11CD2"/>
    <w:rsid w:val="00E13634"/>
    <w:rsid w:val="00E21AC7"/>
    <w:rsid w:val="00E25523"/>
    <w:rsid w:val="00E25BDA"/>
    <w:rsid w:val="00E272FF"/>
    <w:rsid w:val="00E2769F"/>
    <w:rsid w:val="00E276A3"/>
    <w:rsid w:val="00E3020A"/>
    <w:rsid w:val="00E327E2"/>
    <w:rsid w:val="00E32FD0"/>
    <w:rsid w:val="00E358DC"/>
    <w:rsid w:val="00E40230"/>
    <w:rsid w:val="00E4062B"/>
    <w:rsid w:val="00E42BFB"/>
    <w:rsid w:val="00E43B75"/>
    <w:rsid w:val="00E444D2"/>
    <w:rsid w:val="00E4547D"/>
    <w:rsid w:val="00E47CFE"/>
    <w:rsid w:val="00E50789"/>
    <w:rsid w:val="00E51CC6"/>
    <w:rsid w:val="00E55383"/>
    <w:rsid w:val="00E70388"/>
    <w:rsid w:val="00E70F03"/>
    <w:rsid w:val="00E75099"/>
    <w:rsid w:val="00E75130"/>
    <w:rsid w:val="00E75D2C"/>
    <w:rsid w:val="00E80690"/>
    <w:rsid w:val="00E80B70"/>
    <w:rsid w:val="00E86FD4"/>
    <w:rsid w:val="00E92DBF"/>
    <w:rsid w:val="00EA0E24"/>
    <w:rsid w:val="00EA3393"/>
    <w:rsid w:val="00EA4A15"/>
    <w:rsid w:val="00EB0E3D"/>
    <w:rsid w:val="00EB4B0C"/>
    <w:rsid w:val="00EC26E0"/>
    <w:rsid w:val="00EC2ED4"/>
    <w:rsid w:val="00EC320C"/>
    <w:rsid w:val="00ED1C88"/>
    <w:rsid w:val="00ED23E6"/>
    <w:rsid w:val="00ED435F"/>
    <w:rsid w:val="00EE01F8"/>
    <w:rsid w:val="00EE3C54"/>
    <w:rsid w:val="00EE573E"/>
    <w:rsid w:val="00EF0C6F"/>
    <w:rsid w:val="00EF3AD6"/>
    <w:rsid w:val="00EF4F17"/>
    <w:rsid w:val="00EF6712"/>
    <w:rsid w:val="00F04861"/>
    <w:rsid w:val="00F121DC"/>
    <w:rsid w:val="00F1341B"/>
    <w:rsid w:val="00F13BC9"/>
    <w:rsid w:val="00F16417"/>
    <w:rsid w:val="00F164D7"/>
    <w:rsid w:val="00F22113"/>
    <w:rsid w:val="00F25622"/>
    <w:rsid w:val="00F26404"/>
    <w:rsid w:val="00F2768A"/>
    <w:rsid w:val="00F34ADD"/>
    <w:rsid w:val="00F363DA"/>
    <w:rsid w:val="00F37DCC"/>
    <w:rsid w:val="00F4152D"/>
    <w:rsid w:val="00F42F69"/>
    <w:rsid w:val="00F44431"/>
    <w:rsid w:val="00F53C36"/>
    <w:rsid w:val="00F60C86"/>
    <w:rsid w:val="00F62DB5"/>
    <w:rsid w:val="00F656B2"/>
    <w:rsid w:val="00F661B9"/>
    <w:rsid w:val="00F7066B"/>
    <w:rsid w:val="00F73F9E"/>
    <w:rsid w:val="00F75C39"/>
    <w:rsid w:val="00F77E76"/>
    <w:rsid w:val="00F803E1"/>
    <w:rsid w:val="00F83B55"/>
    <w:rsid w:val="00F87C97"/>
    <w:rsid w:val="00F96225"/>
    <w:rsid w:val="00FA12E3"/>
    <w:rsid w:val="00FB0CC8"/>
    <w:rsid w:val="00FC3ABC"/>
    <w:rsid w:val="00FC40FE"/>
    <w:rsid w:val="00FC5A51"/>
    <w:rsid w:val="00FD12B3"/>
    <w:rsid w:val="00FD424A"/>
    <w:rsid w:val="00FE05A8"/>
    <w:rsid w:val="00FE335F"/>
    <w:rsid w:val="00FF6EF4"/>
    <w:rsid w:val="00FF7940"/>
    <w:rsid w:val="28597017"/>
    <w:rsid w:val="2ABD1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61"/>
    <w:rPr>
      <w:sz w:val="24"/>
    </w:rPr>
  </w:style>
  <w:style w:type="paragraph" w:styleId="Heading1">
    <w:name w:val="heading 1"/>
    <w:basedOn w:val="Normal"/>
    <w:next w:val="Normal"/>
    <w:autoRedefine/>
    <w:qFormat/>
    <w:rsid w:val="008852CC"/>
    <w:pPr>
      <w:keepNext/>
      <w:spacing w:after="240"/>
      <w:outlineLvl w:val="0"/>
    </w:pPr>
    <w:rPr>
      <w:rFonts w:ascii="Times New Roman Bold" w:hAnsi="Times New Roman Bold"/>
      <w:b/>
      <w:caps/>
      <w:szCs w:val="24"/>
    </w:rPr>
  </w:style>
  <w:style w:type="paragraph" w:styleId="Heading2">
    <w:name w:val="heading 2"/>
    <w:basedOn w:val="Normal"/>
    <w:next w:val="Normal"/>
    <w:autoRedefine/>
    <w:qFormat/>
    <w:rsid w:val="00DC2854"/>
    <w:pPr>
      <w:keepNext/>
      <w:keepLines/>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autoRedefine/>
    <w:qFormat/>
    <w:rsid w:val="008852CC"/>
    <w:pPr>
      <w:keepNext/>
      <w:spacing w:after="240"/>
      <w:ind w:left="2160" w:hanging="720"/>
      <w:outlineLvl w:val="2"/>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86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E86FD4"/>
    <w:pPr>
      <w:tabs>
        <w:tab w:val="center" w:pos="4320"/>
        <w:tab w:val="right" w:pos="8640"/>
      </w:tabs>
    </w:pPr>
    <w:rPr>
      <w:sz w:val="20"/>
    </w:rPr>
  </w:style>
  <w:style w:type="character" w:styleId="Hyperlink">
    <w:name w:val="Hyperlink"/>
    <w:uiPriority w:val="99"/>
    <w:rsid w:val="00E86FD4"/>
    <w:rPr>
      <w:color w:val="0000FF"/>
      <w:u w:val="single"/>
    </w:rPr>
  </w:style>
  <w:style w:type="paragraph" w:styleId="FootnoteText">
    <w:name w:val="footnote text"/>
    <w:basedOn w:val="Normal"/>
    <w:link w:val="FootnoteTextChar"/>
    <w:semiHidden/>
    <w:rsid w:val="00E86FD4"/>
    <w:rPr>
      <w:sz w:val="20"/>
    </w:rPr>
  </w:style>
  <w:style w:type="character" w:styleId="FootnoteReference">
    <w:name w:val="footnote reference"/>
    <w:semiHidden/>
    <w:rsid w:val="00E86FD4"/>
    <w:rPr>
      <w:vertAlign w:val="superscript"/>
    </w:rPr>
  </w:style>
  <w:style w:type="paragraph" w:styleId="BodyTextIndent">
    <w:name w:val="Body Text Indent"/>
    <w:basedOn w:val="Normal"/>
    <w:link w:val="BodyTextIndentChar"/>
    <w:rsid w:val="00E86FD4"/>
    <w:pPr>
      <w:spacing w:line="480" w:lineRule="auto"/>
      <w:ind w:firstLine="720"/>
    </w:pPr>
  </w:style>
  <w:style w:type="paragraph" w:styleId="BodyTextIndent3">
    <w:name w:val="Body Text Indent 3"/>
    <w:basedOn w:val="Normal"/>
    <w:link w:val="BodyTextIndent3Char"/>
    <w:rsid w:val="00E86FD4"/>
    <w:pPr>
      <w:spacing w:line="480" w:lineRule="atLeast"/>
      <w:ind w:firstLine="720"/>
    </w:pPr>
  </w:style>
  <w:style w:type="paragraph" w:styleId="BodyTextIndent2">
    <w:name w:val="Body Text Indent 2"/>
    <w:basedOn w:val="Normal"/>
    <w:rsid w:val="00E86FD4"/>
    <w:pPr>
      <w:tabs>
        <w:tab w:val="left" w:pos="720"/>
      </w:tabs>
      <w:spacing w:before="240" w:after="240"/>
      <w:ind w:left="1464" w:hanging="744"/>
    </w:pPr>
  </w:style>
  <w:style w:type="character" w:styleId="PageNumber">
    <w:name w:val="page number"/>
    <w:basedOn w:val="DefaultParagraphFont"/>
    <w:rsid w:val="00E86FD4"/>
  </w:style>
  <w:style w:type="paragraph" w:styleId="BodyText">
    <w:name w:val="Body Text"/>
    <w:basedOn w:val="Normal"/>
    <w:link w:val="BodyTextChar"/>
    <w:rsid w:val="00E86FD4"/>
    <w:pPr>
      <w:jc w:val="both"/>
    </w:pPr>
  </w:style>
  <w:style w:type="paragraph" w:styleId="BlockText">
    <w:name w:val="Block Text"/>
    <w:basedOn w:val="Normal"/>
    <w:rsid w:val="00E86FD4"/>
    <w:pPr>
      <w:ind w:left="1440" w:right="720"/>
    </w:pPr>
  </w:style>
  <w:style w:type="paragraph" w:styleId="EndnoteText">
    <w:name w:val="endnote text"/>
    <w:basedOn w:val="Normal"/>
    <w:semiHidden/>
    <w:rsid w:val="00E86FD4"/>
    <w:rPr>
      <w:sz w:val="20"/>
    </w:rPr>
  </w:style>
  <w:style w:type="character" w:styleId="EndnoteReference">
    <w:name w:val="endnote reference"/>
    <w:semiHidden/>
    <w:rsid w:val="00E86FD4"/>
    <w:rPr>
      <w:vertAlign w:val="superscript"/>
    </w:rPr>
  </w:style>
  <w:style w:type="paragraph" w:styleId="BodyText2">
    <w:name w:val="Body Text 2"/>
    <w:basedOn w:val="Normal"/>
    <w:rsid w:val="00E86FD4"/>
    <w:pPr>
      <w:spacing w:line="480" w:lineRule="auto"/>
      <w:ind w:right="1440"/>
    </w:pPr>
  </w:style>
  <w:style w:type="paragraph" w:styleId="Header">
    <w:name w:val="header"/>
    <w:basedOn w:val="Normal"/>
    <w:rsid w:val="00E86FD4"/>
    <w:pPr>
      <w:tabs>
        <w:tab w:val="center" w:pos="4320"/>
        <w:tab w:val="right" w:pos="8640"/>
      </w:tabs>
    </w:pPr>
  </w:style>
  <w:style w:type="paragraph" w:styleId="BalloonText">
    <w:name w:val="Balloon Text"/>
    <w:basedOn w:val="Normal"/>
    <w:semiHidden/>
    <w:rsid w:val="00E86FD4"/>
    <w:rPr>
      <w:rFonts w:ascii="Lucida Grande" w:hAnsi="Lucida Grande"/>
      <w:sz w:val="18"/>
      <w:szCs w:val="18"/>
    </w:rPr>
  </w:style>
  <w:style w:type="character" w:styleId="CommentReference">
    <w:name w:val="annotation reference"/>
    <w:semiHidden/>
    <w:rsid w:val="00E86FD4"/>
    <w:rPr>
      <w:sz w:val="18"/>
    </w:rPr>
  </w:style>
  <w:style w:type="paragraph" w:styleId="CommentText">
    <w:name w:val="annotation text"/>
    <w:basedOn w:val="Normal"/>
    <w:link w:val="CommentTextChar"/>
    <w:semiHidden/>
    <w:rsid w:val="00E86FD4"/>
    <w:rPr>
      <w:szCs w:val="24"/>
    </w:rPr>
  </w:style>
  <w:style w:type="paragraph" w:styleId="CommentSubject">
    <w:name w:val="annotation subject"/>
    <w:basedOn w:val="CommentText"/>
    <w:next w:val="CommentText"/>
    <w:semiHidden/>
    <w:rsid w:val="00E86FD4"/>
    <w:rPr>
      <w:szCs w:val="20"/>
    </w:rPr>
  </w:style>
  <w:style w:type="character" w:styleId="FollowedHyperlink">
    <w:name w:val="FollowedHyperlink"/>
    <w:rsid w:val="00E86FD4"/>
    <w:rPr>
      <w:color w:val="800080"/>
      <w:u w:val="single"/>
    </w:rPr>
  </w:style>
  <w:style w:type="character" w:customStyle="1" w:styleId="term1">
    <w:name w:val="term1"/>
    <w:rsid w:val="00E86FD4"/>
    <w:rPr>
      <w:b/>
      <w:bCs/>
    </w:rPr>
  </w:style>
  <w:style w:type="table" w:styleId="TableGrid">
    <w:name w:val="Table Grid"/>
    <w:basedOn w:val="TableNormal"/>
    <w:rsid w:val="00E8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E86FD4"/>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946E16"/>
    <w:rPr>
      <w:color w:val="605E5C"/>
      <w:shd w:val="clear" w:color="auto" w:fill="E1DFDD"/>
    </w:rPr>
  </w:style>
  <w:style w:type="character" w:customStyle="1" w:styleId="FooterChar">
    <w:name w:val="Footer Char"/>
    <w:basedOn w:val="DefaultParagraphFont"/>
    <w:link w:val="Footer"/>
    <w:uiPriority w:val="99"/>
    <w:rsid w:val="00DA7A21"/>
  </w:style>
  <w:style w:type="character" w:customStyle="1" w:styleId="BodyTextChar">
    <w:name w:val="Body Text Char"/>
    <w:basedOn w:val="DefaultParagraphFont"/>
    <w:link w:val="BodyText"/>
    <w:rsid w:val="005956C8"/>
    <w:rPr>
      <w:sz w:val="24"/>
    </w:rPr>
  </w:style>
  <w:style w:type="character" w:customStyle="1" w:styleId="CommentTextChar">
    <w:name w:val="Comment Text Char"/>
    <w:basedOn w:val="DefaultParagraphFont"/>
    <w:link w:val="CommentText"/>
    <w:semiHidden/>
    <w:rsid w:val="005956C8"/>
    <w:rPr>
      <w:sz w:val="24"/>
      <w:szCs w:val="24"/>
    </w:rPr>
  </w:style>
  <w:style w:type="character" w:customStyle="1" w:styleId="UnresolvedMention2">
    <w:name w:val="Unresolved Mention2"/>
    <w:basedOn w:val="DefaultParagraphFont"/>
    <w:uiPriority w:val="99"/>
    <w:semiHidden/>
    <w:unhideWhenUsed/>
    <w:rsid w:val="00C64067"/>
    <w:rPr>
      <w:color w:val="605E5C"/>
      <w:shd w:val="clear" w:color="auto" w:fill="E1DFDD"/>
    </w:rPr>
  </w:style>
  <w:style w:type="character" w:customStyle="1" w:styleId="UnresolvedMention3">
    <w:name w:val="Unresolved Mention3"/>
    <w:basedOn w:val="DefaultParagraphFont"/>
    <w:uiPriority w:val="99"/>
    <w:semiHidden/>
    <w:unhideWhenUsed/>
    <w:rsid w:val="00912727"/>
    <w:rPr>
      <w:color w:val="605E5C"/>
      <w:shd w:val="clear" w:color="auto" w:fill="E1DFDD"/>
    </w:rPr>
  </w:style>
  <w:style w:type="character" w:customStyle="1" w:styleId="UnresolvedMention4">
    <w:name w:val="Unresolved Mention4"/>
    <w:basedOn w:val="DefaultParagraphFont"/>
    <w:uiPriority w:val="99"/>
    <w:semiHidden/>
    <w:unhideWhenUsed/>
    <w:rsid w:val="00EF6712"/>
    <w:rPr>
      <w:color w:val="605E5C"/>
      <w:shd w:val="clear" w:color="auto" w:fill="E1DFDD"/>
    </w:rPr>
  </w:style>
  <w:style w:type="paragraph" w:styleId="TOC1">
    <w:name w:val="toc 1"/>
    <w:basedOn w:val="Normal"/>
    <w:next w:val="Normal"/>
    <w:autoRedefine/>
    <w:uiPriority w:val="39"/>
    <w:unhideWhenUsed/>
    <w:qFormat/>
    <w:rsid w:val="006E7805"/>
    <w:pPr>
      <w:tabs>
        <w:tab w:val="decimal" w:leader="dot" w:pos="9360"/>
      </w:tabs>
      <w:spacing w:after="240"/>
      <w:ind w:left="720" w:hanging="720"/>
    </w:pPr>
    <w:rPr>
      <w:caps/>
    </w:rPr>
  </w:style>
  <w:style w:type="character" w:customStyle="1" w:styleId="BodyTextIndentChar">
    <w:name w:val="Body Text Indent Char"/>
    <w:basedOn w:val="DefaultParagraphFont"/>
    <w:link w:val="BodyTextIndent"/>
    <w:rsid w:val="008852CC"/>
    <w:rPr>
      <w:sz w:val="24"/>
    </w:rPr>
  </w:style>
  <w:style w:type="paragraph" w:styleId="TOC2">
    <w:name w:val="toc 2"/>
    <w:basedOn w:val="Normal"/>
    <w:next w:val="Normal"/>
    <w:autoRedefine/>
    <w:uiPriority w:val="39"/>
    <w:unhideWhenUsed/>
    <w:qFormat/>
    <w:rsid w:val="00DD5699"/>
    <w:pPr>
      <w:tabs>
        <w:tab w:val="decimal" w:leader="dot" w:pos="9360"/>
      </w:tabs>
      <w:spacing w:after="240"/>
      <w:ind w:left="1440" w:hanging="720"/>
    </w:pPr>
  </w:style>
  <w:style w:type="paragraph" w:styleId="TOC3">
    <w:name w:val="toc 3"/>
    <w:basedOn w:val="Normal"/>
    <w:next w:val="Normal"/>
    <w:autoRedefine/>
    <w:uiPriority w:val="39"/>
    <w:unhideWhenUsed/>
    <w:qFormat/>
    <w:rsid w:val="00DD5699"/>
    <w:pPr>
      <w:tabs>
        <w:tab w:val="decimal" w:leader="dot" w:pos="9360"/>
      </w:tabs>
      <w:spacing w:after="240"/>
      <w:ind w:left="2160" w:hanging="720"/>
    </w:pPr>
  </w:style>
  <w:style w:type="character" w:customStyle="1" w:styleId="UnresolvedMention5">
    <w:name w:val="Unresolved Mention5"/>
    <w:basedOn w:val="DefaultParagraphFont"/>
    <w:uiPriority w:val="99"/>
    <w:semiHidden/>
    <w:unhideWhenUsed/>
    <w:rsid w:val="006C354C"/>
    <w:rPr>
      <w:color w:val="605E5C"/>
      <w:shd w:val="clear" w:color="auto" w:fill="E1DFDD"/>
    </w:rPr>
  </w:style>
  <w:style w:type="character" w:customStyle="1" w:styleId="FootnoteTextChar">
    <w:name w:val="Footnote Text Char"/>
    <w:basedOn w:val="DefaultParagraphFont"/>
    <w:link w:val="FootnoteText"/>
    <w:semiHidden/>
    <w:rsid w:val="001944A7"/>
  </w:style>
  <w:style w:type="character" w:customStyle="1" w:styleId="BodyTextIndent3Char">
    <w:name w:val="Body Text Indent 3 Char"/>
    <w:basedOn w:val="DefaultParagraphFont"/>
    <w:link w:val="BodyTextIndent3"/>
    <w:rsid w:val="001944A7"/>
    <w:rPr>
      <w:sz w:val="24"/>
    </w:rPr>
  </w:style>
  <w:style w:type="character" w:customStyle="1" w:styleId="HTMLPreformattedChar">
    <w:name w:val="HTML Preformatted Char"/>
    <w:basedOn w:val="DefaultParagraphFont"/>
    <w:link w:val="HTMLPreformatted"/>
    <w:rsid w:val="002A5A45"/>
    <w:rPr>
      <w:rFonts w:ascii="Courier New" w:eastAsia="Courier New" w:hAnsi="Courier New" w:cs="Courier New"/>
    </w:rPr>
  </w:style>
  <w:style w:type="character" w:customStyle="1" w:styleId="UnresolvedMention6">
    <w:name w:val="Unresolved Mention6"/>
    <w:basedOn w:val="DefaultParagraphFont"/>
    <w:uiPriority w:val="99"/>
    <w:semiHidden/>
    <w:unhideWhenUsed/>
    <w:rsid w:val="0072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werner.margard@ohioattorneygeneral.gov" TargetMode="External" /><Relationship Id="rId13" Type="http://schemas.openxmlformats.org/officeDocument/2006/relationships/hyperlink" Target="mailto:fykes@whitt-sturtevant.com" TargetMode="External" /><Relationship Id="rId14" Type="http://schemas.openxmlformats.org/officeDocument/2006/relationships/hyperlink" Target="mailto:ccox@elpc.org" TargetMode="External" /><Relationship Id="rId15" Type="http://schemas.openxmlformats.org/officeDocument/2006/relationships/hyperlink" Target="mailto:rdove@keglerbrown.com" TargetMode="External" /><Relationship Id="rId16" Type="http://schemas.openxmlformats.org/officeDocument/2006/relationships/hyperlink" Target="mailto:michael.nugent@igs.com" TargetMode="External" /><Relationship Id="rId17" Type="http://schemas.openxmlformats.org/officeDocument/2006/relationships/hyperlink" Target="mailto:joe.oliker@igs.com" TargetMode="External" /><Relationship Id="rId18" Type="http://schemas.openxmlformats.org/officeDocument/2006/relationships/hyperlink" Target="mailto:bethany.allen@igs.com" TargetMode="External" /><Relationship Id="rId19" Type="http://schemas.openxmlformats.org/officeDocument/2006/relationships/hyperlink" Target="mailto:mjsettineri@vorys.com" TargetMode="External" /><Relationship Id="rId2" Type="http://schemas.openxmlformats.org/officeDocument/2006/relationships/settings" Target="settings.xml" /><Relationship Id="rId20" Type="http://schemas.openxmlformats.org/officeDocument/2006/relationships/hyperlink" Target="mailto:glpetrucci@vorys.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christopher.healey@occ.ohio.gov"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nergychoice.ohio.gov/ApplesToApplesComparision.aspx?Category=NaturalGas&amp;TerritoryId=11&amp;RateCode=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9713-BB1C-4130-91C4-EE895CDF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Vectren Reply Brief/abo  (00146629.DOCX;1)</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2020-09-17T19:54:19Z</dcterms:created>
  <dcterms:modified xsi:type="dcterms:W3CDTF">2020-09-17T19:54:19Z</dcterms:modified>
</cp:coreProperties>
</file>