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7FF" w:rsidRDefault="003D17FF" w:rsidP="003D17FF">
      <w:pPr>
        <w:jc w:val="center"/>
        <w:rPr>
          <w:b/>
        </w:rPr>
      </w:pPr>
      <w:r>
        <w:rPr>
          <w:b/>
        </w:rPr>
        <w:t>BEFORE</w:t>
      </w:r>
    </w:p>
    <w:p w:rsidR="003D17FF" w:rsidRDefault="003D17FF" w:rsidP="003D17FF">
      <w:pPr>
        <w:jc w:val="center"/>
        <w:rPr>
          <w:b/>
        </w:rPr>
      </w:pPr>
      <w:r>
        <w:rPr>
          <w:b/>
        </w:rPr>
        <w:t>THE PUBLIC UTILITIES COMMISSION OF OHIO</w:t>
      </w:r>
    </w:p>
    <w:p w:rsidR="003D17FF" w:rsidRDefault="003D17FF" w:rsidP="003D17FF">
      <w:pPr>
        <w:jc w:val="center"/>
      </w:pPr>
    </w:p>
    <w:p w:rsidR="0021519F" w:rsidRDefault="0021519F" w:rsidP="003D17FF">
      <w:pPr>
        <w:jc w:val="center"/>
      </w:pPr>
    </w:p>
    <w:tbl>
      <w:tblPr>
        <w:tblW w:w="0" w:type="auto"/>
        <w:tblBorders>
          <w:insideV w:val="single" w:sz="4" w:space="0" w:color="auto"/>
        </w:tblBorders>
        <w:tblLook w:val="01E0"/>
      </w:tblPr>
      <w:tblGrid>
        <w:gridCol w:w="4428"/>
        <w:gridCol w:w="4428"/>
      </w:tblGrid>
      <w:tr w:rsidR="003D17FF" w:rsidTr="003D17FF">
        <w:tc>
          <w:tcPr>
            <w:tcW w:w="4428" w:type="dxa"/>
            <w:tcBorders>
              <w:top w:val="nil"/>
              <w:left w:val="nil"/>
              <w:bottom w:val="nil"/>
              <w:right w:val="single" w:sz="4" w:space="0" w:color="auto"/>
            </w:tcBorders>
            <w:hideMark/>
          </w:tcPr>
          <w:p w:rsidR="0021519F" w:rsidRDefault="0021519F" w:rsidP="0021519F">
            <w:pPr>
              <w:autoSpaceDE w:val="0"/>
              <w:autoSpaceDN w:val="0"/>
              <w:adjustRightInd w:val="0"/>
              <w:rPr>
                <w:rFonts w:eastAsiaTheme="minorHAnsi"/>
              </w:rPr>
            </w:pPr>
            <w:r>
              <w:rPr>
                <w:rFonts w:eastAsiaTheme="minorHAnsi"/>
              </w:rPr>
              <w:t>In the Matter of the Application of</w:t>
            </w:r>
          </w:p>
          <w:p w:rsidR="0021519F" w:rsidRDefault="00AB45F0" w:rsidP="0021519F">
            <w:pPr>
              <w:autoSpaceDE w:val="0"/>
              <w:autoSpaceDN w:val="0"/>
              <w:adjustRightInd w:val="0"/>
              <w:rPr>
                <w:rFonts w:eastAsiaTheme="minorHAnsi"/>
              </w:rPr>
            </w:pPr>
            <w:r>
              <w:rPr>
                <w:rFonts w:eastAsiaTheme="minorHAnsi"/>
              </w:rPr>
              <w:t>Columbus Southern Power Company for Approval of its Renewable Energy Technology Program.</w:t>
            </w:r>
          </w:p>
          <w:p w:rsidR="00AB45F0" w:rsidRDefault="00AB45F0" w:rsidP="0021519F">
            <w:pPr>
              <w:autoSpaceDE w:val="0"/>
              <w:autoSpaceDN w:val="0"/>
              <w:adjustRightInd w:val="0"/>
              <w:rPr>
                <w:rFonts w:eastAsiaTheme="minorHAnsi"/>
              </w:rPr>
            </w:pPr>
          </w:p>
          <w:p w:rsidR="00AB45F0" w:rsidRDefault="00AB45F0" w:rsidP="00AB45F0">
            <w:pPr>
              <w:autoSpaceDE w:val="0"/>
              <w:autoSpaceDN w:val="0"/>
              <w:adjustRightInd w:val="0"/>
              <w:rPr>
                <w:rFonts w:eastAsiaTheme="minorHAnsi"/>
              </w:rPr>
            </w:pPr>
            <w:r>
              <w:rPr>
                <w:rFonts w:eastAsiaTheme="minorHAnsi"/>
              </w:rPr>
              <w:t>In the Matter of the Application of</w:t>
            </w:r>
          </w:p>
          <w:p w:rsidR="00AB45F0" w:rsidRDefault="00AB45F0" w:rsidP="00AB45F0">
            <w:pPr>
              <w:autoSpaceDE w:val="0"/>
              <w:autoSpaceDN w:val="0"/>
              <w:adjustRightInd w:val="0"/>
              <w:rPr>
                <w:rFonts w:eastAsiaTheme="minorHAnsi"/>
              </w:rPr>
            </w:pPr>
            <w:r>
              <w:rPr>
                <w:rFonts w:eastAsiaTheme="minorHAnsi"/>
              </w:rPr>
              <w:t>Ohio Power Company for Approval of its Renewable Energy Technology Program</w:t>
            </w:r>
          </w:p>
          <w:p w:rsidR="0021519F" w:rsidRDefault="0021519F" w:rsidP="0021519F">
            <w:pPr>
              <w:autoSpaceDE w:val="0"/>
              <w:autoSpaceDN w:val="0"/>
              <w:adjustRightInd w:val="0"/>
              <w:rPr>
                <w:rFonts w:eastAsiaTheme="minorHAnsi"/>
              </w:rPr>
            </w:pPr>
          </w:p>
          <w:p w:rsidR="003D17FF" w:rsidRDefault="003D17FF" w:rsidP="004656CB">
            <w:pPr>
              <w:autoSpaceDE w:val="0"/>
              <w:autoSpaceDN w:val="0"/>
              <w:adjustRightInd w:val="0"/>
            </w:pPr>
          </w:p>
        </w:tc>
        <w:tc>
          <w:tcPr>
            <w:tcW w:w="4428" w:type="dxa"/>
            <w:tcBorders>
              <w:top w:val="nil"/>
              <w:left w:val="single" w:sz="4" w:space="0" w:color="auto"/>
              <w:bottom w:val="nil"/>
              <w:right w:val="nil"/>
            </w:tcBorders>
          </w:tcPr>
          <w:p w:rsidR="003D17FF" w:rsidRDefault="004656CB">
            <w:pPr>
              <w:autoSpaceDE w:val="0"/>
              <w:autoSpaceDN w:val="0"/>
              <w:adjustRightInd w:val="0"/>
              <w:rPr>
                <w:rFonts w:eastAsia="Calibri"/>
              </w:rPr>
            </w:pPr>
            <w:r>
              <w:rPr>
                <w:rFonts w:eastAsia="Calibri"/>
              </w:rPr>
              <w:t xml:space="preserve">   Case No. </w:t>
            </w:r>
            <w:r w:rsidR="00AB45F0">
              <w:rPr>
                <w:rFonts w:eastAsia="Calibri"/>
              </w:rPr>
              <w:t>09-1872-EL-ACP</w:t>
            </w:r>
          </w:p>
          <w:p w:rsidR="003D17FF" w:rsidRDefault="003D17FF" w:rsidP="003D17FF">
            <w:pPr>
              <w:autoSpaceDE w:val="0"/>
              <w:autoSpaceDN w:val="0"/>
              <w:adjustRightInd w:val="0"/>
            </w:pPr>
            <w:r>
              <w:t xml:space="preserve">  </w:t>
            </w:r>
          </w:p>
          <w:p w:rsidR="003D17FF" w:rsidRDefault="003D17FF">
            <w:r>
              <w:t xml:space="preserve">                   </w:t>
            </w:r>
          </w:p>
          <w:p w:rsidR="003D17FF" w:rsidRDefault="003D17FF"/>
          <w:p w:rsidR="0021519F" w:rsidRDefault="0021519F"/>
          <w:p w:rsidR="0021519F" w:rsidRDefault="00AB45F0">
            <w:r>
              <w:rPr>
                <w:rFonts w:eastAsia="Calibri"/>
              </w:rPr>
              <w:t xml:space="preserve">   Case No. 09-1872-EL-ACP</w:t>
            </w:r>
          </w:p>
          <w:p w:rsidR="0021519F" w:rsidRDefault="0021519F"/>
          <w:p w:rsidR="0021519F" w:rsidRDefault="0021519F">
            <w:r>
              <w:t xml:space="preserve">   </w:t>
            </w:r>
          </w:p>
        </w:tc>
      </w:tr>
      <w:tr w:rsidR="00AB45F0" w:rsidTr="003D17FF">
        <w:tc>
          <w:tcPr>
            <w:tcW w:w="4428" w:type="dxa"/>
            <w:tcBorders>
              <w:top w:val="nil"/>
              <w:left w:val="nil"/>
              <w:bottom w:val="nil"/>
              <w:right w:val="single" w:sz="4" w:space="0" w:color="auto"/>
            </w:tcBorders>
          </w:tcPr>
          <w:p w:rsidR="00AB45F0" w:rsidRDefault="00AB45F0" w:rsidP="0021519F">
            <w:pPr>
              <w:autoSpaceDE w:val="0"/>
              <w:autoSpaceDN w:val="0"/>
              <w:adjustRightInd w:val="0"/>
              <w:rPr>
                <w:rFonts w:eastAsiaTheme="minorHAnsi"/>
              </w:rPr>
            </w:pPr>
          </w:p>
        </w:tc>
        <w:tc>
          <w:tcPr>
            <w:tcW w:w="4428" w:type="dxa"/>
            <w:tcBorders>
              <w:top w:val="nil"/>
              <w:left w:val="single" w:sz="4" w:space="0" w:color="auto"/>
              <w:bottom w:val="nil"/>
              <w:right w:val="nil"/>
            </w:tcBorders>
          </w:tcPr>
          <w:p w:rsidR="00AB45F0" w:rsidRDefault="00AB45F0">
            <w:pPr>
              <w:autoSpaceDE w:val="0"/>
              <w:autoSpaceDN w:val="0"/>
              <w:adjustRightInd w:val="0"/>
              <w:rPr>
                <w:rFonts w:eastAsia="Calibri"/>
              </w:rPr>
            </w:pPr>
          </w:p>
        </w:tc>
      </w:tr>
    </w:tbl>
    <w:p w:rsidR="003D17FF" w:rsidRDefault="003D17FF" w:rsidP="003D17FF">
      <w:pPr>
        <w:jc w:val="center"/>
      </w:pPr>
    </w:p>
    <w:tbl>
      <w:tblPr>
        <w:tblW w:w="0" w:type="auto"/>
        <w:tblBorders>
          <w:top w:val="single" w:sz="8" w:space="0" w:color="auto"/>
          <w:bottom w:val="single" w:sz="8" w:space="0" w:color="auto"/>
        </w:tblBorders>
        <w:tblLook w:val="01E0"/>
      </w:tblPr>
      <w:tblGrid>
        <w:gridCol w:w="8856"/>
      </w:tblGrid>
      <w:tr w:rsidR="003D17FF" w:rsidTr="003D17FF">
        <w:tc>
          <w:tcPr>
            <w:tcW w:w="8856" w:type="dxa"/>
            <w:tcBorders>
              <w:top w:val="single" w:sz="8" w:space="0" w:color="auto"/>
              <w:left w:val="nil"/>
              <w:bottom w:val="single" w:sz="8" w:space="0" w:color="auto"/>
              <w:right w:val="nil"/>
            </w:tcBorders>
          </w:tcPr>
          <w:p w:rsidR="003D17FF" w:rsidRDefault="003D17FF">
            <w:pPr>
              <w:jc w:val="center"/>
            </w:pPr>
          </w:p>
          <w:p w:rsidR="003D17FF" w:rsidRDefault="003D17FF" w:rsidP="003D17FF">
            <w:pPr>
              <w:jc w:val="center"/>
              <w:rPr>
                <w:b/>
              </w:rPr>
            </w:pPr>
            <w:r>
              <w:rPr>
                <w:b/>
              </w:rPr>
              <w:t xml:space="preserve">MOTION TO INTERVENE </w:t>
            </w:r>
          </w:p>
          <w:p w:rsidR="003D17FF" w:rsidRDefault="003D17FF" w:rsidP="003D17FF">
            <w:pPr>
              <w:jc w:val="center"/>
              <w:rPr>
                <w:b/>
              </w:rPr>
            </w:pPr>
            <w:r>
              <w:rPr>
                <w:b/>
              </w:rPr>
              <w:t>BY</w:t>
            </w:r>
          </w:p>
          <w:p w:rsidR="003D17FF" w:rsidRDefault="003D17FF" w:rsidP="003D17FF">
            <w:pPr>
              <w:jc w:val="center"/>
              <w:rPr>
                <w:b/>
              </w:rPr>
            </w:pPr>
            <w:r>
              <w:rPr>
                <w:b/>
              </w:rPr>
              <w:t xml:space="preserve">THE </w:t>
            </w:r>
            <w:r w:rsidR="0021519F">
              <w:rPr>
                <w:b/>
              </w:rPr>
              <w:t>VOTE SOLAR INITIAVE</w:t>
            </w:r>
          </w:p>
          <w:p w:rsidR="003D17FF" w:rsidRDefault="003D17FF" w:rsidP="003D17FF">
            <w:pPr>
              <w:jc w:val="center"/>
            </w:pPr>
          </w:p>
        </w:tc>
      </w:tr>
    </w:tbl>
    <w:p w:rsidR="003D17FF" w:rsidRDefault="003D17FF" w:rsidP="003D17FF"/>
    <w:p w:rsidR="00CA6DD2" w:rsidRPr="0021519F" w:rsidRDefault="003D17FF" w:rsidP="00BB34B4">
      <w:pPr>
        <w:spacing w:line="480" w:lineRule="auto"/>
        <w:jc w:val="both"/>
        <w:rPr>
          <w:color w:val="FF0000"/>
        </w:rPr>
      </w:pPr>
      <w:r w:rsidRPr="0021519F">
        <w:rPr>
          <w:color w:val="FF0000"/>
        </w:rPr>
        <w:tab/>
      </w:r>
      <w:r w:rsidR="00066179">
        <w:t>The Vote Solar Initiative (“Vote Solar”)</w:t>
      </w:r>
      <w:r w:rsidRPr="0021519F">
        <w:rPr>
          <w:color w:val="FF0000"/>
        </w:rPr>
        <w:t xml:space="preserve"> </w:t>
      </w:r>
      <w:r w:rsidRPr="00CF66BC">
        <w:t>moves to intervene in this case in which</w:t>
      </w:r>
      <w:r w:rsidRPr="0021519F">
        <w:rPr>
          <w:color w:val="FF0000"/>
        </w:rPr>
        <w:t xml:space="preserve"> </w:t>
      </w:r>
      <w:r w:rsidR="00AB45F0">
        <w:t xml:space="preserve">Columbus Southern Power Company (“CSP”) and Ohio Power Company (“OP”) (collectively the “Companies” or “AEP Ohio”) </w:t>
      </w:r>
      <w:r w:rsidR="00BB34B4">
        <w:t>filed for a</w:t>
      </w:r>
      <w:r w:rsidR="004656CB">
        <w:t xml:space="preserve">pproval </w:t>
      </w:r>
      <w:r w:rsidR="002C022E">
        <w:t>of the Renewable Energy Technology Program</w:t>
      </w:r>
      <w:r w:rsidR="004656CB">
        <w:t>.</w:t>
      </w:r>
    </w:p>
    <w:p w:rsidR="003D17FF" w:rsidRPr="00CF66BC" w:rsidRDefault="003D17FF" w:rsidP="00CA6DD2">
      <w:pPr>
        <w:spacing w:line="480" w:lineRule="auto"/>
        <w:ind w:firstLine="720"/>
        <w:jc w:val="both"/>
      </w:pPr>
      <w:r w:rsidRPr="00CF66BC">
        <w:t xml:space="preserve">As more fully discussed in the accompanying memorandum, </w:t>
      </w:r>
      <w:r w:rsidR="00CF66BC" w:rsidRPr="00CF66BC">
        <w:br/>
        <w:t>Vote Solar</w:t>
      </w:r>
      <w:r w:rsidRPr="00CF66BC">
        <w:t xml:space="preserve"> has a real and substantial interest in this proceeding, and the disposition of this case may impede its ability to protect that interest.  The interests of </w:t>
      </w:r>
      <w:r w:rsidR="00CF66BC">
        <w:t>Vote Solar</w:t>
      </w:r>
      <w:r w:rsidR="00BB34B4">
        <w:t xml:space="preserve"> </w:t>
      </w:r>
      <w:r w:rsidRPr="00CF66BC">
        <w:t xml:space="preserve">are not currently represented by any existing party, and its participation in this proceeding will contribute to a just and expeditious resolution of the issues involved.  </w:t>
      </w:r>
      <w:r w:rsidR="00CF66BC">
        <w:t>Vote Solar’s</w:t>
      </w:r>
      <w:r w:rsidRPr="00CF66BC">
        <w:t xml:space="preserve"> participation will not unduly delay the proceeding or unjustly prejudice any existing party.  Accordingly, </w:t>
      </w:r>
      <w:r w:rsidR="00CF66BC">
        <w:t>Vote Solar</w:t>
      </w:r>
      <w:r w:rsidRPr="00CF66BC">
        <w:t xml:space="preserve"> hereby moves to intervene in this proceeding pursuant to R.C. 4903.221 and O.A.C. 4901-1-11.</w:t>
      </w:r>
      <w:r w:rsidRPr="00CF66BC">
        <w:tab/>
      </w:r>
    </w:p>
    <w:p w:rsidR="003D17FF" w:rsidRPr="00CF66BC" w:rsidRDefault="003D17FF" w:rsidP="003D17FF">
      <w:pPr>
        <w:spacing w:line="480" w:lineRule="auto"/>
        <w:ind w:firstLine="720"/>
        <w:jc w:val="both"/>
      </w:pPr>
      <w:r w:rsidRPr="00CF66BC">
        <w:lastRenderedPageBreak/>
        <w:t xml:space="preserve">WHEREFORE, </w:t>
      </w:r>
      <w:r w:rsidR="00CF66BC">
        <w:t>Vote Solar</w:t>
      </w:r>
      <w:r w:rsidRPr="00CF66BC">
        <w:t xml:space="preserve"> respectfully requests that the Commission grant its motion to intervene.</w:t>
      </w:r>
    </w:p>
    <w:p w:rsidR="004656CB" w:rsidRDefault="004656CB" w:rsidP="003D17FF">
      <w:pPr>
        <w:ind w:left="5040"/>
      </w:pPr>
    </w:p>
    <w:p w:rsidR="004656CB" w:rsidRDefault="004656CB" w:rsidP="003D17FF">
      <w:pPr>
        <w:ind w:left="5040"/>
      </w:pPr>
    </w:p>
    <w:p w:rsidR="003D17FF" w:rsidRDefault="003D17FF" w:rsidP="003D17FF">
      <w:pPr>
        <w:ind w:left="5040"/>
      </w:pPr>
      <w:r>
        <w:t>Respectfully Submitted</w:t>
      </w:r>
      <w:r w:rsidR="00920E81">
        <w:t xml:space="preserve"> on behalf of </w:t>
      </w:r>
      <w:r w:rsidR="00920E81" w:rsidRPr="00920E81">
        <w:t>The Vote Solar Initiative</w:t>
      </w:r>
      <w:r>
        <w:t>,</w:t>
      </w:r>
    </w:p>
    <w:p w:rsidR="003D17FF" w:rsidRDefault="003D17FF" w:rsidP="003D17FF">
      <w:pPr>
        <w:ind w:left="5040"/>
      </w:pPr>
    </w:p>
    <w:p w:rsidR="00A52FE4" w:rsidRDefault="00A52FE4" w:rsidP="003D17FF">
      <w:pPr>
        <w:ind w:left="5040"/>
      </w:pPr>
    </w:p>
    <w:p w:rsidR="00BE7071" w:rsidRDefault="00BE7071" w:rsidP="003D17FF">
      <w:pPr>
        <w:ind w:left="5040"/>
      </w:pPr>
    </w:p>
    <w:p w:rsidR="00BE7071" w:rsidRDefault="00A52FE4" w:rsidP="003D17FF">
      <w:pPr>
        <w:autoSpaceDE w:val="0"/>
        <w:autoSpaceDN w:val="0"/>
        <w:adjustRightInd w:val="0"/>
        <w:ind w:left="4320" w:firstLine="720"/>
        <w:rPr>
          <w:rFonts w:eastAsia="Calibri"/>
        </w:rPr>
      </w:pPr>
      <w:r w:rsidRPr="00A52FE4">
        <w:rPr>
          <w:rFonts w:eastAsia="Calibri"/>
          <w:u w:val="single"/>
        </w:rPr>
        <w:t>__</w:t>
      </w:r>
      <w:r w:rsidRPr="00A52FE4">
        <w:rPr>
          <w:rFonts w:eastAsia="Calibri"/>
          <w:b/>
          <w:u w:val="single"/>
        </w:rPr>
        <w:t>/s/ Todd M. Williams</w:t>
      </w:r>
      <w:r w:rsidR="00BE7071" w:rsidRPr="00A52FE4">
        <w:rPr>
          <w:rFonts w:eastAsia="Calibri"/>
          <w:b/>
          <w:u w:val="single"/>
        </w:rPr>
        <w:t>______________</w:t>
      </w:r>
    </w:p>
    <w:p w:rsidR="003D17FF" w:rsidRPr="00BE7071" w:rsidRDefault="003D17FF" w:rsidP="003D17FF">
      <w:pPr>
        <w:autoSpaceDE w:val="0"/>
        <w:autoSpaceDN w:val="0"/>
        <w:adjustRightInd w:val="0"/>
        <w:ind w:left="4320" w:firstLine="720"/>
        <w:rPr>
          <w:rFonts w:eastAsia="Calibri"/>
        </w:rPr>
      </w:pPr>
      <w:r w:rsidRPr="00BE7071">
        <w:rPr>
          <w:rFonts w:eastAsia="Calibri"/>
        </w:rPr>
        <w:t>Todd M. Williams</w:t>
      </w:r>
    </w:p>
    <w:p w:rsidR="003D17FF" w:rsidRDefault="003D17FF" w:rsidP="003D17FF">
      <w:pPr>
        <w:autoSpaceDE w:val="0"/>
        <w:autoSpaceDN w:val="0"/>
        <w:adjustRightInd w:val="0"/>
        <w:ind w:left="5040"/>
        <w:rPr>
          <w:rFonts w:eastAsia="Calibri"/>
        </w:rPr>
      </w:pPr>
      <w:r>
        <w:rPr>
          <w:rFonts w:eastAsia="Calibri"/>
        </w:rPr>
        <w:t>Williams &amp; Moser, L.L.C.</w:t>
      </w:r>
    </w:p>
    <w:p w:rsidR="003D17FF" w:rsidRDefault="003D17FF" w:rsidP="003D17FF">
      <w:pPr>
        <w:autoSpaceDE w:val="0"/>
        <w:autoSpaceDN w:val="0"/>
        <w:adjustRightInd w:val="0"/>
        <w:ind w:left="4320" w:firstLine="720"/>
        <w:rPr>
          <w:rFonts w:eastAsia="Calibri"/>
        </w:rPr>
      </w:pPr>
      <w:r>
        <w:rPr>
          <w:rFonts w:eastAsia="Calibri"/>
        </w:rPr>
        <w:t>PO Box 6885</w:t>
      </w:r>
    </w:p>
    <w:p w:rsidR="003D17FF" w:rsidRDefault="003D17FF" w:rsidP="003D17FF">
      <w:pPr>
        <w:autoSpaceDE w:val="0"/>
        <w:autoSpaceDN w:val="0"/>
        <w:adjustRightInd w:val="0"/>
        <w:ind w:left="4320" w:firstLine="720"/>
        <w:rPr>
          <w:rFonts w:eastAsia="Calibri"/>
        </w:rPr>
      </w:pPr>
      <w:r>
        <w:rPr>
          <w:rFonts w:eastAsia="Calibri"/>
        </w:rPr>
        <w:t>Toledo, OH 43612</w:t>
      </w:r>
    </w:p>
    <w:p w:rsidR="003D17FF" w:rsidRDefault="00920E81" w:rsidP="003D17FF">
      <w:pPr>
        <w:autoSpaceDE w:val="0"/>
        <w:autoSpaceDN w:val="0"/>
        <w:adjustRightInd w:val="0"/>
        <w:ind w:left="4320" w:firstLine="720"/>
        <w:rPr>
          <w:rFonts w:eastAsia="Calibri"/>
        </w:rPr>
      </w:pPr>
      <w:r>
        <w:rPr>
          <w:rFonts w:eastAsia="Calibri"/>
        </w:rPr>
        <w:t xml:space="preserve">p. </w:t>
      </w:r>
      <w:r w:rsidR="003D17FF">
        <w:rPr>
          <w:rFonts w:eastAsia="Calibri"/>
        </w:rPr>
        <w:t>(419) 215-7699</w:t>
      </w:r>
    </w:p>
    <w:p w:rsidR="00920E81" w:rsidRDefault="00920E81" w:rsidP="003D17FF">
      <w:pPr>
        <w:autoSpaceDE w:val="0"/>
        <w:autoSpaceDN w:val="0"/>
        <w:adjustRightInd w:val="0"/>
        <w:ind w:left="4320" w:firstLine="720"/>
        <w:rPr>
          <w:rFonts w:eastAsia="Calibri"/>
        </w:rPr>
      </w:pPr>
      <w:r>
        <w:rPr>
          <w:rFonts w:eastAsia="Calibri"/>
        </w:rPr>
        <w:t>f. (419) 474-1554</w:t>
      </w:r>
    </w:p>
    <w:p w:rsidR="003D17FF" w:rsidRDefault="003D17FF" w:rsidP="003D17FF">
      <w:pPr>
        <w:autoSpaceDE w:val="0"/>
        <w:autoSpaceDN w:val="0"/>
        <w:adjustRightInd w:val="0"/>
        <w:ind w:left="5040"/>
        <w:rPr>
          <w:rFonts w:eastAsia="Calibri"/>
        </w:rPr>
      </w:pPr>
      <w:r>
        <w:rPr>
          <w:rFonts w:eastAsia="Calibri"/>
          <w:i/>
          <w:iCs/>
        </w:rPr>
        <w:t xml:space="preserve">toddm@williamsandmoser.com </w:t>
      </w:r>
      <w:r>
        <w:rPr>
          <w:rFonts w:eastAsia="Calibri"/>
        </w:rPr>
        <w:t>– Email</w:t>
      </w:r>
    </w:p>
    <w:p w:rsidR="003D17FF" w:rsidRDefault="003D17FF" w:rsidP="003D17FF">
      <w:pPr>
        <w:ind w:left="5040"/>
      </w:pPr>
    </w:p>
    <w:p w:rsidR="00F57D02" w:rsidRDefault="00CF66BC" w:rsidP="00CF66BC">
      <w:pPr>
        <w:tabs>
          <w:tab w:val="left" w:pos="5040"/>
        </w:tabs>
        <w:rPr>
          <w:b/>
        </w:rPr>
      </w:pPr>
      <w:r>
        <w:rPr>
          <w:b/>
        </w:rPr>
        <w:tab/>
      </w:r>
    </w:p>
    <w:p w:rsidR="0021519F" w:rsidRDefault="0021519F">
      <w:pPr>
        <w:spacing w:after="200" w:line="276" w:lineRule="auto"/>
        <w:rPr>
          <w:b/>
        </w:rPr>
      </w:pPr>
      <w:r>
        <w:rPr>
          <w:b/>
        </w:rPr>
        <w:br w:type="page"/>
      </w:r>
    </w:p>
    <w:p w:rsidR="0021519F" w:rsidRDefault="0021519F" w:rsidP="0021519F">
      <w:pPr>
        <w:jc w:val="center"/>
        <w:rPr>
          <w:b/>
        </w:rPr>
      </w:pPr>
      <w:r>
        <w:rPr>
          <w:b/>
        </w:rPr>
        <w:lastRenderedPageBreak/>
        <w:t>BEFORE</w:t>
      </w:r>
    </w:p>
    <w:p w:rsidR="0021519F" w:rsidRDefault="0021519F" w:rsidP="0021519F">
      <w:pPr>
        <w:jc w:val="center"/>
        <w:rPr>
          <w:b/>
        </w:rPr>
      </w:pPr>
      <w:r>
        <w:rPr>
          <w:b/>
        </w:rPr>
        <w:t>THE PUBLIC UTILITIES COMMISSION OF OHIO</w:t>
      </w:r>
    </w:p>
    <w:p w:rsidR="0021519F" w:rsidRDefault="0021519F" w:rsidP="0021519F">
      <w:pPr>
        <w:jc w:val="center"/>
      </w:pPr>
    </w:p>
    <w:p w:rsidR="0021519F" w:rsidRDefault="0021519F" w:rsidP="0021519F">
      <w:pPr>
        <w:jc w:val="center"/>
      </w:pPr>
    </w:p>
    <w:tbl>
      <w:tblPr>
        <w:tblW w:w="0" w:type="auto"/>
        <w:tblBorders>
          <w:insideV w:val="single" w:sz="4" w:space="0" w:color="auto"/>
        </w:tblBorders>
        <w:tblLook w:val="01E0"/>
      </w:tblPr>
      <w:tblGrid>
        <w:gridCol w:w="4428"/>
        <w:gridCol w:w="4428"/>
      </w:tblGrid>
      <w:tr w:rsidR="00AB45F0" w:rsidTr="0021519F">
        <w:tc>
          <w:tcPr>
            <w:tcW w:w="4428" w:type="dxa"/>
            <w:tcBorders>
              <w:top w:val="nil"/>
              <w:left w:val="nil"/>
              <w:bottom w:val="nil"/>
              <w:right w:val="single" w:sz="4" w:space="0" w:color="auto"/>
            </w:tcBorders>
            <w:hideMark/>
          </w:tcPr>
          <w:p w:rsidR="00AB45F0" w:rsidRDefault="00AB45F0" w:rsidP="002C022E">
            <w:pPr>
              <w:autoSpaceDE w:val="0"/>
              <w:autoSpaceDN w:val="0"/>
              <w:adjustRightInd w:val="0"/>
              <w:rPr>
                <w:rFonts w:eastAsiaTheme="minorHAnsi"/>
              </w:rPr>
            </w:pPr>
            <w:r>
              <w:rPr>
                <w:rFonts w:eastAsiaTheme="minorHAnsi"/>
              </w:rPr>
              <w:t>In the Matter of the Application of</w:t>
            </w:r>
          </w:p>
          <w:p w:rsidR="00AB45F0" w:rsidRDefault="00AB45F0" w:rsidP="002C022E">
            <w:pPr>
              <w:autoSpaceDE w:val="0"/>
              <w:autoSpaceDN w:val="0"/>
              <w:adjustRightInd w:val="0"/>
              <w:rPr>
                <w:rFonts w:eastAsiaTheme="minorHAnsi"/>
              </w:rPr>
            </w:pPr>
            <w:r>
              <w:rPr>
                <w:rFonts w:eastAsiaTheme="minorHAnsi"/>
              </w:rPr>
              <w:t>Columbus Southern Power Company for Approval of its Renewable Energy Technology Program.</w:t>
            </w:r>
          </w:p>
          <w:p w:rsidR="00AB45F0" w:rsidRDefault="00AB45F0" w:rsidP="002C022E">
            <w:pPr>
              <w:autoSpaceDE w:val="0"/>
              <w:autoSpaceDN w:val="0"/>
              <w:adjustRightInd w:val="0"/>
              <w:rPr>
                <w:rFonts w:eastAsiaTheme="minorHAnsi"/>
              </w:rPr>
            </w:pPr>
          </w:p>
          <w:p w:rsidR="00AB45F0" w:rsidRDefault="00AB45F0" w:rsidP="002C022E">
            <w:pPr>
              <w:autoSpaceDE w:val="0"/>
              <w:autoSpaceDN w:val="0"/>
              <w:adjustRightInd w:val="0"/>
              <w:rPr>
                <w:rFonts w:eastAsiaTheme="minorHAnsi"/>
              </w:rPr>
            </w:pPr>
            <w:r>
              <w:rPr>
                <w:rFonts w:eastAsiaTheme="minorHAnsi"/>
              </w:rPr>
              <w:t>In the Matter of the Application of</w:t>
            </w:r>
          </w:p>
          <w:p w:rsidR="00AB45F0" w:rsidRDefault="00AB45F0" w:rsidP="002C022E">
            <w:pPr>
              <w:autoSpaceDE w:val="0"/>
              <w:autoSpaceDN w:val="0"/>
              <w:adjustRightInd w:val="0"/>
              <w:rPr>
                <w:rFonts w:eastAsiaTheme="minorHAnsi"/>
              </w:rPr>
            </w:pPr>
            <w:r>
              <w:rPr>
                <w:rFonts w:eastAsiaTheme="minorHAnsi"/>
              </w:rPr>
              <w:t>Ohio Power Company for Approval of its Renewable Energy Technology Program</w:t>
            </w:r>
          </w:p>
          <w:p w:rsidR="00AB45F0" w:rsidRDefault="00AB45F0" w:rsidP="002C022E">
            <w:pPr>
              <w:autoSpaceDE w:val="0"/>
              <w:autoSpaceDN w:val="0"/>
              <w:adjustRightInd w:val="0"/>
              <w:rPr>
                <w:rFonts w:eastAsiaTheme="minorHAnsi"/>
              </w:rPr>
            </w:pPr>
          </w:p>
          <w:p w:rsidR="00AB45F0" w:rsidRDefault="00AB45F0" w:rsidP="002C022E">
            <w:pPr>
              <w:autoSpaceDE w:val="0"/>
              <w:autoSpaceDN w:val="0"/>
              <w:adjustRightInd w:val="0"/>
            </w:pPr>
          </w:p>
        </w:tc>
        <w:tc>
          <w:tcPr>
            <w:tcW w:w="4428" w:type="dxa"/>
            <w:tcBorders>
              <w:top w:val="nil"/>
              <w:left w:val="single" w:sz="4" w:space="0" w:color="auto"/>
              <w:bottom w:val="nil"/>
              <w:right w:val="nil"/>
            </w:tcBorders>
          </w:tcPr>
          <w:p w:rsidR="00AB45F0" w:rsidRDefault="00AB45F0" w:rsidP="002C022E">
            <w:pPr>
              <w:autoSpaceDE w:val="0"/>
              <w:autoSpaceDN w:val="0"/>
              <w:adjustRightInd w:val="0"/>
              <w:rPr>
                <w:rFonts w:eastAsia="Calibri"/>
              </w:rPr>
            </w:pPr>
            <w:r>
              <w:rPr>
                <w:rFonts w:eastAsia="Calibri"/>
              </w:rPr>
              <w:t xml:space="preserve">   Case No. 09-1872-EL-ACP</w:t>
            </w:r>
          </w:p>
          <w:p w:rsidR="00AB45F0" w:rsidRDefault="00AB45F0" w:rsidP="002C022E">
            <w:pPr>
              <w:autoSpaceDE w:val="0"/>
              <w:autoSpaceDN w:val="0"/>
              <w:adjustRightInd w:val="0"/>
            </w:pPr>
            <w:r>
              <w:t xml:space="preserve">  </w:t>
            </w:r>
          </w:p>
          <w:p w:rsidR="00AB45F0" w:rsidRDefault="00AB45F0" w:rsidP="002C022E">
            <w:r>
              <w:t xml:space="preserve">                   </w:t>
            </w:r>
          </w:p>
          <w:p w:rsidR="00AB45F0" w:rsidRDefault="00AB45F0" w:rsidP="002C022E"/>
          <w:p w:rsidR="00AB45F0" w:rsidRDefault="00AB45F0" w:rsidP="002C022E"/>
          <w:p w:rsidR="00AB45F0" w:rsidRDefault="00AB45F0" w:rsidP="002C022E">
            <w:r>
              <w:rPr>
                <w:rFonts w:eastAsia="Calibri"/>
              </w:rPr>
              <w:t xml:space="preserve">   Case No. 09-1872-EL-ACP</w:t>
            </w:r>
          </w:p>
          <w:p w:rsidR="00AB45F0" w:rsidRDefault="00AB45F0" w:rsidP="002C022E"/>
          <w:p w:rsidR="00AB45F0" w:rsidRDefault="00AB45F0" w:rsidP="002C022E">
            <w:r>
              <w:t xml:space="preserve">   </w:t>
            </w:r>
          </w:p>
        </w:tc>
      </w:tr>
    </w:tbl>
    <w:p w:rsidR="00F57D02" w:rsidRDefault="00F57D02" w:rsidP="00F57D02">
      <w:pPr>
        <w:jc w:val="center"/>
      </w:pPr>
    </w:p>
    <w:tbl>
      <w:tblPr>
        <w:tblW w:w="0" w:type="auto"/>
        <w:tblBorders>
          <w:top w:val="single" w:sz="8" w:space="0" w:color="auto"/>
          <w:bottom w:val="single" w:sz="8" w:space="0" w:color="auto"/>
        </w:tblBorders>
        <w:tblLook w:val="01E0"/>
      </w:tblPr>
      <w:tblGrid>
        <w:gridCol w:w="8856"/>
      </w:tblGrid>
      <w:tr w:rsidR="00F57D02" w:rsidTr="0021519F">
        <w:tc>
          <w:tcPr>
            <w:tcW w:w="8856" w:type="dxa"/>
            <w:tcBorders>
              <w:top w:val="single" w:sz="8" w:space="0" w:color="auto"/>
              <w:left w:val="nil"/>
              <w:bottom w:val="single" w:sz="8" w:space="0" w:color="auto"/>
              <w:right w:val="nil"/>
            </w:tcBorders>
          </w:tcPr>
          <w:p w:rsidR="001E6D1C" w:rsidRPr="00E36899" w:rsidRDefault="001E6D1C" w:rsidP="001E6D1C">
            <w:pPr>
              <w:jc w:val="center"/>
            </w:pPr>
          </w:p>
          <w:p w:rsidR="001E6D1C" w:rsidRPr="00E36899" w:rsidRDefault="001E6D1C" w:rsidP="001E6D1C">
            <w:pPr>
              <w:jc w:val="center"/>
              <w:rPr>
                <w:b/>
              </w:rPr>
            </w:pPr>
            <w:r>
              <w:rPr>
                <w:b/>
              </w:rPr>
              <w:t>MEMORANDUM IN SUPPORT</w:t>
            </w:r>
          </w:p>
          <w:p w:rsidR="00F57D02" w:rsidRDefault="00F57D02" w:rsidP="0021519F">
            <w:pPr>
              <w:jc w:val="center"/>
            </w:pPr>
          </w:p>
        </w:tc>
      </w:tr>
    </w:tbl>
    <w:p w:rsidR="003646F6" w:rsidRDefault="003646F6"/>
    <w:p w:rsidR="00F57D02" w:rsidRDefault="00F57D02" w:rsidP="00F57D02">
      <w:pPr>
        <w:spacing w:line="480" w:lineRule="auto"/>
        <w:jc w:val="both"/>
        <w:rPr>
          <w:b/>
        </w:rPr>
      </w:pPr>
      <w:r>
        <w:rPr>
          <w:b/>
        </w:rPr>
        <w:t>I.</w:t>
      </w:r>
      <w:r>
        <w:rPr>
          <w:b/>
        </w:rPr>
        <w:tab/>
        <w:t xml:space="preserve">MOTION TO INTERVENE </w:t>
      </w:r>
    </w:p>
    <w:p w:rsidR="00F57D02" w:rsidRPr="00BB34B4" w:rsidRDefault="00F57D02" w:rsidP="006F4E35">
      <w:pPr>
        <w:spacing w:line="480" w:lineRule="auto"/>
        <w:ind w:firstLine="720"/>
        <w:jc w:val="both"/>
        <w:rPr>
          <w:color w:val="FF0000"/>
        </w:rPr>
      </w:pPr>
      <w:r w:rsidRPr="00BB34B4">
        <w:t xml:space="preserve">R.C. Section 4903.221 provides that any “person who may be adversely affected by a public utilities commission proceeding may intervene in such proceeding.”  </w:t>
      </w:r>
      <w:r w:rsidR="00B02A81" w:rsidRPr="00577FCE">
        <w:t xml:space="preserve">Vote Solar is a non-profit organization with the mission of removing barriers for the widespread adoption of solar energy. Since 2002, Vote Solar has worked on policy to develop stable and sustainable solar markets in states across the country.  Vote Solar has individual members across the country including over 800 members in Ohio.  Vote Solar members are ratepayers in the State of Ohio and will be adversely affected by the decisions of this Commission on solar policy.  Vote Solar members </w:t>
      </w:r>
      <w:r w:rsidR="004656CB">
        <w:t>include</w:t>
      </w:r>
      <w:r w:rsidR="00B02A81" w:rsidRPr="00577FCE">
        <w:t xml:space="preserve"> residential solar energy systems owners, business persons in the solar industry and engaged citizens concerned about developing and meeting solar energy requirements for all intents</w:t>
      </w:r>
      <w:r w:rsidR="00DF5367" w:rsidRPr="00577FCE">
        <w:t xml:space="preserve"> and purposes</w:t>
      </w:r>
      <w:r w:rsidR="00B02A81" w:rsidRPr="00577FCE">
        <w:t xml:space="preserve"> of the Ohio </w:t>
      </w:r>
      <w:r w:rsidR="00DF5367" w:rsidRPr="00577FCE">
        <w:t xml:space="preserve">Alternative Energy Portfolio </w:t>
      </w:r>
      <w:r w:rsidR="00B02A81" w:rsidRPr="00577FCE">
        <w:t>Standard</w:t>
      </w:r>
      <w:r w:rsidR="00DF5367" w:rsidRPr="00577FCE">
        <w:t xml:space="preserve"> (AEPS)</w:t>
      </w:r>
      <w:r w:rsidR="00B02A81" w:rsidRPr="00577FCE">
        <w:t>.</w:t>
      </w:r>
      <w:r w:rsidR="004656CB">
        <w:t xml:space="preserve">  </w:t>
      </w:r>
    </w:p>
    <w:p w:rsidR="0048695C" w:rsidRPr="0021519F" w:rsidRDefault="00F57D02" w:rsidP="00F57D02">
      <w:pPr>
        <w:spacing w:line="480" w:lineRule="auto"/>
        <w:jc w:val="both"/>
        <w:rPr>
          <w:color w:val="FF0000"/>
        </w:rPr>
      </w:pPr>
      <w:r w:rsidRPr="0021519F">
        <w:rPr>
          <w:color w:val="FF0000"/>
        </w:rPr>
        <w:tab/>
      </w:r>
      <w:r w:rsidRPr="00BB34B4">
        <w:t>R.C. 4903.221(B) outlines four factors that the Commission shall consider when ruling on a motion to intervene in a proceeding.  First, pursuant to R.C. 4903.221(B)(1), the Commission shall consider “The nature and extent of the prospective intervenor’s interest.”</w:t>
      </w:r>
      <w:r w:rsidRPr="0021519F">
        <w:rPr>
          <w:color w:val="FF0000"/>
        </w:rPr>
        <w:t xml:space="preserve">  </w:t>
      </w:r>
      <w:r w:rsidR="00B02A81" w:rsidRPr="00B33976">
        <w:lastRenderedPageBreak/>
        <w:t xml:space="preserve">Vote Solar </w:t>
      </w:r>
      <w:r w:rsidR="00B33976">
        <w:t>interest is in the creation of a favorable economic, policy, and regulatory framework, which will support the development of the solar energy resources; including residential and small commercial distributed energy solar sources.</w:t>
      </w:r>
    </w:p>
    <w:p w:rsidR="00B33976" w:rsidRDefault="00F57D02" w:rsidP="00F57D02">
      <w:pPr>
        <w:spacing w:line="480" w:lineRule="auto"/>
        <w:jc w:val="both"/>
      </w:pPr>
      <w:r w:rsidRPr="0021519F">
        <w:rPr>
          <w:color w:val="FF0000"/>
        </w:rPr>
        <w:tab/>
      </w:r>
      <w:r w:rsidRPr="007862CF">
        <w:t>Second, pursuant to R.C. 4903.221(B)(2), the Commission shall consider “The legal position advanced by the prospective intervenor and its probable relation to the merits of the case.”</w:t>
      </w:r>
      <w:r w:rsidRPr="007862CF">
        <w:rPr>
          <w:color w:val="FF0000"/>
        </w:rPr>
        <w:t xml:space="preserve">  </w:t>
      </w:r>
      <w:r w:rsidR="00897C1C" w:rsidRPr="00B33976">
        <w:t>Vote Solar</w:t>
      </w:r>
      <w:r w:rsidR="001777C7" w:rsidRPr="00B33976">
        <w:t xml:space="preserve"> does not outline its full</w:t>
      </w:r>
      <w:r w:rsidR="00897C1C" w:rsidRPr="00B33976">
        <w:t xml:space="preserve"> legal argument in this section.</w:t>
      </w:r>
      <w:r w:rsidR="001777C7" w:rsidRPr="00B33976">
        <w:rPr>
          <w:color w:val="FF0000"/>
        </w:rPr>
        <w:t xml:space="preserve">  </w:t>
      </w:r>
      <w:r w:rsidR="00B33976" w:rsidRPr="00B33976">
        <w:t>Vote Solar’s</w:t>
      </w:r>
      <w:r w:rsidR="00B33976">
        <w:t xml:space="preserve"> advocacy will advance the position that the incentive program should be designed to effectively encourage the continued development of distributed and residential generation capacity. </w:t>
      </w:r>
    </w:p>
    <w:p w:rsidR="00F57D02" w:rsidRPr="00577FCE" w:rsidRDefault="00F57D02" w:rsidP="00F57D02">
      <w:pPr>
        <w:spacing w:line="480" w:lineRule="auto"/>
        <w:jc w:val="both"/>
      </w:pPr>
      <w:r w:rsidRPr="0021519F">
        <w:rPr>
          <w:color w:val="FF0000"/>
        </w:rPr>
        <w:tab/>
      </w:r>
      <w:r w:rsidRPr="00897C1C">
        <w:t>Third, pursuant to R.C. 4903.221(B)(3), the Commission shall consider “Whether the intervention by the prospective intervenor will unduly prolong or delay the proceedings.”</w:t>
      </w:r>
      <w:r w:rsidRPr="0021519F">
        <w:rPr>
          <w:color w:val="FF0000"/>
        </w:rPr>
        <w:t xml:space="preserve">  </w:t>
      </w:r>
      <w:r w:rsidR="00E32180" w:rsidRPr="00577FCE">
        <w:t xml:space="preserve">Vote Solar has been granted intervenor status in proceedings before the Utilities Commission in </w:t>
      </w:r>
      <w:r w:rsidR="004656CB">
        <w:t xml:space="preserve">Ohio, </w:t>
      </w:r>
      <w:r w:rsidR="00E32180" w:rsidRPr="00577FCE">
        <w:t xml:space="preserve">California, Nevada, and Florida.  Vote Solar has experience in providing timely filings in these matters and assures that they will not unduly prolong and delay the proceedings. </w:t>
      </w:r>
    </w:p>
    <w:p w:rsidR="00FC1D98" w:rsidRPr="00577FCE" w:rsidRDefault="00F57D02" w:rsidP="00E32180">
      <w:pPr>
        <w:spacing w:line="480" w:lineRule="auto"/>
      </w:pPr>
      <w:r w:rsidRPr="00577FCE">
        <w:tab/>
        <w:t xml:space="preserve">Fourth, pursuant to R.C. 4903.221(B)(4), the Commission shall consider “Whether the prospective intervenor will significantly contribute to full development and equitable resolution of the factual issues.”  </w:t>
      </w:r>
      <w:r w:rsidR="00E32180" w:rsidRPr="00577FCE">
        <w:t>Vote Solar is nationally recognized for their experience in developing</w:t>
      </w:r>
      <w:r w:rsidR="00E32180" w:rsidRPr="00577FCE">
        <w:br/>
        <w:t xml:space="preserve">sound and sustainable policies for the development of solar energy resources and the subsequent economic and job growth accompanying well-designed solar policy.  Vote Solar has extensive experience in the generation, distribution, </w:t>
      </w:r>
      <w:r w:rsidR="005464EE" w:rsidRPr="00577FCE">
        <w:t xml:space="preserve">technology differentiation </w:t>
      </w:r>
      <w:r w:rsidR="00E32180" w:rsidRPr="00577FCE">
        <w:t xml:space="preserve">and incentive structures of successful solar energy programs.  </w:t>
      </w:r>
    </w:p>
    <w:p w:rsidR="00F57D02" w:rsidRPr="00577FCE" w:rsidRDefault="00F57D02" w:rsidP="00F57D02">
      <w:pPr>
        <w:spacing w:line="480" w:lineRule="auto"/>
        <w:jc w:val="both"/>
      </w:pPr>
      <w:r w:rsidRPr="00577FCE">
        <w:tab/>
      </w:r>
      <w:r w:rsidR="00897C1C" w:rsidRPr="00577FCE">
        <w:t>Vote Solar</w:t>
      </w:r>
      <w:r w:rsidRPr="00577FCE">
        <w:t xml:space="preserve"> also satisfies the intervention requirements outlined in the Commission’s rules.  The criteria for intervention established by O.A.C. 4901-1-11(A) are identical to those provided by R.C. 4903.221, with the exception that the rules add a fifth factor that the </w:t>
      </w:r>
      <w:r w:rsidRPr="00577FCE">
        <w:lastRenderedPageBreak/>
        <w:t>Commission shall consider when ruling on a motion to intervene.  Pursuant to O.A.C. 4901-1-11(A)(5), the Commission shall consider “The extent to which the [intervenor’s] interest is represented by existing parties.”</w:t>
      </w:r>
      <w:r w:rsidR="00577FCE">
        <w:t xml:space="preserve"> </w:t>
      </w:r>
      <w:r w:rsidRPr="00577FCE">
        <w:t xml:space="preserve"> </w:t>
      </w:r>
      <w:r w:rsidR="005464EE" w:rsidRPr="00577FCE">
        <w:t xml:space="preserve">Vote Solar is in a unique position to provide perspective </w:t>
      </w:r>
      <w:r w:rsidR="00DF5367" w:rsidRPr="00577FCE">
        <w:t xml:space="preserve">on the resulting outcomes of policy decisions </w:t>
      </w:r>
      <w:r w:rsidR="005464EE" w:rsidRPr="00577FCE">
        <w:t xml:space="preserve">based on knowledge of </w:t>
      </w:r>
      <w:r w:rsidR="00DF5367" w:rsidRPr="00577FCE">
        <w:t xml:space="preserve">and experience in </w:t>
      </w:r>
      <w:r w:rsidR="005464EE" w:rsidRPr="00577FCE">
        <w:t xml:space="preserve">solar markets that can aid the decision making of the Commission.  Vote Solar's intervention in the above referenced docket will bring the knowledge and experience of the organization in solar energy program design that is not represented by any other parties involved in this proceeding.  </w:t>
      </w:r>
    </w:p>
    <w:p w:rsidR="00F57D02" w:rsidRDefault="00F57D02" w:rsidP="00F57D02">
      <w:pPr>
        <w:spacing w:line="480" w:lineRule="auto"/>
        <w:ind w:firstLine="720"/>
        <w:jc w:val="both"/>
      </w:pPr>
      <w:r>
        <w:t>Finally, it is the Commission’s stated policy “to encourage the broadest possible participation in its proceedings” (</w:t>
      </w:r>
      <w:r>
        <w:rPr>
          <w:i/>
        </w:rPr>
        <w:t>see, e.g.,</w:t>
      </w:r>
      <w:r>
        <w:t xml:space="preserve"> </w:t>
      </w:r>
      <w:r>
        <w:rPr>
          <w:i/>
        </w:rPr>
        <w:t>Cleveland Elec. Illum. Co.</w:t>
      </w:r>
      <w:r>
        <w:t xml:space="preserve">, Case No. 85-675-EL-AIR, Entry dated January 14, 2986, at 2).  The Commission should not apply its intervention criteria in a manner that would favor one environmental or consumer advocate to the exclusion of others.  </w:t>
      </w:r>
    </w:p>
    <w:p w:rsidR="00920E81" w:rsidRDefault="0021519F" w:rsidP="00B33976">
      <w:pPr>
        <w:spacing w:line="480" w:lineRule="auto"/>
        <w:ind w:firstLine="720"/>
        <w:jc w:val="both"/>
      </w:pPr>
      <w:r>
        <w:t>Vote Solar</w:t>
      </w:r>
      <w:r w:rsidR="00F57D02">
        <w:t xml:space="preserve"> meets all the criteria established by R.C. 4903.221 and O.A.C. 4901-1-11(A)(5) and therefore should be granted intervenor status in this proceeding.</w:t>
      </w:r>
    </w:p>
    <w:p w:rsidR="00B33976" w:rsidRDefault="00B33976" w:rsidP="00B33976">
      <w:pPr>
        <w:spacing w:line="480" w:lineRule="auto"/>
        <w:ind w:firstLine="720"/>
        <w:jc w:val="both"/>
      </w:pPr>
    </w:p>
    <w:p w:rsidR="00F57D02" w:rsidRDefault="00F57D02" w:rsidP="00F57D02">
      <w:pPr>
        <w:spacing w:line="480" w:lineRule="auto"/>
        <w:ind w:firstLine="720"/>
        <w:jc w:val="both"/>
      </w:pPr>
      <w:r>
        <w:t xml:space="preserve">WHEREFORE, </w:t>
      </w:r>
      <w:r w:rsidR="0021519F">
        <w:t>Vote Solar</w:t>
      </w:r>
      <w:r>
        <w:t xml:space="preserve"> respectfully requests that the Commission grant its motion to intervene.</w:t>
      </w:r>
    </w:p>
    <w:p w:rsidR="00F57D02" w:rsidRDefault="00F57D02" w:rsidP="00F57D02">
      <w:pPr>
        <w:ind w:left="5040"/>
      </w:pPr>
      <w:r>
        <w:t>Respectfully Submitted</w:t>
      </w:r>
      <w:r w:rsidR="00920E81">
        <w:t xml:space="preserve"> on behalf of The Vote Solar Initiative</w:t>
      </w:r>
      <w:r>
        <w:t>,</w:t>
      </w:r>
    </w:p>
    <w:p w:rsidR="00F57D02" w:rsidRDefault="00F57D02" w:rsidP="00F57D02">
      <w:pPr>
        <w:ind w:left="5040"/>
      </w:pPr>
    </w:p>
    <w:p w:rsidR="00A52FE4" w:rsidRDefault="00A52FE4" w:rsidP="00A52FE4">
      <w:pPr>
        <w:autoSpaceDE w:val="0"/>
        <w:autoSpaceDN w:val="0"/>
        <w:adjustRightInd w:val="0"/>
        <w:ind w:left="4320" w:firstLine="720"/>
        <w:rPr>
          <w:rFonts w:eastAsia="Calibri"/>
        </w:rPr>
      </w:pPr>
      <w:r w:rsidRPr="00A52FE4">
        <w:rPr>
          <w:rFonts w:eastAsia="Calibri"/>
          <w:u w:val="single"/>
        </w:rPr>
        <w:t>__</w:t>
      </w:r>
      <w:r w:rsidRPr="00A52FE4">
        <w:rPr>
          <w:rFonts w:eastAsia="Calibri"/>
          <w:b/>
          <w:u w:val="single"/>
        </w:rPr>
        <w:t>/s/ Todd M. Williams______________</w:t>
      </w:r>
    </w:p>
    <w:p w:rsidR="001A65D2" w:rsidRPr="001A65D2" w:rsidRDefault="001A65D2" w:rsidP="00F57D02">
      <w:pPr>
        <w:autoSpaceDE w:val="0"/>
        <w:autoSpaceDN w:val="0"/>
        <w:adjustRightInd w:val="0"/>
        <w:ind w:left="4320" w:firstLine="720"/>
        <w:rPr>
          <w:rFonts w:eastAsia="Calibri"/>
        </w:rPr>
      </w:pPr>
      <w:r>
        <w:rPr>
          <w:rFonts w:eastAsia="Calibri"/>
        </w:rPr>
        <w:t>Todd M. Williams</w:t>
      </w:r>
    </w:p>
    <w:p w:rsidR="00F57D02" w:rsidRDefault="00F57D02" w:rsidP="00F57D02">
      <w:pPr>
        <w:autoSpaceDE w:val="0"/>
        <w:autoSpaceDN w:val="0"/>
        <w:adjustRightInd w:val="0"/>
        <w:ind w:left="5040"/>
        <w:rPr>
          <w:rFonts w:eastAsia="Calibri"/>
        </w:rPr>
      </w:pPr>
      <w:r>
        <w:rPr>
          <w:rFonts w:eastAsia="Calibri"/>
        </w:rPr>
        <w:t>Williams &amp; Moser, L.L.C.</w:t>
      </w:r>
    </w:p>
    <w:p w:rsidR="00F57D02" w:rsidRDefault="00F57D02" w:rsidP="00F57D02">
      <w:pPr>
        <w:autoSpaceDE w:val="0"/>
        <w:autoSpaceDN w:val="0"/>
        <w:adjustRightInd w:val="0"/>
        <w:ind w:left="4320" w:firstLine="720"/>
        <w:rPr>
          <w:rFonts w:eastAsia="Calibri"/>
        </w:rPr>
      </w:pPr>
      <w:r>
        <w:rPr>
          <w:rFonts w:eastAsia="Calibri"/>
        </w:rPr>
        <w:t>PO Box 6885</w:t>
      </w:r>
    </w:p>
    <w:p w:rsidR="00F57D02" w:rsidRDefault="00F57D02" w:rsidP="00F57D02">
      <w:pPr>
        <w:autoSpaceDE w:val="0"/>
        <w:autoSpaceDN w:val="0"/>
        <w:adjustRightInd w:val="0"/>
        <w:ind w:left="4320" w:firstLine="720"/>
        <w:rPr>
          <w:rFonts w:eastAsia="Calibri"/>
        </w:rPr>
      </w:pPr>
      <w:r>
        <w:rPr>
          <w:rFonts w:eastAsia="Calibri"/>
        </w:rPr>
        <w:t>Toledo, OH 43612</w:t>
      </w:r>
    </w:p>
    <w:p w:rsidR="00F57D02" w:rsidRDefault="00920E81" w:rsidP="00F57D02">
      <w:pPr>
        <w:autoSpaceDE w:val="0"/>
        <w:autoSpaceDN w:val="0"/>
        <w:adjustRightInd w:val="0"/>
        <w:ind w:left="4320" w:firstLine="720"/>
        <w:rPr>
          <w:rFonts w:eastAsia="Calibri"/>
        </w:rPr>
      </w:pPr>
      <w:r>
        <w:rPr>
          <w:rFonts w:eastAsia="Calibri"/>
        </w:rPr>
        <w:t xml:space="preserve">p. </w:t>
      </w:r>
      <w:r w:rsidR="00F57D02">
        <w:rPr>
          <w:rFonts w:eastAsia="Calibri"/>
        </w:rPr>
        <w:t>(419) 215-7699</w:t>
      </w:r>
    </w:p>
    <w:p w:rsidR="00920E81" w:rsidRDefault="00920E81" w:rsidP="00F57D02">
      <w:pPr>
        <w:autoSpaceDE w:val="0"/>
        <w:autoSpaceDN w:val="0"/>
        <w:adjustRightInd w:val="0"/>
        <w:ind w:left="4320" w:firstLine="720"/>
        <w:rPr>
          <w:rFonts w:eastAsia="Calibri"/>
        </w:rPr>
      </w:pPr>
      <w:r>
        <w:rPr>
          <w:rFonts w:eastAsia="Calibri"/>
        </w:rPr>
        <w:t>f. (419) 474-1554</w:t>
      </w:r>
    </w:p>
    <w:p w:rsidR="00F57D02" w:rsidRDefault="00F57D02" w:rsidP="00F57D02">
      <w:pPr>
        <w:autoSpaceDE w:val="0"/>
        <w:autoSpaceDN w:val="0"/>
        <w:adjustRightInd w:val="0"/>
        <w:ind w:left="5040"/>
        <w:rPr>
          <w:rFonts w:eastAsia="Calibri"/>
        </w:rPr>
      </w:pPr>
      <w:r>
        <w:rPr>
          <w:rFonts w:eastAsia="Calibri"/>
          <w:i/>
          <w:iCs/>
        </w:rPr>
        <w:t xml:space="preserve">toddm@williamsandmoser.com </w:t>
      </w:r>
      <w:r>
        <w:rPr>
          <w:rFonts w:eastAsia="Calibri"/>
        </w:rPr>
        <w:t>– Email</w:t>
      </w:r>
    </w:p>
    <w:p w:rsidR="00F57D02" w:rsidRDefault="00F57D02" w:rsidP="00F57D02">
      <w:pPr>
        <w:ind w:left="5040"/>
      </w:pPr>
    </w:p>
    <w:p w:rsidR="0021519F" w:rsidRDefault="0021519F">
      <w:pPr>
        <w:spacing w:after="200" w:line="276" w:lineRule="auto"/>
      </w:pPr>
      <w:r>
        <w:br w:type="page"/>
      </w:r>
    </w:p>
    <w:p w:rsidR="00F57D02" w:rsidRDefault="00F57D02" w:rsidP="00F57D02">
      <w:pPr>
        <w:jc w:val="center"/>
      </w:pPr>
      <w:r>
        <w:lastRenderedPageBreak/>
        <w:t>CERTIFICATE OF SERVICE</w:t>
      </w:r>
    </w:p>
    <w:p w:rsidR="00F57D02" w:rsidRDefault="00F57D02" w:rsidP="00F57D02"/>
    <w:p w:rsidR="00F57D02" w:rsidRDefault="00F57D02" w:rsidP="00F57D02">
      <w:r>
        <w:tab/>
        <w:t xml:space="preserve">I hereby certify that a true copy of the foregoing has been served upon the following parties by first class mail, postage prepaid, </w:t>
      </w:r>
      <w:r w:rsidR="00434759">
        <w:t xml:space="preserve">or for those parties who have consented, by electronic mail, </w:t>
      </w:r>
      <w:r>
        <w:t xml:space="preserve">this </w:t>
      </w:r>
      <w:r w:rsidR="00F60B0A">
        <w:t>20</w:t>
      </w:r>
      <w:r w:rsidR="00434759" w:rsidRPr="00434759">
        <w:rPr>
          <w:vertAlign w:val="superscript"/>
        </w:rPr>
        <w:t>th</w:t>
      </w:r>
      <w:r w:rsidR="00434759">
        <w:t xml:space="preserve"> </w:t>
      </w:r>
      <w:r w:rsidR="00B425CD">
        <w:t xml:space="preserve"> </w:t>
      </w:r>
      <w:r>
        <w:t>day of</w:t>
      </w:r>
      <w:r w:rsidR="00434759">
        <w:t xml:space="preserve"> </w:t>
      </w:r>
      <w:r w:rsidR="00B33976">
        <w:t>May, 2010</w:t>
      </w:r>
      <w:r>
        <w:t>.</w:t>
      </w:r>
    </w:p>
    <w:p w:rsidR="00F57D02" w:rsidRDefault="00F57D02" w:rsidP="00F57D02"/>
    <w:p w:rsidR="00A52FE4" w:rsidRDefault="00A52FE4" w:rsidP="00A52FE4">
      <w:pPr>
        <w:autoSpaceDE w:val="0"/>
        <w:autoSpaceDN w:val="0"/>
        <w:adjustRightInd w:val="0"/>
        <w:ind w:left="4320" w:firstLine="720"/>
        <w:rPr>
          <w:rFonts w:eastAsia="Calibri"/>
        </w:rPr>
      </w:pPr>
      <w:r w:rsidRPr="00A52FE4">
        <w:rPr>
          <w:rFonts w:eastAsia="Calibri"/>
          <w:u w:val="single"/>
        </w:rPr>
        <w:t>__</w:t>
      </w:r>
      <w:r w:rsidRPr="00A52FE4">
        <w:rPr>
          <w:rFonts w:eastAsia="Calibri"/>
          <w:b/>
          <w:u w:val="single"/>
        </w:rPr>
        <w:t>/s/ Todd M. Williams______________</w:t>
      </w:r>
    </w:p>
    <w:p w:rsidR="00F57D02" w:rsidRDefault="00F57D02" w:rsidP="00A52FE4">
      <w:pPr>
        <w:ind w:left="4320" w:firstLine="720"/>
      </w:pPr>
      <w:r>
        <w:t xml:space="preserve">Todd M. Williams </w:t>
      </w:r>
    </w:p>
    <w:p w:rsidR="00F57D02" w:rsidRDefault="00F57D02" w:rsidP="00F57D02">
      <w:pPr>
        <w:autoSpaceDE w:val="0"/>
        <w:autoSpaceDN w:val="0"/>
        <w:adjustRightInd w:val="0"/>
        <w:rPr>
          <w:rFonts w:eastAsia="Calibri"/>
        </w:rPr>
      </w:pPr>
    </w:p>
    <w:p w:rsidR="00F57D02" w:rsidRDefault="00F57D02" w:rsidP="00F57D02">
      <w:pPr>
        <w:autoSpaceDE w:val="0"/>
        <w:autoSpaceDN w:val="0"/>
        <w:adjustRightInd w:val="0"/>
        <w:rPr>
          <w:rFonts w:eastAsia="Calibri"/>
        </w:rPr>
      </w:pPr>
      <w:r>
        <w:rPr>
          <w:rFonts w:eastAsia="Calibri"/>
        </w:rPr>
        <w:t>SERVICE LIST</w:t>
      </w:r>
    </w:p>
    <w:p w:rsidR="00B425CD" w:rsidRDefault="00B425CD" w:rsidP="00F57D02">
      <w:pPr>
        <w:autoSpaceDE w:val="0"/>
        <w:autoSpaceDN w:val="0"/>
        <w:adjustRightInd w:val="0"/>
        <w:rPr>
          <w:rFonts w:eastAsia="Calibri"/>
        </w:rPr>
      </w:pPr>
    </w:p>
    <w:p w:rsidR="00897C1C" w:rsidRDefault="00897C1C" w:rsidP="00897C1C">
      <w:pPr>
        <w:autoSpaceDE w:val="0"/>
        <w:autoSpaceDN w:val="0"/>
        <w:adjustRightInd w:val="0"/>
        <w:rPr>
          <w:rFonts w:ascii="Arial" w:eastAsiaTheme="minorHAnsi" w:hAnsi="Arial" w:cs="Arial"/>
          <w:color w:val="000000"/>
        </w:rPr>
        <w:sectPr w:rsidR="00897C1C" w:rsidSect="00434759">
          <w:footerReference w:type="default" r:id="rId7"/>
          <w:pgSz w:w="12240" w:h="15840"/>
          <w:pgMar w:top="1440" w:right="1440" w:bottom="1440" w:left="1440" w:header="720" w:footer="720" w:gutter="0"/>
          <w:pgNumType w:start="1"/>
          <w:cols w:space="720"/>
          <w:docGrid w:linePitch="360"/>
        </w:sectPr>
      </w:pPr>
    </w:p>
    <w:p w:rsidR="003B455F" w:rsidRDefault="001C675D" w:rsidP="007862CF">
      <w:pPr>
        <w:autoSpaceDE w:val="0"/>
        <w:autoSpaceDN w:val="0"/>
        <w:adjustRightInd w:val="0"/>
        <w:rPr>
          <w:rFonts w:eastAsiaTheme="minorHAnsi"/>
          <w:color w:val="000000"/>
        </w:rPr>
      </w:pPr>
      <w:r>
        <w:rPr>
          <w:rFonts w:eastAsiaTheme="minorHAnsi"/>
          <w:color w:val="000000"/>
        </w:rPr>
        <w:lastRenderedPageBreak/>
        <w:t>Selwyn J. Dias</w:t>
      </w:r>
    </w:p>
    <w:p w:rsidR="001C675D" w:rsidRDefault="001C675D" w:rsidP="007862CF">
      <w:pPr>
        <w:autoSpaceDE w:val="0"/>
        <w:autoSpaceDN w:val="0"/>
        <w:adjustRightInd w:val="0"/>
        <w:rPr>
          <w:rFonts w:eastAsiaTheme="minorHAnsi"/>
          <w:color w:val="000000"/>
        </w:rPr>
      </w:pPr>
      <w:r>
        <w:rPr>
          <w:rFonts w:eastAsiaTheme="minorHAnsi"/>
          <w:color w:val="000000"/>
        </w:rPr>
        <w:t>Ohio Power Company</w:t>
      </w:r>
    </w:p>
    <w:p w:rsidR="001C675D" w:rsidRDefault="001C675D" w:rsidP="007862CF">
      <w:pPr>
        <w:autoSpaceDE w:val="0"/>
        <w:autoSpaceDN w:val="0"/>
        <w:adjustRightInd w:val="0"/>
        <w:rPr>
          <w:rFonts w:eastAsiaTheme="minorHAnsi"/>
          <w:color w:val="000000"/>
        </w:rPr>
      </w:pPr>
      <w:r>
        <w:rPr>
          <w:rFonts w:eastAsiaTheme="minorHAnsi"/>
          <w:color w:val="000000"/>
        </w:rPr>
        <w:t>88 East Broad Street, Suite 800</w:t>
      </w:r>
    </w:p>
    <w:p w:rsidR="001C675D" w:rsidRDefault="001C675D" w:rsidP="007862CF">
      <w:pPr>
        <w:autoSpaceDE w:val="0"/>
        <w:autoSpaceDN w:val="0"/>
        <w:adjustRightInd w:val="0"/>
        <w:rPr>
          <w:rFonts w:eastAsiaTheme="minorHAnsi"/>
          <w:color w:val="000000"/>
        </w:rPr>
      </w:pPr>
      <w:r>
        <w:rPr>
          <w:rFonts w:eastAsiaTheme="minorHAnsi"/>
          <w:color w:val="000000"/>
        </w:rPr>
        <w:t>Columbus, OH 43215</w:t>
      </w:r>
    </w:p>
    <w:p w:rsidR="001C675D" w:rsidRDefault="001C675D" w:rsidP="007862CF">
      <w:pPr>
        <w:autoSpaceDE w:val="0"/>
        <w:autoSpaceDN w:val="0"/>
        <w:adjustRightInd w:val="0"/>
        <w:rPr>
          <w:rFonts w:eastAsiaTheme="minorHAnsi"/>
          <w:color w:val="000000"/>
        </w:rPr>
      </w:pPr>
    </w:p>
    <w:p w:rsidR="001C675D" w:rsidRDefault="001C675D" w:rsidP="007862CF">
      <w:pPr>
        <w:autoSpaceDE w:val="0"/>
        <w:autoSpaceDN w:val="0"/>
        <w:adjustRightInd w:val="0"/>
        <w:rPr>
          <w:rFonts w:eastAsiaTheme="minorHAnsi"/>
          <w:color w:val="000000"/>
        </w:rPr>
      </w:pPr>
      <w:r>
        <w:rPr>
          <w:rFonts w:eastAsiaTheme="minorHAnsi"/>
          <w:color w:val="000000"/>
        </w:rPr>
        <w:t>Steven T. Nourse</w:t>
      </w:r>
    </w:p>
    <w:p w:rsidR="001C675D" w:rsidRDefault="001C675D" w:rsidP="007862CF">
      <w:pPr>
        <w:autoSpaceDE w:val="0"/>
        <w:autoSpaceDN w:val="0"/>
        <w:adjustRightInd w:val="0"/>
        <w:rPr>
          <w:rFonts w:eastAsiaTheme="minorHAnsi"/>
          <w:color w:val="000000"/>
        </w:rPr>
      </w:pPr>
      <w:r>
        <w:rPr>
          <w:rFonts w:eastAsiaTheme="minorHAnsi"/>
          <w:color w:val="000000"/>
        </w:rPr>
        <w:t>American Electric Power Service Corp.</w:t>
      </w:r>
    </w:p>
    <w:p w:rsidR="001C675D" w:rsidRDefault="001C675D" w:rsidP="007862CF">
      <w:pPr>
        <w:autoSpaceDE w:val="0"/>
        <w:autoSpaceDN w:val="0"/>
        <w:adjustRightInd w:val="0"/>
        <w:rPr>
          <w:rFonts w:eastAsiaTheme="minorHAnsi"/>
          <w:color w:val="000000"/>
        </w:rPr>
      </w:pPr>
      <w:r>
        <w:rPr>
          <w:rFonts w:eastAsiaTheme="minorHAnsi"/>
          <w:color w:val="000000"/>
        </w:rPr>
        <w:t>1 Riverside Plaza, 29</w:t>
      </w:r>
      <w:r w:rsidRPr="001C675D">
        <w:rPr>
          <w:rFonts w:eastAsiaTheme="minorHAnsi"/>
          <w:color w:val="000000"/>
          <w:vertAlign w:val="superscript"/>
        </w:rPr>
        <w:t>th</w:t>
      </w:r>
      <w:r>
        <w:rPr>
          <w:rFonts w:eastAsiaTheme="minorHAnsi"/>
          <w:color w:val="000000"/>
        </w:rPr>
        <w:t xml:space="preserve"> Floor</w:t>
      </w:r>
    </w:p>
    <w:p w:rsidR="001C675D" w:rsidRDefault="001C675D" w:rsidP="007862CF">
      <w:pPr>
        <w:autoSpaceDE w:val="0"/>
        <w:autoSpaceDN w:val="0"/>
        <w:adjustRightInd w:val="0"/>
        <w:rPr>
          <w:rFonts w:eastAsiaTheme="minorHAnsi"/>
          <w:color w:val="000000"/>
        </w:rPr>
      </w:pPr>
      <w:r>
        <w:rPr>
          <w:rFonts w:eastAsiaTheme="minorHAnsi"/>
          <w:color w:val="000000"/>
        </w:rPr>
        <w:t>Columbus, OH 43215</w:t>
      </w:r>
    </w:p>
    <w:p w:rsidR="00F60B0A" w:rsidRDefault="00F60B0A" w:rsidP="007862CF">
      <w:pPr>
        <w:autoSpaceDE w:val="0"/>
        <w:autoSpaceDN w:val="0"/>
        <w:adjustRightInd w:val="0"/>
        <w:rPr>
          <w:rFonts w:eastAsiaTheme="minorHAnsi"/>
          <w:color w:val="000000"/>
        </w:rPr>
      </w:pPr>
    </w:p>
    <w:p w:rsidR="00F60B0A" w:rsidRDefault="00F60B0A" w:rsidP="007862CF">
      <w:pPr>
        <w:autoSpaceDE w:val="0"/>
        <w:autoSpaceDN w:val="0"/>
        <w:adjustRightInd w:val="0"/>
        <w:rPr>
          <w:rFonts w:eastAsiaTheme="minorHAnsi"/>
          <w:color w:val="000000"/>
        </w:rPr>
      </w:pPr>
      <w:r>
        <w:rPr>
          <w:rFonts w:eastAsiaTheme="minorHAnsi"/>
          <w:color w:val="000000"/>
        </w:rPr>
        <w:t>Samuel C. Randazzo</w:t>
      </w:r>
    </w:p>
    <w:p w:rsidR="00F60B0A" w:rsidRDefault="00F60B0A" w:rsidP="007862CF">
      <w:pPr>
        <w:autoSpaceDE w:val="0"/>
        <w:autoSpaceDN w:val="0"/>
        <w:adjustRightInd w:val="0"/>
        <w:rPr>
          <w:rFonts w:eastAsiaTheme="minorHAnsi"/>
          <w:color w:val="000000"/>
        </w:rPr>
      </w:pPr>
      <w:r>
        <w:rPr>
          <w:rFonts w:eastAsiaTheme="minorHAnsi"/>
          <w:color w:val="000000"/>
        </w:rPr>
        <w:t>Lisa McAlister</w:t>
      </w:r>
    </w:p>
    <w:p w:rsidR="00F60B0A" w:rsidRDefault="00F60B0A" w:rsidP="007862CF">
      <w:pPr>
        <w:autoSpaceDE w:val="0"/>
        <w:autoSpaceDN w:val="0"/>
        <w:adjustRightInd w:val="0"/>
        <w:rPr>
          <w:rFonts w:eastAsiaTheme="minorHAnsi"/>
          <w:color w:val="000000"/>
        </w:rPr>
      </w:pPr>
      <w:r>
        <w:rPr>
          <w:rFonts w:eastAsiaTheme="minorHAnsi"/>
          <w:color w:val="000000"/>
        </w:rPr>
        <w:t>McNeese Wallace &amp; Nurick, LLC</w:t>
      </w:r>
    </w:p>
    <w:p w:rsidR="00F60B0A" w:rsidRDefault="00F60B0A" w:rsidP="007862CF">
      <w:pPr>
        <w:autoSpaceDE w:val="0"/>
        <w:autoSpaceDN w:val="0"/>
        <w:adjustRightInd w:val="0"/>
        <w:rPr>
          <w:rFonts w:eastAsiaTheme="minorHAnsi"/>
          <w:color w:val="000000"/>
        </w:rPr>
      </w:pPr>
      <w:r>
        <w:rPr>
          <w:rFonts w:eastAsiaTheme="minorHAnsi"/>
          <w:color w:val="000000"/>
        </w:rPr>
        <w:t>21 East State Street, 17</w:t>
      </w:r>
      <w:r w:rsidRPr="00F60B0A">
        <w:rPr>
          <w:rFonts w:eastAsiaTheme="minorHAnsi"/>
          <w:color w:val="000000"/>
          <w:vertAlign w:val="superscript"/>
        </w:rPr>
        <w:t>th</w:t>
      </w:r>
      <w:r>
        <w:rPr>
          <w:rFonts w:eastAsiaTheme="minorHAnsi"/>
          <w:color w:val="000000"/>
        </w:rPr>
        <w:t xml:space="preserve"> Floor</w:t>
      </w:r>
    </w:p>
    <w:p w:rsidR="00F60B0A" w:rsidRDefault="00F60B0A" w:rsidP="007862CF">
      <w:pPr>
        <w:autoSpaceDE w:val="0"/>
        <w:autoSpaceDN w:val="0"/>
        <w:adjustRightInd w:val="0"/>
        <w:rPr>
          <w:rFonts w:eastAsiaTheme="minorHAnsi"/>
          <w:color w:val="000000"/>
        </w:rPr>
      </w:pPr>
      <w:r>
        <w:rPr>
          <w:rFonts w:eastAsiaTheme="minorHAnsi"/>
          <w:color w:val="000000"/>
        </w:rPr>
        <w:t>Columbus, OH 43215</w:t>
      </w:r>
    </w:p>
    <w:p w:rsidR="00B33976" w:rsidRDefault="00B33976" w:rsidP="007862CF">
      <w:pPr>
        <w:autoSpaceDE w:val="0"/>
        <w:autoSpaceDN w:val="0"/>
        <w:adjustRightInd w:val="0"/>
        <w:rPr>
          <w:rFonts w:eastAsiaTheme="minorHAnsi"/>
          <w:color w:val="000000"/>
        </w:rPr>
      </w:pPr>
    </w:p>
    <w:p w:rsidR="00B33976" w:rsidRDefault="00B33976" w:rsidP="007862CF">
      <w:pPr>
        <w:autoSpaceDE w:val="0"/>
        <w:autoSpaceDN w:val="0"/>
        <w:adjustRightInd w:val="0"/>
        <w:rPr>
          <w:rFonts w:eastAsiaTheme="minorHAnsi"/>
          <w:color w:val="000000"/>
        </w:rPr>
      </w:pPr>
      <w:r>
        <w:rPr>
          <w:rFonts w:eastAsiaTheme="minorHAnsi"/>
          <w:color w:val="000000"/>
        </w:rPr>
        <w:t>Duane Luckey</w:t>
      </w:r>
    </w:p>
    <w:p w:rsidR="00B33976" w:rsidRDefault="00B33976" w:rsidP="007862CF">
      <w:pPr>
        <w:autoSpaceDE w:val="0"/>
        <w:autoSpaceDN w:val="0"/>
        <w:adjustRightInd w:val="0"/>
        <w:rPr>
          <w:rFonts w:eastAsiaTheme="minorHAnsi"/>
          <w:color w:val="000000"/>
        </w:rPr>
      </w:pPr>
      <w:r>
        <w:rPr>
          <w:rFonts w:eastAsiaTheme="minorHAnsi"/>
          <w:color w:val="000000"/>
        </w:rPr>
        <w:t>Attorney General’s Office</w:t>
      </w:r>
    </w:p>
    <w:p w:rsidR="00B33976" w:rsidRDefault="00B33976" w:rsidP="007862CF">
      <w:pPr>
        <w:autoSpaceDE w:val="0"/>
        <w:autoSpaceDN w:val="0"/>
        <w:adjustRightInd w:val="0"/>
        <w:rPr>
          <w:rFonts w:eastAsiaTheme="minorHAnsi"/>
          <w:color w:val="000000"/>
        </w:rPr>
      </w:pPr>
      <w:r>
        <w:rPr>
          <w:rFonts w:eastAsiaTheme="minorHAnsi"/>
          <w:color w:val="000000"/>
        </w:rPr>
        <w:t>Public Utilities Commission of Ohio</w:t>
      </w:r>
    </w:p>
    <w:p w:rsidR="00B33976" w:rsidRDefault="00B33976" w:rsidP="007862CF">
      <w:pPr>
        <w:autoSpaceDE w:val="0"/>
        <w:autoSpaceDN w:val="0"/>
        <w:adjustRightInd w:val="0"/>
        <w:rPr>
          <w:rFonts w:eastAsiaTheme="minorHAnsi"/>
          <w:color w:val="000000"/>
        </w:rPr>
      </w:pPr>
      <w:r>
        <w:rPr>
          <w:rFonts w:eastAsiaTheme="minorHAnsi"/>
          <w:color w:val="000000"/>
        </w:rPr>
        <w:t>180 E. Broad St., 6</w:t>
      </w:r>
      <w:r w:rsidRPr="00B33976">
        <w:rPr>
          <w:rFonts w:eastAsiaTheme="minorHAnsi"/>
          <w:color w:val="000000"/>
          <w:vertAlign w:val="superscript"/>
        </w:rPr>
        <w:t>th</w:t>
      </w:r>
      <w:r>
        <w:rPr>
          <w:rFonts w:eastAsiaTheme="minorHAnsi"/>
          <w:color w:val="000000"/>
        </w:rPr>
        <w:t xml:space="preserve"> Floor</w:t>
      </w:r>
    </w:p>
    <w:p w:rsidR="00B33976" w:rsidRDefault="00B33976" w:rsidP="007862CF">
      <w:pPr>
        <w:autoSpaceDE w:val="0"/>
        <w:autoSpaceDN w:val="0"/>
        <w:adjustRightInd w:val="0"/>
        <w:rPr>
          <w:rFonts w:eastAsiaTheme="minorHAnsi"/>
          <w:color w:val="000000"/>
        </w:rPr>
      </w:pPr>
      <w:r>
        <w:rPr>
          <w:rFonts w:eastAsiaTheme="minorHAnsi"/>
          <w:color w:val="000000"/>
        </w:rPr>
        <w:t>Columbus, OH 43215</w:t>
      </w:r>
    </w:p>
    <w:p w:rsidR="00B33976" w:rsidRDefault="00B33976" w:rsidP="007862CF">
      <w:pPr>
        <w:autoSpaceDE w:val="0"/>
        <w:autoSpaceDN w:val="0"/>
        <w:adjustRightInd w:val="0"/>
        <w:rPr>
          <w:rFonts w:eastAsiaTheme="minorHAnsi"/>
        </w:rPr>
      </w:pPr>
    </w:p>
    <w:p w:rsidR="003B455F" w:rsidRDefault="003B455F" w:rsidP="007862CF">
      <w:pPr>
        <w:autoSpaceDE w:val="0"/>
        <w:autoSpaceDN w:val="0"/>
        <w:adjustRightInd w:val="0"/>
        <w:rPr>
          <w:rFonts w:eastAsiaTheme="minorHAnsi"/>
        </w:rPr>
      </w:pPr>
      <w:r>
        <w:rPr>
          <w:rFonts w:eastAsiaTheme="minorHAnsi"/>
        </w:rPr>
        <w:t>Christopher J. Allwein</w:t>
      </w:r>
    </w:p>
    <w:p w:rsidR="003B455F" w:rsidRDefault="003B455F" w:rsidP="007862CF">
      <w:pPr>
        <w:autoSpaceDE w:val="0"/>
        <w:autoSpaceDN w:val="0"/>
        <w:adjustRightInd w:val="0"/>
        <w:rPr>
          <w:rFonts w:eastAsiaTheme="minorHAnsi"/>
        </w:rPr>
      </w:pPr>
      <w:r>
        <w:rPr>
          <w:rFonts w:eastAsiaTheme="minorHAnsi"/>
        </w:rPr>
        <w:t>Office of the Ohio Consumers’ Counsel</w:t>
      </w:r>
    </w:p>
    <w:p w:rsidR="003B455F" w:rsidRDefault="003B455F" w:rsidP="007862CF">
      <w:pPr>
        <w:autoSpaceDE w:val="0"/>
        <w:autoSpaceDN w:val="0"/>
        <w:adjustRightInd w:val="0"/>
        <w:rPr>
          <w:rFonts w:eastAsiaTheme="minorHAnsi"/>
        </w:rPr>
      </w:pPr>
      <w:r>
        <w:rPr>
          <w:rFonts w:eastAsiaTheme="minorHAnsi"/>
        </w:rPr>
        <w:t>10 West Broad Street, Suite 1800</w:t>
      </w:r>
    </w:p>
    <w:p w:rsidR="003B455F" w:rsidRPr="00897C1C" w:rsidRDefault="003B455F" w:rsidP="007862CF">
      <w:pPr>
        <w:autoSpaceDE w:val="0"/>
        <w:autoSpaceDN w:val="0"/>
        <w:adjustRightInd w:val="0"/>
        <w:rPr>
          <w:rFonts w:eastAsiaTheme="minorHAnsi"/>
        </w:rPr>
      </w:pPr>
      <w:r>
        <w:rPr>
          <w:rFonts w:eastAsiaTheme="minorHAnsi"/>
        </w:rPr>
        <w:t>Columbus, OH 43215</w:t>
      </w:r>
    </w:p>
    <w:sectPr w:rsidR="003B455F" w:rsidRPr="00897C1C" w:rsidSect="00897C1C">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8E8" w:rsidRDefault="000148E8" w:rsidP="00F57D02">
      <w:r>
        <w:separator/>
      </w:r>
    </w:p>
  </w:endnote>
  <w:endnote w:type="continuationSeparator" w:id="1">
    <w:p w:rsidR="000148E8" w:rsidRDefault="000148E8" w:rsidP="00F57D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38151"/>
      <w:docPartObj>
        <w:docPartGallery w:val="Page Numbers (Bottom of Page)"/>
        <w:docPartUnique/>
      </w:docPartObj>
    </w:sdtPr>
    <w:sdtContent>
      <w:p w:rsidR="002C022E" w:rsidRDefault="002C022E">
        <w:pPr>
          <w:pStyle w:val="Footer"/>
          <w:jc w:val="right"/>
        </w:pPr>
        <w:fldSimple w:instr=" PAGE   \* MERGEFORMAT ">
          <w:r w:rsidR="0073245D">
            <w:rPr>
              <w:noProof/>
            </w:rPr>
            <w:t>1</w:t>
          </w:r>
        </w:fldSimple>
      </w:p>
    </w:sdtContent>
  </w:sdt>
  <w:p w:rsidR="002C022E" w:rsidRDefault="002C02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8E8" w:rsidRDefault="000148E8" w:rsidP="00F57D02">
      <w:r>
        <w:separator/>
      </w:r>
    </w:p>
  </w:footnote>
  <w:footnote w:type="continuationSeparator" w:id="1">
    <w:p w:rsidR="000148E8" w:rsidRDefault="000148E8" w:rsidP="00F57D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40962"/>
  </w:hdrShapeDefaults>
  <w:footnotePr>
    <w:footnote w:id="0"/>
    <w:footnote w:id="1"/>
  </w:footnotePr>
  <w:endnotePr>
    <w:endnote w:id="0"/>
    <w:endnote w:id="1"/>
  </w:endnotePr>
  <w:compat/>
  <w:rsids>
    <w:rsidRoot w:val="003D17FF"/>
    <w:rsid w:val="000148E8"/>
    <w:rsid w:val="00055D97"/>
    <w:rsid w:val="00066179"/>
    <w:rsid w:val="00090147"/>
    <w:rsid w:val="000C63D0"/>
    <w:rsid w:val="0015552A"/>
    <w:rsid w:val="001777C7"/>
    <w:rsid w:val="001860E8"/>
    <w:rsid w:val="001A20B3"/>
    <w:rsid w:val="001A65D2"/>
    <w:rsid w:val="001C675D"/>
    <w:rsid w:val="001E6D1C"/>
    <w:rsid w:val="001F52DB"/>
    <w:rsid w:val="0021519F"/>
    <w:rsid w:val="00261267"/>
    <w:rsid w:val="00263B32"/>
    <w:rsid w:val="00283973"/>
    <w:rsid w:val="002C022E"/>
    <w:rsid w:val="002E3F19"/>
    <w:rsid w:val="003309C0"/>
    <w:rsid w:val="003646F6"/>
    <w:rsid w:val="00395B48"/>
    <w:rsid w:val="003A5D43"/>
    <w:rsid w:val="003B455F"/>
    <w:rsid w:val="003B5476"/>
    <w:rsid w:val="003B6D7D"/>
    <w:rsid w:val="003D17FF"/>
    <w:rsid w:val="003D7363"/>
    <w:rsid w:val="00406BA9"/>
    <w:rsid w:val="00411B79"/>
    <w:rsid w:val="00434759"/>
    <w:rsid w:val="004368E9"/>
    <w:rsid w:val="004656CB"/>
    <w:rsid w:val="0047222D"/>
    <w:rsid w:val="0048695C"/>
    <w:rsid w:val="004A78C7"/>
    <w:rsid w:val="0050473B"/>
    <w:rsid w:val="005070FF"/>
    <w:rsid w:val="00542119"/>
    <w:rsid w:val="005464EE"/>
    <w:rsid w:val="00554DC9"/>
    <w:rsid w:val="00577FCE"/>
    <w:rsid w:val="00677CE2"/>
    <w:rsid w:val="006977FC"/>
    <w:rsid w:val="006A0033"/>
    <w:rsid w:val="006F4E35"/>
    <w:rsid w:val="0073245D"/>
    <w:rsid w:val="00780014"/>
    <w:rsid w:val="007862CF"/>
    <w:rsid w:val="00793CDA"/>
    <w:rsid w:val="00800449"/>
    <w:rsid w:val="00837A0B"/>
    <w:rsid w:val="00897C1C"/>
    <w:rsid w:val="008B088C"/>
    <w:rsid w:val="008C1585"/>
    <w:rsid w:val="008F7122"/>
    <w:rsid w:val="009058FF"/>
    <w:rsid w:val="00912B80"/>
    <w:rsid w:val="00920E81"/>
    <w:rsid w:val="009D4FAE"/>
    <w:rsid w:val="009F0D10"/>
    <w:rsid w:val="009F682B"/>
    <w:rsid w:val="00A16752"/>
    <w:rsid w:val="00A17105"/>
    <w:rsid w:val="00A52FE4"/>
    <w:rsid w:val="00A66BB5"/>
    <w:rsid w:val="00A918EE"/>
    <w:rsid w:val="00AB45F0"/>
    <w:rsid w:val="00B02A81"/>
    <w:rsid w:val="00B33976"/>
    <w:rsid w:val="00B425CD"/>
    <w:rsid w:val="00BB34B4"/>
    <w:rsid w:val="00BE7071"/>
    <w:rsid w:val="00BF3DC9"/>
    <w:rsid w:val="00C212E0"/>
    <w:rsid w:val="00C80F09"/>
    <w:rsid w:val="00CA6DD2"/>
    <w:rsid w:val="00CE08CA"/>
    <w:rsid w:val="00CF66BC"/>
    <w:rsid w:val="00D32E9F"/>
    <w:rsid w:val="00D670E7"/>
    <w:rsid w:val="00D77170"/>
    <w:rsid w:val="00DA0A02"/>
    <w:rsid w:val="00DF34F8"/>
    <w:rsid w:val="00DF5367"/>
    <w:rsid w:val="00DF5D5A"/>
    <w:rsid w:val="00E32180"/>
    <w:rsid w:val="00E97192"/>
    <w:rsid w:val="00EE4D36"/>
    <w:rsid w:val="00F066B8"/>
    <w:rsid w:val="00F57D02"/>
    <w:rsid w:val="00F60B0A"/>
    <w:rsid w:val="00F93865"/>
    <w:rsid w:val="00FA66E5"/>
    <w:rsid w:val="00FB3AE1"/>
    <w:rsid w:val="00FC1D98"/>
    <w:rsid w:val="00FC633C"/>
    <w:rsid w:val="00FF2E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7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32E9F"/>
    <w:rPr>
      <w:rFonts w:ascii="Garamond" w:eastAsiaTheme="majorEastAsia" w:hAnsi="Garamond" w:cstheme="majorBidi"/>
      <w:sz w:val="22"/>
      <w:szCs w:val="20"/>
    </w:rPr>
  </w:style>
  <w:style w:type="paragraph" w:styleId="EnvelopeAddress">
    <w:name w:val="envelope address"/>
    <w:basedOn w:val="Normal"/>
    <w:uiPriority w:val="99"/>
    <w:semiHidden/>
    <w:unhideWhenUsed/>
    <w:rsid w:val="00D32E9F"/>
    <w:pPr>
      <w:framePr w:w="7920" w:h="1980" w:hRule="exact" w:hSpace="180" w:wrap="auto" w:hAnchor="page" w:xAlign="center" w:yAlign="bottom"/>
      <w:ind w:left="2880"/>
    </w:pPr>
    <w:rPr>
      <w:rFonts w:ascii="Garamond" w:eastAsiaTheme="majorEastAsia" w:hAnsi="Garamond" w:cstheme="majorBidi"/>
    </w:rPr>
  </w:style>
  <w:style w:type="paragraph" w:styleId="FootnoteText">
    <w:name w:val="footnote text"/>
    <w:basedOn w:val="Normal"/>
    <w:link w:val="FootnoteTextChar"/>
    <w:uiPriority w:val="99"/>
    <w:semiHidden/>
    <w:unhideWhenUsed/>
    <w:rsid w:val="00F57D02"/>
    <w:rPr>
      <w:sz w:val="20"/>
      <w:szCs w:val="20"/>
    </w:rPr>
  </w:style>
  <w:style w:type="character" w:customStyle="1" w:styleId="FootnoteTextChar">
    <w:name w:val="Footnote Text Char"/>
    <w:basedOn w:val="DefaultParagraphFont"/>
    <w:link w:val="FootnoteText"/>
    <w:uiPriority w:val="99"/>
    <w:semiHidden/>
    <w:rsid w:val="00F57D0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7D02"/>
    <w:rPr>
      <w:vertAlign w:val="superscript"/>
    </w:rPr>
  </w:style>
  <w:style w:type="paragraph" w:styleId="Header">
    <w:name w:val="header"/>
    <w:basedOn w:val="Normal"/>
    <w:link w:val="HeaderChar"/>
    <w:uiPriority w:val="99"/>
    <w:semiHidden/>
    <w:unhideWhenUsed/>
    <w:rsid w:val="003D7363"/>
    <w:pPr>
      <w:tabs>
        <w:tab w:val="center" w:pos="4680"/>
        <w:tab w:val="right" w:pos="9360"/>
      </w:tabs>
    </w:pPr>
  </w:style>
  <w:style w:type="character" w:customStyle="1" w:styleId="HeaderChar">
    <w:name w:val="Header Char"/>
    <w:basedOn w:val="DefaultParagraphFont"/>
    <w:link w:val="Header"/>
    <w:uiPriority w:val="99"/>
    <w:semiHidden/>
    <w:rsid w:val="003D736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D7363"/>
    <w:pPr>
      <w:tabs>
        <w:tab w:val="center" w:pos="4680"/>
        <w:tab w:val="right" w:pos="9360"/>
      </w:tabs>
    </w:pPr>
  </w:style>
  <w:style w:type="character" w:customStyle="1" w:styleId="FooterChar">
    <w:name w:val="Footer Char"/>
    <w:basedOn w:val="DefaultParagraphFont"/>
    <w:link w:val="Footer"/>
    <w:uiPriority w:val="99"/>
    <w:rsid w:val="003D736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4759"/>
    <w:rPr>
      <w:rFonts w:ascii="Tahoma" w:hAnsi="Tahoma" w:cs="Tahoma"/>
      <w:sz w:val="16"/>
      <w:szCs w:val="16"/>
    </w:rPr>
  </w:style>
  <w:style w:type="character" w:customStyle="1" w:styleId="BalloonTextChar">
    <w:name w:val="Balloon Text Char"/>
    <w:basedOn w:val="DefaultParagraphFont"/>
    <w:link w:val="BalloonText"/>
    <w:uiPriority w:val="99"/>
    <w:semiHidden/>
    <w:rsid w:val="00434759"/>
    <w:rPr>
      <w:rFonts w:ascii="Tahoma" w:eastAsia="Times New Roman" w:hAnsi="Tahoma" w:cs="Tahoma"/>
      <w:sz w:val="16"/>
      <w:szCs w:val="16"/>
    </w:rPr>
  </w:style>
  <w:style w:type="character" w:styleId="Hyperlink">
    <w:name w:val="Hyperlink"/>
    <w:basedOn w:val="DefaultParagraphFont"/>
    <w:uiPriority w:val="99"/>
    <w:unhideWhenUsed/>
    <w:rsid w:val="003B455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15266085">
      <w:bodyDiv w:val="1"/>
      <w:marLeft w:val="0"/>
      <w:marRight w:val="0"/>
      <w:marTop w:val="0"/>
      <w:marBottom w:val="0"/>
      <w:divBdr>
        <w:top w:val="none" w:sz="0" w:space="0" w:color="auto"/>
        <w:left w:val="none" w:sz="0" w:space="0" w:color="auto"/>
        <w:bottom w:val="none" w:sz="0" w:space="0" w:color="auto"/>
        <w:right w:val="none" w:sz="0" w:space="0" w:color="auto"/>
      </w:divBdr>
    </w:div>
    <w:div w:id="1360080313">
      <w:bodyDiv w:val="1"/>
      <w:marLeft w:val="0"/>
      <w:marRight w:val="0"/>
      <w:marTop w:val="0"/>
      <w:marBottom w:val="0"/>
      <w:divBdr>
        <w:top w:val="none" w:sz="0" w:space="0" w:color="auto"/>
        <w:left w:val="none" w:sz="0" w:space="0" w:color="auto"/>
        <w:bottom w:val="none" w:sz="0" w:space="0" w:color="auto"/>
        <w:right w:val="none" w:sz="0" w:space="0" w:color="auto"/>
      </w:divBdr>
    </w:div>
    <w:div w:id="202928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148A1-83F5-48A2-B817-A38064515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1147</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2010-05-20T16:53:00Z</dcterms:created>
  <dcterms:modified xsi:type="dcterms:W3CDTF">2010-05-20T16:59:00Z</dcterms:modified>
</cp:coreProperties>
</file>