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B5" w:rsidRDefault="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rsidRDefault="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2242E0" w:rsidRDefault="002242E0" w:rsidP="002242E0">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2242E0" w:rsidTr="0095107B">
        <w:trPr>
          <w:trHeight w:val="807"/>
        </w:trPr>
        <w:tc>
          <w:tcPr>
            <w:tcW w:w="4332" w:type="dxa"/>
            <w:shd w:val="clear" w:color="auto" w:fill="auto"/>
          </w:tcPr>
          <w:p w:rsidR="002242E0" w:rsidRPr="00A044B5" w:rsidRDefault="002242E0" w:rsidP="0095107B">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Amendment of Chapters 4901:1-10 and 4901:1-21, Ohio Administrative Code, Regarding Electric Companies and Competitive Retail Electric Providers.</w:t>
            </w:r>
          </w:p>
        </w:tc>
        <w:tc>
          <w:tcPr>
            <w:tcW w:w="360" w:type="dxa"/>
            <w:shd w:val="clear" w:color="auto" w:fill="auto"/>
          </w:tcPr>
          <w:p w:rsidR="002242E0" w:rsidRPr="00A044B5" w:rsidRDefault="002242E0" w:rsidP="0095107B">
            <w:pPr>
              <w:pStyle w:val="HTMLPreformatted"/>
              <w:rPr>
                <w:rFonts w:ascii="Times New Roman" w:hAnsi="Times New Roman"/>
                <w:sz w:val="24"/>
              </w:rPr>
            </w:pPr>
            <w:r w:rsidRPr="00A044B5">
              <w:rPr>
                <w:rFonts w:ascii="Times New Roman" w:hAnsi="Times New Roman"/>
                <w:sz w:val="24"/>
              </w:rPr>
              <w:t>)</w:t>
            </w:r>
          </w:p>
          <w:p w:rsidR="002242E0" w:rsidRPr="00A044B5" w:rsidRDefault="002242E0" w:rsidP="0095107B">
            <w:pPr>
              <w:pStyle w:val="HTMLPreformatted"/>
              <w:rPr>
                <w:rFonts w:ascii="Times New Roman" w:hAnsi="Times New Roman"/>
                <w:sz w:val="24"/>
              </w:rPr>
            </w:pPr>
            <w:r w:rsidRPr="00A044B5">
              <w:rPr>
                <w:rFonts w:ascii="Times New Roman" w:hAnsi="Times New Roman"/>
                <w:sz w:val="24"/>
              </w:rPr>
              <w:t>)</w:t>
            </w:r>
          </w:p>
          <w:p w:rsidR="002242E0" w:rsidRPr="00A044B5" w:rsidRDefault="002242E0" w:rsidP="0095107B">
            <w:pPr>
              <w:pStyle w:val="HTMLPreformatted"/>
              <w:rPr>
                <w:rFonts w:ascii="Times New Roman" w:hAnsi="Times New Roman"/>
                <w:sz w:val="24"/>
              </w:rPr>
            </w:pPr>
            <w:r w:rsidRPr="00A044B5">
              <w:rPr>
                <w:rFonts w:ascii="Times New Roman" w:hAnsi="Times New Roman"/>
                <w:sz w:val="24"/>
              </w:rPr>
              <w:t>)</w:t>
            </w:r>
          </w:p>
          <w:p w:rsidR="002242E0" w:rsidRDefault="002242E0" w:rsidP="0095107B">
            <w:pPr>
              <w:pStyle w:val="HTMLPreformatted"/>
              <w:rPr>
                <w:rFonts w:ascii="Times New Roman" w:hAnsi="Times New Roman"/>
                <w:sz w:val="24"/>
              </w:rPr>
            </w:pPr>
            <w:r w:rsidRPr="00A044B5">
              <w:rPr>
                <w:rFonts w:ascii="Times New Roman" w:hAnsi="Times New Roman"/>
                <w:sz w:val="24"/>
              </w:rPr>
              <w:t>)</w:t>
            </w:r>
          </w:p>
          <w:p w:rsidR="002242E0" w:rsidRPr="00A044B5" w:rsidRDefault="002242E0" w:rsidP="0095107B">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2242E0" w:rsidRPr="00A044B5" w:rsidRDefault="002242E0" w:rsidP="0095107B">
            <w:pPr>
              <w:pStyle w:val="HTMLPreformatted"/>
              <w:rPr>
                <w:rFonts w:ascii="Times New Roman" w:hAnsi="Times New Roman"/>
                <w:sz w:val="24"/>
              </w:rPr>
            </w:pPr>
          </w:p>
          <w:p w:rsidR="002242E0" w:rsidRPr="00A044B5" w:rsidRDefault="002242E0" w:rsidP="0095107B">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14-1411-EL-ORD</w:t>
            </w:r>
          </w:p>
          <w:p w:rsidR="002242E0" w:rsidRPr="00A044B5" w:rsidRDefault="002242E0" w:rsidP="0095107B">
            <w:pPr>
              <w:pStyle w:val="HTMLPreformatted"/>
              <w:rPr>
                <w:rFonts w:ascii="Times New Roman" w:hAnsi="Times New Roman"/>
                <w:sz w:val="24"/>
              </w:rPr>
            </w:pPr>
          </w:p>
          <w:p w:rsidR="002242E0" w:rsidRPr="00A044B5" w:rsidRDefault="002242E0" w:rsidP="0095107B">
            <w:pPr>
              <w:pStyle w:val="HTMLPreformatted"/>
              <w:rPr>
                <w:rFonts w:ascii="Times New Roman" w:hAnsi="Times New Roman"/>
                <w:sz w:val="24"/>
              </w:rPr>
            </w:pPr>
          </w:p>
        </w:tc>
      </w:tr>
    </w:tbl>
    <w:p w:rsidR="00BB32E1" w:rsidRDefault="00BB32E1">
      <w:pPr>
        <w:pStyle w:val="HTMLPreformatted"/>
        <w:rPr>
          <w:rFonts w:ascii="Times New Roman" w:hAnsi="Times New Roman"/>
          <w:sz w:val="24"/>
        </w:rPr>
      </w:pPr>
    </w:p>
    <w:p w:rsidR="00A044B5" w:rsidRDefault="00A044B5">
      <w:pPr>
        <w:pStyle w:val="HTMLPreformatted"/>
        <w:pBdr>
          <w:top w:val="single" w:sz="12" w:space="1" w:color="auto"/>
        </w:pBdr>
        <w:rPr>
          <w:rFonts w:ascii="Times New Roman" w:hAnsi="Times New Roman"/>
          <w:sz w:val="24"/>
        </w:rPr>
      </w:pPr>
    </w:p>
    <w:p w:rsidR="002242E0" w:rsidRDefault="00516800">
      <w:pPr>
        <w:jc w:val="center"/>
        <w:rPr>
          <w:b/>
          <w:bCs/>
        </w:rPr>
      </w:pPr>
      <w:r>
        <w:rPr>
          <w:b/>
          <w:bCs/>
        </w:rPr>
        <w:t xml:space="preserve">COMMENTS </w:t>
      </w:r>
    </w:p>
    <w:p w:rsidR="00A044B5" w:rsidRDefault="00A044B5">
      <w:pPr>
        <w:jc w:val="center"/>
        <w:rPr>
          <w:b/>
          <w:bCs/>
        </w:rPr>
      </w:pPr>
      <w:r>
        <w:rPr>
          <w:b/>
          <w:bCs/>
        </w:rPr>
        <w:t>BY</w:t>
      </w:r>
    </w:p>
    <w:p w:rsidR="00A044B5" w:rsidRDefault="00A044B5">
      <w:pPr>
        <w:jc w:val="center"/>
        <w:rPr>
          <w:b/>
          <w:bCs/>
        </w:rPr>
      </w:pPr>
      <w:r>
        <w:rPr>
          <w:b/>
          <w:bCs/>
        </w:rPr>
        <w:t>THE OFFICE OF THE OHIO CONSUMERS’ COUNSEL</w:t>
      </w:r>
    </w:p>
    <w:p w:rsidR="00A044B5" w:rsidRDefault="00A044B5">
      <w:pPr>
        <w:pBdr>
          <w:bottom w:val="single" w:sz="12" w:space="1" w:color="auto"/>
        </w:pBdr>
        <w:tabs>
          <w:tab w:val="left" w:pos="4320"/>
        </w:tabs>
      </w:pPr>
    </w:p>
    <w:p w:rsidR="00A044B5" w:rsidRDefault="00A044B5">
      <w:pPr>
        <w:tabs>
          <w:tab w:val="left" w:pos="4320"/>
        </w:tabs>
      </w:pPr>
    </w:p>
    <w:p w:rsidR="00D902C3" w:rsidRDefault="00D902C3" w:rsidP="008F2600">
      <w:pPr>
        <w:pStyle w:val="BodyTextIndent3"/>
        <w:numPr>
          <w:ilvl w:val="0"/>
          <w:numId w:val="7"/>
        </w:numPr>
        <w:spacing w:before="240" w:line="480" w:lineRule="auto"/>
        <w:rPr>
          <w:b/>
        </w:rPr>
      </w:pPr>
      <w:r>
        <w:rPr>
          <w:b/>
        </w:rPr>
        <w:t>INTRODUCTION</w:t>
      </w:r>
    </w:p>
    <w:p w:rsidR="00D42EFD" w:rsidRDefault="008F2600" w:rsidP="008F2600">
      <w:pPr>
        <w:spacing w:line="480" w:lineRule="auto"/>
        <w:ind w:firstLine="720"/>
        <w:rPr>
          <w:szCs w:val="24"/>
        </w:rPr>
      </w:pPr>
      <w:r w:rsidRPr="00337F32">
        <w:rPr>
          <w:szCs w:val="24"/>
        </w:rPr>
        <w:t>The Office of the Ohio Consumers</w:t>
      </w:r>
      <w:r>
        <w:rPr>
          <w:szCs w:val="24"/>
        </w:rPr>
        <w:t xml:space="preserve">’ Counsel </w:t>
      </w:r>
      <w:r w:rsidRPr="00337F32">
        <w:rPr>
          <w:szCs w:val="24"/>
        </w:rPr>
        <w:t>(“OCC”) submits these comments on behalf of</w:t>
      </w:r>
      <w:r>
        <w:rPr>
          <w:szCs w:val="24"/>
        </w:rPr>
        <w:t xml:space="preserve"> </w:t>
      </w:r>
      <w:r w:rsidRPr="00337F32">
        <w:rPr>
          <w:szCs w:val="24"/>
        </w:rPr>
        <w:t>Ohio</w:t>
      </w:r>
      <w:r>
        <w:rPr>
          <w:szCs w:val="24"/>
        </w:rPr>
        <w:t>’s</w:t>
      </w:r>
      <w:r w:rsidR="00FE4D67">
        <w:rPr>
          <w:szCs w:val="24"/>
        </w:rPr>
        <w:t xml:space="preserve"> </w:t>
      </w:r>
      <w:r w:rsidR="009922F2">
        <w:rPr>
          <w:szCs w:val="24"/>
        </w:rPr>
        <w:t>approximately 4.2 million</w:t>
      </w:r>
      <w:r w:rsidRPr="00337F32">
        <w:rPr>
          <w:szCs w:val="24"/>
        </w:rPr>
        <w:t xml:space="preserve"> r</w:t>
      </w:r>
      <w:r w:rsidR="00EF780F">
        <w:rPr>
          <w:szCs w:val="24"/>
        </w:rPr>
        <w:t>esidential electricity consumers</w:t>
      </w:r>
      <w:r>
        <w:rPr>
          <w:szCs w:val="24"/>
        </w:rPr>
        <w:t xml:space="preserve">. </w:t>
      </w:r>
      <w:r w:rsidR="00925313">
        <w:rPr>
          <w:szCs w:val="24"/>
        </w:rPr>
        <w:t xml:space="preserve"> </w:t>
      </w:r>
      <w:r>
        <w:rPr>
          <w:szCs w:val="24"/>
        </w:rPr>
        <w:t>In this proceeding</w:t>
      </w:r>
      <w:r w:rsidR="0074449E">
        <w:rPr>
          <w:szCs w:val="24"/>
        </w:rPr>
        <w:t xml:space="preserve"> we look forward to providing recommendations to</w:t>
      </w:r>
      <w:r>
        <w:rPr>
          <w:szCs w:val="24"/>
        </w:rPr>
        <w:t xml:space="preserve"> the Public Utilities Commission of Ohio (“PUCO”) </w:t>
      </w:r>
      <w:r w:rsidR="0074449E">
        <w:rPr>
          <w:szCs w:val="24"/>
        </w:rPr>
        <w:t xml:space="preserve">for implementing Senate Bill 310 for new information on customers’ electric utility bills. </w:t>
      </w:r>
    </w:p>
    <w:p w:rsidR="008F2600" w:rsidRDefault="00D42EFD" w:rsidP="008F2600">
      <w:pPr>
        <w:spacing w:line="480" w:lineRule="auto"/>
        <w:ind w:firstLine="720"/>
        <w:rPr>
          <w:szCs w:val="24"/>
        </w:rPr>
      </w:pPr>
      <w:r>
        <w:rPr>
          <w:szCs w:val="24"/>
        </w:rPr>
        <w:t xml:space="preserve">The PUCO </w:t>
      </w:r>
      <w:r w:rsidR="008F2600">
        <w:rPr>
          <w:szCs w:val="24"/>
        </w:rPr>
        <w:t xml:space="preserve">will adopt rules governing the disclosure to customers of the “costs” </w:t>
      </w:r>
      <w:r w:rsidR="008F2600" w:rsidRPr="00337F32">
        <w:rPr>
          <w:szCs w:val="24"/>
        </w:rPr>
        <w:t>of renewable ener</w:t>
      </w:r>
      <w:r w:rsidR="008F2600">
        <w:rPr>
          <w:szCs w:val="24"/>
        </w:rPr>
        <w:t xml:space="preserve">gy, energy efficiency, </w:t>
      </w:r>
      <w:r w:rsidR="008F2600" w:rsidRPr="00337F32">
        <w:rPr>
          <w:szCs w:val="24"/>
        </w:rPr>
        <w:t xml:space="preserve">and peak demand reduction requirements of R.C. 4928.64 and </w:t>
      </w:r>
      <w:r w:rsidR="00D139CD" w:rsidRPr="00337F32">
        <w:rPr>
          <w:szCs w:val="24"/>
        </w:rPr>
        <w:t>4928.66</w:t>
      </w:r>
      <w:r w:rsidR="00D139CD">
        <w:rPr>
          <w:szCs w:val="24"/>
        </w:rPr>
        <w:t>.</w:t>
      </w:r>
      <w:r w:rsidR="008F2600">
        <w:rPr>
          <w:szCs w:val="24"/>
        </w:rPr>
        <w:t xml:space="preserve">  </w:t>
      </w:r>
      <w:r>
        <w:rPr>
          <w:szCs w:val="24"/>
        </w:rPr>
        <w:t>Generally, t</w:t>
      </w:r>
      <w:r w:rsidR="0007008C">
        <w:rPr>
          <w:szCs w:val="24"/>
        </w:rPr>
        <w:t xml:space="preserve">he PUCO requires </w:t>
      </w:r>
      <w:r w:rsidR="008F2600">
        <w:rPr>
          <w:szCs w:val="24"/>
        </w:rPr>
        <w:t>utilit</w:t>
      </w:r>
      <w:r w:rsidR="000005B1">
        <w:rPr>
          <w:szCs w:val="24"/>
        </w:rPr>
        <w:t>ies to make their</w:t>
      </w:r>
      <w:r w:rsidR="008F2600">
        <w:rPr>
          <w:szCs w:val="24"/>
        </w:rPr>
        <w:t xml:space="preserve"> bills accurate and understandable</w:t>
      </w:r>
      <w:r w:rsidR="007A49B6">
        <w:rPr>
          <w:szCs w:val="24"/>
        </w:rPr>
        <w:t xml:space="preserve"> for consumers</w:t>
      </w:r>
      <w:r w:rsidR="008F2600">
        <w:rPr>
          <w:szCs w:val="24"/>
        </w:rPr>
        <w:t>.</w:t>
      </w:r>
      <w:r w:rsidR="008F2600">
        <w:rPr>
          <w:rStyle w:val="FootnoteReference"/>
          <w:szCs w:val="24"/>
        </w:rPr>
        <w:footnoteReference w:id="2"/>
      </w:r>
      <w:r w:rsidR="008F2600">
        <w:rPr>
          <w:szCs w:val="24"/>
        </w:rPr>
        <w:t xml:space="preserve"> </w:t>
      </w:r>
      <w:r w:rsidR="001F685A">
        <w:rPr>
          <w:szCs w:val="24"/>
        </w:rPr>
        <w:t xml:space="preserve"> </w:t>
      </w:r>
      <w:r w:rsidR="008F2600">
        <w:rPr>
          <w:szCs w:val="24"/>
        </w:rPr>
        <w:t xml:space="preserve">Thus, </w:t>
      </w:r>
      <w:r>
        <w:rPr>
          <w:szCs w:val="24"/>
        </w:rPr>
        <w:t xml:space="preserve">implementing the new law should be done in a way that provides newly required information to consumers while remaining true to </w:t>
      </w:r>
      <w:r w:rsidR="008F2600">
        <w:rPr>
          <w:szCs w:val="24"/>
        </w:rPr>
        <w:t xml:space="preserve">the </w:t>
      </w:r>
      <w:r>
        <w:rPr>
          <w:szCs w:val="24"/>
        </w:rPr>
        <w:t xml:space="preserve">time-honored goals of </w:t>
      </w:r>
      <w:r w:rsidR="008F2600">
        <w:rPr>
          <w:szCs w:val="24"/>
        </w:rPr>
        <w:t xml:space="preserve">accuracy and understandability </w:t>
      </w:r>
      <w:r>
        <w:rPr>
          <w:szCs w:val="24"/>
        </w:rPr>
        <w:t xml:space="preserve">for </w:t>
      </w:r>
      <w:r w:rsidR="00E67B52">
        <w:rPr>
          <w:szCs w:val="24"/>
        </w:rPr>
        <w:t>consumers’</w:t>
      </w:r>
      <w:r w:rsidR="00D139CD">
        <w:rPr>
          <w:szCs w:val="24"/>
        </w:rPr>
        <w:t xml:space="preserve"> utility bills</w:t>
      </w:r>
      <w:r w:rsidR="008F2600">
        <w:rPr>
          <w:szCs w:val="24"/>
        </w:rPr>
        <w:t>.</w:t>
      </w:r>
      <w:r w:rsidR="00634E40">
        <w:rPr>
          <w:szCs w:val="24"/>
        </w:rPr>
        <w:t xml:space="preserve">  </w:t>
      </w:r>
    </w:p>
    <w:p w:rsidR="008F2600" w:rsidRPr="00337F32" w:rsidRDefault="00B44CB9" w:rsidP="008F2600">
      <w:pPr>
        <w:spacing w:line="480" w:lineRule="auto"/>
        <w:ind w:firstLine="720"/>
        <w:rPr>
          <w:szCs w:val="24"/>
        </w:rPr>
      </w:pPr>
      <w:r>
        <w:rPr>
          <w:szCs w:val="24"/>
        </w:rPr>
        <w:br w:type="page"/>
      </w:r>
      <w:r w:rsidR="008F2600" w:rsidRPr="00337F32">
        <w:rPr>
          <w:szCs w:val="24"/>
        </w:rPr>
        <w:lastRenderedPageBreak/>
        <w:t xml:space="preserve">In May 2014, the General Assembly passed </w:t>
      </w:r>
      <w:r w:rsidR="00E67B52">
        <w:rPr>
          <w:szCs w:val="24"/>
        </w:rPr>
        <w:t xml:space="preserve">Substitute </w:t>
      </w:r>
      <w:r w:rsidR="008F2600" w:rsidRPr="00337F32">
        <w:rPr>
          <w:szCs w:val="24"/>
        </w:rPr>
        <w:t>Senate Bill 310</w:t>
      </w:r>
      <w:r w:rsidR="003D46F2">
        <w:rPr>
          <w:szCs w:val="24"/>
        </w:rPr>
        <w:t xml:space="preserve"> to</w:t>
      </w:r>
      <w:r w:rsidR="008A3044">
        <w:rPr>
          <w:szCs w:val="24"/>
        </w:rPr>
        <w:t xml:space="preserve"> </w:t>
      </w:r>
      <w:r w:rsidR="008A3044" w:rsidRPr="00337F32">
        <w:rPr>
          <w:szCs w:val="24"/>
        </w:rPr>
        <w:t>amend</w:t>
      </w:r>
      <w:r w:rsidR="008F2600" w:rsidRPr="00337F32">
        <w:rPr>
          <w:szCs w:val="24"/>
        </w:rPr>
        <w:t xml:space="preserve"> provisions in R.C. 4928</w:t>
      </w:r>
      <w:r w:rsidR="008F2600">
        <w:rPr>
          <w:szCs w:val="24"/>
        </w:rPr>
        <w:t xml:space="preserve"> that</w:t>
      </w:r>
      <w:r w:rsidR="008F2600" w:rsidRPr="00337F32">
        <w:rPr>
          <w:szCs w:val="24"/>
        </w:rPr>
        <w:t xml:space="preserve"> govern the alternative energy</w:t>
      </w:r>
      <w:r w:rsidR="002B780C">
        <w:rPr>
          <w:szCs w:val="24"/>
        </w:rPr>
        <w:t>, energy efficiency, and peak demand reduction</w:t>
      </w:r>
      <w:r w:rsidR="008F2600" w:rsidRPr="00337F32">
        <w:rPr>
          <w:szCs w:val="24"/>
        </w:rPr>
        <w:t xml:space="preserve"> portfolio standard rules and regulations</w:t>
      </w:r>
      <w:r w:rsidR="002B780C">
        <w:rPr>
          <w:szCs w:val="24"/>
        </w:rPr>
        <w:t xml:space="preserve"> contained in R.C. 4928.64 and R.C. 4928.66</w:t>
      </w:r>
      <w:r w:rsidR="008F2600" w:rsidRPr="00337F32">
        <w:rPr>
          <w:szCs w:val="24"/>
        </w:rPr>
        <w:t xml:space="preserve">.  </w:t>
      </w:r>
      <w:r w:rsidR="00DC053C">
        <w:rPr>
          <w:szCs w:val="24"/>
        </w:rPr>
        <w:t xml:space="preserve">In addition to those changes, Substitute Senate Bill 310 also added </w:t>
      </w:r>
      <w:r w:rsidR="00DC053C" w:rsidRPr="00337F32">
        <w:rPr>
          <w:szCs w:val="24"/>
        </w:rPr>
        <w:t>R.C.</w:t>
      </w:r>
      <w:r w:rsidR="00DC053C">
        <w:rPr>
          <w:szCs w:val="24"/>
        </w:rPr>
        <w:t>4928.65, which</w:t>
      </w:r>
      <w:r w:rsidR="00DC053C" w:rsidRPr="00337F32">
        <w:rPr>
          <w:szCs w:val="24"/>
        </w:rPr>
        <w:t xml:space="preserve"> require</w:t>
      </w:r>
      <w:r w:rsidR="00DC053C">
        <w:rPr>
          <w:szCs w:val="24"/>
        </w:rPr>
        <w:t>s</w:t>
      </w:r>
      <w:r w:rsidR="00D53DD7">
        <w:rPr>
          <w:szCs w:val="24"/>
        </w:rPr>
        <w:t xml:space="preserve"> utilities to provide certain information to customers</w:t>
      </w:r>
      <w:r w:rsidR="00DC053C" w:rsidRPr="00337F32">
        <w:rPr>
          <w:szCs w:val="24"/>
        </w:rPr>
        <w:t>:</w:t>
      </w:r>
    </w:p>
    <w:p w:rsidR="008F2600" w:rsidRDefault="008F2600" w:rsidP="00B44CB9">
      <w:pPr>
        <w:pStyle w:val="NormalWeb"/>
        <w:numPr>
          <w:ilvl w:val="0"/>
          <w:numId w:val="8"/>
        </w:numPr>
        <w:spacing w:before="0" w:beforeAutospacing="0" w:after="0" w:afterAutospacing="0"/>
        <w:ind w:left="1440" w:right="720" w:hanging="720"/>
        <w:rPr>
          <w:color w:val="000000"/>
        </w:rPr>
      </w:pPr>
      <w:r w:rsidRPr="00337F32">
        <w:rPr>
          <w:color w:val="000000"/>
        </w:rPr>
        <w:t xml:space="preserve">That every electric distribution utility list, on all customer bills sent by the utility, including utility consolidated bills that include both electric distribution utility and electric services company charges, the individual customer cost of the utility's compliance with all of the following for the applicable billing period: </w:t>
      </w:r>
    </w:p>
    <w:p w:rsidR="008F2600" w:rsidRPr="00337F32" w:rsidRDefault="008F2600" w:rsidP="008F2600">
      <w:pPr>
        <w:pStyle w:val="NormalWeb"/>
        <w:spacing w:before="0" w:beforeAutospacing="0" w:after="0" w:afterAutospacing="0"/>
        <w:ind w:left="1080"/>
        <w:rPr>
          <w:color w:val="000000"/>
        </w:rPr>
      </w:pPr>
    </w:p>
    <w:p w:rsidR="008F2600" w:rsidRDefault="008F2600" w:rsidP="00B44CB9">
      <w:pPr>
        <w:pStyle w:val="NormalWeb"/>
        <w:numPr>
          <w:ilvl w:val="0"/>
          <w:numId w:val="9"/>
        </w:numPr>
        <w:spacing w:before="0" w:beforeAutospacing="0" w:after="0" w:afterAutospacing="0"/>
        <w:ind w:left="2160" w:right="720" w:hanging="720"/>
        <w:rPr>
          <w:color w:val="000000"/>
        </w:rPr>
      </w:pPr>
      <w:r w:rsidRPr="00337F32">
        <w:rPr>
          <w:color w:val="000000"/>
        </w:rPr>
        <w:t>The renewable energy resource requirements under section 4928.64 of the Revised Code, subject to division (B) of this section;</w:t>
      </w:r>
    </w:p>
    <w:p w:rsidR="008F2600" w:rsidRPr="00337F32" w:rsidRDefault="008F2600" w:rsidP="00B44CB9">
      <w:pPr>
        <w:pStyle w:val="NormalWeb"/>
        <w:spacing w:before="0" w:beforeAutospacing="0" w:after="0" w:afterAutospacing="0"/>
        <w:ind w:left="2160" w:right="720" w:hanging="720"/>
        <w:rPr>
          <w:color w:val="000000"/>
        </w:rPr>
      </w:pPr>
    </w:p>
    <w:p w:rsidR="008F2600" w:rsidRDefault="008F2600" w:rsidP="00B44CB9">
      <w:pPr>
        <w:pStyle w:val="NormalWeb"/>
        <w:numPr>
          <w:ilvl w:val="0"/>
          <w:numId w:val="9"/>
        </w:numPr>
        <w:spacing w:before="0" w:beforeAutospacing="0" w:after="0" w:afterAutospacing="0"/>
        <w:ind w:left="2160" w:right="720" w:hanging="720"/>
        <w:rPr>
          <w:color w:val="000000"/>
        </w:rPr>
      </w:pPr>
      <w:r w:rsidRPr="00337F32">
        <w:rPr>
          <w:color w:val="000000"/>
        </w:rPr>
        <w:t xml:space="preserve">The energy efficiency savings requirements under section 4928.66 of the Revised Code; </w:t>
      </w:r>
    </w:p>
    <w:p w:rsidR="008F2600" w:rsidRPr="00337F32" w:rsidRDefault="008F2600" w:rsidP="00B44CB9">
      <w:pPr>
        <w:pStyle w:val="NormalWeb"/>
        <w:spacing w:before="0" w:beforeAutospacing="0" w:after="0" w:afterAutospacing="0"/>
        <w:ind w:left="2160" w:right="720" w:hanging="720"/>
        <w:rPr>
          <w:color w:val="000000"/>
        </w:rPr>
      </w:pPr>
    </w:p>
    <w:p w:rsidR="008F2600" w:rsidRDefault="008F2600" w:rsidP="00B44CB9">
      <w:pPr>
        <w:pStyle w:val="NormalWeb"/>
        <w:numPr>
          <w:ilvl w:val="0"/>
          <w:numId w:val="9"/>
        </w:numPr>
        <w:spacing w:before="0" w:beforeAutospacing="0" w:after="0" w:afterAutospacing="0"/>
        <w:ind w:left="2160" w:right="720" w:hanging="720"/>
        <w:rPr>
          <w:color w:val="000000"/>
        </w:rPr>
      </w:pPr>
      <w:r w:rsidRPr="00337F32">
        <w:rPr>
          <w:color w:val="000000"/>
        </w:rPr>
        <w:t>The peak demand reduction requirements under section 4928.66 of the Revised Code.</w:t>
      </w:r>
      <w:r w:rsidR="001F685A">
        <w:rPr>
          <w:rStyle w:val="FootnoteReference"/>
          <w:color w:val="000000"/>
        </w:rPr>
        <w:footnoteReference w:id="3"/>
      </w:r>
      <w:r w:rsidRPr="00337F32">
        <w:rPr>
          <w:color w:val="000000"/>
        </w:rPr>
        <w:t xml:space="preserve"> </w:t>
      </w:r>
    </w:p>
    <w:p w:rsidR="008F2600" w:rsidRPr="00337F32" w:rsidRDefault="008F2600" w:rsidP="008F2600">
      <w:pPr>
        <w:pStyle w:val="NormalWeb"/>
        <w:spacing w:before="0" w:beforeAutospacing="0" w:after="0" w:afterAutospacing="0"/>
        <w:rPr>
          <w:color w:val="000000"/>
        </w:rPr>
      </w:pPr>
    </w:p>
    <w:p w:rsidR="00BC119D" w:rsidRDefault="002B780C" w:rsidP="008F2600">
      <w:pPr>
        <w:spacing w:line="480" w:lineRule="auto"/>
        <w:rPr>
          <w:color w:val="000000"/>
          <w:szCs w:val="24"/>
        </w:rPr>
      </w:pPr>
      <w:r>
        <w:rPr>
          <w:szCs w:val="24"/>
        </w:rPr>
        <w:t xml:space="preserve">To carry out this requirement, </w:t>
      </w:r>
      <w:r w:rsidR="008F2600" w:rsidRPr="00337F32">
        <w:rPr>
          <w:szCs w:val="24"/>
        </w:rPr>
        <w:t xml:space="preserve">R.C. 4928.65(A) </w:t>
      </w:r>
      <w:r>
        <w:rPr>
          <w:szCs w:val="24"/>
        </w:rPr>
        <w:t xml:space="preserve">also </w:t>
      </w:r>
      <w:r w:rsidR="008F2600" w:rsidRPr="00337F32">
        <w:rPr>
          <w:szCs w:val="24"/>
        </w:rPr>
        <w:t xml:space="preserve">requires the PUCO to </w:t>
      </w:r>
      <w:r w:rsidR="008F2600">
        <w:rPr>
          <w:szCs w:val="24"/>
        </w:rPr>
        <w:t>“</w:t>
      </w:r>
      <w:r w:rsidR="008F2600" w:rsidRPr="00337F32">
        <w:rPr>
          <w:color w:val="000000"/>
          <w:szCs w:val="24"/>
        </w:rPr>
        <w:t>adopt rules governing the disclosure of the costs to customers of the renewable energy resource, energy efficiency savings, and peak demand reduction requirements of sections 4928.64 and 4928.66 of the Revised Code.”</w:t>
      </w:r>
      <w:r w:rsidR="00EF780F">
        <w:rPr>
          <w:rStyle w:val="FootnoteReference"/>
          <w:color w:val="000000"/>
          <w:szCs w:val="24"/>
        </w:rPr>
        <w:footnoteReference w:id="4"/>
      </w:r>
      <w:r w:rsidR="008F2600">
        <w:rPr>
          <w:color w:val="000000"/>
          <w:szCs w:val="24"/>
        </w:rPr>
        <w:t xml:space="preserve">  </w:t>
      </w:r>
    </w:p>
    <w:p w:rsidR="008F2600" w:rsidRPr="00337F32" w:rsidRDefault="008F2600" w:rsidP="00381540">
      <w:pPr>
        <w:autoSpaceDE w:val="0"/>
        <w:autoSpaceDN w:val="0"/>
        <w:adjustRightInd w:val="0"/>
        <w:spacing w:line="480" w:lineRule="auto"/>
        <w:rPr>
          <w:szCs w:val="24"/>
        </w:rPr>
      </w:pPr>
      <w:r>
        <w:rPr>
          <w:color w:val="000000"/>
          <w:szCs w:val="24"/>
        </w:rPr>
        <w:tab/>
      </w:r>
      <w:r w:rsidRPr="00E40B7B">
        <w:rPr>
          <w:szCs w:val="24"/>
        </w:rPr>
        <w:t xml:space="preserve">The Attorney Examiner </w:t>
      </w:r>
      <w:r w:rsidR="00ED42A8">
        <w:rPr>
          <w:szCs w:val="24"/>
        </w:rPr>
        <w:t xml:space="preserve">by Entry </w:t>
      </w:r>
      <w:r w:rsidRPr="00E40B7B">
        <w:rPr>
          <w:szCs w:val="24"/>
        </w:rPr>
        <w:t xml:space="preserve">established a procedural schedule seeking </w:t>
      </w:r>
      <w:r w:rsidR="00ED42A8">
        <w:rPr>
          <w:szCs w:val="24"/>
        </w:rPr>
        <w:t xml:space="preserve">initial </w:t>
      </w:r>
      <w:r w:rsidRPr="00E40B7B">
        <w:rPr>
          <w:szCs w:val="24"/>
        </w:rPr>
        <w:t xml:space="preserve">comments </w:t>
      </w:r>
      <w:r w:rsidR="00ED42A8">
        <w:rPr>
          <w:szCs w:val="24"/>
        </w:rPr>
        <w:t xml:space="preserve">in this proceeding by </w:t>
      </w:r>
      <w:r w:rsidR="00656566">
        <w:rPr>
          <w:szCs w:val="24"/>
        </w:rPr>
        <w:t>November 5</w:t>
      </w:r>
      <w:r>
        <w:rPr>
          <w:szCs w:val="24"/>
        </w:rPr>
        <w:t>, 2014</w:t>
      </w:r>
      <w:r w:rsidR="00AA55D2">
        <w:rPr>
          <w:szCs w:val="24"/>
        </w:rPr>
        <w:t>.</w:t>
      </w:r>
      <w:r w:rsidRPr="00E40B7B">
        <w:rPr>
          <w:szCs w:val="24"/>
          <w:vertAlign w:val="superscript"/>
        </w:rPr>
        <w:footnoteReference w:id="5"/>
      </w:r>
      <w:r w:rsidRPr="00E40B7B">
        <w:rPr>
          <w:szCs w:val="24"/>
        </w:rPr>
        <w:t xml:space="preserve"> </w:t>
      </w:r>
      <w:r w:rsidR="00925313">
        <w:rPr>
          <w:szCs w:val="24"/>
        </w:rPr>
        <w:t xml:space="preserve"> </w:t>
      </w:r>
      <w:r w:rsidRPr="00E40B7B">
        <w:rPr>
          <w:szCs w:val="24"/>
        </w:rPr>
        <w:t>OCC files these comments in accordance with the Attorney Examiner’s Entry.</w:t>
      </w:r>
    </w:p>
    <w:p w:rsidR="00A044B5" w:rsidRDefault="0096598B" w:rsidP="00634E40">
      <w:pPr>
        <w:pStyle w:val="BodyTextIndent3"/>
        <w:widowControl w:val="0"/>
        <w:numPr>
          <w:ilvl w:val="0"/>
          <w:numId w:val="7"/>
        </w:numPr>
        <w:spacing w:before="240" w:line="480" w:lineRule="auto"/>
        <w:rPr>
          <w:b/>
        </w:rPr>
      </w:pPr>
      <w:r>
        <w:rPr>
          <w:b/>
        </w:rPr>
        <w:br w:type="page"/>
      </w:r>
      <w:r w:rsidR="002242E0">
        <w:rPr>
          <w:b/>
        </w:rPr>
        <w:t>COMMENTS</w:t>
      </w:r>
    </w:p>
    <w:p w:rsidR="00A05531" w:rsidRPr="009B4859" w:rsidRDefault="0096598B" w:rsidP="00B44CB9">
      <w:pPr>
        <w:pStyle w:val="Heading2"/>
        <w:tabs>
          <w:tab w:val="clear" w:pos="4320"/>
        </w:tabs>
        <w:ind w:left="1440" w:right="720" w:hanging="720"/>
        <w:jc w:val="left"/>
      </w:pPr>
      <w:r>
        <w:t>A.</w:t>
      </w:r>
      <w:r>
        <w:tab/>
      </w:r>
      <w:r w:rsidR="002C2D22">
        <w:t xml:space="preserve">In </w:t>
      </w:r>
      <w:r w:rsidR="005E36B6">
        <w:t>Addition To Utilities Providing The Cost Information Required By Law, T</w:t>
      </w:r>
      <w:r w:rsidR="005E36B6" w:rsidRPr="009B4859">
        <w:t xml:space="preserve">he </w:t>
      </w:r>
      <w:r w:rsidR="00A05531" w:rsidRPr="009B4859">
        <w:t xml:space="preserve">PUCO Should Require Ohio Electric Utilities </w:t>
      </w:r>
      <w:r>
        <w:t>To</w:t>
      </w:r>
      <w:r w:rsidRPr="009B4859">
        <w:t xml:space="preserve"> </w:t>
      </w:r>
      <w:r w:rsidR="00A05531" w:rsidRPr="009B4859">
        <w:t xml:space="preserve">Inform Customers </w:t>
      </w:r>
      <w:r w:rsidR="00A05531">
        <w:t xml:space="preserve">On Their Bills That </w:t>
      </w:r>
      <w:r w:rsidR="00A05531" w:rsidRPr="009B4859">
        <w:t xml:space="preserve">Energy Efficiency </w:t>
      </w:r>
      <w:r>
        <w:t>And</w:t>
      </w:r>
      <w:r w:rsidRPr="009B4859">
        <w:t xml:space="preserve"> </w:t>
      </w:r>
      <w:r w:rsidR="00A05531" w:rsidRPr="009B4859">
        <w:t>Peak Demand Reduction Programs Can Yield Savings</w:t>
      </w:r>
      <w:r w:rsidR="005E36B6" w:rsidRPr="009B4859">
        <w:t>.</w:t>
      </w:r>
    </w:p>
    <w:p w:rsidR="00FE744A" w:rsidRDefault="00FE744A" w:rsidP="00A05531">
      <w:pPr>
        <w:pStyle w:val="BodyTextIndent3"/>
        <w:widowControl w:val="0"/>
        <w:spacing w:line="240" w:lineRule="auto"/>
        <w:ind w:left="1080" w:firstLine="0"/>
        <w:rPr>
          <w:b/>
        </w:rPr>
      </w:pPr>
    </w:p>
    <w:p w:rsidR="00BC6DED" w:rsidRPr="002B780C" w:rsidRDefault="00FE744A" w:rsidP="00D2143C">
      <w:pPr>
        <w:spacing w:line="480" w:lineRule="auto"/>
        <w:ind w:firstLine="720"/>
        <w:rPr>
          <w:color w:val="000000"/>
          <w:szCs w:val="24"/>
        </w:rPr>
      </w:pPr>
      <w:r w:rsidRPr="00FE744A">
        <w:t>Accurate</w:t>
      </w:r>
      <w:r w:rsidR="002C607B">
        <w:t xml:space="preserve"> </w:t>
      </w:r>
      <w:r w:rsidRPr="00FE744A">
        <w:t>and understandable utility bills are important for Ohio</w:t>
      </w:r>
      <w:r>
        <w:t xml:space="preserve"> </w:t>
      </w:r>
      <w:r w:rsidRPr="00FE744A">
        <w:t>consumers. Under Substitute Senate Bill 310, the “costs” of renewable energy resource,</w:t>
      </w:r>
      <w:r>
        <w:t xml:space="preserve"> </w:t>
      </w:r>
      <w:r w:rsidRPr="00FE744A">
        <w:t>energy efficiency,</w:t>
      </w:r>
      <w:r w:rsidR="00401D2F">
        <w:rPr>
          <w:rStyle w:val="FootnoteReference"/>
        </w:rPr>
        <w:footnoteReference w:id="6"/>
      </w:r>
      <w:r w:rsidRPr="00FE744A">
        <w:t xml:space="preserve"> and peak demand</w:t>
      </w:r>
      <w:r w:rsidR="0094178B">
        <w:t xml:space="preserve"> reduction</w:t>
      </w:r>
      <w:r w:rsidR="0094178B">
        <w:rPr>
          <w:rStyle w:val="FootnoteReference"/>
        </w:rPr>
        <w:footnoteReference w:id="7"/>
      </w:r>
      <w:r w:rsidRPr="00FE744A">
        <w:t xml:space="preserve"> resource programs are to be </w:t>
      </w:r>
      <w:r w:rsidR="000E469F">
        <w:t>disclosed</w:t>
      </w:r>
      <w:r w:rsidRPr="00FE744A">
        <w:t xml:space="preserve"> on each</w:t>
      </w:r>
      <w:r>
        <w:t xml:space="preserve"> </w:t>
      </w:r>
      <w:r w:rsidRPr="00FE744A">
        <w:t>customer’s monthly bill as a distinct line item.</w:t>
      </w:r>
      <w:r>
        <w:rPr>
          <w:rStyle w:val="FootnoteReference"/>
        </w:rPr>
        <w:footnoteReference w:id="8"/>
      </w:r>
      <w:r w:rsidRPr="00FE744A">
        <w:t xml:space="preserve"> </w:t>
      </w:r>
      <w:r w:rsidR="002B780C">
        <w:t xml:space="preserve"> </w:t>
      </w:r>
      <w:r w:rsidRPr="00FE744A">
        <w:t>In this proceeding, the PUCO will adopt</w:t>
      </w:r>
      <w:r w:rsidR="00657DA3">
        <w:t xml:space="preserve"> </w:t>
      </w:r>
      <w:r w:rsidRPr="00FE744A">
        <w:t>rules governing the disclosure of this information to customers.</w:t>
      </w:r>
      <w:r>
        <w:rPr>
          <w:rStyle w:val="FootnoteReference"/>
        </w:rPr>
        <w:footnoteReference w:id="9"/>
      </w:r>
      <w:r>
        <w:t xml:space="preserve">  </w:t>
      </w:r>
      <w:r w:rsidR="00471482">
        <w:t>B</w:t>
      </w:r>
      <w:r w:rsidR="002B780C">
        <w:t xml:space="preserve">ecause </w:t>
      </w:r>
      <w:r w:rsidR="002B780C">
        <w:rPr>
          <w:color w:val="000000"/>
          <w:szCs w:val="24"/>
        </w:rPr>
        <w:t>“</w:t>
      </w:r>
      <w:r w:rsidR="009B5296">
        <w:rPr>
          <w:color w:val="000000"/>
          <w:szCs w:val="24"/>
        </w:rPr>
        <w:t>c</w:t>
      </w:r>
      <w:r w:rsidR="002B780C">
        <w:rPr>
          <w:color w:val="000000"/>
          <w:szCs w:val="24"/>
        </w:rPr>
        <w:t xml:space="preserve">osts” are not defined under Senate Bill 310, the PUCO is tasked in this proceeding with developing: </w:t>
      </w:r>
      <w:r w:rsidR="00B1368B">
        <w:rPr>
          <w:color w:val="000000"/>
          <w:szCs w:val="24"/>
        </w:rPr>
        <w:t>(</w:t>
      </w:r>
      <w:r w:rsidR="002B780C">
        <w:rPr>
          <w:color w:val="000000"/>
          <w:szCs w:val="24"/>
        </w:rPr>
        <w:t xml:space="preserve">1) the definition of costs, and </w:t>
      </w:r>
      <w:r w:rsidR="00B1368B">
        <w:rPr>
          <w:color w:val="000000"/>
          <w:szCs w:val="24"/>
        </w:rPr>
        <w:t>(</w:t>
      </w:r>
      <w:r w:rsidR="002B780C">
        <w:rPr>
          <w:color w:val="000000"/>
          <w:szCs w:val="24"/>
        </w:rPr>
        <w:t xml:space="preserve">2) how this information will be </w:t>
      </w:r>
      <w:r w:rsidR="000E469F">
        <w:rPr>
          <w:color w:val="000000"/>
          <w:szCs w:val="24"/>
        </w:rPr>
        <w:t>communicated</w:t>
      </w:r>
      <w:r w:rsidR="002B780C">
        <w:rPr>
          <w:color w:val="000000"/>
          <w:szCs w:val="24"/>
        </w:rPr>
        <w:t xml:space="preserve"> to customers.  </w:t>
      </w:r>
    </w:p>
    <w:p w:rsidR="00FE744A" w:rsidRDefault="00657DA3" w:rsidP="00D2143C">
      <w:pPr>
        <w:spacing w:line="480" w:lineRule="auto"/>
        <w:ind w:firstLine="720"/>
      </w:pPr>
      <w:r>
        <w:t>E</w:t>
      </w:r>
      <w:r w:rsidR="00FE744A">
        <w:t>nergy efficiency</w:t>
      </w:r>
      <w:r w:rsidR="0094178B">
        <w:t>/peak demand reduction</w:t>
      </w:r>
      <w:r w:rsidR="00FE744A">
        <w:t xml:space="preserve"> </w:t>
      </w:r>
      <w:r w:rsidR="00FE744A" w:rsidRPr="007C6001">
        <w:t>portfolio programs can result in lower costs</w:t>
      </w:r>
      <w:r w:rsidR="00F62155">
        <w:t xml:space="preserve"> and prices</w:t>
      </w:r>
      <w:r w:rsidR="00FE744A" w:rsidRPr="007C6001">
        <w:t xml:space="preserve"> for electric energy for Ohioans.  To this end, energy efficiency programs are generally designed to help consumers use less energy, while peak demand reduction programs encourage customers to limit their electricity consumption during </w:t>
      </w:r>
      <w:r w:rsidR="00FE744A">
        <w:t xml:space="preserve">times of </w:t>
      </w:r>
      <w:r w:rsidR="00FE744A" w:rsidRPr="007C6001">
        <w:t>high</w:t>
      </w:r>
      <w:r w:rsidR="00FE744A">
        <w:t xml:space="preserve"> </w:t>
      </w:r>
      <w:r w:rsidR="00FE744A" w:rsidRPr="007C6001">
        <w:t>electric demand</w:t>
      </w:r>
      <w:r w:rsidR="000E469F">
        <w:t>, and high generation costs</w:t>
      </w:r>
      <w:r w:rsidR="00FE744A" w:rsidRPr="007C6001">
        <w:t>.</w:t>
      </w:r>
      <w:r w:rsidR="00FE744A">
        <w:t xml:space="preserve">  </w:t>
      </w:r>
      <w:r w:rsidR="00415E3A">
        <w:t>C</w:t>
      </w:r>
      <w:r w:rsidR="00FE744A">
        <w:t>ustomers</w:t>
      </w:r>
      <w:r w:rsidR="0007008C">
        <w:t xml:space="preserve"> typically benefit</w:t>
      </w:r>
      <w:r w:rsidR="00FE744A">
        <w:t xml:space="preserve"> from these programs because they experience savings on their electric bills from using less energy</w:t>
      </w:r>
      <w:r w:rsidR="00B81E08">
        <w:t xml:space="preserve"> or using energy at less expensive times</w:t>
      </w:r>
      <w:r w:rsidR="00F62155">
        <w:t>, as well as paying a lower price for electricity</w:t>
      </w:r>
      <w:r w:rsidR="00FE744A">
        <w:t>.</w:t>
      </w:r>
      <w:r w:rsidR="00FE744A" w:rsidRPr="007C6001">
        <w:t xml:space="preserve"> </w:t>
      </w:r>
    </w:p>
    <w:p w:rsidR="00FE744A" w:rsidRDefault="0007008C" w:rsidP="00FE744A">
      <w:pPr>
        <w:spacing w:line="480" w:lineRule="auto"/>
        <w:ind w:firstLine="720"/>
      </w:pPr>
      <w:r>
        <w:t>In fact, i</w:t>
      </w:r>
      <w:r w:rsidR="00086657">
        <w:t>n order for an energy efficiency</w:t>
      </w:r>
      <w:r w:rsidR="00EF780F">
        <w:t>/peak demand reduction</w:t>
      </w:r>
      <w:r w:rsidR="00086657">
        <w:t xml:space="preserve"> portfolio to be approved by the PUCO, the PUCO must find that the portfolio, as a whole, is cost-effective.</w:t>
      </w:r>
      <w:r w:rsidR="00657DA3">
        <w:rPr>
          <w:rStyle w:val="FootnoteReference"/>
        </w:rPr>
        <w:footnoteReference w:id="10"/>
      </w:r>
      <w:r w:rsidR="00657DA3">
        <w:t xml:space="preserve">  “Cost-effective” is defined</w:t>
      </w:r>
      <w:r w:rsidR="004B6B6A">
        <w:t xml:space="preserve"> by the PUCO</w:t>
      </w:r>
      <w:r w:rsidR="00657DA3">
        <w:t xml:space="preserve"> as “the measure, program, or portfolio being evaluated satisfies the total resource cost test.”</w:t>
      </w:r>
      <w:r w:rsidR="00657DA3">
        <w:rPr>
          <w:rStyle w:val="FootnoteReference"/>
        </w:rPr>
        <w:footnoteReference w:id="11"/>
      </w:r>
      <w:r w:rsidR="006D0864">
        <w:t xml:space="preserve">  The Total Resource Cost T</w:t>
      </w:r>
      <w:r w:rsidR="00657DA3">
        <w:t xml:space="preserve">est is an analysis to determine whether the </w:t>
      </w:r>
      <w:r w:rsidR="00657DA3" w:rsidRPr="0007008C">
        <w:rPr>
          <w:i/>
        </w:rPr>
        <w:t xml:space="preserve">costs </w:t>
      </w:r>
      <w:r w:rsidR="008018C3">
        <w:t xml:space="preserve">of an energy efficiency program are less than the </w:t>
      </w:r>
      <w:r w:rsidR="008018C3" w:rsidRPr="0007008C">
        <w:rPr>
          <w:i/>
        </w:rPr>
        <w:t>savings</w:t>
      </w:r>
      <w:r w:rsidR="008018C3">
        <w:t xml:space="preserve"> that result from that program.</w:t>
      </w:r>
      <w:r w:rsidR="004F1D99">
        <w:rPr>
          <w:rStyle w:val="FootnoteReference"/>
        </w:rPr>
        <w:footnoteReference w:id="12"/>
      </w:r>
      <w:r w:rsidR="008018C3">
        <w:t xml:space="preserve">  </w:t>
      </w:r>
    </w:p>
    <w:p w:rsidR="00471482" w:rsidRDefault="00F62155" w:rsidP="005C03EA">
      <w:pPr>
        <w:spacing w:line="480" w:lineRule="auto"/>
        <w:ind w:firstLine="720"/>
      </w:pPr>
      <w:r>
        <w:t>Moreover, research has shown that the Demand Response Induced Price Effect (</w:t>
      </w:r>
      <w:r w:rsidR="005E36B6">
        <w:t>“</w:t>
      </w:r>
      <w:r>
        <w:t>DRIPE</w:t>
      </w:r>
      <w:r w:rsidR="005E36B6">
        <w:t>”</w:t>
      </w:r>
      <w:r>
        <w:t>) from both demand response and energy-</w:t>
      </w:r>
      <w:r w:rsidR="003971CF">
        <w:t>efficiency can</w:t>
      </w:r>
      <w:r>
        <w:t xml:space="preserve"> reduce the wholesale cost of electrical energy, electrical capacity, and natural gas. </w:t>
      </w:r>
      <w:r w:rsidR="00B44CB9">
        <w:t xml:space="preserve"> </w:t>
      </w:r>
      <w:r>
        <w:t xml:space="preserve">For example, PJM’s Independent Market Monitor conducted a sensitivity analysis showing that removal of </w:t>
      </w:r>
      <w:r w:rsidR="00D21169">
        <w:t>d</w:t>
      </w:r>
      <w:r w:rsidR="005E36B6">
        <w:t xml:space="preserve">emand </w:t>
      </w:r>
      <w:r w:rsidR="00D21169">
        <w:t>r</w:t>
      </w:r>
      <w:r w:rsidR="005E36B6">
        <w:t>esponse</w:t>
      </w:r>
      <w:r>
        <w:t xml:space="preserve"> and </w:t>
      </w:r>
      <w:r w:rsidR="00D21169">
        <w:t>e</w:t>
      </w:r>
      <w:r w:rsidR="005E36B6">
        <w:t xml:space="preserve">nergy </w:t>
      </w:r>
      <w:r w:rsidR="00D21169">
        <w:t>e</w:t>
      </w:r>
      <w:r w:rsidR="005E36B6">
        <w:t>fficiency</w:t>
      </w:r>
      <w:r>
        <w:t xml:space="preserve"> from the wholesale capacity auctions could increase the price of capacity, and </w:t>
      </w:r>
      <w:r w:rsidR="00112896">
        <w:t xml:space="preserve">thus </w:t>
      </w:r>
      <w:r>
        <w:t xml:space="preserve">the total costs </w:t>
      </w:r>
      <w:r w:rsidR="00112896">
        <w:t>in</w:t>
      </w:r>
      <w:r>
        <w:t xml:space="preserve"> PJM by $9.3 billion for just one year</w:t>
      </w:r>
      <w:r w:rsidR="00925313">
        <w:t>.</w:t>
      </w:r>
      <w:r>
        <w:rPr>
          <w:rStyle w:val="FootnoteReference"/>
        </w:rPr>
        <w:footnoteReference w:id="13"/>
      </w:r>
      <w:r>
        <w:t xml:space="preserve"> </w:t>
      </w:r>
      <w:r w:rsidR="00B44CB9">
        <w:t xml:space="preserve"> </w:t>
      </w:r>
      <w:r>
        <w:t xml:space="preserve">The </w:t>
      </w:r>
      <w:r w:rsidR="000800F3">
        <w:t>price</w:t>
      </w:r>
      <w:r w:rsidR="005C03EA">
        <w:t>-</w:t>
      </w:r>
      <w:r w:rsidR="000800F3">
        <w:t xml:space="preserve">reducing </w:t>
      </w:r>
      <w:r>
        <w:t>effect of demand resources on wholesale electricity prices has been recognized by utilit</w:t>
      </w:r>
      <w:r w:rsidR="005C03EA">
        <w:t>y</w:t>
      </w:r>
      <w:r w:rsidR="00EE3B35">
        <w:t xml:space="preserve"> witnesses</w:t>
      </w:r>
      <w:r w:rsidR="009922F2">
        <w:t>.</w:t>
      </w:r>
      <w:r w:rsidR="000800F3">
        <w:rPr>
          <w:rStyle w:val="FootnoteReference"/>
        </w:rPr>
        <w:footnoteReference w:id="14"/>
      </w:r>
      <w:r w:rsidR="009922F2">
        <w:t xml:space="preserve">  </w:t>
      </w:r>
    </w:p>
    <w:p w:rsidR="005C03EA" w:rsidRDefault="005C03EA" w:rsidP="005C03EA">
      <w:pPr>
        <w:spacing w:line="480" w:lineRule="auto"/>
        <w:ind w:firstLine="720"/>
      </w:pPr>
      <w:r>
        <w:t>There is the potential for customer confusion i</w:t>
      </w:r>
      <w:r w:rsidR="00657DA3">
        <w:t xml:space="preserve">f </w:t>
      </w:r>
      <w:r>
        <w:t>the utilities do not explain to customers that the cost of the above programs can save money on electric bills</w:t>
      </w:r>
      <w:r w:rsidR="00925313">
        <w:t>.</w:t>
      </w:r>
      <w:r w:rsidR="00821634">
        <w:t xml:space="preserve"> </w:t>
      </w:r>
      <w:r>
        <w:t xml:space="preserve"> </w:t>
      </w:r>
      <w:r w:rsidR="00821634">
        <w:t xml:space="preserve">The PUCO </w:t>
      </w:r>
      <w:r w:rsidR="00EF780F">
        <w:t xml:space="preserve">has </w:t>
      </w:r>
      <w:r w:rsidR="00821634">
        <w:t xml:space="preserve">previously </w:t>
      </w:r>
      <w:r>
        <w:t xml:space="preserve">considered the potential for customer confusion in determining the information appropriate for utility bills.  The PUCO </w:t>
      </w:r>
      <w:r w:rsidR="00821634">
        <w:t>ordered that a bill message be removed from customers’ bills because that message could cause confusion.</w:t>
      </w:r>
      <w:r w:rsidR="00821634">
        <w:rPr>
          <w:rStyle w:val="FootnoteReference"/>
        </w:rPr>
        <w:footnoteReference w:id="15"/>
      </w:r>
      <w:r w:rsidR="0071658D">
        <w:t xml:space="preserve">  </w:t>
      </w:r>
    </w:p>
    <w:p w:rsidR="0071658D" w:rsidRDefault="0071658D" w:rsidP="005C03EA">
      <w:pPr>
        <w:spacing w:line="480" w:lineRule="auto"/>
        <w:ind w:firstLine="720"/>
      </w:pPr>
      <w:r>
        <w:t xml:space="preserve">Specifically, </w:t>
      </w:r>
      <w:r w:rsidR="00821634">
        <w:t>Cincinnati Gas and Electric (“CG&amp;E”) claimed that its Gas Cost Recovery rate would be reduced to the point that there would be no savings</w:t>
      </w:r>
      <w:r>
        <w:t xml:space="preserve"> for customers from purchasing g</w:t>
      </w:r>
      <w:r w:rsidR="00821634">
        <w:t>as from another gas marketer or company.</w:t>
      </w:r>
      <w:r>
        <w:rPr>
          <w:rStyle w:val="FootnoteReference"/>
        </w:rPr>
        <w:footnoteReference w:id="16"/>
      </w:r>
      <w:r w:rsidR="00821634">
        <w:t xml:space="preserve">  </w:t>
      </w:r>
      <w:r>
        <w:t xml:space="preserve">Thus, </w:t>
      </w:r>
      <w:r w:rsidR="00821634">
        <w:t>CG</w:t>
      </w:r>
      <w:r w:rsidR="00415E3A">
        <w:t>&amp;</w:t>
      </w:r>
      <w:r w:rsidR="00821634">
        <w:t xml:space="preserve">E argued that it no longer made sense to include a bill message to customers informing them of the dollar savings the customers received by </w:t>
      </w:r>
      <w:r>
        <w:t>p</w:t>
      </w:r>
      <w:r w:rsidR="00821634">
        <w:t>urchasing gas from another gas company</w:t>
      </w:r>
      <w:r>
        <w:t>, and that keeping the bill message “[would] confuse customers.”</w:t>
      </w:r>
      <w:r>
        <w:rPr>
          <w:rStyle w:val="FootnoteReference"/>
        </w:rPr>
        <w:footnoteReference w:id="17"/>
      </w:r>
      <w:r w:rsidR="00821634">
        <w:t xml:space="preserve"> </w:t>
      </w:r>
      <w:r w:rsidR="006B2F58">
        <w:t xml:space="preserve"> </w:t>
      </w:r>
      <w:r>
        <w:t>The PUCO granted CG</w:t>
      </w:r>
      <w:r w:rsidR="00415E3A">
        <w:t>&amp;</w:t>
      </w:r>
      <w:r>
        <w:t xml:space="preserve">E’s application and found that the bill message may not be a true indicator of the customer’s savings </w:t>
      </w:r>
      <w:r w:rsidR="000E469F">
        <w:t>over</w:t>
      </w:r>
      <w:r>
        <w:t xml:space="preserve"> the life of the contract.</w:t>
      </w:r>
      <w:r>
        <w:rPr>
          <w:rStyle w:val="FootnoteReference"/>
        </w:rPr>
        <w:footnoteReference w:id="18"/>
      </w:r>
      <w:r>
        <w:t xml:space="preserve">  </w:t>
      </w:r>
    </w:p>
    <w:p w:rsidR="000E469F" w:rsidRDefault="0071658D" w:rsidP="00FE744A">
      <w:pPr>
        <w:spacing w:line="480" w:lineRule="auto"/>
        <w:ind w:firstLine="720"/>
      </w:pPr>
      <w:r>
        <w:t>Although the CG</w:t>
      </w:r>
      <w:r w:rsidR="00415E3A">
        <w:t>&amp;</w:t>
      </w:r>
      <w:r>
        <w:t>E case deal</w:t>
      </w:r>
      <w:r w:rsidR="00EF780F">
        <w:t xml:space="preserve">t with removing a bill message </w:t>
      </w:r>
      <w:r>
        <w:t xml:space="preserve">and not adding one, </w:t>
      </w:r>
      <w:r w:rsidR="00EF780F">
        <w:t>the central issue is the same</w:t>
      </w:r>
      <w:r w:rsidR="0007008C">
        <w:t xml:space="preserve"> –</w:t>
      </w:r>
      <w:r w:rsidR="00415E3A">
        <w:t xml:space="preserve"> </w:t>
      </w:r>
      <w:r w:rsidR="0007008C">
        <w:t xml:space="preserve">understandability </w:t>
      </w:r>
      <w:r w:rsidR="000E469F">
        <w:t xml:space="preserve">and accuracy </w:t>
      </w:r>
      <w:r w:rsidR="0007008C">
        <w:t>of customer utility bills</w:t>
      </w:r>
      <w:r w:rsidR="00EF780F">
        <w:t xml:space="preserve">.  </w:t>
      </w:r>
      <w:r>
        <w:t>C</w:t>
      </w:r>
      <w:r w:rsidR="0007008C">
        <w:t>onsumers</w:t>
      </w:r>
      <w:r>
        <w:t xml:space="preserve">’ bills should be understandable and accurate.  </w:t>
      </w:r>
      <w:r w:rsidR="00EF780F">
        <w:t>And i</w:t>
      </w:r>
      <w:r w:rsidR="00D139CD">
        <w:t>n order for customers’ bills to be understandable and accurate, t</w:t>
      </w:r>
      <w:r w:rsidR="008018C3">
        <w:t>he PUCO should require that customers are informed</w:t>
      </w:r>
      <w:r w:rsidR="00010A44">
        <w:t xml:space="preserve"> </w:t>
      </w:r>
      <w:r w:rsidR="000E469F">
        <w:t>as to the costs of these programs</w:t>
      </w:r>
      <w:r w:rsidR="00010A44">
        <w:t>, as required by law,</w:t>
      </w:r>
      <w:r w:rsidR="000E469F">
        <w:t xml:space="preserve"> </w:t>
      </w:r>
      <w:r w:rsidR="00010A44">
        <w:t xml:space="preserve">and </w:t>
      </w:r>
      <w:r w:rsidR="000E469F">
        <w:t>also</w:t>
      </w:r>
      <w:r w:rsidR="008018C3">
        <w:t xml:space="preserve"> that energy eff</w:t>
      </w:r>
      <w:r w:rsidR="004C4325">
        <w:t>iciency programs yield savings</w:t>
      </w:r>
      <w:r w:rsidR="00415E3A">
        <w:t>.</w:t>
      </w:r>
      <w:r w:rsidR="004B6B6A">
        <w:t xml:space="preserve"> </w:t>
      </w:r>
      <w:r w:rsidR="00415E3A">
        <w:t xml:space="preserve">  </w:t>
      </w:r>
    </w:p>
    <w:p w:rsidR="004C4325" w:rsidRDefault="00415E3A" w:rsidP="00FE744A">
      <w:pPr>
        <w:spacing w:line="480" w:lineRule="auto"/>
        <w:ind w:firstLine="720"/>
      </w:pPr>
      <w:r>
        <w:t xml:space="preserve">For this reason, </w:t>
      </w:r>
      <w:r w:rsidR="006D0864">
        <w:t>OCC recommends the following</w:t>
      </w:r>
      <w:r>
        <w:t xml:space="preserve"> underlined language be added to the proposed rules</w:t>
      </w:r>
      <w:r w:rsidR="006D0864">
        <w:t>:</w:t>
      </w:r>
    </w:p>
    <w:p w:rsidR="004C4325" w:rsidRPr="002214A2" w:rsidRDefault="002214A2" w:rsidP="002214A2">
      <w:pPr>
        <w:rPr>
          <w:b/>
        </w:rPr>
      </w:pPr>
      <w:r w:rsidRPr="002214A2">
        <w:rPr>
          <w:b/>
        </w:rPr>
        <w:t>4901:1-10-35 Disclosures of Renewable Energy Resource, Energy Efficiency, and Peak Demand Reduction Compliance Costs</w:t>
      </w:r>
    </w:p>
    <w:p w:rsidR="002214A2" w:rsidRDefault="002214A2" w:rsidP="002214A2">
      <w:pPr>
        <w:autoSpaceDE w:val="0"/>
        <w:autoSpaceDN w:val="0"/>
        <w:adjustRightInd w:val="0"/>
        <w:rPr>
          <w:szCs w:val="24"/>
        </w:rPr>
      </w:pPr>
    </w:p>
    <w:p w:rsidR="002214A2" w:rsidRDefault="002214A2" w:rsidP="00B44CB9">
      <w:pPr>
        <w:autoSpaceDE w:val="0"/>
        <w:autoSpaceDN w:val="0"/>
        <w:adjustRightInd w:val="0"/>
        <w:ind w:left="1440" w:right="720" w:hanging="720"/>
        <w:rPr>
          <w:szCs w:val="24"/>
        </w:rPr>
      </w:pPr>
      <w:r>
        <w:rPr>
          <w:szCs w:val="24"/>
        </w:rPr>
        <w:t xml:space="preserve">(B) </w:t>
      </w:r>
      <w:r w:rsidR="0096598B">
        <w:rPr>
          <w:szCs w:val="24"/>
        </w:rPr>
        <w:tab/>
      </w:r>
      <w:r>
        <w:rPr>
          <w:szCs w:val="24"/>
        </w:rPr>
        <w:t>Each electric distribution utility (EDU) shall list on all customer bills sent by the EDU, including utility consolidated bills that include both EDU and competitive retail electric service provider charges, the individual customer cost of compliance with all of the following for the applicable billing period:</w:t>
      </w:r>
    </w:p>
    <w:p w:rsidR="002214A2" w:rsidRDefault="002214A2" w:rsidP="002214A2">
      <w:pPr>
        <w:autoSpaceDE w:val="0"/>
        <w:autoSpaceDN w:val="0"/>
        <w:adjustRightInd w:val="0"/>
        <w:ind w:left="720"/>
        <w:rPr>
          <w:szCs w:val="24"/>
        </w:rPr>
      </w:pPr>
    </w:p>
    <w:p w:rsidR="00821634" w:rsidRDefault="002214A2" w:rsidP="00B44CB9">
      <w:pPr>
        <w:autoSpaceDE w:val="0"/>
        <w:autoSpaceDN w:val="0"/>
        <w:adjustRightInd w:val="0"/>
        <w:ind w:left="2160" w:right="720" w:hanging="720"/>
        <w:rPr>
          <w:szCs w:val="24"/>
          <w:u w:val="single"/>
        </w:rPr>
      </w:pPr>
      <w:r w:rsidRPr="002214A2">
        <w:rPr>
          <w:szCs w:val="24"/>
          <w:u w:val="single"/>
        </w:rPr>
        <w:t xml:space="preserve">(5) </w:t>
      </w:r>
      <w:r w:rsidR="0096598B">
        <w:rPr>
          <w:szCs w:val="24"/>
          <w:u w:val="single"/>
        </w:rPr>
        <w:tab/>
      </w:r>
      <w:r w:rsidRPr="002214A2">
        <w:rPr>
          <w:szCs w:val="24"/>
          <w:u w:val="single"/>
        </w:rPr>
        <w:t>A</w:t>
      </w:r>
      <w:r w:rsidR="0071658D">
        <w:rPr>
          <w:szCs w:val="24"/>
          <w:u w:val="single"/>
        </w:rPr>
        <w:t xml:space="preserve"> </w:t>
      </w:r>
      <w:r w:rsidR="00494547">
        <w:rPr>
          <w:szCs w:val="24"/>
          <w:u w:val="single"/>
        </w:rPr>
        <w:t xml:space="preserve">bill </w:t>
      </w:r>
      <w:r w:rsidR="0071658D">
        <w:rPr>
          <w:szCs w:val="24"/>
          <w:u w:val="single"/>
        </w:rPr>
        <w:t xml:space="preserve">message </w:t>
      </w:r>
      <w:r w:rsidRPr="002214A2">
        <w:rPr>
          <w:szCs w:val="24"/>
          <w:u w:val="single"/>
        </w:rPr>
        <w:t>stating</w:t>
      </w:r>
      <w:r w:rsidR="0071658D">
        <w:rPr>
          <w:szCs w:val="24"/>
          <w:u w:val="single"/>
        </w:rPr>
        <w:t>:</w:t>
      </w:r>
      <w:r w:rsidRPr="002214A2">
        <w:rPr>
          <w:szCs w:val="24"/>
          <w:u w:val="single"/>
        </w:rPr>
        <w:t xml:space="preserve"> “Energy efficiency</w:t>
      </w:r>
      <w:r w:rsidR="0071658D">
        <w:rPr>
          <w:szCs w:val="24"/>
          <w:u w:val="single"/>
        </w:rPr>
        <w:t xml:space="preserve"> and peak demand reduction </w:t>
      </w:r>
      <w:r w:rsidRPr="002214A2">
        <w:rPr>
          <w:szCs w:val="24"/>
          <w:u w:val="single"/>
        </w:rPr>
        <w:t xml:space="preserve">programs can </w:t>
      </w:r>
      <w:r w:rsidR="00010A44">
        <w:rPr>
          <w:szCs w:val="24"/>
          <w:u w:val="single"/>
        </w:rPr>
        <w:t>also save money on your electric</w:t>
      </w:r>
      <w:r w:rsidRPr="002214A2">
        <w:rPr>
          <w:szCs w:val="24"/>
          <w:u w:val="single"/>
        </w:rPr>
        <w:t xml:space="preserve"> bill.”</w:t>
      </w:r>
    </w:p>
    <w:p w:rsidR="000E469F" w:rsidRDefault="000E469F" w:rsidP="001C337F">
      <w:pPr>
        <w:autoSpaceDE w:val="0"/>
        <w:autoSpaceDN w:val="0"/>
        <w:adjustRightInd w:val="0"/>
        <w:rPr>
          <w:szCs w:val="24"/>
          <w:u w:val="single"/>
        </w:rPr>
      </w:pPr>
    </w:p>
    <w:p w:rsidR="00DA583C" w:rsidRPr="001C337F" w:rsidRDefault="000E469F" w:rsidP="001C337F">
      <w:pPr>
        <w:autoSpaceDE w:val="0"/>
        <w:autoSpaceDN w:val="0"/>
        <w:adjustRightInd w:val="0"/>
        <w:spacing w:line="480" w:lineRule="auto"/>
        <w:rPr>
          <w:szCs w:val="24"/>
        </w:rPr>
      </w:pPr>
      <w:r w:rsidRPr="001C337F">
        <w:rPr>
          <w:szCs w:val="24"/>
        </w:rPr>
        <w:t xml:space="preserve">Such a </w:t>
      </w:r>
      <w:r w:rsidR="00DA583C" w:rsidRPr="001C337F">
        <w:rPr>
          <w:szCs w:val="24"/>
        </w:rPr>
        <w:t>change</w:t>
      </w:r>
      <w:r w:rsidRPr="001C337F">
        <w:rPr>
          <w:szCs w:val="24"/>
        </w:rPr>
        <w:t xml:space="preserve"> is consistent with </w:t>
      </w:r>
      <w:r w:rsidR="00DA583C" w:rsidRPr="001C337F">
        <w:rPr>
          <w:szCs w:val="24"/>
        </w:rPr>
        <w:t>PUCO</w:t>
      </w:r>
      <w:r w:rsidRPr="001C337F">
        <w:rPr>
          <w:szCs w:val="24"/>
        </w:rPr>
        <w:t xml:space="preserve"> precedent</w:t>
      </w:r>
      <w:r w:rsidR="00144A40">
        <w:rPr>
          <w:szCs w:val="24"/>
        </w:rPr>
        <w:t xml:space="preserve">. </w:t>
      </w:r>
      <w:r w:rsidRPr="001C337F">
        <w:rPr>
          <w:szCs w:val="24"/>
        </w:rPr>
        <w:t xml:space="preserve"> </w:t>
      </w:r>
      <w:r w:rsidR="00144A40">
        <w:rPr>
          <w:szCs w:val="24"/>
        </w:rPr>
        <w:t>A</w:t>
      </w:r>
      <w:r w:rsidR="00DA583C" w:rsidRPr="001C337F">
        <w:rPr>
          <w:szCs w:val="24"/>
        </w:rPr>
        <w:t xml:space="preserve">nd </w:t>
      </w:r>
      <w:r w:rsidR="00144A40">
        <w:rPr>
          <w:szCs w:val="24"/>
        </w:rPr>
        <w:t xml:space="preserve">it </w:t>
      </w:r>
      <w:r w:rsidR="00DA583C" w:rsidRPr="001C337F">
        <w:rPr>
          <w:szCs w:val="24"/>
        </w:rPr>
        <w:t>would improve the accuracy and understandability of customers’ electricity bills.</w:t>
      </w:r>
      <w:r w:rsidR="00112896">
        <w:rPr>
          <w:szCs w:val="24"/>
        </w:rPr>
        <w:t xml:space="preserve"> </w:t>
      </w:r>
    </w:p>
    <w:p w:rsidR="00821634" w:rsidRDefault="0096598B" w:rsidP="00B44CB9">
      <w:pPr>
        <w:pStyle w:val="Heading2"/>
        <w:ind w:left="1440" w:right="720" w:hanging="720"/>
        <w:jc w:val="left"/>
      </w:pPr>
      <w:r>
        <w:rPr>
          <w:szCs w:val="24"/>
        </w:rPr>
        <w:t>B.</w:t>
      </w:r>
      <w:r>
        <w:rPr>
          <w:szCs w:val="24"/>
        </w:rPr>
        <w:tab/>
      </w:r>
      <w:r w:rsidR="00EF780F" w:rsidRPr="009B4859">
        <w:t>Customers Should B</w:t>
      </w:r>
      <w:r w:rsidR="00821634">
        <w:t xml:space="preserve">e Informed On Their Electric Bills That </w:t>
      </w:r>
      <w:r w:rsidR="00471482">
        <w:t xml:space="preserve">The New Line Items For </w:t>
      </w:r>
      <w:r w:rsidR="00821634">
        <w:t>Energy Efficiency</w:t>
      </w:r>
      <w:r>
        <w:t>/</w:t>
      </w:r>
      <w:r w:rsidR="00821634">
        <w:t>Peak Demand Reducti</w:t>
      </w:r>
      <w:r w:rsidR="00EF780F">
        <w:t xml:space="preserve">on </w:t>
      </w:r>
      <w:r>
        <w:t>And</w:t>
      </w:r>
      <w:r w:rsidRPr="009B4859">
        <w:t xml:space="preserve"> </w:t>
      </w:r>
      <w:r w:rsidR="00EF780F">
        <w:t>Renewable Energy A</w:t>
      </w:r>
      <w:r w:rsidR="00821634">
        <w:t>re Not New Charges</w:t>
      </w:r>
      <w:r>
        <w:t>.</w:t>
      </w:r>
    </w:p>
    <w:p w:rsidR="00536CE0" w:rsidRPr="0030075E" w:rsidRDefault="00536CE0" w:rsidP="00536CE0">
      <w:pPr>
        <w:rPr>
          <w:b/>
          <w:bCs/>
          <w:szCs w:val="24"/>
        </w:rPr>
      </w:pPr>
    </w:p>
    <w:p w:rsidR="00145A4D" w:rsidRDefault="00536CE0" w:rsidP="00536CE0">
      <w:pPr>
        <w:spacing w:line="480" w:lineRule="auto"/>
        <w:ind w:firstLine="720"/>
        <w:rPr>
          <w:szCs w:val="24"/>
        </w:rPr>
      </w:pPr>
      <w:r>
        <w:rPr>
          <w:szCs w:val="24"/>
        </w:rPr>
        <w:t xml:space="preserve">The </w:t>
      </w:r>
      <w:r w:rsidR="00144A40">
        <w:rPr>
          <w:szCs w:val="24"/>
        </w:rPr>
        <w:t xml:space="preserve">information about the costs of the above programs is a new requirement for electric bills.  But the underlying </w:t>
      </w:r>
      <w:r w:rsidR="00EF780F">
        <w:rPr>
          <w:szCs w:val="24"/>
        </w:rPr>
        <w:t>charges to</w:t>
      </w:r>
      <w:r>
        <w:rPr>
          <w:szCs w:val="24"/>
        </w:rPr>
        <w:t xml:space="preserve"> customers </w:t>
      </w:r>
      <w:r w:rsidR="00144A40">
        <w:rPr>
          <w:szCs w:val="24"/>
        </w:rPr>
        <w:t>for</w:t>
      </w:r>
      <w:r>
        <w:rPr>
          <w:szCs w:val="24"/>
        </w:rPr>
        <w:t xml:space="preserve"> energy efficiency/peak demand reduction and renewable energy riders are not new.  </w:t>
      </w:r>
      <w:r w:rsidRPr="002049A1">
        <w:rPr>
          <w:szCs w:val="24"/>
        </w:rPr>
        <w:t xml:space="preserve">The legislature introduced the </w:t>
      </w:r>
      <w:r w:rsidR="005860A6">
        <w:rPr>
          <w:szCs w:val="24"/>
        </w:rPr>
        <w:t xml:space="preserve">alternative energy, </w:t>
      </w:r>
      <w:r w:rsidRPr="002049A1">
        <w:rPr>
          <w:szCs w:val="24"/>
        </w:rPr>
        <w:t>energy efficiency</w:t>
      </w:r>
      <w:r w:rsidR="00B1368B">
        <w:rPr>
          <w:szCs w:val="24"/>
        </w:rPr>
        <w:t>,</w:t>
      </w:r>
      <w:r w:rsidRPr="002049A1">
        <w:rPr>
          <w:szCs w:val="24"/>
        </w:rPr>
        <w:t xml:space="preserve"> and peak demand </w:t>
      </w:r>
      <w:r w:rsidR="00EF780F" w:rsidRPr="002049A1">
        <w:rPr>
          <w:szCs w:val="24"/>
        </w:rPr>
        <w:t xml:space="preserve">reduction </w:t>
      </w:r>
      <w:r w:rsidR="00EF780F">
        <w:rPr>
          <w:szCs w:val="24"/>
        </w:rPr>
        <w:t>requirements</w:t>
      </w:r>
      <w:r w:rsidRPr="002049A1">
        <w:rPr>
          <w:szCs w:val="24"/>
        </w:rPr>
        <w:t xml:space="preserve"> through a sweeping change to utility regulation set forth in Senate Bill 221 (“SB 221”).  As part of SB 221, which became effective on July 31, 2008, electric distribution utiliti</w:t>
      </w:r>
      <w:r>
        <w:rPr>
          <w:szCs w:val="24"/>
        </w:rPr>
        <w:t xml:space="preserve">es were required to institute energy efficiency and peak demand </w:t>
      </w:r>
      <w:r w:rsidR="00EF780F">
        <w:rPr>
          <w:szCs w:val="24"/>
        </w:rPr>
        <w:t xml:space="preserve">reduction </w:t>
      </w:r>
      <w:r w:rsidR="00EF780F" w:rsidRPr="002049A1">
        <w:rPr>
          <w:szCs w:val="24"/>
        </w:rPr>
        <w:t>programs</w:t>
      </w:r>
      <w:r w:rsidRPr="002049A1">
        <w:rPr>
          <w:szCs w:val="24"/>
        </w:rPr>
        <w:t xml:space="preserve"> in 2009.</w:t>
      </w:r>
      <w:r>
        <w:rPr>
          <w:rStyle w:val="FootnoteReference"/>
          <w:szCs w:val="24"/>
        </w:rPr>
        <w:footnoteReference w:id="19"/>
      </w:r>
      <w:r w:rsidRPr="002049A1">
        <w:rPr>
          <w:szCs w:val="24"/>
        </w:rPr>
        <w:t xml:space="preserve"> </w:t>
      </w:r>
      <w:r w:rsidR="005860A6">
        <w:rPr>
          <w:szCs w:val="24"/>
        </w:rPr>
        <w:t xml:space="preserve"> Similarly, the electric distribution utilities were to begin providing </w:t>
      </w:r>
      <w:r w:rsidR="00145A4D">
        <w:rPr>
          <w:szCs w:val="24"/>
        </w:rPr>
        <w:t>an increasing portion of electric supply from qualified renewable energy resources beginning in 2009.</w:t>
      </w:r>
      <w:r w:rsidR="00145A4D">
        <w:rPr>
          <w:rStyle w:val="FootnoteReference"/>
          <w:szCs w:val="24"/>
        </w:rPr>
        <w:footnoteReference w:id="20"/>
      </w:r>
      <w:r w:rsidR="005860A6">
        <w:rPr>
          <w:szCs w:val="24"/>
        </w:rPr>
        <w:t xml:space="preserve"> </w:t>
      </w:r>
      <w:r w:rsidRPr="002049A1">
        <w:rPr>
          <w:szCs w:val="24"/>
        </w:rPr>
        <w:t xml:space="preserve">   </w:t>
      </w:r>
    </w:p>
    <w:p w:rsidR="00536CE0" w:rsidRDefault="00B44CB9" w:rsidP="00536CE0">
      <w:pPr>
        <w:spacing w:line="480" w:lineRule="auto"/>
        <w:ind w:firstLine="720"/>
        <w:rPr>
          <w:szCs w:val="24"/>
        </w:rPr>
      </w:pPr>
      <w:r>
        <w:rPr>
          <w:szCs w:val="24"/>
        </w:rPr>
        <w:br w:type="page"/>
      </w:r>
      <w:r w:rsidR="00536CE0" w:rsidRPr="002049A1">
        <w:rPr>
          <w:szCs w:val="24"/>
        </w:rPr>
        <w:t xml:space="preserve">In accordance with </w:t>
      </w:r>
      <w:r w:rsidR="00145A4D">
        <w:rPr>
          <w:szCs w:val="24"/>
        </w:rPr>
        <w:t>the</w:t>
      </w:r>
      <w:r w:rsidR="00145A4D" w:rsidRPr="002049A1">
        <w:rPr>
          <w:szCs w:val="24"/>
        </w:rPr>
        <w:t xml:space="preserve"> </w:t>
      </w:r>
      <w:r w:rsidR="00536CE0" w:rsidRPr="002049A1">
        <w:rPr>
          <w:szCs w:val="24"/>
        </w:rPr>
        <w:t>requirement</w:t>
      </w:r>
      <w:r w:rsidR="00145A4D">
        <w:rPr>
          <w:szCs w:val="24"/>
        </w:rPr>
        <w:t>s of R.C. 4928.66</w:t>
      </w:r>
      <w:r w:rsidR="00536CE0" w:rsidRPr="002049A1">
        <w:rPr>
          <w:szCs w:val="24"/>
        </w:rPr>
        <w:t xml:space="preserve">, the four </w:t>
      </w:r>
      <w:r w:rsidR="00536CE0">
        <w:rPr>
          <w:szCs w:val="24"/>
        </w:rPr>
        <w:t xml:space="preserve">Ohio </w:t>
      </w:r>
      <w:r w:rsidR="00536CE0" w:rsidRPr="002049A1">
        <w:rPr>
          <w:szCs w:val="24"/>
        </w:rPr>
        <w:t>electric distribution utilities began charging customers</w:t>
      </w:r>
      <w:r w:rsidR="00536CE0">
        <w:rPr>
          <w:szCs w:val="24"/>
        </w:rPr>
        <w:t xml:space="preserve"> for</w:t>
      </w:r>
      <w:r w:rsidR="00145A4D">
        <w:rPr>
          <w:szCs w:val="24"/>
        </w:rPr>
        <w:t xml:space="preserve"> costs associated with energy efficiency and peak demand reduction</w:t>
      </w:r>
      <w:r w:rsidR="00536CE0">
        <w:rPr>
          <w:szCs w:val="24"/>
        </w:rPr>
        <w:t xml:space="preserve"> as early as summer 2009</w:t>
      </w:r>
      <w:r w:rsidR="00536CE0" w:rsidRPr="002049A1">
        <w:rPr>
          <w:szCs w:val="24"/>
        </w:rPr>
        <w:t xml:space="preserve">.  For instance, </w:t>
      </w:r>
      <w:r w:rsidR="00536CE0">
        <w:rPr>
          <w:szCs w:val="24"/>
        </w:rPr>
        <w:t>the Dayton Power and Light Company began collecting the Electric Distribution Service Energy Efficiency Rider to “recover the costs associated with meeting the energy efficiency and peak demand reduction targets set forth in Section 4928.66 of the Ohio Revised Code” beginning in July 2009.</w:t>
      </w:r>
      <w:r w:rsidR="00536CE0">
        <w:rPr>
          <w:rStyle w:val="FootnoteReference"/>
          <w:szCs w:val="24"/>
        </w:rPr>
        <w:footnoteReference w:id="21"/>
      </w:r>
      <w:r w:rsidR="00536CE0">
        <w:rPr>
          <w:szCs w:val="24"/>
        </w:rPr>
        <w:t xml:space="preserve">  </w:t>
      </w:r>
      <w:r w:rsidR="00536CE0" w:rsidRPr="002049A1">
        <w:rPr>
          <w:szCs w:val="24"/>
        </w:rPr>
        <w:t xml:space="preserve">AEP Ohio began charging customers for its </w:t>
      </w:r>
      <w:r w:rsidR="00536CE0">
        <w:rPr>
          <w:szCs w:val="24"/>
        </w:rPr>
        <w:t>E</w:t>
      </w:r>
      <w:r w:rsidR="00536CE0" w:rsidRPr="002049A1">
        <w:rPr>
          <w:szCs w:val="24"/>
        </w:rPr>
        <w:t xml:space="preserve">nergy </w:t>
      </w:r>
      <w:r w:rsidR="00536CE0">
        <w:rPr>
          <w:szCs w:val="24"/>
        </w:rPr>
        <w:t>E</w:t>
      </w:r>
      <w:r w:rsidR="00536CE0" w:rsidRPr="002049A1">
        <w:rPr>
          <w:szCs w:val="24"/>
        </w:rPr>
        <w:t>fficiency</w:t>
      </w:r>
      <w:r w:rsidR="00536CE0">
        <w:rPr>
          <w:szCs w:val="24"/>
        </w:rPr>
        <w:t xml:space="preserve"> and Peak D</w:t>
      </w:r>
      <w:r w:rsidR="00536CE0" w:rsidRPr="002049A1">
        <w:rPr>
          <w:szCs w:val="24"/>
        </w:rPr>
        <w:t xml:space="preserve">emand </w:t>
      </w:r>
      <w:r w:rsidR="00536CE0">
        <w:rPr>
          <w:szCs w:val="24"/>
        </w:rPr>
        <w:t>R</w:t>
      </w:r>
      <w:r w:rsidR="00536CE0" w:rsidRPr="002049A1">
        <w:rPr>
          <w:szCs w:val="24"/>
        </w:rPr>
        <w:t xml:space="preserve">eduction </w:t>
      </w:r>
      <w:r w:rsidR="00536CE0">
        <w:rPr>
          <w:szCs w:val="24"/>
        </w:rPr>
        <w:t>C</w:t>
      </w:r>
      <w:r w:rsidR="00536CE0" w:rsidRPr="002049A1">
        <w:rPr>
          <w:szCs w:val="24"/>
        </w:rPr>
        <w:t xml:space="preserve">ost </w:t>
      </w:r>
      <w:r w:rsidR="00536CE0">
        <w:rPr>
          <w:szCs w:val="24"/>
        </w:rPr>
        <w:t>R</w:t>
      </w:r>
      <w:r w:rsidR="00536CE0" w:rsidRPr="002049A1">
        <w:rPr>
          <w:szCs w:val="24"/>
        </w:rPr>
        <w:t xml:space="preserve">ecovery </w:t>
      </w:r>
      <w:r w:rsidR="00536CE0">
        <w:rPr>
          <w:szCs w:val="24"/>
        </w:rPr>
        <w:t>R</w:t>
      </w:r>
      <w:r w:rsidR="00536CE0" w:rsidRPr="002049A1">
        <w:rPr>
          <w:szCs w:val="24"/>
        </w:rPr>
        <w:t>ider starting June 1, 2010.</w:t>
      </w:r>
      <w:r w:rsidR="00536CE0">
        <w:rPr>
          <w:rStyle w:val="FootnoteReference"/>
          <w:szCs w:val="24"/>
        </w:rPr>
        <w:footnoteReference w:id="22"/>
      </w:r>
      <w:r w:rsidR="00536CE0">
        <w:rPr>
          <w:szCs w:val="24"/>
        </w:rPr>
        <w:t xml:space="preserve">  The Toledo Edison Company, Ohio Edison Company, and The Cleveland Electric Illuminating Company (collectively “FirstEnergy”) began charging customers for the Demand Side Management and Energy Efficiency Rider beginning July 1, 2011.</w:t>
      </w:r>
      <w:r w:rsidR="00536CE0">
        <w:rPr>
          <w:rStyle w:val="FootnoteReference"/>
          <w:szCs w:val="24"/>
        </w:rPr>
        <w:footnoteReference w:id="23"/>
      </w:r>
      <w:r w:rsidR="00536CE0">
        <w:rPr>
          <w:szCs w:val="24"/>
        </w:rPr>
        <w:t xml:space="preserve"> </w:t>
      </w:r>
      <w:r w:rsidR="00DA583C">
        <w:rPr>
          <w:szCs w:val="24"/>
        </w:rPr>
        <w:t xml:space="preserve"> </w:t>
      </w:r>
      <w:r w:rsidR="00536CE0">
        <w:rPr>
          <w:szCs w:val="24"/>
        </w:rPr>
        <w:t xml:space="preserve">Finally, </w:t>
      </w:r>
      <w:r w:rsidR="00536CE0" w:rsidRPr="002049A1">
        <w:rPr>
          <w:szCs w:val="24"/>
        </w:rPr>
        <w:t>Duke began charging customers for its “Save</w:t>
      </w:r>
      <w:r w:rsidR="00536CE0">
        <w:rPr>
          <w:szCs w:val="24"/>
        </w:rPr>
        <w:t>-</w:t>
      </w:r>
      <w:r w:rsidR="00536CE0" w:rsidRPr="002049A1">
        <w:rPr>
          <w:szCs w:val="24"/>
        </w:rPr>
        <w:t>A</w:t>
      </w:r>
      <w:r w:rsidR="00536CE0">
        <w:rPr>
          <w:szCs w:val="24"/>
        </w:rPr>
        <w:t>-</w:t>
      </w:r>
      <w:r w:rsidR="00536CE0" w:rsidRPr="002049A1">
        <w:rPr>
          <w:szCs w:val="24"/>
        </w:rPr>
        <w:t>Wa</w:t>
      </w:r>
      <w:r w:rsidR="00536CE0">
        <w:rPr>
          <w:szCs w:val="24"/>
        </w:rPr>
        <w:t xml:space="preserve">tt” program starting January </w:t>
      </w:r>
      <w:r w:rsidR="00536CE0" w:rsidRPr="002049A1">
        <w:rPr>
          <w:szCs w:val="24"/>
        </w:rPr>
        <w:t>2009,</w:t>
      </w:r>
      <w:r w:rsidR="00536CE0">
        <w:rPr>
          <w:rStyle w:val="FootnoteReference"/>
          <w:szCs w:val="24"/>
        </w:rPr>
        <w:footnoteReference w:id="24"/>
      </w:r>
      <w:r w:rsidR="00536CE0" w:rsidRPr="002049A1">
        <w:rPr>
          <w:szCs w:val="24"/>
        </w:rPr>
        <w:t xml:space="preserve"> which was later supplanted by its </w:t>
      </w:r>
      <w:r w:rsidR="00536CE0">
        <w:rPr>
          <w:szCs w:val="24"/>
        </w:rPr>
        <w:t>E</w:t>
      </w:r>
      <w:r w:rsidR="00536CE0" w:rsidRPr="002049A1">
        <w:rPr>
          <w:szCs w:val="24"/>
        </w:rPr>
        <w:t xml:space="preserve">nergy </w:t>
      </w:r>
      <w:r w:rsidR="00536CE0">
        <w:rPr>
          <w:szCs w:val="24"/>
        </w:rPr>
        <w:t>E</w:t>
      </w:r>
      <w:r w:rsidR="00536CE0" w:rsidRPr="002049A1">
        <w:rPr>
          <w:szCs w:val="24"/>
        </w:rPr>
        <w:t>fficiency</w:t>
      </w:r>
      <w:r w:rsidR="00536CE0">
        <w:rPr>
          <w:szCs w:val="24"/>
        </w:rPr>
        <w:t xml:space="preserve"> and Peak-Demand Reduction R</w:t>
      </w:r>
      <w:r w:rsidR="00536CE0" w:rsidRPr="002049A1">
        <w:rPr>
          <w:szCs w:val="24"/>
        </w:rPr>
        <w:t>ider that was charged to cus</w:t>
      </w:r>
      <w:r w:rsidR="00536CE0">
        <w:rPr>
          <w:szCs w:val="24"/>
        </w:rPr>
        <w:t>tomers starting September 2012.</w:t>
      </w:r>
      <w:r w:rsidR="00536CE0">
        <w:rPr>
          <w:rStyle w:val="FootnoteReference"/>
          <w:szCs w:val="24"/>
        </w:rPr>
        <w:footnoteReference w:id="25"/>
      </w:r>
      <w:r w:rsidR="00536CE0" w:rsidRPr="002049A1">
        <w:rPr>
          <w:szCs w:val="24"/>
        </w:rPr>
        <w:t xml:space="preserve"> </w:t>
      </w:r>
    </w:p>
    <w:p w:rsidR="00536CE0" w:rsidRPr="002049A1" w:rsidRDefault="00536CE0" w:rsidP="00536CE0">
      <w:pPr>
        <w:spacing w:line="480" w:lineRule="auto"/>
        <w:ind w:firstLine="720"/>
        <w:rPr>
          <w:szCs w:val="24"/>
        </w:rPr>
      </w:pPr>
      <w:r w:rsidRPr="002049A1">
        <w:rPr>
          <w:szCs w:val="24"/>
        </w:rPr>
        <w:t>To begin listing the costs associated with</w:t>
      </w:r>
      <w:r>
        <w:rPr>
          <w:szCs w:val="24"/>
        </w:rPr>
        <w:t xml:space="preserve"> </w:t>
      </w:r>
      <w:r w:rsidR="00CD72C9">
        <w:rPr>
          <w:szCs w:val="24"/>
        </w:rPr>
        <w:t xml:space="preserve">alternative energy, </w:t>
      </w:r>
      <w:r>
        <w:rPr>
          <w:szCs w:val="24"/>
        </w:rPr>
        <w:t>energy efficiency</w:t>
      </w:r>
      <w:r w:rsidR="00CD72C9">
        <w:rPr>
          <w:szCs w:val="24"/>
        </w:rPr>
        <w:t>,</w:t>
      </w:r>
      <w:r w:rsidRPr="002049A1">
        <w:rPr>
          <w:szCs w:val="24"/>
        </w:rPr>
        <w:t xml:space="preserve"> and </w:t>
      </w:r>
      <w:r>
        <w:rPr>
          <w:szCs w:val="24"/>
        </w:rPr>
        <w:t xml:space="preserve">peak demand reduction </w:t>
      </w:r>
      <w:r w:rsidRPr="002049A1">
        <w:rPr>
          <w:szCs w:val="24"/>
        </w:rPr>
        <w:t>on customers’ bills</w:t>
      </w:r>
      <w:r>
        <w:rPr>
          <w:szCs w:val="24"/>
        </w:rPr>
        <w:t xml:space="preserve"> in 2015</w:t>
      </w:r>
      <w:r w:rsidRPr="002049A1">
        <w:rPr>
          <w:szCs w:val="24"/>
        </w:rPr>
        <w:t xml:space="preserve"> with</w:t>
      </w:r>
      <w:r w:rsidR="00CD72C9">
        <w:rPr>
          <w:szCs w:val="24"/>
        </w:rPr>
        <w:t>out</w:t>
      </w:r>
      <w:r w:rsidRPr="002049A1">
        <w:rPr>
          <w:szCs w:val="24"/>
        </w:rPr>
        <w:t xml:space="preserve"> </w:t>
      </w:r>
      <w:r w:rsidR="00CD72C9">
        <w:rPr>
          <w:szCs w:val="24"/>
        </w:rPr>
        <w:t xml:space="preserve">any further </w:t>
      </w:r>
      <w:r w:rsidRPr="002049A1">
        <w:rPr>
          <w:szCs w:val="24"/>
        </w:rPr>
        <w:t xml:space="preserve">explanation could </w:t>
      </w:r>
      <w:r w:rsidR="00965754">
        <w:rPr>
          <w:szCs w:val="24"/>
        </w:rPr>
        <w:t>confuse</w:t>
      </w:r>
      <w:r w:rsidR="00965754" w:rsidRPr="002049A1">
        <w:rPr>
          <w:szCs w:val="24"/>
        </w:rPr>
        <w:t xml:space="preserve"> </w:t>
      </w:r>
      <w:r w:rsidRPr="002049A1">
        <w:rPr>
          <w:szCs w:val="24"/>
        </w:rPr>
        <w:t>customers into believing that these are new charges.</w:t>
      </w:r>
      <w:r w:rsidR="00965754">
        <w:rPr>
          <w:szCs w:val="24"/>
        </w:rPr>
        <w:t xml:space="preserve">  That confusion should be avoided.</w:t>
      </w:r>
      <w:r w:rsidRPr="002049A1">
        <w:rPr>
          <w:szCs w:val="24"/>
        </w:rPr>
        <w:t xml:space="preserve">  </w:t>
      </w:r>
      <w:r w:rsidR="00965754">
        <w:rPr>
          <w:szCs w:val="24"/>
        </w:rPr>
        <w:t>T</w:t>
      </w:r>
      <w:r w:rsidRPr="002049A1">
        <w:rPr>
          <w:szCs w:val="24"/>
        </w:rPr>
        <w:t>here is a strong interest in ensuring that customers are afforded adequate, accurate, and understandable bills</w:t>
      </w:r>
      <w:r w:rsidR="00965754">
        <w:rPr>
          <w:szCs w:val="24"/>
        </w:rPr>
        <w:t>.</w:t>
      </w:r>
      <w:r w:rsidRPr="002049A1">
        <w:rPr>
          <w:rStyle w:val="FootnoteReference"/>
          <w:szCs w:val="24"/>
        </w:rPr>
        <w:footnoteReference w:id="26"/>
      </w:r>
      <w:r w:rsidRPr="002049A1">
        <w:rPr>
          <w:szCs w:val="24"/>
        </w:rPr>
        <w:t xml:space="preserve"> </w:t>
      </w:r>
      <w:r w:rsidR="00965754">
        <w:rPr>
          <w:szCs w:val="24"/>
        </w:rPr>
        <w:t xml:space="preserve"> </w:t>
      </w:r>
      <w:r w:rsidR="001B00DE">
        <w:rPr>
          <w:szCs w:val="24"/>
        </w:rPr>
        <w:t>C</w:t>
      </w:r>
      <w:r w:rsidRPr="002049A1">
        <w:rPr>
          <w:szCs w:val="24"/>
        </w:rPr>
        <w:t xml:space="preserve">ustomers </w:t>
      </w:r>
      <w:r w:rsidR="001B00DE">
        <w:rPr>
          <w:szCs w:val="24"/>
        </w:rPr>
        <w:t>should simply be</w:t>
      </w:r>
      <w:r>
        <w:rPr>
          <w:szCs w:val="24"/>
        </w:rPr>
        <w:t xml:space="preserve"> </w:t>
      </w:r>
      <w:r w:rsidRPr="002049A1">
        <w:rPr>
          <w:szCs w:val="24"/>
        </w:rPr>
        <w:t xml:space="preserve">informed that the charges </w:t>
      </w:r>
      <w:r w:rsidR="001B00DE">
        <w:rPr>
          <w:szCs w:val="24"/>
        </w:rPr>
        <w:t>to be newly listed are not new charges.</w:t>
      </w:r>
      <w:r w:rsidR="00471482">
        <w:rPr>
          <w:szCs w:val="24"/>
        </w:rPr>
        <w:t xml:space="preserve"> </w:t>
      </w:r>
      <w:r w:rsidR="00925313">
        <w:rPr>
          <w:szCs w:val="24"/>
        </w:rPr>
        <w:t xml:space="preserve"> </w:t>
      </w:r>
      <w:r w:rsidR="00471482">
        <w:rPr>
          <w:szCs w:val="24"/>
        </w:rPr>
        <w:t>That advisory should be presented to consumers for three consecutive electric bills.</w:t>
      </w:r>
      <w:r w:rsidR="001B00DE">
        <w:rPr>
          <w:szCs w:val="24"/>
        </w:rPr>
        <w:t xml:space="preserve"> </w:t>
      </w:r>
      <w:r w:rsidR="00925313">
        <w:rPr>
          <w:szCs w:val="24"/>
        </w:rPr>
        <w:t xml:space="preserve"> </w:t>
      </w:r>
      <w:r w:rsidRPr="002049A1">
        <w:rPr>
          <w:szCs w:val="24"/>
        </w:rPr>
        <w:t>Therefore, OCC recommends the following:</w:t>
      </w:r>
    </w:p>
    <w:p w:rsidR="00536CE0" w:rsidRPr="002214A2" w:rsidRDefault="00536CE0" w:rsidP="00536CE0">
      <w:pPr>
        <w:rPr>
          <w:b/>
        </w:rPr>
      </w:pPr>
      <w:r w:rsidRPr="002214A2">
        <w:rPr>
          <w:b/>
        </w:rPr>
        <w:t>4901:1-10-35 Disclosures of Renewable Energy Resource, Energy Efficiency, and Peak Demand Reduction Compliance Costs</w:t>
      </w:r>
    </w:p>
    <w:p w:rsidR="00536CE0" w:rsidRDefault="00536CE0" w:rsidP="00536CE0">
      <w:pPr>
        <w:autoSpaceDE w:val="0"/>
        <w:autoSpaceDN w:val="0"/>
        <w:adjustRightInd w:val="0"/>
        <w:rPr>
          <w:szCs w:val="24"/>
        </w:rPr>
      </w:pPr>
    </w:p>
    <w:p w:rsidR="00536CE0" w:rsidRDefault="00536CE0" w:rsidP="00B44CB9">
      <w:pPr>
        <w:autoSpaceDE w:val="0"/>
        <w:autoSpaceDN w:val="0"/>
        <w:adjustRightInd w:val="0"/>
        <w:ind w:left="1440" w:right="720" w:hanging="720"/>
        <w:rPr>
          <w:szCs w:val="24"/>
        </w:rPr>
      </w:pPr>
      <w:r>
        <w:rPr>
          <w:szCs w:val="24"/>
        </w:rPr>
        <w:t xml:space="preserve">(B) </w:t>
      </w:r>
      <w:r w:rsidR="0096598B">
        <w:rPr>
          <w:szCs w:val="24"/>
        </w:rPr>
        <w:tab/>
      </w:r>
      <w:r>
        <w:rPr>
          <w:szCs w:val="24"/>
        </w:rPr>
        <w:t>Each electric distribution utility (EDU) shall list on all customer bills sent by the EDU, including utility consolidated bills that include both EDU and competitive retail electric service provider charges, the individual customer cost of compliance with all of the following for the applicable billing period:</w:t>
      </w:r>
    </w:p>
    <w:p w:rsidR="00536CE0" w:rsidRDefault="00536CE0" w:rsidP="00536CE0">
      <w:pPr>
        <w:autoSpaceDE w:val="0"/>
        <w:autoSpaceDN w:val="0"/>
        <w:adjustRightInd w:val="0"/>
        <w:ind w:left="720"/>
        <w:rPr>
          <w:szCs w:val="24"/>
        </w:rPr>
      </w:pPr>
    </w:p>
    <w:p w:rsidR="00536CE0" w:rsidRDefault="00536CE0" w:rsidP="00B44CB9">
      <w:pPr>
        <w:autoSpaceDE w:val="0"/>
        <w:autoSpaceDN w:val="0"/>
        <w:adjustRightInd w:val="0"/>
        <w:ind w:left="2160" w:right="720" w:hanging="720"/>
        <w:rPr>
          <w:szCs w:val="24"/>
          <w:u w:val="single"/>
        </w:rPr>
      </w:pPr>
      <w:r>
        <w:rPr>
          <w:szCs w:val="24"/>
          <w:u w:val="single"/>
        </w:rPr>
        <w:t>(6</w:t>
      </w:r>
      <w:r w:rsidRPr="002214A2">
        <w:rPr>
          <w:szCs w:val="24"/>
          <w:u w:val="single"/>
        </w:rPr>
        <w:t xml:space="preserve">) </w:t>
      </w:r>
      <w:r w:rsidR="0096598B">
        <w:rPr>
          <w:szCs w:val="24"/>
          <w:u w:val="single"/>
        </w:rPr>
        <w:tab/>
      </w:r>
      <w:r w:rsidRPr="002214A2">
        <w:rPr>
          <w:szCs w:val="24"/>
          <w:u w:val="single"/>
        </w:rPr>
        <w:t>A line item</w:t>
      </w:r>
      <w:r w:rsidR="00471482">
        <w:rPr>
          <w:szCs w:val="24"/>
          <w:u w:val="single"/>
        </w:rPr>
        <w:t xml:space="preserve"> to be included on three consecutive electric bills beginning with the change in the bill format for complying with the law,</w:t>
      </w:r>
      <w:r w:rsidRPr="002214A2">
        <w:rPr>
          <w:szCs w:val="24"/>
          <w:u w:val="single"/>
        </w:rPr>
        <w:t xml:space="preserve"> stating “</w:t>
      </w:r>
      <w:r w:rsidR="00AB01E0">
        <w:rPr>
          <w:szCs w:val="24"/>
          <w:u w:val="single"/>
        </w:rPr>
        <w:t>New information on your bill</w:t>
      </w:r>
      <w:r w:rsidR="001B00DE">
        <w:rPr>
          <w:szCs w:val="24"/>
          <w:u w:val="single"/>
        </w:rPr>
        <w:t xml:space="preserve"> shows</w:t>
      </w:r>
      <w:r w:rsidR="00AB01E0">
        <w:rPr>
          <w:szCs w:val="24"/>
          <w:u w:val="single"/>
        </w:rPr>
        <w:t xml:space="preserve"> </w:t>
      </w:r>
      <w:r w:rsidR="001B00DE">
        <w:rPr>
          <w:szCs w:val="24"/>
          <w:u w:val="single"/>
        </w:rPr>
        <w:t xml:space="preserve"> specific charges for the costs of e</w:t>
      </w:r>
      <w:r>
        <w:rPr>
          <w:szCs w:val="24"/>
          <w:u w:val="single"/>
        </w:rPr>
        <w:t>nergy efficiency, peak demand reduction</w:t>
      </w:r>
      <w:r w:rsidR="00B1368B">
        <w:rPr>
          <w:szCs w:val="24"/>
          <w:u w:val="single"/>
        </w:rPr>
        <w:t>,</w:t>
      </w:r>
      <w:r>
        <w:rPr>
          <w:szCs w:val="24"/>
          <w:u w:val="single"/>
        </w:rPr>
        <w:t xml:space="preserve"> and renewable energy</w:t>
      </w:r>
      <w:r w:rsidR="001B00DE">
        <w:rPr>
          <w:szCs w:val="24"/>
          <w:u w:val="single"/>
        </w:rPr>
        <w:t xml:space="preserve">.  These types of charges are not new and previously were consolidated with other charges on </w:t>
      </w:r>
      <w:r>
        <w:rPr>
          <w:szCs w:val="24"/>
          <w:u w:val="single"/>
        </w:rPr>
        <w:t>your</w:t>
      </w:r>
      <w:r w:rsidRPr="002214A2">
        <w:rPr>
          <w:szCs w:val="24"/>
          <w:u w:val="single"/>
        </w:rPr>
        <w:t xml:space="preserve"> bill.”</w:t>
      </w:r>
    </w:p>
    <w:p w:rsidR="00DA583C" w:rsidRDefault="00DA583C" w:rsidP="00536CE0">
      <w:pPr>
        <w:autoSpaceDE w:val="0"/>
        <w:autoSpaceDN w:val="0"/>
        <w:adjustRightInd w:val="0"/>
        <w:ind w:left="720"/>
        <w:rPr>
          <w:szCs w:val="24"/>
          <w:u w:val="single"/>
        </w:rPr>
      </w:pPr>
    </w:p>
    <w:p w:rsidR="00DA583C" w:rsidRPr="001C337F" w:rsidRDefault="00DA583C" w:rsidP="00DA583C">
      <w:pPr>
        <w:autoSpaceDE w:val="0"/>
        <w:autoSpaceDN w:val="0"/>
        <w:adjustRightInd w:val="0"/>
        <w:spacing w:line="480" w:lineRule="auto"/>
        <w:rPr>
          <w:szCs w:val="24"/>
        </w:rPr>
      </w:pPr>
      <w:r w:rsidRPr="001C337F">
        <w:rPr>
          <w:szCs w:val="24"/>
        </w:rPr>
        <w:t xml:space="preserve">Again, such a change is consistent with PUCO precedent and would </w:t>
      </w:r>
      <w:r w:rsidR="00D01841">
        <w:rPr>
          <w:szCs w:val="24"/>
        </w:rPr>
        <w:t>further</w:t>
      </w:r>
      <w:r w:rsidR="00AB6CB6" w:rsidRPr="001C337F">
        <w:rPr>
          <w:szCs w:val="24"/>
        </w:rPr>
        <w:t xml:space="preserve"> </w:t>
      </w:r>
      <w:r w:rsidRPr="001C337F">
        <w:rPr>
          <w:szCs w:val="24"/>
        </w:rPr>
        <w:t>the accuracy and understandability of customers’ electricity bills.</w:t>
      </w:r>
    </w:p>
    <w:p w:rsidR="0007008C" w:rsidRDefault="003D5204" w:rsidP="0007008C">
      <w:pPr>
        <w:numPr>
          <w:ilvl w:val="0"/>
          <w:numId w:val="7"/>
        </w:numPr>
        <w:suppressAutoHyphens/>
        <w:spacing w:before="240" w:line="480" w:lineRule="auto"/>
        <w:rPr>
          <w:b/>
        </w:rPr>
      </w:pPr>
      <w:r>
        <w:rPr>
          <w:b/>
        </w:rPr>
        <w:t>CONCLUSION</w:t>
      </w:r>
    </w:p>
    <w:p w:rsidR="00EF780F" w:rsidRPr="0007008C" w:rsidRDefault="00EF780F" w:rsidP="0007008C">
      <w:pPr>
        <w:suppressAutoHyphens/>
        <w:spacing w:line="480" w:lineRule="auto"/>
        <w:ind w:firstLine="720"/>
      </w:pPr>
      <w:r w:rsidRPr="0007008C">
        <w:t>Under Substitute</w:t>
      </w:r>
      <w:r w:rsidR="0007008C" w:rsidRPr="0007008C">
        <w:t xml:space="preserve"> </w:t>
      </w:r>
      <w:r w:rsidR="004B10C6">
        <w:t>Senate Bill 310, the “costs”</w:t>
      </w:r>
      <w:r w:rsidRPr="0007008C">
        <w:t xml:space="preserve"> of renewable energy, energy efficiency, and peak</w:t>
      </w:r>
      <w:r w:rsidR="0007008C" w:rsidRPr="0007008C">
        <w:t xml:space="preserve"> </w:t>
      </w:r>
      <w:r w:rsidRPr="0007008C">
        <w:t>demand resource programs are to be listed on each customer’s monthly bill as a distinct line</w:t>
      </w:r>
      <w:r w:rsidR="0007008C">
        <w:t xml:space="preserve"> </w:t>
      </w:r>
      <w:r w:rsidRPr="0007008C">
        <w:t>item.</w:t>
      </w:r>
      <w:r w:rsidR="0007008C">
        <w:t xml:space="preserve">  </w:t>
      </w:r>
      <w:r w:rsidR="002A679E">
        <w:t xml:space="preserve">In </w:t>
      </w:r>
      <w:r w:rsidR="00896187">
        <w:t xml:space="preserve">avoiding </w:t>
      </w:r>
      <w:r w:rsidR="00244532">
        <w:t xml:space="preserve">customer </w:t>
      </w:r>
      <w:r w:rsidR="00896187">
        <w:t>confusion</w:t>
      </w:r>
      <w:r w:rsidR="002A679E">
        <w:t xml:space="preserve">, the PUCO </w:t>
      </w:r>
      <w:r w:rsidR="00896187">
        <w:t xml:space="preserve">traditionally </w:t>
      </w:r>
      <w:r w:rsidR="00244532">
        <w:t>expects</w:t>
      </w:r>
      <w:r w:rsidRPr="0007008C">
        <w:t xml:space="preserve"> changes to consumers’ electric utility bills </w:t>
      </w:r>
      <w:r w:rsidR="00244532">
        <w:t>to</w:t>
      </w:r>
      <w:r w:rsidR="00244532" w:rsidRPr="0007008C">
        <w:t xml:space="preserve"> </w:t>
      </w:r>
      <w:r w:rsidRPr="0007008C">
        <w:t>be clear,</w:t>
      </w:r>
      <w:r w:rsidR="0007008C" w:rsidRPr="0007008C">
        <w:t xml:space="preserve"> </w:t>
      </w:r>
      <w:r w:rsidRPr="0007008C">
        <w:t>accurate, and understandable.</w:t>
      </w:r>
      <w:r w:rsidR="0007008C">
        <w:t xml:space="preserve">  For these reasons, OCC recommends that consumers be informed that energy efficiency and peak demand reduction programs can yield savings</w:t>
      </w:r>
      <w:r w:rsidR="00A96844">
        <w:t xml:space="preserve">. </w:t>
      </w:r>
      <w:r w:rsidR="0007008C">
        <w:t xml:space="preserve"> </w:t>
      </w:r>
      <w:r w:rsidR="00A96844">
        <w:t>A</w:t>
      </w:r>
      <w:r w:rsidR="0007008C">
        <w:t>nd</w:t>
      </w:r>
      <w:r w:rsidR="00A96844">
        <w:t xml:space="preserve"> </w:t>
      </w:r>
      <w:r w:rsidR="00896187">
        <w:t xml:space="preserve">consumers </w:t>
      </w:r>
      <w:r w:rsidR="00A96844">
        <w:t>should be informed</w:t>
      </w:r>
      <w:r w:rsidR="0007008C">
        <w:t xml:space="preserve"> that the charges associated with the </w:t>
      </w:r>
      <w:r w:rsidR="00896187">
        <w:t xml:space="preserve">riders for </w:t>
      </w:r>
      <w:r w:rsidR="0007008C">
        <w:t>energy efficiency</w:t>
      </w:r>
      <w:r w:rsidR="00896187">
        <w:t>/</w:t>
      </w:r>
      <w:r w:rsidR="0007008C">
        <w:t>peak demand reduction and renewable energy are not new charges.</w:t>
      </w:r>
    </w:p>
    <w:p w:rsidR="002242E0" w:rsidRDefault="002242E0" w:rsidP="002242E0">
      <w:pPr>
        <w:pStyle w:val="BodyTextIndent3"/>
        <w:widowControl w:val="0"/>
        <w:ind w:left="3600" w:right="-672"/>
        <w:rPr>
          <w:szCs w:val="24"/>
        </w:rPr>
      </w:pPr>
      <w:r>
        <w:rPr>
          <w:szCs w:val="24"/>
        </w:rPr>
        <w:t>Respectfully submitted,</w:t>
      </w:r>
    </w:p>
    <w:p w:rsidR="002242E0" w:rsidRDefault="002242E0" w:rsidP="002242E0">
      <w:pPr>
        <w:pStyle w:val="Footer"/>
        <w:tabs>
          <w:tab w:val="clear" w:pos="8640"/>
          <w:tab w:val="left" w:pos="4320"/>
        </w:tabs>
        <w:spacing w:before="240"/>
        <w:rPr>
          <w:sz w:val="24"/>
          <w:szCs w:val="24"/>
        </w:rPr>
      </w:pPr>
      <w:r>
        <w:rPr>
          <w:sz w:val="24"/>
          <w:szCs w:val="24"/>
        </w:rPr>
        <w:tab/>
        <w:t>BRUCE J. WESTON</w:t>
      </w:r>
    </w:p>
    <w:p w:rsidR="002242E0" w:rsidRDefault="002242E0" w:rsidP="002242E0">
      <w:pPr>
        <w:tabs>
          <w:tab w:val="left" w:pos="4320"/>
        </w:tabs>
        <w:rPr>
          <w:szCs w:val="24"/>
        </w:rPr>
      </w:pPr>
      <w:r>
        <w:rPr>
          <w:szCs w:val="24"/>
        </w:rPr>
        <w:tab/>
        <w:t>OHIO CONSUMERS’ COUNSEL</w:t>
      </w:r>
    </w:p>
    <w:p w:rsidR="002242E0" w:rsidRDefault="002242E0" w:rsidP="002242E0">
      <w:pPr>
        <w:tabs>
          <w:tab w:val="left" w:pos="4320"/>
        </w:tabs>
        <w:rPr>
          <w:szCs w:val="24"/>
        </w:rPr>
      </w:pPr>
      <w:r>
        <w:rPr>
          <w:szCs w:val="24"/>
        </w:rPr>
        <w:tab/>
      </w:r>
    </w:p>
    <w:p w:rsidR="002242E0" w:rsidRDefault="002242E0" w:rsidP="002242E0">
      <w:pPr>
        <w:tabs>
          <w:tab w:val="left" w:pos="4320"/>
        </w:tabs>
        <w:rPr>
          <w:szCs w:val="24"/>
        </w:rPr>
      </w:pPr>
      <w:r>
        <w:rPr>
          <w:szCs w:val="24"/>
        </w:rPr>
        <w:tab/>
      </w:r>
      <w:r>
        <w:rPr>
          <w:i/>
          <w:szCs w:val="24"/>
          <w:u w:val="single"/>
        </w:rPr>
        <w:t>/s/ Kyle L. Kern</w:t>
      </w:r>
      <w:r>
        <w:rPr>
          <w:szCs w:val="24"/>
        </w:rPr>
        <w:t>_________________</w:t>
      </w:r>
    </w:p>
    <w:p w:rsidR="002242E0" w:rsidRDefault="002242E0" w:rsidP="002242E0">
      <w:pPr>
        <w:tabs>
          <w:tab w:val="left" w:pos="4320"/>
        </w:tabs>
        <w:rPr>
          <w:szCs w:val="24"/>
        </w:rPr>
      </w:pPr>
      <w:r>
        <w:rPr>
          <w:szCs w:val="24"/>
        </w:rPr>
        <w:tab/>
        <w:t>Kyle L. Kern, Counsel of Record</w:t>
      </w:r>
    </w:p>
    <w:p w:rsidR="009A27EB" w:rsidRDefault="009A27EB" w:rsidP="002242E0">
      <w:pPr>
        <w:tabs>
          <w:tab w:val="left" w:pos="4320"/>
        </w:tabs>
        <w:rPr>
          <w:szCs w:val="24"/>
        </w:rPr>
      </w:pPr>
      <w:r>
        <w:rPr>
          <w:szCs w:val="24"/>
        </w:rPr>
        <w:tab/>
        <w:t>(0084199)</w:t>
      </w:r>
    </w:p>
    <w:p w:rsidR="002242E0" w:rsidRDefault="002242E0" w:rsidP="002242E0">
      <w:pPr>
        <w:tabs>
          <w:tab w:val="left" w:pos="4320"/>
        </w:tabs>
        <w:rPr>
          <w:szCs w:val="24"/>
        </w:rPr>
      </w:pPr>
      <w:r>
        <w:rPr>
          <w:szCs w:val="24"/>
        </w:rPr>
        <w:tab/>
        <w:t>Michael J. Schuler</w:t>
      </w:r>
      <w:r w:rsidR="009A27EB">
        <w:rPr>
          <w:szCs w:val="24"/>
        </w:rPr>
        <w:t xml:space="preserve"> (0082390)</w:t>
      </w:r>
    </w:p>
    <w:p w:rsidR="002242E0" w:rsidRDefault="002242E0" w:rsidP="002242E0">
      <w:pPr>
        <w:tabs>
          <w:tab w:val="left" w:pos="4320"/>
        </w:tabs>
        <w:rPr>
          <w:szCs w:val="24"/>
        </w:rPr>
      </w:pPr>
      <w:r>
        <w:rPr>
          <w:szCs w:val="24"/>
        </w:rPr>
        <w:tab/>
        <w:t>Assistant Consumers’ Counsel</w:t>
      </w:r>
    </w:p>
    <w:p w:rsidR="002242E0" w:rsidRDefault="002242E0" w:rsidP="009B4859">
      <w:pPr>
        <w:pStyle w:val="Heading1"/>
        <w:spacing w:after="0"/>
        <w:ind w:left="3240" w:right="-648" w:firstLine="720"/>
        <w:rPr>
          <w:u w:val="none"/>
        </w:rPr>
      </w:pPr>
      <w:r>
        <w:rPr>
          <w:u w:val="none"/>
        </w:rPr>
        <w:tab/>
      </w:r>
    </w:p>
    <w:p w:rsidR="002242E0" w:rsidRDefault="002242E0" w:rsidP="0074449E">
      <w:pPr>
        <w:pStyle w:val="Heading1"/>
        <w:spacing w:after="0"/>
        <w:ind w:left="3240" w:right="-648" w:firstLine="720"/>
        <w:rPr>
          <w:u w:val="none"/>
        </w:rPr>
      </w:pPr>
      <w:r>
        <w:rPr>
          <w:u w:val="none"/>
        </w:rPr>
        <w:tab/>
        <w:t>Office of the Ohio Consumers’ Counsel</w:t>
      </w:r>
    </w:p>
    <w:p w:rsidR="002242E0" w:rsidRDefault="002242E0" w:rsidP="00DE4C02">
      <w:pPr>
        <w:pStyle w:val="Heading1"/>
        <w:spacing w:after="0"/>
        <w:ind w:left="3240" w:right="-648" w:firstLine="720"/>
        <w:rPr>
          <w:b w:val="0"/>
          <w:u w:val="none"/>
        </w:rPr>
      </w:pPr>
      <w:r>
        <w:rPr>
          <w:b w:val="0"/>
          <w:u w:val="none"/>
        </w:rPr>
        <w:tab/>
        <w:t>10 West Broad Street, Suite 1800</w:t>
      </w:r>
    </w:p>
    <w:p w:rsidR="002242E0" w:rsidRDefault="002242E0" w:rsidP="00B44CB9">
      <w:pPr>
        <w:pStyle w:val="Heading1"/>
        <w:spacing w:after="0"/>
        <w:ind w:left="3240" w:right="-648" w:firstLine="720"/>
        <w:rPr>
          <w:b w:val="0"/>
          <w:u w:val="none"/>
        </w:rPr>
      </w:pPr>
      <w:r>
        <w:rPr>
          <w:b w:val="0"/>
          <w:u w:val="none"/>
        </w:rPr>
        <w:tab/>
        <w:t>Columbus, Ohio 43215-3485</w:t>
      </w:r>
    </w:p>
    <w:p w:rsidR="002242E0" w:rsidRDefault="002242E0" w:rsidP="0096598B">
      <w:pPr>
        <w:autoSpaceDE w:val="0"/>
        <w:autoSpaceDN w:val="0"/>
        <w:adjustRightInd w:val="0"/>
        <w:ind w:left="3600" w:firstLine="720"/>
        <w:rPr>
          <w:szCs w:val="24"/>
        </w:rPr>
      </w:pPr>
      <w:r>
        <w:rPr>
          <w:szCs w:val="24"/>
        </w:rPr>
        <w:t>Telephone:  Kern Direct – 614-466-9585</w:t>
      </w:r>
    </w:p>
    <w:p w:rsidR="002242E0" w:rsidRDefault="002242E0" w:rsidP="0096598B">
      <w:pPr>
        <w:autoSpaceDE w:val="0"/>
        <w:autoSpaceDN w:val="0"/>
        <w:adjustRightInd w:val="0"/>
        <w:ind w:left="3600" w:firstLine="720"/>
        <w:rPr>
          <w:szCs w:val="24"/>
        </w:rPr>
      </w:pPr>
      <w:r>
        <w:rPr>
          <w:szCs w:val="24"/>
        </w:rPr>
        <w:t>Telephone:  Schuler Direct – 614-466-9547</w:t>
      </w:r>
    </w:p>
    <w:p w:rsidR="002242E0" w:rsidRDefault="00BE30D0" w:rsidP="0096598B">
      <w:pPr>
        <w:autoSpaceDE w:val="0"/>
        <w:autoSpaceDN w:val="0"/>
        <w:adjustRightInd w:val="0"/>
        <w:ind w:left="3600" w:firstLine="720"/>
        <w:rPr>
          <w:szCs w:val="24"/>
        </w:rPr>
      </w:pPr>
      <w:hyperlink r:id="rId8" w:history="1">
        <w:r w:rsidR="002242E0" w:rsidRPr="00E35FD1">
          <w:rPr>
            <w:rStyle w:val="Hyperlink"/>
            <w:szCs w:val="24"/>
          </w:rPr>
          <w:t>Kyle.kern@occ.ohio.gov</w:t>
        </w:r>
      </w:hyperlink>
    </w:p>
    <w:p w:rsidR="002242E0" w:rsidRDefault="00BE30D0" w:rsidP="0096598B">
      <w:pPr>
        <w:autoSpaceDE w:val="0"/>
        <w:autoSpaceDN w:val="0"/>
        <w:adjustRightInd w:val="0"/>
        <w:ind w:left="3600" w:firstLine="720"/>
        <w:rPr>
          <w:szCs w:val="24"/>
        </w:rPr>
      </w:pPr>
      <w:hyperlink r:id="rId9" w:history="1">
        <w:r w:rsidR="002242E0" w:rsidRPr="00E35FD1">
          <w:rPr>
            <w:rStyle w:val="Hyperlink"/>
            <w:szCs w:val="24"/>
          </w:rPr>
          <w:t>Michael.schuler@occ.ohio.gov</w:t>
        </w:r>
      </w:hyperlink>
    </w:p>
    <w:p w:rsidR="001E7B5A" w:rsidRDefault="001E7B5A" w:rsidP="00E37EE1">
      <w:pPr>
        <w:ind w:left="4320"/>
        <w:rPr>
          <w:szCs w:val="24"/>
        </w:rPr>
      </w:pPr>
    </w:p>
    <w:p w:rsidR="00AC113F" w:rsidRDefault="00AC113F" w:rsidP="00E37EE1">
      <w:pPr>
        <w:ind w:left="4320"/>
        <w:rPr>
          <w:szCs w:val="24"/>
        </w:rPr>
      </w:pPr>
    </w:p>
    <w:p w:rsidR="00A044B5" w:rsidRDefault="00A044B5">
      <w:pPr>
        <w:rPr>
          <w:szCs w:val="24"/>
        </w:rPr>
      </w:pPr>
    </w:p>
    <w:p w:rsidR="00A044B5" w:rsidRDefault="00A044B5">
      <w:pPr>
        <w:rPr>
          <w:szCs w:val="24"/>
        </w:rPr>
      </w:pPr>
      <w:r>
        <w:rPr>
          <w:szCs w:val="24"/>
        </w:rPr>
        <w:tab/>
      </w:r>
      <w:r>
        <w:rPr>
          <w:szCs w:val="24"/>
        </w:rPr>
        <w:tab/>
      </w:r>
      <w:r>
        <w:rPr>
          <w:szCs w:val="24"/>
        </w:rPr>
        <w:tab/>
      </w:r>
      <w:r>
        <w:rPr>
          <w:szCs w:val="24"/>
        </w:rPr>
        <w:tab/>
      </w:r>
      <w:r>
        <w:rPr>
          <w:szCs w:val="24"/>
        </w:rPr>
        <w:tab/>
      </w:r>
      <w:r>
        <w:rPr>
          <w:szCs w:val="24"/>
        </w:rPr>
        <w:tab/>
      </w:r>
    </w:p>
    <w:p w:rsidR="00A044B5" w:rsidRDefault="00A044B5" w:rsidP="00E37EE1">
      <w:pPr>
        <w:spacing w:line="480" w:lineRule="auto"/>
        <w:jc w:val="center"/>
        <w:rPr>
          <w:b/>
          <w:bCs/>
          <w:u w:val="single"/>
        </w:rPr>
      </w:pPr>
      <w:r>
        <w:br w:type="page"/>
      </w:r>
      <w:r>
        <w:rPr>
          <w:b/>
          <w:bCs/>
          <w:u w:val="single"/>
        </w:rPr>
        <w:t>CERTIFICATE OF SERVICE</w:t>
      </w:r>
    </w:p>
    <w:p w:rsidR="00A044B5" w:rsidRDefault="00A044B5" w:rsidP="00E37EE1">
      <w:pPr>
        <w:spacing w:line="480" w:lineRule="auto"/>
        <w:ind w:firstLine="720"/>
      </w:pPr>
      <w:r>
        <w:t xml:space="preserve">I hereby certify that a copy of </w:t>
      </w:r>
      <w:r w:rsidR="008C10F1">
        <w:t>these Comments</w:t>
      </w:r>
      <w:r>
        <w:t xml:space="preserve"> w</w:t>
      </w:r>
      <w:r w:rsidR="005E36B6">
        <w:t>ere</w:t>
      </w:r>
      <w:r>
        <w:t xml:space="preserve"> served on the persons stated below </w:t>
      </w:r>
      <w:r w:rsidRPr="00795263">
        <w:t>via</w:t>
      </w:r>
      <w:r w:rsidR="002A4912">
        <w:t xml:space="preserve"> electronic transmission</w:t>
      </w:r>
      <w:r>
        <w:t xml:space="preserve">, this </w:t>
      </w:r>
      <w:r w:rsidR="0096598B">
        <w:t>5</w:t>
      </w:r>
      <w:r w:rsidR="0096598B" w:rsidRPr="0096598B">
        <w:rPr>
          <w:vertAlign w:val="superscript"/>
        </w:rPr>
        <w:t>th</w:t>
      </w:r>
      <w:r w:rsidR="0096598B">
        <w:t xml:space="preserve"> </w:t>
      </w:r>
      <w:r>
        <w:t xml:space="preserve">day of </w:t>
      </w:r>
      <w:r w:rsidR="007B4465">
        <w:t xml:space="preserve">November </w:t>
      </w:r>
      <w:r>
        <w:t>201</w:t>
      </w:r>
      <w:r w:rsidR="00795263">
        <w:t>4</w:t>
      </w:r>
      <w:r>
        <w:t>.</w:t>
      </w:r>
    </w:p>
    <w:p w:rsidR="00A044B5" w:rsidRDefault="00A044B5">
      <w:pPr>
        <w:spacing w:line="480" w:lineRule="atLeast"/>
      </w:pPr>
    </w:p>
    <w:p w:rsidR="006D5136" w:rsidRDefault="006D5136" w:rsidP="006D5136">
      <w:pPr>
        <w:autoSpaceDE w:val="0"/>
        <w:autoSpaceDN w:val="0"/>
        <w:adjustRightInd w:val="0"/>
        <w:ind w:left="4320"/>
        <w:rPr>
          <w:i/>
        </w:rPr>
      </w:pPr>
      <w:r>
        <w:rPr>
          <w:i/>
          <w:u w:val="single"/>
        </w:rPr>
        <w:t xml:space="preserve">/s/ </w:t>
      </w:r>
      <w:r w:rsidR="002242E0">
        <w:rPr>
          <w:i/>
          <w:u w:val="single"/>
        </w:rPr>
        <w:t>Kyle L. Kern</w:t>
      </w:r>
      <w:r>
        <w:rPr>
          <w:i/>
          <w:u w:val="single"/>
        </w:rPr>
        <w:t>                           </w:t>
      </w:r>
    </w:p>
    <w:p w:rsidR="00A044B5" w:rsidRDefault="00A044B5">
      <w:pPr>
        <w:tabs>
          <w:tab w:val="left" w:pos="4320"/>
        </w:tabs>
      </w:pPr>
      <w:r>
        <w:tab/>
      </w:r>
      <w:r w:rsidR="002242E0">
        <w:t>Kyle L. Kern</w:t>
      </w:r>
    </w:p>
    <w:p w:rsidR="00A044B5" w:rsidRDefault="00A044B5">
      <w:pPr>
        <w:tabs>
          <w:tab w:val="left" w:pos="4320"/>
        </w:tabs>
      </w:pPr>
      <w:r>
        <w:tab/>
        <w:t>Assistant Consumers’ Counsel</w:t>
      </w:r>
    </w:p>
    <w:p w:rsidR="00A044B5" w:rsidRDefault="00A044B5">
      <w:pPr>
        <w:pStyle w:val="CommentSubject"/>
      </w:pPr>
    </w:p>
    <w:p w:rsidR="00A044B5" w:rsidRDefault="00A044B5">
      <w:pPr>
        <w:pStyle w:val="CommentText"/>
      </w:pPr>
    </w:p>
    <w:p w:rsidR="00A044B5" w:rsidRDefault="00A044B5">
      <w:pPr>
        <w:pStyle w:val="CommentText"/>
        <w:jc w:val="center"/>
        <w:rPr>
          <w:b/>
          <w:u w:val="single"/>
        </w:rPr>
      </w:pPr>
      <w:r>
        <w:rPr>
          <w:b/>
          <w:u w:val="single"/>
        </w:rPr>
        <w:t>SERVICE LIST</w:t>
      </w:r>
    </w:p>
    <w:p w:rsidR="00A044B5" w:rsidRDefault="00A044B5">
      <w:pPr>
        <w:pStyle w:val="BodyText"/>
        <w:rPr>
          <w:b/>
          <w:bCs/>
        </w:rPr>
      </w:pPr>
    </w:p>
    <w:p w:rsidR="002242E0" w:rsidRDefault="002242E0" w:rsidP="002242E0">
      <w:pPr>
        <w:pStyle w:val="BodyText"/>
        <w:rPr>
          <w:b/>
          <w:bCs/>
        </w:rPr>
      </w:pPr>
    </w:p>
    <w:tbl>
      <w:tblPr>
        <w:tblW w:w="0" w:type="auto"/>
        <w:tblLook w:val="01E0" w:firstRow="1" w:lastRow="1" w:firstColumn="1" w:lastColumn="1" w:noHBand="0" w:noVBand="0"/>
      </w:tblPr>
      <w:tblGrid>
        <w:gridCol w:w="4428"/>
        <w:gridCol w:w="4428"/>
      </w:tblGrid>
      <w:tr w:rsidR="002242E0" w:rsidRPr="00A044B5" w:rsidTr="0095107B">
        <w:tc>
          <w:tcPr>
            <w:tcW w:w="4428" w:type="dxa"/>
            <w:shd w:val="clear" w:color="auto" w:fill="auto"/>
          </w:tcPr>
          <w:p w:rsidR="002242E0" w:rsidRDefault="00BE30D0" w:rsidP="0095107B">
            <w:pPr>
              <w:autoSpaceDE w:val="0"/>
              <w:autoSpaceDN w:val="0"/>
              <w:adjustRightInd w:val="0"/>
              <w:rPr>
                <w:bCs/>
              </w:rPr>
            </w:pPr>
            <w:hyperlink r:id="rId10" w:history="1">
              <w:r w:rsidR="002242E0" w:rsidRPr="00E35FD1">
                <w:rPr>
                  <w:rStyle w:val="Hyperlink"/>
                  <w:bCs/>
                </w:rPr>
                <w:t>William.wright@puc.state.oh.us</w:t>
              </w:r>
            </w:hyperlink>
          </w:p>
          <w:p w:rsidR="002242E0" w:rsidRDefault="00BE30D0" w:rsidP="0095107B">
            <w:pPr>
              <w:autoSpaceDE w:val="0"/>
              <w:autoSpaceDN w:val="0"/>
              <w:adjustRightInd w:val="0"/>
              <w:rPr>
                <w:color w:val="0000FF"/>
                <w:szCs w:val="24"/>
              </w:rPr>
            </w:pPr>
            <w:hyperlink r:id="rId11" w:history="1">
              <w:r w:rsidR="00A967C5" w:rsidRPr="00C02E52">
                <w:rPr>
                  <w:rStyle w:val="Hyperlink"/>
                  <w:szCs w:val="24"/>
                </w:rPr>
                <w:t>joseph.clark@directenergy.com</w:t>
              </w:r>
            </w:hyperlink>
          </w:p>
          <w:p w:rsidR="00A967C5" w:rsidRDefault="00A967C5" w:rsidP="0095107B">
            <w:pPr>
              <w:autoSpaceDE w:val="0"/>
              <w:autoSpaceDN w:val="0"/>
              <w:adjustRightInd w:val="0"/>
              <w:rPr>
                <w:bCs/>
              </w:rPr>
            </w:pPr>
          </w:p>
          <w:p w:rsidR="002242E0" w:rsidRDefault="002242E0" w:rsidP="0095107B">
            <w:pPr>
              <w:autoSpaceDE w:val="0"/>
              <w:autoSpaceDN w:val="0"/>
              <w:adjustRightInd w:val="0"/>
              <w:rPr>
                <w:bCs/>
              </w:rPr>
            </w:pPr>
          </w:p>
          <w:p w:rsidR="00925313" w:rsidRDefault="00925313" w:rsidP="0095107B">
            <w:pPr>
              <w:autoSpaceDE w:val="0"/>
              <w:autoSpaceDN w:val="0"/>
              <w:adjustRightInd w:val="0"/>
              <w:rPr>
                <w:bCs/>
              </w:rPr>
            </w:pPr>
          </w:p>
          <w:p w:rsidR="00925313" w:rsidRDefault="00925313" w:rsidP="00925313">
            <w:pPr>
              <w:rPr>
                <w:szCs w:val="24"/>
              </w:rPr>
            </w:pPr>
            <w:r>
              <w:rPr>
                <w:szCs w:val="24"/>
              </w:rPr>
              <w:t>Attorney Examiner:</w:t>
            </w:r>
          </w:p>
          <w:p w:rsidR="00925313" w:rsidRDefault="00925313" w:rsidP="00925313">
            <w:pPr>
              <w:rPr>
                <w:szCs w:val="24"/>
              </w:rPr>
            </w:pPr>
          </w:p>
          <w:p w:rsidR="00925313" w:rsidRDefault="00BE30D0" w:rsidP="00925313">
            <w:pPr>
              <w:rPr>
                <w:szCs w:val="24"/>
              </w:rPr>
            </w:pPr>
            <w:hyperlink r:id="rId12" w:history="1">
              <w:r w:rsidR="00925313" w:rsidRPr="00E35FD1">
                <w:rPr>
                  <w:rStyle w:val="Hyperlink"/>
                  <w:szCs w:val="24"/>
                </w:rPr>
                <w:t>Mandy.willey@puc.state.oh.us</w:t>
              </w:r>
            </w:hyperlink>
          </w:p>
          <w:p w:rsidR="00925313" w:rsidRPr="00A044B5" w:rsidRDefault="00925313" w:rsidP="0095107B">
            <w:pPr>
              <w:autoSpaceDE w:val="0"/>
              <w:autoSpaceDN w:val="0"/>
              <w:adjustRightInd w:val="0"/>
              <w:rPr>
                <w:bCs/>
              </w:rPr>
            </w:pPr>
          </w:p>
        </w:tc>
        <w:tc>
          <w:tcPr>
            <w:tcW w:w="4428" w:type="dxa"/>
            <w:shd w:val="clear" w:color="auto" w:fill="auto"/>
          </w:tcPr>
          <w:p w:rsidR="00925313" w:rsidRDefault="00BE30D0" w:rsidP="00925313">
            <w:pPr>
              <w:autoSpaceDE w:val="0"/>
              <w:autoSpaceDN w:val="0"/>
              <w:adjustRightInd w:val="0"/>
              <w:rPr>
                <w:szCs w:val="24"/>
              </w:rPr>
            </w:pPr>
            <w:hyperlink r:id="rId13" w:history="1">
              <w:r w:rsidR="00925313" w:rsidRPr="004B08AB">
                <w:rPr>
                  <w:rStyle w:val="Hyperlink"/>
                  <w:szCs w:val="24"/>
                </w:rPr>
                <w:t>sam@mwncmh.com</w:t>
              </w:r>
            </w:hyperlink>
          </w:p>
          <w:p w:rsidR="00925313" w:rsidRDefault="00BE30D0" w:rsidP="00925313">
            <w:pPr>
              <w:autoSpaceDE w:val="0"/>
              <w:autoSpaceDN w:val="0"/>
              <w:adjustRightInd w:val="0"/>
              <w:rPr>
                <w:szCs w:val="24"/>
              </w:rPr>
            </w:pPr>
            <w:hyperlink r:id="rId14" w:history="1">
              <w:r w:rsidR="00925313" w:rsidRPr="004B08AB">
                <w:rPr>
                  <w:rStyle w:val="Hyperlink"/>
                  <w:szCs w:val="24"/>
                </w:rPr>
                <w:t>fdarr@mwncmh.com</w:t>
              </w:r>
            </w:hyperlink>
          </w:p>
          <w:p w:rsidR="00925313" w:rsidRDefault="00BE30D0" w:rsidP="00925313">
            <w:pPr>
              <w:autoSpaceDE w:val="0"/>
              <w:autoSpaceDN w:val="0"/>
              <w:adjustRightInd w:val="0"/>
              <w:rPr>
                <w:szCs w:val="24"/>
              </w:rPr>
            </w:pPr>
            <w:hyperlink r:id="rId15" w:history="1">
              <w:r w:rsidR="00925313" w:rsidRPr="004B08AB">
                <w:rPr>
                  <w:rStyle w:val="Hyperlink"/>
                  <w:szCs w:val="24"/>
                </w:rPr>
                <w:t>mpritchard@mwncmh.com</w:t>
              </w:r>
            </w:hyperlink>
          </w:p>
          <w:p w:rsidR="00925313" w:rsidRPr="00925313" w:rsidRDefault="00925313" w:rsidP="00925313">
            <w:pPr>
              <w:rPr>
                <w:b/>
                <w:bCs/>
                <w:szCs w:val="24"/>
              </w:rPr>
            </w:pPr>
          </w:p>
          <w:p w:rsidR="00925313" w:rsidRDefault="00925313" w:rsidP="00B44CB9">
            <w:pPr>
              <w:rPr>
                <w:szCs w:val="24"/>
              </w:rPr>
            </w:pPr>
          </w:p>
          <w:p w:rsidR="00925313" w:rsidRDefault="00925313" w:rsidP="00B44CB9">
            <w:pPr>
              <w:rPr>
                <w:szCs w:val="24"/>
              </w:rPr>
            </w:pPr>
          </w:p>
          <w:p w:rsidR="00B44CB9" w:rsidRDefault="00B44CB9" w:rsidP="00B44CB9">
            <w:pPr>
              <w:rPr>
                <w:szCs w:val="24"/>
              </w:rPr>
            </w:pPr>
          </w:p>
          <w:p w:rsidR="002242E0" w:rsidRPr="00A044B5" w:rsidRDefault="002242E0" w:rsidP="0095107B">
            <w:pPr>
              <w:pStyle w:val="BodyText"/>
              <w:rPr>
                <w:bCs/>
              </w:rPr>
            </w:pPr>
          </w:p>
        </w:tc>
      </w:tr>
    </w:tbl>
    <w:p w:rsidR="00A044B5" w:rsidRPr="00E81D88" w:rsidRDefault="00A044B5" w:rsidP="002242E0">
      <w:pPr>
        <w:pStyle w:val="BodyText"/>
        <w:rPr>
          <w:b/>
          <w:bCs/>
        </w:rPr>
      </w:pPr>
    </w:p>
    <w:sectPr w:rsidR="00A044B5" w:rsidRPr="00E81D88">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pgNumType w:start="1"/>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B3A" w:rsidRDefault="00C43B3A">
      <w:r>
        <w:separator/>
      </w:r>
    </w:p>
  </w:endnote>
  <w:endnote w:type="continuationSeparator" w:id="0">
    <w:p w:rsidR="00C43B3A" w:rsidRDefault="00C43B3A">
      <w:r>
        <w:continuationSeparator/>
      </w:r>
    </w:p>
  </w:endnote>
  <w:endnote w:type="continuationNotice" w:id="1">
    <w:p w:rsidR="00C43B3A" w:rsidRDefault="00C43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C7" w:rsidRDefault="00D164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195" w:rsidRDefault="006B7195">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D164C7">
      <w:rPr>
        <w:rStyle w:val="PageNumber"/>
        <w:noProof/>
        <w:sz w:val="24"/>
        <w:szCs w:val="24"/>
      </w:rPr>
      <w:t>2</w:t>
    </w:r>
    <w:r>
      <w:rPr>
        <w:rStyle w:val="PageNumber"/>
        <w:sz w:val="24"/>
        <w:szCs w:val="24"/>
      </w:rPr>
      <w:fldChar w:fldCharType="end"/>
    </w:r>
  </w:p>
  <w:p w:rsidR="006B7195" w:rsidRDefault="006B7195">
    <w:pPr>
      <w:pStyle w:val="Footer"/>
      <w:framePr w:wrap="around" w:vAnchor="text" w:hAnchor="margin" w:xAlign="center" w:y="1"/>
      <w:rPr>
        <w:rStyle w:val="PageNumber"/>
      </w:rPr>
    </w:pPr>
  </w:p>
  <w:p w:rsidR="006B7195" w:rsidRDefault="006B71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C7" w:rsidRDefault="00D16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B3A" w:rsidRDefault="00C43B3A">
      <w:r>
        <w:separator/>
      </w:r>
    </w:p>
  </w:footnote>
  <w:footnote w:type="continuationSeparator" w:id="0">
    <w:p w:rsidR="00C43B3A" w:rsidRDefault="00C43B3A">
      <w:r>
        <w:continuationSeparator/>
      </w:r>
    </w:p>
  </w:footnote>
  <w:footnote w:type="continuationNotice" w:id="1">
    <w:p w:rsidR="00C43B3A" w:rsidRDefault="00C43B3A"/>
  </w:footnote>
  <w:footnote w:id="2">
    <w:p w:rsidR="006B7195" w:rsidRDefault="006B7195" w:rsidP="007656C2">
      <w:pPr>
        <w:pStyle w:val="FootnoteText"/>
        <w:spacing w:before="0" w:after="120"/>
      </w:pPr>
      <w:r>
        <w:rPr>
          <w:rStyle w:val="FootnoteReference"/>
        </w:rPr>
        <w:footnoteRef/>
      </w:r>
      <w:r>
        <w:t xml:space="preserve"> Ohio Adm. Code 4901:1-10-22.</w:t>
      </w:r>
    </w:p>
  </w:footnote>
  <w:footnote w:id="3">
    <w:p w:rsidR="006B7195" w:rsidRPr="001C337F" w:rsidRDefault="006B7195" w:rsidP="00B44CB9">
      <w:pPr>
        <w:spacing w:after="120"/>
        <w:rPr>
          <w:sz w:val="20"/>
        </w:rPr>
      </w:pPr>
      <w:r w:rsidRPr="001C337F">
        <w:rPr>
          <w:rStyle w:val="FootnoteReference"/>
          <w:sz w:val="20"/>
        </w:rPr>
        <w:footnoteRef/>
      </w:r>
      <w:r w:rsidRPr="001C337F">
        <w:rPr>
          <w:sz w:val="20"/>
        </w:rPr>
        <w:t xml:space="preserve"> </w:t>
      </w:r>
      <w:r w:rsidRPr="005E36B6">
        <w:rPr>
          <w:i/>
          <w:sz w:val="20"/>
        </w:rPr>
        <w:t>See</w:t>
      </w:r>
      <w:r w:rsidRPr="001C337F">
        <w:rPr>
          <w:sz w:val="20"/>
        </w:rPr>
        <w:t xml:space="preserve"> R.C. 4928.65(A)(1).  </w:t>
      </w:r>
    </w:p>
  </w:footnote>
  <w:footnote w:id="4">
    <w:p w:rsidR="006B7195" w:rsidRDefault="006B7195" w:rsidP="0096598B">
      <w:pPr>
        <w:pStyle w:val="FootnoteText"/>
        <w:spacing w:before="0" w:after="120"/>
      </w:pPr>
      <w:r>
        <w:rPr>
          <w:rStyle w:val="FootnoteReference"/>
        </w:rPr>
        <w:footnoteRef/>
      </w:r>
      <w:r>
        <w:t xml:space="preserve"> R.C. 4928.65(A).</w:t>
      </w:r>
    </w:p>
  </w:footnote>
  <w:footnote w:id="5">
    <w:p w:rsidR="006B7195" w:rsidRDefault="006B7195" w:rsidP="0096598B">
      <w:pPr>
        <w:pStyle w:val="FootnoteText"/>
        <w:spacing w:before="0" w:after="120"/>
      </w:pPr>
      <w:r w:rsidRPr="00E40B7B">
        <w:rPr>
          <w:rStyle w:val="FootnoteReference"/>
        </w:rPr>
        <w:footnoteRef/>
      </w:r>
      <w:r w:rsidRPr="00E40B7B">
        <w:t xml:space="preserve"> Case No. 14-1411-EL-ORD, Entry at 2 (October 15, 2014).</w:t>
      </w:r>
    </w:p>
  </w:footnote>
  <w:footnote w:id="6">
    <w:p w:rsidR="006B7195" w:rsidRDefault="006B7195" w:rsidP="007656C2">
      <w:pPr>
        <w:pStyle w:val="FootnoteText"/>
        <w:spacing w:before="0" w:after="120"/>
      </w:pPr>
      <w:r>
        <w:rPr>
          <w:rStyle w:val="FootnoteReference"/>
        </w:rPr>
        <w:footnoteRef/>
      </w:r>
      <w:r>
        <w:t xml:space="preserve"> “Energy efficiency”</w:t>
      </w:r>
      <w:r w:rsidRPr="0094178B">
        <w:rPr>
          <w:rFonts w:ascii="Verdana" w:hAnsi="Verdana"/>
          <w:sz w:val="19"/>
          <w:szCs w:val="19"/>
        </w:rPr>
        <w:t xml:space="preserve"> </w:t>
      </w:r>
      <w:r w:rsidRPr="0094178B">
        <w:t>means reducing the consumption of energy while maintaining or improving the end-use customer's existing level of functionality, or while maintaining or improving the utility system functionality.</w:t>
      </w:r>
      <w:r>
        <w:t xml:space="preserve">  Ohio Adm. Code 4901:1-39-01(L).</w:t>
      </w:r>
    </w:p>
  </w:footnote>
  <w:footnote w:id="7">
    <w:p w:rsidR="006B7195" w:rsidRDefault="006B7195" w:rsidP="007656C2">
      <w:pPr>
        <w:pStyle w:val="FootnoteText"/>
        <w:spacing w:before="0" w:after="120"/>
      </w:pPr>
      <w:r>
        <w:rPr>
          <w:rStyle w:val="FootnoteReference"/>
        </w:rPr>
        <w:footnoteRef/>
      </w:r>
      <w:r>
        <w:t xml:space="preserve"> “Demand response” </w:t>
      </w:r>
      <w:r w:rsidRPr="0094178B">
        <w:t>means a change in customer behavior or a change in customer-owned or operated assets that affects the demand for electricity as a result of price signals or other incentives.</w:t>
      </w:r>
      <w:r>
        <w:t xml:space="preserve">  Ohio Adm. Code 4901:1-93-01(G).</w:t>
      </w:r>
    </w:p>
  </w:footnote>
  <w:footnote w:id="8">
    <w:p w:rsidR="006B7195" w:rsidRDefault="006B7195" w:rsidP="007656C2">
      <w:pPr>
        <w:pStyle w:val="FootnoteText"/>
        <w:spacing w:before="0" w:after="120"/>
      </w:pPr>
      <w:r>
        <w:rPr>
          <w:rStyle w:val="FootnoteReference"/>
        </w:rPr>
        <w:footnoteRef/>
      </w:r>
      <w:r>
        <w:t xml:space="preserve"> R.C. 4928.65 (C).</w:t>
      </w:r>
    </w:p>
  </w:footnote>
  <w:footnote w:id="9">
    <w:p w:rsidR="006B7195" w:rsidRDefault="006B7195" w:rsidP="007656C2">
      <w:pPr>
        <w:pStyle w:val="FootnoteText"/>
        <w:spacing w:before="0" w:after="120"/>
      </w:pPr>
      <w:r>
        <w:rPr>
          <w:rStyle w:val="FootnoteReference"/>
        </w:rPr>
        <w:footnoteRef/>
      </w:r>
      <w:r>
        <w:t xml:space="preserve"> </w:t>
      </w:r>
      <w:r w:rsidRPr="00E40B7B">
        <w:t xml:space="preserve">Case No. 14-1411-EL-ORD, </w:t>
      </w:r>
      <w:r>
        <w:t>Entry at 1 (August 15, 2014).</w:t>
      </w:r>
    </w:p>
  </w:footnote>
  <w:footnote w:id="10">
    <w:p w:rsidR="006B7195" w:rsidRDefault="006B7195" w:rsidP="0096598B">
      <w:pPr>
        <w:pStyle w:val="FootnoteText"/>
        <w:spacing w:before="0" w:after="120"/>
      </w:pPr>
      <w:r>
        <w:rPr>
          <w:rStyle w:val="FootnoteReference"/>
        </w:rPr>
        <w:footnoteRef/>
      </w:r>
      <w:r>
        <w:t xml:space="preserve"> Ohio Adm. Code 4901:1-39-01(F).</w:t>
      </w:r>
    </w:p>
  </w:footnote>
  <w:footnote w:id="11">
    <w:p w:rsidR="006B7195" w:rsidRDefault="006B7195" w:rsidP="0096598B">
      <w:pPr>
        <w:pStyle w:val="FootnoteText"/>
        <w:spacing w:before="0" w:after="120"/>
      </w:pPr>
      <w:r>
        <w:rPr>
          <w:rStyle w:val="FootnoteReference"/>
        </w:rPr>
        <w:footnoteRef/>
      </w:r>
      <w:r>
        <w:t xml:space="preserve"> Ohio Adm. Code 4901:1-39-01(F).</w:t>
      </w:r>
    </w:p>
  </w:footnote>
  <w:footnote w:id="12">
    <w:p w:rsidR="006B7195" w:rsidRDefault="006B7195" w:rsidP="0096598B">
      <w:pPr>
        <w:pStyle w:val="FootnoteText"/>
        <w:spacing w:before="0" w:after="120"/>
      </w:pPr>
      <w:r>
        <w:rPr>
          <w:rStyle w:val="FootnoteReference"/>
        </w:rPr>
        <w:footnoteRef/>
      </w:r>
      <w:r>
        <w:t xml:space="preserve"> Ohio Adm. Code 4901:1-39-01(Y)</w:t>
      </w:r>
      <w:r w:rsidR="005E36B6">
        <w:t xml:space="preserve"> (</w:t>
      </w:r>
      <w:r>
        <w:t>Emphasis added</w:t>
      </w:r>
      <w:r w:rsidR="005E36B6">
        <w:t>)</w:t>
      </w:r>
      <w:r>
        <w:t>.</w:t>
      </w:r>
    </w:p>
  </w:footnote>
  <w:footnote w:id="13">
    <w:p w:rsidR="006B7195" w:rsidRDefault="006B7195" w:rsidP="00B44CB9">
      <w:pPr>
        <w:pStyle w:val="FootnoteText"/>
        <w:spacing w:before="0" w:after="120"/>
      </w:pPr>
      <w:r>
        <w:rPr>
          <w:rStyle w:val="FootnoteReference"/>
        </w:rPr>
        <w:footnoteRef/>
      </w:r>
      <w:r>
        <w:t xml:space="preserve"> Monitoring Analytics, “The 2017/2018 RPM Base Residual Auction: Sensitivity Analyses”, </w:t>
      </w:r>
      <w:r w:rsidRPr="00F049C5">
        <w:t>http://www.monitoringanalytics.com/reports/Reports/2014/IMM_20172018_RPM_BRA_Sensitivity_Analyses_20140710.pdf</w:t>
      </w:r>
    </w:p>
  </w:footnote>
  <w:footnote w:id="14">
    <w:p w:rsidR="006B7195" w:rsidRDefault="006B7195" w:rsidP="0096598B">
      <w:pPr>
        <w:pStyle w:val="FootnoteText"/>
        <w:spacing w:before="0" w:after="120"/>
      </w:pPr>
      <w:r>
        <w:rPr>
          <w:rStyle w:val="FootnoteReference"/>
        </w:rPr>
        <w:footnoteRef/>
      </w:r>
      <w:r>
        <w:t xml:space="preserve"> PUCO Case No. 14-1297-EL-SSO, “Direct Testimony of</w:t>
      </w:r>
      <w:r w:rsidR="00656566">
        <w:t xml:space="preserve"> FirstEnergy Witness</w:t>
      </w:r>
      <w:r>
        <w:t xml:space="preserve"> Judah L. Rose</w:t>
      </w:r>
      <w:r w:rsidR="00656566">
        <w:t>,</w:t>
      </w:r>
      <w:r>
        <w:t xml:space="preserve">” Table 10. </w:t>
      </w:r>
    </w:p>
  </w:footnote>
  <w:footnote w:id="15">
    <w:p w:rsidR="006B7195" w:rsidRDefault="006B7195" w:rsidP="0096598B">
      <w:pPr>
        <w:pStyle w:val="FootnoteText"/>
        <w:spacing w:before="0" w:after="120"/>
      </w:pPr>
      <w:r>
        <w:rPr>
          <w:rStyle w:val="FootnoteReference"/>
        </w:rPr>
        <w:footnoteRef/>
      </w:r>
      <w:r>
        <w:t xml:space="preserve"> </w:t>
      </w:r>
      <w:r w:rsidRPr="00381540">
        <w:rPr>
          <w:i/>
        </w:rPr>
        <w:t>In the Matter of the Application of The Cincinnati Gas and Electric Company for Approval of New Gas Bill Format</w:t>
      </w:r>
      <w:r>
        <w:t xml:space="preserve">, </w:t>
      </w:r>
      <w:r w:rsidR="005E36B6">
        <w:t xml:space="preserve">Case No. 02-479-GA-UNC,  </w:t>
      </w:r>
      <w:r w:rsidRPr="00821634">
        <w:t>2002 Ohio PUC LEXIS 200</w:t>
      </w:r>
      <w:r w:rsidR="005E36B6">
        <w:t xml:space="preserve">, Entry </w:t>
      </w:r>
      <w:r w:rsidRPr="00821634">
        <w:t>(</w:t>
      </w:r>
      <w:r w:rsidR="005E36B6">
        <w:t xml:space="preserve">Feb. 28, </w:t>
      </w:r>
      <w:r w:rsidRPr="00821634">
        <w:t>2002)</w:t>
      </w:r>
      <w:r>
        <w:t>.</w:t>
      </w:r>
    </w:p>
  </w:footnote>
  <w:footnote w:id="16">
    <w:p w:rsidR="006B7195" w:rsidRDefault="006B7195" w:rsidP="007656C2">
      <w:pPr>
        <w:pStyle w:val="FootnoteText"/>
        <w:spacing w:before="0" w:after="120"/>
      </w:pPr>
      <w:r>
        <w:rPr>
          <w:rStyle w:val="FootnoteReference"/>
        </w:rPr>
        <w:footnoteRef/>
      </w:r>
      <w:r>
        <w:t xml:space="preserve"> Id.</w:t>
      </w:r>
    </w:p>
  </w:footnote>
  <w:footnote w:id="17">
    <w:p w:rsidR="006B7195" w:rsidRDefault="006B7195" w:rsidP="007656C2">
      <w:pPr>
        <w:pStyle w:val="FootnoteText"/>
        <w:spacing w:before="0" w:after="120"/>
      </w:pPr>
      <w:r>
        <w:rPr>
          <w:rStyle w:val="FootnoteReference"/>
        </w:rPr>
        <w:footnoteRef/>
      </w:r>
      <w:r>
        <w:t xml:space="preserve"> Id.</w:t>
      </w:r>
    </w:p>
  </w:footnote>
  <w:footnote w:id="18">
    <w:p w:rsidR="006B7195" w:rsidRDefault="006B7195" w:rsidP="007656C2">
      <w:pPr>
        <w:pStyle w:val="FootnoteText"/>
        <w:spacing w:before="0" w:after="120"/>
      </w:pPr>
      <w:r>
        <w:rPr>
          <w:rStyle w:val="FootnoteReference"/>
        </w:rPr>
        <w:footnoteRef/>
      </w:r>
      <w:r>
        <w:t xml:space="preserve"> Id.</w:t>
      </w:r>
    </w:p>
  </w:footnote>
  <w:footnote w:id="19">
    <w:p w:rsidR="006B7195" w:rsidRPr="00145A4D" w:rsidRDefault="006B7195" w:rsidP="007656C2">
      <w:pPr>
        <w:pStyle w:val="FootnoteText"/>
        <w:spacing w:before="0" w:after="120"/>
      </w:pPr>
      <w:r w:rsidRPr="00145A4D">
        <w:rPr>
          <w:rStyle w:val="FootnoteReference"/>
        </w:rPr>
        <w:footnoteRef/>
      </w:r>
      <w:r w:rsidRPr="00145A4D">
        <w:t xml:space="preserve"> </w:t>
      </w:r>
      <w:r w:rsidRPr="009B5296">
        <w:rPr>
          <w:i/>
        </w:rPr>
        <w:t>See</w:t>
      </w:r>
      <w:r w:rsidRPr="009B5296">
        <w:t>, R.C. 4928.64(A) and (B).</w:t>
      </w:r>
    </w:p>
  </w:footnote>
  <w:footnote w:id="20">
    <w:p w:rsidR="006B7195" w:rsidRDefault="006B7195" w:rsidP="007656C2">
      <w:pPr>
        <w:pStyle w:val="FootnoteText"/>
        <w:spacing w:before="0" w:after="120"/>
      </w:pPr>
      <w:r>
        <w:rPr>
          <w:rStyle w:val="FootnoteReference"/>
        </w:rPr>
        <w:footnoteRef/>
      </w:r>
      <w:r>
        <w:t xml:space="preserve"> R.C. 4928.64(B).</w:t>
      </w:r>
    </w:p>
  </w:footnote>
  <w:footnote w:id="21">
    <w:p w:rsidR="006B7195" w:rsidRPr="00D67FA5" w:rsidRDefault="006B7195" w:rsidP="007656C2">
      <w:pPr>
        <w:pStyle w:val="FootnoteText"/>
        <w:spacing w:before="0" w:after="120"/>
      </w:pPr>
      <w:r w:rsidRPr="00D67FA5">
        <w:rPr>
          <w:rStyle w:val="FootnoteReference"/>
        </w:rPr>
        <w:footnoteRef/>
      </w:r>
      <w:r w:rsidRPr="00D67FA5">
        <w:t xml:space="preserve"> Case No. 08-1094-EL-SSO, </w:t>
      </w:r>
      <w:r>
        <w:t xml:space="preserve">Tariff Pages </w:t>
      </w:r>
      <w:r w:rsidRPr="00D67FA5">
        <w:t>PUCO No. 17, Sheet No. D38 (June 29, 2009).</w:t>
      </w:r>
    </w:p>
  </w:footnote>
  <w:footnote w:id="22">
    <w:p w:rsidR="006B7195" w:rsidRPr="00D67FA5" w:rsidRDefault="006B7195" w:rsidP="007656C2">
      <w:pPr>
        <w:pStyle w:val="FootnoteText"/>
        <w:spacing w:before="0" w:after="120"/>
      </w:pPr>
      <w:r w:rsidRPr="00D67FA5">
        <w:rPr>
          <w:rStyle w:val="FootnoteReference"/>
        </w:rPr>
        <w:footnoteRef/>
      </w:r>
      <w:r w:rsidRPr="00D67FA5">
        <w:t xml:space="preserve"> Case No. 09-1089-EL-POR, </w:t>
      </w:r>
      <w:r>
        <w:t xml:space="preserve">Tariff Pages </w:t>
      </w:r>
      <w:r w:rsidRPr="00D67FA5">
        <w:t>PUCO No. 7, Sheet No. 81-1D (May 21, 2010).</w:t>
      </w:r>
    </w:p>
  </w:footnote>
  <w:footnote w:id="23">
    <w:p w:rsidR="006B7195" w:rsidRPr="00D67FA5" w:rsidRDefault="006B7195" w:rsidP="007656C2">
      <w:pPr>
        <w:pStyle w:val="FootnoteText"/>
        <w:spacing w:before="0" w:after="120"/>
      </w:pPr>
      <w:r w:rsidRPr="00D67FA5">
        <w:rPr>
          <w:rStyle w:val="FootnoteReference"/>
        </w:rPr>
        <w:footnoteRef/>
      </w:r>
      <w:r w:rsidRPr="00D67FA5">
        <w:t xml:space="preserve"> Case No. 08-935-EL-SSO, </w:t>
      </w:r>
      <w:r>
        <w:t>Tariff P</w:t>
      </w:r>
      <w:r w:rsidRPr="00D67FA5">
        <w:t>ages PUCO Nos. 8, 11, and 13, Sheet No. 115 (June 1, 2011).</w:t>
      </w:r>
    </w:p>
  </w:footnote>
  <w:footnote w:id="24">
    <w:p w:rsidR="006B7195" w:rsidRPr="00D67FA5" w:rsidRDefault="006B7195" w:rsidP="007656C2">
      <w:pPr>
        <w:pStyle w:val="FootnoteText"/>
        <w:spacing w:before="0" w:after="120"/>
      </w:pPr>
      <w:r w:rsidRPr="00D67FA5">
        <w:rPr>
          <w:rStyle w:val="FootnoteReference"/>
        </w:rPr>
        <w:footnoteRef/>
      </w:r>
      <w:r w:rsidRPr="00D67FA5">
        <w:t xml:space="preserve"> Case No. 08-920-EL-SSO, Tariff Pages PUCO No. 19, Sheet No. 106 (Dec. 11, 2008).</w:t>
      </w:r>
    </w:p>
  </w:footnote>
  <w:footnote w:id="25">
    <w:p w:rsidR="006B7195" w:rsidRDefault="006B7195" w:rsidP="007656C2">
      <w:pPr>
        <w:pStyle w:val="FootnoteText"/>
        <w:spacing w:before="0" w:after="120"/>
      </w:pPr>
      <w:r w:rsidRPr="00D67FA5">
        <w:rPr>
          <w:rStyle w:val="FootnoteReference"/>
        </w:rPr>
        <w:footnoteRef/>
      </w:r>
      <w:r w:rsidRPr="00D67FA5">
        <w:t xml:space="preserve"> Case No. 11-4393-EL-RDR, Tariff Pages PUCO No. 19, Sheet No. 119 (Sept. 4, 2012).</w:t>
      </w:r>
      <w:r>
        <w:t xml:space="preserve">  In addition,</w:t>
      </w:r>
      <w:r w:rsidRPr="009B5296">
        <w:rPr>
          <w:szCs w:val="24"/>
        </w:rPr>
        <w:t xml:space="preserve"> </w:t>
      </w:r>
      <w:r>
        <w:rPr>
          <w:szCs w:val="24"/>
        </w:rPr>
        <w:t xml:space="preserve">Ohio electric utilities have charged customers for alternative energy riders, in accordance with the requirements under R.C. 4928.64, since as early as summer 2009.  </w:t>
      </w:r>
    </w:p>
  </w:footnote>
  <w:footnote w:id="26">
    <w:p w:rsidR="006B7195" w:rsidRDefault="006B7195" w:rsidP="007656C2">
      <w:pPr>
        <w:pStyle w:val="FootnoteText"/>
        <w:spacing w:before="0" w:after="120"/>
      </w:pPr>
      <w:r>
        <w:rPr>
          <w:rStyle w:val="FootnoteReference"/>
        </w:rPr>
        <w:footnoteRef/>
      </w:r>
      <w:r>
        <w:t xml:space="preserve"> </w:t>
      </w:r>
      <w:r w:rsidRPr="00C67993">
        <w:rPr>
          <w:i/>
        </w:rPr>
        <w:t>See</w:t>
      </w:r>
      <w:r>
        <w:t>, R.C. 4928.10; Ohio Adm. Code 4901:1-10-12, 4901:1-10-22, 4901:1-10-33.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C7" w:rsidRDefault="00D164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C7" w:rsidRDefault="00D164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C7" w:rsidRDefault="00D164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7268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861E96"/>
    <w:multiLevelType w:val="hybridMultilevel"/>
    <w:tmpl w:val="1EB45700"/>
    <w:lvl w:ilvl="0" w:tplc="80A4A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52698C"/>
    <w:multiLevelType w:val="hybridMultilevel"/>
    <w:tmpl w:val="FCCA6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107C68"/>
    <w:multiLevelType w:val="hybridMultilevel"/>
    <w:tmpl w:val="32847FFE"/>
    <w:lvl w:ilvl="0" w:tplc="911C85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0A6962"/>
    <w:multiLevelType w:val="hybridMultilevel"/>
    <w:tmpl w:val="A9907A0C"/>
    <w:lvl w:ilvl="0" w:tplc="4C70F7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DA58BD"/>
    <w:multiLevelType w:val="hybridMultilevel"/>
    <w:tmpl w:val="A91E72A4"/>
    <w:lvl w:ilvl="0" w:tplc="EB606C42">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1922FD"/>
    <w:multiLevelType w:val="hybridMultilevel"/>
    <w:tmpl w:val="0B287154"/>
    <w:lvl w:ilvl="0" w:tplc="FF26F1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3454FCE"/>
    <w:multiLevelType w:val="hybridMultilevel"/>
    <w:tmpl w:val="C576D4C6"/>
    <w:lvl w:ilvl="0" w:tplc="4E58E2FC">
      <w:start w:val="3"/>
      <w:numFmt w:val="upperRoman"/>
      <w:lvlText w:val="%1."/>
      <w:lvlJc w:val="left"/>
      <w:pPr>
        <w:tabs>
          <w:tab w:val="num" w:pos="1080"/>
        </w:tabs>
        <w:ind w:left="1080" w:hanging="720"/>
      </w:pPr>
      <w:rPr>
        <w:rFonts w:hint="default"/>
        <w:u w:val="none"/>
      </w:rPr>
    </w:lvl>
    <w:lvl w:ilvl="1" w:tplc="26DE91B6">
      <w:start w:val="1"/>
      <w:numFmt w:val="upperLetter"/>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164567"/>
    <w:multiLevelType w:val="hybridMultilevel"/>
    <w:tmpl w:val="924AB386"/>
    <w:lvl w:ilvl="0" w:tplc="6AF001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E2C7CE8"/>
    <w:multiLevelType w:val="hybridMultilevel"/>
    <w:tmpl w:val="A9907A0C"/>
    <w:lvl w:ilvl="0" w:tplc="4C70F7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8249F4"/>
    <w:multiLevelType w:val="hybridMultilevel"/>
    <w:tmpl w:val="2020BA1E"/>
    <w:lvl w:ilvl="0" w:tplc="D8FE0FE2">
      <w:start w:val="2"/>
      <w:numFmt w:val="upperLetter"/>
      <w:lvlText w:val="%1."/>
      <w:lvlJc w:val="left"/>
      <w:pPr>
        <w:tabs>
          <w:tab w:val="num" w:pos="1440"/>
        </w:tabs>
        <w:ind w:left="1440" w:hanging="720"/>
      </w:pPr>
      <w:rPr>
        <w:rFonts w:hint="default"/>
      </w:rPr>
    </w:lvl>
    <w:lvl w:ilvl="1" w:tplc="910AC3C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5D27B79"/>
    <w:multiLevelType w:val="hybridMultilevel"/>
    <w:tmpl w:val="72B87570"/>
    <w:lvl w:ilvl="0" w:tplc="CA0CB70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8B05554"/>
    <w:multiLevelType w:val="hybridMultilevel"/>
    <w:tmpl w:val="6C22C984"/>
    <w:lvl w:ilvl="0" w:tplc="85B2A28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7"/>
  </w:num>
  <w:num w:numId="3">
    <w:abstractNumId w:val="11"/>
  </w:num>
  <w:num w:numId="4">
    <w:abstractNumId w:val="10"/>
  </w:num>
  <w:num w:numId="5">
    <w:abstractNumId w:val="2"/>
  </w:num>
  <w:num w:numId="6">
    <w:abstractNumId w:val="12"/>
  </w:num>
  <w:num w:numId="7">
    <w:abstractNumId w:val="5"/>
  </w:num>
  <w:num w:numId="8">
    <w:abstractNumId w:val="1"/>
  </w:num>
  <w:num w:numId="9">
    <w:abstractNumId w:val="6"/>
  </w:num>
  <w:num w:numId="10">
    <w:abstractNumId w:val="3"/>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 w:dllVersion="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rawingGridVerticalSpacing w:val="65"/>
  <w:displayHorizont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4912"/>
    <w:rsid w:val="000005B1"/>
    <w:rsid w:val="00003677"/>
    <w:rsid w:val="00004428"/>
    <w:rsid w:val="00004908"/>
    <w:rsid w:val="00010A44"/>
    <w:rsid w:val="00022F3F"/>
    <w:rsid w:val="000236C8"/>
    <w:rsid w:val="000270CD"/>
    <w:rsid w:val="0003012B"/>
    <w:rsid w:val="00032615"/>
    <w:rsid w:val="000409E4"/>
    <w:rsid w:val="000454E4"/>
    <w:rsid w:val="00047627"/>
    <w:rsid w:val="00056308"/>
    <w:rsid w:val="00067B07"/>
    <w:rsid w:val="0007008C"/>
    <w:rsid w:val="0007194C"/>
    <w:rsid w:val="0007383D"/>
    <w:rsid w:val="000800F3"/>
    <w:rsid w:val="00082870"/>
    <w:rsid w:val="00086657"/>
    <w:rsid w:val="00096222"/>
    <w:rsid w:val="000A6569"/>
    <w:rsid w:val="000B0E5F"/>
    <w:rsid w:val="000D0ECE"/>
    <w:rsid w:val="000E469F"/>
    <w:rsid w:val="000F1600"/>
    <w:rsid w:val="000F1776"/>
    <w:rsid w:val="000F3779"/>
    <w:rsid w:val="00112896"/>
    <w:rsid w:val="0012577A"/>
    <w:rsid w:val="00125B6F"/>
    <w:rsid w:val="00132089"/>
    <w:rsid w:val="00133B48"/>
    <w:rsid w:val="00144A40"/>
    <w:rsid w:val="00145A4D"/>
    <w:rsid w:val="0016618E"/>
    <w:rsid w:val="001718AF"/>
    <w:rsid w:val="001B00DE"/>
    <w:rsid w:val="001B6B93"/>
    <w:rsid w:val="001C337F"/>
    <w:rsid w:val="001C434D"/>
    <w:rsid w:val="001D0897"/>
    <w:rsid w:val="001D3748"/>
    <w:rsid w:val="001E37F7"/>
    <w:rsid w:val="001E7B5A"/>
    <w:rsid w:val="001F5261"/>
    <w:rsid w:val="001F685A"/>
    <w:rsid w:val="002041F3"/>
    <w:rsid w:val="0020744B"/>
    <w:rsid w:val="002214A2"/>
    <w:rsid w:val="002242E0"/>
    <w:rsid w:val="00244099"/>
    <w:rsid w:val="00244532"/>
    <w:rsid w:val="00265E47"/>
    <w:rsid w:val="00266EF9"/>
    <w:rsid w:val="00270856"/>
    <w:rsid w:val="00287614"/>
    <w:rsid w:val="00294B35"/>
    <w:rsid w:val="002A011A"/>
    <w:rsid w:val="002A4518"/>
    <w:rsid w:val="002A4912"/>
    <w:rsid w:val="002A679E"/>
    <w:rsid w:val="002A6F45"/>
    <w:rsid w:val="002B31D1"/>
    <w:rsid w:val="002B780C"/>
    <w:rsid w:val="002C2D22"/>
    <w:rsid w:val="002C607B"/>
    <w:rsid w:val="002D109A"/>
    <w:rsid w:val="002E0E7C"/>
    <w:rsid w:val="002E1D2A"/>
    <w:rsid w:val="002F50D6"/>
    <w:rsid w:val="002F617E"/>
    <w:rsid w:val="002F7817"/>
    <w:rsid w:val="00315BE3"/>
    <w:rsid w:val="00323398"/>
    <w:rsid w:val="003323EF"/>
    <w:rsid w:val="003811A6"/>
    <w:rsid w:val="0038130E"/>
    <w:rsid w:val="00381540"/>
    <w:rsid w:val="00383199"/>
    <w:rsid w:val="0038725A"/>
    <w:rsid w:val="003971CF"/>
    <w:rsid w:val="003B7CA8"/>
    <w:rsid w:val="003C1125"/>
    <w:rsid w:val="003C19D6"/>
    <w:rsid w:val="003D46F2"/>
    <w:rsid w:val="003D5204"/>
    <w:rsid w:val="003E1D34"/>
    <w:rsid w:val="003F0FBF"/>
    <w:rsid w:val="00400899"/>
    <w:rsid w:val="00401D2F"/>
    <w:rsid w:val="004025E9"/>
    <w:rsid w:val="0040601F"/>
    <w:rsid w:val="004079EE"/>
    <w:rsid w:val="00415E3A"/>
    <w:rsid w:val="00417DE9"/>
    <w:rsid w:val="0042209E"/>
    <w:rsid w:val="00436769"/>
    <w:rsid w:val="00441106"/>
    <w:rsid w:val="0044287D"/>
    <w:rsid w:val="00443FC2"/>
    <w:rsid w:val="004468BF"/>
    <w:rsid w:val="004475E0"/>
    <w:rsid w:val="00471482"/>
    <w:rsid w:val="00474C62"/>
    <w:rsid w:val="004865A4"/>
    <w:rsid w:val="00494547"/>
    <w:rsid w:val="00496C5C"/>
    <w:rsid w:val="004A55AB"/>
    <w:rsid w:val="004B10C6"/>
    <w:rsid w:val="004B6B6A"/>
    <w:rsid w:val="004C4325"/>
    <w:rsid w:val="004D1334"/>
    <w:rsid w:val="004D20E4"/>
    <w:rsid w:val="004F1D99"/>
    <w:rsid w:val="004F5161"/>
    <w:rsid w:val="00506722"/>
    <w:rsid w:val="0051520D"/>
    <w:rsid w:val="00516800"/>
    <w:rsid w:val="00536CE0"/>
    <w:rsid w:val="0053727E"/>
    <w:rsid w:val="00551714"/>
    <w:rsid w:val="00566FB1"/>
    <w:rsid w:val="00573E3D"/>
    <w:rsid w:val="0058068A"/>
    <w:rsid w:val="005860A6"/>
    <w:rsid w:val="005A37D1"/>
    <w:rsid w:val="005A6744"/>
    <w:rsid w:val="005B4331"/>
    <w:rsid w:val="005C03EA"/>
    <w:rsid w:val="005C0C18"/>
    <w:rsid w:val="005D0594"/>
    <w:rsid w:val="005D37D3"/>
    <w:rsid w:val="005D65F2"/>
    <w:rsid w:val="005E36B6"/>
    <w:rsid w:val="005E63D3"/>
    <w:rsid w:val="005F2AF2"/>
    <w:rsid w:val="0061476A"/>
    <w:rsid w:val="00620A8E"/>
    <w:rsid w:val="00620B02"/>
    <w:rsid w:val="0062108F"/>
    <w:rsid w:val="00625754"/>
    <w:rsid w:val="00632BD1"/>
    <w:rsid w:val="00634E40"/>
    <w:rsid w:val="00640C7E"/>
    <w:rsid w:val="00641070"/>
    <w:rsid w:val="00647B95"/>
    <w:rsid w:val="00656566"/>
    <w:rsid w:val="00657DA3"/>
    <w:rsid w:val="006720F4"/>
    <w:rsid w:val="00673078"/>
    <w:rsid w:val="00677A33"/>
    <w:rsid w:val="00693AE4"/>
    <w:rsid w:val="006B2F58"/>
    <w:rsid w:val="006B7195"/>
    <w:rsid w:val="006D0864"/>
    <w:rsid w:val="006D2556"/>
    <w:rsid w:val="006D29F9"/>
    <w:rsid w:val="006D5136"/>
    <w:rsid w:val="0071087C"/>
    <w:rsid w:val="00710CD1"/>
    <w:rsid w:val="0071658D"/>
    <w:rsid w:val="007225F1"/>
    <w:rsid w:val="00730C0C"/>
    <w:rsid w:val="0074449E"/>
    <w:rsid w:val="00744966"/>
    <w:rsid w:val="00744C59"/>
    <w:rsid w:val="007468F3"/>
    <w:rsid w:val="007525B7"/>
    <w:rsid w:val="00756F12"/>
    <w:rsid w:val="00760DE9"/>
    <w:rsid w:val="007648A7"/>
    <w:rsid w:val="00764C20"/>
    <w:rsid w:val="00764E83"/>
    <w:rsid w:val="007656C2"/>
    <w:rsid w:val="00770510"/>
    <w:rsid w:val="00781851"/>
    <w:rsid w:val="00781985"/>
    <w:rsid w:val="0078272F"/>
    <w:rsid w:val="00795263"/>
    <w:rsid w:val="007A2FAD"/>
    <w:rsid w:val="007A49B6"/>
    <w:rsid w:val="007B4465"/>
    <w:rsid w:val="007C63F1"/>
    <w:rsid w:val="007E06C7"/>
    <w:rsid w:val="007E5C34"/>
    <w:rsid w:val="007F1714"/>
    <w:rsid w:val="007F2F5D"/>
    <w:rsid w:val="008018C3"/>
    <w:rsid w:val="0081148D"/>
    <w:rsid w:val="00812970"/>
    <w:rsid w:val="00814D56"/>
    <w:rsid w:val="00821634"/>
    <w:rsid w:val="00825D2E"/>
    <w:rsid w:val="00846DFF"/>
    <w:rsid w:val="008558B8"/>
    <w:rsid w:val="0086738F"/>
    <w:rsid w:val="00880F47"/>
    <w:rsid w:val="00896187"/>
    <w:rsid w:val="00896260"/>
    <w:rsid w:val="008A1719"/>
    <w:rsid w:val="008A3044"/>
    <w:rsid w:val="008B61FA"/>
    <w:rsid w:val="008B73A0"/>
    <w:rsid w:val="008C10F1"/>
    <w:rsid w:val="008C667A"/>
    <w:rsid w:val="008D3A4F"/>
    <w:rsid w:val="008E33ED"/>
    <w:rsid w:val="008F0C84"/>
    <w:rsid w:val="008F1EFE"/>
    <w:rsid w:val="008F2600"/>
    <w:rsid w:val="008F4272"/>
    <w:rsid w:val="00905820"/>
    <w:rsid w:val="0091481D"/>
    <w:rsid w:val="00925313"/>
    <w:rsid w:val="00932BAD"/>
    <w:rsid w:val="0094178B"/>
    <w:rsid w:val="00950B1E"/>
    <w:rsid w:val="0095107B"/>
    <w:rsid w:val="00965754"/>
    <w:rsid w:val="0096598B"/>
    <w:rsid w:val="00972CAA"/>
    <w:rsid w:val="00990763"/>
    <w:rsid w:val="009922F2"/>
    <w:rsid w:val="009A27EB"/>
    <w:rsid w:val="009B4859"/>
    <w:rsid w:val="009B5296"/>
    <w:rsid w:val="009B566C"/>
    <w:rsid w:val="009D2071"/>
    <w:rsid w:val="009D5991"/>
    <w:rsid w:val="009F04BE"/>
    <w:rsid w:val="009F66A4"/>
    <w:rsid w:val="00A044B5"/>
    <w:rsid w:val="00A05531"/>
    <w:rsid w:val="00A1523A"/>
    <w:rsid w:val="00A36EDE"/>
    <w:rsid w:val="00A529E4"/>
    <w:rsid w:val="00A53F42"/>
    <w:rsid w:val="00A5514C"/>
    <w:rsid w:val="00A559FB"/>
    <w:rsid w:val="00A80187"/>
    <w:rsid w:val="00A967C5"/>
    <w:rsid w:val="00A96844"/>
    <w:rsid w:val="00AA2497"/>
    <w:rsid w:val="00AA55D2"/>
    <w:rsid w:val="00AB01E0"/>
    <w:rsid w:val="00AB27C8"/>
    <w:rsid w:val="00AB4132"/>
    <w:rsid w:val="00AB6CB6"/>
    <w:rsid w:val="00AC102B"/>
    <w:rsid w:val="00AC113F"/>
    <w:rsid w:val="00AD135E"/>
    <w:rsid w:val="00AD4676"/>
    <w:rsid w:val="00AE437E"/>
    <w:rsid w:val="00AE4B74"/>
    <w:rsid w:val="00B01382"/>
    <w:rsid w:val="00B0217C"/>
    <w:rsid w:val="00B027AD"/>
    <w:rsid w:val="00B1093F"/>
    <w:rsid w:val="00B10D7F"/>
    <w:rsid w:val="00B1365D"/>
    <w:rsid w:val="00B1368B"/>
    <w:rsid w:val="00B16346"/>
    <w:rsid w:val="00B200F8"/>
    <w:rsid w:val="00B44CB9"/>
    <w:rsid w:val="00B5432C"/>
    <w:rsid w:val="00B574DB"/>
    <w:rsid w:val="00B64D31"/>
    <w:rsid w:val="00B726C3"/>
    <w:rsid w:val="00B801AB"/>
    <w:rsid w:val="00B801FD"/>
    <w:rsid w:val="00B81E08"/>
    <w:rsid w:val="00B9684E"/>
    <w:rsid w:val="00BA24F1"/>
    <w:rsid w:val="00BA335C"/>
    <w:rsid w:val="00BB32E1"/>
    <w:rsid w:val="00BB7A8B"/>
    <w:rsid w:val="00BC119D"/>
    <w:rsid w:val="00BC1B6A"/>
    <w:rsid w:val="00BC6DED"/>
    <w:rsid w:val="00BC7AB9"/>
    <w:rsid w:val="00BE09F5"/>
    <w:rsid w:val="00BE30D0"/>
    <w:rsid w:val="00BF0B08"/>
    <w:rsid w:val="00C13FB0"/>
    <w:rsid w:val="00C14E78"/>
    <w:rsid w:val="00C17FE3"/>
    <w:rsid w:val="00C25420"/>
    <w:rsid w:val="00C302E3"/>
    <w:rsid w:val="00C32A10"/>
    <w:rsid w:val="00C43B3A"/>
    <w:rsid w:val="00C4589D"/>
    <w:rsid w:val="00C52240"/>
    <w:rsid w:val="00C57A35"/>
    <w:rsid w:val="00C60DFA"/>
    <w:rsid w:val="00C70C9F"/>
    <w:rsid w:val="00C807C5"/>
    <w:rsid w:val="00C910AC"/>
    <w:rsid w:val="00CA1D3E"/>
    <w:rsid w:val="00CB379E"/>
    <w:rsid w:val="00CB623E"/>
    <w:rsid w:val="00CB7B0A"/>
    <w:rsid w:val="00CC035D"/>
    <w:rsid w:val="00CC2286"/>
    <w:rsid w:val="00CD58BC"/>
    <w:rsid w:val="00CD6278"/>
    <w:rsid w:val="00CD72C9"/>
    <w:rsid w:val="00CE61FE"/>
    <w:rsid w:val="00D01841"/>
    <w:rsid w:val="00D07502"/>
    <w:rsid w:val="00D139CD"/>
    <w:rsid w:val="00D164C7"/>
    <w:rsid w:val="00D21169"/>
    <w:rsid w:val="00D2143C"/>
    <w:rsid w:val="00D22B0E"/>
    <w:rsid w:val="00D3043C"/>
    <w:rsid w:val="00D30EA2"/>
    <w:rsid w:val="00D31C93"/>
    <w:rsid w:val="00D42EFD"/>
    <w:rsid w:val="00D53DD7"/>
    <w:rsid w:val="00D55177"/>
    <w:rsid w:val="00D623F8"/>
    <w:rsid w:val="00D63FC5"/>
    <w:rsid w:val="00D74BAB"/>
    <w:rsid w:val="00D7517D"/>
    <w:rsid w:val="00D83625"/>
    <w:rsid w:val="00D87DBF"/>
    <w:rsid w:val="00D902C3"/>
    <w:rsid w:val="00DA583C"/>
    <w:rsid w:val="00DA728D"/>
    <w:rsid w:val="00DA7746"/>
    <w:rsid w:val="00DC053C"/>
    <w:rsid w:val="00DC5B83"/>
    <w:rsid w:val="00DE02B0"/>
    <w:rsid w:val="00DE3BDA"/>
    <w:rsid w:val="00DE4C02"/>
    <w:rsid w:val="00DE5642"/>
    <w:rsid w:val="00DF3C59"/>
    <w:rsid w:val="00DF3C75"/>
    <w:rsid w:val="00E030E9"/>
    <w:rsid w:val="00E057C9"/>
    <w:rsid w:val="00E10CF3"/>
    <w:rsid w:val="00E153E4"/>
    <w:rsid w:val="00E26326"/>
    <w:rsid w:val="00E31276"/>
    <w:rsid w:val="00E32560"/>
    <w:rsid w:val="00E37EE1"/>
    <w:rsid w:val="00E56989"/>
    <w:rsid w:val="00E67B52"/>
    <w:rsid w:val="00E73F76"/>
    <w:rsid w:val="00E764D2"/>
    <w:rsid w:val="00E81D88"/>
    <w:rsid w:val="00E8216E"/>
    <w:rsid w:val="00E971E5"/>
    <w:rsid w:val="00EC6DE9"/>
    <w:rsid w:val="00ED42A8"/>
    <w:rsid w:val="00EE3B35"/>
    <w:rsid w:val="00EF1FFF"/>
    <w:rsid w:val="00EF3AD6"/>
    <w:rsid w:val="00EF780F"/>
    <w:rsid w:val="00F02D82"/>
    <w:rsid w:val="00F049C5"/>
    <w:rsid w:val="00F06C7F"/>
    <w:rsid w:val="00F2187F"/>
    <w:rsid w:val="00F32C1F"/>
    <w:rsid w:val="00F3327A"/>
    <w:rsid w:val="00F54CB4"/>
    <w:rsid w:val="00F62155"/>
    <w:rsid w:val="00F6523A"/>
    <w:rsid w:val="00F65D9F"/>
    <w:rsid w:val="00F661B9"/>
    <w:rsid w:val="00F71442"/>
    <w:rsid w:val="00F717E8"/>
    <w:rsid w:val="00F73905"/>
    <w:rsid w:val="00F90A69"/>
    <w:rsid w:val="00FA0AAB"/>
    <w:rsid w:val="00FB36E5"/>
    <w:rsid w:val="00FD12B3"/>
    <w:rsid w:val="00FE4D67"/>
    <w:rsid w:val="00FE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859"/>
    <w:rPr>
      <w:sz w:val="24"/>
    </w:rPr>
  </w:style>
  <w:style w:type="paragraph" w:styleId="Heading1">
    <w:name w:val="heading 1"/>
    <w:basedOn w:val="Normal"/>
    <w:next w:val="Normal"/>
    <w:link w:val="Heading1Char"/>
    <w:autoRedefine/>
    <w:qFormat/>
    <w:rsid w:val="009B4859"/>
    <w:pPr>
      <w:keepNext/>
      <w:spacing w:after="240"/>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autoRedefine/>
    <w:qFormat/>
    <w:rsid w:val="009B4859"/>
    <w:pPr>
      <w:keepNext/>
      <w:spacing w:after="240"/>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
    <w:basedOn w:val="Normal"/>
    <w:link w:val="FootnoteTextChar"/>
    <w:uiPriority w:val="99"/>
    <w:rsid w:val="00DA7746"/>
    <w:pPr>
      <w:spacing w:before="120"/>
    </w:pPr>
    <w:rPr>
      <w:sz w:val="20"/>
    </w:rPr>
  </w:style>
  <w:style w:type="character" w:styleId="FootnoteReference">
    <w:name w:val="footnote reference"/>
    <w:aliases w:val="o,fr,Style 3,Style 13,Appel note de bas de p,Style 12,(NECG) Footnote Reference,Style 124"/>
    <w:uiPriority w:val="99"/>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uiPriority w:val="99"/>
    <w:rPr>
      <w:sz w:val="18"/>
    </w:rPr>
  </w:style>
  <w:style w:type="paragraph" w:styleId="CommentText">
    <w:name w:val="annotation text"/>
    <w:basedOn w:val="Normal"/>
    <w:link w:val="CommentTextChar"/>
    <w:uiPriority w:val="99"/>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FootnoteTextChar">
    <w:name w:val="Footnote Text Char"/>
    <w:aliases w:val="Footnote Text Char1 Char1,Footnote Text Char Char Char1,Footnote Text Char1 Char Char1 Char1,Footnote Text Char Char Char Char Char1,Footnote Text Char2 Char Char Char Char1 Char1,Footnote Text Char1 Char Char1 Char Char Char Char1"/>
    <w:link w:val="FootnoteText"/>
    <w:uiPriority w:val="99"/>
    <w:locked/>
    <w:rsid w:val="00DA7746"/>
  </w:style>
  <w:style w:type="character" w:customStyle="1" w:styleId="StyleFooter12ptChar">
    <w:name w:val="Style Footer + 12 pt Char"/>
    <w:link w:val="StyleFooter12pt"/>
    <w:locked/>
    <w:rsid w:val="00E31276"/>
    <w:rPr>
      <w:sz w:val="24"/>
    </w:rPr>
  </w:style>
  <w:style w:type="character" w:customStyle="1" w:styleId="BodyTextChar">
    <w:name w:val="Body Text Char"/>
    <w:link w:val="BodyText"/>
    <w:rsid w:val="00DA7746"/>
    <w:rPr>
      <w:sz w:val="24"/>
    </w:rPr>
  </w:style>
  <w:style w:type="character" w:customStyle="1" w:styleId="BodyTextIndentChar">
    <w:name w:val="Body Text Indent Char"/>
    <w:link w:val="BodyTextIndent"/>
    <w:rsid w:val="00DA7746"/>
    <w:rPr>
      <w:sz w:val="24"/>
    </w:rPr>
  </w:style>
  <w:style w:type="paragraph" w:customStyle="1" w:styleId="StyleFooter12pt">
    <w:name w:val="Style Footer + 12 pt"/>
    <w:basedOn w:val="Footer"/>
    <w:link w:val="StyleFooter12ptChar"/>
    <w:rsid w:val="00E31276"/>
    <w:pPr>
      <w:framePr w:wrap="around" w:vAnchor="text" w:hAnchor="text" w:y="1"/>
      <w:widowControl w:val="0"/>
    </w:pPr>
    <w:rPr>
      <w:sz w:val="24"/>
    </w:rPr>
  </w:style>
  <w:style w:type="character" w:customStyle="1" w:styleId="HeaderChar">
    <w:name w:val="Header Char"/>
    <w:link w:val="Header"/>
    <w:rsid w:val="00E37EE1"/>
    <w:rPr>
      <w:sz w:val="24"/>
    </w:rPr>
  </w:style>
  <w:style w:type="character" w:customStyle="1" w:styleId="Heading1Char">
    <w:name w:val="Heading 1 Char"/>
    <w:link w:val="Heading1"/>
    <w:rsid w:val="0096598B"/>
    <w:rPr>
      <w:b/>
      <w:sz w:val="24"/>
      <w:szCs w:val="24"/>
      <w:u w:val="single"/>
    </w:rPr>
  </w:style>
  <w:style w:type="character" w:customStyle="1" w:styleId="FooterChar">
    <w:name w:val="Footer Char"/>
    <w:link w:val="Footer"/>
    <w:rsid w:val="002242E0"/>
  </w:style>
  <w:style w:type="character" w:customStyle="1" w:styleId="BodyTextIndent3Char">
    <w:name w:val="Body Text Indent 3 Char"/>
    <w:link w:val="BodyTextIndent3"/>
    <w:rsid w:val="002242E0"/>
    <w:rPr>
      <w:sz w:val="24"/>
    </w:rPr>
  </w:style>
  <w:style w:type="paragraph" w:styleId="NormalWeb">
    <w:name w:val="Normal (Web)"/>
    <w:basedOn w:val="Normal"/>
    <w:uiPriority w:val="99"/>
    <w:unhideWhenUsed/>
    <w:rsid w:val="008F2600"/>
    <w:pPr>
      <w:spacing w:before="100" w:beforeAutospacing="1" w:after="100" w:afterAutospacing="1"/>
    </w:pPr>
    <w:rPr>
      <w:szCs w:val="24"/>
    </w:rPr>
  </w:style>
  <w:style w:type="paragraph" w:customStyle="1" w:styleId="ColorfulList-Accent11">
    <w:name w:val="Colorful List - Accent 11"/>
    <w:basedOn w:val="Normal"/>
    <w:uiPriority w:val="34"/>
    <w:qFormat/>
    <w:rsid w:val="008F2600"/>
    <w:pPr>
      <w:spacing w:after="200" w:line="276" w:lineRule="auto"/>
      <w:ind w:left="720"/>
      <w:contextualSpacing/>
    </w:pPr>
    <w:rPr>
      <w:rFonts w:ascii="Calibri" w:eastAsia="Calibri" w:hAnsi="Calibri"/>
      <w:sz w:val="22"/>
      <w:szCs w:val="22"/>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uiPriority w:val="99"/>
    <w:locked/>
    <w:rsid w:val="00FE744A"/>
    <w:rPr>
      <w:lang w:val="en-US" w:eastAsia="en-US" w:bidi="ar-SA"/>
    </w:rPr>
  </w:style>
  <w:style w:type="character" w:customStyle="1" w:styleId="CommentTextChar">
    <w:name w:val="Comment Text Char"/>
    <w:link w:val="CommentText"/>
    <w:uiPriority w:val="99"/>
    <w:rsid w:val="00FE74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859"/>
    <w:rPr>
      <w:sz w:val="24"/>
    </w:rPr>
  </w:style>
  <w:style w:type="paragraph" w:styleId="Heading1">
    <w:name w:val="heading 1"/>
    <w:basedOn w:val="Normal"/>
    <w:next w:val="Normal"/>
    <w:link w:val="Heading1Char"/>
    <w:autoRedefine/>
    <w:qFormat/>
    <w:rsid w:val="009B4859"/>
    <w:pPr>
      <w:keepNext/>
      <w:spacing w:after="240"/>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autoRedefine/>
    <w:qFormat/>
    <w:rsid w:val="009B4859"/>
    <w:pPr>
      <w:keepNext/>
      <w:spacing w:after="240"/>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
    <w:basedOn w:val="Normal"/>
    <w:link w:val="FootnoteTextChar"/>
    <w:uiPriority w:val="99"/>
    <w:rsid w:val="00DA7746"/>
    <w:pPr>
      <w:spacing w:before="120"/>
    </w:pPr>
    <w:rPr>
      <w:sz w:val="20"/>
    </w:rPr>
  </w:style>
  <w:style w:type="character" w:styleId="FootnoteReference">
    <w:name w:val="footnote reference"/>
    <w:aliases w:val="o,fr,Style 3,Style 13,Appel note de bas de p,Style 12,(NECG) Footnote Reference,Style 124"/>
    <w:uiPriority w:val="99"/>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uiPriority w:val="99"/>
    <w:rPr>
      <w:sz w:val="18"/>
    </w:rPr>
  </w:style>
  <w:style w:type="paragraph" w:styleId="CommentText">
    <w:name w:val="annotation text"/>
    <w:basedOn w:val="Normal"/>
    <w:link w:val="CommentTextChar"/>
    <w:uiPriority w:val="99"/>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FootnoteTextChar">
    <w:name w:val="Footnote Text Char"/>
    <w:aliases w:val="Footnote Text Char1 Char1,Footnote Text Char Char Char1,Footnote Text Char1 Char Char1 Char1,Footnote Text Char Char Char Char Char1,Footnote Text Char2 Char Char Char Char1 Char1,Footnote Text Char1 Char Char1 Char Char Char Char1"/>
    <w:link w:val="FootnoteText"/>
    <w:uiPriority w:val="99"/>
    <w:locked/>
    <w:rsid w:val="00DA7746"/>
  </w:style>
  <w:style w:type="character" w:customStyle="1" w:styleId="StyleFooter12ptChar">
    <w:name w:val="Style Footer + 12 pt Char"/>
    <w:link w:val="StyleFooter12pt"/>
    <w:locked/>
    <w:rsid w:val="00E31276"/>
    <w:rPr>
      <w:sz w:val="24"/>
    </w:rPr>
  </w:style>
  <w:style w:type="character" w:customStyle="1" w:styleId="BodyTextChar">
    <w:name w:val="Body Text Char"/>
    <w:link w:val="BodyText"/>
    <w:rsid w:val="00DA7746"/>
    <w:rPr>
      <w:sz w:val="24"/>
    </w:rPr>
  </w:style>
  <w:style w:type="character" w:customStyle="1" w:styleId="BodyTextIndentChar">
    <w:name w:val="Body Text Indent Char"/>
    <w:link w:val="BodyTextIndent"/>
    <w:rsid w:val="00DA7746"/>
    <w:rPr>
      <w:sz w:val="24"/>
    </w:rPr>
  </w:style>
  <w:style w:type="paragraph" w:customStyle="1" w:styleId="StyleFooter12pt">
    <w:name w:val="Style Footer + 12 pt"/>
    <w:basedOn w:val="Footer"/>
    <w:link w:val="StyleFooter12ptChar"/>
    <w:rsid w:val="00E31276"/>
    <w:pPr>
      <w:framePr w:wrap="around" w:vAnchor="text" w:hAnchor="text" w:y="1"/>
      <w:widowControl w:val="0"/>
    </w:pPr>
    <w:rPr>
      <w:sz w:val="24"/>
    </w:rPr>
  </w:style>
  <w:style w:type="character" w:customStyle="1" w:styleId="HeaderChar">
    <w:name w:val="Header Char"/>
    <w:link w:val="Header"/>
    <w:rsid w:val="00E37EE1"/>
    <w:rPr>
      <w:sz w:val="24"/>
    </w:rPr>
  </w:style>
  <w:style w:type="character" w:customStyle="1" w:styleId="Heading1Char">
    <w:name w:val="Heading 1 Char"/>
    <w:link w:val="Heading1"/>
    <w:rsid w:val="0096598B"/>
    <w:rPr>
      <w:b/>
      <w:sz w:val="24"/>
      <w:szCs w:val="24"/>
      <w:u w:val="single"/>
    </w:rPr>
  </w:style>
  <w:style w:type="character" w:customStyle="1" w:styleId="FooterChar">
    <w:name w:val="Footer Char"/>
    <w:link w:val="Footer"/>
    <w:rsid w:val="002242E0"/>
  </w:style>
  <w:style w:type="character" w:customStyle="1" w:styleId="BodyTextIndent3Char">
    <w:name w:val="Body Text Indent 3 Char"/>
    <w:link w:val="BodyTextIndent3"/>
    <w:rsid w:val="002242E0"/>
    <w:rPr>
      <w:sz w:val="24"/>
    </w:rPr>
  </w:style>
  <w:style w:type="paragraph" w:styleId="NormalWeb">
    <w:name w:val="Normal (Web)"/>
    <w:basedOn w:val="Normal"/>
    <w:uiPriority w:val="99"/>
    <w:unhideWhenUsed/>
    <w:rsid w:val="008F2600"/>
    <w:pPr>
      <w:spacing w:before="100" w:beforeAutospacing="1" w:after="100" w:afterAutospacing="1"/>
    </w:pPr>
    <w:rPr>
      <w:szCs w:val="24"/>
    </w:rPr>
  </w:style>
  <w:style w:type="paragraph" w:customStyle="1" w:styleId="ColorfulList-Accent11">
    <w:name w:val="Colorful List - Accent 11"/>
    <w:basedOn w:val="Normal"/>
    <w:uiPriority w:val="34"/>
    <w:qFormat/>
    <w:rsid w:val="008F2600"/>
    <w:pPr>
      <w:spacing w:after="200" w:line="276" w:lineRule="auto"/>
      <w:ind w:left="720"/>
      <w:contextualSpacing/>
    </w:pPr>
    <w:rPr>
      <w:rFonts w:ascii="Calibri" w:eastAsia="Calibri" w:hAnsi="Calibri"/>
      <w:sz w:val="22"/>
      <w:szCs w:val="22"/>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uiPriority w:val="99"/>
    <w:locked/>
    <w:rsid w:val="00FE744A"/>
    <w:rPr>
      <w:lang w:val="en-US" w:eastAsia="en-US" w:bidi="ar-SA"/>
    </w:rPr>
  </w:style>
  <w:style w:type="character" w:customStyle="1" w:styleId="CommentTextChar">
    <w:name w:val="Comment Text Char"/>
    <w:link w:val="CommentText"/>
    <w:uiPriority w:val="99"/>
    <w:rsid w:val="00FE74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e.kern@occ.ohio.gov" TargetMode="External"/><Relationship Id="rId13" Type="http://schemas.openxmlformats.org/officeDocument/2006/relationships/hyperlink" Target="mailto:sam@mwncmh.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andy.willey@puc.state.oh.u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seph.clark@directenergy.com" TargetMode="External"/><Relationship Id="rId5" Type="http://schemas.openxmlformats.org/officeDocument/2006/relationships/webSettings" Target="webSettings.xml"/><Relationship Id="rId15" Type="http://schemas.openxmlformats.org/officeDocument/2006/relationships/hyperlink" Target="mailto:mpritchard@mwncmh.com" TargetMode="External"/><Relationship Id="rId23" Type="http://schemas.openxmlformats.org/officeDocument/2006/relationships/theme" Target="theme/theme1.xml"/><Relationship Id="rId10" Type="http://schemas.openxmlformats.org/officeDocument/2006/relationships/hyperlink" Target="mailto:William.wright@puc.state.oh.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ichael.schuler@occ.ohio.gov" TargetMode="External"/><Relationship Id="rId14" Type="http://schemas.openxmlformats.org/officeDocument/2006/relationships/hyperlink" Target="mailto:fdarr@mwncmh.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1874</Words>
  <Characters>10842</Characters>
  <Application>Microsoft Office Word</Application>
  <DocSecurity>0</DocSecurity>
  <Lines>253</Lines>
  <Paragraphs>74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12766</CharactersWithSpaces>
  <SharedDoc>false</SharedDoc>
  <HyperlinkBase> </HyperlinkBase>
  <HLinks>
    <vt:vector size="24" baseType="variant">
      <vt:variant>
        <vt:i4>5111864</vt:i4>
      </vt:variant>
      <vt:variant>
        <vt:i4>9</vt:i4>
      </vt:variant>
      <vt:variant>
        <vt:i4>0</vt:i4>
      </vt:variant>
      <vt:variant>
        <vt:i4>5</vt:i4>
      </vt:variant>
      <vt:variant>
        <vt:lpwstr>mailto:Mandy.willey@puc.state.oh.us</vt:lpwstr>
      </vt:variant>
      <vt:variant>
        <vt:lpwstr/>
      </vt:variant>
      <vt:variant>
        <vt:i4>2293828</vt:i4>
      </vt:variant>
      <vt:variant>
        <vt:i4>6</vt:i4>
      </vt:variant>
      <vt:variant>
        <vt:i4>0</vt:i4>
      </vt:variant>
      <vt:variant>
        <vt:i4>5</vt:i4>
      </vt:variant>
      <vt:variant>
        <vt:lpwstr>mailto:William.wright@puc.state.oh.us</vt:lpwstr>
      </vt:variant>
      <vt:variant>
        <vt:lpwstr/>
      </vt:variant>
      <vt:variant>
        <vt:i4>3080222</vt:i4>
      </vt:variant>
      <vt:variant>
        <vt:i4>3</vt:i4>
      </vt:variant>
      <vt:variant>
        <vt:i4>0</vt:i4>
      </vt:variant>
      <vt:variant>
        <vt:i4>5</vt:i4>
      </vt:variant>
      <vt:variant>
        <vt:lpwstr>mailto:Michael.schuler@occ.ohio.gov</vt:lpwstr>
      </vt:variant>
      <vt:variant>
        <vt:lpwstr/>
      </vt:variant>
      <vt:variant>
        <vt:i4>720930</vt:i4>
      </vt:variant>
      <vt:variant>
        <vt:i4>0</vt:i4>
      </vt:variant>
      <vt:variant>
        <vt:i4>0</vt:i4>
      </vt:variant>
      <vt:variant>
        <vt:i4>5</vt:i4>
      </vt:variant>
      <vt:variant>
        <vt:lpwstr>mailto:Kyle.kern@occ.ohio.gov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2014-11-05T19:00:00Z</cp:lastPrinted>
  <dcterms:created xsi:type="dcterms:W3CDTF">2014-11-05T20:35:00Z</dcterms:created>
  <dcterms:modified xsi:type="dcterms:W3CDTF">2014-11-05T20:35:00Z</dcterms:modified>
  <cp:category> </cp:category>
  <cp:contentStatus> </cp:contentStatus>
</cp:coreProperties>
</file>