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14:paraId="136D9613"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14:paraId="6E23074E"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14:paraId="50DC2236" w14:textId="77777777">
      <w:pPr>
        <w:pStyle w:val="HTMLPreformatted"/>
        <w:rPr>
          <w:rFonts w:ascii="Times New Roman" w:hAnsi="Times New Roman"/>
          <w:sz w:val="24"/>
        </w:rPr>
      </w:pPr>
    </w:p>
    <w:tbl>
      <w:tblPr>
        <w:tblW w:w="9092" w:type="dxa"/>
        <w:tblLook w:val="01E0"/>
      </w:tblPr>
      <w:tblGrid>
        <w:gridCol w:w="4332"/>
        <w:gridCol w:w="360"/>
        <w:gridCol w:w="4400"/>
      </w:tblGrid>
      <w:tr w14:paraId="2ACBC2D7" w14:textId="77777777" w:rsidTr="00A044B5">
        <w:tblPrEx>
          <w:tblW w:w="9092" w:type="dxa"/>
          <w:tblLook w:val="01E0"/>
        </w:tblPrEx>
        <w:trPr>
          <w:trHeight w:val="807"/>
        </w:trPr>
        <w:tc>
          <w:tcPr>
            <w:tcW w:w="4332" w:type="dxa"/>
            <w:shd w:val="clear" w:color="auto" w:fill="auto"/>
          </w:tcPr>
          <w:p w:rsidR="00A044B5" w:rsidRPr="00A044B5" w:rsidP="00F66530" w14:paraId="28195A98"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sidR="00F66530">
              <w:rPr>
                <w:rFonts w:ascii="Times New Roman" w:hAnsi="Times New Roman" w:cs="Times New Roman"/>
                <w:sz w:val="24"/>
                <w:szCs w:val="24"/>
              </w:rPr>
              <w:t xml:space="preserve"> the Commission’s Investigation into Electric Vehicle Charging Service in this State</w:t>
            </w:r>
            <w:r w:rsidR="00E50295">
              <w:rPr>
                <w:rFonts w:ascii="Times New Roman" w:hAnsi="Times New Roman" w:cs="Times New Roman"/>
                <w:sz w:val="24"/>
                <w:szCs w:val="24"/>
              </w:rPr>
              <w:t>.</w:t>
            </w:r>
          </w:p>
        </w:tc>
        <w:tc>
          <w:tcPr>
            <w:tcW w:w="360" w:type="dxa"/>
            <w:shd w:val="clear" w:color="auto" w:fill="auto"/>
          </w:tcPr>
          <w:p w:rsidR="00A044B5" w:rsidRPr="00A044B5" w14:paraId="6FB53F0D" w14:textId="77777777">
            <w:pPr>
              <w:pStyle w:val="HTMLPreformatted"/>
              <w:rPr>
                <w:rFonts w:ascii="Times New Roman" w:hAnsi="Times New Roman"/>
                <w:sz w:val="24"/>
              </w:rPr>
            </w:pPr>
            <w:r w:rsidRPr="00A044B5">
              <w:rPr>
                <w:rFonts w:ascii="Times New Roman" w:hAnsi="Times New Roman"/>
                <w:sz w:val="24"/>
              </w:rPr>
              <w:t>)</w:t>
            </w:r>
          </w:p>
          <w:p w:rsidR="00A044B5" w:rsidRPr="00A044B5" w14:paraId="1740BAA7" w14:textId="77777777">
            <w:pPr>
              <w:pStyle w:val="HTMLPreformatted"/>
              <w:rPr>
                <w:rFonts w:ascii="Times New Roman" w:hAnsi="Times New Roman"/>
                <w:sz w:val="24"/>
              </w:rPr>
            </w:pPr>
            <w:r w:rsidRPr="00A044B5">
              <w:rPr>
                <w:rFonts w:ascii="Times New Roman" w:hAnsi="Times New Roman"/>
                <w:sz w:val="24"/>
              </w:rPr>
              <w:t>)</w:t>
            </w:r>
          </w:p>
          <w:p w:rsidR="00A044B5" w:rsidRPr="00A044B5" w14:paraId="294565EC" w14:textId="77777777">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A044B5" w:rsidRPr="00A044B5" w14:paraId="6663CCA0" w14:textId="77777777">
            <w:pPr>
              <w:pStyle w:val="HTMLPreformatted"/>
              <w:rPr>
                <w:rFonts w:ascii="Times New Roman" w:hAnsi="Times New Roman"/>
                <w:sz w:val="24"/>
              </w:rPr>
            </w:pPr>
          </w:p>
          <w:p w:rsidR="00A044B5" w:rsidRPr="00A044B5" w14:paraId="1DADF151" w14:textId="77777777">
            <w:pPr>
              <w:pStyle w:val="HTMLPreformatted"/>
              <w:rPr>
                <w:rFonts w:ascii="Times New Roman" w:hAnsi="Times New Roman"/>
                <w:sz w:val="24"/>
              </w:rPr>
            </w:pPr>
            <w:r w:rsidRPr="00A044B5">
              <w:rPr>
                <w:rFonts w:ascii="Times New Roman" w:hAnsi="Times New Roman"/>
                <w:sz w:val="24"/>
              </w:rPr>
              <w:t xml:space="preserve">Case No. </w:t>
            </w:r>
            <w:r w:rsidR="00F66530">
              <w:rPr>
                <w:rFonts w:ascii="Times New Roman" w:hAnsi="Times New Roman"/>
                <w:sz w:val="24"/>
              </w:rPr>
              <w:t>20-434-EL-COI</w:t>
            </w:r>
          </w:p>
          <w:p w:rsidR="00A044B5" w:rsidRPr="00A044B5" w14:paraId="350F6613" w14:textId="77777777">
            <w:pPr>
              <w:pStyle w:val="HTMLPreformatted"/>
              <w:rPr>
                <w:rFonts w:ascii="Times New Roman" w:hAnsi="Times New Roman"/>
                <w:sz w:val="24"/>
              </w:rPr>
            </w:pPr>
          </w:p>
        </w:tc>
      </w:tr>
    </w:tbl>
    <w:p w:rsidR="00A044B5" w14:paraId="65FE8712" w14:textId="77777777">
      <w:pPr>
        <w:pStyle w:val="HTMLPreformatted"/>
        <w:rPr>
          <w:rFonts w:ascii="Times New Roman" w:hAnsi="Times New Roman"/>
          <w:sz w:val="24"/>
        </w:rPr>
      </w:pPr>
    </w:p>
    <w:p w:rsidR="00A044B5" w14:paraId="7090BCFD" w14:textId="77777777">
      <w:pPr>
        <w:pStyle w:val="HTMLPreformatted"/>
        <w:pBdr>
          <w:top w:val="single" w:sz="12" w:space="1" w:color="auto"/>
        </w:pBdr>
        <w:rPr>
          <w:rFonts w:ascii="Times New Roman" w:hAnsi="Times New Roman"/>
          <w:sz w:val="24"/>
        </w:rPr>
      </w:pPr>
    </w:p>
    <w:p w:rsidR="00A044B5" w14:paraId="7BAF34FC" w14:textId="77777777">
      <w:pPr>
        <w:jc w:val="center"/>
        <w:rPr>
          <w:b/>
          <w:bCs/>
        </w:rPr>
      </w:pPr>
      <w:r>
        <w:rPr>
          <w:b/>
          <w:bCs/>
        </w:rPr>
        <w:t>MOTION TO INTERVENE</w:t>
      </w:r>
    </w:p>
    <w:p w:rsidR="00A044B5" w14:paraId="0B90AA27" w14:textId="77777777">
      <w:pPr>
        <w:jc w:val="center"/>
        <w:rPr>
          <w:b/>
          <w:bCs/>
        </w:rPr>
      </w:pPr>
      <w:r>
        <w:rPr>
          <w:b/>
          <w:bCs/>
        </w:rPr>
        <w:t>BY</w:t>
      </w:r>
    </w:p>
    <w:p w:rsidR="00A044B5" w14:paraId="47DC3E5C" w14:textId="77777777">
      <w:pPr>
        <w:jc w:val="center"/>
        <w:rPr>
          <w:b/>
          <w:bCs/>
        </w:rPr>
      </w:pPr>
      <w:r>
        <w:rPr>
          <w:b/>
          <w:bCs/>
        </w:rPr>
        <w:t>THE OFFICE OF THE OHIO CONSUMERS’ COUNSEL</w:t>
      </w:r>
    </w:p>
    <w:p w:rsidR="00A044B5" w14:paraId="67511EFE" w14:textId="77777777">
      <w:pPr>
        <w:pBdr>
          <w:bottom w:val="single" w:sz="12" w:space="1" w:color="auto"/>
        </w:pBdr>
        <w:tabs>
          <w:tab w:val="left" w:pos="4320"/>
        </w:tabs>
      </w:pPr>
    </w:p>
    <w:p w:rsidR="00A044B5" w14:paraId="2E1EF2BB" w14:textId="77777777">
      <w:pPr>
        <w:tabs>
          <w:tab w:val="left" w:pos="4320"/>
        </w:tabs>
      </w:pPr>
    </w:p>
    <w:p w:rsidR="00A044B5" w:rsidP="00034B95" w14:paraId="7452BE75" w14:textId="7722FCD2">
      <w:pPr>
        <w:pStyle w:val="BodyTextIndent3"/>
        <w:widowControl w:val="0"/>
        <w:spacing w:line="480" w:lineRule="auto"/>
        <w:ind w:right="-312"/>
      </w:pPr>
      <w:r>
        <w:t xml:space="preserve">The Office of the Ohio Consumers’ Counsel (“OCC”) moves to intervene </w:t>
      </w:r>
      <w:r w:rsidR="0020004A">
        <w:t>on behalf of residential electric utility customers</w:t>
      </w:r>
      <w:r>
        <w:rPr>
          <w:rStyle w:val="FootnoteReference"/>
        </w:rPr>
        <w:footnoteReference w:id="2"/>
      </w:r>
      <w:r w:rsidR="0020004A">
        <w:t xml:space="preserve"> </w:t>
      </w:r>
      <w:r>
        <w:t xml:space="preserve">where </w:t>
      </w:r>
      <w:r w:rsidR="00F66530">
        <w:t>the Public Utilities Commission of Ohio (“PUCO”) will consider “whether an entity that provides electric vehicle charging service is a public utility subject to the jurisdiction of the Commission.”</w:t>
      </w:r>
      <w:r>
        <w:rPr>
          <w:rStyle w:val="FootnoteReference"/>
        </w:rPr>
        <w:footnoteReference w:id="3"/>
      </w:r>
      <w:r>
        <w:t xml:space="preserve"> The reasons the </w:t>
      </w:r>
      <w:r w:rsidR="00F66530">
        <w:t>PUCO</w:t>
      </w:r>
      <w:r>
        <w:t xml:space="preserve"> should grant OCC’s </w:t>
      </w:r>
      <w:r w:rsidR="00F66530">
        <w:t>m</w:t>
      </w:r>
      <w:r>
        <w:t xml:space="preserve">otion are further set forth in the attached </w:t>
      </w:r>
      <w:r w:rsidR="00F66530">
        <w:t>m</w:t>
      </w:r>
      <w:r>
        <w:t xml:space="preserve">emorandum in </w:t>
      </w:r>
      <w:r w:rsidR="00F66530">
        <w:t>s</w:t>
      </w:r>
      <w:r>
        <w:t>upport.</w:t>
      </w:r>
    </w:p>
    <w:p w:rsidR="00034B95" w:rsidP="00034B95" w14:paraId="32A5559E" w14:textId="77777777">
      <w:pPr>
        <w:pStyle w:val="BodyTextIndent3"/>
        <w:widowControl w:val="0"/>
        <w:spacing w:line="240" w:lineRule="auto"/>
        <w:ind w:left="3600" w:right="-672" w:firstLine="360"/>
        <w:rPr>
          <w:szCs w:val="24"/>
        </w:rPr>
      </w:pPr>
      <w:r>
        <w:rPr>
          <w:szCs w:val="24"/>
        </w:rPr>
        <w:t>Respectfully submitted,</w:t>
      </w:r>
    </w:p>
    <w:p w:rsidR="00034B95" w:rsidP="00034B95" w14:paraId="0BD25117" w14:textId="77777777">
      <w:pPr>
        <w:pStyle w:val="Footer"/>
        <w:tabs>
          <w:tab w:val="clear" w:pos="4320"/>
          <w:tab w:val="clear" w:pos="8640"/>
        </w:tabs>
        <w:spacing w:before="240"/>
        <w:ind w:firstLine="3960"/>
        <w:rPr>
          <w:sz w:val="24"/>
          <w:szCs w:val="24"/>
        </w:rPr>
      </w:pPr>
      <w:r>
        <w:rPr>
          <w:sz w:val="24"/>
          <w:szCs w:val="24"/>
        </w:rPr>
        <w:t>Bruce Weston (0016973)</w:t>
      </w:r>
    </w:p>
    <w:p w:rsidR="00034B95" w:rsidP="00034B95" w14:paraId="1E7D85CC" w14:textId="77777777">
      <w:pPr>
        <w:ind w:firstLine="3960"/>
        <w:rPr>
          <w:szCs w:val="24"/>
        </w:rPr>
      </w:pPr>
      <w:r>
        <w:rPr>
          <w:szCs w:val="24"/>
        </w:rPr>
        <w:t>Ohio Consumers’ Counsel</w:t>
      </w:r>
    </w:p>
    <w:p w:rsidR="00034B95" w:rsidP="00034B95" w14:paraId="50829D8E" w14:textId="77777777">
      <w:pPr>
        <w:ind w:firstLine="3960"/>
        <w:rPr>
          <w:szCs w:val="24"/>
        </w:rPr>
      </w:pPr>
    </w:p>
    <w:p w:rsidR="00034B95" w:rsidRPr="001A05CC" w:rsidP="00034B95" w14:paraId="3DE31E23" w14:textId="77777777">
      <w:pPr>
        <w:tabs>
          <w:tab w:val="left" w:pos="4320"/>
        </w:tabs>
        <w:ind w:firstLine="3960"/>
        <w:rPr>
          <w:i/>
          <w:iCs/>
          <w:szCs w:val="24"/>
          <w:u w:val="single"/>
        </w:rPr>
      </w:pPr>
      <w:r>
        <w:rPr>
          <w:i/>
          <w:iCs/>
          <w:szCs w:val="24"/>
          <w:u w:val="single"/>
        </w:rPr>
        <w:t>/s/ Christopher Healey</w:t>
      </w:r>
      <w:r>
        <w:rPr>
          <w:i/>
          <w:iCs/>
          <w:szCs w:val="24"/>
          <w:u w:val="single"/>
        </w:rPr>
        <w:tab/>
      </w:r>
      <w:r>
        <w:rPr>
          <w:i/>
          <w:iCs/>
          <w:szCs w:val="24"/>
          <w:u w:val="single"/>
        </w:rPr>
        <w:tab/>
      </w:r>
      <w:r>
        <w:rPr>
          <w:i/>
          <w:iCs/>
          <w:szCs w:val="24"/>
          <w:u w:val="single"/>
        </w:rPr>
        <w:tab/>
      </w:r>
    </w:p>
    <w:p w:rsidR="00034B95" w:rsidP="00034B95" w14:paraId="4D07FE7A" w14:textId="77777777">
      <w:pPr>
        <w:tabs>
          <w:tab w:val="left" w:pos="4320"/>
        </w:tabs>
        <w:ind w:firstLine="3960"/>
        <w:rPr>
          <w:szCs w:val="24"/>
        </w:rPr>
      </w:pPr>
      <w:r>
        <w:rPr>
          <w:szCs w:val="24"/>
        </w:rPr>
        <w:t>Christopher Healey (0086027)</w:t>
      </w:r>
    </w:p>
    <w:p w:rsidR="00034B95" w:rsidP="00034B95" w14:paraId="46BA7F63" w14:textId="77777777">
      <w:pPr>
        <w:tabs>
          <w:tab w:val="left" w:pos="4320"/>
        </w:tabs>
        <w:ind w:firstLine="3960"/>
        <w:rPr>
          <w:szCs w:val="24"/>
        </w:rPr>
      </w:pPr>
      <w:r>
        <w:rPr>
          <w:szCs w:val="24"/>
        </w:rPr>
        <w:t>Counsel of Record</w:t>
      </w:r>
    </w:p>
    <w:p w:rsidR="00034B95" w:rsidP="00034B95" w14:paraId="7BB5D679" w14:textId="77777777">
      <w:pPr>
        <w:tabs>
          <w:tab w:val="left" w:pos="4320"/>
        </w:tabs>
        <w:ind w:firstLine="3960"/>
        <w:rPr>
          <w:szCs w:val="24"/>
        </w:rPr>
      </w:pPr>
      <w:r>
        <w:rPr>
          <w:szCs w:val="24"/>
        </w:rPr>
        <w:t>Amy Botschner O’Brien (0074423)</w:t>
      </w:r>
    </w:p>
    <w:p w:rsidR="00034B95" w:rsidP="00034B95" w14:paraId="09F1D42D" w14:textId="77777777">
      <w:pPr>
        <w:tabs>
          <w:tab w:val="left" w:pos="4320"/>
        </w:tabs>
        <w:ind w:firstLine="3960"/>
        <w:rPr>
          <w:szCs w:val="24"/>
        </w:rPr>
      </w:pPr>
      <w:r>
        <w:rPr>
          <w:szCs w:val="24"/>
        </w:rPr>
        <w:t>Assistant Consumers’ Counsel</w:t>
      </w:r>
    </w:p>
    <w:p w:rsidR="00034B95" w:rsidP="00034B95" w14:paraId="1D656B56" w14:textId="77777777">
      <w:pPr>
        <w:pStyle w:val="Heading1"/>
        <w:ind w:right="-648" w:firstLine="3960"/>
        <w:rPr>
          <w:u w:val="none"/>
        </w:rPr>
      </w:pPr>
    </w:p>
    <w:p w:rsidR="00034B95" w:rsidP="00034B95" w14:paraId="56D3836E" w14:textId="77777777">
      <w:pPr>
        <w:pStyle w:val="Heading1"/>
        <w:ind w:right="-648" w:firstLine="3960"/>
        <w:rPr>
          <w:u w:val="none"/>
        </w:rPr>
      </w:pPr>
      <w:r>
        <w:rPr>
          <w:u w:val="none"/>
        </w:rPr>
        <w:t>Office of the Ohio Consumers’ Counsel</w:t>
      </w:r>
    </w:p>
    <w:p w:rsidR="00034B95" w:rsidP="00034B95" w14:paraId="0B65EDDA" w14:textId="77777777">
      <w:pPr>
        <w:pStyle w:val="Heading1"/>
        <w:ind w:right="-648" w:firstLine="3960"/>
        <w:rPr>
          <w:b w:val="0"/>
          <w:u w:val="none"/>
        </w:rPr>
      </w:pPr>
      <w:r>
        <w:rPr>
          <w:b w:val="0"/>
          <w:u w:val="none"/>
        </w:rPr>
        <w:t>65 East State Street, 7</w:t>
      </w:r>
      <w:r w:rsidRPr="006E6F90">
        <w:rPr>
          <w:b w:val="0"/>
          <w:u w:val="none"/>
        </w:rPr>
        <w:t>th</w:t>
      </w:r>
      <w:r>
        <w:rPr>
          <w:b w:val="0"/>
          <w:u w:val="none"/>
        </w:rPr>
        <w:t xml:space="preserve"> Floor</w:t>
      </w:r>
    </w:p>
    <w:p w:rsidR="00034B95" w:rsidP="00034B95" w14:paraId="60628455" w14:textId="77777777">
      <w:pPr>
        <w:pStyle w:val="Heading1"/>
        <w:ind w:right="-648" w:firstLine="3960"/>
        <w:rPr>
          <w:b w:val="0"/>
          <w:u w:val="none"/>
        </w:rPr>
      </w:pPr>
      <w:r>
        <w:rPr>
          <w:b w:val="0"/>
          <w:u w:val="none"/>
        </w:rPr>
        <w:t>Columbus, Ohio 43215</w:t>
      </w:r>
    </w:p>
    <w:p w:rsidR="00034B95" w:rsidP="00034B95" w14:paraId="3E7B9D4D" w14:textId="77777777">
      <w:pPr>
        <w:autoSpaceDE w:val="0"/>
        <w:autoSpaceDN w:val="0"/>
        <w:adjustRightInd w:val="0"/>
        <w:ind w:firstLine="3960"/>
        <w:rPr>
          <w:szCs w:val="24"/>
        </w:rPr>
      </w:pPr>
      <w:r>
        <w:rPr>
          <w:szCs w:val="24"/>
        </w:rPr>
        <w:t>Telephone [Healey]: (614) 466-9571</w:t>
      </w:r>
    </w:p>
    <w:p w:rsidR="00034B95" w:rsidP="00034B95" w14:paraId="274E6672" w14:textId="77777777">
      <w:pPr>
        <w:autoSpaceDE w:val="0"/>
        <w:autoSpaceDN w:val="0"/>
        <w:adjustRightInd w:val="0"/>
        <w:ind w:firstLine="3960"/>
        <w:rPr>
          <w:szCs w:val="24"/>
        </w:rPr>
      </w:pPr>
      <w:r>
        <w:rPr>
          <w:szCs w:val="24"/>
        </w:rPr>
        <w:t>Telephone [Botschner O’Brien]: (614) 466-9575</w:t>
      </w:r>
    </w:p>
    <w:p w:rsidR="00034B95" w:rsidP="00034B95" w14:paraId="05BCE43B" w14:textId="77777777">
      <w:pPr>
        <w:ind w:firstLine="3960"/>
        <w:rPr>
          <w:szCs w:val="24"/>
        </w:rPr>
      </w:pPr>
      <w:hyperlink r:id="rId6" w:history="1">
        <w:r w:rsidRPr="001C164D" w:rsidR="0094745B">
          <w:rPr>
            <w:rStyle w:val="Hyperlink"/>
            <w:szCs w:val="24"/>
          </w:rPr>
          <w:t>christopher.healey@occ.ohio.gov</w:t>
        </w:r>
      </w:hyperlink>
      <w:r w:rsidR="0094745B">
        <w:rPr>
          <w:szCs w:val="24"/>
        </w:rPr>
        <w:t xml:space="preserve"> </w:t>
      </w:r>
    </w:p>
    <w:p w:rsidR="00034B95" w:rsidP="00034B95" w14:paraId="3A8C637B" w14:textId="77777777">
      <w:pPr>
        <w:ind w:firstLine="3960"/>
        <w:rPr>
          <w:szCs w:val="24"/>
        </w:rPr>
      </w:pPr>
      <w:hyperlink r:id="rId7" w:history="1">
        <w:r w:rsidRPr="00350425" w:rsidR="0094745B">
          <w:rPr>
            <w:rStyle w:val="Hyperlink"/>
            <w:szCs w:val="24"/>
          </w:rPr>
          <w:t>amy.botschner.obrien@occ.ohio.gov</w:t>
        </w:r>
      </w:hyperlink>
      <w:r w:rsidR="0094745B">
        <w:rPr>
          <w:szCs w:val="24"/>
        </w:rPr>
        <w:t xml:space="preserve"> </w:t>
      </w:r>
    </w:p>
    <w:p w:rsidR="00034B95" w:rsidP="00034B95" w14:paraId="348ACEA1" w14:textId="77777777">
      <w:pPr>
        <w:ind w:firstLine="3960"/>
        <w:rPr>
          <w:szCs w:val="24"/>
        </w:rPr>
        <w:sectPr>
          <w:headerReference w:type="default" r:id="rId8"/>
          <w:footerReference w:type="even" r:id="rId9"/>
          <w:footerReference w:type="default" r:id="rId10"/>
          <w:pgSz w:w="12240" w:h="15840"/>
          <w:pgMar w:top="1440" w:right="1800" w:bottom="1440" w:left="1800" w:header="720" w:footer="720" w:gutter="0"/>
          <w:cols w:space="720"/>
          <w:titlePg/>
          <w:docGrid w:linePitch="65"/>
        </w:sectPr>
      </w:pPr>
      <w:r>
        <w:rPr>
          <w:szCs w:val="24"/>
        </w:rPr>
        <w:t>(willing to accept service by e-mail)</w:t>
      </w:r>
    </w:p>
    <w:p w:rsidR="00F66530" w:rsidP="00F66530" w14:paraId="016435DD" w14:textId="77777777">
      <w:pPr>
        <w:pStyle w:val="HTMLPreformatted"/>
        <w:jc w:val="center"/>
        <w:rPr>
          <w:rFonts w:ascii="Times New Roman" w:hAnsi="Times New Roman"/>
          <w:b/>
          <w:bCs/>
          <w:sz w:val="24"/>
        </w:rPr>
      </w:pPr>
      <w:r>
        <w:rPr>
          <w:rFonts w:ascii="Times New Roman" w:hAnsi="Times New Roman"/>
          <w:b/>
          <w:bCs/>
          <w:sz w:val="24"/>
        </w:rPr>
        <w:t>BEFORE</w:t>
      </w:r>
    </w:p>
    <w:p w:rsidR="00F66530" w:rsidP="00F66530" w14:paraId="7C730B44"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F66530" w:rsidP="00F66530" w14:paraId="64842172" w14:textId="77777777">
      <w:pPr>
        <w:pStyle w:val="HTMLPreformatted"/>
        <w:rPr>
          <w:rFonts w:ascii="Times New Roman" w:hAnsi="Times New Roman"/>
          <w:sz w:val="24"/>
        </w:rPr>
      </w:pPr>
    </w:p>
    <w:tbl>
      <w:tblPr>
        <w:tblW w:w="9092" w:type="dxa"/>
        <w:tblLook w:val="01E0"/>
      </w:tblPr>
      <w:tblGrid>
        <w:gridCol w:w="4332"/>
        <w:gridCol w:w="360"/>
        <w:gridCol w:w="4400"/>
      </w:tblGrid>
      <w:tr w14:paraId="3D4643E1" w14:textId="77777777" w:rsidTr="00877629">
        <w:tblPrEx>
          <w:tblW w:w="9092" w:type="dxa"/>
          <w:tblLook w:val="01E0"/>
        </w:tblPrEx>
        <w:trPr>
          <w:trHeight w:val="807"/>
        </w:trPr>
        <w:tc>
          <w:tcPr>
            <w:tcW w:w="4332" w:type="dxa"/>
            <w:shd w:val="clear" w:color="auto" w:fill="auto"/>
          </w:tcPr>
          <w:p w:rsidR="00F66530" w:rsidRPr="00A044B5" w:rsidP="00877629" w14:paraId="3C03ED74"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Commission’s Investigation into Electric Vehicle Charging Service in this State</w:t>
            </w:r>
            <w:r w:rsidR="00E50295">
              <w:rPr>
                <w:rFonts w:ascii="Times New Roman" w:hAnsi="Times New Roman" w:cs="Times New Roman"/>
                <w:sz w:val="24"/>
                <w:szCs w:val="24"/>
              </w:rPr>
              <w:t>.</w:t>
            </w:r>
          </w:p>
        </w:tc>
        <w:tc>
          <w:tcPr>
            <w:tcW w:w="360" w:type="dxa"/>
            <w:shd w:val="clear" w:color="auto" w:fill="auto"/>
          </w:tcPr>
          <w:p w:rsidR="00F66530" w:rsidRPr="00A044B5" w:rsidP="00877629" w14:paraId="7DB94936" w14:textId="77777777">
            <w:pPr>
              <w:pStyle w:val="HTMLPreformatted"/>
              <w:rPr>
                <w:rFonts w:ascii="Times New Roman" w:hAnsi="Times New Roman"/>
                <w:sz w:val="24"/>
              </w:rPr>
            </w:pPr>
            <w:r w:rsidRPr="00A044B5">
              <w:rPr>
                <w:rFonts w:ascii="Times New Roman" w:hAnsi="Times New Roman"/>
                <w:sz w:val="24"/>
              </w:rPr>
              <w:t>)</w:t>
            </w:r>
          </w:p>
          <w:p w:rsidR="00F66530" w:rsidRPr="00A044B5" w:rsidP="00877629" w14:paraId="483AA729" w14:textId="77777777">
            <w:pPr>
              <w:pStyle w:val="HTMLPreformatted"/>
              <w:rPr>
                <w:rFonts w:ascii="Times New Roman" w:hAnsi="Times New Roman"/>
                <w:sz w:val="24"/>
              </w:rPr>
            </w:pPr>
            <w:r w:rsidRPr="00A044B5">
              <w:rPr>
                <w:rFonts w:ascii="Times New Roman" w:hAnsi="Times New Roman"/>
                <w:sz w:val="24"/>
              </w:rPr>
              <w:t>)</w:t>
            </w:r>
          </w:p>
          <w:p w:rsidR="00F66530" w:rsidRPr="00A044B5" w:rsidP="00877629" w14:paraId="0D2BA431" w14:textId="77777777">
            <w:pPr>
              <w:pStyle w:val="HTMLPreformatted"/>
              <w:rPr>
                <w:rFonts w:ascii="Times New Roman" w:hAnsi="Times New Roman"/>
                <w:sz w:val="24"/>
              </w:rPr>
            </w:pPr>
            <w:r w:rsidRPr="00A044B5">
              <w:rPr>
                <w:rFonts w:ascii="Times New Roman" w:hAnsi="Times New Roman"/>
                <w:sz w:val="24"/>
              </w:rPr>
              <w:t>)</w:t>
            </w:r>
          </w:p>
        </w:tc>
        <w:tc>
          <w:tcPr>
            <w:tcW w:w="4400" w:type="dxa"/>
            <w:shd w:val="clear" w:color="auto" w:fill="auto"/>
          </w:tcPr>
          <w:p w:rsidR="00F66530" w:rsidRPr="00A044B5" w:rsidP="00877629" w14:paraId="5E46AC8A" w14:textId="77777777">
            <w:pPr>
              <w:pStyle w:val="HTMLPreformatted"/>
              <w:rPr>
                <w:rFonts w:ascii="Times New Roman" w:hAnsi="Times New Roman"/>
                <w:sz w:val="24"/>
              </w:rPr>
            </w:pPr>
          </w:p>
          <w:p w:rsidR="00F66530" w:rsidRPr="00A044B5" w:rsidP="00877629" w14:paraId="58560193"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20-434-EL-COI</w:t>
            </w:r>
          </w:p>
          <w:p w:rsidR="00F66530" w:rsidRPr="00A044B5" w:rsidP="00877629" w14:paraId="76873D44" w14:textId="77777777">
            <w:pPr>
              <w:pStyle w:val="HTMLPreformatted"/>
              <w:rPr>
                <w:rFonts w:ascii="Times New Roman" w:hAnsi="Times New Roman"/>
                <w:sz w:val="24"/>
              </w:rPr>
            </w:pPr>
          </w:p>
        </w:tc>
      </w:tr>
    </w:tbl>
    <w:p w:rsidR="00A044B5" w14:paraId="4BA6D10D" w14:textId="77777777">
      <w:pPr>
        <w:pStyle w:val="Heading2"/>
        <w:pBdr>
          <w:bottom w:val="single" w:sz="12" w:space="1" w:color="auto"/>
        </w:pBdr>
        <w:jc w:val="left"/>
        <w:rPr>
          <w:b w:val="0"/>
        </w:rPr>
      </w:pPr>
    </w:p>
    <w:p w:rsidR="00A044B5" w14:paraId="59AEB00B" w14:textId="77777777">
      <w:pPr>
        <w:pStyle w:val="Heading2"/>
      </w:pPr>
    </w:p>
    <w:p w:rsidR="00A044B5" w14:paraId="1DA48B69" w14:textId="77777777">
      <w:pPr>
        <w:pStyle w:val="Heading2"/>
        <w:pBdr>
          <w:bottom w:val="single" w:sz="12" w:space="1" w:color="auto"/>
        </w:pBdr>
      </w:pPr>
      <w:r>
        <w:t>MEMORANDUM IN SUPPORT</w:t>
      </w:r>
      <w:r>
        <w:br/>
      </w:r>
    </w:p>
    <w:p w:rsidR="00A044B5" w14:paraId="4C8506D2" w14:textId="77777777">
      <w:pPr>
        <w:pStyle w:val="BodyTextIndent"/>
        <w:spacing w:line="240" w:lineRule="auto"/>
        <w:ind w:firstLine="0"/>
        <w:rPr>
          <w:b/>
          <w:bCs/>
        </w:rPr>
      </w:pPr>
    </w:p>
    <w:p w:rsidR="006E73BE" w:rsidP="00BF2D9C" w14:paraId="266391AA" w14:textId="77777777">
      <w:pPr>
        <w:pStyle w:val="BodyTextIndent3"/>
        <w:widowControl w:val="0"/>
        <w:spacing w:line="480" w:lineRule="auto"/>
        <w:ind w:right="-24"/>
      </w:pPr>
      <w:r>
        <w:t xml:space="preserve">The PUCO </w:t>
      </w:r>
      <w:r w:rsidR="00BF2D9C">
        <w:t>Staff “has consistently taken the position that entities which provide electric vehicle charging service are neither electric light companies nor public utilities” in the State of Ohio.</w:t>
      </w:r>
      <w:r>
        <w:rPr>
          <w:rStyle w:val="FootnoteReference"/>
        </w:rPr>
        <w:footnoteReference w:id="4"/>
      </w:r>
      <w:r w:rsidR="00BF2D9C">
        <w:t xml:space="preserve"> In other words, </w:t>
      </w:r>
      <w:r w:rsidR="00240F07">
        <w:t xml:space="preserve">consistent with </w:t>
      </w:r>
      <w:r w:rsidR="00BF2D9C">
        <w:t>the PUCO Staff’s view</w:t>
      </w:r>
      <w:r w:rsidR="00240F07">
        <w:t>,</w:t>
      </w:r>
      <w:r w:rsidR="00BF2D9C">
        <w:t xml:space="preserve"> the market can provide electric vehicle charging service in Ohio</w:t>
      </w:r>
      <w:r w:rsidR="00FA3CC9">
        <w:t xml:space="preserve">. </w:t>
      </w:r>
      <w:r>
        <w:t>The PUCO itself concluded that electric vehicle charging should be provided by the competitive market:</w:t>
      </w:r>
    </w:p>
    <w:p w:rsidR="006E73BE" w:rsidP="006E73BE" w14:paraId="54D7E566" w14:textId="77777777">
      <w:pPr>
        <w:pStyle w:val="BodyTextIndent3"/>
        <w:keepNext/>
        <w:keepLines/>
        <w:spacing w:after="240" w:line="240" w:lineRule="auto"/>
        <w:ind w:left="1440" w:right="1440" w:firstLine="0"/>
        <w:jc w:val="both"/>
      </w:pPr>
      <w:r>
        <w:t>Because the location of EV charging infrastructure is generally located on the customer’s side of the meter, the Commission believes that the EV charging stations should operate within the sphere of a competitive marketplace, especially for home and private business charging.</w:t>
      </w:r>
      <w:r>
        <w:rPr>
          <w:rStyle w:val="FootnoteReference"/>
        </w:rPr>
        <w:footnoteReference w:id="5"/>
      </w:r>
    </w:p>
    <w:p w:rsidR="00A044B5" w:rsidP="00BF2D9C" w14:paraId="79884E32" w14:textId="77777777">
      <w:pPr>
        <w:pStyle w:val="BodyTextIndent3"/>
        <w:widowControl w:val="0"/>
        <w:spacing w:line="480" w:lineRule="auto"/>
        <w:ind w:right="-24"/>
      </w:pPr>
      <w:r>
        <w:t xml:space="preserve">The PUCO opened this investigation to allow other parties to provide their perspective on this issue. </w:t>
      </w:r>
      <w:r>
        <w:rPr>
          <w:szCs w:val="24"/>
        </w:rPr>
        <w:t xml:space="preserve">OCC has authority under law to represent </w:t>
      </w:r>
      <w:r>
        <w:t>the in</w:t>
      </w:r>
      <w:r w:rsidR="00A5514C">
        <w:t xml:space="preserve">terests </w:t>
      </w:r>
      <w:r w:rsidR="00FA3CC9">
        <w:t>t</w:t>
      </w:r>
      <w:r w:rsidR="00A5514C">
        <w:t xml:space="preserve">he </w:t>
      </w:r>
      <w:r w:rsidR="00FA3CC9">
        <w:t xml:space="preserve">interests of </w:t>
      </w:r>
      <w:r>
        <w:t xml:space="preserve">residential </w:t>
      </w:r>
      <w:r w:rsidR="0020004A">
        <w:t xml:space="preserve">electric </w:t>
      </w:r>
      <w:r>
        <w:t xml:space="preserve">utility customers </w:t>
      </w:r>
      <w:r w:rsidR="00FA3CC9">
        <w:t>in Ohio</w:t>
      </w:r>
      <w:r>
        <w:t xml:space="preserve"> </w:t>
      </w:r>
      <w:r w:rsidR="0055107B">
        <w:t>under</w:t>
      </w:r>
      <w:r>
        <w:t xml:space="preserve"> R.C. Chapter 4911.</w:t>
      </w:r>
    </w:p>
    <w:p w:rsidR="00034B95" w14:paraId="43C8FA25" w14:textId="77777777">
      <w:pPr>
        <w:pStyle w:val="BodyTextIndent3"/>
        <w:widowControl w:val="0"/>
        <w:spacing w:line="480" w:lineRule="auto"/>
        <w:ind w:right="-24"/>
        <w:sectPr w:rsidSect="006E73BE">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26"/>
        </w:sectPr>
      </w:pPr>
      <w:r>
        <w:t>R.C. 4903.221 provides, in part, that any person “who may be adversely affected” by a PUCO proceeding is entitled to seek in</w:t>
      </w:r>
      <w:r w:rsidR="002A4912">
        <w:t xml:space="preserve">tervention in that proceeding. </w:t>
      </w:r>
      <w:r>
        <w:t>The interests of Ohio’s residential customers may be “adversely affected” by this case, especially if the customers were unrepresented in a pr</w:t>
      </w:r>
      <w:r w:rsidR="002A4912">
        <w:t>oceeding</w:t>
      </w:r>
      <w:r w:rsidR="00FA3CC9">
        <w:t xml:space="preserve"> where the PUCO will address whether utilities have a monopoly </w:t>
      </w:r>
    </w:p>
    <w:p w:rsidR="00A044B5" w:rsidP="00034B95" w14:paraId="7D2CD3B0" w14:textId="0FAEE662">
      <w:pPr>
        <w:pStyle w:val="BodyTextIndent3"/>
        <w:widowControl w:val="0"/>
        <w:spacing w:line="480" w:lineRule="auto"/>
        <w:ind w:right="-24" w:firstLine="0"/>
      </w:pPr>
      <w:r>
        <w:t>on electric vehicle charging stations (they don’t)</w:t>
      </w:r>
      <w:r w:rsidR="002A4912">
        <w:t xml:space="preserve">. </w:t>
      </w:r>
      <w:r>
        <w:t xml:space="preserve">Thus, this element of the intervention standard in R.C. 4903.221 is satisfied. </w:t>
      </w:r>
    </w:p>
    <w:p w:rsidR="00A044B5" w:rsidP="00101B19" w14:paraId="3BC20D22" w14:textId="77777777">
      <w:pPr>
        <w:keepNext/>
        <w:keepLines/>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31242C" w14:paraId="1E7EB77B" w14:textId="77777777">
      <w:pPr>
        <w:ind w:left="2160" w:right="720" w:hanging="720"/>
        <w:rPr>
          <w:szCs w:val="24"/>
        </w:rPr>
      </w:pPr>
      <w:r>
        <w:rPr>
          <w:szCs w:val="24"/>
        </w:rPr>
        <w:t>(1)</w:t>
      </w:r>
      <w:r>
        <w:rPr>
          <w:szCs w:val="24"/>
        </w:rPr>
        <w:tab/>
        <w:t>The nature and extent of the prospective intervenor’s interest;</w:t>
      </w:r>
    </w:p>
    <w:p w:rsidR="00A044B5" w:rsidP="0031242C" w14:paraId="7E51B342" w14:textId="77777777">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14:paraId="1F56F96B" w14:textId="77777777">
      <w:pPr>
        <w:spacing w:before="240"/>
        <w:ind w:left="2160" w:right="720" w:hanging="720"/>
        <w:rPr>
          <w:szCs w:val="24"/>
        </w:rPr>
      </w:pPr>
      <w:r>
        <w:rPr>
          <w:szCs w:val="24"/>
        </w:rPr>
        <w:t>(3)</w:t>
      </w:r>
      <w:r>
        <w:rPr>
          <w:szCs w:val="24"/>
        </w:rPr>
        <w:tab/>
        <w:t>Whether the intervention by the prospective intervenor will unduly prolong or delay the proceeding</w:t>
      </w:r>
      <w:r w:rsidR="00E444D2">
        <w:rPr>
          <w:szCs w:val="24"/>
        </w:rPr>
        <w:t>s</w:t>
      </w:r>
      <w:r>
        <w:rPr>
          <w:szCs w:val="24"/>
        </w:rPr>
        <w:t xml:space="preserve">; </w:t>
      </w:r>
    </w:p>
    <w:p w:rsidR="00A044B5" w:rsidP="0031242C" w14:paraId="66AB3CE2" w14:textId="77777777">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A044B5" w14:paraId="524BA116" w14:textId="77777777">
      <w:pPr>
        <w:pStyle w:val="BodyTextIndent3"/>
        <w:spacing w:line="480" w:lineRule="auto"/>
        <w:rPr>
          <w:szCs w:val="24"/>
        </w:rPr>
      </w:pPr>
      <w:r>
        <w:t>First, the nature and extent of OCC’s interest is representing residential customers</w:t>
      </w:r>
      <w:r w:rsidR="00240F07">
        <w:t>, where the PUCO will address</w:t>
      </w:r>
      <w:r w:rsidR="00240F07">
        <w:rPr>
          <w:szCs w:val="24"/>
        </w:rPr>
        <w:t xml:space="preserve"> legal and</w:t>
      </w:r>
      <w:r w:rsidR="008D0215">
        <w:rPr>
          <w:szCs w:val="24"/>
        </w:rPr>
        <w:t xml:space="preserve"> policy considerations of advancing </w:t>
      </w:r>
      <w:r w:rsidR="00240F07">
        <w:rPr>
          <w:szCs w:val="24"/>
        </w:rPr>
        <w:t>competitive</w:t>
      </w:r>
      <w:r w:rsidR="0020004A">
        <w:rPr>
          <w:szCs w:val="24"/>
        </w:rPr>
        <w:t xml:space="preserve"> </w:t>
      </w:r>
      <w:r w:rsidR="00A751D2">
        <w:rPr>
          <w:szCs w:val="24"/>
        </w:rPr>
        <w:t xml:space="preserve">markets for </w:t>
      </w:r>
      <w:r w:rsidR="0020004A">
        <w:rPr>
          <w:szCs w:val="24"/>
        </w:rPr>
        <w:t xml:space="preserve">customers of </w:t>
      </w:r>
      <w:r w:rsidR="00A751D2">
        <w:rPr>
          <w:szCs w:val="24"/>
        </w:rPr>
        <w:t>electric vehicle charging stations</w:t>
      </w:r>
      <w:r w:rsidR="002A4912">
        <w:rPr>
          <w:szCs w:val="24"/>
        </w:rPr>
        <w:t xml:space="preserve">. </w:t>
      </w:r>
      <w:r>
        <w:rPr>
          <w:szCs w:val="24"/>
        </w:rPr>
        <w:t>This interest is different than that of any other party and especially different than that of utilit</w:t>
      </w:r>
      <w:r w:rsidR="00B63D4B">
        <w:rPr>
          <w:szCs w:val="24"/>
        </w:rPr>
        <w:t>ies,</w:t>
      </w:r>
      <w:r>
        <w:rPr>
          <w:szCs w:val="24"/>
        </w:rPr>
        <w:t xml:space="preserve"> whose advocacy includes the financial interest of </w:t>
      </w:r>
      <w:r w:rsidR="00B63D4B">
        <w:rPr>
          <w:szCs w:val="24"/>
        </w:rPr>
        <w:t>shareholders</w:t>
      </w:r>
      <w:r>
        <w:rPr>
          <w:szCs w:val="24"/>
        </w:rPr>
        <w:t>.</w:t>
      </w:r>
    </w:p>
    <w:p w:rsidR="00A044B5" w14:paraId="3A6FB3EA" w14:textId="77777777">
      <w:pPr>
        <w:pStyle w:val="Footer"/>
        <w:tabs>
          <w:tab w:val="clear" w:pos="4320"/>
          <w:tab w:val="clear" w:pos="8640"/>
        </w:tabs>
        <w:spacing w:line="480" w:lineRule="auto"/>
        <w:ind w:firstLine="720"/>
        <w:rPr>
          <w:sz w:val="24"/>
          <w:szCs w:val="24"/>
        </w:rPr>
      </w:pPr>
      <w:r>
        <w:rPr>
          <w:sz w:val="24"/>
          <w:szCs w:val="24"/>
        </w:rPr>
        <w:t xml:space="preserve">Second, OCC’s </w:t>
      </w:r>
      <w:r w:rsidR="008D0215">
        <w:rPr>
          <w:sz w:val="24"/>
          <w:szCs w:val="24"/>
        </w:rPr>
        <w:t>pro-</w:t>
      </w:r>
      <w:r w:rsidR="000C372B">
        <w:rPr>
          <w:sz w:val="24"/>
          <w:szCs w:val="24"/>
        </w:rPr>
        <w:t xml:space="preserve">competition </w:t>
      </w:r>
      <w:r>
        <w:rPr>
          <w:sz w:val="24"/>
          <w:szCs w:val="24"/>
        </w:rPr>
        <w:t>advocacy for residential customers will include</w:t>
      </w:r>
      <w:r w:rsidR="0055107B">
        <w:rPr>
          <w:sz w:val="24"/>
          <w:szCs w:val="24"/>
        </w:rPr>
        <w:t>, among other things,</w:t>
      </w:r>
      <w:r>
        <w:rPr>
          <w:sz w:val="24"/>
          <w:szCs w:val="24"/>
        </w:rPr>
        <w:t xml:space="preserve"> advancing the position that </w:t>
      </w:r>
      <w:r w:rsidR="00B63D4B">
        <w:rPr>
          <w:sz w:val="24"/>
          <w:szCs w:val="24"/>
        </w:rPr>
        <w:t>Ohio</w:t>
      </w:r>
      <w:r w:rsidR="0020004A">
        <w:rPr>
          <w:sz w:val="24"/>
          <w:szCs w:val="24"/>
        </w:rPr>
        <w:t>ans</w:t>
      </w:r>
      <w:r w:rsidR="00B63D4B">
        <w:rPr>
          <w:sz w:val="24"/>
          <w:szCs w:val="24"/>
        </w:rPr>
        <w:t xml:space="preserve"> should </w:t>
      </w:r>
      <w:r w:rsidR="0020004A">
        <w:rPr>
          <w:sz w:val="24"/>
          <w:szCs w:val="24"/>
        </w:rPr>
        <w:t xml:space="preserve">have the benefit of </w:t>
      </w:r>
      <w:r w:rsidR="00B63D4B">
        <w:rPr>
          <w:sz w:val="24"/>
          <w:szCs w:val="24"/>
        </w:rPr>
        <w:t xml:space="preserve">the </w:t>
      </w:r>
      <w:r w:rsidR="008D0215">
        <w:rPr>
          <w:sz w:val="24"/>
          <w:szCs w:val="24"/>
        </w:rPr>
        <w:t xml:space="preserve">competitive </w:t>
      </w:r>
      <w:r w:rsidR="00B63D4B">
        <w:rPr>
          <w:sz w:val="24"/>
          <w:szCs w:val="24"/>
        </w:rPr>
        <w:t>market</w:t>
      </w:r>
      <w:r w:rsidR="0020004A">
        <w:rPr>
          <w:sz w:val="24"/>
          <w:szCs w:val="24"/>
        </w:rPr>
        <w:t xml:space="preserve"> </w:t>
      </w:r>
      <w:r w:rsidR="00B63D4B">
        <w:rPr>
          <w:sz w:val="24"/>
          <w:szCs w:val="24"/>
        </w:rPr>
        <w:t>for electric vehicle charging</w:t>
      </w:r>
      <w:r w:rsidR="0020004A">
        <w:rPr>
          <w:sz w:val="24"/>
          <w:szCs w:val="24"/>
        </w:rPr>
        <w:t>, rather than relying on monopolies</w:t>
      </w:r>
      <w:r>
        <w:rPr>
          <w:sz w:val="24"/>
          <w:szCs w:val="24"/>
        </w:rPr>
        <w:t xml:space="preserve">. OCC’s position is therefore directly related to the merits of this case. </w:t>
      </w:r>
    </w:p>
    <w:p w:rsidR="00A044B5" w14:paraId="6A55F990" w14:textId="77777777">
      <w:pPr>
        <w:pStyle w:val="BodyTextIndent3"/>
        <w:spacing w:line="480" w:lineRule="auto"/>
        <w:rPr>
          <w:szCs w:val="24"/>
        </w:rPr>
      </w:pPr>
      <w:r>
        <w:t xml:space="preserve">Third, </w:t>
      </w:r>
      <w:r>
        <w:rPr>
          <w:szCs w:val="24"/>
        </w:rPr>
        <w:t>OCC’s intervention will not unduly pro</w:t>
      </w:r>
      <w:r w:rsidR="00417AE1">
        <w:rPr>
          <w:szCs w:val="24"/>
        </w:rPr>
        <w:t xml:space="preserve">long or delay the proceedings. </w:t>
      </w:r>
      <w:r>
        <w:rPr>
          <w:szCs w:val="24"/>
        </w:rPr>
        <w:t>OCC, with its longstanding expertise and experience in PUCO proceedings, will duly allow for the efficient processing of the case with consideration of the public interest.</w:t>
      </w:r>
    </w:p>
    <w:p w:rsidR="00A044B5" w14:paraId="7F53F62E" w14:textId="77777777">
      <w:pPr>
        <w:pStyle w:val="Footer"/>
        <w:tabs>
          <w:tab w:val="clear" w:pos="4320"/>
          <w:tab w:val="clear" w:pos="8640"/>
        </w:tabs>
        <w:spacing w:line="480" w:lineRule="auto"/>
        <w:ind w:firstLine="720"/>
        <w:rPr>
          <w:sz w:val="24"/>
          <w:szCs w:val="24"/>
        </w:rPr>
      </w:pPr>
      <w:r>
        <w:rPr>
          <w:sz w:val="24"/>
          <w:szCs w:val="24"/>
        </w:rPr>
        <w:t>Fourth, OCC’s intervention will significantly contribute to full development and equitable res</w:t>
      </w:r>
      <w:r w:rsidR="002A4912">
        <w:rPr>
          <w:sz w:val="24"/>
          <w:szCs w:val="24"/>
        </w:rPr>
        <w:t xml:space="preserve">olution of </w:t>
      </w:r>
      <w:r w:rsidR="00B63D4B">
        <w:rPr>
          <w:sz w:val="24"/>
          <w:szCs w:val="24"/>
        </w:rPr>
        <w:t>any</w:t>
      </w:r>
      <w:r w:rsidR="002A4912">
        <w:rPr>
          <w:sz w:val="24"/>
          <w:szCs w:val="24"/>
        </w:rPr>
        <w:t xml:space="preserve"> factual issues. </w:t>
      </w:r>
      <w:r>
        <w:rPr>
          <w:sz w:val="24"/>
          <w:szCs w:val="24"/>
        </w:rPr>
        <w:t xml:space="preserve">OCC will obtain and develop information that the PUCO should consider for equitably and lawfully deciding the case in the public interest. </w:t>
      </w:r>
    </w:p>
    <w:p w:rsidR="00A044B5" w14:paraId="53183FFD" w14:textId="77777777">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 xml:space="preserve">As the advocate for residential utility customers, OCC has a very real and substantial interest in this case </w:t>
      </w:r>
      <w:r w:rsidR="00B63D4B">
        <w:rPr>
          <w:szCs w:val="24"/>
        </w:rPr>
        <w:t>involving the important issue of markets vs. monopolies for electric vehicle charging</w:t>
      </w:r>
      <w:r w:rsidR="00417AE1">
        <w:rPr>
          <w:szCs w:val="24"/>
        </w:rPr>
        <w:t>.</w:t>
      </w:r>
    </w:p>
    <w:p w:rsidR="00A044B5" w14:paraId="645BC1B9" w14:textId="77777777">
      <w:pPr>
        <w:pStyle w:val="BodyTextIndent3"/>
        <w:widowControl w:val="0"/>
        <w:spacing w:line="480" w:lineRule="auto"/>
        <w:ind w:right="-24"/>
        <w:rPr>
          <w:szCs w:val="24"/>
        </w:rPr>
      </w:pPr>
      <w:r>
        <w:rPr>
          <w:szCs w:val="24"/>
        </w:rPr>
        <w:t xml:space="preserve">In addition, OCC meets the criteria of Ohio </w:t>
      </w:r>
      <w:r w:rsidR="00417AE1">
        <w:rPr>
          <w:szCs w:val="24"/>
        </w:rPr>
        <w:t xml:space="preserve">Adm. Code 4901-1-11(B)(1)-(4). </w:t>
      </w:r>
      <w:r>
        <w:rPr>
          <w:szCs w:val="24"/>
        </w:rPr>
        <w:t>These criteria mirror the statutory criteria in R.C. 4903.221(B)</w:t>
      </w:r>
      <w:r w:rsidR="0055107B">
        <w:rPr>
          <w:szCs w:val="24"/>
        </w:rPr>
        <w:t>,</w:t>
      </w:r>
      <w:r>
        <w:rPr>
          <w:szCs w:val="24"/>
        </w:rPr>
        <w:t xml:space="preserve"> </w:t>
      </w:r>
      <w:r w:rsidR="0055107B">
        <w:rPr>
          <w:szCs w:val="24"/>
        </w:rPr>
        <w:t>which</w:t>
      </w:r>
      <w:r>
        <w:rPr>
          <w:szCs w:val="24"/>
        </w:rPr>
        <w:t xml:space="preserve"> OCC already has addressed</w:t>
      </w:r>
      <w:r w:rsidR="00B63D4B">
        <w:rPr>
          <w:szCs w:val="24"/>
        </w:rPr>
        <w:t>,</w:t>
      </w:r>
      <w:r>
        <w:rPr>
          <w:szCs w:val="24"/>
        </w:rPr>
        <w:t xml:space="preserve"> and </w:t>
      </w:r>
      <w:r w:rsidR="0055107B">
        <w:rPr>
          <w:szCs w:val="24"/>
        </w:rPr>
        <w:t xml:space="preserve">which </w:t>
      </w:r>
      <w:r>
        <w:rPr>
          <w:szCs w:val="24"/>
        </w:rPr>
        <w:t>OCC satisfies.</w:t>
      </w:r>
    </w:p>
    <w:p w:rsidR="00A044B5" w14:paraId="2F23B6DE" w14:textId="77777777">
      <w:pPr>
        <w:pStyle w:val="BodyTextIndent3"/>
        <w:widowControl w:val="0"/>
        <w:spacing w:line="480" w:lineRule="auto"/>
        <w:ind w:right="-24"/>
        <w:rPr>
          <w:szCs w:val="24"/>
        </w:r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customers. </w:t>
      </w:r>
      <w:r>
        <w:rPr>
          <w:szCs w:val="24"/>
        </w:rPr>
        <w:t>That interest is different from, and not represented by, any other entity in Ohio.</w:t>
      </w:r>
    </w:p>
    <w:p w:rsidR="00A044B5" w14:paraId="082B2244" w14:textId="77777777">
      <w:pPr>
        <w:pStyle w:val="WW-BodyTextIndent3"/>
        <w:widowControl w:val="0"/>
        <w:spacing w:line="480" w:lineRule="auto"/>
        <w:ind w:right="-24"/>
        <w:rPr>
          <w:szCs w:val="24"/>
        </w:rPr>
      </w:pPr>
      <w:r>
        <w:rPr>
          <w:szCs w:val="24"/>
        </w:rPr>
        <w:t>Moreover, the Supreme Court of Ohio</w:t>
      </w:r>
      <w:r w:rsidR="0055107B">
        <w:rPr>
          <w:szCs w:val="24"/>
        </w:rPr>
        <w:t xml:space="preserve"> (“Court”)</w:t>
      </w:r>
      <w:r>
        <w:rPr>
          <w:szCs w:val="24"/>
        </w:rPr>
        <w:t xml:space="preserve"> confirmed OCC’s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OCC’s interventions and that OCC should have been granted intervention in both proceedings.</w:t>
      </w:r>
      <w:r>
        <w:rPr>
          <w:rStyle w:val="FootnoteReference"/>
          <w:szCs w:val="24"/>
        </w:rPr>
        <w:footnoteReference w:id="6"/>
      </w:r>
      <w:r>
        <w:rPr>
          <w:szCs w:val="24"/>
        </w:rPr>
        <w:t xml:space="preserve">  </w:t>
      </w:r>
    </w:p>
    <w:p w:rsidR="00A044B5" w14:paraId="79CE4658" w14:textId="10312E4B">
      <w:pPr>
        <w:spacing w:line="480" w:lineRule="auto"/>
        <w:ind w:firstLine="720"/>
        <w:rPr>
          <w:szCs w:val="24"/>
        </w:rPr>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OCC’s Motion to Intervene.</w:t>
      </w:r>
    </w:p>
    <w:p w:rsidR="00B63D4B" w:rsidP="00034B95" w14:paraId="7AF86B25" w14:textId="77777777">
      <w:pPr>
        <w:pStyle w:val="BodyTextIndent3"/>
        <w:widowControl w:val="0"/>
        <w:spacing w:line="480" w:lineRule="auto"/>
        <w:ind w:left="3600" w:right="-672" w:firstLine="360"/>
        <w:rPr>
          <w:szCs w:val="24"/>
        </w:rPr>
      </w:pPr>
      <w:r>
        <w:rPr>
          <w:szCs w:val="24"/>
        </w:rPr>
        <w:t>Respectfully submitted,</w:t>
      </w:r>
    </w:p>
    <w:p w:rsidR="00B63D4B" w:rsidP="00034B95" w14:paraId="2733688C" w14:textId="77777777">
      <w:pPr>
        <w:pStyle w:val="Footer"/>
        <w:tabs>
          <w:tab w:val="clear" w:pos="4320"/>
          <w:tab w:val="clear" w:pos="8640"/>
        </w:tabs>
        <w:ind w:firstLine="3960"/>
        <w:rPr>
          <w:sz w:val="24"/>
          <w:szCs w:val="24"/>
        </w:rPr>
      </w:pPr>
      <w:r>
        <w:rPr>
          <w:sz w:val="24"/>
          <w:szCs w:val="24"/>
        </w:rPr>
        <w:t>Bruce Weston (0016973)</w:t>
      </w:r>
    </w:p>
    <w:p w:rsidR="00B63D4B" w:rsidP="00034B95" w14:paraId="7A3E914E" w14:textId="77777777">
      <w:pPr>
        <w:ind w:firstLine="3960"/>
        <w:rPr>
          <w:szCs w:val="24"/>
        </w:rPr>
      </w:pPr>
      <w:r>
        <w:rPr>
          <w:szCs w:val="24"/>
        </w:rPr>
        <w:t>Ohio Consumers’ Counsel</w:t>
      </w:r>
    </w:p>
    <w:p w:rsidR="00B63D4B" w:rsidP="00B63D4B" w14:paraId="4D59645B" w14:textId="77777777">
      <w:pPr>
        <w:ind w:firstLine="3960"/>
        <w:rPr>
          <w:szCs w:val="24"/>
        </w:rPr>
      </w:pPr>
    </w:p>
    <w:p w:rsidR="00B63D4B" w:rsidRPr="001A05CC" w:rsidP="00B63D4B" w14:paraId="796BDD2F" w14:textId="77777777">
      <w:pPr>
        <w:tabs>
          <w:tab w:val="left" w:pos="4320"/>
        </w:tabs>
        <w:ind w:firstLine="3960"/>
        <w:rPr>
          <w:i/>
          <w:iCs/>
          <w:szCs w:val="24"/>
          <w:u w:val="single"/>
        </w:rPr>
      </w:pPr>
      <w:r>
        <w:rPr>
          <w:i/>
          <w:iCs/>
          <w:szCs w:val="24"/>
          <w:u w:val="single"/>
        </w:rPr>
        <w:t>/s/ Christopher Healey</w:t>
      </w:r>
      <w:r>
        <w:rPr>
          <w:i/>
          <w:iCs/>
          <w:szCs w:val="24"/>
          <w:u w:val="single"/>
        </w:rPr>
        <w:tab/>
      </w:r>
      <w:r>
        <w:rPr>
          <w:i/>
          <w:iCs/>
          <w:szCs w:val="24"/>
          <w:u w:val="single"/>
        </w:rPr>
        <w:tab/>
      </w:r>
      <w:r>
        <w:rPr>
          <w:i/>
          <w:iCs/>
          <w:szCs w:val="24"/>
          <w:u w:val="single"/>
        </w:rPr>
        <w:tab/>
      </w:r>
    </w:p>
    <w:p w:rsidR="00B63D4B" w:rsidP="00B63D4B" w14:paraId="3A114405" w14:textId="77777777">
      <w:pPr>
        <w:tabs>
          <w:tab w:val="left" w:pos="4320"/>
        </w:tabs>
        <w:ind w:firstLine="3960"/>
        <w:rPr>
          <w:szCs w:val="24"/>
        </w:rPr>
      </w:pPr>
      <w:r>
        <w:rPr>
          <w:szCs w:val="24"/>
        </w:rPr>
        <w:t>Christopher Healey (0086027)</w:t>
      </w:r>
    </w:p>
    <w:p w:rsidR="00B63D4B" w:rsidP="00B63D4B" w14:paraId="436B35AE" w14:textId="77777777">
      <w:pPr>
        <w:tabs>
          <w:tab w:val="left" w:pos="4320"/>
        </w:tabs>
        <w:ind w:firstLine="3960"/>
        <w:rPr>
          <w:szCs w:val="24"/>
        </w:rPr>
      </w:pPr>
      <w:r>
        <w:rPr>
          <w:szCs w:val="24"/>
        </w:rPr>
        <w:t>Counsel of Record</w:t>
      </w:r>
    </w:p>
    <w:p w:rsidR="00B63D4B" w:rsidP="00B63D4B" w14:paraId="02F72117" w14:textId="77777777">
      <w:pPr>
        <w:tabs>
          <w:tab w:val="left" w:pos="4320"/>
        </w:tabs>
        <w:ind w:firstLine="3960"/>
        <w:rPr>
          <w:szCs w:val="24"/>
        </w:rPr>
      </w:pPr>
      <w:r>
        <w:rPr>
          <w:szCs w:val="24"/>
        </w:rPr>
        <w:t>Amy Botschner O’Brien (0074423)</w:t>
      </w:r>
    </w:p>
    <w:p w:rsidR="00B63D4B" w:rsidP="00B63D4B" w14:paraId="5DBD30C4" w14:textId="77777777">
      <w:pPr>
        <w:tabs>
          <w:tab w:val="left" w:pos="4320"/>
        </w:tabs>
        <w:ind w:firstLine="3960"/>
        <w:rPr>
          <w:szCs w:val="24"/>
        </w:rPr>
      </w:pPr>
      <w:r>
        <w:rPr>
          <w:szCs w:val="24"/>
        </w:rPr>
        <w:t>Assistant Consumers’ Counsel</w:t>
      </w:r>
    </w:p>
    <w:p w:rsidR="00B63D4B" w:rsidP="00B63D4B" w14:paraId="3E04BF00" w14:textId="77777777">
      <w:pPr>
        <w:pStyle w:val="Heading1"/>
        <w:ind w:right="-648" w:firstLine="3960"/>
        <w:rPr>
          <w:u w:val="none"/>
        </w:rPr>
      </w:pPr>
    </w:p>
    <w:p w:rsidR="00B63D4B" w:rsidP="00B63D4B" w14:paraId="57202DC7" w14:textId="77777777">
      <w:pPr>
        <w:pStyle w:val="Heading1"/>
        <w:ind w:right="-648" w:firstLine="3960"/>
        <w:rPr>
          <w:u w:val="none"/>
        </w:rPr>
      </w:pPr>
      <w:r>
        <w:rPr>
          <w:u w:val="none"/>
        </w:rPr>
        <w:t>Office of the Ohio Consumers’ Counsel</w:t>
      </w:r>
    </w:p>
    <w:p w:rsidR="00B63D4B" w:rsidP="00B63D4B" w14:paraId="08890FC7" w14:textId="77777777">
      <w:pPr>
        <w:pStyle w:val="Heading1"/>
        <w:ind w:right="-648" w:firstLine="3960"/>
        <w:rPr>
          <w:b w:val="0"/>
          <w:u w:val="none"/>
        </w:rPr>
      </w:pPr>
      <w:r>
        <w:rPr>
          <w:b w:val="0"/>
          <w:u w:val="none"/>
        </w:rPr>
        <w:t>65 East State Street, 7</w:t>
      </w:r>
      <w:r w:rsidRPr="006E6F90">
        <w:rPr>
          <w:b w:val="0"/>
          <w:u w:val="none"/>
        </w:rPr>
        <w:t>th</w:t>
      </w:r>
      <w:r>
        <w:rPr>
          <w:b w:val="0"/>
          <w:u w:val="none"/>
        </w:rPr>
        <w:t xml:space="preserve"> Floor</w:t>
      </w:r>
    </w:p>
    <w:p w:rsidR="00B63D4B" w:rsidP="00B63D4B" w14:paraId="0D2EE8AA" w14:textId="77777777">
      <w:pPr>
        <w:pStyle w:val="Heading1"/>
        <w:ind w:right="-648" w:firstLine="3960"/>
        <w:rPr>
          <w:b w:val="0"/>
          <w:u w:val="none"/>
        </w:rPr>
      </w:pPr>
      <w:r>
        <w:rPr>
          <w:b w:val="0"/>
          <w:u w:val="none"/>
        </w:rPr>
        <w:t>Columbus, Ohio 43215</w:t>
      </w:r>
    </w:p>
    <w:p w:rsidR="00B63D4B" w:rsidP="00B63D4B" w14:paraId="5BA06B0B" w14:textId="77777777">
      <w:pPr>
        <w:autoSpaceDE w:val="0"/>
        <w:autoSpaceDN w:val="0"/>
        <w:adjustRightInd w:val="0"/>
        <w:ind w:firstLine="3960"/>
        <w:rPr>
          <w:szCs w:val="24"/>
        </w:rPr>
      </w:pPr>
      <w:r>
        <w:rPr>
          <w:szCs w:val="24"/>
        </w:rPr>
        <w:t>Telephone [Healey]: (614) 466-9571</w:t>
      </w:r>
    </w:p>
    <w:p w:rsidR="00B63D4B" w:rsidP="00B63D4B" w14:paraId="3437620F" w14:textId="77777777">
      <w:pPr>
        <w:autoSpaceDE w:val="0"/>
        <w:autoSpaceDN w:val="0"/>
        <w:adjustRightInd w:val="0"/>
        <w:ind w:firstLine="3960"/>
        <w:rPr>
          <w:szCs w:val="24"/>
        </w:rPr>
      </w:pPr>
      <w:r>
        <w:rPr>
          <w:szCs w:val="24"/>
        </w:rPr>
        <w:t>Telephone [Botschner O’Brien]: (614) 466-9575</w:t>
      </w:r>
    </w:p>
    <w:p w:rsidR="00B63D4B" w:rsidP="00B63D4B" w14:paraId="4BB9A3DA" w14:textId="77777777">
      <w:pPr>
        <w:ind w:firstLine="3960"/>
        <w:rPr>
          <w:szCs w:val="24"/>
        </w:rPr>
      </w:pPr>
      <w:hyperlink r:id="rId6" w:history="1">
        <w:r w:rsidRPr="001C164D" w:rsidR="0094745B">
          <w:rPr>
            <w:rStyle w:val="Hyperlink"/>
            <w:szCs w:val="24"/>
          </w:rPr>
          <w:t>christopher.healey@occ.ohio.gov</w:t>
        </w:r>
      </w:hyperlink>
      <w:r w:rsidR="0094745B">
        <w:rPr>
          <w:szCs w:val="24"/>
        </w:rPr>
        <w:t xml:space="preserve"> </w:t>
      </w:r>
    </w:p>
    <w:p w:rsidR="00B63D4B" w:rsidP="00B63D4B" w14:paraId="2BCFCA33" w14:textId="77777777">
      <w:pPr>
        <w:ind w:firstLine="3960"/>
        <w:rPr>
          <w:szCs w:val="24"/>
        </w:rPr>
      </w:pPr>
      <w:hyperlink r:id="rId7" w:history="1">
        <w:r w:rsidRPr="00350425" w:rsidR="0094745B">
          <w:rPr>
            <w:rStyle w:val="Hyperlink"/>
            <w:szCs w:val="24"/>
          </w:rPr>
          <w:t>amy.botschner.obrien@occ.ohio.gov</w:t>
        </w:r>
      </w:hyperlink>
      <w:r w:rsidR="0094745B">
        <w:rPr>
          <w:szCs w:val="24"/>
        </w:rPr>
        <w:t xml:space="preserve"> </w:t>
      </w:r>
    </w:p>
    <w:p w:rsidR="00CA3F81" w:rsidP="00B63D4B" w14:paraId="5D8CBE7F" w14:textId="77777777">
      <w:pPr>
        <w:ind w:firstLine="3960"/>
        <w:rPr>
          <w:szCs w:val="24"/>
        </w:rPr>
      </w:pPr>
      <w:r>
        <w:rPr>
          <w:szCs w:val="24"/>
        </w:rPr>
        <w:t>(willing to accept service by e-mail)</w:t>
      </w:r>
    </w:p>
    <w:p w:rsidR="00A044B5" w14:paraId="7B750246" w14:textId="77777777">
      <w:pPr>
        <w:rPr>
          <w:szCs w:val="24"/>
        </w:rPr>
      </w:pPr>
    </w:p>
    <w:p w:rsidR="00A044B5" w14:paraId="52E52619" w14:textId="77777777">
      <w:pPr>
        <w:rPr>
          <w:szCs w:val="24"/>
        </w:rPr>
      </w:pPr>
    </w:p>
    <w:p w:rsidR="00A044B5" w14:paraId="3BF371DC" w14:textId="77777777">
      <w:pPr>
        <w:rPr>
          <w:szCs w:val="24"/>
        </w:rPr>
      </w:pPr>
      <w:r>
        <w:rPr>
          <w:szCs w:val="24"/>
        </w:rPr>
        <w:tab/>
      </w:r>
      <w:r>
        <w:rPr>
          <w:szCs w:val="24"/>
        </w:rPr>
        <w:tab/>
      </w:r>
      <w:r>
        <w:rPr>
          <w:szCs w:val="24"/>
        </w:rPr>
        <w:tab/>
      </w:r>
      <w:r>
        <w:rPr>
          <w:szCs w:val="24"/>
        </w:rPr>
        <w:tab/>
      </w:r>
      <w:r>
        <w:rPr>
          <w:szCs w:val="24"/>
        </w:rPr>
        <w:tab/>
      </w:r>
      <w:r>
        <w:rPr>
          <w:szCs w:val="24"/>
        </w:rPr>
        <w:tab/>
      </w:r>
    </w:p>
    <w:p w:rsidR="00A044B5" w14:paraId="0563EA87" w14:textId="77777777">
      <w:pPr>
        <w:jc w:val="center"/>
        <w:rPr>
          <w:b/>
          <w:bCs/>
          <w:u w:val="single"/>
        </w:rPr>
      </w:pPr>
      <w:r>
        <w:br w:type="page"/>
      </w:r>
      <w:r>
        <w:rPr>
          <w:b/>
          <w:bCs/>
          <w:u w:val="single"/>
        </w:rPr>
        <w:t>CERTIFICATE OF SERVICE</w:t>
      </w:r>
    </w:p>
    <w:p w:rsidR="00A044B5" w14:paraId="6528FC35" w14:textId="77777777">
      <w:pPr>
        <w:spacing w:line="480" w:lineRule="atLeast"/>
      </w:pPr>
      <w:r>
        <w:tab/>
        <w:t xml:space="preserve">I hereby certify that a copy of this </w:t>
      </w:r>
      <w:r w:rsidRPr="00E50295">
        <w:rPr>
          <w:iCs/>
        </w:rPr>
        <w:t>Motion to Intervene</w:t>
      </w:r>
      <w:r>
        <w:t xml:space="preserve"> was served on the persons stated below </w:t>
      </w:r>
      <w:r w:rsidRPr="00E50295">
        <w:rPr>
          <w:iCs/>
        </w:rPr>
        <w:t>via</w:t>
      </w:r>
      <w:r w:rsidR="002A4912">
        <w:t xml:space="preserve"> electronic transmission</w:t>
      </w:r>
      <w:r>
        <w:t xml:space="preserve">, this </w:t>
      </w:r>
      <w:r w:rsidR="0020004A">
        <w:t xml:space="preserve">19th </w:t>
      </w:r>
      <w:r>
        <w:t xml:space="preserve">day of </w:t>
      </w:r>
      <w:r w:rsidR="00B63D4B">
        <w:t>March</w:t>
      </w:r>
      <w:r>
        <w:t xml:space="preserve"> 20</w:t>
      </w:r>
      <w:r w:rsidR="00B63D4B">
        <w:t>20</w:t>
      </w:r>
      <w:r>
        <w:t>.</w:t>
      </w:r>
    </w:p>
    <w:p w:rsidR="00A044B5" w14:paraId="70605BD0" w14:textId="77777777">
      <w:pPr>
        <w:spacing w:line="480" w:lineRule="atLeast"/>
      </w:pPr>
    </w:p>
    <w:p w:rsidR="00A044B5" w:rsidRPr="00B63D4B" w14:paraId="3BAF1D3E" w14:textId="77777777">
      <w:pPr>
        <w:tabs>
          <w:tab w:val="left" w:pos="4320"/>
        </w:tabs>
        <w:rPr>
          <w:i/>
          <w:iCs/>
          <w:u w:val="single"/>
        </w:rPr>
      </w:pPr>
      <w:r>
        <w:tab/>
      </w:r>
      <w:r w:rsidR="00B63D4B">
        <w:rPr>
          <w:i/>
          <w:iCs/>
          <w:u w:val="single"/>
        </w:rPr>
        <w:t>/s/ Christopher Healey</w:t>
      </w:r>
      <w:r w:rsidR="00B63D4B">
        <w:rPr>
          <w:i/>
          <w:iCs/>
          <w:u w:val="single"/>
        </w:rPr>
        <w:tab/>
      </w:r>
      <w:r w:rsidR="00B63D4B">
        <w:rPr>
          <w:i/>
          <w:iCs/>
          <w:u w:val="single"/>
        </w:rPr>
        <w:tab/>
      </w:r>
    </w:p>
    <w:p w:rsidR="00A044B5" w14:paraId="4801B5E7" w14:textId="77777777">
      <w:pPr>
        <w:tabs>
          <w:tab w:val="left" w:pos="4320"/>
        </w:tabs>
      </w:pPr>
      <w:r>
        <w:tab/>
      </w:r>
      <w:r w:rsidR="00B63D4B">
        <w:t>Christopher Healey</w:t>
      </w:r>
    </w:p>
    <w:p w:rsidR="00A044B5" w14:paraId="04AC4BB8" w14:textId="77777777">
      <w:pPr>
        <w:tabs>
          <w:tab w:val="left" w:pos="4320"/>
        </w:tabs>
      </w:pPr>
      <w:r>
        <w:tab/>
        <w:t>Assistant Consumers’ Counsel</w:t>
      </w:r>
    </w:p>
    <w:p w:rsidR="00A044B5" w14:paraId="60E17B6D" w14:textId="77777777">
      <w:pPr>
        <w:pStyle w:val="CommentSubject"/>
      </w:pPr>
    </w:p>
    <w:p w:rsidR="00A044B5" w14:paraId="4548FD88" w14:textId="77777777">
      <w:pPr>
        <w:pStyle w:val="CommentText"/>
      </w:pPr>
    </w:p>
    <w:p w:rsidR="00A044B5" w14:paraId="1C332AB1" w14:textId="77777777">
      <w:pPr>
        <w:pStyle w:val="CommentText"/>
        <w:jc w:val="center"/>
        <w:rPr>
          <w:b/>
          <w:u w:val="single"/>
        </w:rPr>
      </w:pPr>
      <w:r>
        <w:rPr>
          <w:b/>
          <w:u w:val="single"/>
        </w:rPr>
        <w:t>SERVICE LIST</w:t>
      </w:r>
    </w:p>
    <w:p w:rsidR="00E50295" w14:paraId="71F98B6F"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7240B760" w14:textId="77777777" w:rsidTr="00E502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E50295" w:rsidP="00E50295" w14:paraId="0D6717F0" w14:textId="77777777">
            <w:pPr>
              <w:pStyle w:val="CommentText"/>
              <w:rPr>
                <w:bCs/>
              </w:rPr>
            </w:pPr>
            <w:hyperlink r:id="rId16" w:history="1">
              <w:r w:rsidRPr="009235AD" w:rsidR="0094745B">
                <w:rPr>
                  <w:rStyle w:val="Hyperlink"/>
                  <w:bCs/>
                </w:rPr>
                <w:t>John.jones@ohioattorneygeneral.gov</w:t>
              </w:r>
            </w:hyperlink>
          </w:p>
          <w:p w:rsidR="00E50295" w:rsidP="00E50295" w14:paraId="470E1A58" w14:textId="77777777">
            <w:pPr>
              <w:pStyle w:val="CommentText"/>
              <w:rPr>
                <w:bCs/>
              </w:rPr>
            </w:pPr>
          </w:p>
          <w:p w:rsidR="00E50295" w:rsidP="00E50295" w14:paraId="031578BD" w14:textId="77777777">
            <w:pPr>
              <w:pStyle w:val="CommentText"/>
              <w:rPr>
                <w:bCs/>
              </w:rPr>
            </w:pPr>
            <w:r>
              <w:rPr>
                <w:bCs/>
              </w:rPr>
              <w:t>Attorney Examiners:</w:t>
            </w:r>
          </w:p>
          <w:p w:rsidR="00E50295" w:rsidP="00E50295" w14:paraId="69C5AB2C" w14:textId="77777777">
            <w:pPr>
              <w:pStyle w:val="CommentText"/>
              <w:rPr>
                <w:bCs/>
              </w:rPr>
            </w:pPr>
          </w:p>
          <w:p w:rsidR="00E50295" w:rsidP="00E50295" w14:paraId="5F449FE2" w14:textId="77777777">
            <w:pPr>
              <w:pStyle w:val="CommentText"/>
              <w:rPr>
                <w:bCs/>
              </w:rPr>
            </w:pPr>
            <w:hyperlink r:id="rId17" w:history="1">
              <w:r w:rsidRPr="009235AD" w:rsidR="0094745B">
                <w:rPr>
                  <w:rStyle w:val="Hyperlink"/>
                  <w:bCs/>
                </w:rPr>
                <w:t>David.hicks@puco.ohio.gov</w:t>
              </w:r>
            </w:hyperlink>
          </w:p>
          <w:p w:rsidR="00E50295" w:rsidP="00E50295" w14:paraId="66B69D55" w14:textId="77777777">
            <w:pPr>
              <w:pStyle w:val="CommentText"/>
              <w:rPr>
                <w:bCs/>
              </w:rPr>
            </w:pPr>
            <w:hyperlink r:id="rId18" w:history="1">
              <w:r w:rsidRPr="009235AD" w:rsidR="0094745B">
                <w:rPr>
                  <w:rStyle w:val="Hyperlink"/>
                  <w:bCs/>
                </w:rPr>
                <w:t>Matsthew.sandor@puco.ohio.gov</w:t>
              </w:r>
            </w:hyperlink>
          </w:p>
          <w:p w:rsidR="00E50295" w:rsidRPr="00E50295" w:rsidP="00E50295" w14:paraId="06BEA5DE" w14:textId="77777777">
            <w:pPr>
              <w:pStyle w:val="CommentText"/>
              <w:rPr>
                <w:bCs/>
              </w:rPr>
            </w:pPr>
          </w:p>
        </w:tc>
        <w:tc>
          <w:tcPr>
            <w:tcW w:w="4315" w:type="dxa"/>
          </w:tcPr>
          <w:p w:rsidR="00E50295" w14:paraId="5AEDDCE9" w14:textId="77777777">
            <w:pPr>
              <w:pStyle w:val="CommentText"/>
              <w:jc w:val="center"/>
              <w:rPr>
                <w:b/>
                <w:u w:val="single"/>
              </w:rPr>
            </w:pPr>
          </w:p>
        </w:tc>
      </w:tr>
    </w:tbl>
    <w:p w:rsidR="00E50295" w14:paraId="37C7CAD2" w14:textId="77777777">
      <w:pPr>
        <w:pStyle w:val="CommentText"/>
        <w:jc w:val="center"/>
        <w:rPr>
          <w:b/>
          <w:u w:val="single"/>
        </w:rPr>
      </w:pPr>
    </w:p>
    <w:p w:rsidR="00A044B5" w14:paraId="06BCB854" w14:textId="77777777">
      <w:pPr>
        <w:pStyle w:val="BodyText"/>
        <w:rPr>
          <w:b/>
          <w:bCs/>
        </w:rPr>
      </w:pPr>
    </w:p>
    <w:tbl>
      <w:tblPr>
        <w:tblW w:w="0" w:type="auto"/>
        <w:tblLook w:val="01E0"/>
      </w:tblPr>
      <w:tblGrid>
        <w:gridCol w:w="4428"/>
        <w:gridCol w:w="4428"/>
      </w:tblGrid>
      <w:tr w14:paraId="207B139A" w14:textId="77777777" w:rsidTr="00A044B5">
        <w:tblPrEx>
          <w:tblW w:w="0" w:type="auto"/>
          <w:tblLook w:val="01E0"/>
        </w:tblPrEx>
        <w:tc>
          <w:tcPr>
            <w:tcW w:w="4428" w:type="dxa"/>
            <w:shd w:val="clear" w:color="auto" w:fill="auto"/>
          </w:tcPr>
          <w:p w:rsidR="00A044B5" w:rsidRPr="00A044B5" w:rsidP="00A044B5" w14:paraId="10F8206C" w14:textId="77777777">
            <w:pPr>
              <w:autoSpaceDE w:val="0"/>
              <w:autoSpaceDN w:val="0"/>
              <w:adjustRightInd w:val="0"/>
              <w:rPr>
                <w:bCs/>
              </w:rPr>
            </w:pPr>
          </w:p>
        </w:tc>
        <w:tc>
          <w:tcPr>
            <w:tcW w:w="4428" w:type="dxa"/>
            <w:shd w:val="clear" w:color="auto" w:fill="auto"/>
          </w:tcPr>
          <w:p w:rsidR="00A044B5" w:rsidRPr="00A044B5" w14:paraId="1A0081AA" w14:textId="77777777">
            <w:pPr>
              <w:pStyle w:val="BodyText"/>
              <w:rPr>
                <w:bCs/>
              </w:rPr>
            </w:pPr>
          </w:p>
        </w:tc>
      </w:tr>
      <w:tr w14:paraId="744A781D" w14:textId="77777777" w:rsidTr="00A044B5">
        <w:tblPrEx>
          <w:tblW w:w="0" w:type="auto"/>
          <w:tblLook w:val="01E0"/>
        </w:tblPrEx>
        <w:tc>
          <w:tcPr>
            <w:tcW w:w="4428" w:type="dxa"/>
            <w:shd w:val="clear" w:color="auto" w:fill="auto"/>
          </w:tcPr>
          <w:p w:rsidR="00A044B5" w:rsidRPr="00A044B5" w14:paraId="2CABC14E" w14:textId="77777777">
            <w:pPr>
              <w:rPr>
                <w:szCs w:val="24"/>
              </w:rPr>
            </w:pPr>
          </w:p>
        </w:tc>
        <w:tc>
          <w:tcPr>
            <w:tcW w:w="4428" w:type="dxa"/>
            <w:shd w:val="clear" w:color="auto" w:fill="auto"/>
          </w:tcPr>
          <w:p w:rsidR="00A044B5" w:rsidRPr="00A044B5" w14:paraId="54239651" w14:textId="77777777">
            <w:pPr>
              <w:rPr>
                <w:bCs/>
              </w:rPr>
            </w:pPr>
          </w:p>
        </w:tc>
      </w:tr>
    </w:tbl>
    <w:p w:rsidR="00A044B5" w14:paraId="67EEF6CE" w14:textId="77777777">
      <w:pPr>
        <w:pStyle w:val="BodyText"/>
        <w:rPr>
          <w:b/>
          <w:bCs/>
        </w:rPr>
      </w:pPr>
    </w:p>
    <w:sectPr w:rsidSect="00476000">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A8C7CA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3A974F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0ED1DDA"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253AE7">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C5DBE2E" w14:textId="77777777">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417AE1">
      <w:rPr>
        <w:rStyle w:val="PageNumber"/>
        <w:noProof/>
        <w:sz w:val="24"/>
        <w:szCs w:val="24"/>
      </w:rPr>
      <w:t>5</w:t>
    </w:r>
    <w:r>
      <w:rPr>
        <w:rStyle w:val="PageNumber"/>
        <w:sz w:val="24"/>
        <w:szCs w:val="24"/>
      </w:rPr>
      <w:fldChar w:fldCharType="end"/>
    </w:r>
  </w:p>
  <w:p w:rsidR="00A044B5" w14:paraId="5355AC7F" w14:textId="77777777">
    <w:pPr>
      <w:pStyle w:val="Footer"/>
      <w:framePr w:wrap="around" w:vAnchor="text" w:hAnchor="margin" w:xAlign="center" w:y="1"/>
      <w:rPr>
        <w:rStyle w:val="PageNumber"/>
      </w:rPr>
    </w:pPr>
  </w:p>
  <w:p w:rsidR="00A044B5" w14:paraId="18C7706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0056359"/>
      <w:docPartObj>
        <w:docPartGallery w:val="Page Numbers (Bottom of Page)"/>
        <w:docPartUnique/>
      </w:docPartObj>
    </w:sdtPr>
    <w:sdtEndPr>
      <w:rPr>
        <w:noProof/>
        <w:sz w:val="24"/>
        <w:szCs w:val="24"/>
      </w:rPr>
    </w:sdtEndPr>
    <w:sdtContent>
      <w:p w:rsidR="00E50295" w:rsidRPr="00E50295" w14:paraId="1CB692BA" w14:textId="77777777">
        <w:pPr>
          <w:pStyle w:val="Footer"/>
          <w:jc w:val="center"/>
          <w:rPr>
            <w:sz w:val="24"/>
            <w:szCs w:val="24"/>
          </w:rPr>
        </w:pPr>
        <w:r w:rsidRPr="00E50295">
          <w:rPr>
            <w:sz w:val="24"/>
            <w:szCs w:val="24"/>
          </w:rPr>
          <w:fldChar w:fldCharType="begin"/>
        </w:r>
        <w:r w:rsidRPr="00E50295">
          <w:rPr>
            <w:sz w:val="24"/>
            <w:szCs w:val="24"/>
          </w:rPr>
          <w:instrText xml:space="preserve"> PAGE   \* MERGEFORMAT </w:instrText>
        </w:r>
        <w:r w:rsidRPr="00E50295">
          <w:rPr>
            <w:sz w:val="24"/>
            <w:szCs w:val="24"/>
          </w:rPr>
          <w:fldChar w:fldCharType="separate"/>
        </w:r>
        <w:r w:rsidR="00253AE7">
          <w:rPr>
            <w:noProof/>
            <w:sz w:val="24"/>
            <w:szCs w:val="24"/>
          </w:rPr>
          <w:t>1</w:t>
        </w:r>
        <w:r w:rsidRPr="00E50295">
          <w:rPr>
            <w:noProof/>
            <w:sz w:val="24"/>
            <w:szCs w:val="24"/>
          </w:rPr>
          <w:fldChar w:fldCharType="end"/>
        </w:r>
      </w:p>
    </w:sdtContent>
  </w:sdt>
  <w:p w:rsidR="00A044B5" w:rsidRPr="00FE05A8" w:rsidP="00FE05A8" w14:paraId="232798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0303" w14:paraId="557F29DB" w14:textId="77777777">
      <w:r>
        <w:separator/>
      </w:r>
    </w:p>
  </w:footnote>
  <w:footnote w:type="continuationSeparator" w:id="1">
    <w:p w:rsidR="00D00303" w14:paraId="5CD7F7B7" w14:textId="77777777">
      <w:r>
        <w:continuationSeparator/>
      </w:r>
    </w:p>
  </w:footnote>
  <w:footnote w:id="2">
    <w:p w:rsidR="0020004A" w:rsidP="009F2911" w14:paraId="26749FDC" w14:textId="77777777">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F66530" w:rsidP="009F2911" w14:paraId="632581E1" w14:textId="77777777">
      <w:pPr>
        <w:pStyle w:val="FootnoteText"/>
        <w:spacing w:after="120"/>
      </w:pPr>
      <w:r>
        <w:rPr>
          <w:rStyle w:val="FootnoteReference"/>
        </w:rPr>
        <w:footnoteRef/>
      </w:r>
      <w:r>
        <w:t xml:space="preserve"> Entry ¶ 1 (Feb. 26, 2020)</w:t>
      </w:r>
      <w:r w:rsidR="00BF2D9C">
        <w:t xml:space="preserve"> (the “Entry”).</w:t>
      </w:r>
    </w:p>
  </w:footnote>
  <w:footnote w:id="4">
    <w:p w:rsidR="00BF2D9C" w:rsidP="009F2911" w14:paraId="30F46F1A" w14:textId="77777777">
      <w:pPr>
        <w:pStyle w:val="FootnoteText"/>
        <w:spacing w:after="120"/>
      </w:pPr>
      <w:r>
        <w:rPr>
          <w:rStyle w:val="FootnoteReference"/>
        </w:rPr>
        <w:footnoteRef/>
      </w:r>
      <w:r>
        <w:t xml:space="preserve"> Entry ¶ 4.</w:t>
      </w:r>
    </w:p>
  </w:footnote>
  <w:footnote w:id="5">
    <w:p w:rsidR="006E73BE" w:rsidRPr="00E564A7" w:rsidP="009F2911" w14:paraId="2C571489" w14:textId="77777777">
      <w:pPr>
        <w:pStyle w:val="FootnoteText"/>
        <w:spacing w:after="120"/>
      </w:pPr>
      <w:r>
        <w:rPr>
          <w:rStyle w:val="FootnoteReference"/>
        </w:rPr>
        <w:footnoteRef/>
      </w:r>
      <w:r>
        <w:t xml:space="preserve"> </w:t>
      </w:r>
      <w:r>
        <w:rPr>
          <w:i/>
          <w:iCs/>
        </w:rPr>
        <w:t>PowerForward: A Roadmap to Ohio’s Electricity Future</w:t>
      </w:r>
      <w:r>
        <w:t xml:space="preserve"> at 20, </w:t>
      </w:r>
      <w:r>
        <w:rPr>
          <w:i/>
          <w:iCs/>
        </w:rPr>
        <w:t xml:space="preserve">available at </w:t>
      </w:r>
      <w:hyperlink r:id="rId1" w:history="1">
        <w:r w:rsidRPr="00E564A7">
          <w:rPr>
            <w:rStyle w:val="Hyperlink"/>
          </w:rPr>
          <w:t>https://www.puco.ohio.gov/industry-information/industry-topics/powerforward/powerforward-a-roadmap-to-ohios-electricity-future/</w:t>
        </w:r>
      </w:hyperlink>
      <w:r>
        <w:t xml:space="preserve"> </w:t>
      </w:r>
    </w:p>
  </w:footnote>
  <w:footnote w:id="6">
    <w:p w:rsidR="00A044B5" w:rsidP="009F2911" w14:paraId="23BB8850" w14:textId="77777777">
      <w:pPr>
        <w:pStyle w:val="FootnoteText"/>
        <w:spacing w:after="120"/>
      </w:pPr>
      <w:r>
        <w:rPr>
          <w:rStyle w:val="FootnoteReference"/>
        </w:rPr>
        <w:footnoteRef/>
      </w:r>
      <w:r>
        <w:rPr>
          <w:i/>
        </w:rPr>
        <w:t xml:space="preserve"> See Ohio Consumers’ Counsel v. Pub. Util. Comm</w:t>
      </w:r>
      <w:r>
        <w:t>., 111 Ohio St.3d 384</w:t>
      </w:r>
      <w:r w:rsidR="002A4912">
        <w:t>, 2006-Ohio-5853, ¶¶13-20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782B788"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F405F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3AA7B3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1EEA9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2A4912"/>
    <w:rsid w:val="00026A95"/>
    <w:rsid w:val="00034B95"/>
    <w:rsid w:val="00055256"/>
    <w:rsid w:val="00082870"/>
    <w:rsid w:val="000B1219"/>
    <w:rsid w:val="000C372B"/>
    <w:rsid w:val="00101B19"/>
    <w:rsid w:val="00131093"/>
    <w:rsid w:val="00163408"/>
    <w:rsid w:val="001A048A"/>
    <w:rsid w:val="001A05CC"/>
    <w:rsid w:val="001B5D68"/>
    <w:rsid w:val="001C164D"/>
    <w:rsid w:val="001D0897"/>
    <w:rsid w:val="0020004A"/>
    <w:rsid w:val="00240F07"/>
    <w:rsid w:val="00253AE7"/>
    <w:rsid w:val="00270856"/>
    <w:rsid w:val="002A4912"/>
    <w:rsid w:val="002C6C5C"/>
    <w:rsid w:val="003059FB"/>
    <w:rsid w:val="0031242C"/>
    <w:rsid w:val="00333210"/>
    <w:rsid w:val="00350425"/>
    <w:rsid w:val="003B7CA8"/>
    <w:rsid w:val="003F0FBF"/>
    <w:rsid w:val="00417AE1"/>
    <w:rsid w:val="004232C0"/>
    <w:rsid w:val="004558AA"/>
    <w:rsid w:val="00476000"/>
    <w:rsid w:val="00476981"/>
    <w:rsid w:val="004D29FF"/>
    <w:rsid w:val="00512B71"/>
    <w:rsid w:val="0051520D"/>
    <w:rsid w:val="005270F0"/>
    <w:rsid w:val="00545897"/>
    <w:rsid w:val="0055107B"/>
    <w:rsid w:val="005A6744"/>
    <w:rsid w:val="0062108F"/>
    <w:rsid w:val="00641070"/>
    <w:rsid w:val="006A6E7A"/>
    <w:rsid w:val="006C5841"/>
    <w:rsid w:val="006E6F90"/>
    <w:rsid w:val="006E73BE"/>
    <w:rsid w:val="006F283D"/>
    <w:rsid w:val="006F6C88"/>
    <w:rsid w:val="00730C0C"/>
    <w:rsid w:val="00760DE9"/>
    <w:rsid w:val="008356E5"/>
    <w:rsid w:val="00877629"/>
    <w:rsid w:val="008C60A5"/>
    <w:rsid w:val="008D0215"/>
    <w:rsid w:val="008D3A4F"/>
    <w:rsid w:val="008F4272"/>
    <w:rsid w:val="009235AD"/>
    <w:rsid w:val="0094745B"/>
    <w:rsid w:val="009512E6"/>
    <w:rsid w:val="00992E47"/>
    <w:rsid w:val="00994FE7"/>
    <w:rsid w:val="009B6D8B"/>
    <w:rsid w:val="009B79D5"/>
    <w:rsid w:val="009F2911"/>
    <w:rsid w:val="00A02035"/>
    <w:rsid w:val="00A044B5"/>
    <w:rsid w:val="00A5514C"/>
    <w:rsid w:val="00A57666"/>
    <w:rsid w:val="00A751D2"/>
    <w:rsid w:val="00AC102B"/>
    <w:rsid w:val="00AD135E"/>
    <w:rsid w:val="00AE437E"/>
    <w:rsid w:val="00AE7CBD"/>
    <w:rsid w:val="00B53376"/>
    <w:rsid w:val="00B56272"/>
    <w:rsid w:val="00B63D4B"/>
    <w:rsid w:val="00BA335C"/>
    <w:rsid w:val="00BC7AB9"/>
    <w:rsid w:val="00BF2D9C"/>
    <w:rsid w:val="00C21A75"/>
    <w:rsid w:val="00C6286A"/>
    <w:rsid w:val="00C70C4B"/>
    <w:rsid w:val="00C910AC"/>
    <w:rsid w:val="00CA3F81"/>
    <w:rsid w:val="00D00303"/>
    <w:rsid w:val="00D55177"/>
    <w:rsid w:val="00D57504"/>
    <w:rsid w:val="00D74BAB"/>
    <w:rsid w:val="00DE3BDA"/>
    <w:rsid w:val="00E444D2"/>
    <w:rsid w:val="00E50295"/>
    <w:rsid w:val="00E564A7"/>
    <w:rsid w:val="00E75D2C"/>
    <w:rsid w:val="00ED63E8"/>
    <w:rsid w:val="00EF3AD6"/>
    <w:rsid w:val="00EF4B51"/>
    <w:rsid w:val="00F1341B"/>
    <w:rsid w:val="00F661B9"/>
    <w:rsid w:val="00F66530"/>
    <w:rsid w:val="00F83B55"/>
    <w:rsid w:val="00F93B44"/>
    <w:rsid w:val="00FA3CC9"/>
    <w:rsid w:val="00FC61B1"/>
    <w:rsid w:val="00FC735F"/>
    <w:rsid w:val="00FD12B3"/>
    <w:rsid w:val="00FE0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72"/>
    <w:rPr>
      <w:sz w:val="24"/>
    </w:rPr>
  </w:style>
  <w:style w:type="paragraph" w:styleId="Heading1">
    <w:name w:val="heading 1"/>
    <w:basedOn w:val="Normal"/>
    <w:next w:val="Normal"/>
    <w:qFormat/>
    <w:rsid w:val="00B56272"/>
    <w:pPr>
      <w:keepNext/>
      <w:outlineLvl w:val="0"/>
    </w:pPr>
    <w:rPr>
      <w:b/>
      <w:szCs w:val="24"/>
      <w:u w:val="single"/>
    </w:rPr>
  </w:style>
  <w:style w:type="paragraph" w:styleId="Heading2">
    <w:name w:val="heading 2"/>
    <w:basedOn w:val="Normal"/>
    <w:next w:val="Normal"/>
    <w:qFormat/>
    <w:rsid w:val="00B56272"/>
    <w:pPr>
      <w:keepNext/>
      <w:tabs>
        <w:tab w:val="left" w:pos="4320"/>
      </w:tabs>
      <w:jc w:val="center"/>
      <w:outlineLvl w:val="1"/>
    </w:pPr>
    <w:rPr>
      <w:b/>
    </w:rPr>
  </w:style>
  <w:style w:type="paragraph" w:styleId="Heading3">
    <w:name w:val="heading 3"/>
    <w:basedOn w:val="Normal"/>
    <w:next w:val="Normal"/>
    <w:qFormat/>
    <w:rsid w:val="00B56272"/>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5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B56272"/>
    <w:pPr>
      <w:tabs>
        <w:tab w:val="center" w:pos="4320"/>
        <w:tab w:val="right" w:pos="8640"/>
      </w:tabs>
    </w:pPr>
    <w:rPr>
      <w:sz w:val="20"/>
    </w:rPr>
  </w:style>
  <w:style w:type="character" w:styleId="Hyperlink">
    <w:name w:val="Hyperlink"/>
    <w:rsid w:val="00B56272"/>
    <w:rPr>
      <w:color w:val="0000FF"/>
      <w:u w:val="single"/>
    </w:rPr>
  </w:style>
  <w:style w:type="paragraph" w:styleId="FootnoteText">
    <w:name w:val="footnote text"/>
    <w:basedOn w:val="Normal"/>
    <w:semiHidden/>
    <w:rsid w:val="00B56272"/>
    <w:rPr>
      <w:sz w:val="20"/>
    </w:rPr>
  </w:style>
  <w:style w:type="character" w:styleId="FootnoteReference">
    <w:name w:val="footnote reference"/>
    <w:semiHidden/>
    <w:rsid w:val="00B56272"/>
    <w:rPr>
      <w:vertAlign w:val="superscript"/>
    </w:rPr>
  </w:style>
  <w:style w:type="paragraph" w:styleId="BodyTextIndent">
    <w:name w:val="Body Text Indent"/>
    <w:basedOn w:val="Normal"/>
    <w:rsid w:val="00B56272"/>
    <w:pPr>
      <w:spacing w:line="480" w:lineRule="auto"/>
      <w:ind w:firstLine="720"/>
    </w:pPr>
  </w:style>
  <w:style w:type="paragraph" w:styleId="BodyTextIndent3">
    <w:name w:val="Body Text Indent 3"/>
    <w:basedOn w:val="Normal"/>
    <w:rsid w:val="00B56272"/>
    <w:pPr>
      <w:spacing w:line="480" w:lineRule="atLeast"/>
      <w:ind w:firstLine="720"/>
    </w:pPr>
  </w:style>
  <w:style w:type="paragraph" w:styleId="BodyTextIndent2">
    <w:name w:val="Body Text Indent 2"/>
    <w:basedOn w:val="Normal"/>
    <w:rsid w:val="00B56272"/>
    <w:pPr>
      <w:tabs>
        <w:tab w:val="left" w:pos="720"/>
      </w:tabs>
      <w:spacing w:before="240" w:after="240"/>
      <w:ind w:left="1464" w:hanging="744"/>
    </w:pPr>
  </w:style>
  <w:style w:type="character" w:styleId="PageNumber">
    <w:name w:val="page number"/>
    <w:basedOn w:val="DefaultParagraphFont"/>
    <w:rsid w:val="00B56272"/>
  </w:style>
  <w:style w:type="paragraph" w:styleId="BodyText">
    <w:name w:val="Body Text"/>
    <w:basedOn w:val="Normal"/>
    <w:rsid w:val="00B56272"/>
    <w:pPr>
      <w:jc w:val="both"/>
    </w:pPr>
  </w:style>
  <w:style w:type="paragraph" w:styleId="BlockText">
    <w:name w:val="Block Text"/>
    <w:basedOn w:val="Normal"/>
    <w:rsid w:val="00B56272"/>
    <w:pPr>
      <w:ind w:left="1440" w:right="720"/>
    </w:pPr>
  </w:style>
  <w:style w:type="paragraph" w:styleId="EndnoteText">
    <w:name w:val="endnote text"/>
    <w:basedOn w:val="Normal"/>
    <w:semiHidden/>
    <w:rsid w:val="00B56272"/>
    <w:rPr>
      <w:sz w:val="20"/>
    </w:rPr>
  </w:style>
  <w:style w:type="character" w:styleId="EndnoteReference">
    <w:name w:val="endnote reference"/>
    <w:semiHidden/>
    <w:rsid w:val="00B56272"/>
    <w:rPr>
      <w:vertAlign w:val="superscript"/>
    </w:rPr>
  </w:style>
  <w:style w:type="paragraph" w:styleId="BodyText2">
    <w:name w:val="Body Text 2"/>
    <w:basedOn w:val="Normal"/>
    <w:rsid w:val="00B56272"/>
    <w:pPr>
      <w:spacing w:line="480" w:lineRule="auto"/>
      <w:ind w:right="1440"/>
    </w:pPr>
  </w:style>
  <w:style w:type="paragraph" w:styleId="Header">
    <w:name w:val="header"/>
    <w:basedOn w:val="Normal"/>
    <w:rsid w:val="00B56272"/>
    <w:pPr>
      <w:tabs>
        <w:tab w:val="center" w:pos="4320"/>
        <w:tab w:val="right" w:pos="8640"/>
      </w:tabs>
    </w:pPr>
  </w:style>
  <w:style w:type="paragraph" w:styleId="BalloonText">
    <w:name w:val="Balloon Text"/>
    <w:basedOn w:val="Normal"/>
    <w:semiHidden/>
    <w:rsid w:val="00B56272"/>
    <w:rPr>
      <w:rFonts w:ascii="Lucida Grande" w:hAnsi="Lucida Grande"/>
      <w:sz w:val="18"/>
      <w:szCs w:val="18"/>
    </w:rPr>
  </w:style>
  <w:style w:type="character" w:styleId="CommentReference">
    <w:name w:val="annotation reference"/>
    <w:semiHidden/>
    <w:rsid w:val="00B56272"/>
    <w:rPr>
      <w:sz w:val="18"/>
    </w:rPr>
  </w:style>
  <w:style w:type="paragraph" w:styleId="CommentText">
    <w:name w:val="annotation text"/>
    <w:basedOn w:val="Normal"/>
    <w:semiHidden/>
    <w:rsid w:val="00B56272"/>
    <w:rPr>
      <w:szCs w:val="24"/>
    </w:rPr>
  </w:style>
  <w:style w:type="paragraph" w:styleId="CommentSubject">
    <w:name w:val="annotation subject"/>
    <w:basedOn w:val="CommentText"/>
    <w:next w:val="CommentText"/>
    <w:semiHidden/>
    <w:rsid w:val="00B56272"/>
    <w:rPr>
      <w:szCs w:val="20"/>
    </w:rPr>
  </w:style>
  <w:style w:type="character" w:styleId="FollowedHyperlink">
    <w:name w:val="FollowedHyperlink"/>
    <w:rsid w:val="00B56272"/>
    <w:rPr>
      <w:color w:val="800080"/>
      <w:u w:val="single"/>
    </w:rPr>
  </w:style>
  <w:style w:type="character" w:customStyle="1" w:styleId="term1">
    <w:name w:val="term1"/>
    <w:rsid w:val="00B56272"/>
    <w:rPr>
      <w:b/>
      <w:bCs/>
    </w:rPr>
  </w:style>
  <w:style w:type="table" w:styleId="TableGrid">
    <w:name w:val="Table Grid"/>
    <w:basedOn w:val="TableNormal"/>
    <w:rsid w:val="00B5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B56272"/>
    <w:pPr>
      <w:suppressAutoHyphens/>
      <w:spacing w:line="480" w:lineRule="atLeast"/>
      <w:ind w:firstLine="720"/>
    </w:pPr>
    <w:rPr>
      <w:lang w:eastAsia="ar-SA"/>
    </w:rPr>
  </w:style>
  <w:style w:type="character" w:customStyle="1" w:styleId="FooterChar">
    <w:name w:val="Footer Char"/>
    <w:basedOn w:val="DefaultParagraphFont"/>
    <w:link w:val="Footer"/>
    <w:uiPriority w:val="99"/>
    <w:rsid w:val="00F66530"/>
  </w:style>
  <w:style w:type="character" w:customStyle="1" w:styleId="UnresolvedMention1">
    <w:name w:val="Unresolved Mention1"/>
    <w:basedOn w:val="DefaultParagraphFont"/>
    <w:uiPriority w:val="99"/>
    <w:semiHidden/>
    <w:unhideWhenUsed/>
    <w:rsid w:val="00E5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yperlink" Target="mailto:John.jones@ohioattorneygeneral.gov" TargetMode="External" /><Relationship Id="rId17" Type="http://schemas.openxmlformats.org/officeDocument/2006/relationships/hyperlink" Target="mailto:David.hicks@puco.ohio.gov" TargetMode="External" /><Relationship Id="rId18" Type="http://schemas.openxmlformats.org/officeDocument/2006/relationships/hyperlink" Target="mailto:Matsthew.sandor@puco.ohio.gov"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amy.botschner.obrien@occ.ohio.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puco.ohio.gov/industry-information/industry-topics/powerforward/powerforward-a-roadmap-to-ohios-electricity-futu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1280-D226-4C76-B214-E33C9D83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2020-03-19T14:22:06Z</dcterms:created>
  <dcterms:modified xsi:type="dcterms:W3CDTF">2020-03-19T14:22:06Z</dcterms:modified>
</cp:coreProperties>
</file>