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A7EDB" w:rsidRPr="00433C02" w:rsidP="007A7EDB" w14:paraId="7655C44F" w14:textId="77777777">
      <w:pPr>
        <w:jc w:val="center"/>
        <w:rPr>
          <w:b/>
          <w:bCs/>
          <w:sz w:val="24"/>
          <w:szCs w:val="24"/>
        </w:rPr>
      </w:pPr>
      <w:bookmarkStart w:id="0" w:name="_GoBack"/>
      <w:bookmarkEnd w:id="0"/>
      <w:r w:rsidRPr="00433C02">
        <w:rPr>
          <w:b/>
          <w:bCs/>
          <w:sz w:val="24"/>
          <w:szCs w:val="24"/>
        </w:rPr>
        <w:t>BEFORE</w:t>
      </w:r>
    </w:p>
    <w:p w:rsidR="007A7EDB" w:rsidRPr="00433C02" w:rsidP="007A7EDB" w14:paraId="5358F971" w14:textId="77777777">
      <w:pPr>
        <w:ind w:left="1438" w:right="1439"/>
        <w:jc w:val="center"/>
        <w:rPr>
          <w:b/>
          <w:sz w:val="24"/>
          <w:szCs w:val="24"/>
        </w:rPr>
      </w:pPr>
      <w:r w:rsidRPr="00433C02">
        <w:rPr>
          <w:b/>
          <w:sz w:val="24"/>
          <w:szCs w:val="24"/>
        </w:rPr>
        <w:t>THE PUBLIC UTILITIES COMMISSION OF OHIO</w:t>
      </w:r>
    </w:p>
    <w:tbl>
      <w:tblPr>
        <w:tblW w:w="9785" w:type="dxa"/>
        <w:tblLook w:val="01E0"/>
      </w:tblPr>
      <w:tblGrid>
        <w:gridCol w:w="5025"/>
        <w:gridCol w:w="360"/>
        <w:gridCol w:w="4400"/>
      </w:tblGrid>
      <w:tr w14:paraId="4CD46E23" w14:textId="77777777" w:rsidTr="00935BDA">
        <w:tblPrEx>
          <w:tblW w:w="9785" w:type="dxa"/>
          <w:tblLook w:val="01E0"/>
        </w:tblPrEx>
        <w:trPr>
          <w:trHeight w:val="972"/>
        </w:trPr>
        <w:tc>
          <w:tcPr>
            <w:tcW w:w="5025" w:type="dxa"/>
            <w:shd w:val="clear" w:color="auto" w:fill="auto"/>
          </w:tcPr>
          <w:p w:rsidR="007A7EDB" w:rsidRPr="00433C02" w:rsidP="00935BDA" w14:paraId="17664FE0" w14:textId="77777777">
            <w:pPr>
              <w:adjustRightInd w:val="0"/>
              <w:rPr>
                <w:rFonts w:eastAsia="Calibri"/>
                <w:sz w:val="24"/>
                <w:szCs w:val="24"/>
              </w:rPr>
            </w:pPr>
          </w:p>
          <w:p w:rsidR="007A7EDB" w:rsidRPr="00433C02" w:rsidP="00935BDA" w14:paraId="4B130676" w14:textId="77777777">
            <w:pPr>
              <w:adjustRightInd w:val="0"/>
              <w:rPr>
                <w:rFonts w:eastAsiaTheme="minorEastAsia"/>
                <w:sz w:val="24"/>
                <w:szCs w:val="24"/>
              </w:rPr>
            </w:pPr>
            <w:r w:rsidRPr="00433C02">
              <w:rPr>
                <w:rFonts w:eastAsia="Calibri"/>
                <w:sz w:val="24"/>
                <w:szCs w:val="24"/>
              </w:rPr>
              <w:t>In the Matter of the Application of Ohio Power Company to Update Its Enhanced Service Reliability Rider.</w:t>
            </w:r>
          </w:p>
        </w:tc>
        <w:tc>
          <w:tcPr>
            <w:tcW w:w="360" w:type="dxa"/>
            <w:shd w:val="clear" w:color="auto" w:fill="auto"/>
          </w:tcPr>
          <w:p w:rsidR="007A7EDB" w:rsidRPr="00433C02" w:rsidP="00935BDA" w14:paraId="33EBBE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7A7EDB" w:rsidRPr="00433C02" w:rsidP="00935BDA" w14:paraId="75FDC1B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7A7EDB" w:rsidRPr="00433C02" w:rsidP="00935BDA" w14:paraId="22FD7A6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7A7EDB" w:rsidRPr="00433C02" w:rsidP="00935BDA" w14:paraId="714D6AB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7A7EDB" w:rsidRPr="00433C02" w:rsidP="00935BDA" w14:paraId="4203587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sz w:val="24"/>
                <w:szCs w:val="24"/>
              </w:rPr>
            </w:pPr>
          </w:p>
        </w:tc>
        <w:tc>
          <w:tcPr>
            <w:tcW w:w="4400" w:type="dxa"/>
            <w:shd w:val="clear" w:color="auto" w:fill="auto"/>
          </w:tcPr>
          <w:p w:rsidR="007A7EDB" w:rsidRPr="00433C02" w:rsidP="00935BDA" w14:paraId="156524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7A7EDB" w:rsidRPr="00433C02" w:rsidP="00935BDA" w14:paraId="643D903C" w14:textId="77777777">
            <w:pPr>
              <w:adjustRightInd w:val="0"/>
              <w:rPr>
                <w:rFonts w:eastAsia="Calibri"/>
                <w:sz w:val="24"/>
                <w:szCs w:val="24"/>
              </w:rPr>
            </w:pPr>
          </w:p>
          <w:p w:rsidR="007A7EDB" w:rsidRPr="00433C02" w:rsidP="00935BDA" w14:paraId="28D34A41" w14:textId="77777777">
            <w:pPr>
              <w:adjustRightInd w:val="0"/>
              <w:rPr>
                <w:rFonts w:eastAsia="Courier New"/>
                <w:sz w:val="24"/>
                <w:szCs w:val="24"/>
              </w:rPr>
            </w:pPr>
            <w:r w:rsidRPr="00433C02">
              <w:rPr>
                <w:rFonts w:eastAsia="Calibri"/>
                <w:sz w:val="24"/>
                <w:szCs w:val="24"/>
              </w:rPr>
              <w:t>Case No. 17-1914-EL-RDR</w:t>
            </w:r>
          </w:p>
        </w:tc>
      </w:tr>
    </w:tbl>
    <w:p w:rsidR="007A7EDB" w:rsidRPr="00433C02" w:rsidP="007A7EDB" w14:paraId="0C921C58" w14:textId="77777777">
      <w:pPr>
        <w:pStyle w:val="BodyText"/>
        <w:spacing w:line="30" w:lineRule="exact"/>
      </w:pPr>
      <w:r w:rsidRPr="00433C02">
        <w:rPr>
          <w:noProof/>
        </w:rPr>
        <mc:AlternateContent>
          <mc:Choice Requires="wpg">
            <w:drawing>
              <wp:inline distT="0" distB="0" distL="0" distR="0">
                <wp:extent cx="5543550" cy="19050"/>
                <wp:effectExtent l="0" t="6985" r="0" b="2540"/>
                <wp:docPr id="1"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5543550" cy="19050"/>
                          <a:chOff x="0" y="0"/>
                          <a:chExt cx="8730" cy="30"/>
                        </a:xfrm>
                      </wpg:grpSpPr>
                      <wps:wsp xmlns:wps="http://schemas.microsoft.com/office/word/2010/wordprocessingShape">
                        <wps:cNvPr id="2" name="Line 15"/>
                        <wps:cNvCnPr>
                          <a:cxnSpLocks noChangeShapeType="1"/>
                        </wps:cNvCnPr>
                        <wps:spPr bwMode="auto">
                          <a:xfrm>
                            <a:off x="15" y="15"/>
                            <a:ext cx="8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4" o:spid="_x0000_i1025" style="width:436.5pt;height:1.5pt;mso-position-horizontal-relative:char;mso-position-vertical-relative:line" coordsize="8730,30">
                <v:line id="Line 15" o:spid="_x0000_s1026" style="mso-wrap-style:square;position:absolute;visibility:visible" from="15,15" to="8715,15" o:connectortype="straight" strokeweight="1.5pt"/>
                <w10:wrap type="none"/>
                <w10:anchorlock/>
              </v:group>
            </w:pict>
          </mc:Fallback>
        </mc:AlternateContent>
      </w:r>
    </w:p>
    <w:p w:rsidR="007A7EDB" w:rsidRPr="00433C02" w:rsidP="007A7EDB" w14:paraId="5C561776" w14:textId="77777777">
      <w:pPr>
        <w:pStyle w:val="BodyText"/>
        <w:spacing w:before="3"/>
        <w:rPr>
          <w:b/>
        </w:rPr>
      </w:pPr>
    </w:p>
    <w:p w:rsidR="007A7EDB" w:rsidRPr="00433C02" w:rsidP="007A7EDB" w14:paraId="6DCEEC3F" w14:textId="77777777">
      <w:pPr>
        <w:spacing w:before="90"/>
        <w:jc w:val="center"/>
        <w:rPr>
          <w:b/>
          <w:sz w:val="24"/>
          <w:szCs w:val="24"/>
        </w:rPr>
      </w:pPr>
      <w:r w:rsidRPr="00433C02">
        <w:rPr>
          <w:b/>
          <w:sz w:val="24"/>
          <w:szCs w:val="24"/>
        </w:rPr>
        <w:t xml:space="preserve">APPLICATION FOR REHEARING </w:t>
      </w:r>
    </w:p>
    <w:p w:rsidR="007A7EDB" w:rsidRPr="00433C02" w:rsidP="007A7EDB" w14:paraId="364A19AF" w14:textId="77777777">
      <w:pPr>
        <w:spacing w:before="90"/>
        <w:jc w:val="center"/>
        <w:rPr>
          <w:b/>
          <w:sz w:val="24"/>
          <w:szCs w:val="24"/>
        </w:rPr>
      </w:pPr>
      <w:r w:rsidRPr="00433C02">
        <w:rPr>
          <w:b/>
          <w:sz w:val="24"/>
          <w:szCs w:val="24"/>
        </w:rPr>
        <w:t>BY</w:t>
      </w:r>
    </w:p>
    <w:p w:rsidR="007A7EDB" w:rsidRPr="00433C02" w:rsidP="007A7EDB" w14:paraId="53C81E86" w14:textId="77777777">
      <w:pPr>
        <w:jc w:val="center"/>
        <w:rPr>
          <w:b/>
          <w:sz w:val="24"/>
          <w:szCs w:val="24"/>
        </w:rPr>
      </w:pPr>
      <w:r w:rsidRPr="00433C02">
        <w:rPr>
          <w:b/>
          <w:sz w:val="24"/>
          <w:szCs w:val="24"/>
        </w:rPr>
        <w:t>THE OFFICE OF THE OHIO CONSUMERS’ COUNSEL</w:t>
      </w:r>
    </w:p>
    <w:p w:rsidR="007A7EDB" w:rsidRPr="00433C02" w:rsidP="007A7EDB" w14:paraId="3F47CD40" w14:textId="77777777">
      <w:pPr>
        <w:pStyle w:val="BodyText"/>
        <w:spacing w:before="3"/>
        <w:rPr>
          <w:b/>
        </w:rPr>
      </w:pPr>
      <w:r w:rsidRPr="00433C02">
        <w:rPr>
          <w:noProof/>
        </w:rPr>
        <mc:AlternateContent>
          <mc:Choice Requires="wps">
            <w:drawing>
              <wp:anchor distT="0" distB="0" distL="0" distR="0" simplePos="0" relativeHeight="251662336" behindDoc="0" locked="0" layoutInCell="1" allowOverlap="1">
                <wp:simplePos x="0" y="0"/>
                <wp:positionH relativeFrom="page">
                  <wp:posOffset>1123950</wp:posOffset>
                </wp:positionH>
                <wp:positionV relativeFrom="paragraph">
                  <wp:posOffset>196850</wp:posOffset>
                </wp:positionV>
                <wp:extent cx="5524500" cy="0"/>
                <wp:effectExtent l="9525" t="13970" r="9525" b="14605"/>
                <wp:wrapTopAndBottom/>
                <wp:docPr id="3"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88.5pt,15.5pt" to="523.5pt,15.5pt" strokeweight="1.5pt">
                <w10:wrap type="topAndBottom"/>
              </v:line>
            </w:pict>
          </mc:Fallback>
        </mc:AlternateContent>
      </w:r>
    </w:p>
    <w:p w:rsidR="007A7EDB" w:rsidRPr="00433C02" w:rsidP="007A7EDB" w14:paraId="4099F088" w14:textId="77777777">
      <w:pPr>
        <w:pStyle w:val="BodyText"/>
        <w:spacing w:before="9"/>
        <w:rPr>
          <w:b/>
        </w:rPr>
      </w:pPr>
    </w:p>
    <w:p w:rsidR="007A7EDB" w:rsidRPr="00433C02" w:rsidP="002307EF" w14:paraId="49FF9C65" w14:textId="77777777">
      <w:pPr>
        <w:jc w:val="center"/>
        <w:rPr>
          <w:b/>
          <w:bCs/>
          <w:sz w:val="24"/>
          <w:szCs w:val="24"/>
        </w:rPr>
      </w:pPr>
    </w:p>
    <w:p w:rsidR="007A7EDB" w:rsidRPr="00433C02" w:rsidP="002307EF" w14:paraId="529F17E7" w14:textId="77777777">
      <w:pPr>
        <w:jc w:val="center"/>
        <w:rPr>
          <w:b/>
          <w:bCs/>
          <w:sz w:val="24"/>
          <w:szCs w:val="24"/>
        </w:rPr>
      </w:pPr>
    </w:p>
    <w:p w:rsidR="007A7EDB" w:rsidRPr="00433C02" w:rsidP="002307EF" w14:paraId="01A8BD28" w14:textId="77777777">
      <w:pPr>
        <w:jc w:val="center"/>
        <w:rPr>
          <w:b/>
          <w:bCs/>
          <w:sz w:val="24"/>
          <w:szCs w:val="24"/>
        </w:rPr>
      </w:pPr>
    </w:p>
    <w:p w:rsidR="007A7EDB" w:rsidRPr="00433C02" w:rsidP="002307EF" w14:paraId="181E91DF" w14:textId="77777777">
      <w:pPr>
        <w:jc w:val="center"/>
        <w:rPr>
          <w:b/>
          <w:bCs/>
          <w:sz w:val="24"/>
          <w:szCs w:val="24"/>
        </w:rPr>
      </w:pPr>
    </w:p>
    <w:p w:rsidR="007A7EDB" w:rsidRPr="00433C02" w:rsidP="002307EF" w14:paraId="06B705AD" w14:textId="77777777">
      <w:pPr>
        <w:jc w:val="center"/>
        <w:rPr>
          <w:b/>
          <w:bCs/>
          <w:sz w:val="24"/>
          <w:szCs w:val="24"/>
        </w:rPr>
      </w:pPr>
    </w:p>
    <w:p w:rsidR="007A7EDB" w:rsidRPr="00433C02" w:rsidP="002307EF" w14:paraId="53C0E943" w14:textId="77777777">
      <w:pPr>
        <w:jc w:val="center"/>
        <w:rPr>
          <w:b/>
          <w:bCs/>
          <w:sz w:val="24"/>
          <w:szCs w:val="24"/>
        </w:rPr>
      </w:pPr>
    </w:p>
    <w:p w:rsidR="007A7EDB" w:rsidRPr="00433C02" w:rsidP="007A7EDB" w14:paraId="7B52EC39" w14:textId="77777777">
      <w:pPr>
        <w:pStyle w:val="BodyText"/>
        <w:ind w:left="4478" w:hanging="158"/>
      </w:pPr>
    </w:p>
    <w:p w:rsidR="007A7EDB" w:rsidRPr="00433C02" w:rsidP="007A7EDB" w14:paraId="44746ECA" w14:textId="77777777">
      <w:pPr>
        <w:pStyle w:val="BodyText"/>
        <w:ind w:left="4478" w:hanging="158"/>
      </w:pPr>
    </w:p>
    <w:p w:rsidR="007A7EDB" w:rsidRPr="00433C02" w:rsidP="007A7EDB" w14:paraId="25F46926" w14:textId="77777777">
      <w:pPr>
        <w:pStyle w:val="BodyText"/>
        <w:ind w:left="4478" w:hanging="158"/>
      </w:pPr>
    </w:p>
    <w:p w:rsidR="007A7EDB" w:rsidRPr="00433C02" w:rsidP="007A7EDB" w14:paraId="4593AB43" w14:textId="77777777">
      <w:pPr>
        <w:pStyle w:val="BodyText"/>
        <w:ind w:left="4478" w:hanging="158"/>
      </w:pPr>
    </w:p>
    <w:p w:rsidR="007A7EDB" w:rsidRPr="00433C02" w:rsidP="007A7EDB" w14:paraId="1358AE4B" w14:textId="77777777">
      <w:pPr>
        <w:pStyle w:val="BodyText"/>
        <w:ind w:left="4478" w:hanging="158"/>
      </w:pPr>
    </w:p>
    <w:p w:rsidR="007A7EDB" w:rsidRPr="00433C02" w:rsidP="007A7EDB" w14:paraId="7A130A13" w14:textId="77777777">
      <w:pPr>
        <w:pStyle w:val="BodyText"/>
        <w:ind w:left="4478" w:hanging="158"/>
      </w:pPr>
    </w:p>
    <w:p w:rsidR="007A7EDB" w:rsidRPr="00433C02" w:rsidP="007A7EDB" w14:paraId="5FD7C2F0" w14:textId="4C231CC2">
      <w:pPr>
        <w:pStyle w:val="BodyText"/>
        <w:ind w:left="4478" w:hanging="158"/>
      </w:pPr>
      <w:r w:rsidRPr="00433C02">
        <w:t xml:space="preserve">Bruce Weston (0016973) </w:t>
      </w:r>
    </w:p>
    <w:p w:rsidR="007A7EDB" w:rsidRPr="00433C02" w:rsidP="007A7EDB" w14:paraId="735E6553" w14:textId="77777777">
      <w:pPr>
        <w:pStyle w:val="BodyText"/>
        <w:ind w:left="4478" w:hanging="158"/>
      </w:pPr>
      <w:r w:rsidRPr="00433C02">
        <w:t>Ohio Consumers’ Counsel</w:t>
      </w:r>
    </w:p>
    <w:p w:rsidR="007A7EDB" w:rsidRPr="00433C02" w:rsidP="007A7EDB" w14:paraId="07620FD3" w14:textId="77777777">
      <w:pPr>
        <w:pStyle w:val="BodyText"/>
        <w:spacing w:before="11"/>
        <w:ind w:hanging="158"/>
      </w:pPr>
      <w:r w:rsidRPr="00433C02">
        <w:tab/>
      </w:r>
      <w:r w:rsidRPr="00433C02">
        <w:tab/>
      </w:r>
      <w:r w:rsidRPr="00433C02">
        <w:tab/>
      </w:r>
      <w:r w:rsidRPr="00433C02">
        <w:tab/>
      </w:r>
      <w:r w:rsidRPr="00433C02">
        <w:tab/>
      </w:r>
      <w:r w:rsidRPr="00433C02">
        <w:tab/>
      </w:r>
      <w:r w:rsidRPr="00433C02">
        <w:tab/>
      </w:r>
    </w:p>
    <w:p w:rsidR="007A7EDB" w:rsidRPr="00433C02" w:rsidP="007A7EDB" w14:paraId="720C01C7" w14:textId="64D3E66C">
      <w:pPr>
        <w:pStyle w:val="BodyText"/>
        <w:spacing w:before="11"/>
        <w:ind w:hanging="158"/>
      </w:pPr>
      <w:r w:rsidRPr="00433C02">
        <w:tab/>
      </w:r>
      <w:r w:rsidRPr="00433C02">
        <w:tab/>
      </w:r>
      <w:r w:rsidRPr="00433C02">
        <w:tab/>
      </w:r>
      <w:r w:rsidRPr="00433C02">
        <w:tab/>
      </w:r>
      <w:r w:rsidRPr="00433C02">
        <w:tab/>
      </w:r>
      <w:r w:rsidRPr="00433C02">
        <w:tab/>
      </w:r>
      <w:r w:rsidRPr="00433C02">
        <w:tab/>
        <w:t xml:space="preserve">William J. Michael (0070921) </w:t>
      </w:r>
    </w:p>
    <w:p w:rsidR="007A7EDB" w:rsidRPr="00433C02" w:rsidP="007A7EDB" w14:paraId="51AD14D2" w14:textId="77777777">
      <w:pPr>
        <w:pStyle w:val="BodyText"/>
        <w:ind w:left="4480" w:hanging="158"/>
      </w:pPr>
      <w:r w:rsidRPr="00433C02">
        <w:t>Counsel of Record</w:t>
      </w:r>
    </w:p>
    <w:p w:rsidR="007A7EDB" w:rsidRPr="00433C02" w:rsidP="007A7EDB" w14:paraId="78049AEC" w14:textId="77777777">
      <w:pPr>
        <w:pStyle w:val="BodyText"/>
        <w:ind w:left="4480" w:hanging="158"/>
      </w:pPr>
      <w:r w:rsidRPr="00433C02">
        <w:t>Ambrosia E. Logsdon (0096598)</w:t>
      </w:r>
    </w:p>
    <w:p w:rsidR="007A7EDB" w:rsidRPr="00433C02" w:rsidP="007A7EDB" w14:paraId="63B83962" w14:textId="77777777">
      <w:pPr>
        <w:pStyle w:val="BodyText"/>
        <w:ind w:left="4480" w:hanging="158"/>
      </w:pPr>
      <w:r w:rsidRPr="00433C02">
        <w:t>Assistant Consumers’ Counsel</w:t>
      </w:r>
    </w:p>
    <w:p w:rsidR="007A7EDB" w:rsidRPr="00433C02" w:rsidP="007A7EDB" w14:paraId="2D7E42F0" w14:textId="77777777">
      <w:pPr>
        <w:pStyle w:val="BodyText"/>
        <w:ind w:hanging="158"/>
      </w:pPr>
    </w:p>
    <w:p w:rsidR="007A7EDB" w:rsidRPr="00433C02" w:rsidP="007A7EDB" w14:paraId="5FDABEF6" w14:textId="77777777">
      <w:pPr>
        <w:ind w:left="3600" w:firstLine="720"/>
        <w:rPr>
          <w:b/>
          <w:bCs/>
          <w:sz w:val="24"/>
          <w:szCs w:val="24"/>
        </w:rPr>
      </w:pPr>
      <w:r w:rsidRPr="00433C02">
        <w:rPr>
          <w:b/>
          <w:bCs/>
          <w:sz w:val="24"/>
          <w:szCs w:val="24"/>
        </w:rPr>
        <w:t>Office of the Ohio Consumers’ Counsel</w:t>
      </w:r>
    </w:p>
    <w:p w:rsidR="007A7EDB" w:rsidRPr="00433C02" w:rsidP="007A7EDB" w14:paraId="65DCD209" w14:textId="77777777">
      <w:pPr>
        <w:pStyle w:val="BodyText"/>
        <w:ind w:left="4320"/>
      </w:pPr>
      <w:r w:rsidRPr="00433C02">
        <w:t>65 E. State Street, 7</w:t>
      </w:r>
      <w:r w:rsidRPr="00433C02">
        <w:rPr>
          <w:vertAlign w:val="superscript"/>
        </w:rPr>
        <w:t>th</w:t>
      </w:r>
      <w:r w:rsidRPr="00433C02">
        <w:t xml:space="preserve"> Floor</w:t>
      </w:r>
    </w:p>
    <w:p w:rsidR="007A7EDB" w:rsidRPr="00433C02" w:rsidP="007A7EDB" w14:paraId="637287F9" w14:textId="77777777">
      <w:pPr>
        <w:pStyle w:val="BodyText"/>
        <w:ind w:left="4480" w:hanging="158"/>
      </w:pPr>
      <w:r w:rsidRPr="00433C02">
        <w:t>Columbus, Ohio 43215-4213</w:t>
      </w:r>
    </w:p>
    <w:p w:rsidR="007A7EDB" w:rsidRPr="00433C02" w:rsidP="007A7EDB" w14:paraId="3BD73A18" w14:textId="77777777">
      <w:pPr>
        <w:pStyle w:val="BodyText"/>
        <w:ind w:left="4480" w:hanging="158"/>
      </w:pPr>
      <w:r w:rsidRPr="00433C02">
        <w:t>Telephone [Michael]: 614-466-1291</w:t>
      </w:r>
    </w:p>
    <w:p w:rsidR="007A7EDB" w:rsidRPr="00433C02" w:rsidP="007A7EDB" w14:paraId="4ADC6E01" w14:textId="77777777">
      <w:pPr>
        <w:pStyle w:val="BodyText"/>
        <w:ind w:left="4480" w:hanging="158"/>
      </w:pPr>
      <w:r w:rsidRPr="00433C02">
        <w:t>Telephone [Logsdon]: 614-466-1292</w:t>
      </w:r>
    </w:p>
    <w:p w:rsidR="007A7EDB" w:rsidRPr="00433C02" w:rsidP="007A7EDB" w14:paraId="0574FA8D" w14:textId="77777777">
      <w:pPr>
        <w:pStyle w:val="BodyText"/>
        <w:ind w:left="4480" w:hanging="158"/>
      </w:pPr>
      <w:hyperlink r:id="rId6" w:history="1">
        <w:r w:rsidRPr="00433C02">
          <w:rPr>
            <w:rStyle w:val="Hyperlink"/>
          </w:rPr>
          <w:t>William.michael@occ.ohio.gov</w:t>
        </w:r>
      </w:hyperlink>
    </w:p>
    <w:p w:rsidR="007A7EDB" w:rsidRPr="00433C02" w:rsidP="007A7EDB" w14:paraId="73BCB30F" w14:textId="77777777">
      <w:pPr>
        <w:pStyle w:val="BodyText"/>
        <w:ind w:left="4480" w:hanging="158"/>
      </w:pPr>
      <w:hyperlink r:id="rId7" w:history="1">
        <w:r w:rsidRPr="00433C02">
          <w:rPr>
            <w:rStyle w:val="Hyperlink"/>
          </w:rPr>
          <w:t>Ambrosia.Logsdon@occ.ohio.gov</w:t>
        </w:r>
      </w:hyperlink>
    </w:p>
    <w:p w:rsidR="007A7EDB" w:rsidRPr="00433C02" w:rsidP="007A7EDB" w14:paraId="292E3D5D" w14:textId="3C8C629B">
      <w:pPr>
        <w:pStyle w:val="BodyText"/>
      </w:pPr>
      <w:r w:rsidRPr="00433C02">
        <w:t>January 3, 2020</w:t>
      </w:r>
      <w:r w:rsidRPr="00433C02">
        <w:tab/>
      </w:r>
      <w:r w:rsidRPr="00433C02">
        <w:tab/>
      </w:r>
      <w:r w:rsidRPr="00433C02">
        <w:tab/>
      </w:r>
      <w:r w:rsidRPr="00433C02">
        <w:tab/>
        <w:t>(willing to accept service by e-mail)</w:t>
      </w:r>
    </w:p>
    <w:p w:rsidR="007A7EDB" w:rsidRPr="00433C02" w:rsidP="002307EF" w14:paraId="5B3F0735" w14:textId="77777777">
      <w:pPr>
        <w:jc w:val="center"/>
        <w:rPr>
          <w:b/>
          <w:bCs/>
          <w:sz w:val="24"/>
          <w:szCs w:val="24"/>
        </w:rPr>
        <w:sectPr w:rsidSect="002307EF">
          <w:footerReference w:type="default" r:id="rId8"/>
          <w:pgSz w:w="12240" w:h="15840"/>
          <w:pgMar w:top="1440" w:right="1800" w:bottom="1440" w:left="1800" w:header="0" w:footer="1061" w:gutter="0"/>
          <w:pgNumType w:start="2"/>
          <w:cols w:space="720"/>
          <w:docGrid w:linePitch="299"/>
        </w:sectPr>
      </w:pPr>
      <w:r w:rsidRPr="00433C02">
        <w:rPr>
          <w:b/>
          <w:bCs/>
          <w:sz w:val="24"/>
          <w:szCs w:val="24"/>
        </w:rPr>
        <w:br w:type="page"/>
      </w:r>
    </w:p>
    <w:p w:rsidR="002307EF" w:rsidRPr="00433C02" w:rsidP="002307EF" w14:paraId="7A72D4F1" w14:textId="3F3959E9">
      <w:pPr>
        <w:jc w:val="center"/>
        <w:rPr>
          <w:b/>
          <w:bCs/>
          <w:sz w:val="24"/>
          <w:szCs w:val="24"/>
        </w:rPr>
      </w:pPr>
      <w:r w:rsidRPr="00433C02">
        <w:rPr>
          <w:b/>
          <w:bCs/>
          <w:sz w:val="24"/>
          <w:szCs w:val="24"/>
        </w:rPr>
        <w:t>BEFORE</w:t>
      </w:r>
    </w:p>
    <w:p w:rsidR="002307EF" w:rsidRPr="00433C02" w14:paraId="22600A3A" w14:textId="77777777">
      <w:pPr>
        <w:ind w:left="1438" w:right="1439"/>
        <w:jc w:val="center"/>
        <w:rPr>
          <w:b/>
          <w:sz w:val="24"/>
          <w:szCs w:val="24"/>
        </w:rPr>
      </w:pPr>
      <w:r w:rsidRPr="00433C02">
        <w:rPr>
          <w:b/>
          <w:sz w:val="24"/>
          <w:szCs w:val="24"/>
        </w:rPr>
        <w:t>THE PUBLIC UTILITIES COMMISSION OF OHIO</w:t>
      </w:r>
    </w:p>
    <w:tbl>
      <w:tblPr>
        <w:tblW w:w="9785" w:type="dxa"/>
        <w:tblLook w:val="01E0"/>
      </w:tblPr>
      <w:tblGrid>
        <w:gridCol w:w="5025"/>
        <w:gridCol w:w="360"/>
        <w:gridCol w:w="4400"/>
      </w:tblGrid>
      <w:tr w14:paraId="645BE16E" w14:textId="77777777" w:rsidTr="002307EF">
        <w:tblPrEx>
          <w:tblW w:w="9785" w:type="dxa"/>
          <w:tblLook w:val="01E0"/>
        </w:tblPrEx>
        <w:trPr>
          <w:trHeight w:val="972"/>
        </w:trPr>
        <w:tc>
          <w:tcPr>
            <w:tcW w:w="5025" w:type="dxa"/>
            <w:shd w:val="clear" w:color="auto" w:fill="auto"/>
          </w:tcPr>
          <w:p w:rsidR="00594AF8" w:rsidRPr="00433C02" w:rsidP="002307EF" w14:paraId="21D993DF" w14:textId="77777777">
            <w:pPr>
              <w:adjustRightInd w:val="0"/>
              <w:rPr>
                <w:rFonts w:eastAsia="Calibri"/>
                <w:sz w:val="24"/>
                <w:szCs w:val="24"/>
              </w:rPr>
            </w:pPr>
          </w:p>
          <w:p w:rsidR="00420722" w:rsidRPr="00433C02" w:rsidP="002307EF" w14:paraId="608B17CF" w14:textId="15C0D5DF">
            <w:pPr>
              <w:adjustRightInd w:val="0"/>
              <w:rPr>
                <w:rFonts w:eastAsiaTheme="minorEastAsia"/>
                <w:sz w:val="24"/>
                <w:szCs w:val="24"/>
              </w:rPr>
            </w:pPr>
            <w:r w:rsidRPr="00433C02">
              <w:rPr>
                <w:rFonts w:eastAsia="Calibri"/>
                <w:sz w:val="24"/>
                <w:szCs w:val="24"/>
              </w:rPr>
              <w:t>In the Matter of the Application of Ohio Power Company to Update Its Enhanced Service Reliability Rider.</w:t>
            </w:r>
          </w:p>
        </w:tc>
        <w:tc>
          <w:tcPr>
            <w:tcW w:w="360" w:type="dxa"/>
            <w:shd w:val="clear" w:color="auto" w:fill="auto"/>
          </w:tcPr>
          <w:p w:rsidR="00594AF8" w:rsidRPr="00433C02" w:rsidP="002307EF" w14:paraId="36CC714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420722" w:rsidRPr="00433C02" w:rsidP="002307EF" w14:paraId="531D5084" w14:textId="330A8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420722" w:rsidRPr="00433C02" w:rsidP="002307EF" w14:paraId="26A6BC8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420722" w:rsidRPr="00433C02" w:rsidP="002307EF" w14:paraId="659A97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420722" w:rsidRPr="00433C02" w:rsidP="002307EF" w14:paraId="76C32A9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sz w:val="24"/>
                <w:szCs w:val="24"/>
              </w:rPr>
            </w:pPr>
          </w:p>
        </w:tc>
        <w:tc>
          <w:tcPr>
            <w:tcW w:w="4400" w:type="dxa"/>
            <w:shd w:val="clear" w:color="auto" w:fill="auto"/>
          </w:tcPr>
          <w:p w:rsidR="00420722" w:rsidRPr="00433C02" w:rsidP="002307EF" w14:paraId="3847199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594AF8" w:rsidRPr="00433C02" w:rsidP="002307EF" w14:paraId="3635831E" w14:textId="77777777">
            <w:pPr>
              <w:adjustRightInd w:val="0"/>
              <w:rPr>
                <w:rFonts w:eastAsia="Calibri"/>
                <w:sz w:val="24"/>
                <w:szCs w:val="24"/>
              </w:rPr>
            </w:pPr>
          </w:p>
          <w:p w:rsidR="00420722" w:rsidRPr="00433C02" w:rsidP="002307EF" w14:paraId="1AAC7046" w14:textId="5C229831">
            <w:pPr>
              <w:adjustRightInd w:val="0"/>
              <w:rPr>
                <w:rFonts w:eastAsia="Courier New"/>
                <w:sz w:val="24"/>
                <w:szCs w:val="24"/>
              </w:rPr>
            </w:pPr>
            <w:r w:rsidRPr="00433C02">
              <w:rPr>
                <w:rFonts w:eastAsia="Calibri"/>
                <w:sz w:val="24"/>
                <w:szCs w:val="24"/>
              </w:rPr>
              <w:t>Case No. 17-1914-EL-RDR</w:t>
            </w:r>
          </w:p>
        </w:tc>
      </w:tr>
    </w:tbl>
    <w:p w:rsidR="002307EF" w:rsidRPr="00433C02" w:rsidP="00420722" w14:paraId="7B8C4590" w14:textId="77777777">
      <w:pPr>
        <w:pStyle w:val="BodyText"/>
        <w:spacing w:line="30" w:lineRule="exact"/>
      </w:pPr>
      <w:r w:rsidRPr="00433C02">
        <w:rPr>
          <w:noProof/>
        </w:rPr>
        <mc:AlternateContent>
          <mc:Choice Requires="wpg">
            <w:drawing>
              <wp:inline distT="0" distB="0" distL="0" distR="0">
                <wp:extent cx="5543550" cy="19050"/>
                <wp:effectExtent l="0" t="6985" r="0" b="2540"/>
                <wp:docPr id="17"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5543550" cy="19050"/>
                          <a:chOff x="0" y="0"/>
                          <a:chExt cx="8730" cy="30"/>
                        </a:xfrm>
                      </wpg:grpSpPr>
                      <wps:wsp xmlns:wps="http://schemas.microsoft.com/office/word/2010/wordprocessingShape">
                        <wps:cNvPr id="18" name="Line 15"/>
                        <wps:cNvCnPr>
                          <a:cxnSpLocks noChangeShapeType="1"/>
                        </wps:cNvCnPr>
                        <wps:spPr bwMode="auto">
                          <a:xfrm>
                            <a:off x="15" y="15"/>
                            <a:ext cx="8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4" o:spid="_x0000_i1028" style="width:436.5pt;height:1.5pt;mso-position-horizontal-relative:char;mso-position-vertical-relative:line" coordsize="8730,30">
                <v:line id="Line 15" o:spid="_x0000_s1029" style="mso-wrap-style:square;position:absolute;visibility:visible" from="15,15" to="8715,15" o:connectortype="straight" strokeweight="1.5pt"/>
                <w10:wrap type="none"/>
                <w10:anchorlock/>
              </v:group>
            </w:pict>
          </mc:Fallback>
        </mc:AlternateContent>
      </w:r>
    </w:p>
    <w:p w:rsidR="002307EF" w:rsidRPr="00433C02" w14:paraId="4F5594CE" w14:textId="77777777">
      <w:pPr>
        <w:pStyle w:val="BodyText"/>
        <w:spacing w:before="3"/>
        <w:rPr>
          <w:b/>
        </w:rPr>
      </w:pPr>
    </w:p>
    <w:p w:rsidR="002307EF" w:rsidRPr="00433C02" w:rsidP="007C4907" w14:paraId="213A8778" w14:textId="34BDD917">
      <w:pPr>
        <w:spacing w:before="90"/>
        <w:jc w:val="center"/>
        <w:rPr>
          <w:b/>
          <w:sz w:val="24"/>
          <w:szCs w:val="24"/>
        </w:rPr>
      </w:pPr>
      <w:r w:rsidRPr="00433C02">
        <w:rPr>
          <w:b/>
          <w:sz w:val="24"/>
          <w:szCs w:val="24"/>
        </w:rPr>
        <w:t xml:space="preserve">APPLICATION FOR REHEARING </w:t>
      </w:r>
    </w:p>
    <w:p w:rsidR="002307EF" w:rsidRPr="00433C02" w:rsidP="002307EF" w14:paraId="5D6BB7E5" w14:textId="77777777">
      <w:pPr>
        <w:spacing w:before="90"/>
        <w:jc w:val="center"/>
        <w:rPr>
          <w:b/>
          <w:sz w:val="24"/>
          <w:szCs w:val="24"/>
        </w:rPr>
      </w:pPr>
      <w:r w:rsidRPr="00433C02">
        <w:rPr>
          <w:b/>
          <w:sz w:val="24"/>
          <w:szCs w:val="24"/>
        </w:rPr>
        <w:t>BY</w:t>
      </w:r>
    </w:p>
    <w:p w:rsidR="002307EF" w:rsidRPr="00433C02" w:rsidP="002307EF" w14:paraId="087AB9F7" w14:textId="77777777">
      <w:pPr>
        <w:jc w:val="center"/>
        <w:rPr>
          <w:b/>
          <w:sz w:val="24"/>
          <w:szCs w:val="24"/>
        </w:rPr>
      </w:pPr>
      <w:r w:rsidRPr="00433C02">
        <w:rPr>
          <w:b/>
          <w:sz w:val="24"/>
          <w:szCs w:val="24"/>
        </w:rPr>
        <w:t>THE OFFICE OF THE OHIO CONSUMERS’ COUNSEL</w:t>
      </w:r>
    </w:p>
    <w:p w:rsidR="002307EF" w:rsidRPr="00433C02" w14:paraId="673CF02D" w14:textId="77777777">
      <w:pPr>
        <w:pStyle w:val="BodyText"/>
        <w:spacing w:before="3"/>
        <w:rPr>
          <w:b/>
        </w:rPr>
      </w:pPr>
      <w:r w:rsidRPr="00433C02">
        <w:rPr>
          <w:noProof/>
        </w:rPr>
        <mc:AlternateContent>
          <mc:Choice Requires="wps">
            <w:drawing>
              <wp:anchor distT="0" distB="0" distL="0" distR="0" simplePos="0" relativeHeight="251658240" behindDoc="0" locked="0" layoutInCell="1" allowOverlap="1">
                <wp:simplePos x="0" y="0"/>
                <wp:positionH relativeFrom="page">
                  <wp:posOffset>1123950</wp:posOffset>
                </wp:positionH>
                <wp:positionV relativeFrom="paragraph">
                  <wp:posOffset>196850</wp:posOffset>
                </wp:positionV>
                <wp:extent cx="5524500" cy="0"/>
                <wp:effectExtent l="9525" t="13970" r="9525" b="14605"/>
                <wp:wrapTopAndBottom/>
                <wp:docPr id="16" name="Line 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30" style="mso-height-percent:0;mso-height-relative:page;mso-position-horizontal-relative:page;mso-width-percent:0;mso-width-relative:page;mso-wrap-distance-bottom:0;mso-wrap-distance-left:0;mso-wrap-distance-right:0;mso-wrap-distance-top:0;mso-wrap-style:square;position:absolute;visibility:visible;z-index:251659264" from="88.5pt,15.5pt" to="523.5pt,15.5pt" strokeweight="1.5pt">
                <w10:wrap type="topAndBottom"/>
              </v:line>
            </w:pict>
          </mc:Fallback>
        </mc:AlternateContent>
      </w:r>
    </w:p>
    <w:p w:rsidR="002307EF" w:rsidRPr="00433C02" w14:paraId="27D6D813" w14:textId="77777777">
      <w:pPr>
        <w:pStyle w:val="BodyText"/>
        <w:spacing w:before="9"/>
        <w:rPr>
          <w:b/>
        </w:rPr>
      </w:pPr>
    </w:p>
    <w:p w:rsidR="00141E83" w:rsidRPr="00433C02" w:rsidP="00541E37" w14:paraId="38DE8419" w14:textId="77777777">
      <w:pPr>
        <w:pStyle w:val="BodyText"/>
        <w:spacing w:before="60" w:line="480" w:lineRule="auto"/>
        <w:ind w:left="120" w:firstLine="600"/>
      </w:pPr>
      <w:r w:rsidRPr="00433C02">
        <w:t xml:space="preserve">Consumers have paid AEP hundreds of millions of dollars for reliability.  In fact, AEP even convinced the PUCO to enable it to charge consumers for so-called “enhanced” reliability. However, AEP’s reliability statistics tell another story. Unfortunately for consumers, they have experienced more outages for longer periods of time. </w:t>
      </w:r>
    </w:p>
    <w:p w:rsidR="00141E83" w:rsidRPr="00433C02" w:rsidP="00541E37" w14:paraId="4B7E8175" w14:textId="77777777">
      <w:pPr>
        <w:pStyle w:val="BodyText"/>
        <w:spacing w:before="60" w:line="480" w:lineRule="auto"/>
        <w:ind w:left="120" w:firstLine="600"/>
      </w:pPr>
      <w:r w:rsidRPr="00433C02">
        <w:t>Under Ohio law, the charges that consumers pay for their utility service must be “adequate and in all respects just and reasonable.”</w:t>
      </w:r>
      <w:r>
        <w:rPr>
          <w:rStyle w:val="FootnoteReference"/>
        </w:rPr>
        <w:footnoteReference w:id="2"/>
      </w:r>
      <w:r w:rsidRPr="00433C02">
        <w:t xml:space="preserve"> Additionally, it is a policy of this state that the PUCO must ensure that there is “adequate” and “reliable” electric retail service to Ohioans.</w:t>
      </w:r>
      <w:r>
        <w:rPr>
          <w:rStyle w:val="FootnoteReference"/>
        </w:rPr>
        <w:footnoteReference w:id="3"/>
      </w:r>
      <w:r w:rsidRPr="00433C02">
        <w:t xml:space="preserve"> </w:t>
      </w:r>
    </w:p>
    <w:p w:rsidR="003F494D" w:rsidRPr="00433C02" w:rsidP="002307EF" w14:paraId="5D07C620" w14:textId="11E1F210">
      <w:pPr>
        <w:spacing w:line="480" w:lineRule="auto"/>
        <w:ind w:firstLine="720"/>
        <w:rPr>
          <w:sz w:val="24"/>
          <w:szCs w:val="24"/>
        </w:rPr>
      </w:pPr>
      <w:r w:rsidRPr="00433C02">
        <w:rPr>
          <w:sz w:val="24"/>
          <w:szCs w:val="24"/>
        </w:rPr>
        <w:t>To protect consumers, t</w:t>
      </w:r>
      <w:r w:rsidRPr="00433C02">
        <w:rPr>
          <w:sz w:val="24"/>
          <w:szCs w:val="24"/>
        </w:rPr>
        <w:t xml:space="preserve">he PUCO should grant </w:t>
      </w:r>
      <w:r w:rsidRPr="00433C02" w:rsidR="00D55CF0">
        <w:rPr>
          <w:sz w:val="24"/>
          <w:szCs w:val="24"/>
        </w:rPr>
        <w:t>r</w:t>
      </w:r>
      <w:r w:rsidRPr="00433C02">
        <w:rPr>
          <w:sz w:val="24"/>
          <w:szCs w:val="24"/>
        </w:rPr>
        <w:t>ehearin</w:t>
      </w:r>
      <w:r w:rsidRPr="00433C02" w:rsidR="007B175C">
        <w:rPr>
          <w:sz w:val="24"/>
          <w:szCs w:val="24"/>
        </w:rPr>
        <w:t xml:space="preserve">g  in the following respect: </w:t>
      </w:r>
      <w:r w:rsidRPr="00433C02">
        <w:rPr>
          <w:sz w:val="24"/>
          <w:szCs w:val="24"/>
        </w:rPr>
        <w:t xml:space="preserve"> </w:t>
      </w:r>
    </w:p>
    <w:p w:rsidR="007B2BE5" w:rsidRPr="00433C02" w:rsidP="00433C02" w14:paraId="70454E27" w14:textId="158EBD3B">
      <w:pPr>
        <w:pStyle w:val="BodyText"/>
        <w:spacing w:before="60"/>
        <w:ind w:left="720"/>
      </w:pPr>
      <w:r w:rsidRPr="00433C02">
        <w:t>Assignment of Error</w:t>
      </w:r>
      <w:r w:rsidRPr="00433C02" w:rsidR="00972435">
        <w:t xml:space="preserve"> No. 1</w:t>
      </w:r>
      <w:r w:rsidRPr="00433C02">
        <w:t>:</w:t>
      </w:r>
      <w:r w:rsidRPr="00433C02" w:rsidR="00433C02">
        <w:t xml:space="preserve">  </w:t>
      </w:r>
      <w:r w:rsidRPr="00433C02" w:rsidR="006C61D7">
        <w:t xml:space="preserve">The </w:t>
      </w:r>
      <w:r w:rsidRPr="00433C02" w:rsidR="00D55CF0">
        <w:t xml:space="preserve">PUCO’s </w:t>
      </w:r>
      <w:r w:rsidRPr="00433C02" w:rsidR="002A31AF">
        <w:t>approval of</w:t>
      </w:r>
      <w:r w:rsidRPr="00433C02">
        <w:t xml:space="preserve"> collecting</w:t>
      </w:r>
      <w:r w:rsidRPr="00433C02" w:rsidR="002A31AF">
        <w:t xml:space="preserve"> tree trimming expenses </w:t>
      </w:r>
      <w:r w:rsidRPr="00433C02">
        <w:t xml:space="preserve">from customers </w:t>
      </w:r>
      <w:r w:rsidRPr="00433C02" w:rsidR="002A31AF">
        <w:t>without considering whether elect</w:t>
      </w:r>
      <w:r w:rsidRPr="00433C02" w:rsidR="00D55CF0">
        <w:t xml:space="preserve">ric service to </w:t>
      </w:r>
      <w:r w:rsidRPr="00433C02">
        <w:t xml:space="preserve">those </w:t>
      </w:r>
      <w:r w:rsidRPr="00433C02" w:rsidR="00D55CF0">
        <w:t xml:space="preserve">customers </w:t>
      </w:r>
      <w:r w:rsidRPr="00433C02" w:rsidR="00433C02">
        <w:t xml:space="preserve"> </w:t>
      </w:r>
      <w:r w:rsidRPr="00433C02" w:rsidR="00D55CF0">
        <w:t>was reliable, adequate, and in all respects just and reasonable during 2016 was</w:t>
      </w:r>
      <w:r w:rsidRPr="00433C02" w:rsidR="006C61D7">
        <w:t xml:space="preserve"> </w:t>
      </w:r>
      <w:r w:rsidRPr="00433C02" w:rsidR="00D55CF0">
        <w:t xml:space="preserve">unlawful </w:t>
      </w:r>
      <w:r w:rsidRPr="00433C02" w:rsidR="00631488">
        <w:t>under R.C. 4905.22 and 4928.02(A)</w:t>
      </w:r>
      <w:r w:rsidRPr="00433C02" w:rsidR="00FC6D7A">
        <w:t>.</w:t>
      </w:r>
      <w:r w:rsidRPr="00433C02" w:rsidR="007B175C">
        <w:t xml:space="preserve"> </w:t>
      </w:r>
    </w:p>
    <w:p w:rsidR="00433C02" w:rsidRPr="00433C02" w:rsidP="00433C02" w14:paraId="01921F82" w14:textId="77777777">
      <w:pPr>
        <w:pStyle w:val="BodyText"/>
        <w:spacing w:before="60"/>
        <w:ind w:left="720"/>
        <w:sectPr w:rsidSect="002307EF">
          <w:footerReference w:type="default" r:id="rId9"/>
          <w:pgSz w:w="12240" w:h="15840"/>
          <w:pgMar w:top="1440" w:right="1800" w:bottom="1440" w:left="1800" w:header="0" w:footer="1061" w:gutter="0"/>
          <w:pgNumType w:start="2"/>
          <w:cols w:space="720"/>
          <w:docGrid w:linePitch="299"/>
        </w:sectPr>
      </w:pPr>
    </w:p>
    <w:p w:rsidR="00905B6C" w:rsidRPr="00433C02" w:rsidP="00433C02" w14:paraId="6C97C4F1" w14:textId="20160CE8">
      <w:pPr>
        <w:ind w:left="720"/>
        <w:rPr>
          <w:bCs/>
          <w:sz w:val="24"/>
          <w:szCs w:val="24"/>
        </w:rPr>
      </w:pPr>
      <w:r w:rsidRPr="00433C02">
        <w:rPr>
          <w:bCs/>
          <w:sz w:val="24"/>
          <w:szCs w:val="24"/>
        </w:rPr>
        <w:t xml:space="preserve">Assignment of Error </w:t>
      </w:r>
      <w:r w:rsidRPr="00433C02" w:rsidR="00972435">
        <w:rPr>
          <w:bCs/>
          <w:sz w:val="24"/>
          <w:szCs w:val="24"/>
        </w:rPr>
        <w:t xml:space="preserve">No. </w:t>
      </w:r>
      <w:r w:rsidRPr="00433C02">
        <w:rPr>
          <w:bCs/>
          <w:sz w:val="24"/>
          <w:szCs w:val="24"/>
        </w:rPr>
        <w:t>2:  The PUCO’s holding requir</w:t>
      </w:r>
      <w:r w:rsidRPr="00433C02">
        <w:rPr>
          <w:bCs/>
          <w:sz w:val="24"/>
          <w:szCs w:val="24"/>
        </w:rPr>
        <w:t xml:space="preserve">ing </w:t>
      </w:r>
      <w:r w:rsidRPr="00433C02">
        <w:rPr>
          <w:bCs/>
          <w:sz w:val="24"/>
          <w:szCs w:val="24"/>
        </w:rPr>
        <w:t xml:space="preserve">OCC’s claims about </w:t>
      </w:r>
      <w:r w:rsidRPr="00433C02">
        <w:rPr>
          <w:bCs/>
          <w:sz w:val="24"/>
          <w:szCs w:val="24"/>
        </w:rPr>
        <w:t xml:space="preserve">inadequate and unreliable service to be raised in other proceedings was unreasonable and inconsistent with prior PUCO orders requiring AEP to show that expenses collected from customers under the </w:t>
      </w:r>
      <w:r w:rsidRPr="00433C02" w:rsidR="00972435">
        <w:rPr>
          <w:bCs/>
          <w:sz w:val="24"/>
          <w:szCs w:val="24"/>
        </w:rPr>
        <w:t xml:space="preserve">tree trimming </w:t>
      </w:r>
      <w:r w:rsidRPr="00433C02">
        <w:rPr>
          <w:bCs/>
          <w:sz w:val="24"/>
          <w:szCs w:val="24"/>
        </w:rPr>
        <w:t>rider were prudently incurred.</w:t>
      </w:r>
    </w:p>
    <w:p w:rsidR="00541E37" w:rsidRPr="00433C02" w:rsidP="00433C02" w14:paraId="561CC976" w14:textId="77777777">
      <w:pPr>
        <w:ind w:left="720"/>
        <w:rPr>
          <w:bCs/>
          <w:sz w:val="24"/>
          <w:szCs w:val="24"/>
        </w:rPr>
      </w:pPr>
    </w:p>
    <w:p w:rsidR="000C6EC9" w:rsidRPr="00433C02" w:rsidP="002307EF" w14:paraId="5712025A" w14:textId="4BD029DF">
      <w:pPr>
        <w:keepNext/>
        <w:keepLines/>
        <w:widowControl/>
        <w:spacing w:line="480" w:lineRule="auto"/>
        <w:ind w:firstLine="720"/>
        <w:rPr>
          <w:sz w:val="24"/>
          <w:szCs w:val="24"/>
        </w:rPr>
      </w:pPr>
      <w:r w:rsidRPr="00433C02">
        <w:rPr>
          <w:bCs/>
          <w:sz w:val="24"/>
          <w:szCs w:val="24"/>
        </w:rPr>
        <w:t xml:space="preserve"> T</w:t>
      </w:r>
      <w:r w:rsidRPr="00433C02" w:rsidR="006C61D7">
        <w:rPr>
          <w:bCs/>
          <w:sz w:val="24"/>
          <w:szCs w:val="24"/>
        </w:rPr>
        <w:t xml:space="preserve">he reasons in support of this application for rehearing are set forth in the accompanying memorandum in support.  The PUCO should grant rehearing and abrogate its </w:t>
      </w:r>
      <w:r w:rsidRPr="00433C02" w:rsidR="00055FF8">
        <w:rPr>
          <w:bCs/>
          <w:sz w:val="24"/>
          <w:szCs w:val="24"/>
        </w:rPr>
        <w:t>Opinion and Order</w:t>
      </w:r>
      <w:r w:rsidRPr="00433C02" w:rsidR="006C61D7">
        <w:rPr>
          <w:bCs/>
          <w:sz w:val="24"/>
          <w:szCs w:val="24"/>
        </w:rPr>
        <w:t xml:space="preserve"> as requested by OCC.</w:t>
      </w:r>
      <w:r w:rsidRPr="00433C02">
        <w:rPr>
          <w:bCs/>
          <w:sz w:val="24"/>
          <w:szCs w:val="24"/>
        </w:rPr>
        <w:t xml:space="preserve"> </w:t>
      </w:r>
      <w:r w:rsidRPr="00433C02">
        <w:rPr>
          <w:sz w:val="24"/>
          <w:szCs w:val="24"/>
        </w:rPr>
        <w:t>The PUCO should consider AEP’s reliability (or lack thereof) when evaluating the prudency of AEP’s 2016 tree trimming expenses</w:t>
      </w:r>
      <w:r w:rsidRPr="00433C02" w:rsidR="00972435">
        <w:rPr>
          <w:sz w:val="24"/>
          <w:szCs w:val="24"/>
        </w:rPr>
        <w:t>. Further, the PUCO should require that AEP show that its tree trimming spending actually increases reliability before approving any charges under the tree trimming rider.</w:t>
      </w:r>
      <w:r w:rsidRPr="00433C02" w:rsidR="002C5FB3">
        <w:rPr>
          <w:sz w:val="24"/>
          <w:szCs w:val="24"/>
        </w:rPr>
        <w:t xml:space="preserve">  Because AEP did not do so here (and, based on the facts, cannot do so here), the PUCO should not permit AEP to charge consumers any money under the tree trimming rider</w:t>
      </w:r>
      <w:r w:rsidRPr="00433C02" w:rsidR="00E83BD3">
        <w:rPr>
          <w:sz w:val="24"/>
          <w:szCs w:val="24"/>
        </w:rPr>
        <w:t xml:space="preserve"> until such analysis is performed</w:t>
      </w:r>
      <w:r w:rsidRPr="00433C02" w:rsidR="002C5FB3">
        <w:rPr>
          <w:sz w:val="24"/>
          <w:szCs w:val="24"/>
        </w:rPr>
        <w:t>.</w:t>
      </w:r>
      <w:r w:rsidRPr="00433C02">
        <w:rPr>
          <w:sz w:val="24"/>
          <w:szCs w:val="24"/>
        </w:rPr>
        <w:t xml:space="preserve"> </w:t>
      </w:r>
    </w:p>
    <w:p w:rsidR="002307EF" w:rsidRPr="00433C02" w:rsidP="000C6EC9" w14:paraId="01D658C1" w14:textId="14D1C865">
      <w:pPr>
        <w:pStyle w:val="BodyText"/>
        <w:ind w:left="4320"/>
      </w:pPr>
      <w:r w:rsidRPr="00433C02">
        <w:t>Respectfully submitted,</w:t>
      </w:r>
    </w:p>
    <w:p w:rsidR="002307EF" w:rsidRPr="00433C02" w:rsidP="000C6EC9" w14:paraId="0CACA477" w14:textId="77777777">
      <w:pPr>
        <w:pStyle w:val="BodyText"/>
        <w:ind w:left="4320"/>
      </w:pPr>
    </w:p>
    <w:p w:rsidR="00055FF8" w:rsidRPr="00433C02" w:rsidP="000C6EC9" w14:paraId="76376F4C" w14:textId="77777777">
      <w:pPr>
        <w:pStyle w:val="BodyText"/>
        <w:ind w:left="4478" w:hanging="158"/>
      </w:pPr>
      <w:r w:rsidRPr="00433C02">
        <w:t xml:space="preserve">Bruce Weston (0016973) </w:t>
      </w:r>
    </w:p>
    <w:p w:rsidR="00055FF8" w:rsidRPr="00433C02" w:rsidP="000C6EC9" w14:paraId="47B5B829" w14:textId="77777777">
      <w:pPr>
        <w:pStyle w:val="BodyText"/>
        <w:ind w:left="4478" w:hanging="158"/>
      </w:pPr>
      <w:r w:rsidRPr="00433C02">
        <w:t>Ohio Consumers’ Counsel</w:t>
      </w:r>
    </w:p>
    <w:p w:rsidR="00055FF8" w:rsidRPr="00433C02" w:rsidP="000C6EC9" w14:paraId="2166D8FC" w14:textId="7D87A6C1">
      <w:pPr>
        <w:pStyle w:val="BodyText"/>
        <w:spacing w:before="11"/>
        <w:ind w:hanging="158"/>
      </w:pPr>
      <w:r w:rsidRPr="00433C02">
        <w:tab/>
      </w:r>
      <w:r w:rsidRPr="00433C02">
        <w:tab/>
      </w:r>
      <w:r w:rsidRPr="00433C02">
        <w:tab/>
      </w:r>
      <w:r w:rsidRPr="00433C02">
        <w:tab/>
      </w:r>
      <w:r w:rsidRPr="00433C02">
        <w:tab/>
      </w:r>
      <w:r w:rsidRPr="00433C02">
        <w:tab/>
      </w:r>
      <w:r w:rsidRPr="00433C02">
        <w:tab/>
      </w:r>
    </w:p>
    <w:p w:rsidR="00824504" w:rsidRPr="00433C02" w:rsidP="000C6EC9" w14:paraId="58154075" w14:textId="3A941359">
      <w:pPr>
        <w:pStyle w:val="BodyText"/>
        <w:spacing w:before="11"/>
        <w:ind w:hanging="158"/>
        <w:rPr>
          <w:i/>
          <w:u w:val="single"/>
        </w:rPr>
      </w:pPr>
      <w:r w:rsidRPr="00433C02">
        <w:tab/>
      </w:r>
      <w:r w:rsidRPr="00433C02">
        <w:tab/>
      </w:r>
      <w:r w:rsidRPr="00433C02">
        <w:tab/>
      </w:r>
      <w:r w:rsidRPr="00433C02">
        <w:tab/>
      </w:r>
      <w:r w:rsidRPr="00433C02">
        <w:tab/>
      </w:r>
      <w:r w:rsidRPr="00433C02">
        <w:tab/>
      </w:r>
      <w:r w:rsidRPr="00433C02">
        <w:tab/>
      </w:r>
      <w:r w:rsidRPr="00433C02">
        <w:rPr>
          <w:i/>
          <w:u w:val="single"/>
        </w:rPr>
        <w:t xml:space="preserve">/s/ </w:t>
      </w:r>
      <w:r w:rsidRPr="00433C02" w:rsidR="00424407">
        <w:rPr>
          <w:i/>
          <w:u w:val="single"/>
        </w:rPr>
        <w:t>Ambrosia E. Logsdon</w:t>
      </w:r>
    </w:p>
    <w:p w:rsidR="00055FF8" w:rsidRPr="00433C02" w:rsidP="000C6EC9" w14:paraId="019EF818" w14:textId="77777777">
      <w:pPr>
        <w:pStyle w:val="BodyText"/>
        <w:ind w:left="4480" w:hanging="158"/>
      </w:pPr>
      <w:r w:rsidRPr="00433C02">
        <w:t xml:space="preserve">William J. Michael (0070921) </w:t>
      </w:r>
    </w:p>
    <w:p w:rsidR="00055FF8" w:rsidRPr="00433C02" w:rsidP="000C6EC9" w14:paraId="4AA05B34" w14:textId="77777777">
      <w:pPr>
        <w:pStyle w:val="BodyText"/>
        <w:ind w:left="4480" w:hanging="158"/>
      </w:pPr>
      <w:r w:rsidRPr="00433C02">
        <w:t>Counsel of Record</w:t>
      </w:r>
    </w:p>
    <w:p w:rsidR="00055FF8" w:rsidRPr="00433C02" w:rsidP="000C6EC9" w14:paraId="04D7B35C" w14:textId="77777777">
      <w:pPr>
        <w:pStyle w:val="BodyText"/>
        <w:ind w:left="4480" w:hanging="158"/>
      </w:pPr>
      <w:r w:rsidRPr="00433C02">
        <w:t>Ambrosia E. Logsdon (0096598)</w:t>
      </w:r>
    </w:p>
    <w:p w:rsidR="00055FF8" w:rsidRPr="00433C02" w:rsidP="000C6EC9" w14:paraId="62088AB7" w14:textId="77777777">
      <w:pPr>
        <w:pStyle w:val="BodyText"/>
        <w:ind w:left="4480" w:hanging="158"/>
      </w:pPr>
      <w:r w:rsidRPr="00433C02">
        <w:t>Assistant Consumers’ Counsel</w:t>
      </w:r>
    </w:p>
    <w:p w:rsidR="00055FF8" w:rsidRPr="00433C02" w:rsidP="000C6EC9" w14:paraId="7CBE7474" w14:textId="77777777">
      <w:pPr>
        <w:pStyle w:val="BodyText"/>
        <w:ind w:hanging="158"/>
      </w:pPr>
    </w:p>
    <w:p w:rsidR="00055FF8" w:rsidRPr="00433C02" w:rsidP="000C6EC9" w14:paraId="31868E83" w14:textId="77777777">
      <w:pPr>
        <w:ind w:left="3600" w:firstLine="720"/>
        <w:rPr>
          <w:b/>
          <w:bCs/>
          <w:sz w:val="24"/>
          <w:szCs w:val="24"/>
        </w:rPr>
      </w:pPr>
      <w:r w:rsidRPr="00433C02">
        <w:rPr>
          <w:b/>
          <w:bCs/>
          <w:sz w:val="24"/>
          <w:szCs w:val="24"/>
        </w:rPr>
        <w:t>Office of the Ohio Consumers’ Counsel</w:t>
      </w:r>
    </w:p>
    <w:p w:rsidR="00055FF8" w:rsidRPr="00433C02" w:rsidP="000C6EC9" w14:paraId="1216018C" w14:textId="7E7F6429">
      <w:pPr>
        <w:pStyle w:val="BodyText"/>
        <w:ind w:left="4320"/>
      </w:pPr>
      <w:r w:rsidRPr="00433C02">
        <w:t>65 E. State Street, 7</w:t>
      </w:r>
      <w:r w:rsidRPr="00433C02">
        <w:rPr>
          <w:vertAlign w:val="superscript"/>
        </w:rPr>
        <w:t>th</w:t>
      </w:r>
      <w:r w:rsidRPr="00433C02">
        <w:t xml:space="preserve"> Floor</w:t>
      </w:r>
    </w:p>
    <w:p w:rsidR="00055FF8" w:rsidRPr="00433C02" w:rsidP="00055FF8" w14:paraId="7146160C" w14:textId="77777777">
      <w:pPr>
        <w:pStyle w:val="BodyText"/>
        <w:ind w:left="4480" w:hanging="158"/>
      </w:pPr>
      <w:r w:rsidRPr="00433C02">
        <w:t>Columbus, Ohio 43215-4213</w:t>
      </w:r>
    </w:p>
    <w:p w:rsidR="00055FF8" w:rsidRPr="00433C02" w:rsidP="00055FF8" w14:paraId="28C8C16C" w14:textId="77777777">
      <w:pPr>
        <w:pStyle w:val="BodyText"/>
        <w:ind w:left="4480" w:hanging="158"/>
      </w:pPr>
      <w:r w:rsidRPr="00433C02">
        <w:t>Telephone [Michael]: 614-466-1291</w:t>
      </w:r>
    </w:p>
    <w:p w:rsidR="00055FF8" w:rsidRPr="00433C02" w:rsidP="00055FF8" w14:paraId="38B117D6" w14:textId="77777777">
      <w:pPr>
        <w:pStyle w:val="BodyText"/>
        <w:ind w:left="4480" w:hanging="158"/>
      </w:pPr>
      <w:r w:rsidRPr="00433C02">
        <w:t>Telephone [Logsdon]: 614-466-1292</w:t>
      </w:r>
    </w:p>
    <w:p w:rsidR="00824504" w:rsidRPr="00433C02" w:rsidP="00055FF8" w14:paraId="062822B3" w14:textId="551B3348">
      <w:pPr>
        <w:pStyle w:val="BodyText"/>
        <w:ind w:left="4480" w:hanging="158"/>
      </w:pPr>
      <w:hyperlink r:id="rId6" w:history="1">
        <w:r w:rsidRPr="00433C02">
          <w:rPr>
            <w:rStyle w:val="Hyperlink"/>
          </w:rPr>
          <w:t>William.michael@occ.ohio.gov</w:t>
        </w:r>
      </w:hyperlink>
    </w:p>
    <w:p w:rsidR="00055FF8" w:rsidRPr="00433C02" w:rsidP="00055FF8" w14:paraId="10F1E192" w14:textId="58BE7F24">
      <w:pPr>
        <w:pStyle w:val="BodyText"/>
        <w:ind w:left="4480" w:hanging="158"/>
      </w:pPr>
      <w:hyperlink r:id="rId7" w:history="1">
        <w:r w:rsidRPr="00433C02" w:rsidR="00824504">
          <w:rPr>
            <w:rStyle w:val="Hyperlink"/>
          </w:rPr>
          <w:t>Ambrosia.Logsdon@occ.ohio.gov</w:t>
        </w:r>
      </w:hyperlink>
    </w:p>
    <w:p w:rsidR="00055FF8" w:rsidRPr="00433C02" w:rsidP="00055FF8" w14:paraId="2A674B86" w14:textId="74FF0681">
      <w:pPr>
        <w:spacing w:line="275" w:lineRule="exact"/>
        <w:ind w:left="160" w:hanging="158"/>
        <w:rPr>
          <w:b/>
          <w:sz w:val="24"/>
          <w:szCs w:val="24"/>
        </w:rPr>
      </w:pP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sz w:val="24"/>
          <w:szCs w:val="24"/>
        </w:rPr>
        <w:t>(will</w:t>
      </w:r>
      <w:r w:rsidRPr="00433C02" w:rsidR="00824504">
        <w:rPr>
          <w:sz w:val="24"/>
          <w:szCs w:val="24"/>
        </w:rPr>
        <w:t>ing to</w:t>
      </w:r>
      <w:r w:rsidRPr="00433C02">
        <w:rPr>
          <w:sz w:val="24"/>
          <w:szCs w:val="24"/>
        </w:rPr>
        <w:t xml:space="preserve"> accept service </w:t>
      </w:r>
      <w:r w:rsidRPr="00433C02" w:rsidR="00824504">
        <w:rPr>
          <w:sz w:val="24"/>
          <w:szCs w:val="24"/>
        </w:rPr>
        <w:t xml:space="preserve">by </w:t>
      </w:r>
      <w:r w:rsidRPr="00433C02">
        <w:rPr>
          <w:sz w:val="24"/>
          <w:szCs w:val="24"/>
        </w:rPr>
        <w:t>e</w:t>
      </w:r>
      <w:r w:rsidRPr="00433C02" w:rsidR="00824504">
        <w:rPr>
          <w:sz w:val="24"/>
          <w:szCs w:val="24"/>
        </w:rPr>
        <w:t>-</w:t>
      </w:r>
      <w:r w:rsidRPr="00433C02">
        <w:rPr>
          <w:sz w:val="24"/>
          <w:szCs w:val="24"/>
        </w:rPr>
        <w:t>mail)</w:t>
      </w:r>
    </w:p>
    <w:p w:rsidR="002307EF" w:rsidRPr="00433C02" w:rsidP="002307EF" w14:paraId="6365F8CE" w14:textId="1B0CD40A">
      <w:pPr>
        <w:spacing w:line="275" w:lineRule="exact"/>
        <w:ind w:left="160" w:hanging="158"/>
        <w:rPr>
          <w:b/>
          <w:sz w:val="24"/>
          <w:szCs w:val="24"/>
        </w:rPr>
      </w:pPr>
    </w:p>
    <w:p w:rsidR="007A7EDB" w:rsidRPr="00433C02" w:rsidP="002307EF" w14:paraId="562F4FC2" w14:textId="7013B44B">
      <w:pPr>
        <w:spacing w:line="275" w:lineRule="exact"/>
        <w:ind w:left="160" w:hanging="158"/>
        <w:rPr>
          <w:b/>
          <w:sz w:val="24"/>
          <w:szCs w:val="24"/>
        </w:rPr>
      </w:pPr>
    </w:p>
    <w:p w:rsidR="007A7EDB" w:rsidRPr="00433C02" w:rsidP="002307EF" w14:paraId="124718B4" w14:textId="77777777">
      <w:pPr>
        <w:spacing w:line="275" w:lineRule="exact"/>
        <w:ind w:left="160" w:hanging="158"/>
        <w:rPr>
          <w:b/>
          <w:sz w:val="24"/>
          <w:szCs w:val="24"/>
        </w:rPr>
        <w:sectPr w:rsidSect="00433C02">
          <w:headerReference w:type="default" r:id="rId10"/>
          <w:footerReference w:type="default" r:id="rId11"/>
          <w:pgSz w:w="12240" w:h="15840"/>
          <w:pgMar w:top="1440" w:right="1800" w:bottom="1440" w:left="1800" w:header="0" w:footer="1061" w:gutter="0"/>
          <w:pgNumType w:start="2"/>
          <w:cols w:space="720"/>
          <w:docGrid w:linePitch="299"/>
        </w:sectPr>
      </w:pPr>
    </w:p>
    <w:p w:rsidR="007A7EDB" w:rsidRPr="00433C02" w:rsidP="007A7EDB" w14:paraId="3EF893E3" w14:textId="081D0480">
      <w:pPr>
        <w:spacing w:line="275" w:lineRule="exact"/>
        <w:ind w:left="160" w:hanging="158"/>
        <w:jc w:val="center"/>
        <w:rPr>
          <w:b/>
          <w:sz w:val="24"/>
          <w:szCs w:val="24"/>
        </w:rPr>
      </w:pPr>
      <w:r w:rsidRPr="00433C02">
        <w:rPr>
          <w:b/>
          <w:sz w:val="24"/>
          <w:szCs w:val="24"/>
        </w:rPr>
        <w:t>TABLE OF CONTENTS</w:t>
      </w:r>
    </w:p>
    <w:p w:rsidR="007A7EDB" w:rsidRPr="00433C02" w:rsidP="007A7EDB" w14:paraId="5C42542D" w14:textId="77A42C98">
      <w:pPr>
        <w:spacing w:line="275" w:lineRule="exact"/>
        <w:ind w:left="160" w:hanging="158"/>
        <w:jc w:val="center"/>
        <w:rPr>
          <w:b/>
          <w:sz w:val="24"/>
          <w:szCs w:val="24"/>
        </w:rPr>
      </w:pPr>
    </w:p>
    <w:p w:rsidR="007A7EDB" w:rsidRPr="00433C02" w:rsidP="007A7EDB" w14:paraId="704FB2C9" w14:textId="7C3E6EA0">
      <w:pPr>
        <w:spacing w:line="275" w:lineRule="exact"/>
        <w:ind w:left="160" w:hanging="158"/>
        <w:jc w:val="center"/>
        <w:rPr>
          <w:b/>
          <w:sz w:val="24"/>
          <w:szCs w:val="24"/>
        </w:rPr>
      </w:pP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r>
      <w:r w:rsidRPr="00433C02">
        <w:rPr>
          <w:b/>
          <w:sz w:val="24"/>
          <w:szCs w:val="24"/>
        </w:rPr>
        <w:tab/>
        <w:t>PAGE</w:t>
      </w:r>
    </w:p>
    <w:p w:rsidR="007A7EDB" w:rsidRPr="00433C02" w:rsidP="007A7EDB" w14:paraId="0226F50D" w14:textId="77777777">
      <w:pPr>
        <w:spacing w:line="275" w:lineRule="exact"/>
        <w:ind w:left="160" w:hanging="158"/>
        <w:jc w:val="center"/>
        <w:rPr>
          <w:b/>
          <w:sz w:val="24"/>
          <w:szCs w:val="24"/>
        </w:rPr>
      </w:pPr>
    </w:p>
    <w:p w:rsidR="0065430E" w14:paraId="57DD5041" w14:textId="221B032C">
      <w:pPr>
        <w:pStyle w:val="TOC1"/>
        <w:rPr>
          <w:rFonts w:asciiTheme="minorHAnsi" w:eastAsiaTheme="minorEastAsia" w:hAnsiTheme="minorHAnsi" w:cstheme="minorBidi"/>
          <w:bCs w:val="0"/>
          <w:caps w:val="0"/>
          <w:noProof/>
          <w:sz w:val="22"/>
          <w:szCs w:val="22"/>
        </w:rPr>
      </w:pPr>
      <w:r w:rsidRPr="00433C02">
        <w:rPr>
          <w:b/>
          <w:bCs w:val="0"/>
        </w:rPr>
        <w:fldChar w:fldCharType="begin"/>
      </w:r>
      <w:r w:rsidRPr="00433C02">
        <w:rPr>
          <w:b/>
          <w:bCs w:val="0"/>
        </w:rPr>
        <w:instrText xml:space="preserve"> TOC \o "1-3" \h \z \u </w:instrText>
      </w:r>
      <w:r w:rsidRPr="00433C02">
        <w:rPr>
          <w:b/>
          <w:bCs w:val="0"/>
        </w:rPr>
        <w:fldChar w:fldCharType="separate"/>
      </w:r>
      <w:hyperlink w:anchor="_Toc28962507" w:history="1">
        <w:r w:rsidRPr="007A21FE">
          <w:rPr>
            <w:rStyle w:val="Hyperlink"/>
            <w:noProof/>
          </w:rPr>
          <w:t>I.</w:t>
        </w:r>
        <w:r>
          <w:rPr>
            <w:rFonts w:asciiTheme="minorHAnsi" w:eastAsiaTheme="minorEastAsia" w:hAnsiTheme="minorHAnsi" w:cstheme="minorBidi"/>
            <w:bCs w:val="0"/>
            <w:caps w:val="0"/>
            <w:noProof/>
            <w:sz w:val="22"/>
            <w:szCs w:val="22"/>
          </w:rPr>
          <w:tab/>
        </w:r>
        <w:r w:rsidRPr="007A21FE">
          <w:rPr>
            <w:rStyle w:val="Hyperlink"/>
            <w:noProof/>
          </w:rPr>
          <w:t>INTRODUCTION</w:t>
        </w:r>
        <w:r>
          <w:rPr>
            <w:noProof/>
            <w:webHidden/>
          </w:rPr>
          <w:tab/>
        </w:r>
        <w:r>
          <w:rPr>
            <w:noProof/>
            <w:webHidden/>
          </w:rPr>
          <w:fldChar w:fldCharType="begin"/>
        </w:r>
        <w:r>
          <w:rPr>
            <w:noProof/>
            <w:webHidden/>
          </w:rPr>
          <w:instrText xml:space="preserve"> PAGEREF _Toc28962507 \h </w:instrText>
        </w:r>
        <w:r>
          <w:rPr>
            <w:noProof/>
            <w:webHidden/>
          </w:rPr>
          <w:fldChar w:fldCharType="separate"/>
        </w:r>
        <w:r>
          <w:rPr>
            <w:noProof/>
            <w:webHidden/>
          </w:rPr>
          <w:t>1</w:t>
        </w:r>
        <w:r>
          <w:rPr>
            <w:noProof/>
            <w:webHidden/>
          </w:rPr>
          <w:fldChar w:fldCharType="end"/>
        </w:r>
      </w:hyperlink>
    </w:p>
    <w:p w:rsidR="0065430E" w14:paraId="605CAAF9" w14:textId="62967D99">
      <w:pPr>
        <w:pStyle w:val="TOC1"/>
        <w:rPr>
          <w:rFonts w:asciiTheme="minorHAnsi" w:eastAsiaTheme="minorEastAsia" w:hAnsiTheme="minorHAnsi" w:cstheme="minorBidi"/>
          <w:bCs w:val="0"/>
          <w:caps w:val="0"/>
          <w:noProof/>
          <w:sz w:val="22"/>
          <w:szCs w:val="22"/>
        </w:rPr>
      </w:pPr>
      <w:hyperlink w:anchor="_Toc28962508" w:history="1">
        <w:r w:rsidRPr="007A21FE">
          <w:rPr>
            <w:rStyle w:val="Hyperlink"/>
            <w:noProof/>
          </w:rPr>
          <w:t>II.</w:t>
        </w:r>
        <w:r>
          <w:rPr>
            <w:rFonts w:asciiTheme="minorHAnsi" w:eastAsiaTheme="minorEastAsia" w:hAnsiTheme="minorHAnsi" w:cstheme="minorBidi"/>
            <w:bCs w:val="0"/>
            <w:caps w:val="0"/>
            <w:noProof/>
            <w:sz w:val="22"/>
            <w:szCs w:val="22"/>
          </w:rPr>
          <w:tab/>
        </w:r>
        <w:r w:rsidRPr="007A21FE">
          <w:rPr>
            <w:rStyle w:val="Hyperlink"/>
            <w:noProof/>
          </w:rPr>
          <w:t>Background</w:t>
        </w:r>
        <w:r>
          <w:rPr>
            <w:noProof/>
            <w:webHidden/>
          </w:rPr>
          <w:tab/>
        </w:r>
        <w:r>
          <w:rPr>
            <w:noProof/>
            <w:webHidden/>
          </w:rPr>
          <w:fldChar w:fldCharType="begin"/>
        </w:r>
        <w:r>
          <w:rPr>
            <w:noProof/>
            <w:webHidden/>
          </w:rPr>
          <w:instrText xml:space="preserve"> PAGEREF _Toc28962508 \h </w:instrText>
        </w:r>
        <w:r>
          <w:rPr>
            <w:noProof/>
            <w:webHidden/>
          </w:rPr>
          <w:fldChar w:fldCharType="separate"/>
        </w:r>
        <w:r>
          <w:rPr>
            <w:noProof/>
            <w:webHidden/>
          </w:rPr>
          <w:t>2</w:t>
        </w:r>
        <w:r>
          <w:rPr>
            <w:noProof/>
            <w:webHidden/>
          </w:rPr>
          <w:fldChar w:fldCharType="end"/>
        </w:r>
      </w:hyperlink>
    </w:p>
    <w:p w:rsidR="0065430E" w14:paraId="5E17F8BC" w14:textId="2EE9074E">
      <w:pPr>
        <w:pStyle w:val="TOC2"/>
        <w:tabs>
          <w:tab w:val="left" w:pos="1440"/>
        </w:tabs>
        <w:rPr>
          <w:rFonts w:asciiTheme="minorHAnsi" w:eastAsiaTheme="minorEastAsia" w:hAnsiTheme="minorHAnsi" w:cstheme="minorBidi"/>
          <w:bCs w:val="0"/>
          <w:noProof/>
          <w:sz w:val="22"/>
          <w:szCs w:val="22"/>
        </w:rPr>
      </w:pPr>
      <w:hyperlink w:anchor="_Toc28962509" w:history="1">
        <w:r w:rsidRPr="007A21FE">
          <w:rPr>
            <w:rStyle w:val="Hyperlink"/>
            <w:noProof/>
          </w:rPr>
          <w:t>A.</w:t>
        </w:r>
        <w:r>
          <w:rPr>
            <w:rFonts w:asciiTheme="minorHAnsi" w:eastAsiaTheme="minorEastAsia" w:hAnsiTheme="minorHAnsi" w:cstheme="minorBidi"/>
            <w:bCs w:val="0"/>
            <w:noProof/>
            <w:sz w:val="22"/>
            <w:szCs w:val="22"/>
          </w:rPr>
          <w:tab/>
        </w:r>
        <w:r w:rsidRPr="007A21FE">
          <w:rPr>
            <w:rStyle w:val="Hyperlink"/>
            <w:noProof/>
          </w:rPr>
          <w:t>Unfortunately for consumers, AEP’s tree trimming charge is supposed to be approved, subject to a prudency review, to increase reliability, but that has not occurred here.</w:t>
        </w:r>
        <w:r>
          <w:rPr>
            <w:noProof/>
            <w:webHidden/>
          </w:rPr>
          <w:tab/>
        </w:r>
        <w:r>
          <w:rPr>
            <w:noProof/>
            <w:webHidden/>
          </w:rPr>
          <w:fldChar w:fldCharType="begin"/>
        </w:r>
        <w:r>
          <w:rPr>
            <w:noProof/>
            <w:webHidden/>
          </w:rPr>
          <w:instrText xml:space="preserve"> PAGEREF _Toc28962509 \h </w:instrText>
        </w:r>
        <w:r>
          <w:rPr>
            <w:noProof/>
            <w:webHidden/>
          </w:rPr>
          <w:fldChar w:fldCharType="separate"/>
        </w:r>
        <w:r>
          <w:rPr>
            <w:noProof/>
            <w:webHidden/>
          </w:rPr>
          <w:t>2</w:t>
        </w:r>
        <w:r>
          <w:rPr>
            <w:noProof/>
            <w:webHidden/>
          </w:rPr>
          <w:fldChar w:fldCharType="end"/>
        </w:r>
      </w:hyperlink>
    </w:p>
    <w:p w:rsidR="0065430E" w14:paraId="58AE1BD0" w14:textId="6D6D68EB">
      <w:pPr>
        <w:pStyle w:val="TOC2"/>
        <w:tabs>
          <w:tab w:val="left" w:pos="1440"/>
        </w:tabs>
        <w:rPr>
          <w:rFonts w:asciiTheme="minorHAnsi" w:eastAsiaTheme="minorEastAsia" w:hAnsiTheme="minorHAnsi" w:cstheme="minorBidi"/>
          <w:bCs w:val="0"/>
          <w:noProof/>
          <w:sz w:val="22"/>
          <w:szCs w:val="22"/>
        </w:rPr>
      </w:pPr>
      <w:hyperlink w:anchor="_Toc28962510" w:history="1">
        <w:r w:rsidRPr="007A21FE">
          <w:rPr>
            <w:rStyle w:val="Hyperlink"/>
            <w:noProof/>
          </w:rPr>
          <w:t>B.</w:t>
        </w:r>
        <w:r>
          <w:rPr>
            <w:rFonts w:asciiTheme="minorHAnsi" w:eastAsiaTheme="minorEastAsia" w:hAnsiTheme="minorHAnsi" w:cstheme="minorBidi"/>
            <w:bCs w:val="0"/>
            <w:noProof/>
            <w:sz w:val="22"/>
            <w:szCs w:val="22"/>
          </w:rPr>
          <w:tab/>
        </w:r>
        <w:r w:rsidRPr="007A21FE">
          <w:rPr>
            <w:rStyle w:val="Hyperlink"/>
            <w:noProof/>
          </w:rPr>
          <w:t>AEP’s reliability has decreased notwithstanding its tree trimming spending, harming consumers.</w:t>
        </w:r>
        <w:r>
          <w:rPr>
            <w:noProof/>
            <w:webHidden/>
          </w:rPr>
          <w:tab/>
        </w:r>
        <w:r>
          <w:rPr>
            <w:noProof/>
            <w:webHidden/>
          </w:rPr>
          <w:fldChar w:fldCharType="begin"/>
        </w:r>
        <w:r>
          <w:rPr>
            <w:noProof/>
            <w:webHidden/>
          </w:rPr>
          <w:instrText xml:space="preserve"> PAGEREF _Toc28962510 \h </w:instrText>
        </w:r>
        <w:r>
          <w:rPr>
            <w:noProof/>
            <w:webHidden/>
          </w:rPr>
          <w:fldChar w:fldCharType="separate"/>
        </w:r>
        <w:r>
          <w:rPr>
            <w:noProof/>
            <w:webHidden/>
          </w:rPr>
          <w:t>4</w:t>
        </w:r>
        <w:r>
          <w:rPr>
            <w:noProof/>
            <w:webHidden/>
          </w:rPr>
          <w:fldChar w:fldCharType="end"/>
        </w:r>
      </w:hyperlink>
    </w:p>
    <w:p w:rsidR="0065430E" w14:paraId="2A6DDA66" w14:textId="01FB58FC">
      <w:pPr>
        <w:pStyle w:val="TOC1"/>
        <w:rPr>
          <w:rFonts w:asciiTheme="minorHAnsi" w:eastAsiaTheme="minorEastAsia" w:hAnsiTheme="minorHAnsi" w:cstheme="minorBidi"/>
          <w:bCs w:val="0"/>
          <w:caps w:val="0"/>
          <w:noProof/>
          <w:sz w:val="22"/>
          <w:szCs w:val="22"/>
        </w:rPr>
      </w:pPr>
      <w:hyperlink w:anchor="_Toc28962511" w:history="1">
        <w:r w:rsidRPr="007A21FE">
          <w:rPr>
            <w:rStyle w:val="Hyperlink"/>
            <w:noProof/>
          </w:rPr>
          <w:t>III.</w:t>
        </w:r>
        <w:r>
          <w:rPr>
            <w:rFonts w:asciiTheme="minorHAnsi" w:eastAsiaTheme="minorEastAsia" w:hAnsiTheme="minorHAnsi" w:cstheme="minorBidi"/>
            <w:bCs w:val="0"/>
            <w:caps w:val="0"/>
            <w:noProof/>
            <w:sz w:val="22"/>
            <w:szCs w:val="22"/>
          </w:rPr>
          <w:tab/>
        </w:r>
        <w:r w:rsidRPr="007A21FE">
          <w:rPr>
            <w:rStyle w:val="Hyperlink"/>
            <w:noProof/>
          </w:rPr>
          <w:t>STANDARD OF</w:t>
        </w:r>
        <w:r w:rsidRPr="007A21FE">
          <w:rPr>
            <w:rStyle w:val="Hyperlink"/>
            <w:noProof/>
            <w:spacing w:val="-15"/>
          </w:rPr>
          <w:t xml:space="preserve"> </w:t>
        </w:r>
        <w:r w:rsidRPr="007A21FE">
          <w:rPr>
            <w:rStyle w:val="Hyperlink"/>
            <w:noProof/>
          </w:rPr>
          <w:t>REVIEW</w:t>
        </w:r>
        <w:r>
          <w:rPr>
            <w:noProof/>
            <w:webHidden/>
          </w:rPr>
          <w:tab/>
        </w:r>
        <w:r>
          <w:rPr>
            <w:noProof/>
            <w:webHidden/>
          </w:rPr>
          <w:fldChar w:fldCharType="begin"/>
        </w:r>
        <w:r>
          <w:rPr>
            <w:noProof/>
            <w:webHidden/>
          </w:rPr>
          <w:instrText xml:space="preserve"> PAGEREF _Toc28962511 \h </w:instrText>
        </w:r>
        <w:r>
          <w:rPr>
            <w:noProof/>
            <w:webHidden/>
          </w:rPr>
          <w:fldChar w:fldCharType="separate"/>
        </w:r>
        <w:r>
          <w:rPr>
            <w:noProof/>
            <w:webHidden/>
          </w:rPr>
          <w:t>6</w:t>
        </w:r>
        <w:r>
          <w:rPr>
            <w:noProof/>
            <w:webHidden/>
          </w:rPr>
          <w:fldChar w:fldCharType="end"/>
        </w:r>
      </w:hyperlink>
    </w:p>
    <w:p w:rsidR="0065430E" w14:paraId="53603ABE" w14:textId="7E841C87">
      <w:pPr>
        <w:pStyle w:val="TOC1"/>
        <w:rPr>
          <w:rFonts w:asciiTheme="minorHAnsi" w:eastAsiaTheme="minorEastAsia" w:hAnsiTheme="minorHAnsi" w:cstheme="minorBidi"/>
          <w:bCs w:val="0"/>
          <w:caps w:val="0"/>
          <w:noProof/>
          <w:sz w:val="22"/>
          <w:szCs w:val="22"/>
        </w:rPr>
      </w:pPr>
      <w:hyperlink w:anchor="_Toc28962512" w:history="1">
        <w:r w:rsidRPr="007A21FE">
          <w:rPr>
            <w:rStyle w:val="Hyperlink"/>
            <w:noProof/>
          </w:rPr>
          <w:t>IV.</w:t>
        </w:r>
        <w:r>
          <w:rPr>
            <w:rFonts w:asciiTheme="minorHAnsi" w:eastAsiaTheme="minorEastAsia" w:hAnsiTheme="minorHAnsi" w:cstheme="minorBidi"/>
            <w:bCs w:val="0"/>
            <w:caps w:val="0"/>
            <w:noProof/>
            <w:sz w:val="22"/>
            <w:szCs w:val="22"/>
          </w:rPr>
          <w:tab/>
        </w:r>
        <w:r w:rsidRPr="007A21FE">
          <w:rPr>
            <w:rStyle w:val="Hyperlink"/>
            <w:noProof/>
          </w:rPr>
          <w:t>RECOMMENDATIONS</w:t>
        </w:r>
        <w:r>
          <w:rPr>
            <w:noProof/>
            <w:webHidden/>
          </w:rPr>
          <w:tab/>
        </w:r>
        <w:r>
          <w:rPr>
            <w:noProof/>
            <w:webHidden/>
          </w:rPr>
          <w:fldChar w:fldCharType="begin"/>
        </w:r>
        <w:r>
          <w:rPr>
            <w:noProof/>
            <w:webHidden/>
          </w:rPr>
          <w:instrText xml:space="preserve"> PAGEREF _Toc28962512 \h </w:instrText>
        </w:r>
        <w:r>
          <w:rPr>
            <w:noProof/>
            <w:webHidden/>
          </w:rPr>
          <w:fldChar w:fldCharType="separate"/>
        </w:r>
        <w:r>
          <w:rPr>
            <w:noProof/>
            <w:webHidden/>
          </w:rPr>
          <w:t>7</w:t>
        </w:r>
        <w:r>
          <w:rPr>
            <w:noProof/>
            <w:webHidden/>
          </w:rPr>
          <w:fldChar w:fldCharType="end"/>
        </w:r>
      </w:hyperlink>
    </w:p>
    <w:p w:rsidR="0065430E" w14:paraId="2DBA7400" w14:textId="740FDDB1">
      <w:pPr>
        <w:pStyle w:val="TOC3"/>
        <w:rPr>
          <w:rFonts w:asciiTheme="minorHAnsi" w:eastAsiaTheme="minorEastAsia" w:hAnsiTheme="minorHAnsi" w:cstheme="minorBidi"/>
          <w:noProof/>
          <w:sz w:val="22"/>
        </w:rPr>
      </w:pPr>
      <w:hyperlink w:anchor="_Toc28962513" w:history="1">
        <w:r w:rsidRPr="007A21FE">
          <w:rPr>
            <w:rStyle w:val="Hyperlink"/>
            <w:noProof/>
          </w:rPr>
          <w:t>Assignment of Error No. 1:  The PUCO’s approval of collecting tree trimming expenses from customers without considering whether electric service to those customers was reliable, adequate, and in all respects just and reasonable during 2016 was unlawful under R.C. 4905.22 and 4928.02(A).</w:t>
        </w:r>
        <w:r>
          <w:rPr>
            <w:noProof/>
            <w:webHidden/>
          </w:rPr>
          <w:tab/>
        </w:r>
        <w:r>
          <w:rPr>
            <w:noProof/>
            <w:webHidden/>
          </w:rPr>
          <w:fldChar w:fldCharType="begin"/>
        </w:r>
        <w:r>
          <w:rPr>
            <w:noProof/>
            <w:webHidden/>
          </w:rPr>
          <w:instrText xml:space="preserve"> PAGEREF _Toc28962513 \h </w:instrText>
        </w:r>
        <w:r>
          <w:rPr>
            <w:noProof/>
            <w:webHidden/>
          </w:rPr>
          <w:fldChar w:fldCharType="separate"/>
        </w:r>
        <w:r>
          <w:rPr>
            <w:noProof/>
            <w:webHidden/>
          </w:rPr>
          <w:t>7</w:t>
        </w:r>
        <w:r>
          <w:rPr>
            <w:noProof/>
            <w:webHidden/>
          </w:rPr>
          <w:fldChar w:fldCharType="end"/>
        </w:r>
      </w:hyperlink>
    </w:p>
    <w:p w:rsidR="0065430E" w14:paraId="6500E9D5" w14:textId="371B4A76">
      <w:pPr>
        <w:pStyle w:val="TOC3"/>
        <w:rPr>
          <w:rFonts w:asciiTheme="minorHAnsi" w:eastAsiaTheme="minorEastAsia" w:hAnsiTheme="minorHAnsi" w:cstheme="minorBidi"/>
          <w:noProof/>
          <w:sz w:val="22"/>
        </w:rPr>
      </w:pPr>
      <w:hyperlink w:anchor="_Toc28962514" w:history="1">
        <w:r w:rsidRPr="007A21FE">
          <w:rPr>
            <w:rStyle w:val="Hyperlink"/>
            <w:noProof/>
          </w:rPr>
          <w:t>Assignment of Error No. 2:  The PUCO’s holding requiring OCC’s claims about inadequate and unreliable service to be raised in other proceedings was unreasonable and inconsistent with prior PUCO orders requiring AEP to show that expenses collected from customers under the tree trimming rider were prudently incurred.</w:t>
        </w:r>
        <w:r>
          <w:rPr>
            <w:noProof/>
            <w:webHidden/>
          </w:rPr>
          <w:tab/>
        </w:r>
        <w:r>
          <w:rPr>
            <w:noProof/>
            <w:webHidden/>
          </w:rPr>
          <w:fldChar w:fldCharType="begin"/>
        </w:r>
        <w:r>
          <w:rPr>
            <w:noProof/>
            <w:webHidden/>
          </w:rPr>
          <w:instrText xml:space="preserve"> PAGEREF _Toc28962514 \h </w:instrText>
        </w:r>
        <w:r>
          <w:rPr>
            <w:noProof/>
            <w:webHidden/>
          </w:rPr>
          <w:fldChar w:fldCharType="separate"/>
        </w:r>
        <w:r>
          <w:rPr>
            <w:noProof/>
            <w:webHidden/>
          </w:rPr>
          <w:t>9</w:t>
        </w:r>
        <w:r>
          <w:rPr>
            <w:noProof/>
            <w:webHidden/>
          </w:rPr>
          <w:fldChar w:fldCharType="end"/>
        </w:r>
      </w:hyperlink>
    </w:p>
    <w:p w:rsidR="0065430E" w14:paraId="6F17754E" w14:textId="280AC612">
      <w:pPr>
        <w:pStyle w:val="TOC1"/>
        <w:rPr>
          <w:rFonts w:asciiTheme="minorHAnsi" w:eastAsiaTheme="minorEastAsia" w:hAnsiTheme="minorHAnsi" w:cstheme="minorBidi"/>
          <w:bCs w:val="0"/>
          <w:caps w:val="0"/>
          <w:noProof/>
          <w:sz w:val="22"/>
          <w:szCs w:val="22"/>
        </w:rPr>
      </w:pPr>
      <w:hyperlink w:anchor="_Toc28962515" w:history="1">
        <w:r w:rsidRPr="007A21FE">
          <w:rPr>
            <w:rStyle w:val="Hyperlink"/>
            <w:noProof/>
          </w:rPr>
          <w:t>V.</w:t>
        </w:r>
        <w:r>
          <w:rPr>
            <w:rFonts w:asciiTheme="minorHAnsi" w:eastAsiaTheme="minorEastAsia" w:hAnsiTheme="minorHAnsi" w:cstheme="minorBidi"/>
            <w:bCs w:val="0"/>
            <w:caps w:val="0"/>
            <w:noProof/>
            <w:sz w:val="22"/>
            <w:szCs w:val="22"/>
          </w:rPr>
          <w:tab/>
        </w:r>
        <w:r w:rsidRPr="007A21FE">
          <w:rPr>
            <w:rStyle w:val="Hyperlink"/>
            <w:noProof/>
          </w:rPr>
          <w:t>CONCLUSION</w:t>
        </w:r>
        <w:r>
          <w:rPr>
            <w:noProof/>
            <w:webHidden/>
          </w:rPr>
          <w:tab/>
        </w:r>
        <w:r>
          <w:rPr>
            <w:noProof/>
            <w:webHidden/>
          </w:rPr>
          <w:fldChar w:fldCharType="begin"/>
        </w:r>
        <w:r>
          <w:rPr>
            <w:noProof/>
            <w:webHidden/>
          </w:rPr>
          <w:instrText xml:space="preserve"> PAGEREF _Toc28962515 \h </w:instrText>
        </w:r>
        <w:r>
          <w:rPr>
            <w:noProof/>
            <w:webHidden/>
          </w:rPr>
          <w:fldChar w:fldCharType="separate"/>
        </w:r>
        <w:r>
          <w:rPr>
            <w:noProof/>
            <w:webHidden/>
          </w:rPr>
          <w:t>11</w:t>
        </w:r>
        <w:r>
          <w:rPr>
            <w:noProof/>
            <w:webHidden/>
          </w:rPr>
          <w:fldChar w:fldCharType="end"/>
        </w:r>
      </w:hyperlink>
    </w:p>
    <w:p w:rsidR="002307EF" w:rsidRPr="00433C02" w:rsidP="002307EF" w14:paraId="10E17F14" w14:textId="0873A714">
      <w:pPr>
        <w:pStyle w:val="NoSpacing"/>
        <w:jc w:val="center"/>
        <w:rPr>
          <w:b/>
          <w:bCs/>
          <w:sz w:val="24"/>
          <w:szCs w:val="24"/>
        </w:rPr>
      </w:pPr>
      <w:r w:rsidRPr="00433C02">
        <w:rPr>
          <w:b/>
          <w:bCs/>
          <w:sz w:val="24"/>
          <w:szCs w:val="24"/>
        </w:rPr>
        <w:fldChar w:fldCharType="end"/>
      </w:r>
    </w:p>
    <w:p w:rsidR="00030E16" w:rsidRPr="00433C02" w:rsidP="002307EF" w14:paraId="7C2DE095" w14:textId="77777777">
      <w:pPr>
        <w:pStyle w:val="NoSpacing"/>
        <w:jc w:val="center"/>
        <w:rPr>
          <w:b/>
          <w:bCs/>
          <w:sz w:val="24"/>
          <w:szCs w:val="24"/>
        </w:rPr>
        <w:sectPr w:rsidSect="00B628B8">
          <w:headerReference w:type="default" r:id="rId12"/>
          <w:pgSz w:w="12240" w:h="15840"/>
          <w:pgMar w:top="1440" w:right="1800" w:bottom="1440" w:left="1800" w:header="0" w:footer="1061" w:gutter="0"/>
          <w:pgNumType w:fmt="lowerRoman" w:start="1"/>
          <w:cols w:space="720"/>
          <w:docGrid w:linePitch="299"/>
        </w:sectPr>
      </w:pPr>
    </w:p>
    <w:p w:rsidR="002307EF" w:rsidRPr="00433C02" w:rsidP="002307EF" w14:paraId="558E2B58" w14:textId="77777777">
      <w:pPr>
        <w:pStyle w:val="NoSpacing"/>
        <w:jc w:val="center"/>
        <w:rPr>
          <w:sz w:val="24"/>
          <w:szCs w:val="24"/>
        </w:rPr>
      </w:pPr>
      <w:r w:rsidRPr="00433C02">
        <w:rPr>
          <w:b/>
          <w:bCs/>
          <w:sz w:val="24"/>
          <w:szCs w:val="24"/>
        </w:rPr>
        <w:t>BEFORE</w:t>
      </w:r>
    </w:p>
    <w:p w:rsidR="002307EF" w:rsidRPr="00433C02" w14:paraId="4A219FF7" w14:textId="563D8345">
      <w:pPr>
        <w:ind w:left="1438" w:right="1439"/>
        <w:jc w:val="center"/>
        <w:rPr>
          <w:b/>
          <w:sz w:val="24"/>
          <w:szCs w:val="24"/>
        </w:rPr>
      </w:pPr>
      <w:r w:rsidRPr="00433C02">
        <w:rPr>
          <w:b/>
          <w:sz w:val="24"/>
          <w:szCs w:val="24"/>
        </w:rPr>
        <w:t>THE PUBLIC UTILITIES COMMISSION OF OHIO</w:t>
      </w:r>
    </w:p>
    <w:p w:rsidR="002307EF" w:rsidRPr="00433C02" w:rsidP="002307EF" w14:paraId="0702AE23" w14:textId="77777777">
      <w:pPr>
        <w:rPr>
          <w:sz w:val="24"/>
          <w:szCs w:val="24"/>
        </w:rPr>
      </w:pPr>
    </w:p>
    <w:tbl>
      <w:tblPr>
        <w:tblW w:w="9785" w:type="dxa"/>
        <w:tblLook w:val="01E0"/>
      </w:tblPr>
      <w:tblGrid>
        <w:gridCol w:w="10001"/>
        <w:gridCol w:w="222"/>
        <w:gridCol w:w="222"/>
      </w:tblGrid>
      <w:tr w14:paraId="771A549E" w14:textId="77777777" w:rsidTr="00055FF8">
        <w:tblPrEx>
          <w:tblW w:w="9785" w:type="dxa"/>
          <w:tblLook w:val="01E0"/>
        </w:tblPrEx>
        <w:trPr>
          <w:trHeight w:val="873"/>
        </w:trPr>
        <w:tc>
          <w:tcPr>
            <w:tcW w:w="5025" w:type="dxa"/>
            <w:shd w:val="clear" w:color="auto" w:fill="auto"/>
          </w:tcPr>
          <w:tbl>
            <w:tblPr>
              <w:tblW w:w="9785" w:type="dxa"/>
              <w:tblLook w:val="01E0"/>
            </w:tblPr>
            <w:tblGrid>
              <w:gridCol w:w="5025"/>
              <w:gridCol w:w="360"/>
              <w:gridCol w:w="4400"/>
            </w:tblGrid>
            <w:tr w14:paraId="5E8ED5BA" w14:textId="77777777" w:rsidTr="002307EF">
              <w:tblPrEx>
                <w:tblW w:w="9785" w:type="dxa"/>
                <w:tblLook w:val="01E0"/>
              </w:tblPrEx>
              <w:trPr>
                <w:trHeight w:val="972"/>
              </w:trPr>
              <w:tc>
                <w:tcPr>
                  <w:tcW w:w="5025" w:type="dxa"/>
                  <w:shd w:val="clear" w:color="auto" w:fill="auto"/>
                </w:tcPr>
                <w:p w:rsidR="00055FF8" w:rsidRPr="00433C02" w:rsidP="00055FF8" w14:paraId="67B098C1" w14:textId="77777777">
                  <w:pPr>
                    <w:adjustRightInd w:val="0"/>
                    <w:rPr>
                      <w:rFonts w:eastAsiaTheme="minorEastAsia"/>
                      <w:sz w:val="24"/>
                      <w:szCs w:val="24"/>
                    </w:rPr>
                  </w:pPr>
                  <w:r w:rsidRPr="00433C02">
                    <w:rPr>
                      <w:rFonts w:eastAsia="Calibri"/>
                      <w:sz w:val="24"/>
                      <w:szCs w:val="24"/>
                    </w:rPr>
                    <w:t>In the Matter of the Application of Ohio Power Company to Update Its Enhanced Service Reliability Rider.</w:t>
                  </w:r>
                </w:p>
              </w:tc>
              <w:tc>
                <w:tcPr>
                  <w:tcW w:w="360" w:type="dxa"/>
                  <w:shd w:val="clear" w:color="auto" w:fill="auto"/>
                </w:tcPr>
                <w:p w:rsidR="00055FF8" w:rsidRPr="00433C02" w:rsidP="00055FF8" w14:paraId="7CE106A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055FF8" w:rsidRPr="00433C02" w:rsidP="00055FF8" w14:paraId="5FC8BC4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055FF8" w:rsidRPr="00433C02" w:rsidP="00055FF8" w14:paraId="32ED10E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433C02">
                    <w:rPr>
                      <w:rFonts w:eastAsia="Calibri"/>
                      <w:sz w:val="24"/>
                      <w:szCs w:val="24"/>
                    </w:rPr>
                    <w:t>)</w:t>
                  </w:r>
                </w:p>
                <w:p w:rsidR="00055FF8" w:rsidRPr="00433C02" w:rsidP="00055FF8" w14:paraId="4BAEE8A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sz w:val="24"/>
                      <w:szCs w:val="24"/>
                    </w:rPr>
                  </w:pPr>
                </w:p>
              </w:tc>
              <w:tc>
                <w:tcPr>
                  <w:tcW w:w="4400" w:type="dxa"/>
                  <w:shd w:val="clear" w:color="auto" w:fill="auto"/>
                </w:tcPr>
                <w:p w:rsidR="00055FF8" w:rsidRPr="00433C02" w:rsidP="00055FF8" w14:paraId="101F397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p>
                <w:p w:rsidR="00055FF8" w:rsidRPr="00433C02" w:rsidP="00055FF8" w14:paraId="18ED3173" w14:textId="77777777">
                  <w:pPr>
                    <w:adjustRightInd w:val="0"/>
                    <w:rPr>
                      <w:rFonts w:eastAsia="Courier New"/>
                      <w:sz w:val="24"/>
                      <w:szCs w:val="24"/>
                    </w:rPr>
                  </w:pPr>
                  <w:r w:rsidRPr="00433C02">
                    <w:rPr>
                      <w:rFonts w:eastAsia="Calibri"/>
                      <w:sz w:val="24"/>
                      <w:szCs w:val="24"/>
                    </w:rPr>
                    <w:t>Case No. 17-1914-EL-RDR</w:t>
                  </w:r>
                </w:p>
              </w:tc>
            </w:tr>
          </w:tbl>
          <w:p w:rsidR="002307EF" w:rsidRPr="00433C02" w:rsidP="002307EF" w14:paraId="2E3F223C" w14:textId="33778391">
            <w:pPr>
              <w:adjustRightInd w:val="0"/>
              <w:rPr>
                <w:rFonts w:eastAsiaTheme="minorEastAsia"/>
                <w:sz w:val="24"/>
                <w:szCs w:val="24"/>
              </w:rPr>
            </w:pPr>
          </w:p>
        </w:tc>
        <w:tc>
          <w:tcPr>
            <w:tcW w:w="360" w:type="dxa"/>
            <w:shd w:val="clear" w:color="auto" w:fill="auto"/>
          </w:tcPr>
          <w:p w:rsidR="002307EF" w:rsidRPr="00433C02" w:rsidP="002307EF" w14:paraId="6B672766" w14:textId="6FE1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sz w:val="24"/>
                <w:szCs w:val="24"/>
              </w:rPr>
            </w:pPr>
          </w:p>
        </w:tc>
        <w:tc>
          <w:tcPr>
            <w:tcW w:w="4400" w:type="dxa"/>
            <w:shd w:val="clear" w:color="auto" w:fill="auto"/>
          </w:tcPr>
          <w:p w:rsidR="002307EF" w:rsidRPr="00433C02" w:rsidP="002307EF" w14:paraId="6FC1C11C" w14:textId="1096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4"/>
                <w:szCs w:val="24"/>
              </w:rPr>
            </w:pPr>
          </w:p>
        </w:tc>
      </w:tr>
    </w:tbl>
    <w:p w:rsidR="002307EF" w:rsidRPr="00433C02" w:rsidP="00055FF8" w14:paraId="05FA938B" w14:textId="77777777">
      <w:pPr>
        <w:pStyle w:val="BodyText"/>
        <w:spacing w:line="30" w:lineRule="exact"/>
      </w:pPr>
      <w:r w:rsidRPr="00433C02">
        <w:rPr>
          <w:noProof/>
        </w:rPr>
        <mc:AlternateContent>
          <mc:Choice Requires="wpg">
            <w:drawing>
              <wp:inline distT="0" distB="0" distL="0" distR="0">
                <wp:extent cx="5543550" cy="19050"/>
                <wp:effectExtent l="0" t="6985" r="0" b="2540"/>
                <wp:docPr id="13"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5543550" cy="19050"/>
                          <a:chOff x="0" y="0"/>
                          <a:chExt cx="8730" cy="30"/>
                        </a:xfrm>
                      </wpg:grpSpPr>
                      <wps:wsp xmlns:wps="http://schemas.microsoft.com/office/word/2010/wordprocessingShape">
                        <wps:cNvPr id="14" name="Line 11"/>
                        <wps:cNvCnPr>
                          <a:cxnSpLocks noChangeShapeType="1"/>
                        </wps:cNvCnPr>
                        <wps:spPr bwMode="auto">
                          <a:xfrm>
                            <a:off x="15" y="15"/>
                            <a:ext cx="87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 o:spid="_x0000_i1031" style="width:436.5pt;height:1.5pt;mso-position-horizontal-relative:char;mso-position-vertical-relative:line" coordsize="8730,30">
                <v:line id="Line 11" o:spid="_x0000_s1032" style="mso-wrap-style:square;position:absolute;visibility:visible" from="15,15" to="8715,15" o:connectortype="straight" strokeweight="1.5pt"/>
                <w10:wrap type="none"/>
                <w10:anchorlock/>
              </v:group>
            </w:pict>
          </mc:Fallback>
        </mc:AlternateContent>
      </w:r>
    </w:p>
    <w:p w:rsidR="002307EF" w:rsidRPr="00433C02" w14:paraId="78FB006D" w14:textId="77777777">
      <w:pPr>
        <w:pStyle w:val="BodyText"/>
        <w:spacing w:before="3"/>
        <w:rPr>
          <w:b/>
        </w:rPr>
      </w:pPr>
    </w:p>
    <w:p w:rsidR="002307EF" w:rsidRPr="00433C02" w14:paraId="504C59FF" w14:textId="77777777">
      <w:pPr>
        <w:spacing w:before="90"/>
        <w:ind w:left="2780"/>
        <w:rPr>
          <w:b/>
          <w:sz w:val="24"/>
          <w:szCs w:val="24"/>
        </w:rPr>
      </w:pPr>
      <w:r w:rsidRPr="00433C02">
        <w:rPr>
          <w:b/>
          <w:sz w:val="24"/>
          <w:szCs w:val="24"/>
        </w:rPr>
        <w:t>MEMORANDUM IN SUPPORT</w:t>
      </w:r>
    </w:p>
    <w:p w:rsidR="002307EF" w:rsidRPr="00433C02" w14:paraId="1C2563FB" w14:textId="77777777">
      <w:pPr>
        <w:pStyle w:val="BodyText"/>
        <w:spacing w:before="2"/>
        <w:rPr>
          <w:b/>
        </w:rPr>
      </w:pPr>
      <w:r w:rsidRPr="00433C02">
        <w:rPr>
          <w:noProof/>
        </w:rPr>
        <mc:AlternateContent>
          <mc:Choice Requires="wps">
            <w:drawing>
              <wp:anchor distT="0" distB="0" distL="0" distR="0" simplePos="0" relativeHeight="251660288" behindDoc="0" locked="0" layoutInCell="1" allowOverlap="1">
                <wp:simplePos x="0" y="0"/>
                <wp:positionH relativeFrom="page">
                  <wp:posOffset>1123950</wp:posOffset>
                </wp:positionH>
                <wp:positionV relativeFrom="paragraph">
                  <wp:posOffset>196215</wp:posOffset>
                </wp:positionV>
                <wp:extent cx="5524500" cy="0"/>
                <wp:effectExtent l="9525" t="15240" r="9525" b="13335"/>
                <wp:wrapTopAndBottom/>
                <wp:docPr id="12" name="Line 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5245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33" style="mso-height-percent:0;mso-height-relative:page;mso-position-horizontal-relative:page;mso-width-percent:0;mso-width-relative:page;mso-wrap-distance-bottom:0;mso-wrap-distance-left:0;mso-wrap-distance-right:0;mso-wrap-distance-top:0;mso-wrap-style:square;position:absolute;visibility:visible;z-index:251661312" from="88.5pt,15.45pt" to="523.5pt,15.45pt" strokeweight="1.5pt">
                <w10:wrap type="topAndBottom"/>
              </v:line>
            </w:pict>
          </mc:Fallback>
        </mc:AlternateContent>
      </w:r>
    </w:p>
    <w:p w:rsidR="002307EF" w:rsidRPr="00433C02" w14:paraId="61794D94" w14:textId="77777777">
      <w:pPr>
        <w:pStyle w:val="BodyText"/>
        <w:spacing w:before="9"/>
        <w:rPr>
          <w:b/>
        </w:rPr>
      </w:pPr>
    </w:p>
    <w:p w:rsidR="002307EF" w:rsidRPr="00433C02" w:rsidP="00433C02" w14:paraId="05A205DA" w14:textId="45610295">
      <w:pPr>
        <w:pStyle w:val="Heading1"/>
        <w:spacing w:after="0"/>
        <w:rPr>
          <w:rFonts w:ascii="Times New Roman" w:hAnsi="Times New Roman"/>
        </w:rPr>
      </w:pPr>
      <w:bookmarkStart w:id="1" w:name="_Toc28962507"/>
      <w:r w:rsidRPr="00433C02">
        <w:rPr>
          <w:rFonts w:ascii="Times New Roman" w:hAnsi="Times New Roman"/>
        </w:rPr>
        <w:t>I.</w:t>
      </w:r>
      <w:r w:rsidRPr="00433C02">
        <w:rPr>
          <w:rFonts w:ascii="Times New Roman" w:hAnsi="Times New Roman"/>
        </w:rPr>
        <w:tab/>
      </w:r>
      <w:r w:rsidRPr="00433C02" w:rsidR="006C61D7">
        <w:rPr>
          <w:rFonts w:ascii="Times New Roman" w:hAnsi="Times New Roman"/>
        </w:rPr>
        <w:t>INTRODUCTION</w:t>
      </w:r>
      <w:bookmarkEnd w:id="1"/>
    </w:p>
    <w:p w:rsidR="002C5FB3" w:rsidRPr="00433C02" w:rsidP="00433C02" w14:paraId="0EF2133F" w14:textId="061FE5BD">
      <w:pPr>
        <w:keepNext/>
        <w:keepLines/>
        <w:widowControl/>
        <w:spacing w:line="480" w:lineRule="auto"/>
        <w:ind w:firstLine="720"/>
        <w:rPr>
          <w:sz w:val="24"/>
          <w:szCs w:val="24"/>
        </w:rPr>
      </w:pPr>
      <w:r w:rsidRPr="00433C02">
        <w:rPr>
          <w:sz w:val="24"/>
          <w:szCs w:val="24"/>
        </w:rPr>
        <w:t>The Office of the Ohio Consumers’ Counsel (“OCC”) files this Application for Rehearing to protect consumers from paying their electric utility</w:t>
      </w:r>
      <w:r w:rsidRPr="00433C02" w:rsidR="001E32D8">
        <w:rPr>
          <w:sz w:val="24"/>
          <w:szCs w:val="24"/>
        </w:rPr>
        <w:t>, Ohio Power Company (“AEP”),</w:t>
      </w:r>
      <w:r w:rsidRPr="00433C02">
        <w:rPr>
          <w:sz w:val="24"/>
          <w:szCs w:val="24"/>
        </w:rPr>
        <w:t xml:space="preserve"> </w:t>
      </w:r>
      <w:r w:rsidRPr="00433C02">
        <w:rPr>
          <w:sz w:val="24"/>
          <w:szCs w:val="24"/>
        </w:rPr>
        <w:t>charges</w:t>
      </w:r>
      <w:r w:rsidRPr="00433C02">
        <w:rPr>
          <w:sz w:val="24"/>
          <w:szCs w:val="24"/>
        </w:rPr>
        <w:t xml:space="preserve"> for </w:t>
      </w:r>
      <w:r w:rsidRPr="00433C02" w:rsidR="00300E12">
        <w:rPr>
          <w:sz w:val="24"/>
          <w:szCs w:val="24"/>
        </w:rPr>
        <w:t xml:space="preserve">imprudent </w:t>
      </w:r>
      <w:r w:rsidRPr="00433C02">
        <w:rPr>
          <w:sz w:val="24"/>
          <w:szCs w:val="24"/>
        </w:rPr>
        <w:t>tree-trimming expenses</w:t>
      </w:r>
      <w:r w:rsidRPr="00433C02" w:rsidR="001E32D8">
        <w:rPr>
          <w:sz w:val="24"/>
          <w:szCs w:val="24"/>
        </w:rPr>
        <w:t xml:space="preserve">.  The expenses </w:t>
      </w:r>
      <w:r w:rsidRPr="00433C02" w:rsidR="004176B6">
        <w:rPr>
          <w:sz w:val="24"/>
          <w:szCs w:val="24"/>
        </w:rPr>
        <w:t xml:space="preserve">were </w:t>
      </w:r>
      <w:r w:rsidRPr="00433C02">
        <w:rPr>
          <w:sz w:val="24"/>
          <w:szCs w:val="24"/>
        </w:rPr>
        <w:t xml:space="preserve">intended to </w:t>
      </w:r>
      <w:r w:rsidRPr="00433C02" w:rsidR="00E83BD3">
        <w:rPr>
          <w:sz w:val="24"/>
          <w:szCs w:val="24"/>
        </w:rPr>
        <w:t>enhance</w:t>
      </w:r>
      <w:r w:rsidRPr="00433C02">
        <w:rPr>
          <w:sz w:val="24"/>
          <w:szCs w:val="24"/>
        </w:rPr>
        <w:t xml:space="preserve"> </w:t>
      </w:r>
      <w:r w:rsidRPr="00433C02" w:rsidR="001E32D8">
        <w:rPr>
          <w:sz w:val="24"/>
          <w:szCs w:val="24"/>
        </w:rPr>
        <w:t xml:space="preserve">AEP’s </w:t>
      </w:r>
      <w:r w:rsidRPr="00433C02">
        <w:rPr>
          <w:sz w:val="24"/>
          <w:szCs w:val="24"/>
        </w:rPr>
        <w:t>reliability</w:t>
      </w:r>
      <w:r w:rsidRPr="00433C02" w:rsidR="001E32D8">
        <w:rPr>
          <w:sz w:val="24"/>
          <w:szCs w:val="24"/>
        </w:rPr>
        <w:t>.</w:t>
      </w:r>
      <w:r>
        <w:rPr>
          <w:rStyle w:val="FootnoteReference"/>
          <w:sz w:val="24"/>
          <w:szCs w:val="24"/>
        </w:rPr>
        <w:footnoteReference w:id="4"/>
      </w:r>
      <w:r w:rsidRPr="00433C02" w:rsidR="001E32D8">
        <w:rPr>
          <w:sz w:val="24"/>
          <w:szCs w:val="24"/>
        </w:rPr>
        <w:t xml:space="preserve">  They</w:t>
      </w:r>
      <w:r w:rsidRPr="00433C02">
        <w:rPr>
          <w:sz w:val="24"/>
          <w:szCs w:val="24"/>
        </w:rPr>
        <w:t xml:space="preserve"> did not</w:t>
      </w:r>
      <w:r w:rsidRPr="00433C02" w:rsidR="001E32D8">
        <w:rPr>
          <w:sz w:val="24"/>
          <w:szCs w:val="24"/>
        </w:rPr>
        <w:t>.  AEP’s r</w:t>
      </w:r>
      <w:r w:rsidRPr="00433C02" w:rsidR="004176B6">
        <w:rPr>
          <w:sz w:val="24"/>
          <w:szCs w:val="24"/>
        </w:rPr>
        <w:t>eliability</w:t>
      </w:r>
      <w:r w:rsidRPr="00433C02">
        <w:rPr>
          <w:sz w:val="24"/>
          <w:szCs w:val="24"/>
        </w:rPr>
        <w:t xml:space="preserve"> got worse. </w:t>
      </w:r>
      <w:r w:rsidRPr="00433C02" w:rsidR="00BD7EA8">
        <w:rPr>
          <w:sz w:val="24"/>
          <w:szCs w:val="24"/>
        </w:rPr>
        <w:t>In its Opinion and Order of December 4, 2019 (“Opinion”), the Public Utilities Commission of Ohio (“PUCO”) made unlawful and unreasonable decisions that will enable AEP to continue passing imprudent, ineffective, and unreasonable charges onto customers for unreliable service.</w:t>
      </w:r>
      <w:r w:rsidRPr="00433C02" w:rsidR="001E32D8">
        <w:rPr>
          <w:sz w:val="24"/>
          <w:szCs w:val="24"/>
        </w:rPr>
        <w:t xml:space="preserve"> </w:t>
      </w:r>
    </w:p>
    <w:p w:rsidR="00817C29" w:rsidP="00433C02" w14:paraId="546CE408" w14:textId="77777777">
      <w:pPr>
        <w:spacing w:line="480" w:lineRule="auto"/>
        <w:ind w:firstLine="720"/>
        <w:rPr>
          <w:sz w:val="24"/>
          <w:szCs w:val="24"/>
        </w:rPr>
      </w:pPr>
      <w:r w:rsidRPr="00433C02">
        <w:rPr>
          <w:sz w:val="24"/>
          <w:szCs w:val="24"/>
        </w:rPr>
        <w:t xml:space="preserve">To protect consumers from overpaying for tree-trimming expenses to allegedly increase reliability, the </w:t>
      </w:r>
      <w:r>
        <w:rPr>
          <w:sz w:val="24"/>
          <w:szCs w:val="24"/>
        </w:rPr>
        <w:t>PUCO</w:t>
      </w:r>
      <w:r w:rsidRPr="00433C02">
        <w:rPr>
          <w:sz w:val="24"/>
          <w:szCs w:val="24"/>
        </w:rPr>
        <w:t xml:space="preserve"> should grant rehearing on </w:t>
      </w:r>
      <w:r>
        <w:rPr>
          <w:sz w:val="24"/>
          <w:szCs w:val="24"/>
        </w:rPr>
        <w:t>OCC’s A</w:t>
      </w:r>
      <w:r w:rsidRPr="00433C02">
        <w:rPr>
          <w:sz w:val="24"/>
          <w:szCs w:val="24"/>
        </w:rPr>
        <w:t>ssignments</w:t>
      </w:r>
      <w:r w:rsidRPr="00433C02" w:rsidR="00E83BD3">
        <w:rPr>
          <w:sz w:val="24"/>
          <w:szCs w:val="24"/>
        </w:rPr>
        <w:t xml:space="preserve"> </w:t>
      </w:r>
      <w:r w:rsidRPr="00433C02">
        <w:rPr>
          <w:sz w:val="24"/>
          <w:szCs w:val="24"/>
        </w:rPr>
        <w:t xml:space="preserve">of </w:t>
      </w:r>
      <w:r>
        <w:rPr>
          <w:sz w:val="24"/>
          <w:szCs w:val="24"/>
        </w:rPr>
        <w:t>E</w:t>
      </w:r>
      <w:r w:rsidRPr="00433C02">
        <w:rPr>
          <w:sz w:val="24"/>
          <w:szCs w:val="24"/>
        </w:rPr>
        <w:t>rror</w:t>
      </w:r>
      <w:r w:rsidRPr="00433C02" w:rsidR="001E32D8">
        <w:rPr>
          <w:sz w:val="24"/>
          <w:szCs w:val="24"/>
        </w:rPr>
        <w:t>.</w:t>
      </w:r>
      <w:r w:rsidRPr="00433C02">
        <w:rPr>
          <w:sz w:val="24"/>
          <w:szCs w:val="24"/>
        </w:rPr>
        <w:t xml:space="preserve">  The </w:t>
      </w:r>
      <w:r>
        <w:rPr>
          <w:sz w:val="24"/>
          <w:szCs w:val="24"/>
        </w:rPr>
        <w:t xml:space="preserve">PUCO </w:t>
      </w:r>
      <w:r w:rsidRPr="00433C02">
        <w:rPr>
          <w:sz w:val="24"/>
          <w:szCs w:val="24"/>
        </w:rPr>
        <w:t xml:space="preserve">should consider </w:t>
      </w:r>
      <w:r>
        <w:rPr>
          <w:sz w:val="24"/>
          <w:szCs w:val="24"/>
        </w:rPr>
        <w:t xml:space="preserve">AEP’s </w:t>
      </w:r>
      <w:r w:rsidRPr="00433C02">
        <w:rPr>
          <w:sz w:val="24"/>
          <w:szCs w:val="24"/>
        </w:rPr>
        <w:t xml:space="preserve">reliability (or lack thereof) when evaluating the prudency of </w:t>
      </w:r>
      <w:r>
        <w:rPr>
          <w:sz w:val="24"/>
          <w:szCs w:val="24"/>
        </w:rPr>
        <w:t>AEP’s</w:t>
      </w:r>
      <w:r w:rsidRPr="00433C02" w:rsidR="0090700B">
        <w:rPr>
          <w:sz w:val="24"/>
          <w:szCs w:val="24"/>
        </w:rPr>
        <w:t xml:space="preserve"> </w:t>
      </w:r>
      <w:r w:rsidRPr="00433C02">
        <w:rPr>
          <w:sz w:val="24"/>
          <w:szCs w:val="24"/>
        </w:rPr>
        <w:t xml:space="preserve">tree trimming expenses.  Further, the </w:t>
      </w:r>
      <w:r>
        <w:rPr>
          <w:sz w:val="24"/>
          <w:szCs w:val="24"/>
        </w:rPr>
        <w:t>PUCO</w:t>
      </w:r>
      <w:r w:rsidRPr="00433C02">
        <w:rPr>
          <w:sz w:val="24"/>
          <w:szCs w:val="24"/>
        </w:rPr>
        <w:t xml:space="preserve"> should require that </w:t>
      </w:r>
      <w:r>
        <w:rPr>
          <w:sz w:val="24"/>
          <w:szCs w:val="24"/>
        </w:rPr>
        <w:t>AEP</w:t>
      </w:r>
      <w:r w:rsidRPr="00433C02">
        <w:rPr>
          <w:sz w:val="24"/>
          <w:szCs w:val="24"/>
        </w:rPr>
        <w:t xml:space="preserve"> show that its tree trimming spending actually increases reliability before approving any charges under the tree trimming rider. Because </w:t>
      </w:r>
      <w:r>
        <w:rPr>
          <w:sz w:val="24"/>
          <w:szCs w:val="24"/>
        </w:rPr>
        <w:t>AEP</w:t>
      </w:r>
      <w:r w:rsidRPr="00433C02">
        <w:rPr>
          <w:sz w:val="24"/>
          <w:szCs w:val="24"/>
        </w:rPr>
        <w:t xml:space="preserve"> did not do so here (and, based on the </w:t>
      </w:r>
    </w:p>
    <w:p w:rsidR="00817C29" w14:paraId="50013B00" w14:textId="77777777">
      <w:pPr>
        <w:rPr>
          <w:sz w:val="24"/>
          <w:szCs w:val="24"/>
        </w:rPr>
      </w:pPr>
      <w:r>
        <w:rPr>
          <w:sz w:val="24"/>
          <w:szCs w:val="24"/>
        </w:rPr>
        <w:br w:type="page"/>
      </w:r>
    </w:p>
    <w:p w:rsidR="00966FCE" w:rsidRPr="00433C02" w:rsidP="00817C29" w14:paraId="192ADF71" w14:textId="7074E850">
      <w:pPr>
        <w:spacing w:line="480" w:lineRule="auto"/>
        <w:rPr>
          <w:sz w:val="24"/>
          <w:szCs w:val="24"/>
        </w:rPr>
      </w:pPr>
      <w:r w:rsidRPr="00433C02">
        <w:rPr>
          <w:sz w:val="24"/>
          <w:szCs w:val="24"/>
        </w:rPr>
        <w:t xml:space="preserve">facts, cannot do so here), the </w:t>
      </w:r>
      <w:r>
        <w:rPr>
          <w:sz w:val="24"/>
          <w:szCs w:val="24"/>
        </w:rPr>
        <w:t>PUCO</w:t>
      </w:r>
      <w:r w:rsidRPr="00433C02">
        <w:rPr>
          <w:sz w:val="24"/>
          <w:szCs w:val="24"/>
        </w:rPr>
        <w:t xml:space="preserve"> should not permit </w:t>
      </w:r>
      <w:r w:rsidR="00817C29">
        <w:rPr>
          <w:sz w:val="24"/>
          <w:szCs w:val="24"/>
        </w:rPr>
        <w:t>AEP</w:t>
      </w:r>
      <w:r w:rsidRPr="00433C02">
        <w:rPr>
          <w:sz w:val="24"/>
          <w:szCs w:val="24"/>
        </w:rPr>
        <w:t xml:space="preserve"> to charge consumers any money under the tree trimming rider until such analysis is performed</w:t>
      </w:r>
      <w:r w:rsidRPr="00433C02" w:rsidR="00B26D05">
        <w:rPr>
          <w:sz w:val="24"/>
          <w:szCs w:val="24"/>
        </w:rPr>
        <w:t>.</w:t>
      </w:r>
      <w:r w:rsidRPr="00433C02" w:rsidR="00FF25A6">
        <w:rPr>
          <w:sz w:val="24"/>
          <w:szCs w:val="24"/>
        </w:rPr>
        <w:t xml:space="preserve"> </w:t>
      </w:r>
    </w:p>
    <w:p w:rsidR="00433C02" w:rsidRPr="00433C02" w:rsidP="00433C02" w14:paraId="6859EFC4" w14:textId="77777777">
      <w:pPr>
        <w:ind w:firstLine="720"/>
        <w:rPr>
          <w:sz w:val="24"/>
          <w:szCs w:val="24"/>
        </w:rPr>
      </w:pPr>
    </w:p>
    <w:p w:rsidR="007A7EDB" w:rsidRPr="00433C02" w:rsidP="00433C02" w14:paraId="0266C11C" w14:textId="517AB412">
      <w:pPr>
        <w:pStyle w:val="Heading1"/>
        <w:spacing w:after="0"/>
        <w:rPr>
          <w:rFonts w:ascii="Times New Roman" w:hAnsi="Times New Roman"/>
        </w:rPr>
      </w:pPr>
      <w:bookmarkStart w:id="2" w:name="_Toc28962508"/>
      <w:r w:rsidRPr="00433C02">
        <w:rPr>
          <w:rFonts w:ascii="Times New Roman" w:hAnsi="Times New Roman"/>
        </w:rPr>
        <w:t>II.</w:t>
      </w:r>
      <w:r w:rsidRPr="00433C02">
        <w:rPr>
          <w:rFonts w:ascii="Times New Roman" w:hAnsi="Times New Roman"/>
        </w:rPr>
        <w:tab/>
      </w:r>
      <w:r w:rsidRPr="00433C02" w:rsidR="00F1007F">
        <w:rPr>
          <w:rFonts w:ascii="Times New Roman" w:hAnsi="Times New Roman"/>
        </w:rPr>
        <w:t>Background</w:t>
      </w:r>
      <w:bookmarkEnd w:id="2"/>
      <w:r w:rsidRPr="00433C02" w:rsidR="00541E37">
        <w:rPr>
          <w:rFonts w:ascii="Times New Roman" w:hAnsi="Times New Roman"/>
        </w:rPr>
        <w:t xml:space="preserve"> </w:t>
      </w:r>
    </w:p>
    <w:p w:rsidR="00823DC2" w:rsidRPr="00433C02" w:rsidP="00433C02" w14:paraId="09FA8304" w14:textId="17605268">
      <w:pPr>
        <w:pStyle w:val="Heading2"/>
        <w:numPr>
          <w:ilvl w:val="0"/>
          <w:numId w:val="23"/>
        </w:numPr>
        <w:spacing w:after="0"/>
        <w:rPr>
          <w:rFonts w:ascii="Times New Roman" w:hAnsi="Times New Roman"/>
        </w:rPr>
      </w:pPr>
      <w:bookmarkStart w:id="3" w:name="_Toc28962509"/>
      <w:r w:rsidRPr="00433C02">
        <w:rPr>
          <w:rFonts w:ascii="Times New Roman" w:hAnsi="Times New Roman"/>
        </w:rPr>
        <w:t xml:space="preserve">Unfortunately for consumers, </w:t>
      </w:r>
      <w:r w:rsidRPr="00433C02" w:rsidR="00B628B8">
        <w:rPr>
          <w:rFonts w:ascii="Times New Roman" w:hAnsi="Times New Roman"/>
        </w:rPr>
        <w:t>AEP</w:t>
      </w:r>
      <w:r w:rsidRPr="00433C02">
        <w:rPr>
          <w:rFonts w:ascii="Times New Roman" w:hAnsi="Times New Roman"/>
        </w:rPr>
        <w:t>’s tree trimming charge is supposed to be approved, subject to a prudency review, to increase reliability, but that has not occurred here</w:t>
      </w:r>
      <w:r w:rsidRPr="00433C02">
        <w:rPr>
          <w:rFonts w:ascii="Times New Roman" w:hAnsi="Times New Roman"/>
        </w:rPr>
        <w:t>.</w:t>
      </w:r>
      <w:bookmarkEnd w:id="3"/>
    </w:p>
    <w:p w:rsidR="00433C02" w:rsidRPr="00433C02" w:rsidP="00433C02" w14:paraId="6158667A" w14:textId="77777777">
      <w:pPr>
        <w:rPr>
          <w:sz w:val="24"/>
          <w:szCs w:val="24"/>
        </w:rPr>
      </w:pPr>
    </w:p>
    <w:p w:rsidR="00F1007F" w:rsidRPr="00433C02" w:rsidP="00F1007F" w14:paraId="45C21E32" w14:textId="5020CCC0">
      <w:pPr>
        <w:adjustRightInd w:val="0"/>
        <w:spacing w:line="480" w:lineRule="auto"/>
        <w:ind w:firstLine="720"/>
        <w:rPr>
          <w:sz w:val="24"/>
          <w:szCs w:val="24"/>
        </w:rPr>
      </w:pPr>
      <w:r w:rsidRPr="00433C02">
        <w:rPr>
          <w:sz w:val="24"/>
          <w:szCs w:val="24"/>
        </w:rPr>
        <w:t xml:space="preserve">The PUCO initially approved the tree-trimming rider in AEP’s first </w:t>
      </w:r>
      <w:r w:rsidRPr="00433C02" w:rsidR="00966FCE">
        <w:rPr>
          <w:sz w:val="24"/>
          <w:szCs w:val="24"/>
        </w:rPr>
        <w:t>e</w:t>
      </w:r>
      <w:r w:rsidRPr="00433C02">
        <w:rPr>
          <w:sz w:val="24"/>
          <w:szCs w:val="24"/>
        </w:rPr>
        <w:t xml:space="preserve">lectric </w:t>
      </w:r>
      <w:r w:rsidRPr="00433C02" w:rsidR="00966FCE">
        <w:rPr>
          <w:sz w:val="24"/>
          <w:szCs w:val="24"/>
        </w:rPr>
        <w:t>s</w:t>
      </w:r>
      <w:r w:rsidRPr="00433C02">
        <w:rPr>
          <w:sz w:val="24"/>
          <w:szCs w:val="24"/>
        </w:rPr>
        <w:t xml:space="preserve">ecurity </w:t>
      </w:r>
      <w:r w:rsidRPr="00433C02" w:rsidR="00966FCE">
        <w:rPr>
          <w:sz w:val="24"/>
          <w:szCs w:val="24"/>
        </w:rPr>
        <w:t>p</w:t>
      </w:r>
      <w:r w:rsidRPr="00433C02">
        <w:rPr>
          <w:sz w:val="24"/>
          <w:szCs w:val="24"/>
        </w:rPr>
        <w:t>lan  in 2009.</w:t>
      </w:r>
      <w:r>
        <w:rPr>
          <w:rStyle w:val="FootnoteReference"/>
          <w:sz w:val="24"/>
          <w:szCs w:val="24"/>
        </w:rPr>
        <w:footnoteReference w:id="5"/>
      </w:r>
      <w:r w:rsidRPr="00433C02">
        <w:rPr>
          <w:sz w:val="24"/>
          <w:szCs w:val="24"/>
        </w:rPr>
        <w:t xml:space="preserve"> The PUCO explained that the tree-trimming rider would be subject to a prudency review, explaining:</w:t>
      </w:r>
    </w:p>
    <w:p w:rsidR="00F1007F" w:rsidRPr="00433C02" w:rsidP="00F1007F" w14:paraId="43D9E709" w14:textId="73CDDAF3">
      <w:pPr>
        <w:adjustRightInd w:val="0"/>
        <w:ind w:left="720"/>
        <w:rPr>
          <w:sz w:val="24"/>
          <w:szCs w:val="24"/>
        </w:rPr>
      </w:pPr>
      <w:r w:rsidRPr="00433C02">
        <w:rPr>
          <w:sz w:val="24"/>
          <w:szCs w:val="24"/>
        </w:rPr>
        <w:t>Consistent with prior decisions, the [PUCO] also believes that, pursuant to the sound policy goals of Section 4928.02, Revised Code, a distribution rider established pursuant to Section 4928.143(B)(2)(h), Revised Code, should be based upon the electric utility’s prudently incurred costs.  Therefore, the [tree trimming rider] will be subject to [PUCO] review and reconciliation on an annual basis.</w:t>
      </w:r>
      <w:r>
        <w:rPr>
          <w:rStyle w:val="FootnoteReference"/>
          <w:sz w:val="24"/>
          <w:szCs w:val="24"/>
        </w:rPr>
        <w:footnoteReference w:id="6"/>
      </w:r>
    </w:p>
    <w:p w:rsidR="00F1007F" w:rsidRPr="00433C02" w:rsidP="00BA531A" w14:paraId="584BECF2" w14:textId="77777777">
      <w:pPr>
        <w:adjustRightInd w:val="0"/>
        <w:ind w:left="720"/>
        <w:rPr>
          <w:sz w:val="24"/>
          <w:szCs w:val="24"/>
        </w:rPr>
      </w:pPr>
    </w:p>
    <w:p w:rsidR="00F1007F" w:rsidRPr="00433C02" w:rsidP="00F1007F" w14:paraId="7DD18E40" w14:textId="7CDCA649">
      <w:pPr>
        <w:adjustRightInd w:val="0"/>
        <w:spacing w:line="480" w:lineRule="auto"/>
        <w:ind w:firstLine="720"/>
        <w:rPr>
          <w:sz w:val="24"/>
          <w:szCs w:val="24"/>
        </w:rPr>
      </w:pPr>
      <w:r w:rsidRPr="00433C02">
        <w:rPr>
          <w:sz w:val="24"/>
          <w:szCs w:val="24"/>
        </w:rPr>
        <w:t>The tree trimming rider</w:t>
      </w:r>
      <w:r w:rsidRPr="00433C02">
        <w:rPr>
          <w:sz w:val="24"/>
          <w:szCs w:val="24"/>
        </w:rPr>
        <w:t xml:space="preserve"> was supposed to support a proactive four-year cycle-based tree-trimming program combined with performance-based incentive mechanisms authorized under R.C. 4928.143(B)(2)(h). The program is funded through collections from customers in base rates - $10,401,813 for 2009-2011 and $24,200,000 for 2012-2016.</w:t>
      </w:r>
      <w:r>
        <w:rPr>
          <w:rStyle w:val="FootnoteReference"/>
          <w:sz w:val="24"/>
          <w:szCs w:val="24"/>
        </w:rPr>
        <w:footnoteReference w:id="7"/>
      </w:r>
      <w:r w:rsidRPr="00433C02">
        <w:rPr>
          <w:sz w:val="24"/>
          <w:szCs w:val="24"/>
        </w:rPr>
        <w:t xml:space="preserve">  The tree-trimming rider was intended to collect from customers the yearly incremental tree trimming expenditure –those expenses above and beyond the amounts already included in customers’ base rates. </w:t>
      </w:r>
    </w:p>
    <w:p w:rsidR="00817C29" w:rsidP="007A7EDB" w14:paraId="150A37FD" w14:textId="77777777">
      <w:pPr>
        <w:adjustRightInd w:val="0"/>
        <w:spacing w:line="480" w:lineRule="auto"/>
        <w:ind w:firstLine="720"/>
        <w:rPr>
          <w:sz w:val="24"/>
          <w:szCs w:val="24"/>
        </w:rPr>
        <w:sectPr w:rsidSect="00433C02">
          <w:headerReference w:type="default" r:id="rId13"/>
          <w:pgSz w:w="12240" w:h="15840"/>
          <w:pgMar w:top="1440" w:right="1800" w:bottom="1440" w:left="1800" w:header="0" w:footer="720" w:gutter="0"/>
          <w:pgNumType w:start="1"/>
          <w:cols w:space="720"/>
          <w:docGrid w:linePitch="299"/>
        </w:sectPr>
      </w:pPr>
    </w:p>
    <w:p w:rsidR="00F1007F" w:rsidRPr="00433C02" w:rsidP="0088112F" w14:paraId="6B4B2CA0" w14:textId="45CC4307">
      <w:pPr>
        <w:adjustRightInd w:val="0"/>
        <w:spacing w:line="480" w:lineRule="auto"/>
        <w:ind w:firstLine="720"/>
        <w:rPr>
          <w:sz w:val="24"/>
          <w:szCs w:val="24"/>
        </w:rPr>
      </w:pPr>
      <w:r w:rsidRPr="00433C02">
        <w:rPr>
          <w:sz w:val="24"/>
          <w:szCs w:val="24"/>
        </w:rPr>
        <w:t>The transition to the proactive four-year cycle vegetation management was expected to take five years to complete.</w:t>
      </w:r>
      <w:r>
        <w:rPr>
          <w:rStyle w:val="FootnoteReference"/>
          <w:sz w:val="24"/>
          <w:szCs w:val="24"/>
        </w:rPr>
        <w:footnoteReference w:id="8"/>
      </w:r>
      <w:r w:rsidRPr="00433C02">
        <w:rPr>
          <w:sz w:val="24"/>
          <w:szCs w:val="24"/>
        </w:rPr>
        <w:t xml:space="preserve"> In approving the initial tree-trimming rider, the PUCO found that AEP had demonstrated that the tree-trimming rider would improve the customer’s overall electric service experience by reducing or eliminating momentary interruptions and sustained outages caused by vegetation.</w:t>
      </w:r>
      <w:r>
        <w:rPr>
          <w:rStyle w:val="FootnoteReference"/>
          <w:sz w:val="24"/>
          <w:szCs w:val="24"/>
        </w:rPr>
        <w:footnoteReference w:id="9"/>
      </w:r>
      <w:r w:rsidRPr="00433C02">
        <w:rPr>
          <w:sz w:val="24"/>
          <w:szCs w:val="24"/>
        </w:rPr>
        <w:t xml:space="preserve"> The tree-trimming rider was not limited to tree-trimming within the right-of-way.  It also included removal of dangerous trees outside the right-of-way.</w:t>
      </w:r>
      <w:r>
        <w:rPr>
          <w:rStyle w:val="FootnoteReference"/>
          <w:sz w:val="24"/>
          <w:szCs w:val="24"/>
        </w:rPr>
        <w:footnoteReference w:id="10"/>
      </w:r>
      <w:r w:rsidRPr="00433C02">
        <w:rPr>
          <w:sz w:val="24"/>
          <w:szCs w:val="24"/>
        </w:rPr>
        <w:t xml:space="preserve">    </w:t>
      </w:r>
    </w:p>
    <w:p w:rsidR="0026076B" w:rsidRPr="00433C02" w:rsidP="00BA531A" w14:paraId="692E5E64" w14:textId="4F4D824D">
      <w:pPr>
        <w:adjustRightInd w:val="0"/>
        <w:spacing w:line="480" w:lineRule="auto"/>
        <w:ind w:firstLine="720"/>
        <w:rPr>
          <w:sz w:val="24"/>
          <w:szCs w:val="24"/>
        </w:rPr>
      </w:pPr>
      <w:r w:rsidRPr="00433C02">
        <w:rPr>
          <w:sz w:val="24"/>
          <w:szCs w:val="24"/>
        </w:rPr>
        <w:t xml:space="preserve">After the initial five years, AEP requested in its second </w:t>
      </w:r>
      <w:r w:rsidRPr="00433C02" w:rsidR="00823DC2">
        <w:rPr>
          <w:sz w:val="24"/>
          <w:szCs w:val="24"/>
        </w:rPr>
        <w:t>electric security plan</w:t>
      </w:r>
      <w:r w:rsidRPr="00433C02">
        <w:rPr>
          <w:sz w:val="24"/>
          <w:szCs w:val="24"/>
        </w:rPr>
        <w:t xml:space="preserve"> to extend the tree-trimming rider for an additional three years.</w:t>
      </w:r>
      <w:r>
        <w:rPr>
          <w:rStyle w:val="FootnoteReference"/>
          <w:sz w:val="24"/>
          <w:szCs w:val="24"/>
        </w:rPr>
        <w:footnoteReference w:id="11"/>
      </w:r>
      <w:r w:rsidRPr="00433C02">
        <w:rPr>
          <w:sz w:val="24"/>
          <w:szCs w:val="24"/>
        </w:rPr>
        <w:t xml:space="preserve">  The PUCO granted AEP’s request</w:t>
      </w:r>
      <w:r w:rsidRPr="00433C02">
        <w:rPr>
          <w:sz w:val="24"/>
          <w:szCs w:val="24"/>
        </w:rPr>
        <w:t>, subject to same review and reconciliation established in AEP’s first electric security plan case</w:t>
      </w:r>
      <w:r w:rsidRPr="00433C02">
        <w:rPr>
          <w:sz w:val="24"/>
          <w:szCs w:val="24"/>
        </w:rPr>
        <w:t>.</w:t>
      </w:r>
      <w:r>
        <w:rPr>
          <w:rStyle w:val="FootnoteReference"/>
          <w:sz w:val="24"/>
          <w:szCs w:val="24"/>
        </w:rPr>
        <w:footnoteReference w:id="12"/>
      </w:r>
      <w:r w:rsidRPr="00433C02">
        <w:rPr>
          <w:sz w:val="24"/>
          <w:szCs w:val="24"/>
        </w:rPr>
        <w:t xml:space="preserve">  Then, in AEP’s most recent </w:t>
      </w:r>
      <w:r w:rsidRPr="00433C02">
        <w:rPr>
          <w:sz w:val="24"/>
          <w:szCs w:val="24"/>
        </w:rPr>
        <w:t>electric security plan</w:t>
      </w:r>
      <w:r w:rsidRPr="00433C02">
        <w:rPr>
          <w:sz w:val="24"/>
          <w:szCs w:val="24"/>
        </w:rPr>
        <w:t>, the tree-trimming rider was extended yet again by another three years.</w:t>
      </w:r>
      <w:r>
        <w:rPr>
          <w:rStyle w:val="FootnoteReference"/>
          <w:sz w:val="24"/>
          <w:szCs w:val="24"/>
        </w:rPr>
        <w:footnoteReference w:id="13"/>
      </w:r>
      <w:r w:rsidRPr="00433C02">
        <w:rPr>
          <w:sz w:val="24"/>
          <w:szCs w:val="24"/>
        </w:rPr>
        <w:t xml:space="preserve">  </w:t>
      </w:r>
      <w:r w:rsidRPr="00433C02">
        <w:rPr>
          <w:sz w:val="24"/>
          <w:szCs w:val="24"/>
        </w:rPr>
        <w:t>As it did in AEP’s first and second electric security plan cases, the PUCO reiterated:</w:t>
      </w:r>
      <w:r w:rsidRPr="00433C02" w:rsidR="00823DC2">
        <w:rPr>
          <w:sz w:val="24"/>
          <w:szCs w:val="24"/>
        </w:rPr>
        <w:t xml:space="preserve"> </w:t>
      </w:r>
      <w:r w:rsidRPr="00433C02">
        <w:rPr>
          <w:sz w:val="24"/>
          <w:szCs w:val="24"/>
        </w:rPr>
        <w:t>“the [tree trimming rider] is based on AEP Ohio’s prudently incurred costs and is subject to the [PUCO’s] review and reconciliation on an annual basis.”</w:t>
      </w:r>
      <w:r>
        <w:rPr>
          <w:rStyle w:val="FootnoteReference"/>
          <w:sz w:val="24"/>
          <w:szCs w:val="24"/>
        </w:rPr>
        <w:footnoteReference w:id="14"/>
      </w:r>
      <w:r w:rsidRPr="00433C02">
        <w:rPr>
          <w:sz w:val="24"/>
          <w:szCs w:val="24"/>
        </w:rPr>
        <w:t xml:space="preserve">  </w:t>
      </w:r>
    </w:p>
    <w:p w:rsidR="00817C29" w:rsidP="0026076B" w14:paraId="19419612" w14:textId="77777777">
      <w:pPr>
        <w:adjustRightInd w:val="0"/>
        <w:spacing w:line="480" w:lineRule="auto"/>
        <w:ind w:firstLine="720"/>
        <w:rPr>
          <w:sz w:val="24"/>
          <w:szCs w:val="24"/>
        </w:rPr>
        <w:sectPr w:rsidSect="00817C29">
          <w:headerReference w:type="default" r:id="rId14"/>
          <w:pgSz w:w="12240" w:h="15840"/>
          <w:pgMar w:top="1440" w:right="1800" w:bottom="1440" w:left="1800" w:header="0" w:footer="720" w:gutter="0"/>
          <w:cols w:space="720"/>
          <w:docGrid w:linePitch="299"/>
        </w:sectPr>
      </w:pPr>
    </w:p>
    <w:p w:rsidR="00F1007F" w:rsidRPr="00433C02" w:rsidP="0026076B" w14:paraId="6C7F2C81" w14:textId="44129DEE">
      <w:pPr>
        <w:adjustRightInd w:val="0"/>
        <w:spacing w:line="480" w:lineRule="auto"/>
        <w:ind w:firstLine="720"/>
        <w:rPr>
          <w:sz w:val="24"/>
          <w:szCs w:val="24"/>
        </w:rPr>
      </w:pPr>
      <w:r w:rsidRPr="00433C02">
        <w:rPr>
          <w:sz w:val="24"/>
          <w:szCs w:val="24"/>
        </w:rPr>
        <w:t>The tree-trimming rider that was intended to support a five-year transition to a four-year trim cycle has morphed into an 11-year charge that has become a permanent source of revenue for AEP.</w:t>
      </w:r>
      <w:r w:rsidRPr="00433C02" w:rsidR="0026076B">
        <w:rPr>
          <w:sz w:val="24"/>
          <w:szCs w:val="24"/>
        </w:rPr>
        <w:t xml:space="preserve"> </w:t>
      </w:r>
      <w:r w:rsidRPr="00433C02">
        <w:rPr>
          <w:sz w:val="24"/>
          <w:szCs w:val="24"/>
        </w:rPr>
        <w:t>From 2009 to 2016, AEP has collected $231.2 million</w:t>
      </w:r>
      <w:r>
        <w:rPr>
          <w:rStyle w:val="FootnoteReference"/>
          <w:sz w:val="24"/>
          <w:szCs w:val="24"/>
        </w:rPr>
        <w:footnoteReference w:id="15"/>
      </w:r>
      <w:r w:rsidRPr="00433C02">
        <w:rPr>
          <w:sz w:val="24"/>
          <w:szCs w:val="24"/>
        </w:rPr>
        <w:t xml:space="preserve"> in vegetation management costs in addition to the yearly amount customers already pay for tree trimming in base rates.  AEP’s base rates in 2016 include approximately $20.6 million in Operating and Maintenance (“O&amp;M”) charges and about $3.6 million in capital related costs for vegetation management.</w:t>
      </w:r>
      <w:r>
        <w:rPr>
          <w:rStyle w:val="FootnoteReference"/>
          <w:sz w:val="24"/>
          <w:szCs w:val="24"/>
        </w:rPr>
        <w:footnoteReference w:id="16"/>
      </w:r>
      <w:r w:rsidRPr="00433C02">
        <w:rPr>
          <w:sz w:val="24"/>
          <w:szCs w:val="24"/>
        </w:rPr>
        <w:t xml:space="preserve"> In its  third </w:t>
      </w:r>
      <w:r w:rsidRPr="00433C02" w:rsidR="00823DC2">
        <w:rPr>
          <w:sz w:val="24"/>
          <w:szCs w:val="24"/>
        </w:rPr>
        <w:t>electric security plan</w:t>
      </w:r>
      <w:r w:rsidRPr="00433C02">
        <w:rPr>
          <w:sz w:val="24"/>
          <w:szCs w:val="24"/>
        </w:rPr>
        <w:t>, AEP was approved to collect annually through the tree-trimming rider up to $25 million for O&amp;M expenses and no more than $1 million for capital investment, above the amount in base rates.</w:t>
      </w:r>
      <w:r>
        <w:rPr>
          <w:rStyle w:val="FootnoteReference"/>
          <w:sz w:val="24"/>
          <w:szCs w:val="24"/>
        </w:rPr>
        <w:footnoteReference w:id="17"/>
      </w:r>
      <w:r w:rsidRPr="00433C02">
        <w:rPr>
          <w:sz w:val="24"/>
          <w:szCs w:val="24"/>
        </w:rPr>
        <w:t xml:space="preserve"> </w:t>
      </w:r>
    </w:p>
    <w:p w:rsidR="00823DC2" w:rsidRPr="00433C02" w:rsidP="007A7EDB" w14:paraId="689E4EB1" w14:textId="04140F84">
      <w:pPr>
        <w:pStyle w:val="Heading2"/>
        <w:rPr>
          <w:rFonts w:ascii="Times New Roman" w:hAnsi="Times New Roman"/>
        </w:rPr>
      </w:pPr>
      <w:bookmarkStart w:id="4" w:name="_Toc28962510"/>
      <w:r w:rsidRPr="00433C02">
        <w:rPr>
          <w:rFonts w:ascii="Times New Roman" w:hAnsi="Times New Roman"/>
        </w:rPr>
        <w:t>B.</w:t>
      </w:r>
      <w:r w:rsidRPr="00433C02">
        <w:rPr>
          <w:rFonts w:ascii="Times New Roman" w:hAnsi="Times New Roman"/>
        </w:rPr>
        <w:tab/>
      </w:r>
      <w:r w:rsidRPr="00433C02">
        <w:rPr>
          <w:rFonts w:ascii="Times New Roman" w:hAnsi="Times New Roman"/>
        </w:rPr>
        <w:t>AEP’s reliability has decreased notwithstanding its tree trimming spending, harming consumers.</w:t>
      </w:r>
      <w:bookmarkEnd w:id="4"/>
    </w:p>
    <w:p w:rsidR="0067106F" w:rsidRPr="00433C02" w:rsidP="0067106F" w14:paraId="1C89C810" w14:textId="0426E584">
      <w:pPr>
        <w:spacing w:line="480" w:lineRule="auto"/>
        <w:ind w:firstLine="720"/>
        <w:rPr>
          <w:sz w:val="24"/>
          <w:szCs w:val="24"/>
        </w:rPr>
      </w:pPr>
      <w:r w:rsidRPr="00433C02">
        <w:rPr>
          <w:iCs/>
          <w:sz w:val="24"/>
          <w:szCs w:val="24"/>
        </w:rPr>
        <w:t xml:space="preserve">AEP has not complied with the minimum reliability performance standards under O.A.C. 4901:1-10-10 due to its failure to comply with its tree-trimming requirements. </w:t>
      </w:r>
      <w:r w:rsidRPr="00433C02">
        <w:rPr>
          <w:sz w:val="24"/>
          <w:szCs w:val="24"/>
        </w:rPr>
        <w:t>AEP is required to meet the minimum reliability performance standards established under Ohio Adm. Code 4901:1-10-10.</w:t>
      </w:r>
      <w:r>
        <w:rPr>
          <w:rStyle w:val="FootnoteReference"/>
          <w:sz w:val="24"/>
          <w:szCs w:val="24"/>
        </w:rPr>
        <w:footnoteReference w:id="18"/>
      </w:r>
      <w:r w:rsidRPr="00433C02">
        <w:rPr>
          <w:sz w:val="24"/>
          <w:szCs w:val="24"/>
        </w:rPr>
        <w:t xml:space="preserve"> The two minimum performance standards in Ohio are the System Average Interruption Frequency Index and Customer Average Interruption Duration Index.</w:t>
      </w:r>
      <w:r>
        <w:rPr>
          <w:rStyle w:val="FootnoteReference"/>
          <w:sz w:val="24"/>
          <w:szCs w:val="24"/>
        </w:rPr>
        <w:footnoteReference w:id="19"/>
      </w:r>
      <w:r w:rsidRPr="00433C02">
        <w:rPr>
          <w:sz w:val="24"/>
          <w:szCs w:val="24"/>
        </w:rPr>
        <w:t xml:space="preserve"> Mr. Williams explained that SAIFI measures the average number of outages that customers will experience in a year.</w:t>
      </w:r>
      <w:r>
        <w:rPr>
          <w:rStyle w:val="FootnoteReference"/>
          <w:sz w:val="24"/>
          <w:szCs w:val="24"/>
        </w:rPr>
        <w:footnoteReference w:id="20"/>
      </w:r>
      <w:r w:rsidRPr="00433C02">
        <w:rPr>
          <w:sz w:val="24"/>
          <w:szCs w:val="24"/>
        </w:rPr>
        <w:t xml:space="preserve">  He further explained that CAIDI measures the average duration of outages or the average duration of time to restore service.</w:t>
      </w:r>
      <w:r>
        <w:rPr>
          <w:rStyle w:val="FootnoteReference"/>
          <w:sz w:val="24"/>
          <w:szCs w:val="24"/>
        </w:rPr>
        <w:footnoteReference w:id="21"/>
      </w:r>
      <w:r w:rsidRPr="00433C02">
        <w:rPr>
          <w:sz w:val="24"/>
          <w:szCs w:val="24"/>
        </w:rPr>
        <w:t xml:space="preserve">  A lower SAIFI value indicates better reliability performance and service quality for customers, while a higher CAIDI value indicates consumers are receiving less reliable service.</w:t>
      </w:r>
      <w:r>
        <w:rPr>
          <w:rStyle w:val="FootnoteReference"/>
          <w:sz w:val="24"/>
          <w:szCs w:val="24"/>
        </w:rPr>
        <w:footnoteReference w:id="22"/>
      </w:r>
      <w:r w:rsidRPr="00433C02">
        <w:rPr>
          <w:sz w:val="24"/>
          <w:szCs w:val="24"/>
        </w:rPr>
        <w:t xml:space="preserve"> </w:t>
      </w:r>
    </w:p>
    <w:p w:rsidR="0067106F" w:rsidRPr="00433C02" w:rsidP="0067106F" w14:paraId="7DB65880" w14:textId="5D8212C4">
      <w:pPr>
        <w:spacing w:line="480" w:lineRule="auto"/>
        <w:ind w:firstLine="720"/>
        <w:rPr>
          <w:sz w:val="24"/>
          <w:szCs w:val="24"/>
        </w:rPr>
      </w:pPr>
      <w:r w:rsidRPr="00433C02">
        <w:rPr>
          <w:sz w:val="24"/>
          <w:szCs w:val="24"/>
        </w:rPr>
        <w:t>AEP did not meet these minimum performance standards for 2018.</w:t>
      </w:r>
      <w:r>
        <w:rPr>
          <w:rStyle w:val="FootnoteReference"/>
          <w:sz w:val="24"/>
          <w:szCs w:val="24"/>
        </w:rPr>
        <w:footnoteReference w:id="23"/>
      </w:r>
      <w:r w:rsidRPr="00433C02">
        <w:rPr>
          <w:sz w:val="24"/>
          <w:szCs w:val="24"/>
        </w:rPr>
        <w:t xml:space="preserve">  As OCC witness Williams testified, for 2018, AEP was required to maintain minimum performance standards for SAIFI of 1.19 and for CAIDI of 149.00 minutes.</w:t>
      </w:r>
      <w:r>
        <w:rPr>
          <w:rStyle w:val="FootnoteReference"/>
          <w:sz w:val="24"/>
          <w:szCs w:val="24"/>
        </w:rPr>
        <w:footnoteReference w:id="24"/>
      </w:r>
      <w:r w:rsidRPr="00433C02">
        <w:rPr>
          <w:sz w:val="24"/>
          <w:szCs w:val="24"/>
        </w:rPr>
        <w:t xml:space="preserve">  But AEP’s actual performance for 2018 was a SAIFI of 1.3 and a CAIDI of 150.32 minutes.</w:t>
      </w:r>
      <w:r>
        <w:rPr>
          <w:rStyle w:val="FootnoteReference"/>
          <w:sz w:val="24"/>
          <w:szCs w:val="24"/>
        </w:rPr>
        <w:footnoteReference w:id="25"/>
      </w:r>
      <w:r w:rsidRPr="00433C02">
        <w:rPr>
          <w:sz w:val="24"/>
          <w:szCs w:val="24"/>
        </w:rPr>
        <w:t xml:space="preserve">  Therefore, Mr. Williams concluded, AEP failed to maintain minimum reliability performance for 2018.</w:t>
      </w:r>
      <w:r>
        <w:rPr>
          <w:rStyle w:val="FootnoteReference"/>
          <w:sz w:val="24"/>
          <w:szCs w:val="24"/>
        </w:rPr>
        <w:footnoteReference w:id="26"/>
      </w:r>
      <w:r w:rsidRPr="00433C02">
        <w:rPr>
          <w:sz w:val="24"/>
          <w:szCs w:val="24"/>
        </w:rPr>
        <w:t xml:space="preserve"> He explained that this means customers experienced more outages and for much longer periods of time than permitted by the PUCO minimum distribution reliability performance standards.</w:t>
      </w:r>
      <w:r>
        <w:rPr>
          <w:rStyle w:val="FootnoteReference"/>
          <w:sz w:val="24"/>
          <w:szCs w:val="24"/>
        </w:rPr>
        <w:footnoteReference w:id="27"/>
      </w:r>
      <w:r w:rsidRPr="00433C02">
        <w:rPr>
          <w:sz w:val="24"/>
          <w:szCs w:val="24"/>
        </w:rPr>
        <w:t xml:space="preserve"> </w:t>
      </w:r>
    </w:p>
    <w:p w:rsidR="00817C29" w:rsidP="0067106F" w14:paraId="1F30CDD4" w14:textId="77777777">
      <w:pPr>
        <w:spacing w:line="480" w:lineRule="auto"/>
        <w:rPr>
          <w:sz w:val="24"/>
          <w:szCs w:val="24"/>
        </w:rPr>
      </w:pPr>
      <w:r w:rsidRPr="00433C02">
        <w:rPr>
          <w:sz w:val="24"/>
          <w:szCs w:val="24"/>
        </w:rPr>
        <w:tab/>
        <w:t>Mr. Williams further testified</w:t>
      </w:r>
      <w:r>
        <w:rPr>
          <w:rStyle w:val="FootnoteReference"/>
          <w:sz w:val="24"/>
          <w:szCs w:val="24"/>
        </w:rPr>
        <w:footnoteReference w:id="28"/>
      </w:r>
      <w:r w:rsidRPr="00433C02">
        <w:rPr>
          <w:sz w:val="24"/>
          <w:szCs w:val="24"/>
        </w:rPr>
        <w:t xml:space="preserve"> that as a result of tree caused outages, there were 7,503 outage events across the AEP service territory resulting in 416,672 customers being </w:t>
      </w:r>
    </w:p>
    <w:p w:rsidR="00817C29" w14:paraId="10E2E559" w14:textId="77777777">
      <w:pPr>
        <w:rPr>
          <w:sz w:val="24"/>
          <w:szCs w:val="24"/>
        </w:rPr>
      </w:pPr>
      <w:r>
        <w:rPr>
          <w:sz w:val="24"/>
          <w:szCs w:val="24"/>
        </w:rPr>
        <w:br w:type="page"/>
      </w:r>
    </w:p>
    <w:p w:rsidR="0067106F" w:rsidRPr="00433C02" w:rsidP="0067106F" w14:paraId="576E23A1" w14:textId="2E5513BC">
      <w:pPr>
        <w:spacing w:line="480" w:lineRule="auto"/>
        <w:rPr>
          <w:sz w:val="24"/>
          <w:szCs w:val="24"/>
        </w:rPr>
      </w:pPr>
      <w:r w:rsidRPr="00433C02">
        <w:rPr>
          <w:sz w:val="24"/>
          <w:szCs w:val="24"/>
        </w:rPr>
        <w:t>interrupted for over 98.4 million minutes.</w:t>
      </w:r>
      <w:r>
        <w:rPr>
          <w:rStyle w:val="FootnoteReference"/>
          <w:sz w:val="24"/>
          <w:szCs w:val="24"/>
        </w:rPr>
        <w:footnoteReference w:id="29"/>
      </w:r>
      <w:r w:rsidRPr="00433C02">
        <w:rPr>
          <w:sz w:val="24"/>
          <w:szCs w:val="24"/>
        </w:rPr>
        <w:t xml:space="preserve"> Importantly, Mr. Williams explained that tree caused outages are having a significant negative impact on distribution reliability performance.</w:t>
      </w:r>
      <w:r>
        <w:rPr>
          <w:rStyle w:val="FootnoteReference"/>
          <w:sz w:val="24"/>
          <w:szCs w:val="24"/>
        </w:rPr>
        <w:footnoteReference w:id="30"/>
      </w:r>
      <w:r w:rsidRPr="00433C02">
        <w:rPr>
          <w:sz w:val="24"/>
          <w:szCs w:val="24"/>
        </w:rPr>
        <w:t xml:space="preserve"> This is despite the hundreds of millions of dollars were charged to consumers through the tree-trimming rider (and other single-issue ratemaking riders) that are intended to improve reliability performance.</w:t>
      </w:r>
      <w:r>
        <w:rPr>
          <w:rStyle w:val="FootnoteReference"/>
          <w:sz w:val="24"/>
          <w:szCs w:val="24"/>
        </w:rPr>
        <w:footnoteReference w:id="31"/>
      </w:r>
      <w:r w:rsidRPr="00433C02">
        <w:rPr>
          <w:sz w:val="24"/>
          <w:szCs w:val="24"/>
        </w:rPr>
        <w:t xml:space="preserve"> </w:t>
      </w:r>
    </w:p>
    <w:p w:rsidR="00030E16" w:rsidRPr="00433C02" w:rsidP="0088112F" w14:paraId="35088200" w14:textId="4834361D">
      <w:pPr>
        <w:spacing w:line="480" w:lineRule="auto"/>
        <w:ind w:firstLine="720"/>
        <w:rPr>
          <w:sz w:val="24"/>
          <w:szCs w:val="24"/>
        </w:rPr>
      </w:pPr>
      <w:r w:rsidRPr="00433C02">
        <w:rPr>
          <w:sz w:val="24"/>
          <w:szCs w:val="24"/>
        </w:rPr>
        <w:t>As Mr. Williams explained, failure to meet the same reliability performance standard for two years in a row constitutes a violation of Ohio Adm. Code 4901:1-10-10(E).</w:t>
      </w:r>
      <w:r>
        <w:rPr>
          <w:rStyle w:val="FootnoteReference"/>
          <w:sz w:val="24"/>
          <w:szCs w:val="24"/>
        </w:rPr>
        <w:footnoteReference w:id="32"/>
      </w:r>
      <w:r w:rsidRPr="00433C02">
        <w:rPr>
          <w:sz w:val="24"/>
          <w:szCs w:val="24"/>
        </w:rPr>
        <w:t xml:space="preserve">  Therefore, if </w:t>
      </w:r>
      <w:r w:rsidRPr="00433C02" w:rsidR="00433C02">
        <w:rPr>
          <w:sz w:val="24"/>
          <w:szCs w:val="24"/>
        </w:rPr>
        <w:t xml:space="preserve"> </w:t>
      </w:r>
      <w:r w:rsidRPr="00433C02">
        <w:rPr>
          <w:sz w:val="24"/>
          <w:szCs w:val="24"/>
        </w:rPr>
        <w:t>AEP fails to meet either the CAIDI or SAIFI standard in 2019, OCC urges the PUCO to protect consumers by enforcing the rules as provided in Ohio Adm. Code 4901:1-10-30.</w:t>
      </w:r>
      <w:r>
        <w:rPr>
          <w:rStyle w:val="FootnoteReference"/>
          <w:sz w:val="24"/>
          <w:szCs w:val="24"/>
        </w:rPr>
        <w:footnoteReference w:id="33"/>
      </w:r>
      <w:r w:rsidRPr="00433C02">
        <w:rPr>
          <w:sz w:val="24"/>
          <w:szCs w:val="24"/>
        </w:rPr>
        <w:t xml:space="preserve"> </w:t>
      </w:r>
    </w:p>
    <w:p w:rsidR="007A7EDB" w:rsidRPr="00433C02" w:rsidP="007A7EDB" w14:paraId="7DB2F7ED" w14:textId="77777777">
      <w:pPr>
        <w:rPr>
          <w:sz w:val="24"/>
          <w:szCs w:val="24"/>
        </w:rPr>
      </w:pPr>
    </w:p>
    <w:p w:rsidR="002307EF" w:rsidRPr="00433C02" w:rsidP="00433C02" w14:paraId="31E365FA" w14:textId="58C5EAF5">
      <w:pPr>
        <w:pStyle w:val="Heading1"/>
        <w:spacing w:after="0"/>
        <w:rPr>
          <w:rFonts w:ascii="Times New Roman" w:hAnsi="Times New Roman"/>
        </w:rPr>
      </w:pPr>
      <w:bookmarkStart w:id="5" w:name="_Toc28962511"/>
      <w:r w:rsidRPr="00433C02">
        <w:rPr>
          <w:rFonts w:ascii="Times New Roman" w:hAnsi="Times New Roman"/>
        </w:rPr>
        <w:t>III.</w:t>
      </w:r>
      <w:r w:rsidRPr="00433C02">
        <w:rPr>
          <w:rFonts w:ascii="Times New Roman" w:hAnsi="Times New Roman"/>
        </w:rPr>
        <w:tab/>
      </w:r>
      <w:r w:rsidRPr="00433C02" w:rsidR="006C61D7">
        <w:rPr>
          <w:rFonts w:ascii="Times New Roman" w:hAnsi="Times New Roman"/>
        </w:rPr>
        <w:t>STANDARD OF</w:t>
      </w:r>
      <w:r w:rsidRPr="00433C02" w:rsidR="006C61D7">
        <w:rPr>
          <w:rFonts w:ascii="Times New Roman" w:hAnsi="Times New Roman"/>
          <w:spacing w:val="-15"/>
        </w:rPr>
        <w:t xml:space="preserve"> </w:t>
      </w:r>
      <w:r w:rsidRPr="00433C02" w:rsidR="006C61D7">
        <w:rPr>
          <w:rFonts w:ascii="Times New Roman" w:hAnsi="Times New Roman"/>
        </w:rPr>
        <w:t>REVIEW</w:t>
      </w:r>
      <w:bookmarkEnd w:id="5"/>
    </w:p>
    <w:p w:rsidR="002307EF" w:rsidRPr="00433C02" w:rsidP="00433C02" w14:paraId="5AFB727D" w14:textId="0EFAC640">
      <w:pPr>
        <w:pStyle w:val="BodyText"/>
        <w:spacing w:line="480" w:lineRule="auto"/>
        <w:ind w:right="156" w:firstLine="720"/>
      </w:pPr>
      <w:r w:rsidRPr="00433C02">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entered an appearance and filed testimony regarding </w:t>
      </w:r>
      <w:r w:rsidRPr="00433C02" w:rsidR="004176B6">
        <w:t>AEP’s</w:t>
      </w:r>
      <w:r w:rsidRPr="00433C02">
        <w:t xml:space="preserve"> Application. It </w:t>
      </w:r>
      <w:r w:rsidRPr="00433C02" w:rsidR="004176B6">
        <w:t xml:space="preserve">also </w:t>
      </w:r>
      <w:r w:rsidRPr="00433C02">
        <w:t xml:space="preserve">participated in the evidentiary hearing </w:t>
      </w:r>
      <w:r w:rsidRPr="00433C02" w:rsidR="004176B6">
        <w:t>held for this case</w:t>
      </w:r>
      <w:r w:rsidRPr="00433C02">
        <w:t>.</w:t>
      </w:r>
    </w:p>
    <w:p w:rsidR="00817C29" w:rsidP="00F85F9C" w14:paraId="70958FB9" w14:textId="77777777">
      <w:pPr>
        <w:pStyle w:val="BodyText"/>
        <w:spacing w:before="9" w:line="480" w:lineRule="auto"/>
        <w:ind w:left="119" w:right="402" w:firstLine="720"/>
        <w:sectPr w:rsidSect="00817C29">
          <w:headerReference w:type="default" r:id="rId15"/>
          <w:pgSz w:w="12240" w:h="15840"/>
          <w:pgMar w:top="1440" w:right="1800" w:bottom="1440" w:left="1800" w:header="0" w:footer="720" w:gutter="0"/>
          <w:cols w:space="720"/>
          <w:docGrid w:linePitch="299"/>
        </w:sectPr>
      </w:pPr>
    </w:p>
    <w:p w:rsidR="002307EF" w:rsidRPr="00433C02" w:rsidP="00F85F9C" w14:paraId="49E76205" w14:textId="6B8536D6">
      <w:pPr>
        <w:pStyle w:val="BodyText"/>
        <w:spacing w:before="9" w:line="480" w:lineRule="auto"/>
        <w:ind w:left="119" w:right="402" w:firstLine="720"/>
      </w:pPr>
      <w:r w:rsidRPr="00433C02">
        <w:t>R.C. 4903.10 requires that an application for rehearing must be “in writing and shall set forth specifically the ground or grounds on which the applicant considers the</w:t>
      </w:r>
      <w:r w:rsidRPr="00433C02" w:rsidR="00F85F9C">
        <w:t xml:space="preserve"> </w:t>
      </w:r>
      <w:r w:rsidRPr="00433C02">
        <w:t>order to be unreasonable or unlawful.” Additionally, Ohio Adm. Code 4901-1-35(A) states: “An application for rehearing must be accompanied by a memorandum in support, which shall be filed no later than the application for rehearing.”</w:t>
      </w:r>
    </w:p>
    <w:p w:rsidR="002307EF" w:rsidRPr="00433C02" w14:paraId="4CA83AD9" w14:textId="77777777">
      <w:pPr>
        <w:pStyle w:val="BodyText"/>
        <w:spacing w:before="10" w:line="480" w:lineRule="auto"/>
        <w:ind w:left="120" w:right="98" w:firstLine="720"/>
      </w:pPr>
      <w:r w:rsidRPr="00433C02">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2307EF" w14:paraId="6CE67949" w14:textId="7BCA55D8">
      <w:pPr>
        <w:pStyle w:val="BodyText"/>
        <w:spacing w:before="10" w:line="480" w:lineRule="auto"/>
        <w:ind w:left="120" w:right="135" w:firstLine="720"/>
        <w:jc w:val="both"/>
      </w:pPr>
      <w:r w:rsidRPr="00433C02">
        <w:t xml:space="preserve">The statutory standard for abrogating some portions of the </w:t>
      </w:r>
      <w:r w:rsidRPr="00433C02" w:rsidR="004D7560">
        <w:t>Opinion and Order</w:t>
      </w:r>
      <w:r w:rsidRPr="00433C02">
        <w:t xml:space="preserve"> and modifying other portions are met here. </w:t>
      </w:r>
      <w:r w:rsidRPr="00433C02" w:rsidR="0016023C">
        <w:t>To protect consumers, t</w:t>
      </w:r>
      <w:r w:rsidRPr="00433C02">
        <w:t>he PUCO should grant and hold rehearing on the matters specified in this Application for Rehearing, and subsequently abrogate or modify its Opinion and Order.</w:t>
      </w:r>
    </w:p>
    <w:p w:rsidR="00817C29" w:rsidP="00817C29" w14:paraId="1C4C2EBD" w14:textId="77777777">
      <w:pPr>
        <w:pStyle w:val="BodyText"/>
        <w:spacing w:before="10"/>
        <w:ind w:left="120" w:right="135" w:firstLine="720"/>
        <w:jc w:val="both"/>
      </w:pPr>
    </w:p>
    <w:p w:rsidR="002307EF" w:rsidRPr="00433C02" w:rsidP="00817C29" w14:paraId="6DE7916B" w14:textId="573FF820">
      <w:pPr>
        <w:pStyle w:val="Heading1"/>
        <w:spacing w:after="0"/>
        <w:rPr>
          <w:rFonts w:ascii="Times New Roman" w:hAnsi="Times New Roman"/>
        </w:rPr>
      </w:pPr>
      <w:bookmarkStart w:id="6" w:name="_Toc28962512"/>
      <w:r w:rsidRPr="00433C02">
        <w:rPr>
          <w:rFonts w:ascii="Times New Roman" w:hAnsi="Times New Roman"/>
        </w:rPr>
        <w:t>IV.</w:t>
      </w:r>
      <w:r w:rsidRPr="00433C02">
        <w:rPr>
          <w:rFonts w:ascii="Times New Roman" w:hAnsi="Times New Roman"/>
        </w:rPr>
        <w:tab/>
      </w:r>
      <w:r w:rsidRPr="00433C02" w:rsidR="006C61D7">
        <w:rPr>
          <w:rFonts w:ascii="Times New Roman" w:hAnsi="Times New Roman"/>
        </w:rPr>
        <w:t>RECOMMENDATIONS</w:t>
      </w:r>
      <w:bookmarkEnd w:id="6"/>
    </w:p>
    <w:p w:rsidR="000C6EC9" w:rsidP="00817C29" w14:paraId="42C848F7" w14:textId="4D1871EB">
      <w:pPr>
        <w:pStyle w:val="Heading3"/>
        <w:spacing w:after="0"/>
        <w:rPr>
          <w:rFonts w:ascii="Times New Roman" w:hAnsi="Times New Roman"/>
        </w:rPr>
      </w:pPr>
      <w:bookmarkStart w:id="7" w:name="_Toc28962513"/>
      <w:r w:rsidRPr="00433C02">
        <w:rPr>
          <w:rFonts w:ascii="Times New Roman" w:hAnsi="Times New Roman"/>
        </w:rPr>
        <w:t xml:space="preserve">Assignment of Error No. 1:  </w:t>
      </w:r>
      <w:r w:rsidRPr="00433C02">
        <w:rPr>
          <w:rFonts w:ascii="Times New Roman" w:hAnsi="Times New Roman"/>
        </w:rPr>
        <w:t>The PUCO’s approval of collecting tree trimming expenses from customers without considering whether electric service to those customers was reliable, adequate, and in all respects just and reasonable during 2016 was unlawful under R.C. 4905.22 and 4928.02(A).</w:t>
      </w:r>
      <w:bookmarkEnd w:id="7"/>
      <w:r w:rsidRPr="00433C02">
        <w:rPr>
          <w:rFonts w:ascii="Times New Roman" w:hAnsi="Times New Roman"/>
        </w:rPr>
        <w:t xml:space="preserve"> </w:t>
      </w:r>
    </w:p>
    <w:p w:rsidR="00817C29" w:rsidRPr="00817C29" w:rsidP="00817C29" w14:paraId="3DD7281A" w14:textId="77777777"/>
    <w:p w:rsidR="00631488" w:rsidRPr="00433C02" w:rsidP="00631488" w14:paraId="45CB0FB2" w14:textId="6264BCA9">
      <w:pPr>
        <w:spacing w:line="480" w:lineRule="auto"/>
        <w:rPr>
          <w:sz w:val="24"/>
          <w:szCs w:val="24"/>
        </w:rPr>
      </w:pPr>
      <w:r w:rsidRPr="00433C02">
        <w:rPr>
          <w:b/>
          <w:bCs/>
          <w:sz w:val="24"/>
          <w:szCs w:val="24"/>
        </w:rPr>
        <w:tab/>
      </w:r>
      <w:r w:rsidRPr="00433C02" w:rsidR="00384D05">
        <w:rPr>
          <w:sz w:val="24"/>
          <w:szCs w:val="24"/>
        </w:rPr>
        <w:t xml:space="preserve">In this case </w:t>
      </w:r>
      <w:r w:rsidRPr="00433C02" w:rsidR="00300E12">
        <w:rPr>
          <w:sz w:val="24"/>
          <w:szCs w:val="24"/>
        </w:rPr>
        <w:t>involving</w:t>
      </w:r>
      <w:r w:rsidRPr="00433C02" w:rsidR="00384D05">
        <w:rPr>
          <w:sz w:val="24"/>
          <w:szCs w:val="24"/>
        </w:rPr>
        <w:t xml:space="preserve"> the prudency review of AEP’s tree-trimming expenses, OCC advocated that AEP’s reliability should be considered as part of the PUCO’s prudency review.</w:t>
      </w:r>
      <w:r>
        <w:rPr>
          <w:rStyle w:val="FootnoteReference"/>
          <w:sz w:val="24"/>
          <w:szCs w:val="24"/>
        </w:rPr>
        <w:footnoteReference w:id="34"/>
      </w:r>
      <w:r w:rsidRPr="00433C02" w:rsidR="00384D05">
        <w:rPr>
          <w:sz w:val="24"/>
          <w:szCs w:val="24"/>
        </w:rPr>
        <w:t xml:space="preserve">  </w:t>
      </w:r>
      <w:r w:rsidRPr="00433C02" w:rsidR="00300E12">
        <w:rPr>
          <w:sz w:val="24"/>
          <w:szCs w:val="24"/>
        </w:rPr>
        <w:t>After all, the whole purpose of AEP’s spending on tree</w:t>
      </w:r>
      <w:r w:rsidRPr="00433C02" w:rsidR="006D4D23">
        <w:rPr>
          <w:sz w:val="24"/>
          <w:szCs w:val="24"/>
        </w:rPr>
        <w:t xml:space="preserve"> </w:t>
      </w:r>
      <w:r w:rsidRPr="00433C02" w:rsidR="00300E12">
        <w:rPr>
          <w:sz w:val="24"/>
          <w:szCs w:val="24"/>
        </w:rPr>
        <w:t xml:space="preserve">trimming is to </w:t>
      </w:r>
      <w:r w:rsidRPr="00433C02" w:rsidR="002C3B3B">
        <w:rPr>
          <w:sz w:val="24"/>
          <w:szCs w:val="24"/>
        </w:rPr>
        <w:t xml:space="preserve">enhance </w:t>
      </w:r>
      <w:r w:rsidRPr="00433C02" w:rsidR="00300E12">
        <w:rPr>
          <w:sz w:val="24"/>
          <w:szCs w:val="24"/>
        </w:rPr>
        <w:t>reliability.</w:t>
      </w:r>
      <w:r>
        <w:rPr>
          <w:rStyle w:val="FootnoteReference"/>
          <w:sz w:val="24"/>
          <w:szCs w:val="24"/>
        </w:rPr>
        <w:footnoteReference w:id="35"/>
      </w:r>
      <w:r w:rsidRPr="00433C02" w:rsidR="00300E12">
        <w:rPr>
          <w:sz w:val="24"/>
          <w:szCs w:val="24"/>
        </w:rPr>
        <w:t xml:space="preserve">  </w:t>
      </w:r>
      <w:r w:rsidRPr="00433C02" w:rsidR="00CA0E95">
        <w:rPr>
          <w:sz w:val="24"/>
          <w:szCs w:val="24"/>
        </w:rPr>
        <w:t xml:space="preserve">And in fact </w:t>
      </w:r>
      <w:r w:rsidRPr="00433C02" w:rsidR="00FC6D7A">
        <w:rPr>
          <w:sz w:val="24"/>
          <w:szCs w:val="24"/>
        </w:rPr>
        <w:t xml:space="preserve">AEP </w:t>
      </w:r>
      <w:r w:rsidRPr="00433C02" w:rsidR="00CA0E95">
        <w:rPr>
          <w:sz w:val="24"/>
          <w:szCs w:val="24"/>
        </w:rPr>
        <w:t xml:space="preserve">has </w:t>
      </w:r>
      <w:r w:rsidRPr="00433C02" w:rsidR="00FC6D7A">
        <w:rPr>
          <w:i/>
          <w:sz w:val="24"/>
          <w:szCs w:val="24"/>
        </w:rPr>
        <w:t>failed to meet the reliability standards</w:t>
      </w:r>
      <w:r w:rsidRPr="00433C02" w:rsidR="00FC6D7A">
        <w:rPr>
          <w:sz w:val="24"/>
          <w:szCs w:val="24"/>
        </w:rPr>
        <w:t xml:space="preserve"> set forth in the </w:t>
      </w:r>
      <w:r w:rsidRPr="00433C02">
        <w:rPr>
          <w:sz w:val="24"/>
          <w:szCs w:val="24"/>
        </w:rPr>
        <w:t>PUCO’s rules: Ohio Adm. Code 4901:1-10-10.</w:t>
      </w:r>
      <w:r>
        <w:rPr>
          <w:rStyle w:val="FootnoteReference"/>
          <w:sz w:val="24"/>
          <w:szCs w:val="24"/>
        </w:rPr>
        <w:footnoteReference w:id="36"/>
      </w:r>
      <w:r w:rsidRPr="00433C02">
        <w:rPr>
          <w:sz w:val="24"/>
          <w:szCs w:val="24"/>
        </w:rPr>
        <w:t xml:space="preserve"> </w:t>
      </w:r>
      <w:r w:rsidRPr="00433C02">
        <w:rPr>
          <w:sz w:val="24"/>
          <w:szCs w:val="24"/>
        </w:rPr>
        <w:t xml:space="preserve"> </w:t>
      </w:r>
      <w:r w:rsidRPr="00433C02" w:rsidR="00384D05">
        <w:rPr>
          <w:sz w:val="24"/>
          <w:szCs w:val="24"/>
        </w:rPr>
        <w:t xml:space="preserve">In response, the PUCO said that AEP’s reliability is </w:t>
      </w:r>
      <w:r w:rsidRPr="00433C02">
        <w:rPr>
          <w:sz w:val="24"/>
          <w:szCs w:val="24"/>
        </w:rPr>
        <w:t>“more appropriately raised in other proceedings</w:t>
      </w:r>
      <w:r w:rsidRPr="00433C02" w:rsidR="00FC6D7A">
        <w:rPr>
          <w:sz w:val="24"/>
          <w:szCs w:val="24"/>
        </w:rPr>
        <w:t>,</w:t>
      </w:r>
      <w:r w:rsidRPr="00433C02">
        <w:rPr>
          <w:sz w:val="24"/>
          <w:szCs w:val="24"/>
        </w:rPr>
        <w:t>”</w:t>
      </w:r>
      <w:r>
        <w:rPr>
          <w:rStyle w:val="FootnoteReference"/>
          <w:sz w:val="24"/>
          <w:szCs w:val="24"/>
        </w:rPr>
        <w:footnoteReference w:id="37"/>
      </w:r>
      <w:r w:rsidRPr="00433C02">
        <w:rPr>
          <w:sz w:val="24"/>
          <w:szCs w:val="24"/>
        </w:rPr>
        <w:t xml:space="preserve"> </w:t>
      </w:r>
      <w:r w:rsidRPr="00433C02" w:rsidR="00FC6D7A">
        <w:rPr>
          <w:sz w:val="24"/>
          <w:szCs w:val="24"/>
        </w:rPr>
        <w:t xml:space="preserve"> but failed to identify what other proceedings are appropriate to pursue the reliability issues.</w:t>
      </w:r>
      <w:r w:rsidRPr="00433C02">
        <w:rPr>
          <w:sz w:val="24"/>
          <w:szCs w:val="24"/>
        </w:rPr>
        <w:t xml:space="preserve"> The PUCO should revisit this conclusion.</w:t>
      </w:r>
    </w:p>
    <w:p w:rsidR="00CA0E95" w:rsidRPr="00433C02" w:rsidP="00CA0E95" w14:paraId="63A25FA4" w14:textId="77777777">
      <w:pPr>
        <w:spacing w:line="480" w:lineRule="auto"/>
        <w:ind w:firstLine="720"/>
        <w:rPr>
          <w:sz w:val="24"/>
          <w:szCs w:val="24"/>
        </w:rPr>
      </w:pPr>
      <w:r w:rsidRPr="00433C02">
        <w:rPr>
          <w:sz w:val="24"/>
          <w:szCs w:val="24"/>
        </w:rPr>
        <w:t>Under R.C. 4905.22, AEP must provide necessary and adequate service.  Under 4928.02(A), AEP must provide adequate, reliable, safe, efficient, nondiscriminatory, and reasonably priced retail electric service.  The PUCO’s failure to consider AEP’s reliability performance as part of its prudency review of AEP’s tree-trimming costs results in AEP’s customers paying for inadequate, unreliable, and unsafe service.  Notwithstanding the hundreds of millions of dollars spent on tree trimming meant to increase reliability,</w:t>
      </w:r>
      <w:r>
        <w:rPr>
          <w:rStyle w:val="FootnoteReference"/>
          <w:sz w:val="24"/>
          <w:szCs w:val="24"/>
        </w:rPr>
        <w:footnoteReference w:id="38"/>
      </w:r>
      <w:r w:rsidRPr="00433C02">
        <w:rPr>
          <w:sz w:val="24"/>
          <w:szCs w:val="24"/>
        </w:rPr>
        <w:t xml:space="preserve"> AEP has failed to meet its reliability performance standards.</w:t>
      </w:r>
      <w:r>
        <w:rPr>
          <w:rStyle w:val="FootnoteReference"/>
          <w:sz w:val="24"/>
          <w:szCs w:val="24"/>
        </w:rPr>
        <w:footnoteReference w:id="39"/>
      </w:r>
      <w:r w:rsidRPr="00433C02">
        <w:rPr>
          <w:sz w:val="24"/>
          <w:szCs w:val="24"/>
        </w:rPr>
        <w:t xml:space="preserve"> Yet AEP’s customers are continuing to foot the ever-increasing bill of AEP’s ineffective and imprudent tree-trimming spending. </w:t>
      </w:r>
    </w:p>
    <w:p w:rsidR="005F3F17" w:rsidRPr="00433C02" w:rsidP="00631488" w14:paraId="58A10BCF" w14:textId="347E1AD0">
      <w:pPr>
        <w:spacing w:line="480" w:lineRule="auto"/>
        <w:ind w:firstLine="720"/>
        <w:rPr>
          <w:sz w:val="24"/>
          <w:szCs w:val="24"/>
        </w:rPr>
      </w:pPr>
      <w:r w:rsidRPr="00433C02">
        <w:rPr>
          <w:sz w:val="24"/>
          <w:szCs w:val="24"/>
        </w:rPr>
        <w:t xml:space="preserve">Further, </w:t>
      </w:r>
      <w:r w:rsidRPr="00433C02" w:rsidR="00FC6D7A">
        <w:rPr>
          <w:sz w:val="24"/>
          <w:szCs w:val="24"/>
        </w:rPr>
        <w:t>AEP sold its tree trimming program on its claim that continuing the tree trimming charge would reduce tree related outages and service interruptions.</w:t>
      </w:r>
      <w:r>
        <w:rPr>
          <w:rStyle w:val="FootnoteReference"/>
          <w:sz w:val="24"/>
          <w:szCs w:val="24"/>
        </w:rPr>
        <w:footnoteReference w:id="40"/>
      </w:r>
      <w:r w:rsidRPr="00433C02">
        <w:rPr>
          <w:sz w:val="24"/>
          <w:szCs w:val="24"/>
        </w:rPr>
        <w:t xml:space="preserve"> </w:t>
      </w:r>
      <w:r w:rsidRPr="00433C02">
        <w:rPr>
          <w:sz w:val="24"/>
          <w:szCs w:val="24"/>
        </w:rPr>
        <w:t>T</w:t>
      </w:r>
      <w:r w:rsidRPr="00433C02">
        <w:rPr>
          <w:sz w:val="24"/>
          <w:szCs w:val="24"/>
        </w:rPr>
        <w:t xml:space="preserve">he prudency of AEP’s expenditures </w:t>
      </w:r>
      <w:r w:rsidRPr="00433C02" w:rsidR="00C72299">
        <w:rPr>
          <w:sz w:val="24"/>
          <w:szCs w:val="24"/>
        </w:rPr>
        <w:t>should be</w:t>
      </w:r>
      <w:r w:rsidRPr="00433C02">
        <w:rPr>
          <w:sz w:val="24"/>
          <w:szCs w:val="24"/>
        </w:rPr>
        <w:t xml:space="preserve"> inherently linked to AEP’s reliability performance.  If (as is the case here) AEP’s tree-trimming expenditures are not achieving the purpose for which they were authorized (reliability) they cannot be prudent.  It was unreasonable for the PUCO to not even consider AEP’s reliability when performing its prudency review</w:t>
      </w:r>
      <w:r w:rsidRPr="00433C02" w:rsidR="003B4A41">
        <w:rPr>
          <w:sz w:val="24"/>
          <w:szCs w:val="24"/>
        </w:rPr>
        <w:t>.</w:t>
      </w:r>
    </w:p>
    <w:p w:rsidR="00823DC2" w:rsidRPr="00433C02" w:rsidP="00827F25" w14:paraId="7D9612F4" w14:textId="625997E8">
      <w:pPr>
        <w:spacing w:line="480" w:lineRule="auto"/>
        <w:ind w:firstLine="720"/>
        <w:rPr>
          <w:sz w:val="24"/>
          <w:szCs w:val="24"/>
        </w:rPr>
      </w:pPr>
      <w:r w:rsidRPr="00433C02">
        <w:rPr>
          <w:sz w:val="24"/>
          <w:szCs w:val="24"/>
        </w:rPr>
        <w:t>The PUCO should grant rehearing on OCC’s assignment of error</w:t>
      </w:r>
      <w:r w:rsidRPr="00433C02" w:rsidR="003B4A41">
        <w:rPr>
          <w:sz w:val="24"/>
          <w:szCs w:val="24"/>
        </w:rPr>
        <w:t xml:space="preserve"> number one</w:t>
      </w:r>
      <w:r w:rsidRPr="00433C02">
        <w:rPr>
          <w:sz w:val="24"/>
          <w:szCs w:val="24"/>
        </w:rPr>
        <w:t>.  The PUCO should consider AEP’s reliability (or lack thereof) when evaluating the prudency of AEP’s tree trimming expenses.  Further, the PUCO should require that AEP show that its tree trimming spending actually increases reliability before approving any charges under the tree trimming rider. Because AEP did not do so here (and, based on the facts, cannot do so here), the PUCO should not permit AEP to charge consumers any money under the tree trimming rider</w:t>
      </w:r>
      <w:r w:rsidRPr="00433C02" w:rsidR="002C3B3B">
        <w:rPr>
          <w:sz w:val="24"/>
          <w:szCs w:val="24"/>
        </w:rPr>
        <w:t xml:space="preserve"> until such analysis is performed</w:t>
      </w:r>
      <w:r w:rsidRPr="00433C02" w:rsidR="003B4A41">
        <w:rPr>
          <w:sz w:val="24"/>
          <w:szCs w:val="24"/>
        </w:rPr>
        <w:t>.</w:t>
      </w:r>
      <w:r w:rsidRPr="00433C02">
        <w:rPr>
          <w:sz w:val="24"/>
          <w:szCs w:val="24"/>
        </w:rPr>
        <w:t xml:space="preserve"> </w:t>
      </w:r>
    </w:p>
    <w:p w:rsidR="00607EAC" w:rsidRPr="00433C02" w:rsidP="00B628B8" w14:paraId="39D21ED0" w14:textId="15154296">
      <w:pPr>
        <w:pStyle w:val="Heading3"/>
        <w:rPr>
          <w:rFonts w:ascii="Times New Roman" w:hAnsi="Times New Roman"/>
        </w:rPr>
      </w:pPr>
      <w:bookmarkStart w:id="8" w:name="_Toc28962514"/>
      <w:r w:rsidRPr="00433C02">
        <w:rPr>
          <w:rFonts w:ascii="Times New Roman" w:hAnsi="Times New Roman"/>
        </w:rPr>
        <w:t>Assignment of Error No. 2:  The PUCO’s holding requiring OCC’s claims about inadequate and unreliable service to be raised in other proceedings was unreasonable and inconsistent with prior PUCO orders requiring AEP to show that expenses collected from customers under the tree trimming rider were prudently incurred.</w:t>
      </w:r>
      <w:bookmarkEnd w:id="8"/>
    </w:p>
    <w:p w:rsidR="0067106F" w:rsidRPr="00433C02" w:rsidP="00BA531A" w14:paraId="53D8F1EE" w14:textId="5FFD914D">
      <w:pPr>
        <w:spacing w:line="480" w:lineRule="auto"/>
        <w:rPr>
          <w:bCs/>
          <w:sz w:val="24"/>
          <w:szCs w:val="24"/>
        </w:rPr>
      </w:pPr>
      <w:r w:rsidRPr="00433C02">
        <w:rPr>
          <w:b/>
          <w:bCs/>
          <w:sz w:val="24"/>
          <w:szCs w:val="24"/>
        </w:rPr>
        <w:tab/>
      </w:r>
      <w:r w:rsidRPr="00433C02" w:rsidR="003B4A41">
        <w:rPr>
          <w:bCs/>
          <w:sz w:val="24"/>
          <w:szCs w:val="24"/>
        </w:rPr>
        <w:t xml:space="preserve">In declining to consider AEP’s reliability in this case involving a prudency review of AEP’s tree trimming spending, </w:t>
      </w:r>
      <w:r w:rsidRPr="00433C02" w:rsidR="003B4A41">
        <w:rPr>
          <w:sz w:val="24"/>
          <w:szCs w:val="24"/>
        </w:rPr>
        <w:t>the PUCO said that AEP’s reliability is more appropriately addressed in “other proceedings.”</w:t>
      </w:r>
      <w:r>
        <w:rPr>
          <w:rStyle w:val="FootnoteReference"/>
          <w:sz w:val="24"/>
          <w:szCs w:val="24"/>
        </w:rPr>
        <w:footnoteReference w:id="41"/>
      </w:r>
      <w:r w:rsidRPr="00433C02" w:rsidR="003B4A41">
        <w:rPr>
          <w:sz w:val="24"/>
          <w:szCs w:val="24"/>
        </w:rPr>
        <w:t xml:space="preserve"> The PUCO does not </w:t>
      </w:r>
      <w:r w:rsidRPr="00433C02" w:rsidR="002C3B3B">
        <w:rPr>
          <w:sz w:val="24"/>
          <w:szCs w:val="24"/>
        </w:rPr>
        <w:t>identify</w:t>
      </w:r>
      <w:r w:rsidRPr="00433C02" w:rsidR="003B4A41">
        <w:rPr>
          <w:sz w:val="24"/>
          <w:szCs w:val="24"/>
        </w:rPr>
        <w:t xml:space="preserve"> </w:t>
      </w:r>
      <w:r w:rsidRPr="00433C02" w:rsidR="002C3B3B">
        <w:rPr>
          <w:sz w:val="24"/>
          <w:szCs w:val="24"/>
        </w:rPr>
        <w:t xml:space="preserve">the other </w:t>
      </w:r>
      <w:r w:rsidRPr="00433C02" w:rsidR="003B4A41">
        <w:rPr>
          <w:sz w:val="24"/>
          <w:szCs w:val="24"/>
        </w:rPr>
        <w:t xml:space="preserve">proceedings.  And it is unclear that any of these unmentioned opportunities for OCC to raise reliability concerns would allow for a remedy that is available now, in this forum.   </w:t>
      </w:r>
      <w:r w:rsidRPr="00433C02">
        <w:rPr>
          <w:bCs/>
          <w:sz w:val="24"/>
          <w:szCs w:val="24"/>
        </w:rPr>
        <w:t xml:space="preserve">As explained above, the PUCO has approved AEP’s tree trimming charge on three occasions based on promises that the charge would </w:t>
      </w:r>
      <w:r w:rsidRPr="00433C02" w:rsidR="002C3B3B">
        <w:rPr>
          <w:bCs/>
          <w:sz w:val="24"/>
          <w:szCs w:val="24"/>
        </w:rPr>
        <w:t>enhance</w:t>
      </w:r>
      <w:r w:rsidRPr="00433C02">
        <w:rPr>
          <w:bCs/>
          <w:sz w:val="24"/>
          <w:szCs w:val="24"/>
        </w:rPr>
        <w:t xml:space="preserve"> AEP’s reliability.</w:t>
      </w:r>
      <w:r w:rsidRPr="00433C02">
        <w:rPr>
          <w:rStyle w:val="FootnoteReference"/>
          <w:bCs/>
          <w:sz w:val="24"/>
          <w:szCs w:val="24"/>
        </w:rPr>
        <w:t xml:space="preserve"> </w:t>
      </w:r>
      <w:r>
        <w:rPr>
          <w:rStyle w:val="FootnoteReference"/>
          <w:bCs/>
          <w:sz w:val="24"/>
          <w:szCs w:val="24"/>
        </w:rPr>
        <w:footnoteReference w:id="42"/>
      </w:r>
      <w:r w:rsidRPr="00433C02">
        <w:rPr>
          <w:bCs/>
          <w:sz w:val="24"/>
          <w:szCs w:val="24"/>
        </w:rPr>
        <w:t xml:space="preserve">  </w:t>
      </w:r>
      <w:r w:rsidRPr="00433C02">
        <w:rPr>
          <w:bCs/>
          <w:sz w:val="24"/>
          <w:szCs w:val="24"/>
        </w:rPr>
        <w:t>On each occasion, the PUCO has said that AEP’s tree trimming expenses would be subject to an annual prudency review.</w:t>
      </w:r>
      <w:r>
        <w:rPr>
          <w:rStyle w:val="FootnoteReference"/>
          <w:bCs/>
          <w:sz w:val="24"/>
          <w:szCs w:val="24"/>
        </w:rPr>
        <w:footnoteReference w:id="43"/>
      </w:r>
      <w:r w:rsidRPr="00433C02" w:rsidR="003B4A41">
        <w:rPr>
          <w:bCs/>
          <w:sz w:val="24"/>
          <w:szCs w:val="24"/>
        </w:rPr>
        <w:t xml:space="preserve">  This case is that annual prudency review.  AEP’s reliability should be considered here when determining if AEP can charge consumers under the tree trimming rider.</w:t>
      </w:r>
      <w:r w:rsidRPr="00433C02">
        <w:rPr>
          <w:bCs/>
          <w:sz w:val="24"/>
          <w:szCs w:val="24"/>
        </w:rPr>
        <w:t xml:space="preserve">  </w:t>
      </w:r>
    </w:p>
    <w:p w:rsidR="00823DC2" w:rsidRPr="00433C02" w:rsidP="002307EF" w14:paraId="4E52507F" w14:textId="52EF0C75">
      <w:pPr>
        <w:spacing w:line="480" w:lineRule="auto"/>
        <w:ind w:firstLine="720"/>
        <w:rPr>
          <w:bCs/>
          <w:sz w:val="24"/>
          <w:szCs w:val="24"/>
        </w:rPr>
      </w:pPr>
      <w:r w:rsidRPr="00433C02">
        <w:rPr>
          <w:bCs/>
          <w:sz w:val="24"/>
          <w:szCs w:val="24"/>
        </w:rPr>
        <w:t>AEP’s reliability has not increased</w:t>
      </w:r>
      <w:r w:rsidRPr="00433C02" w:rsidR="002307EF">
        <w:rPr>
          <w:bCs/>
          <w:sz w:val="24"/>
          <w:szCs w:val="24"/>
        </w:rPr>
        <w:t xml:space="preserve">, despite </w:t>
      </w:r>
      <w:r w:rsidRPr="00433C02" w:rsidR="002C3B3B">
        <w:rPr>
          <w:bCs/>
          <w:sz w:val="24"/>
          <w:szCs w:val="24"/>
        </w:rPr>
        <w:t>collecting</w:t>
      </w:r>
      <w:r w:rsidRPr="00433C02" w:rsidR="002307EF">
        <w:rPr>
          <w:bCs/>
          <w:sz w:val="24"/>
          <w:szCs w:val="24"/>
        </w:rPr>
        <w:t xml:space="preserve"> </w:t>
      </w:r>
      <w:r w:rsidRPr="00433C02" w:rsidR="002C3B3B">
        <w:rPr>
          <w:bCs/>
          <w:sz w:val="24"/>
          <w:szCs w:val="24"/>
        </w:rPr>
        <w:t xml:space="preserve">hundreds of millions of dollars from consumers </w:t>
      </w:r>
      <w:r w:rsidRPr="00433C02" w:rsidR="00B26D05">
        <w:rPr>
          <w:bCs/>
          <w:sz w:val="24"/>
          <w:szCs w:val="24"/>
        </w:rPr>
        <w:t xml:space="preserve">for tree trimming, including </w:t>
      </w:r>
      <w:r w:rsidRPr="00433C02" w:rsidR="002307EF">
        <w:rPr>
          <w:bCs/>
          <w:sz w:val="24"/>
          <w:szCs w:val="24"/>
        </w:rPr>
        <w:t>under the tree trimming rider</w:t>
      </w:r>
      <w:r w:rsidRPr="00433C02">
        <w:rPr>
          <w:bCs/>
          <w:sz w:val="24"/>
          <w:szCs w:val="24"/>
        </w:rPr>
        <w:t>.</w:t>
      </w:r>
      <w:r>
        <w:rPr>
          <w:rStyle w:val="FootnoteReference"/>
          <w:bCs/>
          <w:sz w:val="24"/>
          <w:szCs w:val="24"/>
        </w:rPr>
        <w:footnoteReference w:id="44"/>
      </w:r>
      <w:r w:rsidRPr="00433C02">
        <w:rPr>
          <w:bCs/>
          <w:sz w:val="24"/>
          <w:szCs w:val="24"/>
        </w:rPr>
        <w:t xml:space="preserve">  And although the PUCO has performed a “prudency review”</w:t>
      </w:r>
      <w:r w:rsidRPr="00433C02" w:rsidR="002307EF">
        <w:rPr>
          <w:bCs/>
          <w:sz w:val="24"/>
          <w:szCs w:val="24"/>
        </w:rPr>
        <w:t xml:space="preserve"> in this case,</w:t>
      </w:r>
      <w:r w:rsidRPr="00433C02">
        <w:rPr>
          <w:bCs/>
          <w:sz w:val="24"/>
          <w:szCs w:val="24"/>
        </w:rPr>
        <w:t xml:space="preserve"> it has been little more than perfunctory.  That is because the PUCO has not considered </w:t>
      </w:r>
      <w:r w:rsidRPr="00433C02" w:rsidR="002307EF">
        <w:rPr>
          <w:bCs/>
          <w:sz w:val="24"/>
          <w:szCs w:val="24"/>
        </w:rPr>
        <w:t xml:space="preserve">AEP’s reliability when performing its prudency review.  The PUCO’s failure to consider AEP’s reliability is unreasonable and inconsistent with its prior orders.  In them, the PUCO on three occasions said that </w:t>
      </w:r>
      <w:r w:rsidRPr="00433C02" w:rsidR="002307EF">
        <w:rPr>
          <w:bCs/>
          <w:i/>
          <w:sz w:val="24"/>
          <w:szCs w:val="24"/>
        </w:rPr>
        <w:t>only</w:t>
      </w:r>
      <w:r w:rsidRPr="00433C02" w:rsidR="002307EF">
        <w:rPr>
          <w:bCs/>
          <w:sz w:val="24"/>
          <w:szCs w:val="24"/>
        </w:rPr>
        <w:t xml:space="preserve"> AEP’s prudently incurred costs could be charged under the tree trimming rider.</w:t>
      </w:r>
      <w:r>
        <w:rPr>
          <w:rStyle w:val="FootnoteReference"/>
          <w:bCs/>
          <w:sz w:val="24"/>
          <w:szCs w:val="24"/>
        </w:rPr>
        <w:footnoteReference w:id="45"/>
      </w:r>
      <w:r w:rsidRPr="00433C02" w:rsidR="002307EF">
        <w:rPr>
          <w:bCs/>
          <w:sz w:val="24"/>
          <w:szCs w:val="24"/>
        </w:rPr>
        <w:t xml:space="preserve">  AEP’s tree trimming expenses that it seeks to charge consumers here </w:t>
      </w:r>
      <w:r w:rsidRPr="00433C02" w:rsidR="003B4A41">
        <w:rPr>
          <w:bCs/>
          <w:sz w:val="24"/>
          <w:szCs w:val="24"/>
        </w:rPr>
        <w:t>could not</w:t>
      </w:r>
      <w:r w:rsidRPr="00433C02" w:rsidR="002307EF">
        <w:rPr>
          <w:bCs/>
          <w:sz w:val="24"/>
          <w:szCs w:val="24"/>
        </w:rPr>
        <w:t xml:space="preserve"> conceivably </w:t>
      </w:r>
      <w:r w:rsidRPr="00433C02" w:rsidR="003B4A41">
        <w:rPr>
          <w:bCs/>
          <w:sz w:val="24"/>
          <w:szCs w:val="24"/>
        </w:rPr>
        <w:t>have been</w:t>
      </w:r>
      <w:r w:rsidRPr="00433C02" w:rsidR="002307EF">
        <w:rPr>
          <w:bCs/>
          <w:sz w:val="24"/>
          <w:szCs w:val="24"/>
        </w:rPr>
        <w:t xml:space="preserve"> prudently incurred when they fail</w:t>
      </w:r>
      <w:r w:rsidRPr="00433C02" w:rsidR="003B4A41">
        <w:rPr>
          <w:bCs/>
          <w:sz w:val="24"/>
          <w:szCs w:val="24"/>
        </w:rPr>
        <w:t>ed</w:t>
      </w:r>
      <w:r w:rsidRPr="00433C02" w:rsidR="002307EF">
        <w:rPr>
          <w:bCs/>
          <w:sz w:val="24"/>
          <w:szCs w:val="24"/>
        </w:rPr>
        <w:t xml:space="preserve"> of their own purpose – to </w:t>
      </w:r>
      <w:r w:rsidRPr="00433C02" w:rsidR="002C3B3B">
        <w:rPr>
          <w:bCs/>
          <w:sz w:val="24"/>
          <w:szCs w:val="24"/>
        </w:rPr>
        <w:t>enhance</w:t>
      </w:r>
      <w:r w:rsidRPr="00433C02" w:rsidR="002307EF">
        <w:rPr>
          <w:bCs/>
          <w:sz w:val="24"/>
          <w:szCs w:val="24"/>
        </w:rPr>
        <w:t xml:space="preserve"> reliability.  But unfortunately for consumers, the PUCO approved the charges anyway, contrary to its own previous orders.</w:t>
      </w:r>
    </w:p>
    <w:p w:rsidR="00817C29" w:rsidP="002307EF" w14:paraId="64E4AFF1" w14:textId="77777777">
      <w:pPr>
        <w:spacing w:line="480" w:lineRule="auto"/>
        <w:ind w:firstLine="720"/>
        <w:rPr>
          <w:sz w:val="24"/>
          <w:szCs w:val="24"/>
        </w:rPr>
        <w:sectPr w:rsidSect="00B628B8">
          <w:headerReference w:type="default" r:id="rId16"/>
          <w:pgSz w:w="12240" w:h="15840"/>
          <w:pgMar w:top="1440" w:right="1800" w:bottom="1440" w:left="1800" w:header="0" w:footer="720" w:gutter="0"/>
          <w:cols w:space="720"/>
          <w:docGrid w:linePitch="299"/>
        </w:sectPr>
      </w:pPr>
    </w:p>
    <w:p w:rsidR="003B4A41" w:rsidRPr="00433C02" w:rsidP="002307EF" w14:paraId="18C6F94B" w14:textId="7F029AD8">
      <w:pPr>
        <w:spacing w:line="480" w:lineRule="auto"/>
        <w:ind w:firstLine="720"/>
        <w:rPr>
          <w:sz w:val="24"/>
          <w:szCs w:val="24"/>
        </w:rPr>
      </w:pPr>
      <w:r w:rsidRPr="00433C02">
        <w:rPr>
          <w:sz w:val="24"/>
          <w:szCs w:val="24"/>
        </w:rPr>
        <w:t>The PUCO should grant rehearing on OCC’s assignment of error number two.  The PUCO should consider AEP’s reliability (or lack thereof) when evaluating the prudency of AEP’s tree trimming expenses.  Further, the PUCO should require that AEP show that its tree trimming spending actually increases reliability before approving any charges under the tree trimming rider. Because AEP did not do so here (and, based on the facts, cannot do so here), the PUCO should not permit AEP to charge consumers any money under the tree trimming rider</w:t>
      </w:r>
      <w:r w:rsidRPr="00433C02" w:rsidR="002C3B3B">
        <w:rPr>
          <w:sz w:val="24"/>
          <w:szCs w:val="24"/>
        </w:rPr>
        <w:t xml:space="preserve"> until such analysis is performed</w:t>
      </w:r>
      <w:r w:rsidR="0088112F">
        <w:rPr>
          <w:sz w:val="24"/>
          <w:szCs w:val="24"/>
        </w:rPr>
        <w:t>.</w:t>
      </w:r>
    </w:p>
    <w:p w:rsidR="00030E16" w:rsidRPr="00433C02" w:rsidP="00030E16" w14:paraId="77E04E7F" w14:textId="77777777">
      <w:pPr>
        <w:ind w:firstLine="720"/>
        <w:rPr>
          <w:sz w:val="24"/>
          <w:szCs w:val="24"/>
        </w:rPr>
      </w:pPr>
    </w:p>
    <w:p w:rsidR="002307EF" w:rsidRPr="00433C02" w:rsidP="00817C29" w14:paraId="59CB321F" w14:textId="5644DE97">
      <w:pPr>
        <w:pStyle w:val="Heading1"/>
        <w:spacing w:after="0"/>
        <w:rPr>
          <w:rFonts w:ascii="Times New Roman" w:hAnsi="Times New Roman"/>
        </w:rPr>
      </w:pPr>
      <w:bookmarkStart w:id="9" w:name="_Toc28962515"/>
      <w:r w:rsidRPr="00433C02">
        <w:rPr>
          <w:rFonts w:ascii="Times New Roman" w:hAnsi="Times New Roman"/>
        </w:rPr>
        <w:t>V.</w:t>
      </w:r>
      <w:r w:rsidRPr="00433C02">
        <w:rPr>
          <w:rFonts w:ascii="Times New Roman" w:hAnsi="Times New Roman"/>
        </w:rPr>
        <w:tab/>
        <w:t>CONCLUSION</w:t>
      </w:r>
      <w:bookmarkEnd w:id="9"/>
    </w:p>
    <w:p w:rsidR="007A7EDB" w:rsidRPr="00433C02" w:rsidP="00817C29" w14:paraId="4E94E1EB" w14:textId="71140E30">
      <w:pPr>
        <w:spacing w:line="480" w:lineRule="auto"/>
        <w:ind w:firstLine="720"/>
        <w:rPr>
          <w:sz w:val="24"/>
          <w:szCs w:val="24"/>
        </w:rPr>
      </w:pPr>
      <w:r w:rsidRPr="00433C02">
        <w:rPr>
          <w:sz w:val="24"/>
          <w:szCs w:val="24"/>
        </w:rPr>
        <w:t>AEP’s spending on tree</w:t>
      </w:r>
      <w:r w:rsidRPr="00433C02" w:rsidR="006D4D23">
        <w:rPr>
          <w:sz w:val="24"/>
          <w:szCs w:val="24"/>
        </w:rPr>
        <w:t xml:space="preserve"> </w:t>
      </w:r>
      <w:r w:rsidRPr="00433C02">
        <w:rPr>
          <w:sz w:val="24"/>
          <w:szCs w:val="24"/>
        </w:rPr>
        <w:t>trimming has continued to increase while reliability has continued to decrease. Spending that results in worse reliability is imprudent and the PUCO should not permit such spending to continue, especially when customers must pay for it. Because the PUCO did not consider AEP’s reliability performance as part of its prudency review, its Opinion and Order is unreasonable and unlawful. Accordingly, the PUCO should grant rehearing on OCC’s assignment</w:t>
      </w:r>
      <w:r w:rsidRPr="00433C02" w:rsidR="00A70FBC">
        <w:rPr>
          <w:sz w:val="24"/>
          <w:szCs w:val="24"/>
        </w:rPr>
        <w:t>s</w:t>
      </w:r>
      <w:r w:rsidRPr="00433C02">
        <w:rPr>
          <w:sz w:val="24"/>
          <w:szCs w:val="24"/>
        </w:rPr>
        <w:t xml:space="preserve"> of error.  On rehearing, the PUCO should consider the prudency of AEP’s tree-trimming spending.</w:t>
      </w:r>
      <w:r w:rsidRPr="00433C02" w:rsidR="00A70FBC">
        <w:rPr>
          <w:sz w:val="24"/>
          <w:szCs w:val="24"/>
        </w:rPr>
        <w:t xml:space="preserve"> The PUCO should decide in this case (and in all future prudency review cases involving AEP’s tree trimming charge) that AEP must show that its tree trimming spending actually</w:t>
      </w:r>
      <w:r w:rsidRPr="00433C02" w:rsidR="00B628B8">
        <w:rPr>
          <w:sz w:val="24"/>
          <w:szCs w:val="24"/>
        </w:rPr>
        <w:t xml:space="preserve"> </w:t>
      </w:r>
      <w:r w:rsidRPr="00433C02" w:rsidR="00A70FBC">
        <w:rPr>
          <w:sz w:val="24"/>
          <w:szCs w:val="24"/>
        </w:rPr>
        <w:t>increased reliability before approving any charges under the tree trimming rider. Because AEP did not do so here (and, based on the facts, cannot do so here), the PUCO should not permit AEP to charge consumers any money spent in 2016 under the tree trimming rider</w:t>
      </w:r>
      <w:r w:rsidRPr="00433C02" w:rsidR="002C3B3B">
        <w:rPr>
          <w:sz w:val="24"/>
          <w:szCs w:val="24"/>
        </w:rPr>
        <w:t xml:space="preserve"> until such analysis is performed</w:t>
      </w:r>
      <w:r w:rsidRPr="00433C02" w:rsidR="00B628B8">
        <w:rPr>
          <w:sz w:val="24"/>
          <w:szCs w:val="24"/>
        </w:rPr>
        <w:t>.</w:t>
      </w:r>
    </w:p>
    <w:p w:rsidR="00817C29" w:rsidP="007A7EDB" w14:paraId="309793BD" w14:textId="77777777">
      <w:pPr>
        <w:spacing w:line="480" w:lineRule="auto"/>
        <w:ind w:left="3600" w:firstLine="720"/>
        <w:rPr>
          <w:sz w:val="24"/>
          <w:szCs w:val="24"/>
        </w:rPr>
        <w:sectPr w:rsidSect="00B628B8">
          <w:pgSz w:w="12240" w:h="15840"/>
          <w:pgMar w:top="1440" w:right="1800" w:bottom="1440" w:left="1800" w:header="0" w:footer="720" w:gutter="0"/>
          <w:cols w:space="720"/>
          <w:docGrid w:linePitch="299"/>
        </w:sectPr>
      </w:pPr>
    </w:p>
    <w:p w:rsidR="0069553B" w:rsidRPr="00433C02" w:rsidP="007A7EDB" w14:paraId="35BD8F8F" w14:textId="7F6DC125">
      <w:pPr>
        <w:spacing w:line="480" w:lineRule="auto"/>
        <w:ind w:left="3600" w:firstLine="720"/>
        <w:rPr>
          <w:sz w:val="24"/>
          <w:szCs w:val="24"/>
        </w:rPr>
      </w:pPr>
      <w:r w:rsidRPr="00433C02">
        <w:rPr>
          <w:sz w:val="24"/>
          <w:szCs w:val="24"/>
        </w:rPr>
        <w:t>R</w:t>
      </w:r>
      <w:r w:rsidRPr="00433C02" w:rsidR="00030E16">
        <w:rPr>
          <w:sz w:val="24"/>
          <w:szCs w:val="24"/>
        </w:rPr>
        <w:t>espectfully submitted,</w:t>
      </w:r>
    </w:p>
    <w:p w:rsidR="00055FF8" w:rsidRPr="00433C02" w:rsidP="002C3B3B" w14:paraId="57C910F8" w14:textId="64E5E8D2">
      <w:pPr>
        <w:pStyle w:val="BodyText"/>
        <w:ind w:left="4478" w:hanging="158"/>
      </w:pPr>
      <w:r w:rsidRPr="00433C02">
        <w:t xml:space="preserve">Bruce Weston (0016973) </w:t>
      </w:r>
    </w:p>
    <w:p w:rsidR="00055FF8" w:rsidRPr="00433C02" w:rsidP="00055FF8" w14:paraId="579CEA43" w14:textId="77777777">
      <w:pPr>
        <w:pStyle w:val="BodyText"/>
        <w:ind w:left="4478" w:hanging="158"/>
      </w:pPr>
      <w:r w:rsidRPr="00433C02">
        <w:t>Ohio Consumers’ Counsel</w:t>
      </w:r>
    </w:p>
    <w:p w:rsidR="00055FF8" w:rsidRPr="00433C02" w:rsidP="00055FF8" w14:paraId="39D3E2F5" w14:textId="4BA5B6E6">
      <w:pPr>
        <w:pStyle w:val="BodyText"/>
        <w:spacing w:before="11"/>
        <w:ind w:hanging="158"/>
      </w:pPr>
      <w:r w:rsidRPr="00433C02">
        <w:tab/>
      </w:r>
      <w:r w:rsidRPr="00433C02">
        <w:tab/>
      </w:r>
      <w:r w:rsidRPr="00433C02">
        <w:tab/>
      </w:r>
      <w:r w:rsidRPr="00433C02">
        <w:tab/>
      </w:r>
      <w:r w:rsidRPr="00433C02">
        <w:tab/>
      </w:r>
      <w:r w:rsidRPr="00433C02">
        <w:tab/>
      </w:r>
      <w:r w:rsidRPr="00433C02">
        <w:tab/>
      </w:r>
    </w:p>
    <w:p w:rsidR="00030E16" w:rsidRPr="00433C02" w:rsidP="00055FF8" w14:paraId="2F666069" w14:textId="0B511E3C">
      <w:pPr>
        <w:pStyle w:val="BodyText"/>
        <w:spacing w:before="11"/>
        <w:ind w:hanging="158"/>
        <w:rPr>
          <w:i/>
          <w:u w:val="single"/>
        </w:rPr>
      </w:pPr>
      <w:r w:rsidRPr="00433C02">
        <w:tab/>
      </w:r>
      <w:r w:rsidRPr="00433C02">
        <w:tab/>
      </w:r>
      <w:r w:rsidRPr="00433C02">
        <w:tab/>
      </w:r>
      <w:r w:rsidRPr="00433C02">
        <w:tab/>
      </w:r>
      <w:r w:rsidRPr="00433C02">
        <w:tab/>
      </w:r>
      <w:r w:rsidRPr="00433C02">
        <w:tab/>
      </w:r>
      <w:r w:rsidRPr="00433C02">
        <w:tab/>
      </w:r>
      <w:r w:rsidRPr="00433C02">
        <w:rPr>
          <w:i/>
          <w:u w:val="single"/>
        </w:rPr>
        <w:t xml:space="preserve">/s/ </w:t>
      </w:r>
      <w:r w:rsidRPr="00433C02" w:rsidR="00424407">
        <w:rPr>
          <w:i/>
          <w:u w:val="single"/>
        </w:rPr>
        <w:t>Ambrosia E. Logsdon</w:t>
      </w:r>
    </w:p>
    <w:p w:rsidR="00055FF8" w:rsidRPr="00433C02" w:rsidP="00055FF8" w14:paraId="10B6A9F2" w14:textId="77777777">
      <w:pPr>
        <w:pStyle w:val="BodyText"/>
        <w:ind w:left="4480" w:hanging="158"/>
      </w:pPr>
      <w:r w:rsidRPr="00433C02">
        <w:t xml:space="preserve">William J. Michael (0070921) </w:t>
      </w:r>
    </w:p>
    <w:p w:rsidR="00055FF8" w:rsidRPr="00433C02" w:rsidP="00055FF8" w14:paraId="4AA273B1" w14:textId="77777777">
      <w:pPr>
        <w:pStyle w:val="BodyText"/>
        <w:ind w:left="4480" w:hanging="158"/>
      </w:pPr>
      <w:r w:rsidRPr="00433C02">
        <w:t>Counsel of Record</w:t>
      </w:r>
    </w:p>
    <w:p w:rsidR="00055FF8" w:rsidRPr="00433C02" w:rsidP="00055FF8" w14:paraId="553D31C7" w14:textId="77777777">
      <w:pPr>
        <w:pStyle w:val="BodyText"/>
        <w:ind w:left="4480" w:hanging="158"/>
      </w:pPr>
      <w:r w:rsidRPr="00433C02">
        <w:t>Ambrosia E. Logsdon (0096598)</w:t>
      </w:r>
    </w:p>
    <w:p w:rsidR="00055FF8" w:rsidRPr="00433C02" w:rsidP="00055FF8" w14:paraId="27AB8F63" w14:textId="77777777">
      <w:pPr>
        <w:pStyle w:val="BodyText"/>
        <w:ind w:left="4480" w:hanging="158"/>
      </w:pPr>
      <w:r w:rsidRPr="00433C02">
        <w:t>Assistant Consumers’ Counsel</w:t>
      </w:r>
    </w:p>
    <w:p w:rsidR="00055FF8" w:rsidRPr="00433C02" w:rsidP="00055FF8" w14:paraId="7BA8989C" w14:textId="77777777">
      <w:pPr>
        <w:pStyle w:val="BodyText"/>
        <w:ind w:hanging="158"/>
      </w:pPr>
    </w:p>
    <w:p w:rsidR="00055FF8" w:rsidRPr="00433C02" w:rsidP="00055FF8" w14:paraId="0DF39C19" w14:textId="77777777">
      <w:pPr>
        <w:ind w:left="3600" w:firstLine="720"/>
        <w:rPr>
          <w:b/>
          <w:bCs/>
          <w:sz w:val="24"/>
          <w:szCs w:val="24"/>
        </w:rPr>
      </w:pPr>
      <w:r w:rsidRPr="00433C02">
        <w:rPr>
          <w:b/>
          <w:bCs/>
          <w:sz w:val="24"/>
          <w:szCs w:val="24"/>
        </w:rPr>
        <w:t>Office of the Ohio Consumers’ Counsel</w:t>
      </w:r>
    </w:p>
    <w:p w:rsidR="00055FF8" w:rsidRPr="00433C02" w:rsidP="00055FF8" w14:paraId="55B835A2" w14:textId="77777777">
      <w:pPr>
        <w:pStyle w:val="BodyText"/>
        <w:ind w:left="4320"/>
      </w:pPr>
      <w:r w:rsidRPr="00433C02">
        <w:t>65 E. State Street, 7</w:t>
      </w:r>
      <w:r w:rsidRPr="00433C02">
        <w:rPr>
          <w:vertAlign w:val="superscript"/>
        </w:rPr>
        <w:t>th</w:t>
      </w:r>
      <w:r w:rsidRPr="00433C02">
        <w:t xml:space="preserve"> Floor</w:t>
      </w:r>
    </w:p>
    <w:p w:rsidR="00055FF8" w:rsidRPr="00433C02" w:rsidP="00055FF8" w14:paraId="16EE7DCB" w14:textId="77777777">
      <w:pPr>
        <w:pStyle w:val="BodyText"/>
        <w:ind w:left="4480" w:hanging="158"/>
      </w:pPr>
      <w:r w:rsidRPr="00433C02">
        <w:t>Columbus, Ohio 43215-4213</w:t>
      </w:r>
    </w:p>
    <w:p w:rsidR="00055FF8" w:rsidRPr="00433C02" w:rsidP="00055FF8" w14:paraId="565C8479" w14:textId="77777777">
      <w:pPr>
        <w:pStyle w:val="BodyText"/>
        <w:ind w:left="4480" w:hanging="158"/>
      </w:pPr>
      <w:r w:rsidRPr="00433C02">
        <w:t>Telephone [Michael]: 614-466-1291</w:t>
      </w:r>
    </w:p>
    <w:p w:rsidR="00055FF8" w:rsidRPr="00433C02" w:rsidP="00055FF8" w14:paraId="36530AD9" w14:textId="77777777">
      <w:pPr>
        <w:pStyle w:val="BodyText"/>
        <w:ind w:left="4480" w:hanging="158"/>
      </w:pPr>
      <w:r w:rsidRPr="00433C02">
        <w:t>Telephone [Logsdon]: 614-466-1292</w:t>
      </w:r>
    </w:p>
    <w:p w:rsidR="00030E16" w:rsidRPr="00433C02" w:rsidP="00030E16" w14:paraId="066EB31E" w14:textId="74DBA078">
      <w:pPr>
        <w:pStyle w:val="BodyText"/>
        <w:ind w:left="4480" w:hanging="158"/>
      </w:pPr>
      <w:hyperlink r:id="rId6" w:history="1">
        <w:r w:rsidRPr="00433C02">
          <w:rPr>
            <w:rStyle w:val="Hyperlink"/>
          </w:rPr>
          <w:t>William.michael@occ.ohio.gov</w:t>
        </w:r>
      </w:hyperlink>
    </w:p>
    <w:p w:rsidR="00055FF8" w:rsidRPr="00433C02" w:rsidP="00055FF8" w14:paraId="1E7BC294" w14:textId="3183EDD8">
      <w:pPr>
        <w:pStyle w:val="BodyText"/>
        <w:ind w:left="4480" w:hanging="158"/>
      </w:pPr>
      <w:hyperlink r:id="rId7" w:history="1">
        <w:r w:rsidRPr="00433C02" w:rsidR="00030E16">
          <w:rPr>
            <w:rStyle w:val="Hyperlink"/>
          </w:rPr>
          <w:t>Ambrosia.Logsdon@occ.ohio.gov</w:t>
        </w:r>
      </w:hyperlink>
    </w:p>
    <w:p w:rsidR="002307EF" w:rsidRPr="00433C02" w:rsidP="00030E16" w14:paraId="6648488F" w14:textId="2ADAA8E5">
      <w:pPr>
        <w:pStyle w:val="BodyText"/>
        <w:ind w:left="4480" w:hanging="158"/>
      </w:pPr>
      <w:r w:rsidRPr="00433C02">
        <w:t>(will</w:t>
      </w:r>
      <w:r w:rsidRPr="00433C02" w:rsidR="00030E16">
        <w:t>ing to</w:t>
      </w:r>
      <w:r w:rsidRPr="00433C02">
        <w:t xml:space="preserve"> accept service </w:t>
      </w:r>
      <w:r w:rsidRPr="00433C02" w:rsidR="00030E16">
        <w:t xml:space="preserve">by </w:t>
      </w:r>
      <w:r w:rsidRPr="00433C02">
        <w:t>e</w:t>
      </w:r>
      <w:r w:rsidRPr="00433C02" w:rsidR="00030E16">
        <w:t>-</w:t>
      </w:r>
      <w:r w:rsidRPr="00433C02">
        <w:t>mail)</w:t>
      </w:r>
    </w:p>
    <w:p w:rsidR="002307EF" w:rsidRPr="00433C02" w:rsidP="002307EF" w14:paraId="7E147AE0" w14:textId="77777777">
      <w:pPr>
        <w:rPr>
          <w:sz w:val="24"/>
          <w:szCs w:val="24"/>
        </w:rPr>
      </w:pPr>
    </w:p>
    <w:p w:rsidR="00541E37" w:rsidRPr="00433C02" w:rsidP="002307EF" w14:paraId="52DA38F6" w14:textId="77777777">
      <w:pPr>
        <w:jc w:val="center"/>
        <w:rPr>
          <w:b/>
          <w:bCs/>
          <w:sz w:val="24"/>
          <w:szCs w:val="24"/>
        </w:rPr>
        <w:sectPr w:rsidSect="00B628B8">
          <w:pgSz w:w="12240" w:h="15840"/>
          <w:pgMar w:top="1440" w:right="1800" w:bottom="1440" w:left="1800" w:header="0" w:footer="720" w:gutter="0"/>
          <w:cols w:space="720"/>
          <w:docGrid w:linePitch="299"/>
        </w:sectPr>
      </w:pPr>
    </w:p>
    <w:p w:rsidR="002307EF" w:rsidRPr="00433C02" w:rsidP="002307EF" w14:paraId="2DA98377" w14:textId="7CE4067F">
      <w:pPr>
        <w:jc w:val="center"/>
        <w:rPr>
          <w:b/>
          <w:bCs/>
          <w:sz w:val="24"/>
          <w:szCs w:val="24"/>
        </w:rPr>
      </w:pPr>
      <w:r w:rsidRPr="00433C02">
        <w:rPr>
          <w:b/>
          <w:bCs/>
          <w:sz w:val="24"/>
          <w:szCs w:val="24"/>
        </w:rPr>
        <w:t>CERTIFICATE OF SERVICE</w:t>
      </w:r>
    </w:p>
    <w:p w:rsidR="002307EF" w:rsidRPr="00433C02" w14:paraId="5B2528C5" w14:textId="77777777">
      <w:pPr>
        <w:pStyle w:val="BodyText"/>
        <w:spacing w:before="10"/>
        <w:rPr>
          <w:b/>
        </w:rPr>
      </w:pPr>
    </w:p>
    <w:p w:rsidR="002307EF" w:rsidRPr="00433C02" w:rsidP="002307EF" w14:paraId="3B9A04C7" w14:textId="439B5A7C">
      <w:pPr>
        <w:pStyle w:val="BodyText"/>
        <w:spacing w:before="1" w:line="465" w:lineRule="auto"/>
        <w:ind w:right="82" w:firstLine="720"/>
      </w:pPr>
      <w:r w:rsidRPr="00433C02">
        <w:t xml:space="preserve">I hereby certify that a copy of the foregoing Application for Rehearing was served on the persons stated below via electronic transmission, this </w:t>
      </w:r>
      <w:r w:rsidRPr="00433C02" w:rsidR="00055FF8">
        <w:t>3rd</w:t>
      </w:r>
      <w:r w:rsidRPr="00433C02">
        <w:t xml:space="preserve"> day of </w:t>
      </w:r>
      <w:r w:rsidRPr="00433C02" w:rsidR="00055FF8">
        <w:t>January</w:t>
      </w:r>
      <w:r w:rsidRPr="00433C02">
        <w:t xml:space="preserve"> 20</w:t>
      </w:r>
      <w:r w:rsidRPr="00433C02" w:rsidR="00055FF8">
        <w:t>20</w:t>
      </w:r>
      <w:r w:rsidRPr="00433C02">
        <w:t>.</w:t>
      </w:r>
    </w:p>
    <w:p w:rsidR="002307EF" w:rsidRPr="00433C02" w14:paraId="1EB61FC2" w14:textId="090171F8">
      <w:pPr>
        <w:tabs>
          <w:tab w:val="left" w:pos="8099"/>
        </w:tabs>
        <w:spacing w:before="8"/>
        <w:ind w:left="5140"/>
        <w:rPr>
          <w:i/>
          <w:sz w:val="24"/>
          <w:szCs w:val="24"/>
        </w:rPr>
      </w:pPr>
      <w:r w:rsidRPr="00433C02">
        <w:rPr>
          <w:sz w:val="24"/>
          <w:szCs w:val="24"/>
          <w:u w:val="single"/>
        </w:rPr>
        <w:t xml:space="preserve">/s/ </w:t>
      </w:r>
      <w:r w:rsidRPr="00433C02" w:rsidR="00424407">
        <w:rPr>
          <w:i/>
          <w:sz w:val="24"/>
          <w:szCs w:val="24"/>
          <w:u w:val="single"/>
        </w:rPr>
        <w:t>Ambrosia E. Logsdon</w:t>
      </w:r>
      <w:r w:rsidRPr="00433C02">
        <w:rPr>
          <w:i/>
          <w:sz w:val="24"/>
          <w:szCs w:val="24"/>
          <w:u w:val="single"/>
        </w:rPr>
        <w:tab/>
      </w:r>
    </w:p>
    <w:p w:rsidR="002307EF" w:rsidRPr="00433C02" w14:paraId="4BED2AAB" w14:textId="1455FC44">
      <w:pPr>
        <w:pStyle w:val="BodyText"/>
        <w:ind w:left="5140"/>
      </w:pPr>
      <w:r w:rsidRPr="00433C02">
        <w:t>Ambrosia E. Logsdon</w:t>
      </w:r>
    </w:p>
    <w:p w:rsidR="002307EF" w:rsidRPr="00433C02" w14:paraId="648AD01D" w14:textId="77777777">
      <w:pPr>
        <w:pStyle w:val="BodyText"/>
        <w:ind w:left="5140"/>
      </w:pPr>
      <w:r w:rsidRPr="00433C02">
        <w:t>Assistant Consumers’ Counsel</w:t>
      </w:r>
    </w:p>
    <w:p w:rsidR="002307EF" w:rsidRPr="00433C02" w14:paraId="3C5EDB40" w14:textId="77777777">
      <w:pPr>
        <w:pStyle w:val="BodyText"/>
      </w:pPr>
    </w:p>
    <w:p w:rsidR="00030E16" w:rsidRPr="00433C02" w:rsidP="002307EF" w14:paraId="2DDA0720" w14:textId="77777777">
      <w:pPr>
        <w:jc w:val="center"/>
        <w:rPr>
          <w:b/>
          <w:bCs/>
          <w:sz w:val="24"/>
          <w:szCs w:val="24"/>
          <w:u w:val="single"/>
        </w:rPr>
      </w:pPr>
    </w:p>
    <w:p w:rsidR="00030E16" w:rsidRPr="00433C02" w:rsidP="00030E16" w14:paraId="54F1D906" w14:textId="77777777">
      <w:pPr>
        <w:pStyle w:val="CommentText"/>
        <w:rPr>
          <w:sz w:val="24"/>
          <w:szCs w:val="24"/>
        </w:rPr>
      </w:pPr>
      <w:r w:rsidRPr="00433C02">
        <w:rPr>
          <w:sz w:val="24"/>
          <w:szCs w:val="24"/>
        </w:rPr>
        <w:t>The PUCO’s e-filing system will electronically serve notice of the filing of this document on the following parties:</w:t>
      </w:r>
    </w:p>
    <w:p w:rsidR="00030E16" w:rsidRPr="00433C02" w:rsidP="00030E16" w14:paraId="0284A076" w14:textId="77777777">
      <w:pPr>
        <w:pStyle w:val="CommentText"/>
        <w:suppressLineNumbers/>
        <w:jc w:val="center"/>
        <w:rPr>
          <w:b/>
          <w:sz w:val="24"/>
          <w:szCs w:val="24"/>
          <w:u w:val="single"/>
        </w:rPr>
      </w:pPr>
    </w:p>
    <w:p w:rsidR="00030E16" w:rsidRPr="00433C02" w:rsidP="00030E16" w14:paraId="3D194E53" w14:textId="77777777">
      <w:pPr>
        <w:pStyle w:val="CommentText"/>
        <w:suppressLineNumbers/>
        <w:jc w:val="center"/>
        <w:rPr>
          <w:b/>
          <w:sz w:val="24"/>
          <w:szCs w:val="24"/>
          <w:u w:val="single"/>
        </w:rPr>
      </w:pPr>
    </w:p>
    <w:p w:rsidR="00030E16" w:rsidRPr="00433C02" w:rsidP="00030E16" w14:paraId="7A7E6513" w14:textId="350C8A10">
      <w:pPr>
        <w:pStyle w:val="CommentText"/>
        <w:suppressLineNumbers/>
        <w:jc w:val="center"/>
        <w:rPr>
          <w:b/>
          <w:sz w:val="24"/>
          <w:szCs w:val="24"/>
          <w:u w:val="single"/>
        </w:rPr>
      </w:pPr>
      <w:r w:rsidRPr="00433C02">
        <w:rPr>
          <w:b/>
          <w:sz w:val="24"/>
          <w:szCs w:val="24"/>
          <w:u w:val="single"/>
        </w:rPr>
        <w:t>SERVICE LIST</w:t>
      </w:r>
    </w:p>
    <w:p w:rsidR="00030E16" w:rsidRPr="00433C02" w:rsidP="00030E16" w14:paraId="5DF8926C" w14:textId="77777777">
      <w:pPr>
        <w:pStyle w:val="CommentText"/>
        <w:suppressLineNumbers/>
        <w:jc w:val="center"/>
        <w:rPr>
          <w:b/>
          <w:sz w:val="24"/>
          <w:szCs w:val="24"/>
          <w:u w:val="single"/>
        </w:rPr>
      </w:pPr>
    </w:p>
    <w:p w:rsidR="00030E16" w:rsidRPr="00433C02" w:rsidP="00030E16" w14:paraId="24161147" w14:textId="77777777">
      <w:pPr>
        <w:pStyle w:val="CommentText"/>
        <w:suppressLineNumbers/>
        <w:jc w:val="center"/>
        <w:rPr>
          <w:b/>
          <w:sz w:val="24"/>
          <w:szCs w:val="24"/>
          <w:u w:val="single"/>
        </w:rPr>
      </w:pPr>
    </w:p>
    <w:tbl>
      <w:tblPr>
        <w:tblW w:w="0" w:type="auto"/>
        <w:tblLook w:val="04A0"/>
      </w:tblPr>
      <w:tblGrid>
        <w:gridCol w:w="4414"/>
        <w:gridCol w:w="4226"/>
      </w:tblGrid>
      <w:tr w14:paraId="5CF5E5CD" w14:textId="77777777" w:rsidTr="002307EF">
        <w:tblPrEx>
          <w:tblW w:w="0" w:type="auto"/>
          <w:tblLook w:val="04A0"/>
        </w:tblPrEx>
        <w:tc>
          <w:tcPr>
            <w:tcW w:w="4428" w:type="dxa"/>
          </w:tcPr>
          <w:p w:rsidR="00030E16" w:rsidRPr="00433C02" w:rsidP="002307EF" w14:paraId="7DA194AD" w14:textId="77777777">
            <w:pPr>
              <w:pStyle w:val="CommentText"/>
              <w:suppressLineNumbers/>
              <w:rPr>
                <w:sz w:val="24"/>
                <w:szCs w:val="24"/>
              </w:rPr>
            </w:pPr>
            <w:hyperlink r:id="rId17" w:history="1">
              <w:r w:rsidRPr="00433C02">
                <w:rPr>
                  <w:rStyle w:val="Hyperlink"/>
                  <w:rFonts w:eastAsiaTheme="minorHAnsi"/>
                  <w:color w:val="0077CC"/>
                  <w:sz w:val="24"/>
                  <w:szCs w:val="24"/>
                </w:rPr>
                <w:t>Werner.margard@ohioattorneygeneral.gov</w:t>
              </w:r>
            </w:hyperlink>
          </w:p>
          <w:p w:rsidR="00030E16" w:rsidRPr="00433C02" w:rsidP="002307EF" w14:paraId="3AD1A06B" w14:textId="77777777">
            <w:pPr>
              <w:pStyle w:val="CommentText"/>
              <w:suppressLineNumbers/>
              <w:rPr>
                <w:sz w:val="24"/>
                <w:szCs w:val="24"/>
                <w:u w:val="single"/>
              </w:rPr>
            </w:pPr>
          </w:p>
          <w:p w:rsidR="00030E16" w:rsidRPr="00433C02" w:rsidP="002307EF" w14:paraId="1703EE2F" w14:textId="77777777">
            <w:pPr>
              <w:pStyle w:val="CommentText"/>
              <w:suppressLineNumbers/>
              <w:rPr>
                <w:sz w:val="24"/>
                <w:szCs w:val="24"/>
              </w:rPr>
            </w:pPr>
            <w:r w:rsidRPr="00433C02">
              <w:rPr>
                <w:rFonts w:eastAsiaTheme="minorHAnsi"/>
                <w:sz w:val="24"/>
                <w:szCs w:val="24"/>
              </w:rPr>
              <w:t>Attorney Examiners:</w:t>
            </w:r>
          </w:p>
          <w:p w:rsidR="00030E16" w:rsidRPr="00433C02" w:rsidP="002307EF" w14:paraId="0CD5353A" w14:textId="77777777">
            <w:pPr>
              <w:pStyle w:val="CommentText"/>
              <w:suppressLineNumbers/>
              <w:rPr>
                <w:sz w:val="24"/>
                <w:szCs w:val="24"/>
              </w:rPr>
            </w:pPr>
          </w:p>
          <w:p w:rsidR="00030E16" w:rsidRPr="00433C02" w:rsidP="002307EF" w14:paraId="6A67B5BA" w14:textId="77777777">
            <w:pPr>
              <w:pStyle w:val="CommentText"/>
              <w:suppressLineNumbers/>
              <w:rPr>
                <w:sz w:val="24"/>
                <w:szCs w:val="24"/>
              </w:rPr>
            </w:pPr>
            <w:hyperlink r:id="rId18" w:history="1">
              <w:r w:rsidRPr="00433C02">
                <w:rPr>
                  <w:rStyle w:val="Hyperlink"/>
                  <w:rFonts w:eastAsiaTheme="minorHAnsi"/>
                  <w:color w:val="0077CC"/>
                  <w:sz w:val="24"/>
                  <w:szCs w:val="24"/>
                </w:rPr>
                <w:t>Sarah.parrot@puco.ohio.gov</w:t>
              </w:r>
            </w:hyperlink>
          </w:p>
          <w:p w:rsidR="00030E16" w:rsidRPr="00433C02" w:rsidP="002307EF" w14:paraId="27B3A199" w14:textId="77777777">
            <w:pPr>
              <w:pStyle w:val="CommentText"/>
              <w:suppressLineNumbers/>
              <w:rPr>
                <w:sz w:val="24"/>
                <w:szCs w:val="24"/>
              </w:rPr>
            </w:pPr>
            <w:hyperlink r:id="rId19" w:history="1">
              <w:r w:rsidRPr="00433C02">
                <w:rPr>
                  <w:rStyle w:val="Hyperlink"/>
                  <w:rFonts w:eastAsiaTheme="minorHAnsi"/>
                  <w:color w:val="0077CC"/>
                  <w:sz w:val="24"/>
                  <w:szCs w:val="24"/>
                </w:rPr>
                <w:t>Greta.see@puco.ohio.gov</w:t>
              </w:r>
            </w:hyperlink>
          </w:p>
          <w:p w:rsidR="00030E16" w:rsidRPr="00433C02" w:rsidP="002307EF" w14:paraId="314B3C2E" w14:textId="77777777">
            <w:pPr>
              <w:pStyle w:val="CommentText"/>
              <w:suppressLineNumbers/>
              <w:rPr>
                <w:sz w:val="24"/>
                <w:szCs w:val="24"/>
              </w:rPr>
            </w:pPr>
          </w:p>
          <w:p w:rsidR="00030E16" w:rsidRPr="00433C02" w:rsidP="002307EF" w14:paraId="2E508322" w14:textId="77777777">
            <w:pPr>
              <w:pStyle w:val="CommentText"/>
              <w:suppressLineNumbers/>
              <w:rPr>
                <w:sz w:val="24"/>
                <w:szCs w:val="24"/>
                <w:u w:val="single"/>
              </w:rPr>
            </w:pPr>
          </w:p>
        </w:tc>
        <w:tc>
          <w:tcPr>
            <w:tcW w:w="4428" w:type="dxa"/>
          </w:tcPr>
          <w:p w:rsidR="00030E16" w:rsidRPr="00433C02" w:rsidP="002307EF" w14:paraId="61C381B2" w14:textId="77777777">
            <w:pPr>
              <w:pStyle w:val="CommentText"/>
              <w:suppressLineNumbers/>
              <w:ind w:left="1338"/>
              <w:rPr>
                <w:sz w:val="24"/>
                <w:szCs w:val="24"/>
              </w:rPr>
            </w:pPr>
            <w:hyperlink r:id="rId20" w:history="1">
              <w:r w:rsidRPr="00433C02">
                <w:rPr>
                  <w:rStyle w:val="Hyperlink"/>
                  <w:rFonts w:eastAsiaTheme="minorHAnsi"/>
                  <w:color w:val="0077CC"/>
                  <w:sz w:val="24"/>
                  <w:szCs w:val="24"/>
                </w:rPr>
                <w:t>stnourse@aep.com</w:t>
              </w:r>
            </w:hyperlink>
          </w:p>
          <w:p w:rsidR="00030E16" w:rsidRPr="00433C02" w:rsidP="002307EF" w14:paraId="24537B68" w14:textId="77777777">
            <w:pPr>
              <w:pStyle w:val="CommentText"/>
              <w:suppressLineNumbers/>
              <w:ind w:left="1338"/>
              <w:rPr>
                <w:sz w:val="24"/>
                <w:szCs w:val="24"/>
              </w:rPr>
            </w:pPr>
            <w:hyperlink r:id="rId21" w:history="1">
              <w:r w:rsidRPr="00433C02">
                <w:rPr>
                  <w:rStyle w:val="Hyperlink"/>
                  <w:rFonts w:eastAsiaTheme="minorHAnsi"/>
                  <w:color w:val="0077CC"/>
                  <w:sz w:val="24"/>
                  <w:szCs w:val="24"/>
                </w:rPr>
                <w:t>cmblend@aep.com</w:t>
              </w:r>
            </w:hyperlink>
          </w:p>
          <w:p w:rsidR="00030E16" w:rsidRPr="00433C02" w:rsidP="002307EF" w14:paraId="31B21448" w14:textId="77777777">
            <w:pPr>
              <w:pStyle w:val="CommentText"/>
              <w:suppressLineNumbers/>
              <w:ind w:left="1338"/>
              <w:rPr>
                <w:sz w:val="24"/>
                <w:szCs w:val="24"/>
              </w:rPr>
            </w:pPr>
          </w:p>
          <w:p w:rsidR="00030E16" w:rsidRPr="00433C02" w:rsidP="002307EF" w14:paraId="17C0DD49" w14:textId="77777777">
            <w:pPr>
              <w:pStyle w:val="CommentText"/>
              <w:suppressLineNumbers/>
              <w:rPr>
                <w:sz w:val="24"/>
                <w:szCs w:val="24"/>
              </w:rPr>
            </w:pPr>
          </w:p>
        </w:tc>
      </w:tr>
    </w:tbl>
    <w:p w:rsidR="002307EF" w:rsidRPr="00433C02" w:rsidP="002307EF" w14:paraId="1AAD5DF4" w14:textId="77777777">
      <w:pPr>
        <w:jc w:val="center"/>
        <w:rPr>
          <w:b/>
          <w:bCs/>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7"/>
        <w:gridCol w:w="4283"/>
      </w:tblGrid>
      <w:tr w14:paraId="70834634" w14:textId="77777777" w:rsidTr="002307E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20" w:type="dxa"/>
          </w:tcPr>
          <w:p w:rsidR="002307EF" w:rsidRPr="00433C02" w:rsidP="002307EF" w14:paraId="12D069C5" w14:textId="5AD3A0CC">
            <w:pPr>
              <w:adjustRightInd w:val="0"/>
              <w:rPr>
                <w:sz w:val="24"/>
                <w:szCs w:val="24"/>
              </w:rPr>
            </w:pPr>
          </w:p>
        </w:tc>
        <w:tc>
          <w:tcPr>
            <w:tcW w:w="4640" w:type="dxa"/>
          </w:tcPr>
          <w:p w:rsidR="002307EF" w:rsidRPr="00433C02" w:rsidP="002307EF" w14:paraId="0647187E" w14:textId="77777777">
            <w:pPr>
              <w:adjustRightInd w:val="0"/>
              <w:rPr>
                <w:rFonts w:eastAsiaTheme="minorHAnsi"/>
                <w:sz w:val="24"/>
                <w:szCs w:val="24"/>
              </w:rPr>
            </w:pPr>
          </w:p>
        </w:tc>
      </w:tr>
    </w:tbl>
    <w:p w:rsidR="002307EF" w:rsidRPr="00433C02" w:rsidP="002307EF" w14:paraId="77292E13" w14:textId="77777777">
      <w:pPr>
        <w:jc w:val="center"/>
        <w:rPr>
          <w:b/>
          <w:bCs/>
          <w:sz w:val="24"/>
          <w:szCs w:val="24"/>
          <w:u w:val="single"/>
        </w:rPr>
      </w:pPr>
    </w:p>
    <w:p w:rsidR="002307EF" w:rsidRPr="00433C02" w14:paraId="01D99268" w14:textId="77777777">
      <w:pPr>
        <w:pStyle w:val="BodyText"/>
        <w:spacing w:before="1"/>
        <w:rPr>
          <w:b/>
        </w:rPr>
      </w:pPr>
    </w:p>
    <w:p w:rsidR="002307EF" w:rsidRPr="00433C02" w:rsidP="002307EF" w14:paraId="12D24ADE" w14:textId="77777777">
      <w:pPr>
        <w:pStyle w:val="BodyText"/>
      </w:pPr>
    </w:p>
    <w:sectPr w:rsidSect="00B628B8">
      <w:headerReference w:type="default" r:id="rId22"/>
      <w:pgSz w:w="12240" w:h="15840"/>
      <w:pgMar w:top="1440" w:right="1800" w:bottom="1440" w:left="180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5798493"/>
      <w:docPartObj>
        <w:docPartGallery w:val="Page Numbers (Bottom of Page)"/>
        <w:docPartUnique/>
      </w:docPartObj>
    </w:sdtPr>
    <w:sdtEndPr>
      <w:rPr>
        <w:noProof/>
      </w:rPr>
    </w:sdtEndPr>
    <w:sdtContent>
      <w:p w:rsidR="00BA531A" w14:paraId="6C156F5D" w14:textId="03D946EE">
        <w:pPr>
          <w:pStyle w:val="Footer"/>
          <w:jc w:val="center"/>
        </w:pPr>
      </w:p>
    </w:sdtContent>
  </w:sdt>
  <w:p w:rsidR="002307EF" w14:paraId="675E66D1"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31A" w:rsidRPr="00BA531A" w14:paraId="40BC8DB0" w14:textId="352D9F09">
    <w:pPr>
      <w:pStyle w:val="Footer"/>
      <w:jc w:val="center"/>
      <w:rPr>
        <w:sz w:val="24"/>
        <w:szCs w:val="24"/>
      </w:rPr>
    </w:pPr>
  </w:p>
  <w:p w:rsidR="00BA531A" w14:paraId="1C946451" w14:textId="7777777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7162669"/>
      <w:docPartObj>
        <w:docPartGallery w:val="Page Numbers (Bottom of Page)"/>
        <w:docPartUnique/>
      </w:docPartObj>
    </w:sdtPr>
    <w:sdtEndPr>
      <w:rPr>
        <w:noProof/>
        <w:sz w:val="24"/>
        <w:szCs w:val="24"/>
      </w:rPr>
    </w:sdtEndPr>
    <w:sdtContent>
      <w:p w:rsidR="002307EF" w:rsidRPr="00824504" w14:paraId="3E544EE5" w14:textId="77777777">
        <w:pPr>
          <w:pStyle w:val="Footer"/>
          <w:jc w:val="center"/>
          <w:rPr>
            <w:sz w:val="24"/>
            <w:szCs w:val="24"/>
          </w:rPr>
        </w:pPr>
        <w:r w:rsidRPr="00824504">
          <w:rPr>
            <w:sz w:val="24"/>
            <w:szCs w:val="24"/>
          </w:rPr>
          <w:fldChar w:fldCharType="begin"/>
        </w:r>
        <w:r w:rsidRPr="00824504">
          <w:rPr>
            <w:sz w:val="24"/>
            <w:szCs w:val="24"/>
          </w:rPr>
          <w:instrText xml:space="preserve"> PAGE   \* MERGEFORMAT </w:instrText>
        </w:r>
        <w:r w:rsidRPr="00824504">
          <w:rPr>
            <w:sz w:val="24"/>
            <w:szCs w:val="24"/>
          </w:rPr>
          <w:fldChar w:fldCharType="separate"/>
        </w:r>
        <w:r w:rsidRPr="00824504">
          <w:rPr>
            <w:noProof/>
            <w:sz w:val="24"/>
            <w:szCs w:val="24"/>
          </w:rPr>
          <w:t>2</w:t>
        </w:r>
        <w:r w:rsidRPr="00824504">
          <w:rPr>
            <w:noProof/>
            <w:sz w:val="24"/>
            <w:szCs w:val="24"/>
          </w:rPr>
          <w:fldChar w:fldCharType="end"/>
        </w:r>
      </w:p>
    </w:sdtContent>
  </w:sdt>
  <w:p w:rsidR="002307EF" w14:paraId="4363745E" w14:textId="7777777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307EF" w14:paraId="6EECE643" w14:textId="77777777">
      <w:r>
        <w:separator/>
      </w:r>
    </w:p>
  </w:footnote>
  <w:footnote w:type="continuationSeparator" w:id="1">
    <w:p w:rsidR="002307EF" w14:paraId="7221C866" w14:textId="77777777">
      <w:r>
        <w:continuationSeparator/>
      </w:r>
    </w:p>
  </w:footnote>
  <w:footnote w:id="2">
    <w:p w:rsidR="00141E83" w:rsidP="00BA531A" w14:paraId="4F393F31" w14:textId="77777777">
      <w:pPr>
        <w:pStyle w:val="FootnoteText"/>
        <w:spacing w:after="120"/>
      </w:pPr>
      <w:r>
        <w:rPr>
          <w:rStyle w:val="FootnoteReference"/>
        </w:rPr>
        <w:footnoteRef/>
      </w:r>
      <w:r>
        <w:t xml:space="preserve"> R.C. 4905.22.</w:t>
      </w:r>
    </w:p>
  </w:footnote>
  <w:footnote w:id="3">
    <w:p w:rsidR="00141E83" w:rsidP="00BA531A" w14:paraId="623A24E6" w14:textId="204BBEF5">
      <w:pPr>
        <w:pStyle w:val="FootnoteText"/>
        <w:spacing w:after="120"/>
      </w:pPr>
      <w:r>
        <w:rPr>
          <w:rStyle w:val="FootnoteReference"/>
        </w:rPr>
        <w:footnoteRef/>
      </w:r>
      <w:r>
        <w:t xml:space="preserve"> R.C. 4928.02.</w:t>
      </w:r>
    </w:p>
  </w:footnote>
  <w:footnote w:id="4">
    <w:p w:rsidR="00E83BD3" w14:paraId="52F4BA9F" w14:textId="3B66C4BA">
      <w:pPr>
        <w:pStyle w:val="FootnoteText"/>
      </w:pPr>
      <w:r>
        <w:rPr>
          <w:rStyle w:val="FootnoteReference"/>
        </w:rPr>
        <w:footnoteRef/>
      </w:r>
      <w:r>
        <w:t xml:space="preserve"> Ironically, the name of AEP’s rider for collecting tree trimming expenses from customers is the enhanced service reliability rider.</w:t>
      </w:r>
    </w:p>
  </w:footnote>
  <w:footnote w:id="5">
    <w:p w:rsidR="002307EF" w:rsidRPr="00E145DD" w:rsidP="00541E37" w14:paraId="2715A9B4" w14:textId="77777777">
      <w:pPr>
        <w:pStyle w:val="FootnoteText"/>
        <w:spacing w:after="120"/>
      </w:pPr>
      <w:r w:rsidRPr="00E145DD">
        <w:rPr>
          <w:rStyle w:val="FootnoteReference"/>
        </w:rPr>
        <w:footnoteRef/>
      </w:r>
      <w:r w:rsidRPr="00E145DD">
        <w:t xml:space="preserve"> </w:t>
      </w:r>
      <w:r w:rsidRPr="00E145DD">
        <w:rPr>
          <w:i/>
        </w:rPr>
        <w:t>In the Matter of the Application of Columbus Southern Power Company for Approval of an Electric Security Plan; an Amendment to its Corporate Separation Plan; and the Sale or Transfer of Certain Generating Assets</w:t>
      </w:r>
      <w:r w:rsidRPr="00E145DD">
        <w:t>., Case 08-917-EL-SSO (March 18, 2009), pages 31-34.</w:t>
      </w:r>
    </w:p>
  </w:footnote>
  <w:footnote w:id="6">
    <w:p w:rsidR="002307EF" w:rsidRPr="00F1007F" w:rsidP="00541E37" w14:paraId="3B5590B7" w14:textId="05A3B622">
      <w:pPr>
        <w:pStyle w:val="FootnoteText"/>
        <w:spacing w:after="120"/>
      </w:pPr>
      <w:r>
        <w:rPr>
          <w:rStyle w:val="FootnoteReference"/>
        </w:rPr>
        <w:footnoteRef/>
      </w:r>
      <w:r>
        <w:t xml:space="preserve"> </w:t>
      </w:r>
      <w:r>
        <w:rPr>
          <w:i/>
        </w:rPr>
        <w:t xml:space="preserve">See id. </w:t>
      </w:r>
      <w:r>
        <w:t>at 34.</w:t>
      </w:r>
    </w:p>
  </w:footnote>
  <w:footnote w:id="7">
    <w:p w:rsidR="002307EF" w:rsidRPr="00E145DD" w:rsidP="00541E37" w14:paraId="051C2E1E" w14:textId="77777777">
      <w:pPr>
        <w:pStyle w:val="FootnoteText"/>
        <w:spacing w:after="120"/>
      </w:pPr>
      <w:r w:rsidRPr="00E145DD">
        <w:rPr>
          <w:rStyle w:val="FootnoteReference"/>
        </w:rPr>
        <w:footnoteRef/>
      </w:r>
      <w:r w:rsidRPr="00E145DD">
        <w:t xml:space="preserve"> From the Schedule 1 provided with AEP Ohio’s yearly ESRR applications. </w:t>
      </w:r>
    </w:p>
  </w:footnote>
  <w:footnote w:id="8">
    <w:p w:rsidR="002307EF" w:rsidRPr="00E145DD" w:rsidP="00541E37" w14:paraId="2521F291" w14:textId="77777777">
      <w:pPr>
        <w:pStyle w:val="FootnoteText"/>
        <w:spacing w:after="120"/>
      </w:pPr>
      <w:r w:rsidRPr="00E145DD">
        <w:rPr>
          <w:rStyle w:val="FootnoteReference"/>
        </w:rPr>
        <w:footnoteRef/>
      </w:r>
      <w:r w:rsidRPr="00E145DD">
        <w:t xml:space="preserve"> Case Nos. 08-917-EL-SSO and 08-918-EL-SSO, Opinion and Order (March 18, 2009) at 33.</w:t>
      </w:r>
    </w:p>
  </w:footnote>
  <w:footnote w:id="9">
    <w:p w:rsidR="002307EF" w:rsidRPr="00E145DD" w:rsidP="00541E37" w14:paraId="22636AF6" w14:textId="77777777">
      <w:pPr>
        <w:adjustRightInd w:val="0"/>
        <w:spacing w:after="120"/>
        <w:rPr>
          <w:sz w:val="20"/>
          <w:szCs w:val="20"/>
        </w:rPr>
      </w:pPr>
      <w:r w:rsidRPr="00E145DD">
        <w:rPr>
          <w:rStyle w:val="FootnoteReference"/>
          <w:sz w:val="20"/>
          <w:szCs w:val="20"/>
        </w:rPr>
        <w:footnoteRef/>
      </w:r>
      <w:r w:rsidRPr="00E145DD">
        <w:rPr>
          <w:sz w:val="20"/>
          <w:szCs w:val="20"/>
        </w:rPr>
        <w:t xml:space="preserve"> </w:t>
      </w:r>
      <w:r w:rsidRPr="00E145DD">
        <w:rPr>
          <w:i/>
          <w:sz w:val="20"/>
          <w:szCs w:val="20"/>
        </w:rPr>
        <w:t>In the Matter of the Application of Columbus Southern Power Company for Approval of an Electric Security Plan; an Amendment to its Corporate Separation Plan; and the Sale or Transfer of Certain Generating Assets</w:t>
      </w:r>
      <w:r w:rsidRPr="00E145DD">
        <w:rPr>
          <w:sz w:val="20"/>
          <w:szCs w:val="20"/>
        </w:rPr>
        <w:t>., Case 08-917-EL-SSO (March 18, 2009), pages 31-34.</w:t>
      </w:r>
    </w:p>
  </w:footnote>
  <w:footnote w:id="10">
    <w:p w:rsidR="002307EF" w:rsidRPr="00E145DD" w:rsidP="00541E37" w14:paraId="5B0B2161" w14:textId="77777777">
      <w:pPr>
        <w:pStyle w:val="FootnoteText"/>
        <w:spacing w:after="120"/>
      </w:pPr>
      <w:r w:rsidRPr="00E145DD">
        <w:rPr>
          <w:rStyle w:val="FootnoteReference"/>
        </w:rPr>
        <w:footnoteRef/>
      </w:r>
      <w:r w:rsidRPr="00E145DD">
        <w:t xml:space="preserve"> </w:t>
      </w:r>
      <w:r w:rsidRPr="00E145DD">
        <w:rPr>
          <w:i/>
          <w:iCs/>
        </w:rPr>
        <w:t>Id.</w:t>
      </w:r>
    </w:p>
  </w:footnote>
  <w:footnote w:id="11">
    <w:p w:rsidR="002307EF" w:rsidRPr="006301EC" w:rsidP="00541E37" w14:paraId="550C610D" w14:textId="43DC178E">
      <w:pPr>
        <w:pStyle w:val="FootnoteText"/>
        <w:spacing w:after="120"/>
      </w:pPr>
      <w:r w:rsidRPr="00E145DD">
        <w:rPr>
          <w:rStyle w:val="FootnoteReference"/>
        </w:rPr>
        <w:footnoteRef/>
      </w:r>
      <w:r w:rsidRPr="00E145DD">
        <w:t xml:space="preserve"> </w:t>
      </w:r>
      <w:r>
        <w:rPr>
          <w:i/>
          <w:iCs/>
        </w:rPr>
        <w:t>In the Matter of the Application of Columbus Southern Power Company and Ohio Power Company for Authority to Establish a Standard Service Offer Pursuant to Section 4921.143, Revised Code, in the Form of an Electric Security Plan</w:t>
      </w:r>
      <w:r>
        <w:rPr>
          <w:iCs/>
        </w:rPr>
        <w:t>, Case No. 11-346-EL-SSO (August 8, 2012), pages 64-65.</w:t>
      </w:r>
    </w:p>
  </w:footnote>
  <w:footnote w:id="12">
    <w:p w:rsidR="002307EF" w:rsidRPr="00E145DD" w:rsidP="00541E37" w14:paraId="56F40F41" w14:textId="77777777">
      <w:pPr>
        <w:pStyle w:val="FootnoteText"/>
        <w:spacing w:after="120"/>
      </w:pPr>
      <w:r w:rsidRPr="00E145DD">
        <w:rPr>
          <w:rStyle w:val="FootnoteReference"/>
        </w:rPr>
        <w:footnoteRef/>
      </w:r>
      <w:r w:rsidRPr="00E145DD">
        <w:t xml:space="preserve"> </w:t>
      </w:r>
      <w:r w:rsidRPr="00E145DD">
        <w:rPr>
          <w:i/>
          <w:iCs/>
        </w:rPr>
        <w:t>Id</w:t>
      </w:r>
      <w:r w:rsidRPr="00E145DD">
        <w:t>.</w:t>
      </w:r>
    </w:p>
  </w:footnote>
  <w:footnote w:id="13">
    <w:p w:rsidR="002307EF" w:rsidRPr="0026076B" w:rsidP="00541E37" w14:paraId="6BFA2127" w14:textId="079E19A4">
      <w:pPr>
        <w:pStyle w:val="FootnoteText"/>
        <w:spacing w:after="120"/>
      </w:pPr>
      <w:r w:rsidRPr="00E145DD">
        <w:rPr>
          <w:rStyle w:val="FootnoteReference"/>
        </w:rPr>
        <w:footnoteRef/>
      </w:r>
      <w:r w:rsidRPr="00E145DD">
        <w:t xml:space="preserve"> </w:t>
      </w:r>
      <w:r>
        <w:rPr>
          <w:i/>
          <w:iCs/>
        </w:rPr>
        <w:t>See In the Matter of the Application of Ohio Power Company for Authority to Establish a Standard Service Offer Pursuant to R.C. 4928.143, in the Form of an Electric Security Plan</w:t>
      </w:r>
      <w:r>
        <w:rPr>
          <w:iCs/>
        </w:rPr>
        <w:t>, Case No. 13-2385-EL-SSO (February 25, 2015), pages 47-49.</w:t>
      </w:r>
    </w:p>
  </w:footnote>
  <w:footnote w:id="14">
    <w:p w:rsidR="002307EF" w:rsidRPr="0026076B" w:rsidP="00541E37" w14:paraId="0D7D46C1" w14:textId="462B771B">
      <w:pPr>
        <w:pStyle w:val="FootnoteText"/>
        <w:spacing w:after="120"/>
      </w:pPr>
      <w:r>
        <w:rPr>
          <w:rStyle w:val="FootnoteReference"/>
        </w:rPr>
        <w:footnoteRef/>
      </w:r>
      <w:r>
        <w:t xml:space="preserve"> </w:t>
      </w:r>
      <w:r>
        <w:rPr>
          <w:i/>
        </w:rPr>
        <w:t xml:space="preserve">See id. </w:t>
      </w:r>
      <w:r>
        <w:t>at 49.</w:t>
      </w:r>
    </w:p>
  </w:footnote>
  <w:footnote w:id="15">
    <w:p w:rsidR="002307EF" w:rsidRPr="00E145DD" w:rsidP="00541E37" w14:paraId="4CC1BAE6" w14:textId="77777777">
      <w:pPr>
        <w:pStyle w:val="FootnoteText"/>
        <w:spacing w:after="120"/>
      </w:pPr>
      <w:r w:rsidRPr="00E145DD">
        <w:rPr>
          <w:rStyle w:val="FootnoteReference"/>
        </w:rPr>
        <w:footnoteRef/>
      </w:r>
      <w:r w:rsidRPr="00E145DD">
        <w:t xml:space="preserve"> From the sum of the Schedule 1 amounts in AEP’s yearly ESRR applications. </w:t>
      </w:r>
    </w:p>
  </w:footnote>
  <w:footnote w:id="16">
    <w:p w:rsidR="002307EF" w:rsidRPr="00E145DD" w:rsidP="00541E37" w14:paraId="3F2BDD40" w14:textId="77777777">
      <w:pPr>
        <w:pStyle w:val="FootnoteText"/>
        <w:spacing w:after="120"/>
      </w:pPr>
      <w:r w:rsidRPr="00E145DD">
        <w:rPr>
          <w:rStyle w:val="FootnoteReference"/>
        </w:rPr>
        <w:footnoteRef/>
      </w:r>
      <w:r w:rsidRPr="00E145DD">
        <w:t xml:space="preserve"> </w:t>
      </w:r>
      <w:r w:rsidRPr="00E145DD">
        <w:rPr>
          <w:i/>
          <w:iCs/>
        </w:rPr>
        <w:t>In re the Application of the Ohio Power Company to Update its Enhanced Service Reliability Rider</w:t>
      </w:r>
      <w:r w:rsidRPr="00E145DD">
        <w:t>, Case 17-1914-EL-RDR, Direct Testimony of Jeffrey P. Hecker on Behalf of the Ohio Consumers’ Counsel at 4:13-15 (“Hecker Direct”).</w:t>
      </w:r>
    </w:p>
  </w:footnote>
  <w:footnote w:id="17">
    <w:p w:rsidR="002307EF" w:rsidRPr="00E145DD" w:rsidP="00F1007F" w14:paraId="10D3B5F9" w14:textId="77777777">
      <w:pPr>
        <w:pStyle w:val="FootnoteText"/>
        <w:spacing w:after="120"/>
      </w:pPr>
      <w:r w:rsidRPr="00E145DD">
        <w:rPr>
          <w:rStyle w:val="FootnoteReference"/>
        </w:rPr>
        <w:footnoteRef/>
      </w:r>
      <w:r w:rsidRPr="00E145DD">
        <w:t xml:space="preserve"> </w:t>
      </w:r>
      <w:r w:rsidRPr="00E145DD">
        <w:rPr>
          <w:i/>
          <w:iCs/>
          <w:color w:val="232323"/>
        </w:rPr>
        <w:t>In re matter of the application of Ohio Power Company for authority to establish a standard service</w:t>
      </w:r>
      <w:r w:rsidRPr="00E145DD">
        <w:t>, Case No. 13-2385-EL-SSO Opinion and Order at 47 (February 25, 2015).</w:t>
      </w:r>
    </w:p>
  </w:footnote>
  <w:footnote w:id="18">
    <w:p w:rsidR="002307EF" w:rsidRPr="00E145DD" w:rsidP="0067106F" w14:paraId="45409895" w14:textId="77777777">
      <w:pPr>
        <w:pStyle w:val="FootnoteText"/>
        <w:spacing w:after="120"/>
      </w:pPr>
      <w:r w:rsidRPr="00E145DD">
        <w:rPr>
          <w:rStyle w:val="FootnoteReference"/>
        </w:rPr>
        <w:footnoteRef/>
      </w:r>
      <w:r w:rsidRPr="00E145DD">
        <w:t xml:space="preserve"> </w:t>
      </w:r>
      <w:r w:rsidRPr="00E145DD">
        <w:rPr>
          <w:i/>
          <w:iCs/>
        </w:rPr>
        <w:t>Id.</w:t>
      </w:r>
    </w:p>
  </w:footnote>
  <w:footnote w:id="19">
    <w:p w:rsidR="002307EF" w:rsidRPr="00E145DD" w:rsidP="0067106F" w14:paraId="5A2A75ED" w14:textId="77777777">
      <w:pPr>
        <w:pStyle w:val="FootnoteText"/>
        <w:spacing w:after="120"/>
      </w:pPr>
      <w:r w:rsidRPr="00E145DD">
        <w:rPr>
          <w:rStyle w:val="FootnoteReference"/>
        </w:rPr>
        <w:footnoteRef/>
      </w:r>
      <w:r w:rsidRPr="00E145DD">
        <w:t xml:space="preserve"> </w:t>
      </w:r>
      <w:r w:rsidRPr="00E145DD">
        <w:rPr>
          <w:i/>
          <w:iCs/>
        </w:rPr>
        <w:t>Id.</w:t>
      </w:r>
    </w:p>
  </w:footnote>
  <w:footnote w:id="20">
    <w:p w:rsidR="002307EF" w:rsidRPr="00E145DD" w:rsidP="0067106F" w14:paraId="2C0E18E6" w14:textId="77777777">
      <w:pPr>
        <w:pStyle w:val="FootnoteText"/>
        <w:spacing w:after="120"/>
      </w:pPr>
      <w:r w:rsidRPr="00E145DD">
        <w:rPr>
          <w:rStyle w:val="FootnoteReference"/>
        </w:rPr>
        <w:footnoteRef/>
      </w:r>
      <w:r w:rsidRPr="00E145DD">
        <w:t xml:space="preserve"> </w:t>
      </w:r>
      <w:r w:rsidRPr="00E145DD">
        <w:rPr>
          <w:i/>
          <w:iCs/>
        </w:rPr>
        <w:t>Id.</w:t>
      </w:r>
    </w:p>
  </w:footnote>
  <w:footnote w:id="21">
    <w:p w:rsidR="002307EF" w:rsidRPr="00E145DD" w:rsidP="0067106F" w14:paraId="33DDE714" w14:textId="77777777">
      <w:pPr>
        <w:pStyle w:val="FootnoteText"/>
        <w:spacing w:after="120"/>
      </w:pPr>
      <w:r w:rsidRPr="00E145DD">
        <w:rPr>
          <w:rStyle w:val="FootnoteReference"/>
        </w:rPr>
        <w:footnoteRef/>
      </w:r>
      <w:r w:rsidRPr="00E145DD">
        <w:t xml:space="preserve"> </w:t>
      </w:r>
      <w:r w:rsidRPr="00E145DD">
        <w:rPr>
          <w:i/>
          <w:iCs/>
        </w:rPr>
        <w:t>Id.</w:t>
      </w:r>
    </w:p>
  </w:footnote>
  <w:footnote w:id="22">
    <w:p w:rsidR="002307EF" w:rsidRPr="00E145DD" w:rsidP="0067106F" w14:paraId="62F6B498" w14:textId="77777777">
      <w:pPr>
        <w:pStyle w:val="FootnoteText"/>
        <w:spacing w:after="120"/>
      </w:pPr>
      <w:r w:rsidRPr="00E145DD">
        <w:rPr>
          <w:rStyle w:val="FootnoteReference"/>
        </w:rPr>
        <w:footnoteRef/>
      </w:r>
      <w:r w:rsidRPr="00E145DD">
        <w:t xml:space="preserve"> </w:t>
      </w:r>
      <w:r w:rsidRPr="00E145DD">
        <w:rPr>
          <w:i/>
          <w:iCs/>
        </w:rPr>
        <w:t>Id.</w:t>
      </w:r>
    </w:p>
  </w:footnote>
  <w:footnote w:id="23">
    <w:p w:rsidR="002307EF" w:rsidRPr="00E145DD" w:rsidP="0067106F" w14:paraId="15C3CAFE" w14:textId="77777777">
      <w:pPr>
        <w:pStyle w:val="FootnoteText"/>
        <w:spacing w:after="120"/>
      </w:pPr>
      <w:r w:rsidRPr="00E145DD">
        <w:rPr>
          <w:rStyle w:val="FootnoteReference"/>
        </w:rPr>
        <w:footnoteRef/>
      </w:r>
      <w:r w:rsidRPr="00E145DD">
        <w:t xml:space="preserve"> </w:t>
      </w:r>
      <w:r w:rsidRPr="00E145DD">
        <w:rPr>
          <w:i/>
          <w:iCs/>
        </w:rPr>
        <w:t>In the Matter of the Annual Report of Electric Distribution System Reliability Pursuant to Rule 4901:1-10-10(C)</w:t>
      </w:r>
      <w:r w:rsidRPr="00E145DD">
        <w:t>, Case No. 19-0992-EL-ESS (March 29, 2019) at 2.</w:t>
      </w:r>
    </w:p>
  </w:footnote>
  <w:footnote w:id="24">
    <w:p w:rsidR="002307EF" w:rsidRPr="00E145DD" w:rsidP="0067106F" w14:paraId="7CECF384" w14:textId="77777777">
      <w:pPr>
        <w:pStyle w:val="FootnoteText"/>
        <w:spacing w:after="120"/>
      </w:pPr>
      <w:r w:rsidRPr="00E145DD">
        <w:rPr>
          <w:rStyle w:val="FootnoteReference"/>
        </w:rPr>
        <w:footnoteRef/>
      </w:r>
      <w:r w:rsidRPr="00E145DD">
        <w:t xml:space="preserve"> In the Matter of the Annual Report of Electric Distribution System Reliability Pursuant to Rule 4901:1-10-10(C). Case No. 19-0992-EL-ESS (March 29, 2019) at 2. </w:t>
      </w:r>
    </w:p>
  </w:footnote>
  <w:footnote w:id="25">
    <w:p w:rsidR="002307EF" w:rsidRPr="00E145DD" w:rsidP="0067106F" w14:paraId="29471826" w14:textId="77777777">
      <w:pPr>
        <w:pStyle w:val="FootnoteText"/>
        <w:spacing w:after="120"/>
      </w:pPr>
      <w:r w:rsidRPr="00E145DD">
        <w:rPr>
          <w:rStyle w:val="FootnoteReference"/>
        </w:rPr>
        <w:footnoteRef/>
      </w:r>
      <w:r w:rsidRPr="00E145DD">
        <w:t xml:space="preserve"> Williams Direct at 5:3.</w:t>
      </w:r>
    </w:p>
  </w:footnote>
  <w:footnote w:id="26">
    <w:p w:rsidR="002307EF" w:rsidRPr="00E145DD" w:rsidP="0067106F" w14:paraId="277633C3" w14:textId="77777777">
      <w:pPr>
        <w:pStyle w:val="FootnoteText"/>
        <w:spacing w:after="120"/>
      </w:pPr>
      <w:r w:rsidRPr="00E145DD">
        <w:rPr>
          <w:rStyle w:val="FootnoteReference"/>
        </w:rPr>
        <w:footnoteRef/>
      </w:r>
      <w:r w:rsidRPr="00E145DD">
        <w:t xml:space="preserve"> </w:t>
      </w:r>
      <w:r w:rsidRPr="00E145DD">
        <w:rPr>
          <w:i/>
          <w:iCs/>
        </w:rPr>
        <w:t>Id.</w:t>
      </w:r>
      <w:r w:rsidRPr="00E145DD">
        <w:t xml:space="preserve"> at 5:3-4.</w:t>
      </w:r>
    </w:p>
  </w:footnote>
  <w:footnote w:id="27">
    <w:p w:rsidR="002307EF" w:rsidRPr="00E145DD" w:rsidP="0067106F" w14:paraId="7CAC7E07" w14:textId="77777777">
      <w:pPr>
        <w:pStyle w:val="FootnoteText"/>
        <w:spacing w:after="120"/>
      </w:pPr>
      <w:r w:rsidRPr="00E145DD">
        <w:rPr>
          <w:rStyle w:val="FootnoteReference"/>
        </w:rPr>
        <w:footnoteRef/>
      </w:r>
      <w:r w:rsidRPr="00E145DD">
        <w:t xml:space="preserve"> Williams Direct at 5:5.</w:t>
      </w:r>
    </w:p>
  </w:footnote>
  <w:footnote w:id="28">
    <w:p w:rsidR="002307EF" w:rsidRPr="00E145DD" w:rsidP="0067106F" w14:paraId="006BC99C" w14:textId="77777777">
      <w:pPr>
        <w:pStyle w:val="FootnoteText"/>
        <w:spacing w:after="120"/>
      </w:pPr>
      <w:r w:rsidRPr="00E145DD">
        <w:rPr>
          <w:rStyle w:val="FootnoteReference"/>
        </w:rPr>
        <w:footnoteRef/>
      </w:r>
      <w:r w:rsidRPr="00E145DD">
        <w:t xml:space="preserve"> Williams Direct at 5:11.</w:t>
      </w:r>
    </w:p>
  </w:footnote>
  <w:footnote w:id="29">
    <w:p w:rsidR="002307EF" w:rsidRPr="00E145DD" w:rsidP="0067106F" w14:paraId="42220AE9" w14:textId="77777777">
      <w:pPr>
        <w:pStyle w:val="FootnoteText"/>
        <w:spacing w:after="120"/>
      </w:pPr>
      <w:r w:rsidRPr="00E145DD">
        <w:rPr>
          <w:rStyle w:val="FootnoteReference"/>
        </w:rPr>
        <w:footnoteRef/>
      </w:r>
      <w:r w:rsidRPr="00E145DD">
        <w:t xml:space="preserve"> Moore Direct at 25 (The data excludes outages that are associated with major events and transmission outages).</w:t>
      </w:r>
    </w:p>
  </w:footnote>
  <w:footnote w:id="30">
    <w:p w:rsidR="002307EF" w:rsidRPr="00E145DD" w:rsidP="0067106F" w14:paraId="2F09710D" w14:textId="77777777">
      <w:pPr>
        <w:pStyle w:val="FootnoteText"/>
        <w:spacing w:after="120"/>
      </w:pPr>
      <w:r w:rsidRPr="00E145DD">
        <w:rPr>
          <w:rStyle w:val="FootnoteReference"/>
        </w:rPr>
        <w:footnoteRef/>
      </w:r>
      <w:r w:rsidRPr="00E145DD">
        <w:t xml:space="preserve"> Williams Direct at 5:11-12.</w:t>
      </w:r>
    </w:p>
  </w:footnote>
  <w:footnote w:id="31">
    <w:p w:rsidR="002307EF" w:rsidRPr="00E145DD" w:rsidP="0067106F" w14:paraId="1842CDF3" w14:textId="77777777">
      <w:pPr>
        <w:pStyle w:val="FootnoteText"/>
        <w:spacing w:after="120"/>
      </w:pPr>
      <w:r w:rsidRPr="00E145DD">
        <w:rPr>
          <w:rStyle w:val="FootnoteReference"/>
        </w:rPr>
        <w:footnoteRef/>
      </w:r>
      <w:r w:rsidRPr="00E145DD">
        <w:t xml:space="preserve"> Moore Direct at 10-13.</w:t>
      </w:r>
    </w:p>
  </w:footnote>
  <w:footnote w:id="32">
    <w:p w:rsidR="002307EF" w:rsidRPr="00E145DD" w:rsidP="0067106F" w14:paraId="1BEF6BFD" w14:textId="77777777">
      <w:pPr>
        <w:pStyle w:val="FootnoteText"/>
        <w:spacing w:after="120"/>
      </w:pPr>
      <w:r w:rsidRPr="00E145DD">
        <w:rPr>
          <w:rStyle w:val="FootnoteReference"/>
        </w:rPr>
        <w:footnoteRef/>
      </w:r>
      <w:r w:rsidRPr="00E145DD">
        <w:t xml:space="preserve"> Moore Direct at 10-13.</w:t>
      </w:r>
    </w:p>
  </w:footnote>
  <w:footnote w:id="33">
    <w:p w:rsidR="002307EF" w:rsidRPr="00E145DD" w:rsidP="0067106F" w14:paraId="4B0E7711" w14:textId="77777777">
      <w:pPr>
        <w:pStyle w:val="FootnoteText"/>
        <w:spacing w:after="120"/>
      </w:pPr>
      <w:r w:rsidRPr="00E145DD">
        <w:rPr>
          <w:rStyle w:val="FootnoteReference"/>
        </w:rPr>
        <w:footnoteRef/>
      </w:r>
      <w:r w:rsidRPr="00E145DD">
        <w:t xml:space="preserve"> Williams Direct at 6:4.</w:t>
      </w:r>
    </w:p>
  </w:footnote>
  <w:footnote w:id="34">
    <w:p w:rsidR="002307EF" w:rsidRPr="00384D05" w:rsidP="00541E37" w14:paraId="50273A75" w14:textId="6A4B79EF">
      <w:pPr>
        <w:pStyle w:val="FootnoteText"/>
        <w:spacing w:after="120"/>
      </w:pPr>
      <w:r>
        <w:rPr>
          <w:rStyle w:val="FootnoteReference"/>
        </w:rPr>
        <w:footnoteRef/>
      </w:r>
      <w:r>
        <w:t xml:space="preserve"> </w:t>
      </w:r>
      <w:r>
        <w:rPr>
          <w:i/>
          <w:iCs/>
        </w:rPr>
        <w:t xml:space="preserve">See, e.g., </w:t>
      </w:r>
      <w:r>
        <w:t>OCC’s Initial Brief at 6-11.</w:t>
      </w:r>
    </w:p>
  </w:footnote>
  <w:footnote w:id="35">
    <w:p w:rsidR="002307EF" w:rsidRPr="005F3F17" w:rsidP="00541E37" w14:paraId="6CFDC573" w14:textId="77777777">
      <w:pPr>
        <w:pStyle w:val="FootnoteText"/>
        <w:spacing w:after="120"/>
      </w:pPr>
      <w:r>
        <w:rPr>
          <w:rStyle w:val="FootnoteReference"/>
        </w:rPr>
        <w:footnoteRef/>
      </w:r>
      <w:r>
        <w:t xml:space="preserve"> </w:t>
      </w:r>
      <w:r>
        <w:rPr>
          <w:i/>
          <w:iCs/>
        </w:rPr>
        <w:t xml:space="preserve">See </w:t>
      </w:r>
      <w:r>
        <w:t>OCC’s Initial Brief at 2-4; Case No. 08-917-EL-SSO, Opinion and Order at 30 (March 18, 2009) (“While noting that they are providing adequate and reliable electric service, the Companies justify the need for the ESRP by stating that customers' service reliability expectations are increasing, and in order to maintain and enhance reliability, the ESRP is required.”).</w:t>
      </w:r>
    </w:p>
  </w:footnote>
  <w:footnote w:id="36">
    <w:p w:rsidR="002307EF" w:rsidRPr="000F1974" w:rsidP="00541E37" w14:paraId="2228515D" w14:textId="4B8553AB">
      <w:pPr>
        <w:pStyle w:val="FootnoteText"/>
        <w:spacing w:after="120"/>
        <w:rPr>
          <w:i/>
          <w:iCs/>
        </w:rPr>
      </w:pPr>
      <w:r>
        <w:rPr>
          <w:rStyle w:val="FootnoteReference"/>
        </w:rPr>
        <w:footnoteRef/>
      </w:r>
      <w:r>
        <w:t xml:space="preserve"> </w:t>
      </w:r>
      <w:r>
        <w:rPr>
          <w:i/>
          <w:iCs/>
        </w:rPr>
        <w:t>See, e.g., id.</w:t>
      </w:r>
    </w:p>
  </w:footnote>
  <w:footnote w:id="37">
    <w:p w:rsidR="002307EF" w:rsidP="00541E37" w14:paraId="1834E3F3" w14:textId="35060F5C">
      <w:pPr>
        <w:pStyle w:val="FootnoteText"/>
        <w:spacing w:after="120"/>
      </w:pPr>
      <w:r>
        <w:rPr>
          <w:rStyle w:val="FootnoteReference"/>
        </w:rPr>
        <w:footnoteRef/>
      </w:r>
      <w:r>
        <w:t xml:space="preserve"> Opinion and Order at ¶ 31.</w:t>
      </w:r>
    </w:p>
  </w:footnote>
  <w:footnote w:id="38">
    <w:p w:rsidR="002307EF" w:rsidRPr="0090700B" w:rsidP="00541E37" w14:paraId="5DA9D5E4" w14:textId="77777777">
      <w:pPr>
        <w:pStyle w:val="FootnoteText"/>
        <w:spacing w:after="120"/>
      </w:pPr>
      <w:r>
        <w:rPr>
          <w:rStyle w:val="FootnoteReference"/>
        </w:rPr>
        <w:footnoteRef/>
      </w:r>
      <w:r>
        <w:t xml:space="preserve"> </w:t>
      </w:r>
      <w:r>
        <w:rPr>
          <w:i/>
        </w:rPr>
        <w:t xml:space="preserve">See, e.g., </w:t>
      </w:r>
      <w:r>
        <w:t>Williams Direct at 5-6.</w:t>
      </w:r>
    </w:p>
  </w:footnote>
  <w:footnote w:id="39">
    <w:p w:rsidR="002307EF" w:rsidRPr="00827F25" w:rsidP="00541E37" w14:paraId="577F85EC" w14:textId="77777777">
      <w:pPr>
        <w:pStyle w:val="FootnoteText"/>
        <w:spacing w:after="120"/>
      </w:pPr>
      <w:r>
        <w:rPr>
          <w:rStyle w:val="FootnoteReference"/>
        </w:rPr>
        <w:footnoteRef/>
      </w:r>
      <w:r>
        <w:t xml:space="preserve"> </w:t>
      </w:r>
      <w:r>
        <w:rPr>
          <w:i/>
          <w:iCs/>
        </w:rPr>
        <w:t xml:space="preserve">See, e.g., </w:t>
      </w:r>
      <w:r>
        <w:t>OCC’s Initial Brief at 11-18.</w:t>
      </w:r>
    </w:p>
  </w:footnote>
  <w:footnote w:id="40">
    <w:p w:rsidR="002307EF" w14:paraId="51E66476" w14:textId="379C292A">
      <w:pPr>
        <w:pStyle w:val="FootnoteText"/>
      </w:pPr>
      <w:r>
        <w:rPr>
          <w:rStyle w:val="FootnoteReference"/>
        </w:rPr>
        <w:footnoteRef/>
      </w:r>
      <w:r>
        <w:t xml:space="preserve"> </w:t>
      </w:r>
      <w:r w:rsidRPr="00541E37" w:rsidR="00541E37">
        <w:rPr>
          <w:i/>
        </w:rPr>
        <w:t xml:space="preserve">See </w:t>
      </w:r>
      <w:r w:rsidR="00541E37">
        <w:t xml:space="preserve">Section II, </w:t>
      </w:r>
      <w:r w:rsidRPr="00541E37" w:rsidR="00541E37">
        <w:rPr>
          <w:i/>
        </w:rPr>
        <w:t>supra</w:t>
      </w:r>
      <w:r w:rsidR="00541E37">
        <w:t>.</w:t>
      </w:r>
    </w:p>
  </w:footnote>
  <w:footnote w:id="41">
    <w:p w:rsidR="003B4A41" w:rsidRPr="003B4A41" w:rsidP="007A7EDB" w14:paraId="07A3C0E6" w14:textId="6492E99F">
      <w:pPr>
        <w:pStyle w:val="FootnoteText"/>
        <w:spacing w:after="120"/>
      </w:pPr>
      <w:r>
        <w:rPr>
          <w:rStyle w:val="FootnoteReference"/>
        </w:rPr>
        <w:footnoteRef/>
      </w:r>
      <w:r>
        <w:t xml:space="preserve"> </w:t>
      </w:r>
      <w:r>
        <w:rPr>
          <w:i/>
        </w:rPr>
        <w:t xml:space="preserve">See </w:t>
      </w:r>
      <w:r>
        <w:t>Opinion and Order at 11.</w:t>
      </w:r>
    </w:p>
  </w:footnote>
  <w:footnote w:id="42">
    <w:p w:rsidR="002307EF" w:rsidRPr="00823DC2" w:rsidP="007A7EDB" w14:paraId="6350C1FE" w14:textId="77777777">
      <w:pPr>
        <w:pStyle w:val="FootnoteText"/>
        <w:spacing w:after="120"/>
      </w:pPr>
      <w:r>
        <w:rPr>
          <w:rStyle w:val="FootnoteReference"/>
        </w:rPr>
        <w:footnoteRef/>
      </w:r>
      <w:r>
        <w:t xml:space="preserve"> </w:t>
      </w:r>
      <w:r>
        <w:rPr>
          <w:i/>
        </w:rPr>
        <w:t xml:space="preserve">See </w:t>
      </w:r>
      <w:r>
        <w:t>Section II, supra.</w:t>
      </w:r>
    </w:p>
  </w:footnote>
  <w:footnote w:id="43">
    <w:p w:rsidR="002307EF" w:rsidRPr="00BA531A" w:rsidP="007A7EDB" w14:paraId="42ED4E54" w14:textId="535D763A">
      <w:pPr>
        <w:pStyle w:val="FootnoteText"/>
        <w:spacing w:after="120"/>
        <w:rPr>
          <w:i/>
        </w:rPr>
      </w:pPr>
      <w:r>
        <w:rPr>
          <w:rStyle w:val="FootnoteReference"/>
        </w:rPr>
        <w:footnoteRef/>
      </w:r>
      <w:r>
        <w:t xml:space="preserve"> </w:t>
      </w:r>
      <w:r>
        <w:rPr>
          <w:i/>
        </w:rPr>
        <w:t>See id.</w:t>
      </w:r>
    </w:p>
  </w:footnote>
  <w:footnote w:id="44">
    <w:p w:rsidR="002307EF" w:rsidRPr="00BA531A" w:rsidP="007A7EDB" w14:paraId="5A536468" w14:textId="417C20A9">
      <w:pPr>
        <w:pStyle w:val="FootnoteText"/>
        <w:spacing w:after="120"/>
        <w:rPr>
          <w:i/>
        </w:rPr>
      </w:pPr>
      <w:r>
        <w:rPr>
          <w:rStyle w:val="FootnoteReference"/>
        </w:rPr>
        <w:footnoteRef/>
      </w:r>
      <w:r>
        <w:t xml:space="preserve"> </w:t>
      </w:r>
      <w:r>
        <w:rPr>
          <w:i/>
        </w:rPr>
        <w:t>See id.</w:t>
      </w:r>
    </w:p>
  </w:footnote>
  <w:footnote w:id="45">
    <w:p w:rsidR="002307EF" w:rsidP="00541E37" w14:paraId="6569A810" w14:textId="551DE3EA">
      <w:pPr>
        <w:pStyle w:val="FootnoteText"/>
        <w:spacing w:after="120"/>
      </w:pPr>
      <w:r>
        <w:rPr>
          <w:rStyle w:val="FootnoteReference"/>
        </w:rPr>
        <w:footnoteRef/>
      </w:r>
      <w:r>
        <w:t xml:space="preserve"> </w:t>
      </w:r>
      <w:r w:rsidRPr="00E145DD">
        <w:rPr>
          <w:i/>
        </w:rPr>
        <w:t>In the Matter of the Application of Columbus Southern Power Company for Approval of an Electric Security Plan; an Amendment to its Corporate Separation Plan; and the Sale or Transfer of Certain Generating Assets</w:t>
      </w:r>
      <w:r w:rsidRPr="00E145DD">
        <w:t>., Case 08-917-EL-SSO (March 18, 2009), pages 31-34</w:t>
      </w:r>
      <w:r>
        <w:t xml:space="preserve">; </w:t>
      </w:r>
      <w:r>
        <w:rPr>
          <w:i/>
          <w:iCs/>
        </w:rPr>
        <w:t>In the Matter of the Application of Columbus Southern Power Company and Ohio Power Company for Authority to Establish a Standard Service Offer Pursuant to Section 4921.143, Revised Code, in the Form of an Electric Security Plan</w:t>
      </w:r>
      <w:r>
        <w:rPr>
          <w:iCs/>
        </w:rPr>
        <w:t xml:space="preserve">, Case No. 11-346-EL-SSO (August 8, 2012), pages 64-65; </w:t>
      </w:r>
      <w:r>
        <w:rPr>
          <w:i/>
          <w:iCs/>
        </w:rPr>
        <w:t>See In the Matter of the Application of Ohio Power Company for Authority to Establish a Standard Service Offer Pursuant to R.C. 4928.143, in the Form of an Electric Security Plan</w:t>
      </w:r>
      <w:r>
        <w:rPr>
          <w:iCs/>
        </w:rPr>
        <w:t>, Case No. 13-2385-EL-SSO (February 25, 2015), pages 47-49.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4631" w14:paraId="64467C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8B8" w14:paraId="340E9E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8B8" w14:paraId="2BDA08E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C29" w14:paraId="702162B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7C29" w14:paraId="62ADDED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8B8" w14:paraId="62EAEFF4"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8B8" w14:paraId="687CDA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EAF99A"/>
    <w:lvl w:ilvl="0">
      <w:start w:val="1"/>
      <w:numFmt w:val="decimal"/>
      <w:lvlText w:val="%1."/>
      <w:lvlJc w:val="left"/>
      <w:pPr>
        <w:tabs>
          <w:tab w:val="num" w:pos="1800"/>
        </w:tabs>
        <w:ind w:left="1800" w:hanging="360"/>
      </w:pPr>
    </w:lvl>
  </w:abstractNum>
  <w:abstractNum w:abstractNumId="1">
    <w:nsid w:val="FFFFFF7D"/>
    <w:multiLevelType w:val="singleLevel"/>
    <w:tmpl w:val="6C84885A"/>
    <w:lvl w:ilvl="0">
      <w:start w:val="1"/>
      <w:numFmt w:val="decimal"/>
      <w:lvlText w:val="%1."/>
      <w:lvlJc w:val="left"/>
      <w:pPr>
        <w:tabs>
          <w:tab w:val="num" w:pos="1440"/>
        </w:tabs>
        <w:ind w:left="1440" w:hanging="360"/>
      </w:pPr>
    </w:lvl>
  </w:abstractNum>
  <w:abstractNum w:abstractNumId="2">
    <w:nsid w:val="FFFFFF7E"/>
    <w:multiLevelType w:val="singleLevel"/>
    <w:tmpl w:val="0D72403A"/>
    <w:lvl w:ilvl="0">
      <w:start w:val="1"/>
      <w:numFmt w:val="decimal"/>
      <w:lvlText w:val="%1."/>
      <w:lvlJc w:val="left"/>
      <w:pPr>
        <w:tabs>
          <w:tab w:val="num" w:pos="1080"/>
        </w:tabs>
        <w:ind w:left="1080" w:hanging="360"/>
      </w:pPr>
    </w:lvl>
  </w:abstractNum>
  <w:abstractNum w:abstractNumId="3">
    <w:nsid w:val="FFFFFF7F"/>
    <w:multiLevelType w:val="singleLevel"/>
    <w:tmpl w:val="A1E8CE90"/>
    <w:lvl w:ilvl="0">
      <w:start w:val="1"/>
      <w:numFmt w:val="decimal"/>
      <w:lvlText w:val="%1."/>
      <w:lvlJc w:val="left"/>
      <w:pPr>
        <w:tabs>
          <w:tab w:val="num" w:pos="720"/>
        </w:tabs>
        <w:ind w:left="720" w:hanging="360"/>
      </w:pPr>
    </w:lvl>
  </w:abstractNum>
  <w:abstractNum w:abstractNumId="4">
    <w:nsid w:val="FFFFFF80"/>
    <w:multiLevelType w:val="singleLevel"/>
    <w:tmpl w:val="66EE42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6660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524B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2E887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74CE44"/>
    <w:lvl w:ilvl="0">
      <w:start w:val="1"/>
      <w:numFmt w:val="decimal"/>
      <w:lvlText w:val="%1."/>
      <w:lvlJc w:val="left"/>
      <w:pPr>
        <w:tabs>
          <w:tab w:val="num" w:pos="360"/>
        </w:tabs>
        <w:ind w:left="360" w:hanging="360"/>
      </w:pPr>
    </w:lvl>
  </w:abstractNum>
  <w:abstractNum w:abstractNumId="9">
    <w:nsid w:val="FFFFFF89"/>
    <w:multiLevelType w:val="singleLevel"/>
    <w:tmpl w:val="8BA0F07E"/>
    <w:lvl w:ilvl="0">
      <w:start w:val="1"/>
      <w:numFmt w:val="bullet"/>
      <w:lvlText w:val=""/>
      <w:lvlJc w:val="left"/>
      <w:pPr>
        <w:tabs>
          <w:tab w:val="num" w:pos="360"/>
        </w:tabs>
        <w:ind w:left="360" w:hanging="360"/>
      </w:pPr>
      <w:rPr>
        <w:rFonts w:ascii="Symbol" w:hAnsi="Symbol" w:hint="default"/>
      </w:rPr>
    </w:lvl>
  </w:abstractNum>
  <w:abstractNum w:abstractNumId="10">
    <w:nsid w:val="10EB3032"/>
    <w:multiLevelType w:val="hybridMultilevel"/>
    <w:tmpl w:val="5EBA8B38"/>
    <w:lvl w:ilvl="0">
      <w:start w:val="1"/>
      <w:numFmt w:val="upperRoman"/>
      <w:lvlText w:val="%1."/>
      <w:lvlJc w:val="left"/>
      <w:pPr>
        <w:ind w:left="820" w:hanging="720"/>
      </w:pPr>
      <w:rPr>
        <w:rFonts w:ascii="Times New Roman" w:eastAsia="Times New Roman" w:hAnsi="Times New Roman" w:cs="Times New Roman" w:hint="default"/>
        <w:b/>
        <w:bCs/>
        <w:w w:val="99"/>
        <w:sz w:val="24"/>
        <w:szCs w:val="24"/>
      </w:rPr>
    </w:lvl>
    <w:lvl w:ilvl="1">
      <w:start w:val="0"/>
      <w:numFmt w:val="bullet"/>
      <w:lvlText w:val="•"/>
      <w:lvlJc w:val="left"/>
      <w:pPr>
        <w:ind w:left="1624" w:hanging="720"/>
      </w:pPr>
      <w:rPr>
        <w:rFonts w:hint="default"/>
      </w:rPr>
    </w:lvl>
    <w:lvl w:ilvl="2">
      <w:start w:val="0"/>
      <w:numFmt w:val="bullet"/>
      <w:lvlText w:val="•"/>
      <w:lvlJc w:val="left"/>
      <w:pPr>
        <w:ind w:left="2428" w:hanging="720"/>
      </w:pPr>
      <w:rPr>
        <w:rFonts w:hint="default"/>
      </w:rPr>
    </w:lvl>
    <w:lvl w:ilvl="3">
      <w:start w:val="0"/>
      <w:numFmt w:val="bullet"/>
      <w:lvlText w:val="•"/>
      <w:lvlJc w:val="left"/>
      <w:pPr>
        <w:ind w:left="3232" w:hanging="720"/>
      </w:pPr>
      <w:rPr>
        <w:rFonts w:hint="default"/>
      </w:rPr>
    </w:lvl>
    <w:lvl w:ilvl="4">
      <w:start w:val="0"/>
      <w:numFmt w:val="bullet"/>
      <w:lvlText w:val="•"/>
      <w:lvlJc w:val="left"/>
      <w:pPr>
        <w:ind w:left="4036" w:hanging="720"/>
      </w:pPr>
      <w:rPr>
        <w:rFonts w:hint="default"/>
      </w:rPr>
    </w:lvl>
    <w:lvl w:ilvl="5">
      <w:start w:val="0"/>
      <w:numFmt w:val="bullet"/>
      <w:lvlText w:val="•"/>
      <w:lvlJc w:val="left"/>
      <w:pPr>
        <w:ind w:left="4840" w:hanging="720"/>
      </w:pPr>
      <w:rPr>
        <w:rFonts w:hint="default"/>
      </w:rPr>
    </w:lvl>
    <w:lvl w:ilvl="6">
      <w:start w:val="0"/>
      <w:numFmt w:val="bullet"/>
      <w:lvlText w:val="•"/>
      <w:lvlJc w:val="left"/>
      <w:pPr>
        <w:ind w:left="5644" w:hanging="720"/>
      </w:pPr>
      <w:rPr>
        <w:rFonts w:hint="default"/>
      </w:rPr>
    </w:lvl>
    <w:lvl w:ilvl="7">
      <w:start w:val="0"/>
      <w:numFmt w:val="bullet"/>
      <w:lvlText w:val="•"/>
      <w:lvlJc w:val="left"/>
      <w:pPr>
        <w:ind w:left="6448" w:hanging="720"/>
      </w:pPr>
      <w:rPr>
        <w:rFonts w:hint="default"/>
      </w:rPr>
    </w:lvl>
    <w:lvl w:ilvl="8">
      <w:start w:val="0"/>
      <w:numFmt w:val="bullet"/>
      <w:lvlText w:val="•"/>
      <w:lvlJc w:val="left"/>
      <w:pPr>
        <w:ind w:left="7252" w:hanging="720"/>
      </w:pPr>
      <w:rPr>
        <w:rFonts w:hint="default"/>
      </w:rPr>
    </w:lvl>
  </w:abstractNum>
  <w:abstractNum w:abstractNumId="11">
    <w:nsid w:val="16E1687F"/>
    <w:multiLevelType w:val="hybridMultilevel"/>
    <w:tmpl w:val="E6A04D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975ACF"/>
    <w:multiLevelType w:val="hybridMultilevel"/>
    <w:tmpl w:val="2AB0EB8C"/>
    <w:lvl w:ilvl="0">
      <w:start w:val="1"/>
      <w:numFmt w:val="upperRoman"/>
      <w:lvlText w:val="%1."/>
      <w:lvlJc w:val="left"/>
      <w:pPr>
        <w:ind w:left="879" w:hanging="720"/>
        <w:jc w:val="right"/>
      </w:pPr>
      <w:rPr>
        <w:rFonts w:ascii="Times New Roman" w:eastAsia="Times New Roman" w:hAnsi="Times New Roman" w:cs="Times New Roman" w:hint="default"/>
        <w:b/>
        <w:bCs/>
        <w:w w:val="99"/>
        <w:sz w:val="24"/>
        <w:szCs w:val="24"/>
      </w:rPr>
    </w:lvl>
    <w:lvl w:ilvl="1">
      <w:start w:val="0"/>
      <w:numFmt w:val="bullet"/>
      <w:lvlText w:val="•"/>
      <w:lvlJc w:val="left"/>
      <w:pPr>
        <w:ind w:left="880" w:hanging="720"/>
      </w:pPr>
      <w:rPr>
        <w:rFonts w:hint="default"/>
      </w:rPr>
    </w:lvl>
    <w:lvl w:ilvl="2">
      <w:start w:val="0"/>
      <w:numFmt w:val="bullet"/>
      <w:lvlText w:val="•"/>
      <w:lvlJc w:val="left"/>
      <w:pPr>
        <w:ind w:left="1762" w:hanging="720"/>
      </w:pPr>
      <w:rPr>
        <w:rFonts w:hint="default"/>
      </w:rPr>
    </w:lvl>
    <w:lvl w:ilvl="3">
      <w:start w:val="0"/>
      <w:numFmt w:val="bullet"/>
      <w:lvlText w:val="•"/>
      <w:lvlJc w:val="left"/>
      <w:pPr>
        <w:ind w:left="2644" w:hanging="720"/>
      </w:pPr>
      <w:rPr>
        <w:rFonts w:hint="default"/>
      </w:rPr>
    </w:lvl>
    <w:lvl w:ilvl="4">
      <w:start w:val="0"/>
      <w:numFmt w:val="bullet"/>
      <w:lvlText w:val="•"/>
      <w:lvlJc w:val="left"/>
      <w:pPr>
        <w:ind w:left="3526" w:hanging="720"/>
      </w:pPr>
      <w:rPr>
        <w:rFonts w:hint="default"/>
      </w:rPr>
    </w:lvl>
    <w:lvl w:ilvl="5">
      <w:start w:val="0"/>
      <w:numFmt w:val="bullet"/>
      <w:lvlText w:val="•"/>
      <w:lvlJc w:val="left"/>
      <w:pPr>
        <w:ind w:left="4408" w:hanging="720"/>
      </w:pPr>
      <w:rPr>
        <w:rFonts w:hint="default"/>
      </w:rPr>
    </w:lvl>
    <w:lvl w:ilvl="6">
      <w:start w:val="0"/>
      <w:numFmt w:val="bullet"/>
      <w:lvlText w:val="•"/>
      <w:lvlJc w:val="left"/>
      <w:pPr>
        <w:ind w:left="5291" w:hanging="720"/>
      </w:pPr>
      <w:rPr>
        <w:rFonts w:hint="default"/>
      </w:rPr>
    </w:lvl>
    <w:lvl w:ilvl="7">
      <w:start w:val="0"/>
      <w:numFmt w:val="bullet"/>
      <w:lvlText w:val="•"/>
      <w:lvlJc w:val="left"/>
      <w:pPr>
        <w:ind w:left="6173" w:hanging="720"/>
      </w:pPr>
      <w:rPr>
        <w:rFonts w:hint="default"/>
      </w:rPr>
    </w:lvl>
    <w:lvl w:ilvl="8">
      <w:start w:val="0"/>
      <w:numFmt w:val="bullet"/>
      <w:lvlText w:val="•"/>
      <w:lvlJc w:val="left"/>
      <w:pPr>
        <w:ind w:left="7055" w:hanging="720"/>
      </w:pPr>
      <w:rPr>
        <w:rFonts w:hint="default"/>
      </w:rPr>
    </w:lvl>
  </w:abstractNum>
  <w:abstractNum w:abstractNumId="13">
    <w:nsid w:val="3A8825A1"/>
    <w:multiLevelType w:val="hybridMultilevel"/>
    <w:tmpl w:val="6CD22B3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4505B4"/>
    <w:multiLevelType w:val="hybridMultilevel"/>
    <w:tmpl w:val="6D00349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AA6031E"/>
    <w:multiLevelType w:val="hybridMultilevel"/>
    <w:tmpl w:val="2174C78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B40088C"/>
    <w:multiLevelType w:val="hybridMultilevel"/>
    <w:tmpl w:val="C3EE391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5454B32"/>
    <w:multiLevelType w:val="hybridMultilevel"/>
    <w:tmpl w:val="3058FA8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76830B7"/>
    <w:multiLevelType w:val="hybridMultilevel"/>
    <w:tmpl w:val="BA2A729A"/>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7A305A5A"/>
    <w:multiLevelType w:val="hybridMultilevel"/>
    <w:tmpl w:val="2CE48DE0"/>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2"/>
  </w:num>
  <w:num w:numId="2">
    <w:abstractNumId w:val="10"/>
  </w:num>
  <w:num w:numId="3">
    <w:abstractNumId w:val="11"/>
  </w:num>
  <w:num w:numId="4">
    <w:abstractNumId w:val="11"/>
    <w:lvlOverride w:ilvl="0">
      <w:startOverride w:val="1"/>
    </w:lvlOverride>
  </w:num>
  <w:num w:numId="5">
    <w:abstractNumId w:val="14"/>
  </w:num>
  <w:num w:numId="6">
    <w:abstractNumId w:val="14"/>
    <w:lvlOverride w:ilvl="0">
      <w:startOverride w:val="1"/>
    </w:lvlOverride>
  </w:num>
  <w:num w:numId="7">
    <w:abstractNumId w:val="14"/>
    <w:lvlOverride w:ilvl="0">
      <w:startOverride w:val="1"/>
    </w:lvlOverride>
  </w:num>
  <w:num w:numId="8">
    <w:abstractNumId w:val="16"/>
  </w:num>
  <w:num w:numId="9">
    <w:abstractNumId w:val="18"/>
  </w:num>
  <w:num w:numId="10">
    <w:abstractNumId w:val="19"/>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A1"/>
    <w:rsid w:val="0000093A"/>
    <w:rsid w:val="0001553C"/>
    <w:rsid w:val="00030E16"/>
    <w:rsid w:val="00055FF8"/>
    <w:rsid w:val="000C6EC9"/>
    <w:rsid w:val="000E3FEA"/>
    <w:rsid w:val="000F1974"/>
    <w:rsid w:val="00101037"/>
    <w:rsid w:val="00134417"/>
    <w:rsid w:val="00141E83"/>
    <w:rsid w:val="0016023C"/>
    <w:rsid w:val="001624B3"/>
    <w:rsid w:val="001A44AF"/>
    <w:rsid w:val="001E32D8"/>
    <w:rsid w:val="00200B16"/>
    <w:rsid w:val="002307EF"/>
    <w:rsid w:val="0026076B"/>
    <w:rsid w:val="002A31AF"/>
    <w:rsid w:val="002A3CE0"/>
    <w:rsid w:val="002B7EC8"/>
    <w:rsid w:val="002C3B3B"/>
    <w:rsid w:val="002C5FB3"/>
    <w:rsid w:val="00300E12"/>
    <w:rsid w:val="00313B60"/>
    <w:rsid w:val="00325153"/>
    <w:rsid w:val="00384D05"/>
    <w:rsid w:val="003B4A41"/>
    <w:rsid w:val="003C5146"/>
    <w:rsid w:val="003D2846"/>
    <w:rsid w:val="003F494D"/>
    <w:rsid w:val="004176B6"/>
    <w:rsid w:val="00420722"/>
    <w:rsid w:val="00424407"/>
    <w:rsid w:val="00433C02"/>
    <w:rsid w:val="00473A20"/>
    <w:rsid w:val="004D7560"/>
    <w:rsid w:val="004F039D"/>
    <w:rsid w:val="00506148"/>
    <w:rsid w:val="00521113"/>
    <w:rsid w:val="00541E37"/>
    <w:rsid w:val="00594AF8"/>
    <w:rsid w:val="005B2DFF"/>
    <w:rsid w:val="005B326A"/>
    <w:rsid w:val="005C7C7A"/>
    <w:rsid w:val="005F0326"/>
    <w:rsid w:val="005F3F17"/>
    <w:rsid w:val="00607EAC"/>
    <w:rsid w:val="006301EC"/>
    <w:rsid w:val="00631488"/>
    <w:rsid w:val="0065430E"/>
    <w:rsid w:val="00657A8D"/>
    <w:rsid w:val="0067106F"/>
    <w:rsid w:val="0069553B"/>
    <w:rsid w:val="006C1863"/>
    <w:rsid w:val="006C61D7"/>
    <w:rsid w:val="006D4D23"/>
    <w:rsid w:val="00754A9A"/>
    <w:rsid w:val="00795002"/>
    <w:rsid w:val="007A21FE"/>
    <w:rsid w:val="007A737A"/>
    <w:rsid w:val="007A7EDB"/>
    <w:rsid w:val="007B175C"/>
    <w:rsid w:val="007B2BE5"/>
    <w:rsid w:val="007C4907"/>
    <w:rsid w:val="007C60E6"/>
    <w:rsid w:val="007D15F4"/>
    <w:rsid w:val="007F324E"/>
    <w:rsid w:val="00817C29"/>
    <w:rsid w:val="00823DC2"/>
    <w:rsid w:val="00824504"/>
    <w:rsid w:val="00827F25"/>
    <w:rsid w:val="0086217D"/>
    <w:rsid w:val="0088112F"/>
    <w:rsid w:val="008970BF"/>
    <w:rsid w:val="008B7765"/>
    <w:rsid w:val="008E125D"/>
    <w:rsid w:val="00905B6C"/>
    <w:rsid w:val="0090700B"/>
    <w:rsid w:val="00935BDA"/>
    <w:rsid w:val="00943969"/>
    <w:rsid w:val="00947825"/>
    <w:rsid w:val="00966FCE"/>
    <w:rsid w:val="00970CC4"/>
    <w:rsid w:val="00972435"/>
    <w:rsid w:val="00A00B67"/>
    <w:rsid w:val="00A2006C"/>
    <w:rsid w:val="00A201A1"/>
    <w:rsid w:val="00A33637"/>
    <w:rsid w:val="00A70FBC"/>
    <w:rsid w:val="00A738AD"/>
    <w:rsid w:val="00AD365D"/>
    <w:rsid w:val="00AE36CF"/>
    <w:rsid w:val="00B176A2"/>
    <w:rsid w:val="00B26D05"/>
    <w:rsid w:val="00B41FE5"/>
    <w:rsid w:val="00B47018"/>
    <w:rsid w:val="00B628B8"/>
    <w:rsid w:val="00B96ED4"/>
    <w:rsid w:val="00BA531A"/>
    <w:rsid w:val="00BD7EA8"/>
    <w:rsid w:val="00C617B9"/>
    <w:rsid w:val="00C72299"/>
    <w:rsid w:val="00C72E54"/>
    <w:rsid w:val="00CA0E95"/>
    <w:rsid w:val="00CA50A2"/>
    <w:rsid w:val="00D06CB2"/>
    <w:rsid w:val="00D23548"/>
    <w:rsid w:val="00D55CF0"/>
    <w:rsid w:val="00DB4631"/>
    <w:rsid w:val="00E145DD"/>
    <w:rsid w:val="00E83BD3"/>
    <w:rsid w:val="00E87B73"/>
    <w:rsid w:val="00EC4D02"/>
    <w:rsid w:val="00EE0B39"/>
    <w:rsid w:val="00F1007F"/>
    <w:rsid w:val="00F66E00"/>
    <w:rsid w:val="00F85F9C"/>
    <w:rsid w:val="00FC6D7A"/>
    <w:rsid w:val="00FF25A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1E37"/>
    <w:rPr>
      <w:rFonts w:ascii="Times New Roman" w:eastAsia="Times New Roman" w:hAnsi="Times New Roman" w:cs="Times New Roman"/>
    </w:rPr>
  </w:style>
  <w:style w:type="paragraph" w:styleId="Heading1">
    <w:name w:val="heading 1"/>
    <w:basedOn w:val="Normal"/>
    <w:autoRedefine/>
    <w:uiPriority w:val="1"/>
    <w:qFormat/>
    <w:rsid w:val="00433C02"/>
    <w:pPr>
      <w:spacing w:after="240" w:line="480" w:lineRule="auto"/>
      <w:ind w:left="720" w:hanging="720"/>
      <w:outlineLvl w:val="0"/>
    </w:pPr>
    <w:rPr>
      <w:rFonts w:ascii="Times New Roman Bold" w:hAnsi="Times New Roman Bold"/>
      <w:b/>
      <w:bCs/>
      <w:caps/>
      <w:sz w:val="24"/>
      <w:szCs w:val="24"/>
    </w:rPr>
  </w:style>
  <w:style w:type="paragraph" w:styleId="Heading2">
    <w:name w:val="heading 2"/>
    <w:basedOn w:val="Normal"/>
    <w:next w:val="Normal"/>
    <w:link w:val="Heading2Char"/>
    <w:autoRedefine/>
    <w:uiPriority w:val="9"/>
    <w:unhideWhenUsed/>
    <w:qFormat/>
    <w:rsid w:val="007A7EDB"/>
    <w:pPr>
      <w:keepNext/>
      <w:keepLines/>
      <w:tabs>
        <w:tab w:val="decimal" w:leader="dot" w:pos="8640"/>
      </w:tabs>
      <w:spacing w:after="240"/>
      <w:ind w:left="1440" w:hanging="720"/>
      <w:outlineLvl w:val="1"/>
    </w:pPr>
    <w:rPr>
      <w:rFonts w:ascii="Times New Roman Bold" w:hAnsi="Times New Roman Bold"/>
      <w:b/>
      <w:bCs/>
      <w:sz w:val="24"/>
      <w:szCs w:val="24"/>
    </w:rPr>
  </w:style>
  <w:style w:type="paragraph" w:styleId="Heading3">
    <w:name w:val="heading 3"/>
    <w:basedOn w:val="Normal"/>
    <w:next w:val="Normal"/>
    <w:link w:val="Heading3Char"/>
    <w:autoRedefine/>
    <w:uiPriority w:val="9"/>
    <w:unhideWhenUsed/>
    <w:qFormat/>
    <w:rsid w:val="00B628B8"/>
    <w:pPr>
      <w:keepNext/>
      <w:keepLines/>
      <w:tabs>
        <w:tab w:val="decimal" w:leader="dot" w:pos="8640"/>
      </w:tabs>
      <w:spacing w:after="240"/>
      <w:outlineLvl w:val="2"/>
    </w:pPr>
    <w:rPr>
      <w:rFonts w:ascii="Times New Roman Bold" w:hAnsi="Times New Roman Bold"/>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B628B8"/>
    <w:pPr>
      <w:tabs>
        <w:tab w:val="decimal" w:leader="dot" w:pos="8640"/>
      </w:tabs>
      <w:spacing w:after="240"/>
      <w:ind w:left="720" w:hanging="720"/>
    </w:pPr>
    <w:rPr>
      <w:bCs/>
      <w:caps/>
      <w:sz w:val="24"/>
      <w:szCs w:val="24"/>
    </w:rPr>
  </w:style>
  <w:style w:type="paragraph" w:styleId="TOC2">
    <w:name w:val="toc 2"/>
    <w:basedOn w:val="Normal"/>
    <w:autoRedefine/>
    <w:uiPriority w:val="39"/>
    <w:qFormat/>
    <w:rsid w:val="00B628B8"/>
    <w:pPr>
      <w:tabs>
        <w:tab w:val="decimal" w:leader="dot" w:pos="8640"/>
      </w:tabs>
      <w:spacing w:after="240"/>
      <w:ind w:left="1440" w:hanging="720"/>
      <w:outlineLvl w:val="1"/>
    </w:pPr>
    <w:rPr>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239"/>
      <w:ind w:left="82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803BC"/>
    <w:rPr>
      <w:sz w:val="16"/>
      <w:szCs w:val="16"/>
    </w:rPr>
  </w:style>
  <w:style w:type="paragraph" w:styleId="CommentText">
    <w:name w:val="annotation text"/>
    <w:basedOn w:val="Normal"/>
    <w:link w:val="CommentTextChar"/>
    <w:uiPriority w:val="99"/>
    <w:unhideWhenUsed/>
    <w:rsid w:val="006803BC"/>
    <w:rPr>
      <w:sz w:val="20"/>
      <w:szCs w:val="20"/>
    </w:rPr>
  </w:style>
  <w:style w:type="character" w:customStyle="1" w:styleId="CommentTextChar">
    <w:name w:val="Comment Text Char"/>
    <w:basedOn w:val="DefaultParagraphFont"/>
    <w:link w:val="CommentText"/>
    <w:uiPriority w:val="99"/>
    <w:rsid w:val="006803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03BC"/>
    <w:rPr>
      <w:b/>
      <w:bCs/>
    </w:rPr>
  </w:style>
  <w:style w:type="character" w:customStyle="1" w:styleId="CommentSubjectChar">
    <w:name w:val="Comment Subject Char"/>
    <w:basedOn w:val="CommentTextChar"/>
    <w:link w:val="CommentSubject"/>
    <w:uiPriority w:val="99"/>
    <w:semiHidden/>
    <w:rsid w:val="006803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80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3BC"/>
    <w:rPr>
      <w:rFonts w:ascii="Segoe UI" w:eastAsia="Times New Roman" w:hAnsi="Segoe UI" w:cs="Segoe UI"/>
      <w:sz w:val="18"/>
      <w:szCs w:val="18"/>
    </w:rPr>
  </w:style>
  <w:style w:type="paragraph" w:styleId="Header">
    <w:name w:val="header"/>
    <w:basedOn w:val="Normal"/>
    <w:link w:val="HeaderChar"/>
    <w:uiPriority w:val="99"/>
    <w:unhideWhenUsed/>
    <w:rsid w:val="00BF3007"/>
    <w:pPr>
      <w:tabs>
        <w:tab w:val="center" w:pos="4680"/>
        <w:tab w:val="right" w:pos="9360"/>
      </w:tabs>
    </w:pPr>
  </w:style>
  <w:style w:type="character" w:customStyle="1" w:styleId="HeaderChar">
    <w:name w:val="Header Char"/>
    <w:basedOn w:val="DefaultParagraphFont"/>
    <w:link w:val="Header"/>
    <w:uiPriority w:val="99"/>
    <w:rsid w:val="00BF3007"/>
    <w:rPr>
      <w:rFonts w:ascii="Times New Roman" w:eastAsia="Times New Roman" w:hAnsi="Times New Roman" w:cs="Times New Roman"/>
    </w:rPr>
  </w:style>
  <w:style w:type="paragraph" w:styleId="Footer">
    <w:name w:val="footer"/>
    <w:basedOn w:val="Normal"/>
    <w:link w:val="FooterChar"/>
    <w:uiPriority w:val="99"/>
    <w:unhideWhenUsed/>
    <w:rsid w:val="00BF3007"/>
    <w:pPr>
      <w:tabs>
        <w:tab w:val="center" w:pos="4680"/>
        <w:tab w:val="right" w:pos="9360"/>
      </w:tabs>
    </w:pPr>
  </w:style>
  <w:style w:type="character" w:customStyle="1" w:styleId="FooterChar">
    <w:name w:val="Footer Char"/>
    <w:basedOn w:val="DefaultParagraphFont"/>
    <w:link w:val="Footer"/>
    <w:uiPriority w:val="99"/>
    <w:rsid w:val="00BF3007"/>
    <w:rPr>
      <w:rFonts w:ascii="Times New Roman" w:eastAsia="Times New Roman" w:hAnsi="Times New Roman" w:cs="Times New Roman"/>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fn "/>
    <w:basedOn w:val="Normal"/>
    <w:link w:val="FootnoteTextChar"/>
    <w:uiPriority w:val="99"/>
    <w:unhideWhenUsed/>
    <w:qFormat/>
    <w:rsid w:val="000525D4"/>
    <w:rPr>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0525D4"/>
    <w:rPr>
      <w:rFonts w:ascii="Times New Roman" w:eastAsia="Times New Roman" w:hAnsi="Times New Roman" w:cs="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0525D4"/>
    <w:rPr>
      <w:vertAlign w:val="superscript"/>
    </w:rPr>
  </w:style>
  <w:style w:type="character" w:customStyle="1" w:styleId="Heading2Char">
    <w:name w:val="Heading 2 Char"/>
    <w:basedOn w:val="DefaultParagraphFont"/>
    <w:link w:val="Heading2"/>
    <w:uiPriority w:val="9"/>
    <w:rsid w:val="007A7EDB"/>
    <w:rPr>
      <w:rFonts w:ascii="Times New Roman Bold" w:eastAsia="Times New Roman" w:hAnsi="Times New Roman Bold" w:cs="Times New Roman"/>
      <w:b/>
      <w:bCs/>
      <w:sz w:val="24"/>
      <w:szCs w:val="24"/>
    </w:rPr>
  </w:style>
  <w:style w:type="character" w:customStyle="1" w:styleId="Heading3Char">
    <w:name w:val="Heading 3 Char"/>
    <w:basedOn w:val="DefaultParagraphFont"/>
    <w:link w:val="Heading3"/>
    <w:uiPriority w:val="9"/>
    <w:rsid w:val="00B628B8"/>
    <w:rPr>
      <w:rFonts w:ascii="Times New Roman Bold" w:eastAsia="Times New Roman" w:hAnsi="Times New Roman Bold" w:cs="Times New Roman"/>
      <w:b/>
      <w:sz w:val="24"/>
      <w:szCs w:val="24"/>
    </w:rPr>
  </w:style>
  <w:style w:type="paragraph" w:styleId="NoSpacing">
    <w:name w:val="No Spacing"/>
    <w:uiPriority w:val="1"/>
    <w:qFormat/>
    <w:rsid w:val="00386D56"/>
    <w:rPr>
      <w:rFonts w:ascii="Times New Roman" w:eastAsia="Times New Roman" w:hAnsi="Times New Roman" w:cs="Times New Roman"/>
    </w:rPr>
  </w:style>
  <w:style w:type="table" w:styleId="TableGrid">
    <w:name w:val="Table Grid"/>
    <w:basedOn w:val="TableNormal"/>
    <w:rsid w:val="0038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D56"/>
    <w:rPr>
      <w:color w:val="0000FF" w:themeColor="hyperlink"/>
      <w:u w:val="single"/>
    </w:rPr>
  </w:style>
  <w:style w:type="character" w:customStyle="1" w:styleId="UnresolvedMention1">
    <w:name w:val="Unresolved Mention1"/>
    <w:basedOn w:val="DefaultParagraphFont"/>
    <w:uiPriority w:val="99"/>
    <w:semiHidden/>
    <w:unhideWhenUsed/>
    <w:rsid w:val="005A401A"/>
    <w:rPr>
      <w:color w:val="808080"/>
      <w:shd w:val="clear" w:color="auto" w:fill="E6E6E6"/>
    </w:rPr>
  </w:style>
  <w:style w:type="character" w:customStyle="1" w:styleId="UnresolvedMention">
    <w:name w:val="Unresolved Mention"/>
    <w:basedOn w:val="DefaultParagraphFont"/>
    <w:uiPriority w:val="99"/>
    <w:rsid w:val="00824504"/>
    <w:rPr>
      <w:color w:val="605E5C"/>
      <w:shd w:val="clear" w:color="auto" w:fill="E1DFDD"/>
    </w:rPr>
  </w:style>
  <w:style w:type="character" w:customStyle="1" w:styleId="BodyTextChar">
    <w:name w:val="Body Text Char"/>
    <w:basedOn w:val="DefaultParagraphFont"/>
    <w:link w:val="BodyText"/>
    <w:uiPriority w:val="1"/>
    <w:rsid w:val="00541E37"/>
    <w:rPr>
      <w:rFonts w:ascii="Times New Roman" w:eastAsia="Times New Roman" w:hAnsi="Times New Roman" w:cs="Times New Roman"/>
      <w:sz w:val="24"/>
      <w:szCs w:val="24"/>
    </w:rPr>
  </w:style>
  <w:style w:type="paragraph" w:styleId="TOC3">
    <w:name w:val="toc 3"/>
    <w:basedOn w:val="Normal"/>
    <w:next w:val="Normal"/>
    <w:autoRedefine/>
    <w:uiPriority w:val="39"/>
    <w:unhideWhenUsed/>
    <w:qFormat/>
    <w:rsid w:val="00B628B8"/>
    <w:pPr>
      <w:tabs>
        <w:tab w:val="decimal" w:leader="dot" w:pos="8640"/>
      </w:tabs>
      <w:spacing w:after="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hyperlink" Target="mailto:Werner.margard@ohioattorneygeneral.gov" TargetMode="External" /><Relationship Id="rId18" Type="http://schemas.openxmlformats.org/officeDocument/2006/relationships/hyperlink" Target="mailto:Sarah.parrot@puco.ohio.gov" TargetMode="External" /><Relationship Id="rId19" Type="http://schemas.openxmlformats.org/officeDocument/2006/relationships/hyperlink" Target="mailto:Greta.see@puco.ohio.gov" TargetMode="External" /><Relationship Id="rId2" Type="http://schemas.openxmlformats.org/officeDocument/2006/relationships/settings" Target="settings.xml" /><Relationship Id="rId20" Type="http://schemas.openxmlformats.org/officeDocument/2006/relationships/hyperlink" Target="mailto:stnourse@aep.com" TargetMode="External" /><Relationship Id="rId21" Type="http://schemas.openxmlformats.org/officeDocument/2006/relationships/hyperlink" Target="mailto:cmblend@aep.com" TargetMode="External" /><Relationship Id="rId22" Type="http://schemas.openxmlformats.org/officeDocument/2006/relationships/header" Target="header7.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William.michael@occ.ohio.gov" TargetMode="External" /><Relationship Id="rId7" Type="http://schemas.openxmlformats.org/officeDocument/2006/relationships/hyperlink" Target="mailto:Ambrosia.Logsd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EF6F-4D8A-47D2-826B-101DDDED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AEP AFR.docx</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2020-01-03T21:53:31Z</dcterms:created>
  <dcterms:modified xsi:type="dcterms:W3CDTF">2020-01-03T21:53:31Z</dcterms:modified>
</cp:coreProperties>
</file>