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A3" w:rsidRPr="0023677B" w:rsidRDefault="000443A3" w:rsidP="000443A3">
      <w:pPr>
        <w:ind w:left="4320" w:firstLine="720"/>
        <w:jc w:val="center"/>
        <w:rPr>
          <w:rFonts w:eastAsia="Times New Roman" w:cs="Times New Roman"/>
          <w:b/>
          <w:bCs/>
          <w:i/>
          <w:iCs/>
          <w:sz w:val="24"/>
          <w:szCs w:val="24"/>
        </w:rPr>
      </w:pPr>
      <w:bookmarkStart w:id="0" w:name="_Toc249780366"/>
      <w:bookmarkStart w:id="1" w:name="_Toc249782093"/>
      <w:bookmarkStart w:id="2" w:name="_GoBack"/>
      <w:bookmarkEnd w:id="2"/>
      <w:r w:rsidRPr="0023677B">
        <w:rPr>
          <w:rFonts w:eastAsia="Times New Roman" w:cs="Times New Roman"/>
          <w:b/>
          <w:bCs/>
          <w:i/>
          <w:iCs/>
          <w:sz w:val="24"/>
          <w:szCs w:val="24"/>
        </w:rPr>
        <w:t xml:space="preserve">OCC EXHIBIT </w:t>
      </w:r>
      <w:r>
        <w:rPr>
          <w:rFonts w:eastAsia="Times New Roman" w:cs="Times New Roman"/>
          <w:b/>
          <w:bCs/>
          <w:i/>
          <w:iCs/>
          <w:sz w:val="24"/>
          <w:szCs w:val="24"/>
        </w:rPr>
        <w:t xml:space="preserve">NO. </w:t>
      </w:r>
      <w:r w:rsidRPr="0023677B">
        <w:rPr>
          <w:rFonts w:eastAsia="Times New Roman" w:cs="Times New Roman"/>
          <w:b/>
          <w:bCs/>
          <w:i/>
          <w:iCs/>
          <w:sz w:val="24"/>
          <w:szCs w:val="24"/>
        </w:rPr>
        <w:t>______</w:t>
      </w:r>
      <w:bookmarkEnd w:id="0"/>
      <w:bookmarkEnd w:id="1"/>
    </w:p>
    <w:p w:rsidR="000443A3" w:rsidRPr="0023677B" w:rsidRDefault="000443A3" w:rsidP="000443A3">
      <w:pPr>
        <w:rPr>
          <w:rFonts w:eastAsia="Times New Roman" w:cs="Times New Roman"/>
          <w:sz w:val="24"/>
          <w:szCs w:val="24"/>
        </w:rPr>
      </w:pPr>
      <w:bookmarkStart w:id="3" w:name="_Toc249780368"/>
      <w:bookmarkStart w:id="4" w:name="_Toc249782095"/>
    </w:p>
    <w:p w:rsidR="000443A3" w:rsidRPr="0023677B" w:rsidRDefault="000443A3" w:rsidP="000443A3">
      <w:pPr>
        <w:jc w:val="center"/>
        <w:rPr>
          <w:rFonts w:eastAsia="Times New Roman" w:cs="Times New Roman"/>
          <w:b/>
          <w:bCs/>
          <w:sz w:val="24"/>
          <w:szCs w:val="24"/>
        </w:rPr>
      </w:pPr>
      <w:r w:rsidRPr="0023677B">
        <w:rPr>
          <w:rFonts w:eastAsia="Times New Roman" w:cs="Times New Roman"/>
          <w:b/>
          <w:bCs/>
          <w:sz w:val="24"/>
          <w:szCs w:val="24"/>
        </w:rPr>
        <w:t>BEFORE</w:t>
      </w:r>
      <w:bookmarkEnd w:id="3"/>
      <w:bookmarkEnd w:id="4"/>
    </w:p>
    <w:p w:rsidR="000443A3" w:rsidRDefault="000443A3" w:rsidP="000443A3">
      <w:pPr>
        <w:jc w:val="center"/>
        <w:rPr>
          <w:rFonts w:eastAsia="Times New Roman" w:cs="Times New Roman"/>
          <w:b/>
          <w:bCs/>
          <w:sz w:val="24"/>
          <w:szCs w:val="24"/>
        </w:rPr>
      </w:pPr>
      <w:bookmarkStart w:id="5" w:name="_Toc249780369"/>
      <w:bookmarkStart w:id="6" w:name="_Toc249782096"/>
      <w:r w:rsidRPr="0023677B">
        <w:rPr>
          <w:rFonts w:eastAsia="Times New Roman" w:cs="Times New Roman"/>
          <w:b/>
          <w:bCs/>
          <w:sz w:val="24"/>
          <w:szCs w:val="24"/>
        </w:rPr>
        <w:t>THE PUBLIC UTILITIES COMMISSION OF OHIO</w:t>
      </w:r>
      <w:bookmarkEnd w:id="5"/>
      <w:bookmarkEnd w:id="6"/>
    </w:p>
    <w:p w:rsidR="000443A3" w:rsidRPr="0023677B" w:rsidRDefault="000443A3" w:rsidP="000443A3">
      <w:pPr>
        <w:jc w:val="center"/>
        <w:rPr>
          <w:rFonts w:eastAsia="Times New Roman" w:cs="Times New Roman"/>
          <w:b/>
          <w:bCs/>
          <w:sz w:val="24"/>
          <w:szCs w:val="24"/>
        </w:rPr>
      </w:pPr>
    </w:p>
    <w:p w:rsidR="000443A3" w:rsidRDefault="000443A3" w:rsidP="000443A3">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0443A3" w:rsidTr="00397ED7">
        <w:trPr>
          <w:trHeight w:val="807"/>
        </w:trPr>
        <w:tc>
          <w:tcPr>
            <w:tcW w:w="4332" w:type="dxa"/>
          </w:tcPr>
          <w:p w:rsidR="000443A3" w:rsidRDefault="000443A3" w:rsidP="00397ED7">
            <w:pPr>
              <w:autoSpaceDE w:val="0"/>
              <w:autoSpaceDN w:val="0"/>
              <w:adjustRightInd w:val="0"/>
              <w:rPr>
                <w:rFonts w:cs="Times New Roman"/>
                <w:sz w:val="24"/>
                <w:szCs w:val="24"/>
              </w:rPr>
            </w:pPr>
            <w:r w:rsidRPr="00CC18A6">
              <w:rPr>
                <w:rFonts w:cs="Times New Roman"/>
                <w:sz w:val="24"/>
                <w:szCs w:val="24"/>
              </w:rPr>
              <w:t xml:space="preserve">In the Matter of the Application </w:t>
            </w:r>
            <w:r>
              <w:rPr>
                <w:rFonts w:cs="Times New Roman"/>
                <w:sz w:val="24"/>
                <w:szCs w:val="24"/>
              </w:rPr>
              <w:t>Seeking Approval of Ohio Power Company’s Proposal to Enter into an Affiliate Power Purchase Agreement for Inclusion in the Power Purchase Agreement Rider</w:t>
            </w:r>
          </w:p>
          <w:p w:rsidR="000443A3" w:rsidRDefault="000443A3" w:rsidP="00397ED7">
            <w:pPr>
              <w:autoSpaceDE w:val="0"/>
              <w:autoSpaceDN w:val="0"/>
              <w:adjustRightInd w:val="0"/>
              <w:rPr>
                <w:rFonts w:cs="Times New Roman"/>
                <w:sz w:val="24"/>
                <w:szCs w:val="24"/>
              </w:rPr>
            </w:pPr>
          </w:p>
          <w:p w:rsidR="000443A3" w:rsidRPr="00CC18A6" w:rsidRDefault="000443A3" w:rsidP="000443A3">
            <w:pPr>
              <w:autoSpaceDE w:val="0"/>
              <w:autoSpaceDN w:val="0"/>
              <w:adjustRightInd w:val="0"/>
              <w:rPr>
                <w:rFonts w:cs="Times New Roman"/>
                <w:sz w:val="24"/>
                <w:szCs w:val="24"/>
              </w:rPr>
            </w:pPr>
            <w:r>
              <w:rPr>
                <w:rFonts w:cs="Times New Roman"/>
                <w:sz w:val="24"/>
                <w:szCs w:val="24"/>
              </w:rPr>
              <w:t>In the Matter of the Application of Ohio Power Company for Approval of Certain Accounting Authority</w:t>
            </w:r>
          </w:p>
        </w:tc>
        <w:tc>
          <w:tcPr>
            <w:tcW w:w="360" w:type="dxa"/>
          </w:tcPr>
          <w:p w:rsidR="000443A3" w:rsidRPr="00CC18A6" w:rsidRDefault="000443A3" w:rsidP="00397ED7">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rsidR="000443A3" w:rsidRPr="00CC18A6" w:rsidRDefault="000443A3" w:rsidP="00397ED7">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rsidR="000443A3" w:rsidRPr="00CC18A6" w:rsidRDefault="000443A3" w:rsidP="00397ED7">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rsidR="000443A3" w:rsidRPr="00CC18A6" w:rsidRDefault="000443A3" w:rsidP="00397ED7">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rsidR="000443A3" w:rsidRPr="00CC18A6" w:rsidRDefault="000443A3" w:rsidP="00397ED7">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rsidR="000443A3" w:rsidRPr="00CC18A6" w:rsidRDefault="000443A3" w:rsidP="00397ED7">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rsidR="000443A3" w:rsidRDefault="000443A3" w:rsidP="00397ED7">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rsidR="000443A3" w:rsidRDefault="000443A3" w:rsidP="00397ED7">
            <w:pPr>
              <w:pStyle w:val="HTMLPreformatted"/>
              <w:rPr>
                <w:rFonts w:ascii="Times New Roman" w:hAnsi="Times New Roman" w:cs="Times New Roman"/>
                <w:sz w:val="24"/>
                <w:szCs w:val="24"/>
              </w:rPr>
            </w:pPr>
            <w:r>
              <w:rPr>
                <w:rFonts w:ascii="Times New Roman" w:hAnsi="Times New Roman" w:cs="Times New Roman"/>
                <w:sz w:val="24"/>
                <w:szCs w:val="24"/>
              </w:rPr>
              <w:t>)</w:t>
            </w:r>
          </w:p>
          <w:p w:rsidR="000443A3" w:rsidRPr="00CC18A6" w:rsidRDefault="000443A3" w:rsidP="00397ED7">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tcPr>
          <w:p w:rsidR="000443A3" w:rsidRPr="00CC18A6" w:rsidRDefault="000443A3" w:rsidP="00397ED7">
            <w:pPr>
              <w:pStyle w:val="HTMLPreformatted"/>
              <w:rPr>
                <w:rFonts w:ascii="Times New Roman" w:hAnsi="Times New Roman" w:cs="Times New Roman"/>
                <w:sz w:val="24"/>
                <w:szCs w:val="24"/>
              </w:rPr>
            </w:pPr>
          </w:p>
          <w:p w:rsidR="000443A3" w:rsidRDefault="000443A3" w:rsidP="00397ED7">
            <w:pPr>
              <w:pStyle w:val="HTMLPreformatted"/>
              <w:rPr>
                <w:rFonts w:ascii="Times New Roman" w:hAnsi="Times New Roman" w:cs="Times New Roman"/>
                <w:sz w:val="24"/>
                <w:szCs w:val="24"/>
              </w:rPr>
            </w:pPr>
          </w:p>
          <w:p w:rsidR="000443A3" w:rsidRDefault="000443A3" w:rsidP="00397ED7">
            <w:pPr>
              <w:pStyle w:val="HTMLPreformatted"/>
              <w:rPr>
                <w:rFonts w:ascii="Times New Roman" w:hAnsi="Times New Roman" w:cs="Times New Roman"/>
                <w:sz w:val="24"/>
                <w:szCs w:val="24"/>
              </w:rPr>
            </w:pPr>
            <w:r w:rsidRPr="00CC18A6">
              <w:rPr>
                <w:rFonts w:ascii="Times New Roman" w:hAnsi="Times New Roman" w:cs="Times New Roman"/>
                <w:sz w:val="24"/>
                <w:szCs w:val="24"/>
              </w:rPr>
              <w:t>Case No. 14-</w:t>
            </w:r>
            <w:r>
              <w:rPr>
                <w:rFonts w:ascii="Times New Roman" w:hAnsi="Times New Roman" w:cs="Times New Roman"/>
                <w:sz w:val="24"/>
                <w:szCs w:val="24"/>
              </w:rPr>
              <w:t>1693</w:t>
            </w:r>
            <w:r w:rsidRPr="00CC18A6">
              <w:rPr>
                <w:rFonts w:ascii="Times New Roman" w:hAnsi="Times New Roman" w:cs="Times New Roman"/>
                <w:sz w:val="24"/>
                <w:szCs w:val="24"/>
              </w:rPr>
              <w:t>-EL-</w:t>
            </w:r>
            <w:r>
              <w:rPr>
                <w:rFonts w:ascii="Times New Roman" w:hAnsi="Times New Roman" w:cs="Times New Roman"/>
                <w:sz w:val="24"/>
                <w:szCs w:val="24"/>
              </w:rPr>
              <w:t>RDR</w:t>
            </w:r>
          </w:p>
          <w:p w:rsidR="000443A3" w:rsidRDefault="000443A3" w:rsidP="00397ED7">
            <w:pPr>
              <w:pStyle w:val="HTMLPreformatted"/>
              <w:rPr>
                <w:rFonts w:ascii="Times New Roman" w:hAnsi="Times New Roman" w:cs="Times New Roman"/>
                <w:sz w:val="24"/>
                <w:szCs w:val="24"/>
              </w:rPr>
            </w:pPr>
          </w:p>
          <w:p w:rsidR="000443A3" w:rsidRDefault="000443A3" w:rsidP="00397ED7">
            <w:pPr>
              <w:pStyle w:val="HTMLPreformatted"/>
              <w:rPr>
                <w:rFonts w:ascii="Times New Roman" w:hAnsi="Times New Roman" w:cs="Times New Roman"/>
                <w:sz w:val="24"/>
                <w:szCs w:val="24"/>
              </w:rPr>
            </w:pPr>
          </w:p>
          <w:p w:rsidR="000443A3" w:rsidRDefault="000443A3" w:rsidP="00397ED7">
            <w:pPr>
              <w:pStyle w:val="HTMLPreformatted"/>
              <w:rPr>
                <w:rFonts w:ascii="Times New Roman" w:hAnsi="Times New Roman" w:cs="Times New Roman"/>
                <w:sz w:val="24"/>
                <w:szCs w:val="24"/>
              </w:rPr>
            </w:pPr>
          </w:p>
          <w:p w:rsidR="000443A3" w:rsidRDefault="000443A3" w:rsidP="00397ED7">
            <w:pPr>
              <w:pStyle w:val="HTMLPreformatted"/>
              <w:rPr>
                <w:rFonts w:ascii="Times New Roman" w:hAnsi="Times New Roman" w:cs="Times New Roman"/>
                <w:sz w:val="24"/>
                <w:szCs w:val="24"/>
              </w:rPr>
            </w:pPr>
          </w:p>
          <w:p w:rsidR="000443A3" w:rsidRPr="00CC18A6" w:rsidRDefault="000443A3" w:rsidP="00397ED7">
            <w:pPr>
              <w:pStyle w:val="HTMLPreformatted"/>
              <w:rPr>
                <w:rFonts w:ascii="Times New Roman" w:hAnsi="Times New Roman" w:cs="Times New Roman"/>
                <w:sz w:val="24"/>
                <w:szCs w:val="24"/>
              </w:rPr>
            </w:pPr>
            <w:r>
              <w:rPr>
                <w:rFonts w:ascii="Times New Roman" w:hAnsi="Times New Roman" w:cs="Times New Roman"/>
                <w:sz w:val="24"/>
                <w:szCs w:val="24"/>
              </w:rPr>
              <w:t>Case No. 14-1694-EL-AAM</w:t>
            </w:r>
          </w:p>
          <w:p w:rsidR="000443A3" w:rsidRPr="00CC18A6" w:rsidRDefault="000443A3" w:rsidP="00397ED7">
            <w:pPr>
              <w:pStyle w:val="HTMLPreformatted"/>
              <w:rPr>
                <w:rFonts w:ascii="Times New Roman" w:hAnsi="Times New Roman" w:cs="Times New Roman"/>
                <w:sz w:val="24"/>
                <w:szCs w:val="24"/>
              </w:rPr>
            </w:pPr>
          </w:p>
        </w:tc>
      </w:tr>
    </w:tbl>
    <w:p w:rsidR="000443A3" w:rsidRDefault="000443A3" w:rsidP="000443A3">
      <w:pPr>
        <w:jc w:val="center"/>
        <w:rPr>
          <w:rFonts w:eastAsia="Times New Roman" w:cs="Times New Roman"/>
          <w:b/>
          <w:bCs/>
          <w:sz w:val="24"/>
          <w:szCs w:val="24"/>
        </w:rPr>
      </w:pPr>
    </w:p>
    <w:p w:rsidR="000443A3" w:rsidRDefault="000443A3" w:rsidP="000443A3">
      <w:pPr>
        <w:jc w:val="center"/>
        <w:rPr>
          <w:rFonts w:eastAsia="Times New Roman" w:cs="Times New Roman"/>
          <w:b/>
          <w:bCs/>
          <w:sz w:val="24"/>
          <w:szCs w:val="24"/>
        </w:rPr>
      </w:pPr>
    </w:p>
    <w:p w:rsidR="00555D5B" w:rsidRDefault="00555D5B" w:rsidP="000443A3">
      <w:pPr>
        <w:jc w:val="center"/>
        <w:rPr>
          <w:rFonts w:eastAsia="Times New Roman" w:cs="Times New Roman"/>
          <w:b/>
          <w:bCs/>
          <w:sz w:val="24"/>
          <w:szCs w:val="24"/>
        </w:rPr>
      </w:pPr>
    </w:p>
    <w:p w:rsidR="000443A3" w:rsidRDefault="000443A3" w:rsidP="000443A3">
      <w:pPr>
        <w:jc w:val="center"/>
        <w:rPr>
          <w:rFonts w:eastAsia="Times New Roman" w:cs="Times New Roman"/>
          <w:b/>
          <w:bCs/>
          <w:sz w:val="24"/>
          <w:szCs w:val="24"/>
        </w:rPr>
      </w:pPr>
    </w:p>
    <w:p w:rsidR="000443A3" w:rsidRPr="0023677B" w:rsidRDefault="000443A3" w:rsidP="000443A3">
      <w:pPr>
        <w:jc w:val="center"/>
        <w:rPr>
          <w:rFonts w:eastAsia="Times New Roman" w:cs="Times New Roman"/>
          <w:b/>
          <w:bCs/>
          <w:sz w:val="24"/>
          <w:szCs w:val="24"/>
        </w:rPr>
      </w:pPr>
      <w:r w:rsidRPr="0023677B">
        <w:rPr>
          <w:rFonts w:eastAsia="Times New Roman" w:cs="Times New Roman"/>
          <w:b/>
          <w:bCs/>
          <w:sz w:val="24"/>
          <w:szCs w:val="24"/>
        </w:rPr>
        <w:t>DIRECT TESTIMONY</w:t>
      </w:r>
    </w:p>
    <w:p w:rsidR="000443A3" w:rsidRPr="0023677B" w:rsidRDefault="000443A3" w:rsidP="000443A3">
      <w:pPr>
        <w:ind w:left="540" w:hanging="540"/>
        <w:jc w:val="center"/>
        <w:rPr>
          <w:rFonts w:eastAsia="Times New Roman" w:cs="Times New Roman"/>
          <w:b/>
          <w:bCs/>
          <w:sz w:val="24"/>
          <w:szCs w:val="24"/>
        </w:rPr>
      </w:pPr>
      <w:r w:rsidRPr="0023677B">
        <w:rPr>
          <w:rFonts w:eastAsia="Times New Roman" w:cs="Times New Roman"/>
          <w:b/>
          <w:bCs/>
          <w:sz w:val="24"/>
          <w:szCs w:val="24"/>
        </w:rPr>
        <w:t>OF</w:t>
      </w:r>
    </w:p>
    <w:p w:rsidR="000443A3" w:rsidRPr="0023677B" w:rsidRDefault="000443A3" w:rsidP="000443A3">
      <w:pPr>
        <w:ind w:left="540" w:hanging="540"/>
        <w:jc w:val="center"/>
        <w:rPr>
          <w:rFonts w:eastAsia="Times New Roman" w:cs="Times New Roman"/>
          <w:b/>
          <w:bCs/>
          <w:sz w:val="24"/>
          <w:szCs w:val="24"/>
        </w:rPr>
      </w:pPr>
      <w:r>
        <w:rPr>
          <w:rFonts w:eastAsia="Times New Roman" w:cs="Times New Roman"/>
          <w:b/>
          <w:bCs/>
          <w:sz w:val="24"/>
          <w:szCs w:val="24"/>
        </w:rPr>
        <w:t>NOAH C. DORMADY</w:t>
      </w:r>
      <w:r w:rsidR="0054208D">
        <w:rPr>
          <w:rFonts w:eastAsia="Times New Roman" w:cs="Times New Roman"/>
          <w:b/>
          <w:bCs/>
          <w:sz w:val="24"/>
          <w:szCs w:val="24"/>
        </w:rPr>
        <w:t>, Ph.D.</w:t>
      </w:r>
    </w:p>
    <w:p w:rsidR="000443A3" w:rsidRDefault="000443A3" w:rsidP="000443A3">
      <w:pPr>
        <w:ind w:left="540" w:hanging="540"/>
        <w:jc w:val="center"/>
        <w:rPr>
          <w:rFonts w:eastAsia="Times New Roman" w:cs="Times New Roman"/>
          <w:sz w:val="24"/>
          <w:szCs w:val="24"/>
        </w:rPr>
      </w:pPr>
    </w:p>
    <w:p w:rsidR="00555D5B" w:rsidRDefault="00555D5B" w:rsidP="000443A3">
      <w:pPr>
        <w:ind w:left="540" w:hanging="540"/>
        <w:jc w:val="center"/>
        <w:rPr>
          <w:rFonts w:eastAsia="Times New Roman" w:cs="Times New Roman"/>
          <w:sz w:val="24"/>
          <w:szCs w:val="24"/>
        </w:rPr>
      </w:pPr>
    </w:p>
    <w:p w:rsidR="00555D5B" w:rsidRDefault="00555D5B" w:rsidP="000443A3">
      <w:pPr>
        <w:ind w:left="540" w:hanging="540"/>
        <w:jc w:val="center"/>
        <w:rPr>
          <w:rFonts w:eastAsia="Times New Roman" w:cs="Times New Roman"/>
          <w:sz w:val="24"/>
          <w:szCs w:val="24"/>
        </w:rPr>
      </w:pPr>
    </w:p>
    <w:p w:rsidR="00555D5B" w:rsidRPr="0023677B" w:rsidRDefault="00555D5B" w:rsidP="000443A3">
      <w:pPr>
        <w:ind w:left="540" w:hanging="540"/>
        <w:jc w:val="center"/>
        <w:rPr>
          <w:rFonts w:eastAsia="Times New Roman" w:cs="Times New Roman"/>
          <w:sz w:val="24"/>
          <w:szCs w:val="24"/>
        </w:rPr>
      </w:pPr>
    </w:p>
    <w:p w:rsidR="000443A3" w:rsidRPr="0023677B" w:rsidRDefault="000443A3" w:rsidP="000443A3">
      <w:pPr>
        <w:jc w:val="center"/>
        <w:rPr>
          <w:rFonts w:eastAsia="Times New Roman" w:cs="Times New Roman"/>
          <w:b/>
          <w:bCs/>
          <w:sz w:val="24"/>
          <w:szCs w:val="24"/>
        </w:rPr>
      </w:pPr>
      <w:bookmarkStart w:id="7" w:name="_Toc249780371"/>
      <w:bookmarkStart w:id="8" w:name="_Toc249782097"/>
      <w:r w:rsidRPr="0023677B">
        <w:rPr>
          <w:rFonts w:eastAsia="Times New Roman" w:cs="Times New Roman"/>
          <w:b/>
          <w:bCs/>
          <w:sz w:val="24"/>
          <w:szCs w:val="24"/>
        </w:rPr>
        <w:t>On Behalf of</w:t>
      </w:r>
    </w:p>
    <w:p w:rsidR="000443A3" w:rsidRPr="0023677B" w:rsidRDefault="000443A3" w:rsidP="000443A3">
      <w:pPr>
        <w:jc w:val="center"/>
        <w:rPr>
          <w:rFonts w:eastAsia="Times New Roman" w:cs="Times New Roman"/>
          <w:b/>
          <w:bCs/>
          <w:caps/>
          <w:sz w:val="24"/>
          <w:szCs w:val="24"/>
        </w:rPr>
      </w:pPr>
      <w:r w:rsidRPr="0023677B">
        <w:rPr>
          <w:rFonts w:eastAsia="Times New Roman" w:cs="Times New Roman"/>
          <w:b/>
          <w:bCs/>
          <w:sz w:val="24"/>
          <w:szCs w:val="24"/>
        </w:rPr>
        <w:t>The Office of the Ohio Consumers’ Counsel</w:t>
      </w:r>
    </w:p>
    <w:p w:rsidR="000443A3" w:rsidRPr="0023677B" w:rsidRDefault="000443A3" w:rsidP="000443A3">
      <w:pPr>
        <w:jc w:val="center"/>
        <w:rPr>
          <w:rFonts w:eastAsia="Times New Roman" w:cs="Times New Roman"/>
          <w:i/>
          <w:iCs/>
          <w:sz w:val="24"/>
          <w:szCs w:val="24"/>
        </w:rPr>
      </w:pPr>
      <w:r w:rsidRPr="0023677B">
        <w:rPr>
          <w:rFonts w:eastAsia="Times New Roman" w:cs="Times New Roman"/>
          <w:i/>
          <w:iCs/>
          <w:sz w:val="24"/>
          <w:szCs w:val="24"/>
        </w:rPr>
        <w:t>10 West Broad Street, Suite 1800</w:t>
      </w:r>
    </w:p>
    <w:p w:rsidR="000443A3" w:rsidRDefault="000443A3" w:rsidP="000443A3">
      <w:pPr>
        <w:jc w:val="center"/>
        <w:rPr>
          <w:rFonts w:eastAsia="Times New Roman" w:cs="Times New Roman"/>
          <w:i/>
          <w:iCs/>
          <w:sz w:val="24"/>
          <w:szCs w:val="24"/>
        </w:rPr>
      </w:pPr>
      <w:r w:rsidRPr="0023677B">
        <w:rPr>
          <w:rFonts w:eastAsia="Times New Roman" w:cs="Times New Roman"/>
          <w:i/>
          <w:iCs/>
          <w:sz w:val="24"/>
          <w:szCs w:val="24"/>
        </w:rPr>
        <w:t>Columbus, Ohio</w:t>
      </w:r>
      <w:r>
        <w:rPr>
          <w:rFonts w:eastAsia="Times New Roman" w:cs="Times New Roman"/>
          <w:i/>
          <w:iCs/>
          <w:sz w:val="24"/>
          <w:szCs w:val="24"/>
        </w:rPr>
        <w:t xml:space="preserve"> </w:t>
      </w:r>
      <w:r w:rsidRPr="0023677B">
        <w:rPr>
          <w:rFonts w:eastAsia="Times New Roman" w:cs="Times New Roman"/>
          <w:i/>
          <w:iCs/>
          <w:sz w:val="24"/>
          <w:szCs w:val="24"/>
        </w:rPr>
        <w:t>43215-3485</w:t>
      </w:r>
    </w:p>
    <w:p w:rsidR="000443A3" w:rsidRDefault="000443A3" w:rsidP="000443A3">
      <w:pPr>
        <w:jc w:val="center"/>
        <w:rPr>
          <w:rFonts w:eastAsia="Times New Roman" w:cs="Times New Roman"/>
          <w:i/>
          <w:iCs/>
          <w:sz w:val="24"/>
          <w:szCs w:val="24"/>
        </w:rPr>
      </w:pPr>
    </w:p>
    <w:p w:rsidR="000443A3" w:rsidRDefault="000443A3" w:rsidP="000443A3">
      <w:pPr>
        <w:jc w:val="center"/>
        <w:rPr>
          <w:rFonts w:eastAsia="Times New Roman" w:cs="Times New Roman"/>
          <w:b/>
          <w:iCs/>
          <w:sz w:val="24"/>
          <w:szCs w:val="24"/>
        </w:rPr>
      </w:pPr>
    </w:p>
    <w:p w:rsidR="00555D5B" w:rsidRPr="008A4D66" w:rsidRDefault="00555D5B" w:rsidP="000443A3">
      <w:pPr>
        <w:jc w:val="center"/>
        <w:rPr>
          <w:rFonts w:eastAsia="Times New Roman" w:cs="Times New Roman"/>
          <w:b/>
          <w:iCs/>
          <w:sz w:val="24"/>
          <w:szCs w:val="24"/>
        </w:rPr>
      </w:pPr>
    </w:p>
    <w:bookmarkEnd w:id="7"/>
    <w:bookmarkEnd w:id="8"/>
    <w:p w:rsidR="000443A3" w:rsidRPr="0023677B" w:rsidRDefault="000443A3" w:rsidP="000443A3">
      <w:pPr>
        <w:jc w:val="center"/>
        <w:rPr>
          <w:rFonts w:eastAsia="Times New Roman" w:cs="Times New Roman"/>
          <w:sz w:val="24"/>
          <w:szCs w:val="24"/>
        </w:rPr>
      </w:pPr>
    </w:p>
    <w:p w:rsidR="000443A3" w:rsidRDefault="000443A3" w:rsidP="000443A3">
      <w:pPr>
        <w:jc w:val="center"/>
        <w:rPr>
          <w:rFonts w:eastAsia="Times New Roman" w:cs="Times New Roman"/>
          <w:b/>
          <w:bCs/>
          <w:iCs/>
          <w:sz w:val="24"/>
          <w:szCs w:val="24"/>
        </w:rPr>
        <w:sectPr w:rsidR="000443A3" w:rsidSect="000443A3">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sectPr>
      </w:pPr>
      <w:r>
        <w:rPr>
          <w:rFonts w:eastAsia="Times New Roman" w:cs="Times New Roman"/>
          <w:b/>
          <w:bCs/>
          <w:iCs/>
          <w:sz w:val="24"/>
          <w:szCs w:val="24"/>
        </w:rPr>
        <w:t>December 28, 2015</w:t>
      </w:r>
    </w:p>
    <w:p w:rsidR="000443A3" w:rsidRPr="0068451E" w:rsidRDefault="000443A3" w:rsidP="000443A3">
      <w:pPr>
        <w:jc w:val="center"/>
        <w:rPr>
          <w:rFonts w:eastAsia="Times New Roman" w:cs="Times New Roman"/>
          <w:b/>
          <w:sz w:val="24"/>
          <w:szCs w:val="24"/>
        </w:rPr>
      </w:pPr>
      <w:r w:rsidRPr="0068451E">
        <w:rPr>
          <w:rFonts w:eastAsia="Times New Roman" w:cs="Times New Roman"/>
          <w:b/>
          <w:sz w:val="24"/>
          <w:szCs w:val="24"/>
        </w:rPr>
        <w:lastRenderedPageBreak/>
        <w:t>TABLE OF CONTENTS</w:t>
      </w:r>
    </w:p>
    <w:p w:rsidR="000443A3" w:rsidRDefault="000443A3" w:rsidP="000443A3">
      <w:pPr>
        <w:jc w:val="right"/>
        <w:rPr>
          <w:rFonts w:eastAsia="Times New Roman" w:cs="Times New Roman"/>
          <w:b/>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Pr="0068451E">
        <w:rPr>
          <w:rFonts w:eastAsia="Times New Roman" w:cs="Times New Roman"/>
          <w:b/>
          <w:sz w:val="24"/>
          <w:szCs w:val="24"/>
        </w:rPr>
        <w:t>PAGE</w:t>
      </w:r>
    </w:p>
    <w:p w:rsidR="004C48EA" w:rsidRPr="0068451E" w:rsidRDefault="004C48EA" w:rsidP="000443A3">
      <w:pPr>
        <w:jc w:val="right"/>
        <w:rPr>
          <w:rFonts w:eastAsia="Times New Roman" w:cs="Times New Roman"/>
          <w:b/>
          <w:sz w:val="24"/>
          <w:szCs w:val="24"/>
        </w:rPr>
      </w:pPr>
    </w:p>
    <w:p w:rsidR="00FC73BA" w:rsidRDefault="000443A3">
      <w:pPr>
        <w:pStyle w:val="TOC1"/>
        <w:rPr>
          <w:rFonts w:asciiTheme="minorHAnsi" w:eastAsiaTheme="minorEastAsia" w:hAnsiTheme="minorHAnsi"/>
          <w:caps w:val="0"/>
          <w:noProof/>
          <w:sz w:val="22"/>
        </w:rPr>
      </w:pPr>
      <w:r w:rsidRPr="00767670">
        <w:fldChar w:fldCharType="begin"/>
      </w:r>
      <w:r>
        <w:rPr>
          <w:rFonts w:eastAsia="Times New Roman" w:cs="Times New Roman"/>
          <w:szCs w:val="24"/>
        </w:rPr>
        <w:instrText xml:space="preserve"> TOC \o "1-1" \h \z \u </w:instrText>
      </w:r>
      <w:r w:rsidRPr="00767670">
        <w:fldChar w:fldCharType="separate"/>
      </w:r>
      <w:hyperlink w:anchor="_Toc439078828" w:history="1">
        <w:r w:rsidR="00FC73BA" w:rsidRPr="00556C24">
          <w:rPr>
            <w:rStyle w:val="Hyperlink"/>
            <w:rFonts w:cs="Times New Roman"/>
            <w:noProof/>
          </w:rPr>
          <w:t>I.</w:t>
        </w:r>
        <w:r w:rsidR="00FC73BA">
          <w:rPr>
            <w:rFonts w:asciiTheme="minorHAnsi" w:eastAsiaTheme="minorEastAsia" w:hAnsiTheme="minorHAnsi"/>
            <w:caps w:val="0"/>
            <w:noProof/>
            <w:sz w:val="22"/>
          </w:rPr>
          <w:tab/>
        </w:r>
        <w:r w:rsidR="00FC73BA" w:rsidRPr="00556C24">
          <w:rPr>
            <w:rStyle w:val="Hyperlink"/>
            <w:rFonts w:cs="Times New Roman"/>
            <w:noProof/>
          </w:rPr>
          <w:t>INTRODUCTION</w:t>
        </w:r>
        <w:r w:rsidR="00FC73BA">
          <w:rPr>
            <w:noProof/>
            <w:webHidden/>
          </w:rPr>
          <w:tab/>
        </w:r>
        <w:r w:rsidR="00FC73BA">
          <w:rPr>
            <w:noProof/>
            <w:webHidden/>
          </w:rPr>
          <w:fldChar w:fldCharType="begin"/>
        </w:r>
        <w:r w:rsidR="00FC73BA">
          <w:rPr>
            <w:noProof/>
            <w:webHidden/>
          </w:rPr>
          <w:instrText xml:space="preserve"> PAGEREF _Toc439078828 \h </w:instrText>
        </w:r>
        <w:r w:rsidR="00FC73BA">
          <w:rPr>
            <w:noProof/>
            <w:webHidden/>
          </w:rPr>
        </w:r>
        <w:r w:rsidR="00FC73BA">
          <w:rPr>
            <w:noProof/>
            <w:webHidden/>
          </w:rPr>
          <w:fldChar w:fldCharType="separate"/>
        </w:r>
        <w:r w:rsidR="00140F72">
          <w:rPr>
            <w:noProof/>
            <w:webHidden/>
          </w:rPr>
          <w:t>1</w:t>
        </w:r>
        <w:r w:rsidR="00FC73BA">
          <w:rPr>
            <w:noProof/>
            <w:webHidden/>
          </w:rPr>
          <w:fldChar w:fldCharType="end"/>
        </w:r>
      </w:hyperlink>
    </w:p>
    <w:p w:rsidR="00FC73BA" w:rsidRDefault="005E2337">
      <w:pPr>
        <w:pStyle w:val="TOC1"/>
        <w:rPr>
          <w:rFonts w:asciiTheme="minorHAnsi" w:eastAsiaTheme="minorEastAsia" w:hAnsiTheme="minorHAnsi"/>
          <w:caps w:val="0"/>
          <w:noProof/>
          <w:sz w:val="22"/>
        </w:rPr>
      </w:pPr>
      <w:hyperlink w:anchor="_Toc439078829" w:history="1">
        <w:r w:rsidR="00FC73BA" w:rsidRPr="00556C24">
          <w:rPr>
            <w:rStyle w:val="Hyperlink"/>
            <w:rFonts w:cs="Times New Roman"/>
            <w:noProof/>
          </w:rPr>
          <w:t>II.</w:t>
        </w:r>
        <w:r w:rsidR="00FC73BA">
          <w:rPr>
            <w:rFonts w:asciiTheme="minorHAnsi" w:eastAsiaTheme="minorEastAsia" w:hAnsiTheme="minorHAnsi"/>
            <w:caps w:val="0"/>
            <w:noProof/>
            <w:sz w:val="22"/>
          </w:rPr>
          <w:tab/>
        </w:r>
        <w:r w:rsidR="00FC73BA" w:rsidRPr="00556C24">
          <w:rPr>
            <w:rStyle w:val="Hyperlink"/>
            <w:rFonts w:cs="Times New Roman"/>
            <w:noProof/>
          </w:rPr>
          <w:t>SUMMARY OF FINDINGS</w:t>
        </w:r>
        <w:r w:rsidR="00FC73BA">
          <w:rPr>
            <w:noProof/>
            <w:webHidden/>
          </w:rPr>
          <w:tab/>
        </w:r>
        <w:r w:rsidR="00FC73BA">
          <w:rPr>
            <w:noProof/>
            <w:webHidden/>
          </w:rPr>
          <w:fldChar w:fldCharType="begin"/>
        </w:r>
        <w:r w:rsidR="00FC73BA">
          <w:rPr>
            <w:noProof/>
            <w:webHidden/>
          </w:rPr>
          <w:instrText xml:space="preserve"> PAGEREF _Toc439078829 \h </w:instrText>
        </w:r>
        <w:r w:rsidR="00FC73BA">
          <w:rPr>
            <w:noProof/>
            <w:webHidden/>
          </w:rPr>
        </w:r>
        <w:r w:rsidR="00FC73BA">
          <w:rPr>
            <w:noProof/>
            <w:webHidden/>
          </w:rPr>
          <w:fldChar w:fldCharType="separate"/>
        </w:r>
        <w:r w:rsidR="00140F72">
          <w:rPr>
            <w:noProof/>
            <w:webHidden/>
          </w:rPr>
          <w:t>1</w:t>
        </w:r>
        <w:r w:rsidR="00FC73BA">
          <w:rPr>
            <w:noProof/>
            <w:webHidden/>
          </w:rPr>
          <w:fldChar w:fldCharType="end"/>
        </w:r>
      </w:hyperlink>
    </w:p>
    <w:p w:rsidR="00FC73BA" w:rsidRDefault="005E2337">
      <w:pPr>
        <w:pStyle w:val="TOC1"/>
        <w:rPr>
          <w:rFonts w:asciiTheme="minorHAnsi" w:eastAsiaTheme="minorEastAsia" w:hAnsiTheme="minorHAnsi"/>
          <w:caps w:val="0"/>
          <w:noProof/>
          <w:sz w:val="22"/>
        </w:rPr>
      </w:pPr>
      <w:hyperlink w:anchor="_Toc439078830" w:history="1">
        <w:r w:rsidR="00FC73BA" w:rsidRPr="00556C24">
          <w:rPr>
            <w:rStyle w:val="Hyperlink"/>
            <w:rFonts w:cs="Times New Roman"/>
            <w:noProof/>
          </w:rPr>
          <w:t>III.</w:t>
        </w:r>
        <w:r w:rsidR="00FC73BA">
          <w:rPr>
            <w:rFonts w:asciiTheme="minorHAnsi" w:eastAsiaTheme="minorEastAsia" w:hAnsiTheme="minorHAnsi"/>
            <w:caps w:val="0"/>
            <w:noProof/>
            <w:sz w:val="22"/>
          </w:rPr>
          <w:tab/>
        </w:r>
        <w:r w:rsidR="00FC73BA" w:rsidRPr="00556C24">
          <w:rPr>
            <w:rStyle w:val="Hyperlink"/>
            <w:rFonts w:cs="Times New Roman"/>
            <w:noProof/>
          </w:rPr>
          <w:t>ASSESSMENT OF SPECIFIC PROVISIONS IN THE STIPULATION</w:t>
        </w:r>
        <w:r w:rsidR="00FC73BA">
          <w:rPr>
            <w:noProof/>
            <w:webHidden/>
          </w:rPr>
          <w:tab/>
        </w:r>
        <w:r w:rsidR="00FC73BA">
          <w:rPr>
            <w:noProof/>
            <w:webHidden/>
          </w:rPr>
          <w:fldChar w:fldCharType="begin"/>
        </w:r>
        <w:r w:rsidR="00FC73BA">
          <w:rPr>
            <w:noProof/>
            <w:webHidden/>
          </w:rPr>
          <w:instrText xml:space="preserve"> PAGEREF _Toc439078830 \h </w:instrText>
        </w:r>
        <w:r w:rsidR="00FC73BA">
          <w:rPr>
            <w:noProof/>
            <w:webHidden/>
          </w:rPr>
        </w:r>
        <w:r w:rsidR="00FC73BA">
          <w:rPr>
            <w:noProof/>
            <w:webHidden/>
          </w:rPr>
          <w:fldChar w:fldCharType="separate"/>
        </w:r>
        <w:r w:rsidR="00140F72">
          <w:rPr>
            <w:noProof/>
            <w:webHidden/>
          </w:rPr>
          <w:t>4</w:t>
        </w:r>
        <w:r w:rsidR="00FC73BA">
          <w:rPr>
            <w:noProof/>
            <w:webHidden/>
          </w:rPr>
          <w:fldChar w:fldCharType="end"/>
        </w:r>
      </w:hyperlink>
    </w:p>
    <w:p w:rsidR="00FC73BA" w:rsidRDefault="005E2337">
      <w:pPr>
        <w:pStyle w:val="TOC1"/>
        <w:rPr>
          <w:rFonts w:asciiTheme="minorHAnsi" w:eastAsiaTheme="minorEastAsia" w:hAnsiTheme="minorHAnsi"/>
          <w:caps w:val="0"/>
          <w:noProof/>
          <w:sz w:val="22"/>
        </w:rPr>
      </w:pPr>
      <w:hyperlink w:anchor="_Toc439078831" w:history="1">
        <w:r w:rsidR="00FC73BA" w:rsidRPr="00556C24">
          <w:rPr>
            <w:rStyle w:val="Hyperlink"/>
            <w:rFonts w:cs="Times New Roman"/>
            <w:noProof/>
          </w:rPr>
          <w:t>IV.</w:t>
        </w:r>
        <w:r w:rsidR="00FC73BA">
          <w:rPr>
            <w:rFonts w:asciiTheme="minorHAnsi" w:eastAsiaTheme="minorEastAsia" w:hAnsiTheme="minorHAnsi"/>
            <w:caps w:val="0"/>
            <w:noProof/>
            <w:sz w:val="22"/>
          </w:rPr>
          <w:tab/>
        </w:r>
        <w:r w:rsidR="00FC73BA" w:rsidRPr="00556C24">
          <w:rPr>
            <w:rStyle w:val="Hyperlink"/>
            <w:rFonts w:cs="Times New Roman"/>
            <w:noProof/>
          </w:rPr>
          <w:t>ASSESSMENT OF THE STIPULATION AS A WHOLE</w:t>
        </w:r>
        <w:r w:rsidR="00FC73BA">
          <w:rPr>
            <w:noProof/>
            <w:webHidden/>
          </w:rPr>
          <w:tab/>
        </w:r>
        <w:r w:rsidR="00FC73BA">
          <w:rPr>
            <w:noProof/>
            <w:webHidden/>
          </w:rPr>
          <w:fldChar w:fldCharType="begin"/>
        </w:r>
        <w:r w:rsidR="00FC73BA">
          <w:rPr>
            <w:noProof/>
            <w:webHidden/>
          </w:rPr>
          <w:instrText xml:space="preserve"> PAGEREF _Toc439078831 \h </w:instrText>
        </w:r>
        <w:r w:rsidR="00FC73BA">
          <w:rPr>
            <w:noProof/>
            <w:webHidden/>
          </w:rPr>
        </w:r>
        <w:r w:rsidR="00FC73BA">
          <w:rPr>
            <w:noProof/>
            <w:webHidden/>
          </w:rPr>
          <w:fldChar w:fldCharType="separate"/>
        </w:r>
        <w:r w:rsidR="00140F72">
          <w:rPr>
            <w:noProof/>
            <w:webHidden/>
          </w:rPr>
          <w:t>17</w:t>
        </w:r>
        <w:r w:rsidR="00FC73BA">
          <w:rPr>
            <w:noProof/>
            <w:webHidden/>
          </w:rPr>
          <w:fldChar w:fldCharType="end"/>
        </w:r>
      </w:hyperlink>
    </w:p>
    <w:p w:rsidR="00FC73BA" w:rsidRDefault="005E2337">
      <w:pPr>
        <w:pStyle w:val="TOC1"/>
        <w:rPr>
          <w:rFonts w:asciiTheme="minorHAnsi" w:eastAsiaTheme="minorEastAsia" w:hAnsiTheme="minorHAnsi"/>
          <w:caps w:val="0"/>
          <w:noProof/>
          <w:sz w:val="22"/>
        </w:rPr>
      </w:pPr>
      <w:hyperlink w:anchor="_Toc439078832" w:history="1">
        <w:r w:rsidR="00FC73BA" w:rsidRPr="00556C24">
          <w:rPr>
            <w:rStyle w:val="Hyperlink"/>
            <w:rFonts w:cs="Times New Roman"/>
            <w:noProof/>
          </w:rPr>
          <w:t>V.</w:t>
        </w:r>
        <w:r w:rsidR="00FC73BA">
          <w:rPr>
            <w:rFonts w:asciiTheme="minorHAnsi" w:eastAsiaTheme="minorEastAsia" w:hAnsiTheme="minorHAnsi"/>
            <w:caps w:val="0"/>
            <w:noProof/>
            <w:sz w:val="22"/>
          </w:rPr>
          <w:tab/>
        </w:r>
        <w:r w:rsidR="00FC73BA" w:rsidRPr="00556C24">
          <w:rPr>
            <w:rStyle w:val="Hyperlink"/>
            <w:rFonts w:cs="Times New Roman"/>
            <w:noProof/>
          </w:rPr>
          <w:t>CONCLUSION</w:t>
        </w:r>
        <w:r w:rsidR="00FC73BA">
          <w:rPr>
            <w:noProof/>
            <w:webHidden/>
          </w:rPr>
          <w:tab/>
        </w:r>
        <w:r w:rsidR="00FC73BA">
          <w:rPr>
            <w:noProof/>
            <w:webHidden/>
          </w:rPr>
          <w:fldChar w:fldCharType="begin"/>
        </w:r>
        <w:r w:rsidR="00FC73BA">
          <w:rPr>
            <w:noProof/>
            <w:webHidden/>
          </w:rPr>
          <w:instrText xml:space="preserve"> PAGEREF _Toc439078832 \h </w:instrText>
        </w:r>
        <w:r w:rsidR="00FC73BA">
          <w:rPr>
            <w:noProof/>
            <w:webHidden/>
          </w:rPr>
        </w:r>
        <w:r w:rsidR="00FC73BA">
          <w:rPr>
            <w:noProof/>
            <w:webHidden/>
          </w:rPr>
          <w:fldChar w:fldCharType="separate"/>
        </w:r>
        <w:r w:rsidR="00140F72">
          <w:rPr>
            <w:noProof/>
            <w:webHidden/>
          </w:rPr>
          <w:t>22</w:t>
        </w:r>
        <w:r w:rsidR="00FC73BA">
          <w:rPr>
            <w:noProof/>
            <w:webHidden/>
          </w:rPr>
          <w:fldChar w:fldCharType="end"/>
        </w:r>
      </w:hyperlink>
    </w:p>
    <w:p w:rsidR="000443A3" w:rsidRDefault="000443A3" w:rsidP="000443A3">
      <w:pPr>
        <w:rPr>
          <w:sz w:val="24"/>
        </w:rPr>
      </w:pPr>
      <w:r w:rsidRPr="00767670">
        <w:rPr>
          <w:sz w:val="24"/>
        </w:rPr>
        <w:fldChar w:fldCharType="end"/>
      </w:r>
    </w:p>
    <w:p w:rsidR="000443A3" w:rsidRDefault="000443A3" w:rsidP="000443A3">
      <w:pPr>
        <w:jc w:val="both"/>
        <w:rPr>
          <w:rFonts w:eastAsia="Times New Roman" w:cs="Times New Roman"/>
          <w:sz w:val="24"/>
          <w:szCs w:val="24"/>
        </w:rPr>
      </w:pPr>
    </w:p>
    <w:p w:rsidR="000443A3" w:rsidRDefault="000443A3" w:rsidP="000443A3">
      <w:pPr>
        <w:contextualSpacing/>
        <w:jc w:val="both"/>
        <w:rPr>
          <w:rFonts w:eastAsia="Times New Roman" w:cs="Times New Roman"/>
          <w:sz w:val="24"/>
          <w:szCs w:val="24"/>
        </w:rPr>
      </w:pPr>
    </w:p>
    <w:p w:rsidR="000443A3" w:rsidRDefault="000443A3" w:rsidP="000443A3">
      <w:pPr>
        <w:spacing w:after="240"/>
        <w:contextualSpacing/>
        <w:jc w:val="both"/>
        <w:rPr>
          <w:rFonts w:eastAsia="Times New Roman" w:cs="Times New Roman"/>
          <w:sz w:val="24"/>
          <w:szCs w:val="24"/>
        </w:rPr>
      </w:pPr>
    </w:p>
    <w:p w:rsidR="000443A3" w:rsidRDefault="000443A3">
      <w:pPr>
        <w:rPr>
          <w:b/>
        </w:rPr>
        <w:sectPr w:rsidR="000443A3" w:rsidSect="000443A3">
          <w:footerReference w:type="default" r:id="rId14"/>
          <w:pgSz w:w="12240" w:h="15840"/>
          <w:pgMar w:top="1440" w:right="1800" w:bottom="1440" w:left="1800" w:header="720" w:footer="720" w:gutter="0"/>
          <w:cols w:space="720"/>
          <w:docGrid w:linePitch="360"/>
        </w:sectPr>
      </w:pPr>
    </w:p>
    <w:p w:rsidR="000A2FA4" w:rsidRPr="009B5360" w:rsidRDefault="000A2FA4" w:rsidP="009B5360">
      <w:pPr>
        <w:pStyle w:val="Heading1"/>
        <w:rPr>
          <w:rFonts w:cs="Times New Roman"/>
          <w:sz w:val="24"/>
          <w:szCs w:val="24"/>
        </w:rPr>
      </w:pPr>
      <w:bookmarkStart w:id="9" w:name="_Toc439078828"/>
      <w:r w:rsidRPr="009B5360">
        <w:rPr>
          <w:rFonts w:cs="Times New Roman"/>
          <w:sz w:val="24"/>
          <w:szCs w:val="24"/>
        </w:rPr>
        <w:lastRenderedPageBreak/>
        <w:t>INTRODUCTION</w:t>
      </w:r>
      <w:bookmarkEnd w:id="9"/>
    </w:p>
    <w:p w:rsidR="000A2FA4" w:rsidRPr="00B54B94" w:rsidRDefault="000A2FA4" w:rsidP="000A300A">
      <w:pPr>
        <w:spacing w:line="480" w:lineRule="auto"/>
        <w:ind w:left="720"/>
        <w:rPr>
          <w:rFonts w:cs="Times New Roman"/>
          <w:b/>
          <w:sz w:val="24"/>
          <w:szCs w:val="24"/>
        </w:rPr>
      </w:pPr>
    </w:p>
    <w:p w:rsidR="000A2FA4" w:rsidRPr="00B54B94" w:rsidRDefault="000A2FA4" w:rsidP="000A300A">
      <w:pPr>
        <w:spacing w:line="480" w:lineRule="auto"/>
        <w:rPr>
          <w:rFonts w:cs="Times New Roman"/>
          <w:b/>
          <w:i/>
          <w:sz w:val="24"/>
          <w:szCs w:val="24"/>
        </w:rPr>
      </w:pPr>
      <w:r w:rsidRPr="00B54B94">
        <w:rPr>
          <w:rFonts w:cs="Times New Roman"/>
          <w:b/>
          <w:i/>
          <w:sz w:val="24"/>
          <w:szCs w:val="24"/>
        </w:rPr>
        <w:t>Q</w:t>
      </w:r>
      <w:r w:rsidR="00B54B94" w:rsidRPr="00B54B94">
        <w:rPr>
          <w:rFonts w:cs="Times New Roman"/>
          <w:b/>
          <w:i/>
          <w:sz w:val="24"/>
          <w:szCs w:val="24"/>
        </w:rPr>
        <w:t>1</w:t>
      </w:r>
      <w:r w:rsidRPr="00B54B94">
        <w:rPr>
          <w:rFonts w:cs="Times New Roman"/>
          <w:b/>
          <w:i/>
          <w:sz w:val="24"/>
          <w:szCs w:val="24"/>
        </w:rPr>
        <w:t xml:space="preserve">. </w:t>
      </w:r>
      <w:r w:rsidRPr="00B54B94">
        <w:rPr>
          <w:rFonts w:cs="Times New Roman"/>
          <w:b/>
          <w:i/>
          <w:sz w:val="24"/>
          <w:szCs w:val="24"/>
        </w:rPr>
        <w:tab/>
        <w:t>PLEASE STATE YOUR NAME AND BUSINESS ADDRESS.</w:t>
      </w:r>
    </w:p>
    <w:p w:rsidR="000A2FA4" w:rsidRPr="00B54B94" w:rsidRDefault="000A2FA4" w:rsidP="00B54B94">
      <w:pPr>
        <w:spacing w:line="480" w:lineRule="auto"/>
        <w:ind w:left="720" w:hanging="720"/>
        <w:rPr>
          <w:rFonts w:cs="Times New Roman"/>
          <w:sz w:val="24"/>
          <w:szCs w:val="24"/>
        </w:rPr>
      </w:pPr>
      <w:r w:rsidRPr="00B54B94">
        <w:rPr>
          <w:rFonts w:cs="Times New Roman"/>
          <w:b/>
          <w:i/>
          <w:sz w:val="24"/>
          <w:szCs w:val="24"/>
        </w:rPr>
        <w:t>A</w:t>
      </w:r>
      <w:r w:rsidR="00B54B94" w:rsidRPr="00B54B94">
        <w:rPr>
          <w:rFonts w:cs="Times New Roman"/>
          <w:b/>
          <w:i/>
          <w:sz w:val="24"/>
          <w:szCs w:val="24"/>
        </w:rPr>
        <w:t>1</w:t>
      </w:r>
      <w:r w:rsidRPr="00B54B94">
        <w:rPr>
          <w:rFonts w:cs="Times New Roman"/>
          <w:b/>
          <w:i/>
          <w:sz w:val="24"/>
          <w:szCs w:val="24"/>
        </w:rPr>
        <w:t>.</w:t>
      </w:r>
      <w:r w:rsidR="006419DB" w:rsidRPr="00B54B94">
        <w:rPr>
          <w:rFonts w:cs="Times New Roman"/>
          <w:b/>
          <w:i/>
          <w:sz w:val="24"/>
          <w:szCs w:val="24"/>
        </w:rPr>
        <w:tab/>
      </w:r>
      <w:r w:rsidR="006419DB" w:rsidRPr="00B54B94">
        <w:rPr>
          <w:rFonts w:cs="Times New Roman"/>
          <w:sz w:val="24"/>
          <w:szCs w:val="24"/>
        </w:rPr>
        <w:t>My name is Noah C. Dormady.  My business address is 1810 College Rd, Columbus OH 43210.</w:t>
      </w:r>
    </w:p>
    <w:p w:rsidR="00D21016" w:rsidRPr="00B54B94" w:rsidRDefault="00D21016" w:rsidP="000A300A">
      <w:pPr>
        <w:spacing w:line="480" w:lineRule="auto"/>
        <w:rPr>
          <w:rFonts w:cs="Times New Roman"/>
          <w:sz w:val="24"/>
          <w:szCs w:val="24"/>
        </w:rPr>
      </w:pPr>
    </w:p>
    <w:p w:rsidR="00496FF9" w:rsidRPr="00B54B94" w:rsidRDefault="00496FF9" w:rsidP="000A300A">
      <w:pPr>
        <w:spacing w:line="480" w:lineRule="auto"/>
        <w:ind w:left="720" w:hanging="720"/>
        <w:rPr>
          <w:rFonts w:cs="Times New Roman"/>
          <w:b/>
          <w:i/>
          <w:sz w:val="24"/>
          <w:szCs w:val="24"/>
        </w:rPr>
      </w:pPr>
      <w:r w:rsidRPr="00B54B94">
        <w:rPr>
          <w:rFonts w:cs="Times New Roman"/>
          <w:b/>
          <w:i/>
          <w:sz w:val="24"/>
          <w:szCs w:val="24"/>
        </w:rPr>
        <w:t>Q</w:t>
      </w:r>
      <w:r w:rsidR="00B54B94" w:rsidRPr="00B54B94">
        <w:rPr>
          <w:rFonts w:cs="Times New Roman"/>
          <w:b/>
          <w:i/>
          <w:sz w:val="24"/>
          <w:szCs w:val="24"/>
        </w:rPr>
        <w:t>2</w:t>
      </w:r>
      <w:r w:rsidRPr="00B54B94">
        <w:rPr>
          <w:rFonts w:cs="Times New Roman"/>
          <w:b/>
          <w:i/>
          <w:sz w:val="24"/>
          <w:szCs w:val="24"/>
        </w:rPr>
        <w:t>.</w:t>
      </w:r>
      <w:r w:rsidRPr="00B54B94">
        <w:rPr>
          <w:rFonts w:cs="Times New Roman"/>
          <w:b/>
          <w:i/>
          <w:sz w:val="24"/>
          <w:szCs w:val="24"/>
        </w:rPr>
        <w:tab/>
        <w:t xml:space="preserve">ARE YOU THE SAME NOAH C. DORMADY WHO PREVIOUSLY </w:t>
      </w:r>
      <w:r w:rsidR="00FF71C0">
        <w:rPr>
          <w:rFonts w:cs="Times New Roman"/>
          <w:b/>
          <w:i/>
          <w:sz w:val="24"/>
          <w:szCs w:val="24"/>
        </w:rPr>
        <w:t>TESTIFIED</w:t>
      </w:r>
      <w:r w:rsidRPr="00B54B94">
        <w:rPr>
          <w:rFonts w:cs="Times New Roman"/>
          <w:b/>
          <w:i/>
          <w:sz w:val="24"/>
          <w:szCs w:val="24"/>
        </w:rPr>
        <w:t xml:space="preserve"> IN THIS PROCEEDING?</w:t>
      </w:r>
    </w:p>
    <w:p w:rsidR="00496FF9" w:rsidRPr="00B54B94" w:rsidRDefault="00204BBF" w:rsidP="000A300A">
      <w:pPr>
        <w:spacing w:line="480" w:lineRule="auto"/>
        <w:ind w:left="720" w:hanging="720"/>
        <w:rPr>
          <w:rFonts w:cs="Times New Roman"/>
          <w:sz w:val="24"/>
          <w:szCs w:val="24"/>
        </w:rPr>
      </w:pPr>
      <w:r w:rsidRPr="00B54B94">
        <w:rPr>
          <w:rFonts w:cs="Times New Roman"/>
          <w:b/>
          <w:i/>
          <w:sz w:val="24"/>
          <w:szCs w:val="24"/>
        </w:rPr>
        <w:t>A</w:t>
      </w:r>
      <w:r w:rsidR="00B54B94" w:rsidRPr="00B54B94">
        <w:rPr>
          <w:rFonts w:cs="Times New Roman"/>
          <w:b/>
          <w:i/>
          <w:sz w:val="24"/>
          <w:szCs w:val="24"/>
        </w:rPr>
        <w:t>2</w:t>
      </w:r>
      <w:r w:rsidRPr="00B54B94">
        <w:rPr>
          <w:rFonts w:cs="Times New Roman"/>
          <w:b/>
          <w:i/>
          <w:sz w:val="24"/>
          <w:szCs w:val="24"/>
        </w:rPr>
        <w:t>.</w:t>
      </w:r>
      <w:r w:rsidRPr="00B54B94">
        <w:rPr>
          <w:rFonts w:cs="Times New Roman"/>
          <w:b/>
          <w:i/>
          <w:sz w:val="24"/>
          <w:szCs w:val="24"/>
        </w:rPr>
        <w:tab/>
      </w:r>
      <w:r w:rsidRPr="00B54B94">
        <w:rPr>
          <w:rFonts w:cs="Times New Roman"/>
          <w:sz w:val="24"/>
          <w:szCs w:val="24"/>
        </w:rPr>
        <w:t>Yes.</w:t>
      </w:r>
    </w:p>
    <w:p w:rsidR="00D21016" w:rsidRPr="00B54B94" w:rsidRDefault="00D21016" w:rsidP="000A300A">
      <w:pPr>
        <w:spacing w:line="480" w:lineRule="auto"/>
        <w:ind w:left="720" w:hanging="720"/>
        <w:rPr>
          <w:rFonts w:cs="Times New Roman"/>
          <w:sz w:val="24"/>
          <w:szCs w:val="24"/>
        </w:rPr>
      </w:pPr>
    </w:p>
    <w:p w:rsidR="00F11BB3" w:rsidRPr="00B54B94" w:rsidRDefault="00F11BB3" w:rsidP="000A300A">
      <w:pPr>
        <w:spacing w:line="480" w:lineRule="auto"/>
        <w:ind w:left="720" w:hanging="720"/>
        <w:rPr>
          <w:rFonts w:cs="Times New Roman"/>
          <w:b/>
          <w:i/>
          <w:sz w:val="24"/>
          <w:szCs w:val="24"/>
        </w:rPr>
      </w:pPr>
      <w:r w:rsidRPr="00B54B94">
        <w:rPr>
          <w:rFonts w:cs="Times New Roman"/>
          <w:b/>
          <w:i/>
          <w:sz w:val="24"/>
          <w:szCs w:val="24"/>
        </w:rPr>
        <w:t>Q</w:t>
      </w:r>
      <w:r w:rsidR="00B54B94" w:rsidRPr="00B54B94">
        <w:rPr>
          <w:rFonts w:cs="Times New Roman"/>
          <w:b/>
          <w:i/>
          <w:sz w:val="24"/>
          <w:szCs w:val="24"/>
        </w:rPr>
        <w:t>3</w:t>
      </w:r>
      <w:r w:rsidRPr="00B54B94">
        <w:rPr>
          <w:rFonts w:cs="Times New Roman"/>
          <w:b/>
          <w:i/>
          <w:sz w:val="24"/>
          <w:szCs w:val="24"/>
        </w:rPr>
        <w:t>.</w:t>
      </w:r>
      <w:r w:rsidRPr="00B54B94">
        <w:rPr>
          <w:rFonts w:cs="Times New Roman"/>
          <w:b/>
          <w:i/>
          <w:sz w:val="24"/>
          <w:szCs w:val="24"/>
        </w:rPr>
        <w:tab/>
        <w:t>WHAT IS THE PURPOSE OF YOUR TESTIMONY?</w:t>
      </w:r>
    </w:p>
    <w:p w:rsidR="00134FEA" w:rsidRPr="00B54B94" w:rsidRDefault="00134FEA" w:rsidP="000A300A">
      <w:pPr>
        <w:spacing w:line="480" w:lineRule="auto"/>
        <w:ind w:left="720" w:hanging="720"/>
        <w:rPr>
          <w:rFonts w:cs="Times New Roman"/>
          <w:sz w:val="24"/>
          <w:szCs w:val="24"/>
        </w:rPr>
      </w:pPr>
      <w:r w:rsidRPr="00B54B94">
        <w:rPr>
          <w:rFonts w:cs="Times New Roman"/>
          <w:b/>
          <w:i/>
          <w:sz w:val="24"/>
          <w:szCs w:val="24"/>
        </w:rPr>
        <w:t>A</w:t>
      </w:r>
      <w:r w:rsidR="00B54B94" w:rsidRPr="00B54B94">
        <w:rPr>
          <w:rFonts w:cs="Times New Roman"/>
          <w:b/>
          <w:i/>
          <w:sz w:val="24"/>
          <w:szCs w:val="24"/>
        </w:rPr>
        <w:t>3</w:t>
      </w:r>
      <w:r w:rsidRPr="00B54B94">
        <w:rPr>
          <w:rFonts w:cs="Times New Roman"/>
          <w:b/>
          <w:i/>
          <w:sz w:val="24"/>
          <w:szCs w:val="24"/>
        </w:rPr>
        <w:t>.</w:t>
      </w:r>
      <w:r w:rsidRPr="00B54B94">
        <w:rPr>
          <w:rFonts w:cs="Times New Roman"/>
          <w:sz w:val="24"/>
          <w:szCs w:val="24"/>
        </w:rPr>
        <w:tab/>
        <w:t>The purpose of my testimony is to provide</w:t>
      </w:r>
      <w:r w:rsidR="00FB5D86" w:rsidRPr="00B54B94">
        <w:rPr>
          <w:rFonts w:cs="Times New Roman"/>
          <w:sz w:val="24"/>
          <w:szCs w:val="24"/>
        </w:rPr>
        <w:t xml:space="preserve"> an analysis concerning whether the </w:t>
      </w:r>
      <w:r w:rsidRPr="00B54B94">
        <w:rPr>
          <w:rFonts w:cs="Times New Roman"/>
          <w:sz w:val="24"/>
          <w:szCs w:val="24"/>
        </w:rPr>
        <w:t>Stipulation and Recommendation filed on December 14, 2015, in this proceeding</w:t>
      </w:r>
      <w:r w:rsidR="00FB5D86" w:rsidRPr="00B54B94">
        <w:rPr>
          <w:rFonts w:cs="Times New Roman"/>
          <w:sz w:val="24"/>
          <w:szCs w:val="24"/>
        </w:rPr>
        <w:t xml:space="preserve">, violates any or all of the PUCO’s three-prong test for </w:t>
      </w:r>
      <w:r w:rsidR="00F13B62" w:rsidRPr="00B54B94">
        <w:rPr>
          <w:rFonts w:cs="Times New Roman"/>
          <w:sz w:val="24"/>
          <w:szCs w:val="24"/>
        </w:rPr>
        <w:t>evaluating</w:t>
      </w:r>
      <w:r w:rsidR="00FB5D86" w:rsidRPr="00B54B94">
        <w:rPr>
          <w:rFonts w:cs="Times New Roman"/>
          <w:sz w:val="24"/>
          <w:szCs w:val="24"/>
        </w:rPr>
        <w:t xml:space="preserve"> a stipulation.</w:t>
      </w:r>
    </w:p>
    <w:p w:rsidR="00D21016" w:rsidRPr="00B54B94" w:rsidRDefault="00D21016" w:rsidP="000A300A">
      <w:pPr>
        <w:spacing w:line="480" w:lineRule="auto"/>
        <w:ind w:left="720" w:hanging="720"/>
        <w:rPr>
          <w:rFonts w:cs="Times New Roman"/>
          <w:sz w:val="24"/>
          <w:szCs w:val="24"/>
        </w:rPr>
      </w:pPr>
    </w:p>
    <w:p w:rsidR="00C731E4" w:rsidRPr="00B54B94" w:rsidRDefault="00C731E4" w:rsidP="00AC70D7">
      <w:pPr>
        <w:pStyle w:val="Heading1"/>
        <w:rPr>
          <w:rFonts w:cs="Times New Roman"/>
          <w:sz w:val="24"/>
          <w:szCs w:val="24"/>
        </w:rPr>
      </w:pPr>
      <w:bookmarkStart w:id="10" w:name="_Toc439078829"/>
      <w:r w:rsidRPr="00B54B94">
        <w:rPr>
          <w:rFonts w:cs="Times New Roman"/>
          <w:sz w:val="24"/>
          <w:szCs w:val="24"/>
        </w:rPr>
        <w:t>SUMMARY OF FINDINGS</w:t>
      </w:r>
      <w:bookmarkEnd w:id="10"/>
    </w:p>
    <w:p w:rsidR="00C731E4" w:rsidRPr="00B54B94" w:rsidRDefault="00C731E4" w:rsidP="000A300A">
      <w:pPr>
        <w:spacing w:line="480" w:lineRule="auto"/>
        <w:ind w:left="720" w:hanging="720"/>
        <w:rPr>
          <w:rFonts w:cs="Times New Roman"/>
          <w:b/>
          <w:sz w:val="24"/>
          <w:szCs w:val="24"/>
        </w:rPr>
      </w:pPr>
    </w:p>
    <w:p w:rsidR="009F580A" w:rsidRPr="00706BD6" w:rsidRDefault="009F580A" w:rsidP="000A300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4</w:t>
      </w:r>
      <w:r w:rsidRPr="00706BD6">
        <w:rPr>
          <w:rFonts w:cs="Times New Roman"/>
          <w:b/>
          <w:i/>
          <w:sz w:val="24"/>
          <w:szCs w:val="24"/>
        </w:rPr>
        <w:t>.</w:t>
      </w:r>
      <w:r w:rsidRPr="00706BD6">
        <w:rPr>
          <w:rFonts w:cs="Times New Roman"/>
          <w:b/>
          <w:i/>
          <w:sz w:val="24"/>
          <w:szCs w:val="24"/>
        </w:rPr>
        <w:tab/>
        <w:t>WHAT IS THE PUCO’S THREE-PRONG TEST FOR APPROVAL OF A STIPULATION?</w:t>
      </w:r>
    </w:p>
    <w:p w:rsidR="009F580A" w:rsidRPr="00B54B94" w:rsidRDefault="004E30A9" w:rsidP="000A300A">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4</w:t>
      </w:r>
      <w:r w:rsidRPr="00706BD6">
        <w:rPr>
          <w:rFonts w:cs="Times New Roman"/>
          <w:b/>
          <w:i/>
          <w:sz w:val="24"/>
          <w:szCs w:val="24"/>
        </w:rPr>
        <w:t>.</w:t>
      </w:r>
      <w:r w:rsidRPr="00B54B94">
        <w:rPr>
          <w:rFonts w:cs="Times New Roman"/>
          <w:sz w:val="24"/>
          <w:szCs w:val="24"/>
        </w:rPr>
        <w:tab/>
        <w:t xml:space="preserve">The PUCO’s three-prong test for </w:t>
      </w:r>
      <w:r w:rsidR="00F13B62" w:rsidRPr="00B54B94">
        <w:rPr>
          <w:rFonts w:cs="Times New Roman"/>
          <w:sz w:val="24"/>
          <w:szCs w:val="24"/>
        </w:rPr>
        <w:t>evaluating</w:t>
      </w:r>
      <w:r w:rsidRPr="00B54B94">
        <w:rPr>
          <w:rFonts w:cs="Times New Roman"/>
          <w:sz w:val="24"/>
          <w:szCs w:val="24"/>
        </w:rPr>
        <w:t xml:space="preserve"> a stipulation requires that the Stipulation meet all of the following conditions:</w:t>
      </w:r>
    </w:p>
    <w:p w:rsidR="004E30A9" w:rsidRPr="00B54B94" w:rsidRDefault="00FF71C0" w:rsidP="007E46DB">
      <w:pPr>
        <w:pStyle w:val="ListParagraph"/>
        <w:numPr>
          <w:ilvl w:val="0"/>
          <w:numId w:val="4"/>
        </w:numPr>
        <w:spacing w:line="480" w:lineRule="auto"/>
        <w:ind w:left="1440" w:right="720"/>
        <w:rPr>
          <w:rFonts w:cs="Times New Roman"/>
          <w:sz w:val="24"/>
          <w:szCs w:val="24"/>
        </w:rPr>
      </w:pPr>
      <w:r>
        <w:rPr>
          <w:rFonts w:cs="Times New Roman"/>
          <w:sz w:val="24"/>
          <w:szCs w:val="24"/>
        </w:rPr>
        <w:t>Is the settlement a product of serious bargaining among capable, knowledgeable parties, where there is diversity of interests among the stipulating parties?</w:t>
      </w:r>
    </w:p>
    <w:p w:rsidR="004E30A9" w:rsidRPr="00B54B94" w:rsidRDefault="004E30A9" w:rsidP="007E46DB">
      <w:pPr>
        <w:pStyle w:val="ListParagraph"/>
        <w:numPr>
          <w:ilvl w:val="0"/>
          <w:numId w:val="4"/>
        </w:numPr>
        <w:spacing w:line="480" w:lineRule="auto"/>
        <w:ind w:left="1440" w:right="720"/>
        <w:rPr>
          <w:rFonts w:cs="Times New Roman"/>
          <w:sz w:val="24"/>
          <w:szCs w:val="24"/>
        </w:rPr>
      </w:pPr>
      <w:r w:rsidRPr="00B54B94">
        <w:rPr>
          <w:rFonts w:cs="Times New Roman"/>
          <w:sz w:val="24"/>
          <w:szCs w:val="24"/>
        </w:rPr>
        <w:t>Does not violate any important regulatory principle or practice</w:t>
      </w:r>
      <w:r w:rsidR="00FF71C0">
        <w:rPr>
          <w:rFonts w:cs="Times New Roman"/>
          <w:sz w:val="24"/>
          <w:szCs w:val="24"/>
        </w:rPr>
        <w:t>?</w:t>
      </w:r>
      <w:r w:rsidR="001074DC">
        <w:rPr>
          <w:rFonts w:cs="Times New Roman"/>
          <w:sz w:val="24"/>
          <w:szCs w:val="24"/>
        </w:rPr>
        <w:t xml:space="preserve"> and</w:t>
      </w:r>
    </w:p>
    <w:p w:rsidR="004E30A9" w:rsidRPr="00B54B94" w:rsidRDefault="004E30A9" w:rsidP="007E46DB">
      <w:pPr>
        <w:pStyle w:val="ListParagraph"/>
        <w:numPr>
          <w:ilvl w:val="0"/>
          <w:numId w:val="4"/>
        </w:numPr>
        <w:spacing w:line="480" w:lineRule="auto"/>
        <w:ind w:left="1440" w:right="720"/>
        <w:rPr>
          <w:rFonts w:cs="Times New Roman"/>
          <w:sz w:val="24"/>
          <w:szCs w:val="24"/>
        </w:rPr>
      </w:pPr>
      <w:r w:rsidRPr="00B54B94">
        <w:rPr>
          <w:rFonts w:cs="Times New Roman"/>
          <w:sz w:val="24"/>
          <w:szCs w:val="24"/>
        </w:rPr>
        <w:t>As a package, benefits ratepayers and the public interest</w:t>
      </w:r>
      <w:r w:rsidR="00FF71C0">
        <w:rPr>
          <w:rFonts w:cs="Times New Roman"/>
          <w:sz w:val="24"/>
          <w:szCs w:val="24"/>
        </w:rPr>
        <w:t>?</w:t>
      </w:r>
    </w:p>
    <w:p w:rsidR="00D21016" w:rsidRPr="00B54B94" w:rsidRDefault="00D21016" w:rsidP="00D21016">
      <w:pPr>
        <w:pStyle w:val="ListParagraph"/>
        <w:spacing w:line="480" w:lineRule="auto"/>
        <w:ind w:left="1080"/>
        <w:rPr>
          <w:rFonts w:cs="Times New Roman"/>
          <w:sz w:val="24"/>
          <w:szCs w:val="24"/>
        </w:rPr>
      </w:pPr>
    </w:p>
    <w:p w:rsidR="009F580A" w:rsidRPr="00706BD6" w:rsidRDefault="00900F99" w:rsidP="000A300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5</w:t>
      </w:r>
      <w:r w:rsidRPr="00706BD6">
        <w:rPr>
          <w:rFonts w:cs="Times New Roman"/>
          <w:b/>
          <w:i/>
          <w:sz w:val="24"/>
          <w:szCs w:val="24"/>
        </w:rPr>
        <w:t xml:space="preserve">. </w:t>
      </w:r>
      <w:r w:rsidRPr="00706BD6">
        <w:rPr>
          <w:rFonts w:cs="Times New Roman"/>
          <w:b/>
          <w:i/>
          <w:sz w:val="24"/>
          <w:szCs w:val="24"/>
        </w:rPr>
        <w:tab/>
      </w:r>
      <w:r w:rsidR="00FF71C0">
        <w:rPr>
          <w:rFonts w:cs="Times New Roman"/>
          <w:b/>
          <w:i/>
          <w:sz w:val="24"/>
          <w:szCs w:val="24"/>
        </w:rPr>
        <w:t>IF THE PUCO USES THE THREE-PRONG TEST TO EVALUATE THE STIPULATION</w:t>
      </w:r>
      <w:r w:rsidRPr="00706BD6">
        <w:rPr>
          <w:rFonts w:cs="Times New Roman"/>
          <w:b/>
          <w:i/>
          <w:sz w:val="24"/>
          <w:szCs w:val="24"/>
        </w:rPr>
        <w:t xml:space="preserve">, DOES THE STIPULATION </w:t>
      </w:r>
      <w:r w:rsidR="00FF71C0">
        <w:rPr>
          <w:rFonts w:cs="Times New Roman"/>
          <w:b/>
          <w:i/>
          <w:sz w:val="24"/>
          <w:szCs w:val="24"/>
        </w:rPr>
        <w:t>MEET ALL OF THE THREE PRONGS?</w:t>
      </w:r>
    </w:p>
    <w:p w:rsidR="002F145A" w:rsidRDefault="00900F99" w:rsidP="000A300A">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5</w:t>
      </w:r>
      <w:r w:rsidRPr="00706BD6">
        <w:rPr>
          <w:rFonts w:cs="Times New Roman"/>
          <w:b/>
          <w:i/>
          <w:sz w:val="24"/>
          <w:szCs w:val="24"/>
        </w:rPr>
        <w:t>.</w:t>
      </w:r>
      <w:r w:rsidRPr="00B54B94">
        <w:rPr>
          <w:rFonts w:cs="Times New Roman"/>
          <w:sz w:val="24"/>
          <w:szCs w:val="24"/>
        </w:rPr>
        <w:tab/>
      </w:r>
      <w:r w:rsidR="009C19C0" w:rsidRPr="00B54B94">
        <w:rPr>
          <w:rFonts w:cs="Times New Roman"/>
          <w:sz w:val="24"/>
          <w:szCs w:val="24"/>
        </w:rPr>
        <w:t xml:space="preserve">In my opinion, none of the </w:t>
      </w:r>
      <w:r w:rsidR="00FF71C0">
        <w:rPr>
          <w:rFonts w:cs="Times New Roman"/>
          <w:sz w:val="24"/>
          <w:szCs w:val="24"/>
        </w:rPr>
        <w:t>three prongs</w:t>
      </w:r>
      <w:r w:rsidR="009C19C0" w:rsidRPr="00B54B94">
        <w:rPr>
          <w:rFonts w:cs="Times New Roman"/>
          <w:sz w:val="24"/>
          <w:szCs w:val="24"/>
        </w:rPr>
        <w:t xml:space="preserve"> are met by the Stipulation as filed on December 14, 2015.  As my testimony </w:t>
      </w:r>
      <w:r w:rsidR="00F13B62" w:rsidRPr="00B54B94">
        <w:rPr>
          <w:rFonts w:cs="Times New Roman"/>
          <w:sz w:val="24"/>
          <w:szCs w:val="24"/>
        </w:rPr>
        <w:t>describes</w:t>
      </w:r>
      <w:r w:rsidR="009C19C0" w:rsidRPr="00B54B94">
        <w:rPr>
          <w:rFonts w:cs="Times New Roman"/>
          <w:sz w:val="24"/>
          <w:szCs w:val="24"/>
        </w:rPr>
        <w:t xml:space="preserve"> below, several provisions</w:t>
      </w:r>
      <w:r w:rsidR="00546245" w:rsidRPr="00B54B94">
        <w:rPr>
          <w:rFonts w:cs="Times New Roman"/>
          <w:sz w:val="24"/>
          <w:szCs w:val="24"/>
        </w:rPr>
        <w:t xml:space="preserve"> of the Stipulation violate one or more of each of these conditions. </w:t>
      </w:r>
      <w:r w:rsidR="00F13B62" w:rsidRPr="00B54B94">
        <w:rPr>
          <w:rFonts w:cs="Times New Roman"/>
          <w:sz w:val="24"/>
          <w:szCs w:val="24"/>
        </w:rPr>
        <w:t xml:space="preserve"> The bottom-line is that the Stipulation was not the product of serious bargaining among capable, knowledgeable parties, it violates important regulatory principles and practices, and as a package, it does not benefit</w:t>
      </w:r>
      <w:r w:rsidR="00642BC0">
        <w:rPr>
          <w:rFonts w:cs="Times New Roman"/>
          <w:sz w:val="24"/>
          <w:szCs w:val="24"/>
        </w:rPr>
        <w:t xml:space="preserve"> customers</w:t>
      </w:r>
      <w:r w:rsidR="00F13B62" w:rsidRPr="00B54B94">
        <w:rPr>
          <w:rFonts w:cs="Times New Roman"/>
          <w:sz w:val="24"/>
          <w:szCs w:val="24"/>
        </w:rPr>
        <w:t xml:space="preserve"> or the public interest.</w:t>
      </w:r>
    </w:p>
    <w:p w:rsidR="007F23B8" w:rsidRDefault="007F23B8" w:rsidP="000A300A">
      <w:pPr>
        <w:spacing w:line="480" w:lineRule="auto"/>
        <w:ind w:left="720" w:hanging="720"/>
        <w:rPr>
          <w:rFonts w:cs="Times New Roman"/>
          <w:sz w:val="24"/>
          <w:szCs w:val="24"/>
        </w:rPr>
      </w:pPr>
    </w:p>
    <w:p w:rsidR="00FF71C0" w:rsidRDefault="00FF71C0" w:rsidP="000A300A">
      <w:pPr>
        <w:spacing w:line="480" w:lineRule="auto"/>
        <w:ind w:left="720" w:hanging="720"/>
        <w:rPr>
          <w:rFonts w:cs="Times New Roman"/>
          <w:b/>
          <w:i/>
          <w:sz w:val="24"/>
          <w:szCs w:val="24"/>
        </w:rPr>
      </w:pPr>
      <w:r>
        <w:rPr>
          <w:rFonts w:cs="Times New Roman"/>
          <w:b/>
          <w:i/>
          <w:sz w:val="24"/>
          <w:szCs w:val="24"/>
        </w:rPr>
        <w:t>Q6.</w:t>
      </w:r>
      <w:r>
        <w:rPr>
          <w:rFonts w:cs="Times New Roman"/>
          <w:sz w:val="24"/>
          <w:szCs w:val="24"/>
        </w:rPr>
        <w:tab/>
      </w:r>
      <w:r>
        <w:rPr>
          <w:rFonts w:cs="Times New Roman"/>
          <w:b/>
          <w:i/>
          <w:sz w:val="24"/>
          <w:szCs w:val="24"/>
        </w:rPr>
        <w:t>PLEASE EXPLAIN HOW THE STIPULATION VIOLATES THE THREE-PRONG TEST.</w:t>
      </w:r>
    </w:p>
    <w:p w:rsidR="007F23B8" w:rsidRDefault="00FF71C0" w:rsidP="00FF71C0">
      <w:pPr>
        <w:spacing w:line="480" w:lineRule="auto"/>
        <w:ind w:left="720" w:hanging="720"/>
        <w:rPr>
          <w:rFonts w:cs="Times New Roman"/>
          <w:sz w:val="24"/>
          <w:szCs w:val="24"/>
        </w:rPr>
      </w:pPr>
      <w:r>
        <w:rPr>
          <w:rFonts w:cs="Times New Roman"/>
          <w:b/>
          <w:i/>
          <w:sz w:val="24"/>
          <w:szCs w:val="24"/>
        </w:rPr>
        <w:t>A6.</w:t>
      </w:r>
      <w:r>
        <w:rPr>
          <w:rFonts w:cs="Times New Roman"/>
          <w:b/>
          <w:i/>
          <w:sz w:val="24"/>
          <w:szCs w:val="24"/>
        </w:rPr>
        <w:tab/>
      </w:r>
      <w:r w:rsidR="00E853F9" w:rsidRPr="00B54B94">
        <w:rPr>
          <w:rFonts w:cs="Times New Roman"/>
          <w:sz w:val="24"/>
          <w:szCs w:val="24"/>
        </w:rPr>
        <w:t xml:space="preserve">First, </w:t>
      </w:r>
      <w:r>
        <w:rPr>
          <w:rFonts w:cs="Times New Roman"/>
          <w:sz w:val="24"/>
          <w:szCs w:val="24"/>
        </w:rPr>
        <w:t>there is a lack of diversity in that residential customers are not represented.</w:t>
      </w:r>
      <w:r w:rsidR="003C7BAD">
        <w:rPr>
          <w:rStyle w:val="FootnoteReference"/>
          <w:rFonts w:cs="Times New Roman"/>
          <w:sz w:val="24"/>
          <w:szCs w:val="24"/>
        </w:rPr>
        <w:footnoteReference w:id="1"/>
      </w:r>
      <w:r>
        <w:rPr>
          <w:rFonts w:cs="Times New Roman"/>
          <w:sz w:val="24"/>
          <w:szCs w:val="24"/>
        </w:rPr>
        <w:t xml:space="preserve">  Further, </w:t>
      </w:r>
      <w:r w:rsidR="00E853F9" w:rsidRPr="00B54B94">
        <w:rPr>
          <w:rFonts w:cs="Times New Roman"/>
          <w:sz w:val="24"/>
          <w:szCs w:val="24"/>
        </w:rPr>
        <w:t xml:space="preserve">several provisions of the Stipulation </w:t>
      </w:r>
      <w:r w:rsidR="002F145A" w:rsidRPr="00B54B94">
        <w:rPr>
          <w:rFonts w:cs="Times New Roman"/>
          <w:sz w:val="24"/>
          <w:szCs w:val="24"/>
        </w:rPr>
        <w:t xml:space="preserve">create </w:t>
      </w:r>
      <w:r w:rsidR="00E853F9" w:rsidRPr="00B54B94">
        <w:rPr>
          <w:rFonts w:cs="Times New Roman"/>
          <w:sz w:val="24"/>
          <w:szCs w:val="24"/>
        </w:rPr>
        <w:t>substantial uncertainty (e.g., regul</w:t>
      </w:r>
      <w:r w:rsidR="002F145A" w:rsidRPr="00B54B94">
        <w:rPr>
          <w:rFonts w:cs="Times New Roman"/>
          <w:sz w:val="24"/>
          <w:szCs w:val="24"/>
        </w:rPr>
        <w:t xml:space="preserve">atory, economic, environmental).  Many of the </w:t>
      </w:r>
      <w:r w:rsidR="00F13B62" w:rsidRPr="00B54B94">
        <w:rPr>
          <w:rFonts w:cs="Times New Roman"/>
          <w:sz w:val="24"/>
          <w:szCs w:val="24"/>
        </w:rPr>
        <w:t>“</w:t>
      </w:r>
      <w:r w:rsidR="002F145A" w:rsidRPr="00B54B94">
        <w:rPr>
          <w:rFonts w:cs="Times New Roman"/>
          <w:sz w:val="24"/>
          <w:szCs w:val="24"/>
        </w:rPr>
        <w:t>commitments</w:t>
      </w:r>
      <w:r w:rsidR="00F13B62" w:rsidRPr="00B54B94">
        <w:rPr>
          <w:rFonts w:cs="Times New Roman"/>
          <w:sz w:val="24"/>
          <w:szCs w:val="24"/>
        </w:rPr>
        <w:t>”</w:t>
      </w:r>
      <w:r w:rsidR="002F145A" w:rsidRPr="00B54B94">
        <w:rPr>
          <w:rFonts w:cs="Times New Roman"/>
          <w:sz w:val="24"/>
          <w:szCs w:val="24"/>
        </w:rPr>
        <w:t xml:space="preserve"> by </w:t>
      </w:r>
      <w:r w:rsidR="00404ED2">
        <w:rPr>
          <w:rFonts w:cs="Times New Roman"/>
          <w:sz w:val="24"/>
          <w:szCs w:val="24"/>
        </w:rPr>
        <w:t>the Ohio Power Company (“</w:t>
      </w:r>
      <w:r w:rsidR="002F145A" w:rsidRPr="00B54B94">
        <w:rPr>
          <w:rFonts w:cs="Times New Roman"/>
          <w:sz w:val="24"/>
          <w:szCs w:val="24"/>
        </w:rPr>
        <w:t>AEP Ohio</w:t>
      </w:r>
      <w:r w:rsidR="00404ED2">
        <w:rPr>
          <w:rFonts w:cs="Times New Roman"/>
          <w:sz w:val="24"/>
          <w:szCs w:val="24"/>
        </w:rPr>
        <w:t>”)</w:t>
      </w:r>
      <w:r w:rsidR="002F145A" w:rsidRPr="00B54B94">
        <w:rPr>
          <w:rFonts w:cs="Times New Roman"/>
          <w:sz w:val="24"/>
          <w:szCs w:val="24"/>
        </w:rPr>
        <w:t xml:space="preserve"> are dependent upon suppositions that lack any preliminary analysis, feasibility assessment, or cost assessment whatsoever.  </w:t>
      </w:r>
      <w:r w:rsidR="00EC073D" w:rsidRPr="00B54B94">
        <w:rPr>
          <w:rFonts w:cs="Times New Roman"/>
          <w:sz w:val="24"/>
          <w:szCs w:val="24"/>
        </w:rPr>
        <w:t>There is therefore no way</w:t>
      </w:r>
      <w:r w:rsidR="002F145A" w:rsidRPr="00B54B94">
        <w:rPr>
          <w:rFonts w:cs="Times New Roman"/>
          <w:sz w:val="24"/>
          <w:szCs w:val="24"/>
        </w:rPr>
        <w:t xml:space="preserve"> that the parties to the Stipulation were able to conduct capable, knowledgeable bargaining on the basis of suc</w:t>
      </w:r>
      <w:r w:rsidR="007D57A6" w:rsidRPr="00B54B94">
        <w:rPr>
          <w:rFonts w:cs="Times New Roman"/>
          <w:sz w:val="24"/>
          <w:szCs w:val="24"/>
        </w:rPr>
        <w:t>h uncertainty and tenuous planning</w:t>
      </w:r>
      <w:r>
        <w:rPr>
          <w:rFonts w:cs="Times New Roman"/>
          <w:sz w:val="24"/>
          <w:szCs w:val="24"/>
        </w:rPr>
        <w:t xml:space="preserve"> on these important issues affecting Ohio consumers</w:t>
      </w:r>
      <w:r w:rsidR="007D57A6" w:rsidRPr="00B54B94">
        <w:rPr>
          <w:rFonts w:cs="Times New Roman"/>
          <w:sz w:val="24"/>
          <w:szCs w:val="24"/>
        </w:rPr>
        <w:t>.</w:t>
      </w:r>
    </w:p>
    <w:p w:rsidR="00FF2738" w:rsidRDefault="00FF2738" w:rsidP="00FF71C0">
      <w:pPr>
        <w:spacing w:line="480" w:lineRule="auto"/>
        <w:ind w:left="720" w:hanging="720"/>
        <w:rPr>
          <w:rFonts w:cs="Times New Roman"/>
          <w:sz w:val="24"/>
          <w:szCs w:val="24"/>
        </w:rPr>
      </w:pPr>
    </w:p>
    <w:p w:rsidR="00CB5B08" w:rsidRPr="00B54B94" w:rsidRDefault="00E105BB" w:rsidP="000A300A">
      <w:pPr>
        <w:spacing w:line="480" w:lineRule="auto"/>
        <w:ind w:left="720"/>
        <w:rPr>
          <w:rFonts w:cs="Times New Roman"/>
          <w:sz w:val="24"/>
          <w:szCs w:val="24"/>
        </w:rPr>
      </w:pPr>
      <w:r w:rsidRPr="00B54B94">
        <w:rPr>
          <w:rFonts w:cs="Times New Roman"/>
          <w:sz w:val="24"/>
          <w:szCs w:val="24"/>
        </w:rPr>
        <w:t xml:space="preserve">Second, provisions of the Stipulation violate </w:t>
      </w:r>
      <w:r w:rsidR="007854DD" w:rsidRPr="00B54B94">
        <w:rPr>
          <w:rFonts w:cs="Times New Roman"/>
          <w:sz w:val="24"/>
          <w:szCs w:val="24"/>
        </w:rPr>
        <w:t xml:space="preserve">important </w:t>
      </w:r>
      <w:r w:rsidRPr="00B54B94">
        <w:rPr>
          <w:rFonts w:cs="Times New Roman"/>
          <w:sz w:val="24"/>
          <w:szCs w:val="24"/>
        </w:rPr>
        <w:t>regulatory principles or practices</w:t>
      </w:r>
      <w:r w:rsidR="007854DD" w:rsidRPr="00B54B94">
        <w:rPr>
          <w:rFonts w:cs="Times New Roman"/>
          <w:sz w:val="24"/>
          <w:szCs w:val="24"/>
        </w:rPr>
        <w:t>.  These</w:t>
      </w:r>
      <w:r w:rsidR="00A50560" w:rsidRPr="00B54B94">
        <w:rPr>
          <w:rFonts w:cs="Times New Roman"/>
          <w:sz w:val="24"/>
          <w:szCs w:val="24"/>
        </w:rPr>
        <w:t xml:space="preserve"> </w:t>
      </w:r>
      <w:r w:rsidRPr="00B54B94">
        <w:rPr>
          <w:rFonts w:cs="Times New Roman"/>
          <w:sz w:val="24"/>
          <w:szCs w:val="24"/>
        </w:rPr>
        <w:t>undul</w:t>
      </w:r>
      <w:r w:rsidR="007854DD" w:rsidRPr="00B54B94">
        <w:rPr>
          <w:rFonts w:cs="Times New Roman"/>
          <w:sz w:val="24"/>
          <w:szCs w:val="24"/>
        </w:rPr>
        <w:t>y benefit one class of customer at the cost of another, develop cross-subsidization across customer classes, and distort the economic incentives of pricing mechanisms.</w:t>
      </w:r>
      <w:r w:rsidR="00C55A96" w:rsidRPr="00B54B94">
        <w:rPr>
          <w:rFonts w:cs="Times New Roman"/>
          <w:sz w:val="24"/>
          <w:szCs w:val="24"/>
        </w:rPr>
        <w:t xml:space="preserve"> </w:t>
      </w:r>
      <w:r w:rsidR="001C09D6">
        <w:rPr>
          <w:rFonts w:cs="Times New Roman"/>
          <w:sz w:val="24"/>
          <w:szCs w:val="24"/>
        </w:rPr>
        <w:t xml:space="preserve"> </w:t>
      </w:r>
      <w:r w:rsidR="00C55A96" w:rsidRPr="00B54B94">
        <w:rPr>
          <w:rFonts w:cs="Times New Roman"/>
          <w:sz w:val="24"/>
          <w:szCs w:val="24"/>
        </w:rPr>
        <w:t xml:space="preserve">This will undoubtedly result in prices that are inefficient and that send distorted price signals to producers and consumers alike. </w:t>
      </w:r>
      <w:r w:rsidR="00B66392" w:rsidRPr="00B54B94">
        <w:rPr>
          <w:rFonts w:cs="Times New Roman"/>
          <w:sz w:val="24"/>
          <w:szCs w:val="24"/>
        </w:rPr>
        <w:t xml:space="preserve"> These </w:t>
      </w:r>
      <w:r w:rsidR="00C55A96" w:rsidRPr="00B54B94">
        <w:rPr>
          <w:rFonts w:cs="Times New Roman"/>
          <w:sz w:val="24"/>
          <w:szCs w:val="24"/>
        </w:rPr>
        <w:t>market distortion</w:t>
      </w:r>
      <w:r w:rsidR="00B66392" w:rsidRPr="00B54B94">
        <w:rPr>
          <w:rFonts w:cs="Times New Roman"/>
          <w:sz w:val="24"/>
          <w:szCs w:val="24"/>
        </w:rPr>
        <w:t>s</w:t>
      </w:r>
      <w:r w:rsidR="00C55A96" w:rsidRPr="00B54B94">
        <w:rPr>
          <w:rFonts w:cs="Times New Roman"/>
          <w:sz w:val="24"/>
          <w:szCs w:val="24"/>
        </w:rPr>
        <w:t xml:space="preserve"> </w:t>
      </w:r>
      <w:r w:rsidR="00B66392" w:rsidRPr="00B54B94">
        <w:rPr>
          <w:rFonts w:cs="Times New Roman"/>
          <w:sz w:val="24"/>
          <w:szCs w:val="24"/>
        </w:rPr>
        <w:t>are</w:t>
      </w:r>
      <w:r w:rsidR="00C55A96" w:rsidRPr="00B54B94">
        <w:rPr>
          <w:rFonts w:cs="Times New Roman"/>
          <w:sz w:val="24"/>
          <w:szCs w:val="24"/>
        </w:rPr>
        <w:t xml:space="preserve"> not simply due to distortions inherent </w:t>
      </w:r>
      <w:r w:rsidR="00B66392" w:rsidRPr="00B54B94">
        <w:rPr>
          <w:rFonts w:cs="Times New Roman"/>
          <w:sz w:val="24"/>
          <w:szCs w:val="24"/>
        </w:rPr>
        <w:t>to</w:t>
      </w:r>
      <w:r w:rsidR="00C55A96" w:rsidRPr="00B54B94">
        <w:rPr>
          <w:rFonts w:cs="Times New Roman"/>
          <w:sz w:val="24"/>
          <w:szCs w:val="24"/>
        </w:rPr>
        <w:t xml:space="preserve"> the Stipulation, but </w:t>
      </w:r>
      <w:r w:rsidR="00B66392" w:rsidRPr="00B54B94">
        <w:rPr>
          <w:rFonts w:cs="Times New Roman"/>
          <w:sz w:val="24"/>
          <w:szCs w:val="24"/>
        </w:rPr>
        <w:t xml:space="preserve">are more broadly due to the distorted nature of the PPA rider mechanism itself.  </w:t>
      </w:r>
      <w:r w:rsidR="00CB5B08" w:rsidRPr="00B54B94">
        <w:rPr>
          <w:rFonts w:cs="Times New Roman"/>
          <w:sz w:val="24"/>
          <w:szCs w:val="24"/>
        </w:rPr>
        <w:t xml:space="preserve">Simply put, the </w:t>
      </w:r>
      <w:r w:rsidR="003C1B75">
        <w:rPr>
          <w:rFonts w:cs="Times New Roman"/>
          <w:sz w:val="24"/>
          <w:szCs w:val="24"/>
        </w:rPr>
        <w:t xml:space="preserve">Stipulation’s </w:t>
      </w:r>
      <w:r w:rsidR="00CB5B08" w:rsidRPr="00B54B94">
        <w:rPr>
          <w:rFonts w:cs="Times New Roman"/>
          <w:sz w:val="24"/>
          <w:szCs w:val="24"/>
        </w:rPr>
        <w:t xml:space="preserve">PPA rider </w:t>
      </w:r>
      <w:r w:rsidR="003C1B75">
        <w:rPr>
          <w:rFonts w:cs="Times New Roman"/>
          <w:sz w:val="24"/>
          <w:szCs w:val="24"/>
        </w:rPr>
        <w:t xml:space="preserve">provision </w:t>
      </w:r>
      <w:r w:rsidR="00CB5B08" w:rsidRPr="00B54B94">
        <w:rPr>
          <w:rFonts w:cs="Times New Roman"/>
          <w:sz w:val="24"/>
          <w:szCs w:val="24"/>
        </w:rPr>
        <w:t>itself is distortionary and economically inefficient, and the Stipulation</w:t>
      </w:r>
      <w:r w:rsidR="003C1B75">
        <w:rPr>
          <w:rFonts w:cs="Times New Roman"/>
          <w:sz w:val="24"/>
          <w:szCs w:val="24"/>
        </w:rPr>
        <w:t>’s other provisions</w:t>
      </w:r>
      <w:r w:rsidR="00CB5B08" w:rsidRPr="00B54B94">
        <w:rPr>
          <w:rFonts w:cs="Times New Roman"/>
          <w:sz w:val="24"/>
          <w:szCs w:val="24"/>
        </w:rPr>
        <w:t xml:space="preserve"> further compound</w:t>
      </w:r>
      <w:r w:rsidR="00FA2058">
        <w:rPr>
          <w:rFonts w:cs="Times New Roman"/>
          <w:sz w:val="24"/>
          <w:szCs w:val="24"/>
        </w:rPr>
        <w:t xml:space="preserve"> </w:t>
      </w:r>
      <w:r w:rsidR="00CB5B08" w:rsidRPr="00B54B94">
        <w:rPr>
          <w:rFonts w:cs="Times New Roman"/>
          <w:sz w:val="24"/>
          <w:szCs w:val="24"/>
        </w:rPr>
        <w:t>these distortions and inefficiencies.</w:t>
      </w:r>
    </w:p>
    <w:p w:rsidR="00D21016" w:rsidRPr="00B54B94" w:rsidRDefault="00D21016" w:rsidP="000A300A">
      <w:pPr>
        <w:spacing w:line="480" w:lineRule="auto"/>
        <w:ind w:left="720"/>
        <w:rPr>
          <w:rFonts w:cs="Times New Roman"/>
          <w:sz w:val="24"/>
          <w:szCs w:val="24"/>
        </w:rPr>
      </w:pPr>
    </w:p>
    <w:p w:rsidR="00FF71C0" w:rsidRDefault="00D8412D" w:rsidP="000A300A">
      <w:pPr>
        <w:spacing w:line="480" w:lineRule="auto"/>
        <w:ind w:left="720"/>
        <w:rPr>
          <w:rFonts w:cs="Times New Roman"/>
          <w:sz w:val="24"/>
          <w:szCs w:val="24"/>
        </w:rPr>
      </w:pPr>
      <w:r w:rsidRPr="00B54B94">
        <w:rPr>
          <w:rFonts w:cs="Times New Roman"/>
          <w:sz w:val="24"/>
          <w:szCs w:val="24"/>
        </w:rPr>
        <w:t xml:space="preserve">Third, the Stipulation introduces additional costs that will raise electricity prices to businesses and households.  </w:t>
      </w:r>
      <w:r w:rsidR="00FF71C0">
        <w:rPr>
          <w:rFonts w:cs="Times New Roman"/>
          <w:sz w:val="24"/>
          <w:szCs w:val="24"/>
        </w:rPr>
        <w:t>AEP Ohio estimates</w:t>
      </w:r>
      <w:r w:rsidRPr="00B54B94">
        <w:rPr>
          <w:rFonts w:cs="Times New Roman"/>
          <w:sz w:val="24"/>
          <w:szCs w:val="24"/>
        </w:rPr>
        <w:t xml:space="preserve"> the initial magnitude of these costs to be minor</w:t>
      </w:r>
      <w:r w:rsidR="0016358B" w:rsidRPr="00B54B94">
        <w:rPr>
          <w:rFonts w:cs="Times New Roman"/>
          <w:sz w:val="24"/>
          <w:szCs w:val="24"/>
        </w:rPr>
        <w:t xml:space="preserve"> (according to testimony filed by </w:t>
      </w:r>
      <w:r w:rsidR="0022788C">
        <w:rPr>
          <w:rFonts w:cs="Times New Roman"/>
          <w:sz w:val="24"/>
          <w:szCs w:val="24"/>
        </w:rPr>
        <w:t>AEP Ohio</w:t>
      </w:r>
      <w:r w:rsidR="00D90A34">
        <w:rPr>
          <w:rFonts w:cs="Times New Roman"/>
          <w:sz w:val="24"/>
          <w:szCs w:val="24"/>
        </w:rPr>
        <w:t xml:space="preserve"> W</w:t>
      </w:r>
      <w:r w:rsidR="0016358B" w:rsidRPr="00B54B94">
        <w:rPr>
          <w:rFonts w:cs="Times New Roman"/>
          <w:sz w:val="24"/>
          <w:szCs w:val="24"/>
        </w:rPr>
        <w:t xml:space="preserve">itness </w:t>
      </w:r>
      <w:r w:rsidR="00C706DB" w:rsidRPr="00B54B94">
        <w:rPr>
          <w:rFonts w:cs="Times New Roman"/>
          <w:sz w:val="24"/>
          <w:szCs w:val="24"/>
        </w:rPr>
        <w:t xml:space="preserve">William A. </w:t>
      </w:r>
      <w:r w:rsidR="0016358B" w:rsidRPr="00B54B94">
        <w:rPr>
          <w:rFonts w:cs="Times New Roman"/>
          <w:sz w:val="24"/>
          <w:szCs w:val="24"/>
        </w:rPr>
        <w:t>Allen</w:t>
      </w:r>
      <w:r w:rsidR="00A77BFA" w:rsidRPr="00B54B94">
        <w:rPr>
          <w:rFonts w:cs="Times New Roman"/>
          <w:sz w:val="24"/>
          <w:szCs w:val="24"/>
        </w:rPr>
        <w:t xml:space="preserve"> on December 14, 2015</w:t>
      </w:r>
      <w:r w:rsidR="0016358B" w:rsidRPr="00B54B94">
        <w:rPr>
          <w:rFonts w:cs="Times New Roman"/>
          <w:sz w:val="24"/>
          <w:szCs w:val="24"/>
        </w:rPr>
        <w:t xml:space="preserve"> [see pp. 14-15])</w:t>
      </w:r>
      <w:r w:rsidR="00FF71C0">
        <w:rPr>
          <w:rFonts w:cs="Times New Roman"/>
          <w:sz w:val="24"/>
          <w:szCs w:val="24"/>
        </w:rPr>
        <w:t>.  But</w:t>
      </w:r>
      <w:r w:rsidRPr="00B54B94">
        <w:rPr>
          <w:rFonts w:cs="Times New Roman"/>
          <w:sz w:val="24"/>
          <w:szCs w:val="24"/>
        </w:rPr>
        <w:t xml:space="preserve"> </w:t>
      </w:r>
      <w:r w:rsidR="00EC073D" w:rsidRPr="00B54B94">
        <w:rPr>
          <w:rFonts w:cs="Times New Roman"/>
          <w:sz w:val="24"/>
          <w:szCs w:val="24"/>
        </w:rPr>
        <w:t xml:space="preserve">AEP Ohio will seek additional cost-recovery </w:t>
      </w:r>
      <w:r w:rsidR="00A77BFA" w:rsidRPr="00B54B94">
        <w:rPr>
          <w:rFonts w:cs="Times New Roman"/>
          <w:sz w:val="24"/>
          <w:szCs w:val="24"/>
        </w:rPr>
        <w:t xml:space="preserve">above this </w:t>
      </w:r>
      <w:r w:rsidR="00EC073D" w:rsidRPr="00B54B94">
        <w:rPr>
          <w:rFonts w:cs="Times New Roman"/>
          <w:sz w:val="24"/>
          <w:szCs w:val="24"/>
        </w:rPr>
        <w:t xml:space="preserve">in connection with </w:t>
      </w:r>
      <w:r w:rsidRPr="00B54B94">
        <w:rPr>
          <w:rFonts w:cs="Times New Roman"/>
          <w:sz w:val="24"/>
          <w:szCs w:val="24"/>
        </w:rPr>
        <w:t xml:space="preserve">some of the provisions </w:t>
      </w:r>
      <w:r w:rsidR="00A77BFA" w:rsidRPr="00B54B94">
        <w:rPr>
          <w:rFonts w:cs="Times New Roman"/>
          <w:sz w:val="24"/>
          <w:szCs w:val="24"/>
        </w:rPr>
        <w:t xml:space="preserve">of the Stipulation. </w:t>
      </w:r>
      <w:r w:rsidR="001C09D6">
        <w:rPr>
          <w:rFonts w:cs="Times New Roman"/>
          <w:sz w:val="24"/>
          <w:szCs w:val="24"/>
        </w:rPr>
        <w:t xml:space="preserve"> </w:t>
      </w:r>
      <w:r w:rsidRPr="00B54B94">
        <w:rPr>
          <w:rFonts w:cs="Times New Roman"/>
          <w:sz w:val="24"/>
          <w:szCs w:val="24"/>
        </w:rPr>
        <w:t xml:space="preserve">This </w:t>
      </w:r>
      <w:r w:rsidR="00EC073D" w:rsidRPr="00B54B94">
        <w:rPr>
          <w:rFonts w:cs="Times New Roman"/>
          <w:sz w:val="24"/>
          <w:szCs w:val="24"/>
        </w:rPr>
        <w:t xml:space="preserve">has the potential to </w:t>
      </w:r>
      <w:r w:rsidRPr="00B54B94">
        <w:rPr>
          <w:rFonts w:cs="Times New Roman"/>
          <w:sz w:val="24"/>
          <w:szCs w:val="24"/>
        </w:rPr>
        <w:t xml:space="preserve">saddle Ohio’s businesses and households with additional increases in electricity costs above those increases already projected in the Stipulation as filed.  </w:t>
      </w:r>
      <w:r w:rsidR="00FF71C0">
        <w:rPr>
          <w:rFonts w:cs="Times New Roman"/>
          <w:sz w:val="24"/>
          <w:szCs w:val="24"/>
        </w:rPr>
        <w:t xml:space="preserve">And in any event, OCC is presenting expert testimony showing that the costs to consumers are significant, not minor.  </w:t>
      </w:r>
    </w:p>
    <w:p w:rsidR="009F580A" w:rsidRPr="00B54B94" w:rsidRDefault="00EC073D" w:rsidP="000A300A">
      <w:pPr>
        <w:spacing w:line="480" w:lineRule="auto"/>
        <w:ind w:left="720"/>
        <w:rPr>
          <w:rFonts w:cs="Times New Roman"/>
          <w:sz w:val="24"/>
          <w:szCs w:val="24"/>
        </w:rPr>
      </w:pPr>
      <w:r w:rsidRPr="00B54B94">
        <w:rPr>
          <w:rFonts w:cs="Times New Roman"/>
          <w:sz w:val="24"/>
          <w:szCs w:val="24"/>
        </w:rPr>
        <w:t>Further</w:t>
      </w:r>
      <w:r w:rsidR="00D8412D" w:rsidRPr="00B54B94">
        <w:rPr>
          <w:rFonts w:cs="Times New Roman"/>
          <w:sz w:val="24"/>
          <w:szCs w:val="24"/>
        </w:rPr>
        <w:t xml:space="preserve">, one of the provisions </w:t>
      </w:r>
      <w:r w:rsidRPr="00B54B94">
        <w:rPr>
          <w:rFonts w:cs="Times New Roman"/>
          <w:sz w:val="24"/>
          <w:szCs w:val="24"/>
        </w:rPr>
        <w:t xml:space="preserve">that </w:t>
      </w:r>
      <w:r w:rsidR="00D8412D" w:rsidRPr="00B54B94">
        <w:rPr>
          <w:rFonts w:cs="Times New Roman"/>
          <w:sz w:val="24"/>
          <w:szCs w:val="24"/>
        </w:rPr>
        <w:t xml:space="preserve">I describe below—a Competition Incentive Rider (CIR)—creates what essentially amounts to a tax on energy for </w:t>
      </w:r>
      <w:r w:rsidR="005059C7">
        <w:rPr>
          <w:rFonts w:cs="Times New Roman"/>
          <w:sz w:val="24"/>
          <w:szCs w:val="24"/>
        </w:rPr>
        <w:t>standard service offer (“</w:t>
      </w:r>
      <w:r w:rsidR="00D8412D" w:rsidRPr="00B54B94">
        <w:rPr>
          <w:rFonts w:cs="Times New Roman"/>
          <w:sz w:val="24"/>
          <w:szCs w:val="24"/>
        </w:rPr>
        <w:t>SSO</w:t>
      </w:r>
      <w:r w:rsidR="005059C7">
        <w:rPr>
          <w:rFonts w:cs="Times New Roman"/>
          <w:sz w:val="24"/>
          <w:szCs w:val="24"/>
        </w:rPr>
        <w:t>”)</w:t>
      </w:r>
      <w:r w:rsidR="00D8412D" w:rsidRPr="00B54B94">
        <w:rPr>
          <w:rFonts w:cs="Times New Roman"/>
          <w:sz w:val="24"/>
          <w:szCs w:val="24"/>
        </w:rPr>
        <w:t xml:space="preserve"> customers.  Taxes of this nature have been shown to generate economic inefficiency (i.e., deadweight loss) and diminish consumer surplus, with potentially significant adverse effects on the macroeconomy (i.e., jobs) in Ohio.</w:t>
      </w:r>
    </w:p>
    <w:p w:rsidR="00B4455C" w:rsidRPr="00B54B94" w:rsidRDefault="00B4455C" w:rsidP="000A300A">
      <w:pPr>
        <w:spacing w:line="480" w:lineRule="auto"/>
        <w:ind w:left="720"/>
        <w:rPr>
          <w:rFonts w:cs="Times New Roman"/>
          <w:sz w:val="24"/>
          <w:szCs w:val="24"/>
        </w:rPr>
      </w:pPr>
    </w:p>
    <w:p w:rsidR="007A2007" w:rsidRPr="00B54B94" w:rsidRDefault="00B4455C" w:rsidP="00AC70D7">
      <w:pPr>
        <w:pStyle w:val="Heading1"/>
        <w:rPr>
          <w:rFonts w:cs="Times New Roman"/>
          <w:sz w:val="24"/>
          <w:szCs w:val="24"/>
        </w:rPr>
      </w:pPr>
      <w:bookmarkStart w:id="11" w:name="_Toc439078830"/>
      <w:r w:rsidRPr="00B54B94">
        <w:rPr>
          <w:rFonts w:cs="Times New Roman"/>
          <w:sz w:val="24"/>
          <w:szCs w:val="24"/>
        </w:rPr>
        <w:t>ASSESSMENT OF SPECIFIC PROVISIONS IN THE STIPULATION</w:t>
      </w:r>
      <w:bookmarkEnd w:id="11"/>
    </w:p>
    <w:p w:rsidR="00B4455C" w:rsidRPr="00B54B94" w:rsidRDefault="00B4455C" w:rsidP="00B4455C">
      <w:pPr>
        <w:spacing w:line="480" w:lineRule="auto"/>
        <w:rPr>
          <w:rFonts w:cs="Times New Roman"/>
          <w:sz w:val="24"/>
          <w:szCs w:val="24"/>
        </w:rPr>
      </w:pPr>
    </w:p>
    <w:p w:rsidR="00827CE8" w:rsidRPr="00706BD6" w:rsidRDefault="009E5AD5" w:rsidP="000A300A">
      <w:pPr>
        <w:spacing w:line="480" w:lineRule="auto"/>
        <w:ind w:left="720" w:hanging="720"/>
        <w:rPr>
          <w:rFonts w:cs="Times New Roman"/>
          <w:b/>
          <w:i/>
          <w:sz w:val="24"/>
          <w:szCs w:val="24"/>
        </w:rPr>
      </w:pPr>
      <w:r w:rsidRPr="00706BD6">
        <w:rPr>
          <w:rFonts w:cs="Times New Roman"/>
          <w:b/>
          <w:i/>
          <w:sz w:val="24"/>
          <w:szCs w:val="24"/>
        </w:rPr>
        <w:t>Q</w:t>
      </w:r>
      <w:r w:rsidR="007F23B8">
        <w:rPr>
          <w:rFonts w:cs="Times New Roman"/>
          <w:b/>
          <w:i/>
          <w:sz w:val="24"/>
          <w:szCs w:val="24"/>
        </w:rPr>
        <w:t>7</w:t>
      </w:r>
      <w:r w:rsidR="001C09D6">
        <w:rPr>
          <w:rFonts w:cs="Times New Roman"/>
          <w:b/>
          <w:i/>
          <w:sz w:val="24"/>
          <w:szCs w:val="24"/>
        </w:rPr>
        <w:t>.</w:t>
      </w:r>
      <w:r w:rsidRPr="00706BD6">
        <w:rPr>
          <w:rFonts w:cs="Times New Roman"/>
          <w:b/>
          <w:i/>
          <w:sz w:val="24"/>
          <w:szCs w:val="24"/>
        </w:rPr>
        <w:tab/>
        <w:t xml:space="preserve">THE STIPULATION COMMITS </w:t>
      </w:r>
      <w:r w:rsidR="0022788C">
        <w:rPr>
          <w:rFonts w:cs="Times New Roman"/>
          <w:b/>
          <w:i/>
          <w:sz w:val="24"/>
          <w:szCs w:val="24"/>
        </w:rPr>
        <w:t>AEP OHIO</w:t>
      </w:r>
      <w:r w:rsidRPr="00706BD6">
        <w:rPr>
          <w:rFonts w:cs="Times New Roman"/>
          <w:b/>
          <w:i/>
          <w:sz w:val="24"/>
          <w:szCs w:val="24"/>
        </w:rPr>
        <w:t xml:space="preserve"> </w:t>
      </w:r>
      <w:r w:rsidR="00E408C7" w:rsidRPr="00706BD6">
        <w:rPr>
          <w:rFonts w:cs="Times New Roman"/>
          <w:b/>
          <w:i/>
          <w:sz w:val="24"/>
          <w:szCs w:val="24"/>
        </w:rPr>
        <w:t xml:space="preserve">TO </w:t>
      </w:r>
      <w:r w:rsidRPr="00706BD6">
        <w:rPr>
          <w:rFonts w:cs="Times New Roman"/>
          <w:b/>
          <w:i/>
          <w:sz w:val="24"/>
          <w:szCs w:val="24"/>
        </w:rPr>
        <w:t xml:space="preserve">A SCHEDULE OF </w:t>
      </w:r>
      <w:r w:rsidR="00E408C7" w:rsidRPr="00706BD6">
        <w:rPr>
          <w:rFonts w:cs="Times New Roman"/>
          <w:b/>
          <w:i/>
          <w:sz w:val="24"/>
          <w:szCs w:val="24"/>
        </w:rPr>
        <w:t xml:space="preserve">CONDITIONAL </w:t>
      </w:r>
      <w:r w:rsidRPr="00706BD6">
        <w:rPr>
          <w:rFonts w:cs="Times New Roman"/>
          <w:b/>
          <w:i/>
          <w:sz w:val="24"/>
          <w:szCs w:val="24"/>
        </w:rPr>
        <w:t xml:space="preserve">CREDITS </w:t>
      </w:r>
      <w:r w:rsidR="006D01C4">
        <w:rPr>
          <w:rFonts w:cs="Times New Roman"/>
          <w:b/>
          <w:i/>
          <w:sz w:val="24"/>
          <w:szCs w:val="24"/>
        </w:rPr>
        <w:t xml:space="preserve">TO CUSTOMERS </w:t>
      </w:r>
      <w:r w:rsidRPr="00706BD6">
        <w:rPr>
          <w:rFonts w:cs="Times New Roman"/>
          <w:b/>
          <w:i/>
          <w:sz w:val="24"/>
          <w:szCs w:val="24"/>
        </w:rPr>
        <w:t>FOR THE LAST FOUR YEARS OF THE PPA RIDER TO “ENSURE THAT THE UNITS ARE MANAGED EFFICIENTLY, COST-EFFECTIVELY, AND WITH MAXIMUM MARKET PROFITABILITY.”  WILL THE CREDITS BE SUFFICIENT TO ENSURE THIS?</w:t>
      </w:r>
    </w:p>
    <w:p w:rsidR="007F23B8" w:rsidRDefault="009E5AD5" w:rsidP="00FF2738">
      <w:pPr>
        <w:spacing w:line="480" w:lineRule="auto"/>
        <w:ind w:left="720" w:hanging="720"/>
        <w:rPr>
          <w:rFonts w:cs="Times New Roman"/>
          <w:sz w:val="24"/>
          <w:szCs w:val="24"/>
        </w:rPr>
      </w:pPr>
      <w:r w:rsidRPr="00706BD6">
        <w:rPr>
          <w:rFonts w:cs="Times New Roman"/>
          <w:b/>
          <w:i/>
          <w:sz w:val="24"/>
          <w:szCs w:val="24"/>
        </w:rPr>
        <w:t>A</w:t>
      </w:r>
      <w:r w:rsidR="007F23B8">
        <w:rPr>
          <w:rFonts w:cs="Times New Roman"/>
          <w:b/>
          <w:i/>
          <w:sz w:val="24"/>
          <w:szCs w:val="24"/>
        </w:rPr>
        <w:t>7</w:t>
      </w:r>
      <w:r w:rsidRPr="00706BD6">
        <w:rPr>
          <w:rFonts w:cs="Times New Roman"/>
          <w:b/>
          <w:i/>
          <w:sz w:val="24"/>
          <w:szCs w:val="24"/>
        </w:rPr>
        <w:t>.</w:t>
      </w:r>
      <w:r w:rsidRPr="00B54B94">
        <w:rPr>
          <w:rFonts w:cs="Times New Roman"/>
          <w:sz w:val="24"/>
          <w:szCs w:val="24"/>
        </w:rPr>
        <w:tab/>
        <w:t xml:space="preserve">No.  The Stipulation </w:t>
      </w:r>
      <w:r w:rsidR="00FF71C0">
        <w:rPr>
          <w:rFonts w:cs="Times New Roman"/>
          <w:sz w:val="24"/>
          <w:szCs w:val="24"/>
        </w:rPr>
        <w:t>calls for an initial eight-</w:t>
      </w:r>
      <w:r w:rsidR="009E6D3B" w:rsidRPr="00B54B94">
        <w:rPr>
          <w:rFonts w:cs="Times New Roman"/>
          <w:sz w:val="24"/>
          <w:szCs w:val="24"/>
        </w:rPr>
        <w:t xml:space="preserve">year </w:t>
      </w:r>
      <w:r w:rsidR="009911FF" w:rsidRPr="00B54B94">
        <w:rPr>
          <w:rFonts w:cs="Times New Roman"/>
          <w:sz w:val="24"/>
          <w:szCs w:val="24"/>
        </w:rPr>
        <w:t xml:space="preserve">PPA rider </w:t>
      </w:r>
      <w:r w:rsidR="009E6D3B" w:rsidRPr="00B54B94">
        <w:rPr>
          <w:rFonts w:cs="Times New Roman"/>
          <w:sz w:val="24"/>
          <w:szCs w:val="24"/>
        </w:rPr>
        <w:t>term</w:t>
      </w:r>
      <w:r w:rsidR="00FF71C0">
        <w:rPr>
          <w:rFonts w:cs="Times New Roman"/>
          <w:sz w:val="24"/>
          <w:szCs w:val="24"/>
        </w:rPr>
        <w:t>.</w:t>
      </w:r>
      <w:r w:rsidR="009E6D3B" w:rsidRPr="00B54B94">
        <w:rPr>
          <w:rFonts w:cs="Times New Roman"/>
          <w:sz w:val="24"/>
          <w:szCs w:val="24"/>
        </w:rPr>
        <w:t xml:space="preserve"> </w:t>
      </w:r>
      <w:r w:rsidR="001074DC">
        <w:rPr>
          <w:rFonts w:cs="Times New Roman"/>
          <w:sz w:val="24"/>
          <w:szCs w:val="24"/>
        </w:rPr>
        <w:t xml:space="preserve"> </w:t>
      </w:r>
      <w:r w:rsidR="00FF71C0">
        <w:rPr>
          <w:rFonts w:cs="Times New Roman"/>
          <w:sz w:val="24"/>
          <w:szCs w:val="24"/>
        </w:rPr>
        <w:t>A</w:t>
      </w:r>
      <w:r w:rsidR="009E6D3B" w:rsidRPr="00B54B94">
        <w:rPr>
          <w:rFonts w:cs="Times New Roman"/>
          <w:sz w:val="24"/>
          <w:szCs w:val="24"/>
        </w:rPr>
        <w:t xml:space="preserve">nd to my knowledge </w:t>
      </w:r>
      <w:r w:rsidR="0022788C">
        <w:rPr>
          <w:rFonts w:cs="Times New Roman"/>
          <w:sz w:val="24"/>
          <w:szCs w:val="24"/>
        </w:rPr>
        <w:t>AEP Ohio</w:t>
      </w:r>
      <w:r w:rsidR="009E6D3B" w:rsidRPr="00B54B94">
        <w:rPr>
          <w:rFonts w:cs="Times New Roman"/>
          <w:sz w:val="24"/>
          <w:szCs w:val="24"/>
        </w:rPr>
        <w:t xml:space="preserve"> has not ruled out requesting an extension beyond eight years at some later date.  The schedule of credits will only occur in the last four years of t</w:t>
      </w:r>
      <w:r w:rsidR="001E5B95" w:rsidRPr="00B54B94">
        <w:rPr>
          <w:rFonts w:cs="Times New Roman"/>
          <w:sz w:val="24"/>
          <w:szCs w:val="24"/>
        </w:rPr>
        <w:t>he eight</w:t>
      </w:r>
      <w:r w:rsidR="005059C7">
        <w:rPr>
          <w:rFonts w:cs="Times New Roman"/>
          <w:sz w:val="24"/>
          <w:szCs w:val="24"/>
        </w:rPr>
        <w:t>-</w:t>
      </w:r>
      <w:r w:rsidR="001E5B95" w:rsidRPr="00B54B94">
        <w:rPr>
          <w:rFonts w:cs="Times New Roman"/>
          <w:sz w:val="24"/>
          <w:szCs w:val="24"/>
        </w:rPr>
        <w:t xml:space="preserve">year term, and thus does not cover losses </w:t>
      </w:r>
      <w:r w:rsidR="00FF71C0">
        <w:rPr>
          <w:rFonts w:cs="Times New Roman"/>
          <w:sz w:val="24"/>
          <w:szCs w:val="24"/>
        </w:rPr>
        <w:t>consumers</w:t>
      </w:r>
      <w:r w:rsidR="001E5B95" w:rsidRPr="00B54B94">
        <w:rPr>
          <w:rFonts w:cs="Times New Roman"/>
          <w:sz w:val="24"/>
          <w:szCs w:val="24"/>
        </w:rPr>
        <w:t xml:space="preserve"> might face in the first </w:t>
      </w:r>
      <w:r w:rsidR="00593667" w:rsidRPr="00B54B94">
        <w:rPr>
          <w:rFonts w:cs="Times New Roman"/>
          <w:sz w:val="24"/>
          <w:szCs w:val="24"/>
        </w:rPr>
        <w:t>four years of the PPA rider term</w:t>
      </w:r>
      <w:r w:rsidR="001E5B95" w:rsidRPr="00B54B94">
        <w:rPr>
          <w:rFonts w:cs="Times New Roman"/>
          <w:sz w:val="24"/>
          <w:szCs w:val="24"/>
        </w:rPr>
        <w:t>.</w:t>
      </w:r>
      <w:r w:rsidR="009E29F4" w:rsidRPr="00B54B94">
        <w:rPr>
          <w:rFonts w:cs="Times New Roman"/>
          <w:sz w:val="24"/>
          <w:szCs w:val="24"/>
        </w:rPr>
        <w:t xml:space="preserve">  </w:t>
      </w:r>
      <w:r w:rsidR="00FF71C0">
        <w:rPr>
          <w:rFonts w:cs="Times New Roman"/>
          <w:sz w:val="24"/>
          <w:szCs w:val="24"/>
        </w:rPr>
        <w:t>The Stipulation</w:t>
      </w:r>
      <w:r w:rsidR="009E29F4" w:rsidRPr="00B54B94">
        <w:rPr>
          <w:rFonts w:cs="Times New Roman"/>
          <w:sz w:val="24"/>
          <w:szCs w:val="24"/>
        </w:rPr>
        <w:t xml:space="preserve"> does not therefore provide any incentives </w:t>
      </w:r>
      <w:r w:rsidR="00FF71C0">
        <w:rPr>
          <w:rFonts w:cs="Times New Roman"/>
          <w:sz w:val="24"/>
          <w:szCs w:val="24"/>
        </w:rPr>
        <w:t>to protect consumers from</w:t>
      </w:r>
      <w:r w:rsidR="009E29F4" w:rsidRPr="00B54B94">
        <w:rPr>
          <w:rFonts w:cs="Times New Roman"/>
          <w:sz w:val="24"/>
          <w:szCs w:val="24"/>
        </w:rPr>
        <w:t xml:space="preserve"> inefficient management or</w:t>
      </w:r>
      <w:r w:rsidR="006641A1">
        <w:rPr>
          <w:rFonts w:cs="Times New Roman"/>
          <w:sz w:val="24"/>
          <w:szCs w:val="24"/>
        </w:rPr>
        <w:t xml:space="preserve"> from</w:t>
      </w:r>
      <w:r w:rsidR="009E29F4" w:rsidRPr="00B54B94">
        <w:rPr>
          <w:rFonts w:cs="Times New Roman"/>
          <w:sz w:val="24"/>
          <w:szCs w:val="24"/>
        </w:rPr>
        <w:t xml:space="preserve"> management that is not cost-effective, in the first four years or in any subsequent years the rider may be approved for extension beyond the eight years provided for in the Stipulation. </w:t>
      </w:r>
      <w:r w:rsidR="00840FCD" w:rsidRPr="00B54B94">
        <w:rPr>
          <w:rFonts w:cs="Times New Roman"/>
          <w:sz w:val="24"/>
          <w:szCs w:val="24"/>
        </w:rPr>
        <w:t xml:space="preserve"> </w:t>
      </w:r>
      <w:r w:rsidR="001E5B95" w:rsidRPr="00B54B94">
        <w:rPr>
          <w:rFonts w:cs="Times New Roman"/>
          <w:sz w:val="24"/>
          <w:szCs w:val="24"/>
        </w:rPr>
        <w:t xml:space="preserve">Additionally, the credit schedule does not protect </w:t>
      </w:r>
      <w:r w:rsidR="005059C7">
        <w:rPr>
          <w:rFonts w:cs="Times New Roman"/>
          <w:sz w:val="24"/>
          <w:szCs w:val="24"/>
        </w:rPr>
        <w:t>customers</w:t>
      </w:r>
      <w:r w:rsidR="005059C7" w:rsidRPr="00B54B94">
        <w:rPr>
          <w:rFonts w:cs="Times New Roman"/>
          <w:sz w:val="24"/>
          <w:szCs w:val="24"/>
        </w:rPr>
        <w:t xml:space="preserve"> </w:t>
      </w:r>
      <w:r w:rsidR="001E5B95" w:rsidRPr="00B54B94">
        <w:rPr>
          <w:rFonts w:cs="Times New Roman"/>
          <w:sz w:val="24"/>
          <w:szCs w:val="24"/>
        </w:rPr>
        <w:t xml:space="preserve">from losses exceeding </w:t>
      </w:r>
      <w:r w:rsidR="00807CAC" w:rsidRPr="00B54B94">
        <w:rPr>
          <w:rFonts w:cs="Times New Roman"/>
          <w:sz w:val="24"/>
          <w:szCs w:val="24"/>
        </w:rPr>
        <w:t xml:space="preserve">the </w:t>
      </w:r>
      <w:r w:rsidR="001E5B95" w:rsidRPr="00B54B94">
        <w:rPr>
          <w:rFonts w:cs="Times New Roman"/>
          <w:sz w:val="24"/>
          <w:szCs w:val="24"/>
        </w:rPr>
        <w:t xml:space="preserve">limits in </w:t>
      </w:r>
      <w:r w:rsidR="009C4EEB" w:rsidRPr="00B54B94">
        <w:rPr>
          <w:rFonts w:cs="Times New Roman"/>
          <w:sz w:val="24"/>
          <w:szCs w:val="24"/>
        </w:rPr>
        <w:t>the credit schedul</w:t>
      </w:r>
      <w:r w:rsidR="00FF2738">
        <w:rPr>
          <w:rFonts w:cs="Times New Roman"/>
          <w:sz w:val="24"/>
          <w:szCs w:val="24"/>
        </w:rPr>
        <w:t>e.</w:t>
      </w:r>
    </w:p>
    <w:p w:rsidR="007F23B8" w:rsidRDefault="007F23B8" w:rsidP="00FF2738">
      <w:pPr>
        <w:spacing w:line="480" w:lineRule="auto"/>
        <w:ind w:left="720" w:hanging="720"/>
        <w:rPr>
          <w:rFonts w:cs="Times New Roman"/>
          <w:sz w:val="24"/>
          <w:szCs w:val="24"/>
        </w:rPr>
      </w:pPr>
    </w:p>
    <w:p w:rsidR="00E76EB5" w:rsidRPr="00B54B94" w:rsidRDefault="00CD76C4" w:rsidP="00FF2738">
      <w:pPr>
        <w:spacing w:line="480" w:lineRule="auto"/>
        <w:ind w:left="720"/>
        <w:rPr>
          <w:rFonts w:cs="Times New Roman"/>
          <w:sz w:val="24"/>
          <w:szCs w:val="24"/>
        </w:rPr>
      </w:pPr>
      <w:r w:rsidRPr="00B54B94">
        <w:rPr>
          <w:rFonts w:cs="Times New Roman"/>
          <w:sz w:val="24"/>
          <w:szCs w:val="24"/>
        </w:rPr>
        <w:t xml:space="preserve">Moreover, </w:t>
      </w:r>
      <w:r w:rsidR="00502DFE" w:rsidRPr="00B54B94">
        <w:rPr>
          <w:rFonts w:cs="Times New Roman"/>
          <w:sz w:val="24"/>
          <w:szCs w:val="24"/>
        </w:rPr>
        <w:t xml:space="preserve">if </w:t>
      </w:r>
      <w:r w:rsidR="0022788C">
        <w:rPr>
          <w:rFonts w:cs="Times New Roman"/>
          <w:sz w:val="24"/>
          <w:szCs w:val="24"/>
        </w:rPr>
        <w:t>AEP Ohio</w:t>
      </w:r>
      <w:r w:rsidR="00502DFE" w:rsidRPr="00B54B94">
        <w:rPr>
          <w:rFonts w:cs="Times New Roman"/>
          <w:sz w:val="24"/>
          <w:szCs w:val="24"/>
        </w:rPr>
        <w:t xml:space="preserve">’s forecasted PPA rider credits/charges </w:t>
      </w:r>
      <w:r w:rsidR="005059C7">
        <w:rPr>
          <w:rFonts w:cs="Times New Roman"/>
          <w:sz w:val="24"/>
          <w:szCs w:val="24"/>
        </w:rPr>
        <w:t xml:space="preserve">to consumers </w:t>
      </w:r>
      <w:r w:rsidR="00502DFE" w:rsidRPr="00B54B94">
        <w:rPr>
          <w:rFonts w:cs="Times New Roman"/>
          <w:sz w:val="24"/>
          <w:szCs w:val="24"/>
        </w:rPr>
        <w:t xml:space="preserve">are accurate, as provided in </w:t>
      </w:r>
      <w:r w:rsidR="00807CAC" w:rsidRPr="00B54B94">
        <w:rPr>
          <w:rFonts w:cs="Times New Roman"/>
          <w:sz w:val="24"/>
          <w:szCs w:val="24"/>
        </w:rPr>
        <w:t>Exhibit WAA-2</w:t>
      </w:r>
      <w:r w:rsidR="00502DFE" w:rsidRPr="00B54B94">
        <w:rPr>
          <w:rFonts w:cs="Times New Roman"/>
          <w:sz w:val="24"/>
          <w:szCs w:val="24"/>
        </w:rPr>
        <w:t xml:space="preserve"> appended to the </w:t>
      </w:r>
      <w:r w:rsidR="00807CAC" w:rsidRPr="00B54B94">
        <w:rPr>
          <w:rFonts w:cs="Times New Roman"/>
          <w:sz w:val="24"/>
          <w:szCs w:val="24"/>
        </w:rPr>
        <w:t>Direct Testimony of William A. Allen</w:t>
      </w:r>
      <w:r w:rsidR="00502DFE" w:rsidRPr="00B54B94">
        <w:rPr>
          <w:rFonts w:cs="Times New Roman"/>
          <w:sz w:val="24"/>
          <w:szCs w:val="24"/>
        </w:rPr>
        <w:t>, the credit schedule will not be utilized</w:t>
      </w:r>
      <w:r w:rsidR="00C706DB" w:rsidRPr="00B54B94">
        <w:rPr>
          <w:rFonts w:cs="Times New Roman"/>
          <w:sz w:val="24"/>
          <w:szCs w:val="24"/>
        </w:rPr>
        <w:t xml:space="preserve"> anyway</w:t>
      </w:r>
      <w:r w:rsidR="00502DFE" w:rsidRPr="00B54B94">
        <w:rPr>
          <w:rFonts w:cs="Times New Roman"/>
          <w:sz w:val="24"/>
          <w:szCs w:val="24"/>
        </w:rPr>
        <w:t>.  This is based upon the Avera</w:t>
      </w:r>
      <w:r w:rsidR="00E43C1D" w:rsidRPr="00B54B94">
        <w:rPr>
          <w:rFonts w:cs="Times New Roman"/>
          <w:sz w:val="24"/>
          <w:szCs w:val="24"/>
        </w:rPr>
        <w:t>ge High and Low Load forecast as provided in that exhibit.</w:t>
      </w:r>
    </w:p>
    <w:p w:rsidR="00126CF9" w:rsidRPr="00B54B94" w:rsidRDefault="00126CF9" w:rsidP="000A300A">
      <w:pPr>
        <w:spacing w:line="480" w:lineRule="auto"/>
        <w:ind w:left="720" w:hanging="720"/>
        <w:rPr>
          <w:rFonts w:cs="Times New Roman"/>
          <w:sz w:val="24"/>
          <w:szCs w:val="24"/>
        </w:rPr>
      </w:pPr>
    </w:p>
    <w:p w:rsidR="00E76EB5" w:rsidRPr="00706BD6" w:rsidRDefault="00E408C7" w:rsidP="000A300A">
      <w:pPr>
        <w:spacing w:line="480" w:lineRule="auto"/>
        <w:ind w:left="720" w:hanging="720"/>
        <w:rPr>
          <w:rFonts w:cs="Times New Roman"/>
          <w:b/>
          <w:i/>
          <w:sz w:val="24"/>
          <w:szCs w:val="24"/>
        </w:rPr>
      </w:pPr>
      <w:r w:rsidRPr="00706BD6">
        <w:rPr>
          <w:rFonts w:cs="Times New Roman"/>
          <w:b/>
          <w:i/>
          <w:sz w:val="24"/>
          <w:szCs w:val="24"/>
        </w:rPr>
        <w:t>Q</w:t>
      </w:r>
      <w:r w:rsidR="007F23B8">
        <w:rPr>
          <w:rFonts w:cs="Times New Roman"/>
          <w:b/>
          <w:i/>
          <w:sz w:val="24"/>
          <w:szCs w:val="24"/>
        </w:rPr>
        <w:t>8</w:t>
      </w:r>
      <w:r w:rsidR="001C09D6">
        <w:rPr>
          <w:rFonts w:cs="Times New Roman"/>
          <w:b/>
          <w:i/>
          <w:sz w:val="24"/>
          <w:szCs w:val="24"/>
        </w:rPr>
        <w:t>.</w:t>
      </w:r>
      <w:r w:rsidRPr="00706BD6">
        <w:rPr>
          <w:rFonts w:cs="Times New Roman"/>
          <w:b/>
          <w:i/>
          <w:sz w:val="24"/>
          <w:szCs w:val="24"/>
        </w:rPr>
        <w:tab/>
        <w:t xml:space="preserve">THE STIPULATION COMMITS </w:t>
      </w:r>
      <w:r w:rsidR="0022788C">
        <w:rPr>
          <w:rFonts w:cs="Times New Roman"/>
          <w:b/>
          <w:i/>
          <w:sz w:val="24"/>
          <w:szCs w:val="24"/>
        </w:rPr>
        <w:t>AEP OHIO</w:t>
      </w:r>
      <w:r w:rsidRPr="00706BD6">
        <w:rPr>
          <w:rFonts w:cs="Times New Roman"/>
          <w:b/>
          <w:i/>
          <w:sz w:val="24"/>
          <w:szCs w:val="24"/>
        </w:rPr>
        <w:t xml:space="preserve"> TO</w:t>
      </w:r>
      <w:r w:rsidR="002C67B6" w:rsidRPr="00706BD6">
        <w:rPr>
          <w:rFonts w:cs="Times New Roman"/>
          <w:b/>
          <w:i/>
          <w:sz w:val="24"/>
          <w:szCs w:val="24"/>
        </w:rPr>
        <w:t xml:space="preserve"> THE</w:t>
      </w:r>
      <w:r w:rsidRPr="00706BD6">
        <w:rPr>
          <w:rFonts w:cs="Times New Roman"/>
          <w:b/>
          <w:i/>
          <w:sz w:val="24"/>
          <w:szCs w:val="24"/>
        </w:rPr>
        <w:t xml:space="preserve"> </w:t>
      </w:r>
      <w:r w:rsidR="002C67B6" w:rsidRPr="00706BD6">
        <w:rPr>
          <w:rFonts w:cs="Times New Roman"/>
          <w:b/>
          <w:i/>
          <w:sz w:val="24"/>
          <w:szCs w:val="24"/>
        </w:rPr>
        <w:t xml:space="preserve">FUEL SWITCHING </w:t>
      </w:r>
      <w:r w:rsidR="009911FF" w:rsidRPr="00706BD6">
        <w:rPr>
          <w:rFonts w:cs="Times New Roman"/>
          <w:b/>
          <w:i/>
          <w:sz w:val="24"/>
          <w:szCs w:val="24"/>
        </w:rPr>
        <w:t xml:space="preserve">(NATURAL GAS CONVERSION) </w:t>
      </w:r>
      <w:r w:rsidR="002C67B6" w:rsidRPr="00706BD6">
        <w:rPr>
          <w:rFonts w:cs="Times New Roman"/>
          <w:b/>
          <w:i/>
          <w:sz w:val="24"/>
          <w:szCs w:val="24"/>
        </w:rPr>
        <w:t xml:space="preserve">OF TWO </w:t>
      </w:r>
      <w:r w:rsidR="00484F84" w:rsidRPr="00706BD6">
        <w:rPr>
          <w:rFonts w:cs="Times New Roman"/>
          <w:b/>
          <w:i/>
          <w:sz w:val="24"/>
          <w:szCs w:val="24"/>
        </w:rPr>
        <w:t xml:space="preserve">COAL-FIRED </w:t>
      </w:r>
      <w:r w:rsidR="002C67B6" w:rsidRPr="00706BD6">
        <w:rPr>
          <w:rFonts w:cs="Times New Roman"/>
          <w:b/>
          <w:i/>
          <w:sz w:val="24"/>
          <w:szCs w:val="24"/>
        </w:rPr>
        <w:t>UNITS BY THE END OF CALENDAR YEAR 2017</w:t>
      </w:r>
      <w:r w:rsidR="00484F84" w:rsidRPr="00706BD6">
        <w:rPr>
          <w:rFonts w:cs="Times New Roman"/>
          <w:b/>
          <w:i/>
          <w:sz w:val="24"/>
          <w:szCs w:val="24"/>
        </w:rPr>
        <w:t xml:space="preserve">.  </w:t>
      </w:r>
      <w:r w:rsidR="00B22B08" w:rsidRPr="00706BD6">
        <w:rPr>
          <w:rFonts w:cs="Times New Roman"/>
          <w:b/>
          <w:i/>
          <w:sz w:val="24"/>
          <w:szCs w:val="24"/>
        </w:rPr>
        <w:t xml:space="preserve">WILL THIS FUEL SWITCHING BE OF BENEFIT TO </w:t>
      </w:r>
      <w:r w:rsidR="006641A1">
        <w:rPr>
          <w:rFonts w:cs="Times New Roman"/>
          <w:b/>
          <w:i/>
          <w:sz w:val="24"/>
          <w:szCs w:val="24"/>
        </w:rPr>
        <w:t>CONSUMERS</w:t>
      </w:r>
      <w:r w:rsidR="00B22B08" w:rsidRPr="00706BD6">
        <w:rPr>
          <w:rFonts w:cs="Times New Roman"/>
          <w:b/>
          <w:i/>
          <w:sz w:val="24"/>
          <w:szCs w:val="24"/>
        </w:rPr>
        <w:t xml:space="preserve"> AND THE PUBLIC INTEREST?</w:t>
      </w:r>
    </w:p>
    <w:p w:rsidR="00162E13" w:rsidRPr="00B54B94" w:rsidRDefault="00CF7812" w:rsidP="000A300A">
      <w:pPr>
        <w:spacing w:line="480" w:lineRule="auto"/>
        <w:ind w:left="720" w:hanging="720"/>
        <w:rPr>
          <w:rFonts w:cs="Times New Roman"/>
          <w:sz w:val="24"/>
          <w:szCs w:val="24"/>
        </w:rPr>
      </w:pPr>
      <w:r w:rsidRPr="00706BD6">
        <w:rPr>
          <w:rFonts w:cs="Times New Roman"/>
          <w:b/>
          <w:i/>
          <w:sz w:val="24"/>
          <w:szCs w:val="24"/>
        </w:rPr>
        <w:t>A</w:t>
      </w:r>
      <w:r w:rsidR="007F23B8">
        <w:rPr>
          <w:rFonts w:cs="Times New Roman"/>
          <w:b/>
          <w:i/>
          <w:sz w:val="24"/>
          <w:szCs w:val="24"/>
        </w:rPr>
        <w:t>8</w:t>
      </w:r>
      <w:r w:rsidRPr="00706BD6">
        <w:rPr>
          <w:rFonts w:cs="Times New Roman"/>
          <w:b/>
          <w:i/>
          <w:sz w:val="24"/>
          <w:szCs w:val="24"/>
        </w:rPr>
        <w:t>.</w:t>
      </w:r>
      <w:r w:rsidRPr="00B54B94">
        <w:rPr>
          <w:rFonts w:cs="Times New Roman"/>
          <w:sz w:val="24"/>
          <w:szCs w:val="24"/>
        </w:rPr>
        <w:tab/>
        <w:t xml:space="preserve">That </w:t>
      </w:r>
      <w:r w:rsidR="008B1E45">
        <w:rPr>
          <w:rFonts w:cs="Times New Roman"/>
          <w:sz w:val="24"/>
          <w:szCs w:val="24"/>
        </w:rPr>
        <w:t xml:space="preserve">benefit </w:t>
      </w:r>
      <w:r w:rsidRPr="00B54B94">
        <w:rPr>
          <w:rFonts w:cs="Times New Roman"/>
          <w:sz w:val="24"/>
          <w:szCs w:val="24"/>
        </w:rPr>
        <w:t xml:space="preserve">is </w:t>
      </w:r>
      <w:r w:rsidR="00807CAC" w:rsidRPr="00B54B94">
        <w:rPr>
          <w:rFonts w:cs="Times New Roman"/>
          <w:sz w:val="24"/>
          <w:szCs w:val="24"/>
        </w:rPr>
        <w:t>uncertain</w:t>
      </w:r>
      <w:r w:rsidR="00B84D2B" w:rsidRPr="00B54B94">
        <w:rPr>
          <w:rFonts w:cs="Times New Roman"/>
          <w:sz w:val="24"/>
          <w:szCs w:val="24"/>
        </w:rPr>
        <w:t>,</w:t>
      </w:r>
      <w:r w:rsidR="00807CAC" w:rsidRPr="00B54B94">
        <w:rPr>
          <w:rFonts w:cs="Times New Roman"/>
          <w:sz w:val="24"/>
          <w:szCs w:val="24"/>
        </w:rPr>
        <w:t xml:space="preserve"> and certainly not shown by </w:t>
      </w:r>
      <w:r w:rsidR="0022788C">
        <w:rPr>
          <w:rFonts w:cs="Times New Roman"/>
          <w:sz w:val="24"/>
          <w:szCs w:val="24"/>
        </w:rPr>
        <w:t>AEP Ohio</w:t>
      </w:r>
      <w:r w:rsidRPr="00B54B94">
        <w:rPr>
          <w:rFonts w:cs="Times New Roman"/>
          <w:sz w:val="24"/>
          <w:szCs w:val="24"/>
        </w:rPr>
        <w:t xml:space="preserve">.  </w:t>
      </w:r>
      <w:r w:rsidR="00AA435A" w:rsidRPr="00B54B94">
        <w:rPr>
          <w:rFonts w:cs="Times New Roman"/>
          <w:sz w:val="24"/>
          <w:szCs w:val="24"/>
        </w:rPr>
        <w:t xml:space="preserve">According to the Stipulation, </w:t>
      </w:r>
      <w:r w:rsidR="0022788C">
        <w:rPr>
          <w:rFonts w:cs="Times New Roman"/>
          <w:sz w:val="24"/>
          <w:szCs w:val="24"/>
        </w:rPr>
        <w:t>AEP Ohio</w:t>
      </w:r>
      <w:r w:rsidR="00AA435A" w:rsidRPr="00B54B94">
        <w:rPr>
          <w:rFonts w:cs="Times New Roman"/>
          <w:sz w:val="24"/>
          <w:szCs w:val="24"/>
        </w:rPr>
        <w:t xml:space="preserve"> will make a cost recovery filing in support of the conversion of Conesville Units 5 and 6 to gas co-firing units, and the units will be converted by the end of calendar year 2017</w:t>
      </w:r>
      <w:r w:rsidR="004C0BD5" w:rsidRPr="00B54B94">
        <w:rPr>
          <w:rFonts w:cs="Times New Roman"/>
          <w:sz w:val="24"/>
          <w:szCs w:val="24"/>
        </w:rPr>
        <w:t>,</w:t>
      </w:r>
      <w:r w:rsidR="00AA435A" w:rsidRPr="00B54B94">
        <w:rPr>
          <w:rFonts w:cs="Times New Roman"/>
          <w:sz w:val="24"/>
          <w:szCs w:val="24"/>
        </w:rPr>
        <w:t xml:space="preserve"> </w:t>
      </w:r>
      <w:r w:rsidR="008B1E45">
        <w:rPr>
          <w:rFonts w:cs="Times New Roman"/>
          <w:sz w:val="24"/>
          <w:szCs w:val="24"/>
        </w:rPr>
        <w:t>with costs collected from customers</w:t>
      </w:r>
      <w:r w:rsidR="00A2703A" w:rsidRPr="00B54B94">
        <w:rPr>
          <w:rFonts w:cs="Times New Roman"/>
          <w:sz w:val="24"/>
          <w:szCs w:val="24"/>
        </w:rPr>
        <w:t xml:space="preserve">.  </w:t>
      </w:r>
      <w:r w:rsidR="003C7BAD">
        <w:rPr>
          <w:rFonts w:cs="Times New Roman"/>
          <w:sz w:val="24"/>
          <w:szCs w:val="24"/>
        </w:rPr>
        <w:t xml:space="preserve">Based on AEP Ohio’s analysis, </w:t>
      </w:r>
      <w:r w:rsidR="00291F06">
        <w:rPr>
          <w:rFonts w:cs="Times New Roman"/>
          <w:sz w:val="24"/>
          <w:szCs w:val="24"/>
        </w:rPr>
        <w:t>a reasonable person could not conclude that converting any</w:t>
      </w:r>
      <w:r w:rsidR="00162E13" w:rsidRPr="00B54B94">
        <w:rPr>
          <w:rFonts w:cs="Times New Roman"/>
          <w:sz w:val="24"/>
          <w:szCs w:val="24"/>
        </w:rPr>
        <w:t xml:space="preserve"> of these units</w:t>
      </w:r>
      <w:r w:rsidR="00291F06">
        <w:rPr>
          <w:rFonts w:cs="Times New Roman"/>
          <w:sz w:val="24"/>
          <w:szCs w:val="24"/>
        </w:rPr>
        <w:t>, on the whole,</w:t>
      </w:r>
      <w:r w:rsidR="00162E13" w:rsidRPr="00B54B94">
        <w:rPr>
          <w:rFonts w:cs="Times New Roman"/>
          <w:sz w:val="24"/>
          <w:szCs w:val="24"/>
        </w:rPr>
        <w:t xml:space="preserve"> </w:t>
      </w:r>
      <w:r w:rsidR="00291F06">
        <w:rPr>
          <w:rFonts w:cs="Times New Roman"/>
          <w:sz w:val="24"/>
          <w:szCs w:val="24"/>
        </w:rPr>
        <w:t>is</w:t>
      </w:r>
      <w:r w:rsidR="00162E13" w:rsidRPr="00B54B94">
        <w:rPr>
          <w:rFonts w:cs="Times New Roman"/>
          <w:sz w:val="24"/>
          <w:szCs w:val="24"/>
        </w:rPr>
        <w:t xml:space="preserve"> in the public interest for </w:t>
      </w:r>
      <w:r w:rsidR="000969EF" w:rsidRPr="00B54B94">
        <w:rPr>
          <w:rFonts w:cs="Times New Roman"/>
          <w:sz w:val="24"/>
          <w:szCs w:val="24"/>
        </w:rPr>
        <w:t xml:space="preserve">the following </w:t>
      </w:r>
      <w:r w:rsidR="00162E13" w:rsidRPr="00B54B94">
        <w:rPr>
          <w:rFonts w:cs="Times New Roman"/>
          <w:sz w:val="24"/>
          <w:szCs w:val="24"/>
        </w:rPr>
        <w:t>reasons:</w:t>
      </w:r>
    </w:p>
    <w:p w:rsidR="00162E13" w:rsidRPr="00B54B94" w:rsidRDefault="00A2703A" w:rsidP="007E46DB">
      <w:pPr>
        <w:pStyle w:val="ListParagraph"/>
        <w:numPr>
          <w:ilvl w:val="0"/>
          <w:numId w:val="1"/>
        </w:numPr>
        <w:spacing w:line="480" w:lineRule="auto"/>
        <w:ind w:right="720" w:hanging="720"/>
        <w:rPr>
          <w:rFonts w:cs="Times New Roman"/>
          <w:sz w:val="24"/>
          <w:szCs w:val="24"/>
        </w:rPr>
      </w:pPr>
      <w:r w:rsidRPr="00B54B94">
        <w:rPr>
          <w:rFonts w:cs="Times New Roman"/>
          <w:sz w:val="24"/>
          <w:szCs w:val="24"/>
        </w:rPr>
        <w:t xml:space="preserve">To my knowledge, the </w:t>
      </w:r>
      <w:r w:rsidR="006641A1">
        <w:rPr>
          <w:rFonts w:cs="Times New Roman"/>
          <w:sz w:val="24"/>
          <w:szCs w:val="24"/>
        </w:rPr>
        <w:t>PUCO</w:t>
      </w:r>
      <w:r w:rsidRPr="00B54B94">
        <w:rPr>
          <w:rFonts w:cs="Times New Roman"/>
          <w:sz w:val="24"/>
          <w:szCs w:val="24"/>
        </w:rPr>
        <w:t xml:space="preserve"> has not been provided any analysis of the costs </w:t>
      </w:r>
      <w:r w:rsidR="006641A1">
        <w:rPr>
          <w:rFonts w:cs="Times New Roman"/>
          <w:sz w:val="24"/>
          <w:szCs w:val="24"/>
        </w:rPr>
        <w:t>consumers would pay regarding</w:t>
      </w:r>
      <w:r w:rsidRPr="00B54B94">
        <w:rPr>
          <w:rFonts w:cs="Times New Roman"/>
          <w:sz w:val="24"/>
          <w:szCs w:val="24"/>
        </w:rPr>
        <w:t xml:space="preserve"> </w:t>
      </w:r>
      <w:r w:rsidR="001256FF" w:rsidRPr="00B54B94">
        <w:rPr>
          <w:rFonts w:cs="Times New Roman"/>
          <w:sz w:val="24"/>
          <w:szCs w:val="24"/>
        </w:rPr>
        <w:t>the conversion of these units.</w:t>
      </w:r>
      <w:r w:rsidR="001D38E8" w:rsidRPr="00B54B94">
        <w:rPr>
          <w:rStyle w:val="FootnoteReference"/>
          <w:rFonts w:cs="Times New Roman"/>
          <w:sz w:val="24"/>
          <w:szCs w:val="24"/>
        </w:rPr>
        <w:footnoteReference w:id="2"/>
      </w:r>
      <w:r w:rsidR="001256FF" w:rsidRPr="00B54B94">
        <w:rPr>
          <w:rFonts w:cs="Times New Roman"/>
          <w:sz w:val="24"/>
          <w:szCs w:val="24"/>
        </w:rPr>
        <w:t xml:space="preserve">  </w:t>
      </w:r>
      <w:r w:rsidR="006641A1">
        <w:rPr>
          <w:rFonts w:cs="Times New Roman"/>
          <w:sz w:val="24"/>
          <w:szCs w:val="24"/>
        </w:rPr>
        <w:t>It</w:t>
      </w:r>
      <w:r w:rsidR="001256FF" w:rsidRPr="00B54B94">
        <w:rPr>
          <w:rFonts w:cs="Times New Roman"/>
          <w:sz w:val="24"/>
          <w:szCs w:val="24"/>
        </w:rPr>
        <w:t xml:space="preserve"> cannot be ascertained </w:t>
      </w:r>
      <w:r w:rsidR="00475ABF">
        <w:rPr>
          <w:rFonts w:cs="Times New Roman"/>
          <w:sz w:val="24"/>
          <w:szCs w:val="24"/>
        </w:rPr>
        <w:t xml:space="preserve">at this time </w:t>
      </w:r>
      <w:r w:rsidR="001256FF" w:rsidRPr="00B54B94">
        <w:rPr>
          <w:rFonts w:cs="Times New Roman"/>
          <w:sz w:val="24"/>
          <w:szCs w:val="24"/>
        </w:rPr>
        <w:t xml:space="preserve">whether the costs associated with the conversion of these units would be unnecessarily high and have an adverse impact on </w:t>
      </w:r>
      <w:r w:rsidR="00475ABF">
        <w:rPr>
          <w:rFonts w:cs="Times New Roman"/>
          <w:sz w:val="24"/>
          <w:szCs w:val="24"/>
        </w:rPr>
        <w:t>customer bills</w:t>
      </w:r>
      <w:r w:rsidR="001256FF" w:rsidRPr="00B54B94">
        <w:rPr>
          <w:rFonts w:cs="Times New Roman"/>
          <w:sz w:val="24"/>
          <w:szCs w:val="24"/>
        </w:rPr>
        <w:t>.  And, there is presently no guarantee</w:t>
      </w:r>
      <w:r w:rsidR="006641A1">
        <w:rPr>
          <w:rFonts w:cs="Times New Roman"/>
          <w:sz w:val="24"/>
          <w:szCs w:val="24"/>
        </w:rPr>
        <w:t xml:space="preserve"> (</w:t>
      </w:r>
      <w:r w:rsidR="001256FF" w:rsidRPr="00B54B94">
        <w:rPr>
          <w:rFonts w:cs="Times New Roman"/>
          <w:sz w:val="24"/>
          <w:szCs w:val="24"/>
        </w:rPr>
        <w:t xml:space="preserve">and thus </w:t>
      </w:r>
      <w:r w:rsidR="006641A1">
        <w:rPr>
          <w:rFonts w:cs="Times New Roman"/>
          <w:sz w:val="24"/>
          <w:szCs w:val="24"/>
        </w:rPr>
        <w:t xml:space="preserve">there is </w:t>
      </w:r>
      <w:r w:rsidR="001256FF" w:rsidRPr="00B54B94">
        <w:rPr>
          <w:rFonts w:cs="Times New Roman"/>
          <w:sz w:val="24"/>
          <w:szCs w:val="24"/>
        </w:rPr>
        <w:t>uncertainty</w:t>
      </w:r>
      <w:r w:rsidR="006641A1">
        <w:rPr>
          <w:rFonts w:cs="Times New Roman"/>
          <w:sz w:val="24"/>
          <w:szCs w:val="24"/>
        </w:rPr>
        <w:t>)</w:t>
      </w:r>
      <w:r w:rsidR="001256FF" w:rsidRPr="00B54B94">
        <w:rPr>
          <w:rFonts w:cs="Times New Roman"/>
          <w:sz w:val="24"/>
          <w:szCs w:val="24"/>
        </w:rPr>
        <w:t>, that the Commission will approve the conversion</w:t>
      </w:r>
      <w:r w:rsidR="00475ABF">
        <w:rPr>
          <w:rFonts w:cs="Times New Roman"/>
          <w:sz w:val="24"/>
          <w:szCs w:val="24"/>
        </w:rPr>
        <w:t xml:space="preserve"> of these units</w:t>
      </w:r>
      <w:r w:rsidR="001256FF" w:rsidRPr="00B54B94">
        <w:rPr>
          <w:rFonts w:cs="Times New Roman"/>
          <w:sz w:val="24"/>
          <w:szCs w:val="24"/>
        </w:rPr>
        <w:t xml:space="preserve">.  </w:t>
      </w:r>
      <w:r w:rsidR="00EA619D" w:rsidRPr="00B54B94">
        <w:rPr>
          <w:rFonts w:cs="Times New Roman"/>
          <w:sz w:val="24"/>
          <w:szCs w:val="24"/>
        </w:rPr>
        <w:t xml:space="preserve">In any case, the conversion will bear some positive costs that will be </w:t>
      </w:r>
      <w:r w:rsidR="006641A1">
        <w:rPr>
          <w:rFonts w:cs="Times New Roman"/>
          <w:sz w:val="24"/>
          <w:szCs w:val="24"/>
        </w:rPr>
        <w:t>collected</w:t>
      </w:r>
      <w:r w:rsidR="005059C7">
        <w:rPr>
          <w:rFonts w:cs="Times New Roman"/>
          <w:sz w:val="24"/>
          <w:szCs w:val="24"/>
        </w:rPr>
        <w:t xml:space="preserve"> from customers.</w:t>
      </w:r>
    </w:p>
    <w:p w:rsidR="00162E13" w:rsidRPr="00B54B94" w:rsidRDefault="0022788C" w:rsidP="007E46DB">
      <w:pPr>
        <w:pStyle w:val="ListParagraph"/>
        <w:numPr>
          <w:ilvl w:val="0"/>
          <w:numId w:val="1"/>
        </w:numPr>
        <w:spacing w:line="480" w:lineRule="auto"/>
        <w:ind w:right="720" w:hanging="720"/>
        <w:rPr>
          <w:rFonts w:cs="Times New Roman"/>
          <w:sz w:val="24"/>
          <w:szCs w:val="24"/>
        </w:rPr>
      </w:pPr>
      <w:r>
        <w:rPr>
          <w:rFonts w:cs="Times New Roman"/>
          <w:sz w:val="24"/>
          <w:szCs w:val="24"/>
        </w:rPr>
        <w:t>AEP Ohio</w:t>
      </w:r>
      <w:r w:rsidR="002C1E8B" w:rsidRPr="00B54B94">
        <w:rPr>
          <w:rFonts w:cs="Times New Roman"/>
          <w:sz w:val="24"/>
          <w:szCs w:val="24"/>
        </w:rPr>
        <w:t xml:space="preserve"> witnesses</w:t>
      </w:r>
      <w:r w:rsidR="00CB2E58" w:rsidRPr="00B54B94">
        <w:rPr>
          <w:rStyle w:val="FootnoteReference"/>
          <w:rFonts w:cs="Times New Roman"/>
          <w:sz w:val="24"/>
          <w:szCs w:val="24"/>
        </w:rPr>
        <w:footnoteReference w:id="3"/>
      </w:r>
      <w:r w:rsidR="002C1E8B" w:rsidRPr="00B54B94">
        <w:rPr>
          <w:rFonts w:cs="Times New Roman"/>
          <w:sz w:val="24"/>
          <w:szCs w:val="24"/>
        </w:rPr>
        <w:t xml:space="preserve"> went to some length to argue that the interruptible service contracts of gas supply were inconsistent with the public interest as a rationale for approval of the PPA rider to begin with.  </w:t>
      </w:r>
      <w:r w:rsidR="00096535" w:rsidRPr="00B54B94">
        <w:rPr>
          <w:rFonts w:cs="Times New Roman"/>
          <w:sz w:val="24"/>
          <w:szCs w:val="24"/>
        </w:rPr>
        <w:t>According to the Stipulation, more than 62 percent of the generation provided by these units will be provided by gas</w:t>
      </w:r>
      <w:r w:rsidR="00B84D2B" w:rsidRPr="00B54B94">
        <w:rPr>
          <w:rFonts w:cs="Times New Roman"/>
          <w:sz w:val="24"/>
          <w:szCs w:val="24"/>
        </w:rPr>
        <w:t xml:space="preserve"> (post conversion)</w:t>
      </w:r>
      <w:r w:rsidR="00096535" w:rsidRPr="00B54B94">
        <w:rPr>
          <w:rFonts w:cs="Times New Roman"/>
          <w:sz w:val="24"/>
          <w:szCs w:val="24"/>
        </w:rPr>
        <w:t xml:space="preserve">.  </w:t>
      </w:r>
      <w:r w:rsidR="005C6939" w:rsidRPr="00B54B94">
        <w:rPr>
          <w:rFonts w:cs="Times New Roman"/>
          <w:sz w:val="24"/>
          <w:szCs w:val="24"/>
        </w:rPr>
        <w:t xml:space="preserve">If the interruptible nature of these plants is inconsistent with the public interest as espoused by </w:t>
      </w:r>
      <w:r>
        <w:rPr>
          <w:rFonts w:cs="Times New Roman"/>
          <w:sz w:val="24"/>
          <w:szCs w:val="24"/>
        </w:rPr>
        <w:t>AEP Ohio</w:t>
      </w:r>
      <w:r w:rsidR="005C6939" w:rsidRPr="00B54B94">
        <w:rPr>
          <w:rFonts w:cs="Times New Roman"/>
          <w:sz w:val="24"/>
          <w:szCs w:val="24"/>
        </w:rPr>
        <w:t xml:space="preserve"> witnesses, the conversion of these units to co-firing units could also be inconsistent with the public interest.</w:t>
      </w:r>
    </w:p>
    <w:p w:rsidR="00E923A3" w:rsidRPr="00B54B94" w:rsidRDefault="00366022" w:rsidP="007E46DB">
      <w:pPr>
        <w:pStyle w:val="ListParagraph"/>
        <w:numPr>
          <w:ilvl w:val="0"/>
          <w:numId w:val="1"/>
        </w:numPr>
        <w:spacing w:line="480" w:lineRule="auto"/>
        <w:ind w:right="720" w:hanging="720"/>
        <w:rPr>
          <w:rFonts w:cs="Times New Roman"/>
          <w:sz w:val="24"/>
          <w:szCs w:val="24"/>
        </w:rPr>
      </w:pPr>
      <w:r w:rsidRPr="00B54B94">
        <w:rPr>
          <w:rFonts w:cs="Times New Roman"/>
          <w:sz w:val="24"/>
          <w:szCs w:val="24"/>
        </w:rPr>
        <w:t xml:space="preserve">The Stipulation provides that </w:t>
      </w:r>
      <w:r w:rsidR="0022788C">
        <w:rPr>
          <w:rFonts w:cs="Times New Roman"/>
          <w:sz w:val="24"/>
          <w:szCs w:val="24"/>
        </w:rPr>
        <w:t>AEP Ohio</w:t>
      </w:r>
      <w:r w:rsidR="00336376" w:rsidRPr="00B54B94">
        <w:rPr>
          <w:rFonts w:cs="Times New Roman"/>
          <w:sz w:val="24"/>
          <w:szCs w:val="24"/>
        </w:rPr>
        <w:t xml:space="preserve"> and its affiliates will commit the units to maximize gas usage when it is “available and economic” (p.20).  It is </w:t>
      </w:r>
      <w:r w:rsidR="00807CAC" w:rsidRPr="00B54B94">
        <w:rPr>
          <w:rFonts w:cs="Times New Roman"/>
          <w:sz w:val="24"/>
          <w:szCs w:val="24"/>
        </w:rPr>
        <w:t>uncertain</w:t>
      </w:r>
      <w:r w:rsidR="00336376" w:rsidRPr="00B54B94">
        <w:rPr>
          <w:rFonts w:cs="Times New Roman"/>
          <w:sz w:val="24"/>
          <w:szCs w:val="24"/>
        </w:rPr>
        <w:t xml:space="preserve"> what impacts </w:t>
      </w:r>
      <w:r w:rsidR="00D8500E" w:rsidRPr="00B54B94">
        <w:rPr>
          <w:rFonts w:cs="Times New Roman"/>
          <w:sz w:val="24"/>
          <w:szCs w:val="24"/>
        </w:rPr>
        <w:t xml:space="preserve">any </w:t>
      </w:r>
      <w:r w:rsidR="00336376" w:rsidRPr="00B54B94">
        <w:rPr>
          <w:rFonts w:cs="Times New Roman"/>
          <w:sz w:val="24"/>
          <w:szCs w:val="24"/>
        </w:rPr>
        <w:t xml:space="preserve">potential changes in gas prices </w:t>
      </w:r>
      <w:r w:rsidR="00D8500E" w:rsidRPr="00B54B94">
        <w:rPr>
          <w:rFonts w:cs="Times New Roman"/>
          <w:sz w:val="24"/>
          <w:szCs w:val="24"/>
        </w:rPr>
        <w:t xml:space="preserve">in the next eight years (or longer under any PPA rider extensions) </w:t>
      </w:r>
      <w:r w:rsidR="00336376" w:rsidRPr="00B54B94">
        <w:rPr>
          <w:rFonts w:cs="Times New Roman"/>
          <w:sz w:val="24"/>
          <w:szCs w:val="24"/>
        </w:rPr>
        <w:t>would have on the PPA rider charge/credit</w:t>
      </w:r>
      <w:r w:rsidR="005059C7">
        <w:rPr>
          <w:rFonts w:cs="Times New Roman"/>
          <w:sz w:val="24"/>
          <w:szCs w:val="24"/>
        </w:rPr>
        <w:t xml:space="preserve"> to consumers</w:t>
      </w:r>
      <w:r w:rsidR="00336376" w:rsidRPr="00B54B94">
        <w:rPr>
          <w:rFonts w:cs="Times New Roman"/>
          <w:sz w:val="24"/>
          <w:szCs w:val="24"/>
        </w:rPr>
        <w:t xml:space="preserve">.  </w:t>
      </w:r>
      <w:r w:rsidR="00E923A3" w:rsidRPr="00B54B94">
        <w:rPr>
          <w:rFonts w:cs="Times New Roman"/>
          <w:sz w:val="24"/>
          <w:szCs w:val="24"/>
        </w:rPr>
        <w:t xml:space="preserve">Given that these units would be nearly two-thirds </w:t>
      </w:r>
      <w:r w:rsidR="00287746" w:rsidRPr="00B54B94">
        <w:rPr>
          <w:rFonts w:cs="Times New Roman"/>
          <w:sz w:val="24"/>
          <w:szCs w:val="24"/>
        </w:rPr>
        <w:t>fueled</w:t>
      </w:r>
      <w:r w:rsidR="00E923A3" w:rsidRPr="00B54B94">
        <w:rPr>
          <w:rFonts w:cs="Times New Roman"/>
          <w:sz w:val="24"/>
          <w:szCs w:val="24"/>
        </w:rPr>
        <w:t xml:space="preserve"> by natural gas, in the event that gas </w:t>
      </w:r>
      <w:r w:rsidR="00A70AED" w:rsidRPr="00B54B94">
        <w:rPr>
          <w:rFonts w:cs="Times New Roman"/>
          <w:sz w:val="24"/>
          <w:szCs w:val="24"/>
        </w:rPr>
        <w:t>i</w:t>
      </w:r>
      <w:r w:rsidR="00287746" w:rsidRPr="00B54B94">
        <w:rPr>
          <w:rFonts w:cs="Times New Roman"/>
          <w:sz w:val="24"/>
          <w:szCs w:val="24"/>
        </w:rPr>
        <w:t>s no longer</w:t>
      </w:r>
      <w:r w:rsidR="00E923A3" w:rsidRPr="00B54B94">
        <w:rPr>
          <w:rFonts w:cs="Times New Roman"/>
          <w:sz w:val="24"/>
          <w:szCs w:val="24"/>
        </w:rPr>
        <w:t xml:space="preserve"> “economic,” it is </w:t>
      </w:r>
      <w:r w:rsidR="00807CAC" w:rsidRPr="00B54B94">
        <w:rPr>
          <w:rFonts w:cs="Times New Roman"/>
          <w:sz w:val="24"/>
          <w:szCs w:val="24"/>
        </w:rPr>
        <w:t>uncertain</w:t>
      </w:r>
      <w:r w:rsidR="00E923A3" w:rsidRPr="00B54B94">
        <w:rPr>
          <w:rFonts w:cs="Times New Roman"/>
          <w:sz w:val="24"/>
          <w:szCs w:val="24"/>
        </w:rPr>
        <w:t xml:space="preserve"> what additional cost risks the conversion </w:t>
      </w:r>
      <w:r w:rsidR="006641A1">
        <w:rPr>
          <w:rFonts w:cs="Times New Roman"/>
          <w:sz w:val="24"/>
          <w:szCs w:val="24"/>
        </w:rPr>
        <w:t>will place</w:t>
      </w:r>
      <w:r w:rsidR="00E923A3" w:rsidRPr="00B54B94">
        <w:rPr>
          <w:rFonts w:cs="Times New Roman"/>
          <w:sz w:val="24"/>
          <w:szCs w:val="24"/>
        </w:rPr>
        <w:t xml:space="preserve"> on </w:t>
      </w:r>
      <w:r w:rsidR="005059C7">
        <w:rPr>
          <w:rFonts w:cs="Times New Roman"/>
          <w:sz w:val="24"/>
          <w:szCs w:val="24"/>
        </w:rPr>
        <w:t>customers</w:t>
      </w:r>
      <w:r w:rsidR="005059C7" w:rsidRPr="00B54B94">
        <w:rPr>
          <w:rFonts w:cs="Times New Roman"/>
          <w:sz w:val="24"/>
          <w:szCs w:val="24"/>
        </w:rPr>
        <w:t xml:space="preserve"> </w:t>
      </w:r>
      <w:r w:rsidR="00E923A3" w:rsidRPr="00B54B94">
        <w:rPr>
          <w:rFonts w:cs="Times New Roman"/>
          <w:sz w:val="24"/>
          <w:szCs w:val="24"/>
        </w:rPr>
        <w:t>through the PPA rider mechanism</w:t>
      </w:r>
      <w:r w:rsidR="00287746" w:rsidRPr="00B54B94">
        <w:rPr>
          <w:rFonts w:cs="Times New Roman"/>
          <w:sz w:val="24"/>
          <w:szCs w:val="24"/>
        </w:rPr>
        <w:t xml:space="preserve"> or how the potentially diminished output of these units would alter the PPA rider’s net of energy revenue and operations costs</w:t>
      </w:r>
      <w:r w:rsidR="00E923A3" w:rsidRPr="00B54B94">
        <w:rPr>
          <w:rFonts w:cs="Times New Roman"/>
          <w:sz w:val="24"/>
          <w:szCs w:val="24"/>
        </w:rPr>
        <w:t>.</w:t>
      </w:r>
    </w:p>
    <w:p w:rsidR="00EB64AB" w:rsidRPr="00B54B94" w:rsidRDefault="0022788C" w:rsidP="007E46DB">
      <w:pPr>
        <w:pStyle w:val="ListParagraph"/>
        <w:numPr>
          <w:ilvl w:val="0"/>
          <w:numId w:val="1"/>
        </w:numPr>
        <w:spacing w:line="480" w:lineRule="auto"/>
        <w:ind w:right="720" w:hanging="720"/>
        <w:rPr>
          <w:rFonts w:cs="Times New Roman"/>
          <w:sz w:val="24"/>
          <w:szCs w:val="24"/>
        </w:rPr>
      </w:pPr>
      <w:r>
        <w:rPr>
          <w:rFonts w:cs="Times New Roman"/>
          <w:sz w:val="24"/>
          <w:szCs w:val="24"/>
        </w:rPr>
        <w:t>AEP Ohio</w:t>
      </w:r>
      <w:r w:rsidR="00D90A34">
        <w:rPr>
          <w:rFonts w:cs="Times New Roman"/>
          <w:sz w:val="24"/>
          <w:szCs w:val="24"/>
        </w:rPr>
        <w:t xml:space="preserve"> W</w:t>
      </w:r>
      <w:r w:rsidR="00EB64AB" w:rsidRPr="00B54B94">
        <w:rPr>
          <w:rFonts w:cs="Times New Roman"/>
          <w:sz w:val="24"/>
          <w:szCs w:val="24"/>
        </w:rPr>
        <w:t xml:space="preserve">itness Allen, in his testimony filed on May 15, 2015, argued that the shutdown of the PPA units would be deleterious to the macroeconomy, in part, because of the indirect Ohio coal mining employment that is purportedly dependent upon the PPA units.  To my knowledge, the Commission has not been provided any revised analyses outlining how many additional Ohio coal workers </w:t>
      </w:r>
      <w:r>
        <w:rPr>
          <w:rFonts w:cs="Times New Roman"/>
          <w:sz w:val="24"/>
          <w:szCs w:val="24"/>
        </w:rPr>
        <w:t>AEP Ohio</w:t>
      </w:r>
      <w:r w:rsidR="00EB64AB" w:rsidRPr="00B54B94">
        <w:rPr>
          <w:rFonts w:cs="Times New Roman"/>
          <w:sz w:val="24"/>
          <w:szCs w:val="24"/>
        </w:rPr>
        <w:t xml:space="preserve"> believes would be discharged from the labor force due to the co-firing of these units.</w:t>
      </w:r>
    </w:p>
    <w:p w:rsidR="001F2F21" w:rsidRPr="00B54B94" w:rsidRDefault="001F2F21" w:rsidP="000A300A">
      <w:pPr>
        <w:spacing w:line="480" w:lineRule="auto"/>
        <w:ind w:left="720" w:hanging="720"/>
        <w:rPr>
          <w:rFonts w:cs="Times New Roman"/>
          <w:b/>
          <w:sz w:val="24"/>
          <w:szCs w:val="24"/>
        </w:rPr>
      </w:pPr>
    </w:p>
    <w:p w:rsidR="00AA435A" w:rsidRPr="00706BD6" w:rsidRDefault="00B20661" w:rsidP="000A300A">
      <w:pPr>
        <w:spacing w:line="480" w:lineRule="auto"/>
        <w:ind w:left="720" w:hanging="720"/>
        <w:rPr>
          <w:rFonts w:cs="Times New Roman"/>
          <w:b/>
          <w:i/>
          <w:sz w:val="24"/>
          <w:szCs w:val="24"/>
        </w:rPr>
      </w:pPr>
      <w:r w:rsidRPr="00706BD6">
        <w:rPr>
          <w:rFonts w:cs="Times New Roman"/>
          <w:b/>
          <w:i/>
          <w:sz w:val="24"/>
          <w:szCs w:val="24"/>
        </w:rPr>
        <w:t>Q</w:t>
      </w:r>
      <w:r w:rsidR="007F23B8">
        <w:rPr>
          <w:rFonts w:cs="Times New Roman"/>
          <w:b/>
          <w:i/>
          <w:sz w:val="24"/>
          <w:szCs w:val="24"/>
        </w:rPr>
        <w:t>9</w:t>
      </w:r>
      <w:r w:rsidRPr="00706BD6">
        <w:rPr>
          <w:rFonts w:cs="Times New Roman"/>
          <w:b/>
          <w:i/>
          <w:sz w:val="24"/>
          <w:szCs w:val="24"/>
        </w:rPr>
        <w:t xml:space="preserve">. </w:t>
      </w:r>
      <w:r w:rsidRPr="00706BD6">
        <w:rPr>
          <w:rFonts w:cs="Times New Roman"/>
          <w:b/>
          <w:i/>
          <w:sz w:val="24"/>
          <w:szCs w:val="24"/>
        </w:rPr>
        <w:tab/>
      </w:r>
      <w:r w:rsidR="003E7BFE" w:rsidRPr="00706BD6">
        <w:rPr>
          <w:rFonts w:cs="Times New Roman"/>
          <w:b/>
          <w:i/>
          <w:sz w:val="24"/>
          <w:szCs w:val="24"/>
        </w:rPr>
        <w:t>DOES THE CONVERSION OF CONESVILLE UNITS 5 AND 6 VIOLATE ANY IMPORTANT REGULATORY PRINCIPLE OR PRACTICE?</w:t>
      </w:r>
    </w:p>
    <w:p w:rsidR="00126CF9" w:rsidRDefault="00156CB0" w:rsidP="000A300A">
      <w:pPr>
        <w:spacing w:line="480" w:lineRule="auto"/>
        <w:ind w:left="720" w:hanging="720"/>
        <w:rPr>
          <w:rFonts w:cs="Times New Roman"/>
          <w:sz w:val="24"/>
          <w:szCs w:val="24"/>
        </w:rPr>
      </w:pPr>
      <w:r w:rsidRPr="00706BD6">
        <w:rPr>
          <w:rFonts w:cs="Times New Roman"/>
          <w:b/>
          <w:i/>
          <w:sz w:val="24"/>
          <w:szCs w:val="24"/>
        </w:rPr>
        <w:t>A</w:t>
      </w:r>
      <w:r w:rsidR="007F23B8">
        <w:rPr>
          <w:rFonts w:cs="Times New Roman"/>
          <w:b/>
          <w:i/>
          <w:sz w:val="24"/>
          <w:szCs w:val="24"/>
        </w:rPr>
        <w:t>9</w:t>
      </w:r>
      <w:r w:rsidRPr="00706BD6">
        <w:rPr>
          <w:rFonts w:cs="Times New Roman"/>
          <w:b/>
          <w:i/>
          <w:sz w:val="24"/>
          <w:szCs w:val="24"/>
        </w:rPr>
        <w:t>.</w:t>
      </w:r>
      <w:r w:rsidRPr="00B54B94">
        <w:rPr>
          <w:rFonts w:cs="Times New Roman"/>
          <w:sz w:val="24"/>
          <w:szCs w:val="24"/>
        </w:rPr>
        <w:tab/>
        <w:t xml:space="preserve">Yes.  </w:t>
      </w:r>
      <w:r w:rsidR="003336D2" w:rsidRPr="00B54B94">
        <w:rPr>
          <w:rFonts w:cs="Times New Roman"/>
          <w:sz w:val="24"/>
          <w:szCs w:val="24"/>
        </w:rPr>
        <w:t>In a competitive deregulated wholesale electricity market, costs such as fuel switching</w:t>
      </w:r>
      <w:r w:rsidR="007001F7" w:rsidRPr="00B54B94">
        <w:rPr>
          <w:rFonts w:cs="Times New Roman"/>
          <w:sz w:val="24"/>
          <w:szCs w:val="24"/>
        </w:rPr>
        <w:t xml:space="preserve"> </w:t>
      </w:r>
      <w:r w:rsidR="003336D2" w:rsidRPr="00B54B94">
        <w:rPr>
          <w:rFonts w:cs="Times New Roman"/>
          <w:sz w:val="24"/>
          <w:szCs w:val="24"/>
        </w:rPr>
        <w:t xml:space="preserve">should </w:t>
      </w:r>
      <w:r w:rsidR="005B3ED9">
        <w:rPr>
          <w:rFonts w:cs="Times New Roman"/>
          <w:sz w:val="24"/>
          <w:szCs w:val="24"/>
        </w:rPr>
        <w:t xml:space="preserve">not be collected from </w:t>
      </w:r>
      <w:r w:rsidR="00034046">
        <w:rPr>
          <w:rFonts w:cs="Times New Roman"/>
          <w:sz w:val="24"/>
          <w:szCs w:val="24"/>
        </w:rPr>
        <w:t>captive</w:t>
      </w:r>
      <w:r w:rsidR="005B3ED9">
        <w:rPr>
          <w:rFonts w:cs="Times New Roman"/>
          <w:sz w:val="24"/>
          <w:szCs w:val="24"/>
        </w:rPr>
        <w:t xml:space="preserve"> utility customers (as AEP Ohio proposes) but should be subject to recovery through revenues earned in the wholesale market</w:t>
      </w:r>
      <w:r w:rsidR="003336D2" w:rsidRPr="00B54B94">
        <w:rPr>
          <w:rFonts w:cs="Times New Roman"/>
          <w:sz w:val="24"/>
          <w:szCs w:val="24"/>
        </w:rPr>
        <w:t xml:space="preserve">.  </w:t>
      </w:r>
      <w:r w:rsidR="00EE1D29" w:rsidRPr="00B54B94">
        <w:rPr>
          <w:rFonts w:cs="Times New Roman"/>
          <w:sz w:val="24"/>
          <w:szCs w:val="24"/>
        </w:rPr>
        <w:t xml:space="preserve">As such, financial risks </w:t>
      </w:r>
      <w:r w:rsidR="00A128D9" w:rsidRPr="00B54B94">
        <w:rPr>
          <w:rFonts w:cs="Times New Roman"/>
          <w:sz w:val="24"/>
          <w:szCs w:val="24"/>
        </w:rPr>
        <w:t xml:space="preserve">such as the up-front-costs of fuel switching </w:t>
      </w:r>
      <w:r w:rsidR="00EE1D29" w:rsidRPr="00B54B94">
        <w:rPr>
          <w:rFonts w:cs="Times New Roman"/>
          <w:sz w:val="24"/>
          <w:szCs w:val="24"/>
        </w:rPr>
        <w:t>should be carried by competitive producers in an efficient market</w:t>
      </w:r>
      <w:r w:rsidR="00B930BD" w:rsidRPr="00B54B94">
        <w:rPr>
          <w:rFonts w:cs="Times New Roman"/>
          <w:sz w:val="24"/>
          <w:szCs w:val="24"/>
        </w:rPr>
        <w:t xml:space="preserve">.  They should </w:t>
      </w:r>
      <w:r w:rsidR="00A128D9" w:rsidRPr="00B54B94">
        <w:rPr>
          <w:rFonts w:cs="Times New Roman"/>
          <w:sz w:val="24"/>
          <w:szCs w:val="24"/>
        </w:rPr>
        <w:t xml:space="preserve">not </w:t>
      </w:r>
      <w:r w:rsidR="00B930BD" w:rsidRPr="00B54B94">
        <w:rPr>
          <w:rFonts w:cs="Times New Roman"/>
          <w:sz w:val="24"/>
          <w:szCs w:val="24"/>
        </w:rPr>
        <w:t xml:space="preserve">be carried </w:t>
      </w:r>
      <w:r w:rsidR="00A128D9" w:rsidRPr="00B54B94">
        <w:rPr>
          <w:rFonts w:cs="Times New Roman"/>
          <w:sz w:val="24"/>
          <w:szCs w:val="24"/>
        </w:rPr>
        <w:t xml:space="preserve">by captive </w:t>
      </w:r>
      <w:r w:rsidR="005059C7">
        <w:rPr>
          <w:rFonts w:cs="Times New Roman"/>
          <w:sz w:val="24"/>
          <w:szCs w:val="24"/>
        </w:rPr>
        <w:t>customers</w:t>
      </w:r>
      <w:r w:rsidR="005059C7" w:rsidRPr="00B54B94">
        <w:rPr>
          <w:rFonts w:cs="Times New Roman"/>
          <w:sz w:val="24"/>
          <w:szCs w:val="24"/>
        </w:rPr>
        <w:t xml:space="preserve"> </w:t>
      </w:r>
      <w:r w:rsidR="005B3ED9">
        <w:rPr>
          <w:rFonts w:cs="Times New Roman"/>
          <w:sz w:val="24"/>
          <w:szCs w:val="24"/>
        </w:rPr>
        <w:t>paying</w:t>
      </w:r>
      <w:r w:rsidR="00A128D9" w:rsidRPr="00B54B94">
        <w:rPr>
          <w:rFonts w:cs="Times New Roman"/>
          <w:sz w:val="24"/>
          <w:szCs w:val="24"/>
        </w:rPr>
        <w:t xml:space="preserve"> for the entirety of the capital outlay plus a sizeable return on equity</w:t>
      </w:r>
      <w:r w:rsidR="00EE1D29" w:rsidRPr="00B54B94">
        <w:rPr>
          <w:rFonts w:cs="Times New Roman"/>
          <w:sz w:val="24"/>
          <w:szCs w:val="24"/>
        </w:rPr>
        <w:t xml:space="preserve">.  </w:t>
      </w:r>
      <w:r w:rsidR="005B3ED9">
        <w:rPr>
          <w:rFonts w:cs="Times New Roman"/>
          <w:sz w:val="24"/>
          <w:szCs w:val="24"/>
        </w:rPr>
        <w:t>But u</w:t>
      </w:r>
      <w:r w:rsidR="00EE1D29" w:rsidRPr="00B54B94">
        <w:rPr>
          <w:rFonts w:cs="Times New Roman"/>
          <w:sz w:val="24"/>
          <w:szCs w:val="24"/>
        </w:rPr>
        <w:t xml:space="preserve">nder the terms of the Stipulation, the costs of the conversion would be </w:t>
      </w:r>
      <w:r w:rsidR="005B3ED9">
        <w:rPr>
          <w:rFonts w:cs="Times New Roman"/>
          <w:sz w:val="24"/>
          <w:szCs w:val="24"/>
        </w:rPr>
        <w:t>borne</w:t>
      </w:r>
      <w:r w:rsidR="00EE1D29" w:rsidRPr="00B54B94">
        <w:rPr>
          <w:rFonts w:cs="Times New Roman"/>
          <w:sz w:val="24"/>
          <w:szCs w:val="24"/>
        </w:rPr>
        <w:t xml:space="preserve"> by captive </w:t>
      </w:r>
      <w:r w:rsidR="005059C7">
        <w:rPr>
          <w:rFonts w:cs="Times New Roman"/>
          <w:sz w:val="24"/>
          <w:szCs w:val="24"/>
        </w:rPr>
        <w:t>customers</w:t>
      </w:r>
      <w:r w:rsidR="00EE1D29" w:rsidRPr="00B54B94">
        <w:rPr>
          <w:rFonts w:cs="Times New Roman"/>
          <w:sz w:val="24"/>
          <w:szCs w:val="24"/>
        </w:rPr>
        <w:t xml:space="preserve">.  This </w:t>
      </w:r>
      <w:r w:rsidR="005B3ED9">
        <w:rPr>
          <w:rFonts w:cs="Times New Roman"/>
          <w:sz w:val="24"/>
          <w:szCs w:val="24"/>
        </w:rPr>
        <w:t xml:space="preserve">approach in the Stipulation is </w:t>
      </w:r>
      <w:r w:rsidR="00EE1D29" w:rsidRPr="00B54B94">
        <w:rPr>
          <w:rFonts w:cs="Times New Roman"/>
          <w:sz w:val="24"/>
          <w:szCs w:val="24"/>
        </w:rPr>
        <w:t>counter to the very nature of deregulation.</w:t>
      </w:r>
    </w:p>
    <w:p w:rsidR="00336C48" w:rsidRPr="00B54B94" w:rsidRDefault="00336C48" w:rsidP="000A300A">
      <w:pPr>
        <w:spacing w:line="480" w:lineRule="auto"/>
        <w:ind w:left="720" w:hanging="720"/>
        <w:rPr>
          <w:rFonts w:cs="Times New Roman"/>
          <w:b/>
          <w:sz w:val="24"/>
          <w:szCs w:val="24"/>
        </w:rPr>
      </w:pPr>
    </w:p>
    <w:p w:rsidR="004377AF" w:rsidRPr="00706BD6" w:rsidRDefault="00CE58B1" w:rsidP="000A300A">
      <w:pPr>
        <w:spacing w:line="480" w:lineRule="auto"/>
        <w:ind w:left="720" w:hanging="720"/>
        <w:rPr>
          <w:rFonts w:cs="Times New Roman"/>
          <w:b/>
          <w:i/>
          <w:sz w:val="24"/>
          <w:szCs w:val="24"/>
        </w:rPr>
      </w:pPr>
      <w:r w:rsidRPr="00706BD6">
        <w:rPr>
          <w:rFonts w:cs="Times New Roman"/>
          <w:b/>
          <w:i/>
          <w:sz w:val="24"/>
          <w:szCs w:val="24"/>
        </w:rPr>
        <w:t>Q</w:t>
      </w:r>
      <w:r w:rsidR="007F23B8">
        <w:rPr>
          <w:rFonts w:cs="Times New Roman"/>
          <w:b/>
          <w:i/>
          <w:sz w:val="24"/>
          <w:szCs w:val="24"/>
        </w:rPr>
        <w:t>10</w:t>
      </w:r>
      <w:r w:rsidR="001074DC">
        <w:rPr>
          <w:rFonts w:cs="Times New Roman"/>
          <w:b/>
          <w:i/>
          <w:sz w:val="24"/>
          <w:szCs w:val="24"/>
        </w:rPr>
        <w:t>.</w:t>
      </w:r>
      <w:r w:rsidRPr="00706BD6">
        <w:rPr>
          <w:rFonts w:cs="Times New Roman"/>
          <w:b/>
          <w:i/>
          <w:sz w:val="24"/>
          <w:szCs w:val="24"/>
        </w:rPr>
        <w:tab/>
        <w:t xml:space="preserve">THE STIPULATION </w:t>
      </w:r>
      <w:r w:rsidR="005B3ED9">
        <w:rPr>
          <w:rFonts w:cs="Times New Roman"/>
          <w:b/>
          <w:i/>
          <w:sz w:val="24"/>
          <w:szCs w:val="24"/>
        </w:rPr>
        <w:t>CONTAINS</w:t>
      </w:r>
      <w:r w:rsidRPr="00706BD6">
        <w:rPr>
          <w:rFonts w:cs="Times New Roman"/>
          <w:b/>
          <w:i/>
          <w:sz w:val="24"/>
          <w:szCs w:val="24"/>
        </w:rPr>
        <w:t xml:space="preserve"> A PROVISION BY WHICH </w:t>
      </w:r>
      <w:r w:rsidR="0022788C">
        <w:rPr>
          <w:rFonts w:cs="Times New Roman"/>
          <w:b/>
          <w:i/>
          <w:sz w:val="24"/>
          <w:szCs w:val="24"/>
        </w:rPr>
        <w:t>AEP OHIO</w:t>
      </w:r>
      <w:r w:rsidRPr="00706BD6">
        <w:rPr>
          <w:rFonts w:cs="Times New Roman"/>
          <w:b/>
          <w:i/>
          <w:sz w:val="24"/>
          <w:szCs w:val="24"/>
        </w:rPr>
        <w:t xml:space="preserve"> AGREES TO ADVOCATE FOR THE USE OF A COMPETITION INCENTIVE RIDER (C</w:t>
      </w:r>
      <w:r w:rsidR="00777F72" w:rsidRPr="00706BD6">
        <w:rPr>
          <w:rFonts w:cs="Times New Roman"/>
          <w:b/>
          <w:i/>
          <w:sz w:val="24"/>
          <w:szCs w:val="24"/>
        </w:rPr>
        <w:t>.</w:t>
      </w:r>
      <w:r w:rsidRPr="00706BD6">
        <w:rPr>
          <w:rFonts w:cs="Times New Roman"/>
          <w:b/>
          <w:i/>
          <w:sz w:val="24"/>
          <w:szCs w:val="24"/>
        </w:rPr>
        <w:t>I</w:t>
      </w:r>
      <w:r w:rsidR="00777F72" w:rsidRPr="00706BD6">
        <w:rPr>
          <w:rFonts w:cs="Times New Roman"/>
          <w:b/>
          <w:i/>
          <w:sz w:val="24"/>
          <w:szCs w:val="24"/>
        </w:rPr>
        <w:t>.</w:t>
      </w:r>
      <w:r w:rsidRPr="00706BD6">
        <w:rPr>
          <w:rFonts w:cs="Times New Roman"/>
          <w:b/>
          <w:i/>
          <w:sz w:val="24"/>
          <w:szCs w:val="24"/>
        </w:rPr>
        <w:t>R</w:t>
      </w:r>
      <w:r w:rsidR="00777F72" w:rsidRPr="00706BD6">
        <w:rPr>
          <w:rFonts w:cs="Times New Roman"/>
          <w:b/>
          <w:i/>
          <w:sz w:val="24"/>
          <w:szCs w:val="24"/>
        </w:rPr>
        <w:t>.</w:t>
      </w:r>
      <w:r w:rsidRPr="00706BD6">
        <w:rPr>
          <w:rFonts w:cs="Times New Roman"/>
          <w:b/>
          <w:i/>
          <w:sz w:val="24"/>
          <w:szCs w:val="24"/>
        </w:rPr>
        <w:t xml:space="preserve">).  </w:t>
      </w:r>
      <w:r w:rsidR="00D14A1F" w:rsidRPr="00706BD6">
        <w:rPr>
          <w:rFonts w:cs="Times New Roman"/>
          <w:b/>
          <w:i/>
          <w:sz w:val="24"/>
          <w:szCs w:val="24"/>
        </w:rPr>
        <w:t>TO YOUR KNOWLEDGE</w:t>
      </w:r>
      <w:r w:rsidR="00567C72" w:rsidRPr="00706BD6">
        <w:rPr>
          <w:rFonts w:cs="Times New Roman"/>
          <w:b/>
          <w:i/>
          <w:sz w:val="24"/>
          <w:szCs w:val="24"/>
        </w:rPr>
        <w:t>,</w:t>
      </w:r>
      <w:r w:rsidR="00D14A1F" w:rsidRPr="00706BD6">
        <w:rPr>
          <w:rFonts w:cs="Times New Roman"/>
          <w:b/>
          <w:i/>
          <w:sz w:val="24"/>
          <w:szCs w:val="24"/>
        </w:rPr>
        <w:t xml:space="preserve"> HOW WOULD THIS C</w:t>
      </w:r>
      <w:r w:rsidR="00777F72" w:rsidRPr="00706BD6">
        <w:rPr>
          <w:rFonts w:cs="Times New Roman"/>
          <w:b/>
          <w:i/>
          <w:sz w:val="24"/>
          <w:szCs w:val="24"/>
        </w:rPr>
        <w:t>.</w:t>
      </w:r>
      <w:r w:rsidR="00D14A1F" w:rsidRPr="00706BD6">
        <w:rPr>
          <w:rFonts w:cs="Times New Roman"/>
          <w:b/>
          <w:i/>
          <w:sz w:val="24"/>
          <w:szCs w:val="24"/>
        </w:rPr>
        <w:t>I</w:t>
      </w:r>
      <w:r w:rsidR="00777F72" w:rsidRPr="00706BD6">
        <w:rPr>
          <w:rFonts w:cs="Times New Roman"/>
          <w:b/>
          <w:i/>
          <w:sz w:val="24"/>
          <w:szCs w:val="24"/>
        </w:rPr>
        <w:t>.</w:t>
      </w:r>
      <w:r w:rsidR="00D14A1F" w:rsidRPr="00706BD6">
        <w:rPr>
          <w:rFonts w:cs="Times New Roman"/>
          <w:b/>
          <w:i/>
          <w:sz w:val="24"/>
          <w:szCs w:val="24"/>
        </w:rPr>
        <w:t>R</w:t>
      </w:r>
      <w:r w:rsidR="00777F72" w:rsidRPr="00706BD6">
        <w:rPr>
          <w:rFonts w:cs="Times New Roman"/>
          <w:b/>
          <w:i/>
          <w:sz w:val="24"/>
          <w:szCs w:val="24"/>
        </w:rPr>
        <w:t>.</w:t>
      </w:r>
      <w:r w:rsidR="00D14A1F" w:rsidRPr="00706BD6">
        <w:rPr>
          <w:rFonts w:cs="Times New Roman"/>
          <w:b/>
          <w:i/>
          <w:sz w:val="24"/>
          <w:szCs w:val="24"/>
        </w:rPr>
        <w:t xml:space="preserve"> BE STRUCTURED</w:t>
      </w:r>
      <w:r w:rsidR="00DE531E" w:rsidRPr="00706BD6">
        <w:rPr>
          <w:rFonts w:cs="Times New Roman"/>
          <w:b/>
          <w:i/>
          <w:sz w:val="24"/>
          <w:szCs w:val="24"/>
        </w:rPr>
        <w:t>?</w:t>
      </w:r>
    </w:p>
    <w:p w:rsidR="001074DC" w:rsidRDefault="00B96841" w:rsidP="001074DC">
      <w:pPr>
        <w:spacing w:line="480" w:lineRule="auto"/>
        <w:ind w:left="720" w:hanging="720"/>
        <w:rPr>
          <w:rFonts w:cs="Times New Roman"/>
          <w:b/>
          <w:i/>
          <w:sz w:val="24"/>
          <w:szCs w:val="24"/>
        </w:rPr>
      </w:pPr>
      <w:r w:rsidRPr="00706BD6">
        <w:rPr>
          <w:rFonts w:cs="Times New Roman"/>
          <w:b/>
          <w:i/>
          <w:sz w:val="24"/>
          <w:szCs w:val="24"/>
        </w:rPr>
        <w:t>A</w:t>
      </w:r>
      <w:r w:rsidR="007F23B8">
        <w:rPr>
          <w:rFonts w:cs="Times New Roman"/>
          <w:b/>
          <w:i/>
          <w:sz w:val="24"/>
          <w:szCs w:val="24"/>
        </w:rPr>
        <w:t>10</w:t>
      </w:r>
      <w:r w:rsidRPr="00706BD6">
        <w:rPr>
          <w:rFonts w:cs="Times New Roman"/>
          <w:b/>
          <w:i/>
          <w:sz w:val="24"/>
          <w:szCs w:val="24"/>
        </w:rPr>
        <w:t>.</w:t>
      </w:r>
      <w:r w:rsidRPr="00B54B94">
        <w:rPr>
          <w:rFonts w:cs="Times New Roman"/>
          <w:sz w:val="24"/>
          <w:szCs w:val="24"/>
        </w:rPr>
        <w:tab/>
        <w:t xml:space="preserve">The Competition Incentive Rider </w:t>
      </w:r>
      <w:r w:rsidR="006A20F1" w:rsidRPr="00B54B94">
        <w:rPr>
          <w:rFonts w:cs="Times New Roman"/>
          <w:sz w:val="24"/>
          <w:szCs w:val="24"/>
        </w:rPr>
        <w:t xml:space="preserve">would add additional </w:t>
      </w:r>
      <w:r w:rsidR="005B3ED9">
        <w:rPr>
          <w:rFonts w:cs="Times New Roman"/>
          <w:sz w:val="24"/>
          <w:szCs w:val="24"/>
        </w:rPr>
        <w:t>charges</w:t>
      </w:r>
      <w:r w:rsidR="005059C7">
        <w:rPr>
          <w:rFonts w:cs="Times New Roman"/>
          <w:sz w:val="24"/>
          <w:szCs w:val="24"/>
        </w:rPr>
        <w:t xml:space="preserve"> to consumers</w:t>
      </w:r>
      <w:r w:rsidR="006A20F1" w:rsidRPr="00B54B94">
        <w:rPr>
          <w:rFonts w:cs="Times New Roman"/>
          <w:sz w:val="24"/>
          <w:szCs w:val="24"/>
        </w:rPr>
        <w:t xml:space="preserve"> on </w:t>
      </w:r>
      <w:r w:rsidR="00FF4F17" w:rsidRPr="00B54B94">
        <w:rPr>
          <w:rFonts w:cs="Times New Roman"/>
          <w:sz w:val="24"/>
          <w:szCs w:val="24"/>
        </w:rPr>
        <w:t xml:space="preserve">top of the SSO auction price at some </w:t>
      </w:r>
      <w:r w:rsidR="00B930BD" w:rsidRPr="00B54B94">
        <w:rPr>
          <w:rFonts w:cs="Times New Roman"/>
          <w:sz w:val="24"/>
          <w:szCs w:val="24"/>
        </w:rPr>
        <w:t>uncertain</w:t>
      </w:r>
      <w:r w:rsidR="00FF4F17" w:rsidRPr="00B54B94">
        <w:rPr>
          <w:rFonts w:cs="Times New Roman"/>
          <w:sz w:val="24"/>
          <w:szCs w:val="24"/>
        </w:rPr>
        <w:t xml:space="preserve"> level.  </w:t>
      </w:r>
      <w:r w:rsidR="00E23428" w:rsidRPr="00B54B94">
        <w:rPr>
          <w:rFonts w:cs="Times New Roman"/>
          <w:sz w:val="24"/>
          <w:szCs w:val="24"/>
        </w:rPr>
        <w:t>The cost structure of the rider would work in a manner similar to a redistributive tax</w:t>
      </w:r>
      <w:r w:rsidR="005B3ED9">
        <w:rPr>
          <w:rFonts w:cs="Times New Roman"/>
          <w:sz w:val="24"/>
          <w:szCs w:val="24"/>
        </w:rPr>
        <w:t xml:space="preserve"> on consumers</w:t>
      </w:r>
      <w:r w:rsidR="00E23428" w:rsidRPr="00B54B94">
        <w:rPr>
          <w:rFonts w:cs="Times New Roman"/>
          <w:sz w:val="24"/>
          <w:szCs w:val="24"/>
        </w:rPr>
        <w:t xml:space="preserve">.  </w:t>
      </w:r>
      <w:r w:rsidR="00FF4F17" w:rsidRPr="00B54B94">
        <w:rPr>
          <w:rFonts w:cs="Times New Roman"/>
          <w:sz w:val="24"/>
          <w:szCs w:val="24"/>
        </w:rPr>
        <w:t xml:space="preserve">The Stipulation </w:t>
      </w:r>
      <w:r w:rsidR="001B6317" w:rsidRPr="00B54B94">
        <w:rPr>
          <w:rFonts w:cs="Times New Roman"/>
          <w:sz w:val="24"/>
          <w:szCs w:val="24"/>
        </w:rPr>
        <w:t>states that the level</w:t>
      </w:r>
      <w:r w:rsidR="00CD4B92" w:rsidRPr="00B54B94">
        <w:rPr>
          <w:rFonts w:cs="Times New Roman"/>
          <w:sz w:val="24"/>
          <w:szCs w:val="24"/>
        </w:rPr>
        <w:t>, or rate,</w:t>
      </w:r>
      <w:r w:rsidR="001B6317" w:rsidRPr="00B54B94">
        <w:rPr>
          <w:rFonts w:cs="Times New Roman"/>
          <w:sz w:val="24"/>
          <w:szCs w:val="24"/>
        </w:rPr>
        <w:t xml:space="preserve"> of the additional cost </w:t>
      </w:r>
      <w:r w:rsidR="005B3ED9">
        <w:rPr>
          <w:rFonts w:cs="Times New Roman"/>
          <w:sz w:val="24"/>
          <w:szCs w:val="24"/>
        </w:rPr>
        <w:t xml:space="preserve">to be paid by consumers </w:t>
      </w:r>
      <w:r w:rsidR="001B6317" w:rsidRPr="00B54B94">
        <w:rPr>
          <w:rFonts w:cs="Times New Roman"/>
          <w:sz w:val="24"/>
          <w:szCs w:val="24"/>
        </w:rPr>
        <w:t xml:space="preserve">would </w:t>
      </w:r>
      <w:r w:rsidR="00CD4B92" w:rsidRPr="00B54B94">
        <w:rPr>
          <w:rFonts w:cs="Times New Roman"/>
          <w:sz w:val="24"/>
          <w:szCs w:val="24"/>
        </w:rPr>
        <w:t>be set by the S</w:t>
      </w:r>
      <w:r w:rsidR="005B3ED9">
        <w:rPr>
          <w:rFonts w:cs="Times New Roman"/>
          <w:sz w:val="24"/>
          <w:szCs w:val="24"/>
        </w:rPr>
        <w:t>tipulation’s “signatory parties.</w:t>
      </w:r>
      <w:r w:rsidR="00CD4B92" w:rsidRPr="00B54B94">
        <w:rPr>
          <w:rFonts w:cs="Times New Roman"/>
          <w:sz w:val="24"/>
          <w:szCs w:val="24"/>
        </w:rPr>
        <w:t xml:space="preserve">” </w:t>
      </w:r>
      <w:r w:rsidR="0054208D">
        <w:rPr>
          <w:rFonts w:cs="Times New Roman"/>
          <w:sz w:val="24"/>
          <w:szCs w:val="24"/>
        </w:rPr>
        <w:t xml:space="preserve"> </w:t>
      </w:r>
      <w:r w:rsidR="005B3ED9">
        <w:rPr>
          <w:rFonts w:cs="Times New Roman"/>
          <w:sz w:val="24"/>
          <w:szCs w:val="24"/>
        </w:rPr>
        <w:t>A</w:t>
      </w:r>
      <w:r w:rsidR="00CD4B92" w:rsidRPr="00B54B94">
        <w:rPr>
          <w:rFonts w:cs="Times New Roman"/>
          <w:sz w:val="24"/>
          <w:szCs w:val="24"/>
        </w:rPr>
        <w:t>nd in the event that the signatory parties cannot agree upon this rate</w:t>
      </w:r>
      <w:r w:rsidR="005B3ED9">
        <w:rPr>
          <w:rFonts w:cs="Times New Roman"/>
          <w:sz w:val="24"/>
          <w:szCs w:val="24"/>
        </w:rPr>
        <w:t>,</w:t>
      </w:r>
      <w:r w:rsidR="00CD4B92" w:rsidRPr="00B54B94">
        <w:rPr>
          <w:rFonts w:cs="Times New Roman"/>
          <w:sz w:val="24"/>
          <w:szCs w:val="24"/>
        </w:rPr>
        <w:t xml:space="preserve"> the determination would fall to </w:t>
      </w:r>
      <w:r w:rsidR="005B3ED9">
        <w:rPr>
          <w:rFonts w:cs="Times New Roman"/>
          <w:sz w:val="24"/>
          <w:szCs w:val="24"/>
        </w:rPr>
        <w:t>PUCO</w:t>
      </w:r>
      <w:r w:rsidR="00CD4B92" w:rsidRPr="00B54B94">
        <w:rPr>
          <w:rFonts w:cs="Times New Roman"/>
          <w:sz w:val="24"/>
          <w:szCs w:val="24"/>
        </w:rPr>
        <w:t xml:space="preserve"> Staff.  </w:t>
      </w:r>
      <w:r w:rsidR="00D14A1F" w:rsidRPr="00B54B94">
        <w:rPr>
          <w:rFonts w:cs="Times New Roman"/>
          <w:sz w:val="24"/>
          <w:szCs w:val="24"/>
        </w:rPr>
        <w:t xml:space="preserve">The CIR would be bypassable for customers who switch to a </w:t>
      </w:r>
      <w:r w:rsidR="002B7E95">
        <w:rPr>
          <w:rFonts w:cs="Times New Roman"/>
          <w:sz w:val="24"/>
          <w:szCs w:val="24"/>
        </w:rPr>
        <w:t>competitive retail electric supplier (“</w:t>
      </w:r>
      <w:r w:rsidR="00D14A1F" w:rsidRPr="00B54B94">
        <w:rPr>
          <w:rFonts w:cs="Times New Roman"/>
          <w:sz w:val="24"/>
          <w:szCs w:val="24"/>
        </w:rPr>
        <w:t>CRES</w:t>
      </w:r>
      <w:r w:rsidR="002B7E95">
        <w:rPr>
          <w:rFonts w:cs="Times New Roman"/>
          <w:sz w:val="24"/>
          <w:szCs w:val="24"/>
        </w:rPr>
        <w:t>”) provider</w:t>
      </w:r>
      <w:r w:rsidR="00D14A1F" w:rsidRPr="00B54B94">
        <w:rPr>
          <w:rFonts w:cs="Times New Roman"/>
          <w:sz w:val="24"/>
          <w:szCs w:val="24"/>
        </w:rPr>
        <w:t xml:space="preserve">, and all revenues collected from the CIR would </w:t>
      </w:r>
      <w:r w:rsidR="009E06D8" w:rsidRPr="00B54B94">
        <w:rPr>
          <w:rFonts w:cs="Times New Roman"/>
          <w:sz w:val="24"/>
          <w:szCs w:val="24"/>
        </w:rPr>
        <w:t xml:space="preserve">be returned to </w:t>
      </w:r>
      <w:r w:rsidR="00642BC0">
        <w:rPr>
          <w:rFonts w:cs="Times New Roman"/>
          <w:sz w:val="24"/>
          <w:szCs w:val="24"/>
        </w:rPr>
        <w:t>customers</w:t>
      </w:r>
      <w:r w:rsidR="009E06D8" w:rsidRPr="00B54B94">
        <w:rPr>
          <w:rFonts w:cs="Times New Roman"/>
          <w:sz w:val="24"/>
          <w:szCs w:val="24"/>
        </w:rPr>
        <w:t>—both CRES customers and SSO customers equally</w:t>
      </w:r>
      <w:r w:rsidR="00845472" w:rsidRPr="00B54B94">
        <w:rPr>
          <w:rFonts w:cs="Times New Roman"/>
          <w:sz w:val="24"/>
          <w:szCs w:val="24"/>
        </w:rPr>
        <w:t>—via a new rider</w:t>
      </w:r>
      <w:r w:rsidR="009E06D8" w:rsidRPr="00B54B94">
        <w:rPr>
          <w:rFonts w:cs="Times New Roman"/>
          <w:sz w:val="24"/>
          <w:szCs w:val="24"/>
        </w:rPr>
        <w:t>.</w:t>
      </w:r>
      <w:r w:rsidR="001074DC">
        <w:rPr>
          <w:rFonts w:cs="Times New Roman"/>
          <w:b/>
          <w:i/>
          <w:sz w:val="24"/>
          <w:szCs w:val="24"/>
        </w:rPr>
        <w:br w:type="page"/>
      </w:r>
    </w:p>
    <w:p w:rsidR="00B96841" w:rsidRPr="00706BD6" w:rsidRDefault="00777F72" w:rsidP="000A300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1</w:t>
      </w:r>
      <w:r w:rsidR="007F23B8">
        <w:rPr>
          <w:rFonts w:cs="Times New Roman"/>
          <w:b/>
          <w:i/>
          <w:sz w:val="24"/>
          <w:szCs w:val="24"/>
        </w:rPr>
        <w:t>1</w:t>
      </w:r>
      <w:r w:rsidRPr="00706BD6">
        <w:rPr>
          <w:rFonts w:cs="Times New Roman"/>
          <w:b/>
          <w:i/>
          <w:sz w:val="24"/>
          <w:szCs w:val="24"/>
        </w:rPr>
        <w:t>.</w:t>
      </w:r>
      <w:r w:rsidRPr="00706BD6">
        <w:rPr>
          <w:rFonts w:cs="Times New Roman"/>
          <w:b/>
          <w:i/>
          <w:sz w:val="24"/>
          <w:szCs w:val="24"/>
        </w:rPr>
        <w:tab/>
        <w:t>WOULD THE IMPLEMENTATION OF THE C.I.R. AS OUTLINED IN THE STIPULATION VIOLATE ANY IMPORTANT REGULATORY PRINCIPLE OR PRACTICE?</w:t>
      </w:r>
    </w:p>
    <w:p w:rsidR="00934ED7" w:rsidRPr="00B54B94" w:rsidRDefault="00E62346" w:rsidP="009F25F6">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1</w:t>
      </w:r>
      <w:r w:rsidR="007F23B8">
        <w:rPr>
          <w:rFonts w:cs="Times New Roman"/>
          <w:b/>
          <w:i/>
          <w:sz w:val="24"/>
          <w:szCs w:val="24"/>
        </w:rPr>
        <w:t>1</w:t>
      </w:r>
      <w:r w:rsidRPr="00706BD6">
        <w:rPr>
          <w:rFonts w:cs="Times New Roman"/>
          <w:b/>
          <w:i/>
          <w:sz w:val="24"/>
          <w:szCs w:val="24"/>
        </w:rPr>
        <w:t>.</w:t>
      </w:r>
      <w:r w:rsidRPr="00B54B94">
        <w:rPr>
          <w:rFonts w:cs="Times New Roman"/>
          <w:sz w:val="24"/>
          <w:szCs w:val="24"/>
        </w:rPr>
        <w:tab/>
      </w:r>
      <w:r w:rsidR="00EC2C1C" w:rsidRPr="00B54B94">
        <w:rPr>
          <w:rFonts w:cs="Times New Roman"/>
          <w:sz w:val="24"/>
          <w:szCs w:val="24"/>
        </w:rPr>
        <w:t xml:space="preserve">Yes.  </w:t>
      </w:r>
      <w:r w:rsidR="00034046">
        <w:rPr>
          <w:rFonts w:cs="Times New Roman"/>
          <w:sz w:val="24"/>
          <w:szCs w:val="24"/>
        </w:rPr>
        <w:t>Were the PUCO to consider them, it would not even pass muster under the five points</w:t>
      </w:r>
      <w:r w:rsidR="00E87C98" w:rsidRPr="00B54B94">
        <w:rPr>
          <w:rFonts w:cs="Times New Roman"/>
          <w:sz w:val="24"/>
          <w:szCs w:val="24"/>
        </w:rPr>
        <w:t xml:space="preserve"> </w:t>
      </w:r>
      <w:r w:rsidR="00034046">
        <w:rPr>
          <w:rFonts w:cs="Times New Roman"/>
          <w:sz w:val="24"/>
          <w:szCs w:val="24"/>
        </w:rPr>
        <w:t>suggested</w:t>
      </w:r>
      <w:r w:rsidR="00E87C98" w:rsidRPr="00B54B94">
        <w:rPr>
          <w:rFonts w:cs="Times New Roman"/>
          <w:sz w:val="24"/>
          <w:szCs w:val="24"/>
        </w:rPr>
        <w:t xml:space="preserve"> by </w:t>
      </w:r>
      <w:r w:rsidR="0022788C">
        <w:rPr>
          <w:rFonts w:cs="Times New Roman"/>
          <w:sz w:val="24"/>
          <w:szCs w:val="24"/>
        </w:rPr>
        <w:t>AEP Ohio</w:t>
      </w:r>
      <w:r w:rsidR="001074DC">
        <w:rPr>
          <w:rFonts w:cs="Times New Roman"/>
          <w:sz w:val="24"/>
          <w:szCs w:val="24"/>
        </w:rPr>
        <w:t xml:space="preserve"> W</w:t>
      </w:r>
      <w:r w:rsidR="00E87C98" w:rsidRPr="00B54B94">
        <w:rPr>
          <w:rFonts w:cs="Times New Roman"/>
          <w:sz w:val="24"/>
          <w:szCs w:val="24"/>
        </w:rPr>
        <w:t xml:space="preserve">itness Allen in </w:t>
      </w:r>
      <w:r w:rsidR="00B930BD" w:rsidRPr="00B54B94">
        <w:rPr>
          <w:rFonts w:cs="Times New Roman"/>
          <w:sz w:val="24"/>
          <w:szCs w:val="24"/>
        </w:rPr>
        <w:t xml:space="preserve">response to </w:t>
      </w:r>
      <w:r w:rsidR="00E87C98" w:rsidRPr="00B54B94">
        <w:rPr>
          <w:rFonts w:cs="Times New Roman"/>
          <w:sz w:val="24"/>
          <w:szCs w:val="24"/>
        </w:rPr>
        <w:t>interrogatory INT-S1-062</w:t>
      </w:r>
      <w:r w:rsidR="00B930BD" w:rsidRPr="00B54B94">
        <w:rPr>
          <w:rFonts w:cs="Times New Roman"/>
          <w:sz w:val="24"/>
          <w:szCs w:val="24"/>
        </w:rPr>
        <w:t xml:space="preserve">.  </w:t>
      </w:r>
      <w:r w:rsidR="00034046">
        <w:rPr>
          <w:rFonts w:cs="Times New Roman"/>
          <w:sz w:val="24"/>
          <w:szCs w:val="24"/>
        </w:rPr>
        <w:t>That response</w:t>
      </w:r>
      <w:r w:rsidR="00E87C98" w:rsidRPr="00B54B94">
        <w:rPr>
          <w:rFonts w:cs="Times New Roman"/>
          <w:sz w:val="24"/>
          <w:szCs w:val="24"/>
        </w:rPr>
        <w:t xml:space="preserve"> provides </w:t>
      </w:r>
      <w:r w:rsidR="000724D2" w:rsidRPr="00B54B94">
        <w:rPr>
          <w:rFonts w:cs="Times New Roman"/>
          <w:sz w:val="24"/>
          <w:szCs w:val="24"/>
        </w:rPr>
        <w:t>“</w:t>
      </w:r>
      <w:r w:rsidR="00E87C98" w:rsidRPr="00B54B94">
        <w:rPr>
          <w:rFonts w:cs="Times New Roman"/>
          <w:sz w:val="24"/>
          <w:szCs w:val="24"/>
        </w:rPr>
        <w:t>some</w:t>
      </w:r>
      <w:r w:rsidR="000724D2" w:rsidRPr="00B54B94">
        <w:rPr>
          <w:rFonts w:cs="Times New Roman"/>
          <w:sz w:val="24"/>
          <w:szCs w:val="24"/>
        </w:rPr>
        <w:t>” (</w:t>
      </w:r>
      <w:r w:rsidR="00482242" w:rsidRPr="00B54B94">
        <w:rPr>
          <w:rFonts w:cs="Times New Roman"/>
          <w:sz w:val="24"/>
          <w:szCs w:val="24"/>
        </w:rPr>
        <w:t xml:space="preserve">though not </w:t>
      </w:r>
      <w:r w:rsidR="00233BB4" w:rsidRPr="00B54B94">
        <w:rPr>
          <w:rFonts w:cs="Times New Roman"/>
          <w:sz w:val="24"/>
          <w:szCs w:val="24"/>
        </w:rPr>
        <w:t>an exhaustive list)</w:t>
      </w:r>
      <w:r w:rsidR="00E87C98" w:rsidRPr="00B54B94">
        <w:rPr>
          <w:rFonts w:cs="Times New Roman"/>
          <w:sz w:val="24"/>
          <w:szCs w:val="24"/>
        </w:rPr>
        <w:t xml:space="preserve"> of the important regulatory principles the Commission</w:t>
      </w:r>
      <w:r w:rsidR="00B930BD" w:rsidRPr="00B54B94">
        <w:rPr>
          <w:rFonts w:cs="Times New Roman"/>
          <w:sz w:val="24"/>
          <w:szCs w:val="24"/>
        </w:rPr>
        <w:t>, according to AEP Ohio,</w:t>
      </w:r>
      <w:r w:rsidR="00E87C98" w:rsidRPr="00B54B94">
        <w:rPr>
          <w:rFonts w:cs="Times New Roman"/>
          <w:sz w:val="24"/>
          <w:szCs w:val="24"/>
        </w:rPr>
        <w:t xml:space="preserve"> should include </w:t>
      </w:r>
      <w:r w:rsidR="002D4C2E" w:rsidRPr="00B54B94">
        <w:rPr>
          <w:rFonts w:cs="Times New Roman"/>
          <w:sz w:val="24"/>
          <w:szCs w:val="24"/>
        </w:rPr>
        <w:t xml:space="preserve">for evaluating the second prong of the </w:t>
      </w:r>
      <w:r w:rsidR="00104904" w:rsidRPr="00B54B94">
        <w:rPr>
          <w:rFonts w:cs="Times New Roman"/>
          <w:sz w:val="24"/>
          <w:szCs w:val="24"/>
        </w:rPr>
        <w:t>PUCO’s three-prong test for approval of a stipulation.</w:t>
      </w:r>
    </w:p>
    <w:p w:rsidR="009F25F6" w:rsidRPr="00B54B94" w:rsidRDefault="009F25F6" w:rsidP="007E46DB">
      <w:pPr>
        <w:pStyle w:val="ListParagraph"/>
        <w:numPr>
          <w:ilvl w:val="0"/>
          <w:numId w:val="5"/>
        </w:numPr>
        <w:spacing w:line="480" w:lineRule="auto"/>
        <w:ind w:left="1440" w:right="720" w:hanging="720"/>
        <w:rPr>
          <w:rFonts w:cs="Times New Roman"/>
          <w:sz w:val="24"/>
          <w:szCs w:val="24"/>
        </w:rPr>
      </w:pPr>
      <w:r w:rsidRPr="00B54B94">
        <w:rPr>
          <w:rFonts w:cs="Times New Roman"/>
          <w:sz w:val="24"/>
          <w:szCs w:val="24"/>
        </w:rPr>
        <w:t xml:space="preserve">The first regulatory principle </w:t>
      </w:r>
      <w:r w:rsidR="0022788C">
        <w:rPr>
          <w:rFonts w:cs="Times New Roman"/>
          <w:sz w:val="24"/>
          <w:szCs w:val="24"/>
        </w:rPr>
        <w:t>AEP Ohio</w:t>
      </w:r>
      <w:r w:rsidRPr="00B54B94">
        <w:rPr>
          <w:rFonts w:cs="Times New Roman"/>
          <w:sz w:val="24"/>
          <w:szCs w:val="24"/>
        </w:rPr>
        <w:t xml:space="preserve"> </w:t>
      </w:r>
      <w:r w:rsidR="005B3ED9">
        <w:rPr>
          <w:rFonts w:cs="Times New Roman"/>
          <w:sz w:val="24"/>
          <w:szCs w:val="24"/>
        </w:rPr>
        <w:t>asserts</w:t>
      </w:r>
      <w:r w:rsidRPr="00B54B94">
        <w:rPr>
          <w:rFonts w:cs="Times New Roman"/>
          <w:sz w:val="24"/>
          <w:szCs w:val="24"/>
        </w:rPr>
        <w:t xml:space="preserve"> is that “Rates and rate structure should not be more complex than they need to be.”</w:t>
      </w:r>
    </w:p>
    <w:p w:rsidR="00934ED7" w:rsidRPr="00FF2738" w:rsidRDefault="004E3529" w:rsidP="007E46DB">
      <w:pPr>
        <w:pStyle w:val="ListParagraph"/>
        <w:numPr>
          <w:ilvl w:val="1"/>
          <w:numId w:val="5"/>
        </w:numPr>
        <w:spacing w:line="480" w:lineRule="auto"/>
        <w:ind w:left="2160" w:right="720" w:hanging="720"/>
        <w:rPr>
          <w:rFonts w:cs="Times New Roman"/>
          <w:sz w:val="24"/>
          <w:szCs w:val="24"/>
        </w:rPr>
      </w:pPr>
      <w:r w:rsidRPr="00FF2738">
        <w:rPr>
          <w:rFonts w:cs="Times New Roman"/>
          <w:sz w:val="24"/>
          <w:szCs w:val="24"/>
        </w:rPr>
        <w:t xml:space="preserve">The addition of an exogenous charge on SSO customers above the SSO auction price </w:t>
      </w:r>
      <w:r w:rsidR="00B930BD" w:rsidRPr="00FF2738">
        <w:rPr>
          <w:rFonts w:cs="Times New Roman"/>
          <w:sz w:val="24"/>
          <w:szCs w:val="24"/>
        </w:rPr>
        <w:t xml:space="preserve">adds </w:t>
      </w:r>
      <w:r w:rsidRPr="00FF2738">
        <w:rPr>
          <w:rFonts w:cs="Times New Roman"/>
          <w:sz w:val="24"/>
          <w:szCs w:val="24"/>
        </w:rPr>
        <w:t>further complexity to an already complex rate-setting scheme</w:t>
      </w:r>
      <w:r w:rsidR="005B3ED9">
        <w:rPr>
          <w:rFonts w:cs="Times New Roman"/>
          <w:sz w:val="24"/>
          <w:szCs w:val="24"/>
        </w:rPr>
        <w:t xml:space="preserve"> for consumers</w:t>
      </w:r>
      <w:r w:rsidRPr="00FF2738">
        <w:rPr>
          <w:rFonts w:cs="Times New Roman"/>
          <w:sz w:val="24"/>
          <w:szCs w:val="24"/>
        </w:rPr>
        <w:t xml:space="preserve">.  </w:t>
      </w:r>
      <w:r w:rsidR="004F5157" w:rsidRPr="00FF2738">
        <w:rPr>
          <w:rFonts w:cs="Times New Roman"/>
          <w:sz w:val="24"/>
          <w:szCs w:val="24"/>
        </w:rPr>
        <w:t xml:space="preserve">No analysis has been provided to the </w:t>
      </w:r>
      <w:r w:rsidR="005B3ED9">
        <w:rPr>
          <w:rFonts w:cs="Times New Roman"/>
          <w:sz w:val="24"/>
          <w:szCs w:val="24"/>
        </w:rPr>
        <w:t>PUCO</w:t>
      </w:r>
      <w:r w:rsidR="004F5157" w:rsidRPr="00FF2738">
        <w:rPr>
          <w:rFonts w:cs="Times New Roman"/>
          <w:sz w:val="24"/>
          <w:szCs w:val="24"/>
        </w:rPr>
        <w:t xml:space="preserve">, to my knowledge, </w:t>
      </w:r>
      <w:r w:rsidR="005B3ED9">
        <w:rPr>
          <w:rFonts w:cs="Times New Roman"/>
          <w:sz w:val="24"/>
          <w:szCs w:val="24"/>
        </w:rPr>
        <w:t>with</w:t>
      </w:r>
      <w:r w:rsidR="004F5157" w:rsidRPr="00FF2738">
        <w:rPr>
          <w:rFonts w:cs="Times New Roman"/>
          <w:sz w:val="24"/>
          <w:szCs w:val="24"/>
        </w:rPr>
        <w:t xml:space="preserve"> the rationale for this added complexity to SSO customer rates, or the added complexity of determining redistribution </w:t>
      </w:r>
      <w:r w:rsidR="00676447" w:rsidRPr="00FF2738">
        <w:rPr>
          <w:rFonts w:cs="Times New Roman"/>
          <w:sz w:val="24"/>
          <w:szCs w:val="24"/>
        </w:rPr>
        <w:t>mechanisms for revenues collected under this proposed rider.</w:t>
      </w:r>
    </w:p>
    <w:p w:rsidR="004E3529" w:rsidRPr="00B54B94" w:rsidRDefault="004E3529" w:rsidP="007E46DB">
      <w:pPr>
        <w:pStyle w:val="ListParagraph"/>
        <w:numPr>
          <w:ilvl w:val="0"/>
          <w:numId w:val="5"/>
        </w:numPr>
        <w:spacing w:line="480" w:lineRule="auto"/>
        <w:ind w:left="1440" w:right="720" w:hanging="720"/>
        <w:rPr>
          <w:rFonts w:cs="Times New Roman"/>
          <w:sz w:val="24"/>
          <w:szCs w:val="24"/>
        </w:rPr>
      </w:pPr>
      <w:r w:rsidRPr="00B54B94">
        <w:rPr>
          <w:rFonts w:cs="Times New Roman"/>
          <w:sz w:val="24"/>
          <w:szCs w:val="24"/>
        </w:rPr>
        <w:t xml:space="preserve">The second regulatory principle that </w:t>
      </w:r>
      <w:r w:rsidR="0022788C">
        <w:rPr>
          <w:rFonts w:cs="Times New Roman"/>
          <w:sz w:val="24"/>
          <w:szCs w:val="24"/>
        </w:rPr>
        <w:t>AEP Ohio</w:t>
      </w:r>
      <w:r w:rsidRPr="00B54B94">
        <w:rPr>
          <w:rFonts w:cs="Times New Roman"/>
          <w:sz w:val="24"/>
          <w:szCs w:val="24"/>
        </w:rPr>
        <w:t xml:space="preserve"> </w:t>
      </w:r>
      <w:r w:rsidR="00676447" w:rsidRPr="00B54B94">
        <w:rPr>
          <w:rFonts w:cs="Times New Roman"/>
          <w:sz w:val="24"/>
          <w:szCs w:val="24"/>
        </w:rPr>
        <w:t>provides is that “Rates should be</w:t>
      </w:r>
      <w:r w:rsidR="00FF2738">
        <w:rPr>
          <w:rFonts w:cs="Times New Roman"/>
          <w:sz w:val="24"/>
          <w:szCs w:val="24"/>
        </w:rPr>
        <w:t xml:space="preserve"> conducive to rate stability.”</w:t>
      </w:r>
    </w:p>
    <w:p w:rsidR="008547C0" w:rsidRPr="00B54B94" w:rsidRDefault="008A601C" w:rsidP="007E46DB">
      <w:pPr>
        <w:pStyle w:val="ListParagraph"/>
        <w:numPr>
          <w:ilvl w:val="1"/>
          <w:numId w:val="5"/>
        </w:numPr>
        <w:spacing w:line="480" w:lineRule="auto"/>
        <w:ind w:left="2160" w:right="720" w:hanging="720"/>
        <w:rPr>
          <w:rFonts w:cs="Times New Roman"/>
          <w:sz w:val="24"/>
          <w:szCs w:val="24"/>
        </w:rPr>
      </w:pPr>
      <w:r w:rsidRPr="00B54B94">
        <w:rPr>
          <w:rFonts w:cs="Times New Roman"/>
          <w:sz w:val="24"/>
          <w:szCs w:val="24"/>
        </w:rPr>
        <w:t>There is no evidence to suggest that the CIR will be conducive to rate stability.  According to the most recent PUCO switch rate assessment</w:t>
      </w:r>
      <w:r w:rsidR="008439FE" w:rsidRPr="00B54B94">
        <w:rPr>
          <w:rStyle w:val="FootnoteReference"/>
          <w:rFonts w:cs="Times New Roman"/>
          <w:sz w:val="24"/>
          <w:szCs w:val="24"/>
        </w:rPr>
        <w:footnoteReference w:id="4"/>
      </w:r>
      <w:r w:rsidR="00CC2DCC" w:rsidRPr="00B54B94">
        <w:rPr>
          <w:rFonts w:cs="Times New Roman"/>
          <w:sz w:val="24"/>
          <w:szCs w:val="24"/>
        </w:rPr>
        <w:t xml:space="preserve"> the percentages of customers in the AEP Ohio service area who have switched to CRES providers are 33</w:t>
      </w:r>
      <w:r w:rsidR="005059C7">
        <w:rPr>
          <w:rFonts w:cs="Times New Roman"/>
          <w:sz w:val="24"/>
          <w:szCs w:val="24"/>
        </w:rPr>
        <w:t xml:space="preserve"> percent</w:t>
      </w:r>
      <w:r w:rsidR="005059C7" w:rsidRPr="00B54B94">
        <w:rPr>
          <w:rFonts w:cs="Times New Roman"/>
          <w:sz w:val="24"/>
          <w:szCs w:val="24"/>
        </w:rPr>
        <w:t xml:space="preserve">, </w:t>
      </w:r>
      <w:r w:rsidR="00CC2DCC" w:rsidRPr="00B54B94">
        <w:rPr>
          <w:rFonts w:cs="Times New Roman"/>
          <w:sz w:val="24"/>
          <w:szCs w:val="24"/>
        </w:rPr>
        <w:t>52</w:t>
      </w:r>
      <w:r w:rsidR="005059C7">
        <w:rPr>
          <w:rFonts w:cs="Times New Roman"/>
          <w:sz w:val="24"/>
          <w:szCs w:val="24"/>
        </w:rPr>
        <w:t xml:space="preserve"> percent</w:t>
      </w:r>
      <w:r w:rsidR="00B930BD" w:rsidRPr="00B54B94">
        <w:rPr>
          <w:rFonts w:cs="Times New Roman"/>
          <w:sz w:val="24"/>
          <w:szCs w:val="24"/>
        </w:rPr>
        <w:t>,</w:t>
      </w:r>
      <w:r w:rsidR="00CC2DCC" w:rsidRPr="00B54B94">
        <w:rPr>
          <w:rFonts w:cs="Times New Roman"/>
          <w:sz w:val="24"/>
          <w:szCs w:val="24"/>
        </w:rPr>
        <w:t xml:space="preserve"> and 52</w:t>
      </w:r>
      <w:r w:rsidR="005059C7">
        <w:rPr>
          <w:rFonts w:cs="Times New Roman"/>
          <w:sz w:val="24"/>
          <w:szCs w:val="24"/>
        </w:rPr>
        <w:t xml:space="preserve"> percent</w:t>
      </w:r>
      <w:r w:rsidR="00CC2DCC" w:rsidRPr="00B54B94">
        <w:rPr>
          <w:rFonts w:cs="Times New Roman"/>
          <w:sz w:val="24"/>
          <w:szCs w:val="24"/>
        </w:rPr>
        <w:t>, respectively</w:t>
      </w:r>
      <w:r w:rsidR="00B930BD" w:rsidRPr="00B54B94">
        <w:rPr>
          <w:rFonts w:cs="Times New Roman"/>
          <w:sz w:val="24"/>
          <w:szCs w:val="24"/>
        </w:rPr>
        <w:t>,</w:t>
      </w:r>
      <w:r w:rsidR="00CC2DCC" w:rsidRPr="00B54B94">
        <w:rPr>
          <w:rFonts w:cs="Times New Roman"/>
          <w:sz w:val="24"/>
          <w:szCs w:val="24"/>
        </w:rPr>
        <w:t xml:space="preserve"> for residential, commer</w:t>
      </w:r>
      <w:r w:rsidR="002873F6" w:rsidRPr="00B54B94">
        <w:rPr>
          <w:rFonts w:cs="Times New Roman"/>
          <w:sz w:val="24"/>
          <w:szCs w:val="24"/>
        </w:rPr>
        <w:t>cial</w:t>
      </w:r>
      <w:r w:rsidR="00B930BD" w:rsidRPr="00B54B94">
        <w:rPr>
          <w:rFonts w:cs="Times New Roman"/>
          <w:sz w:val="24"/>
          <w:szCs w:val="24"/>
        </w:rPr>
        <w:t>,</w:t>
      </w:r>
      <w:r w:rsidR="002873F6" w:rsidRPr="00B54B94">
        <w:rPr>
          <w:rFonts w:cs="Times New Roman"/>
          <w:sz w:val="24"/>
          <w:szCs w:val="24"/>
        </w:rPr>
        <w:t xml:space="preserve"> and industrial customers.  </w:t>
      </w:r>
      <w:r w:rsidR="00ED2C81" w:rsidRPr="00B54B94">
        <w:rPr>
          <w:rFonts w:cs="Times New Roman"/>
          <w:sz w:val="24"/>
          <w:szCs w:val="24"/>
        </w:rPr>
        <w:t>The percentage of customers who switch to CRES providers will likely be positively related to the CIR rate, and I see no guarantee in the Stipulation that the CIR rate will remain steady once set.  A</w:t>
      </w:r>
      <w:r w:rsidR="00A1645D" w:rsidRPr="00B54B94">
        <w:rPr>
          <w:rFonts w:cs="Times New Roman"/>
          <w:sz w:val="24"/>
          <w:szCs w:val="24"/>
        </w:rPr>
        <w:t xml:space="preserve"> fluctuating CIR rate is likely to induce </w:t>
      </w:r>
      <w:r w:rsidR="00137CDA">
        <w:rPr>
          <w:rFonts w:cs="Times New Roman"/>
          <w:sz w:val="24"/>
          <w:szCs w:val="24"/>
        </w:rPr>
        <w:t xml:space="preserve">inefficiently </w:t>
      </w:r>
      <w:r w:rsidR="00A1645D" w:rsidRPr="00B54B94">
        <w:rPr>
          <w:rFonts w:cs="Times New Roman"/>
          <w:sz w:val="24"/>
          <w:szCs w:val="24"/>
        </w:rPr>
        <w:t xml:space="preserve">high rates of switching </w:t>
      </w:r>
      <w:r w:rsidR="00137CDA">
        <w:rPr>
          <w:rFonts w:cs="Times New Roman"/>
          <w:sz w:val="24"/>
          <w:szCs w:val="24"/>
        </w:rPr>
        <w:t>to</w:t>
      </w:r>
      <w:r w:rsidR="00A1645D" w:rsidRPr="00B54B94">
        <w:rPr>
          <w:rFonts w:cs="Times New Roman"/>
          <w:sz w:val="24"/>
          <w:szCs w:val="24"/>
        </w:rPr>
        <w:t xml:space="preserve"> CRES </w:t>
      </w:r>
      <w:r w:rsidR="00560A64">
        <w:rPr>
          <w:rFonts w:cs="Times New Roman"/>
          <w:sz w:val="24"/>
          <w:szCs w:val="24"/>
        </w:rPr>
        <w:t>providers</w:t>
      </w:r>
      <w:r w:rsidR="00A1645D" w:rsidRPr="00B54B94">
        <w:rPr>
          <w:rFonts w:cs="Times New Roman"/>
          <w:sz w:val="24"/>
          <w:szCs w:val="24"/>
        </w:rPr>
        <w:t xml:space="preserve">, which given the transaction costs incurred in switching (e.g., opportunity cost of time, review of new contract terms and conditions, </w:t>
      </w:r>
      <w:r w:rsidR="002B7E95">
        <w:rPr>
          <w:rFonts w:cs="Times New Roman"/>
          <w:sz w:val="24"/>
          <w:szCs w:val="24"/>
        </w:rPr>
        <w:t xml:space="preserve">and </w:t>
      </w:r>
      <w:r w:rsidR="00A1645D" w:rsidRPr="00B54B94">
        <w:rPr>
          <w:rFonts w:cs="Times New Roman"/>
          <w:sz w:val="24"/>
          <w:szCs w:val="24"/>
        </w:rPr>
        <w:t>cancellation fees), is counter to the public interest.</w:t>
      </w:r>
      <w:r w:rsidR="00E434AC" w:rsidRPr="00B54B94">
        <w:rPr>
          <w:rFonts w:cs="Times New Roman"/>
          <w:sz w:val="24"/>
          <w:szCs w:val="24"/>
        </w:rPr>
        <w:t xml:space="preserve">  </w:t>
      </w:r>
      <w:r w:rsidR="00ED2C81" w:rsidRPr="00B54B94">
        <w:rPr>
          <w:rFonts w:cs="Times New Roman"/>
          <w:sz w:val="24"/>
          <w:szCs w:val="24"/>
        </w:rPr>
        <w:t xml:space="preserve">Moreover, the </w:t>
      </w:r>
      <w:r w:rsidR="005B3ED9">
        <w:rPr>
          <w:rFonts w:cs="Times New Roman"/>
          <w:sz w:val="24"/>
          <w:szCs w:val="24"/>
        </w:rPr>
        <w:t>PUCO</w:t>
      </w:r>
      <w:r w:rsidR="00ED2C81" w:rsidRPr="00B54B94">
        <w:rPr>
          <w:rFonts w:cs="Times New Roman"/>
          <w:sz w:val="24"/>
          <w:szCs w:val="24"/>
        </w:rPr>
        <w:t>, to my knowledge, has not been provided any assessments of the impact that such a tax would have on rate stability.</w:t>
      </w:r>
    </w:p>
    <w:p w:rsidR="000C7ABE" w:rsidRPr="00B54B94" w:rsidRDefault="000C7ABE" w:rsidP="007E46DB">
      <w:pPr>
        <w:pStyle w:val="ListParagraph"/>
        <w:numPr>
          <w:ilvl w:val="0"/>
          <w:numId w:val="5"/>
        </w:numPr>
        <w:spacing w:line="480" w:lineRule="auto"/>
        <w:ind w:left="1440" w:right="720" w:hanging="720"/>
        <w:rPr>
          <w:rFonts w:cs="Times New Roman"/>
          <w:sz w:val="24"/>
          <w:szCs w:val="24"/>
        </w:rPr>
      </w:pPr>
      <w:r w:rsidRPr="00B54B94">
        <w:rPr>
          <w:rFonts w:cs="Times New Roman"/>
          <w:sz w:val="24"/>
          <w:szCs w:val="24"/>
        </w:rPr>
        <w:t xml:space="preserve">The third regulatory principle that </w:t>
      </w:r>
      <w:r w:rsidR="0022788C">
        <w:rPr>
          <w:rFonts w:cs="Times New Roman"/>
          <w:sz w:val="24"/>
          <w:szCs w:val="24"/>
        </w:rPr>
        <w:t>AEP Ohio</w:t>
      </w:r>
      <w:r w:rsidRPr="00B54B94">
        <w:rPr>
          <w:rFonts w:cs="Times New Roman"/>
          <w:sz w:val="24"/>
          <w:szCs w:val="24"/>
        </w:rPr>
        <w:t xml:space="preserve"> provides is that “rates should be fair across customer classes.”</w:t>
      </w:r>
    </w:p>
    <w:p w:rsidR="000C7ABE" w:rsidRPr="00B54B94" w:rsidRDefault="003A2EDA" w:rsidP="007E46DB">
      <w:pPr>
        <w:pStyle w:val="ListParagraph"/>
        <w:numPr>
          <w:ilvl w:val="1"/>
          <w:numId w:val="5"/>
        </w:numPr>
        <w:spacing w:line="480" w:lineRule="auto"/>
        <w:ind w:left="2160" w:right="720" w:hanging="720"/>
        <w:rPr>
          <w:rFonts w:cs="Times New Roman"/>
          <w:sz w:val="24"/>
          <w:szCs w:val="24"/>
        </w:rPr>
      </w:pPr>
      <w:r w:rsidRPr="00B54B94">
        <w:rPr>
          <w:rFonts w:cs="Times New Roman"/>
          <w:sz w:val="24"/>
          <w:szCs w:val="24"/>
        </w:rPr>
        <w:t>The CIR is a tax on SSO customers that is refunded to all customers (</w:t>
      </w:r>
      <w:r w:rsidR="005B3ED9">
        <w:rPr>
          <w:rFonts w:cs="Times New Roman"/>
          <w:sz w:val="24"/>
          <w:szCs w:val="24"/>
        </w:rPr>
        <w:t>those on AEP Ohio’s standard service offer and those who are CRES customers</w:t>
      </w:r>
      <w:r w:rsidRPr="00B54B94">
        <w:rPr>
          <w:rFonts w:cs="Times New Roman"/>
          <w:sz w:val="24"/>
          <w:szCs w:val="24"/>
        </w:rPr>
        <w:t xml:space="preserve">).  By its definition, SSO customers </w:t>
      </w:r>
      <w:r w:rsidR="00B326FA" w:rsidRPr="00B54B94">
        <w:rPr>
          <w:rFonts w:cs="Times New Roman"/>
          <w:sz w:val="24"/>
          <w:szCs w:val="24"/>
        </w:rPr>
        <w:t xml:space="preserve">would </w:t>
      </w:r>
      <w:r w:rsidRPr="00B54B94">
        <w:rPr>
          <w:rFonts w:cs="Times New Roman"/>
          <w:sz w:val="24"/>
          <w:szCs w:val="24"/>
        </w:rPr>
        <w:t xml:space="preserve">bear </w:t>
      </w:r>
      <w:r w:rsidR="00B326FA" w:rsidRPr="00B54B94">
        <w:rPr>
          <w:rFonts w:cs="Times New Roman"/>
          <w:sz w:val="24"/>
          <w:szCs w:val="24"/>
        </w:rPr>
        <w:t>a disproportionate burden of the CIR charge</w:t>
      </w:r>
      <w:r w:rsidR="005B3ED9">
        <w:rPr>
          <w:rFonts w:cs="Times New Roman"/>
          <w:sz w:val="24"/>
          <w:szCs w:val="24"/>
        </w:rPr>
        <w:t>, so it is unfair to them</w:t>
      </w:r>
      <w:r w:rsidR="00B326FA" w:rsidRPr="00B54B94">
        <w:rPr>
          <w:rFonts w:cs="Times New Roman"/>
          <w:sz w:val="24"/>
          <w:szCs w:val="24"/>
        </w:rPr>
        <w:t xml:space="preserve">.  </w:t>
      </w:r>
    </w:p>
    <w:p w:rsidR="003D04CA" w:rsidRPr="00B54B94" w:rsidRDefault="003D04CA" w:rsidP="007E46DB">
      <w:pPr>
        <w:pStyle w:val="ListParagraph"/>
        <w:numPr>
          <w:ilvl w:val="0"/>
          <w:numId w:val="5"/>
        </w:numPr>
        <w:spacing w:line="480" w:lineRule="auto"/>
        <w:ind w:left="1440" w:right="720" w:hanging="720"/>
        <w:rPr>
          <w:rFonts w:cs="Times New Roman"/>
          <w:sz w:val="24"/>
          <w:szCs w:val="24"/>
        </w:rPr>
      </w:pPr>
      <w:r w:rsidRPr="00B54B94">
        <w:rPr>
          <w:rFonts w:cs="Times New Roman"/>
          <w:sz w:val="24"/>
          <w:szCs w:val="24"/>
        </w:rPr>
        <w:t xml:space="preserve">The fourth regulatory principle </w:t>
      </w:r>
      <w:r w:rsidR="0022788C">
        <w:rPr>
          <w:rFonts w:cs="Times New Roman"/>
          <w:sz w:val="24"/>
          <w:szCs w:val="24"/>
        </w:rPr>
        <w:t>AEP Ohio</w:t>
      </w:r>
      <w:r w:rsidRPr="00B54B94">
        <w:rPr>
          <w:rFonts w:cs="Times New Roman"/>
          <w:sz w:val="24"/>
          <w:szCs w:val="24"/>
        </w:rPr>
        <w:t xml:space="preserve"> provides is that “rates </w:t>
      </w:r>
      <w:r w:rsidR="00F61886" w:rsidRPr="00B54B94">
        <w:rPr>
          <w:rFonts w:cs="Times New Roman"/>
          <w:sz w:val="24"/>
          <w:szCs w:val="24"/>
        </w:rPr>
        <w:t>should not be unduly discriminatory.”</w:t>
      </w:r>
    </w:p>
    <w:p w:rsidR="00F61886" w:rsidRPr="00B54B94" w:rsidRDefault="005B3ED9" w:rsidP="007E46DB">
      <w:pPr>
        <w:pStyle w:val="ListParagraph"/>
        <w:numPr>
          <w:ilvl w:val="1"/>
          <w:numId w:val="5"/>
        </w:numPr>
        <w:spacing w:line="480" w:lineRule="auto"/>
        <w:ind w:left="2160" w:right="720" w:hanging="720"/>
        <w:rPr>
          <w:rFonts w:cs="Times New Roman"/>
          <w:sz w:val="24"/>
          <w:szCs w:val="24"/>
        </w:rPr>
      </w:pPr>
      <w:r>
        <w:rPr>
          <w:rFonts w:cs="Times New Roman"/>
          <w:sz w:val="24"/>
          <w:szCs w:val="24"/>
        </w:rPr>
        <w:t xml:space="preserve">My answer to item </w:t>
      </w:r>
      <w:r w:rsidR="00F61886" w:rsidRPr="00B54B94">
        <w:rPr>
          <w:rFonts w:cs="Times New Roman"/>
          <w:sz w:val="24"/>
          <w:szCs w:val="24"/>
        </w:rPr>
        <w:t>3a</w:t>
      </w:r>
      <w:r>
        <w:rPr>
          <w:rFonts w:cs="Times New Roman"/>
          <w:sz w:val="24"/>
          <w:szCs w:val="24"/>
        </w:rPr>
        <w:t xml:space="preserve"> is applicable</w:t>
      </w:r>
      <w:r w:rsidR="00F61886" w:rsidRPr="00B54B94">
        <w:rPr>
          <w:rFonts w:cs="Times New Roman"/>
          <w:sz w:val="24"/>
          <w:szCs w:val="24"/>
        </w:rPr>
        <w:t>.</w:t>
      </w:r>
    </w:p>
    <w:p w:rsidR="00F61886" w:rsidRPr="00B54B94" w:rsidRDefault="00797849" w:rsidP="007E46DB">
      <w:pPr>
        <w:pStyle w:val="ListParagraph"/>
        <w:numPr>
          <w:ilvl w:val="0"/>
          <w:numId w:val="5"/>
        </w:numPr>
        <w:spacing w:line="480" w:lineRule="auto"/>
        <w:ind w:left="1440" w:right="720" w:hanging="720"/>
        <w:rPr>
          <w:rFonts w:cs="Times New Roman"/>
          <w:sz w:val="24"/>
          <w:szCs w:val="24"/>
        </w:rPr>
      </w:pPr>
      <w:r w:rsidRPr="00B54B94">
        <w:rPr>
          <w:rFonts w:cs="Times New Roman"/>
          <w:sz w:val="24"/>
          <w:szCs w:val="24"/>
        </w:rPr>
        <w:t xml:space="preserve">The fifth regulatory principle that </w:t>
      </w:r>
      <w:r w:rsidR="0022788C">
        <w:rPr>
          <w:rFonts w:cs="Times New Roman"/>
          <w:sz w:val="24"/>
          <w:szCs w:val="24"/>
        </w:rPr>
        <w:t>AEP Ohio</w:t>
      </w:r>
      <w:r w:rsidRPr="00B54B94">
        <w:rPr>
          <w:rFonts w:cs="Times New Roman"/>
          <w:sz w:val="24"/>
          <w:szCs w:val="24"/>
        </w:rPr>
        <w:t xml:space="preserve"> </w:t>
      </w:r>
      <w:r w:rsidR="00BD7883" w:rsidRPr="00B54B94">
        <w:rPr>
          <w:rFonts w:cs="Times New Roman"/>
          <w:sz w:val="24"/>
          <w:szCs w:val="24"/>
        </w:rPr>
        <w:t>provides is that “rates should be economically efficient.”</w:t>
      </w:r>
    </w:p>
    <w:p w:rsidR="007E46DB" w:rsidRDefault="006F128E" w:rsidP="007E46DB">
      <w:pPr>
        <w:pStyle w:val="ListParagraph"/>
        <w:numPr>
          <w:ilvl w:val="1"/>
          <w:numId w:val="5"/>
        </w:numPr>
        <w:spacing w:line="480" w:lineRule="auto"/>
        <w:ind w:left="2160" w:right="720" w:hanging="720"/>
        <w:rPr>
          <w:rFonts w:cs="Times New Roman"/>
          <w:sz w:val="24"/>
          <w:szCs w:val="24"/>
        </w:rPr>
      </w:pPr>
      <w:r w:rsidRPr="00FF2738">
        <w:rPr>
          <w:rFonts w:cs="Times New Roman"/>
          <w:sz w:val="24"/>
          <w:szCs w:val="24"/>
        </w:rPr>
        <w:t xml:space="preserve">While </w:t>
      </w:r>
      <w:r w:rsidR="0022788C">
        <w:rPr>
          <w:rFonts w:cs="Times New Roman"/>
          <w:sz w:val="24"/>
          <w:szCs w:val="24"/>
        </w:rPr>
        <w:t>AEP Ohio</w:t>
      </w:r>
      <w:r w:rsidRPr="00FF2738">
        <w:rPr>
          <w:rFonts w:cs="Times New Roman"/>
          <w:sz w:val="24"/>
          <w:szCs w:val="24"/>
        </w:rPr>
        <w:t xml:space="preserve"> does not provide a definition of economic efficiency, it is standard practice to measure economic efficiency by </w:t>
      </w:r>
      <w:r w:rsidR="00F75363" w:rsidRPr="00FF2738">
        <w:rPr>
          <w:rFonts w:cs="Times New Roman"/>
          <w:sz w:val="24"/>
          <w:szCs w:val="24"/>
        </w:rPr>
        <w:t>deadweight loss</w:t>
      </w:r>
      <w:r w:rsidR="00937280" w:rsidRPr="00B54B94">
        <w:rPr>
          <w:rStyle w:val="FootnoteReference"/>
          <w:rFonts w:cs="Times New Roman"/>
          <w:sz w:val="24"/>
          <w:szCs w:val="24"/>
        </w:rPr>
        <w:footnoteReference w:id="5"/>
      </w:r>
      <w:r w:rsidR="00F75363" w:rsidRPr="00FF2738">
        <w:rPr>
          <w:rFonts w:cs="Times New Roman"/>
          <w:sz w:val="24"/>
          <w:szCs w:val="24"/>
        </w:rPr>
        <w:t xml:space="preserve"> and consumer surplus.</w:t>
      </w:r>
      <w:r w:rsidR="00B22831" w:rsidRPr="00B54B94">
        <w:rPr>
          <w:rStyle w:val="FootnoteReference"/>
          <w:rFonts w:cs="Times New Roman"/>
          <w:sz w:val="24"/>
          <w:szCs w:val="24"/>
        </w:rPr>
        <w:footnoteReference w:id="6"/>
      </w:r>
      <w:r w:rsidR="00F75363" w:rsidRPr="00FF2738">
        <w:rPr>
          <w:rFonts w:cs="Times New Roman"/>
          <w:sz w:val="24"/>
          <w:szCs w:val="24"/>
        </w:rPr>
        <w:t xml:space="preserve">  </w:t>
      </w:r>
      <w:r w:rsidR="001873EE" w:rsidRPr="00FF2738">
        <w:rPr>
          <w:rFonts w:cs="Times New Roman"/>
          <w:sz w:val="24"/>
          <w:szCs w:val="24"/>
        </w:rPr>
        <w:t xml:space="preserve">All taxes generate some deadweight loss because they discourage consumption and increase the costs of production, which can have larger </w:t>
      </w:r>
      <w:r w:rsidR="004C5681" w:rsidRPr="00FF2738">
        <w:rPr>
          <w:rFonts w:cs="Times New Roman"/>
          <w:sz w:val="24"/>
          <w:szCs w:val="24"/>
        </w:rPr>
        <w:t xml:space="preserve">adverse </w:t>
      </w:r>
      <w:r w:rsidR="001873EE" w:rsidRPr="00FF2738">
        <w:rPr>
          <w:rFonts w:cs="Times New Roman"/>
          <w:sz w:val="24"/>
          <w:szCs w:val="24"/>
        </w:rPr>
        <w:t>macroeconomic consequences.  Increasing the cost of electricity to SSO customers will result in some degree of diminished consumer surplus for households, and some degree of producer surplus for commercial and industrial customers.</w:t>
      </w:r>
    </w:p>
    <w:p w:rsidR="007E46DB" w:rsidRDefault="003C6A0E" w:rsidP="007E46DB">
      <w:pPr>
        <w:pStyle w:val="ListParagraph"/>
        <w:numPr>
          <w:ilvl w:val="1"/>
          <w:numId w:val="5"/>
        </w:numPr>
        <w:spacing w:line="480" w:lineRule="auto"/>
        <w:ind w:left="2160" w:right="720" w:hanging="720"/>
        <w:rPr>
          <w:rFonts w:cs="Times New Roman"/>
          <w:sz w:val="24"/>
          <w:szCs w:val="24"/>
        </w:rPr>
      </w:pPr>
      <w:r w:rsidRPr="00B445F3">
        <w:rPr>
          <w:rFonts w:cs="Times New Roman"/>
          <w:sz w:val="24"/>
          <w:szCs w:val="24"/>
        </w:rPr>
        <w:t xml:space="preserve">Additionally, </w:t>
      </w:r>
      <w:r w:rsidR="00BF2DD8" w:rsidRPr="00B445F3">
        <w:rPr>
          <w:rFonts w:cs="Times New Roman"/>
          <w:sz w:val="24"/>
          <w:szCs w:val="24"/>
        </w:rPr>
        <w:t xml:space="preserve">it is likely that the CIR tax on SSO customers will diminish the incentives of CRES providers to offer a truly competitive price to attract SSO customers.  CRES providers would have an incentive to raise their rates by some amount up to the CIR rate.  </w:t>
      </w:r>
      <w:r w:rsidR="002B545B" w:rsidRPr="00B445F3">
        <w:rPr>
          <w:rFonts w:cs="Times New Roman"/>
          <w:sz w:val="24"/>
          <w:szCs w:val="24"/>
        </w:rPr>
        <w:t xml:space="preserve">This would provide a distortionary effect on </w:t>
      </w:r>
      <w:r w:rsidR="005B3ED9">
        <w:rPr>
          <w:rFonts w:cs="Times New Roman"/>
          <w:sz w:val="24"/>
          <w:szCs w:val="24"/>
        </w:rPr>
        <w:t xml:space="preserve">the </w:t>
      </w:r>
      <w:r w:rsidR="002B545B" w:rsidRPr="00B445F3">
        <w:rPr>
          <w:rFonts w:cs="Times New Roman"/>
          <w:sz w:val="24"/>
          <w:szCs w:val="24"/>
        </w:rPr>
        <w:t>rates</w:t>
      </w:r>
      <w:r w:rsidR="005B3ED9">
        <w:rPr>
          <w:rFonts w:cs="Times New Roman"/>
          <w:sz w:val="24"/>
          <w:szCs w:val="24"/>
        </w:rPr>
        <w:t xml:space="preserve"> customers pay</w:t>
      </w:r>
      <w:r w:rsidR="002B545B" w:rsidRPr="00B445F3">
        <w:rPr>
          <w:rFonts w:cs="Times New Roman"/>
          <w:sz w:val="24"/>
          <w:szCs w:val="24"/>
        </w:rPr>
        <w:t xml:space="preserve">.  </w:t>
      </w:r>
      <w:r w:rsidR="00DF23DC" w:rsidRPr="00B445F3">
        <w:rPr>
          <w:rFonts w:cs="Times New Roman"/>
          <w:sz w:val="24"/>
          <w:szCs w:val="24"/>
        </w:rPr>
        <w:t>Depending upon the magnitude of the CIR rate, that price increase could be substantial</w:t>
      </w:r>
      <w:r w:rsidR="005B3ED9">
        <w:rPr>
          <w:rFonts w:cs="Times New Roman"/>
          <w:sz w:val="24"/>
          <w:szCs w:val="24"/>
        </w:rPr>
        <w:t xml:space="preserve"> for consumers</w:t>
      </w:r>
      <w:r w:rsidR="00DF23DC" w:rsidRPr="00B445F3">
        <w:rPr>
          <w:rFonts w:cs="Times New Roman"/>
          <w:sz w:val="24"/>
          <w:szCs w:val="24"/>
        </w:rPr>
        <w:t>.  However, even if that price increase is minimal, the regulatory principle of economic</w:t>
      </w:r>
      <w:r w:rsidR="00B33EF2" w:rsidRPr="00B445F3">
        <w:rPr>
          <w:rFonts w:cs="Times New Roman"/>
          <w:sz w:val="24"/>
          <w:szCs w:val="24"/>
        </w:rPr>
        <w:t xml:space="preserve"> efficiency would be violated if CRES prices were set by anything other than comp</w:t>
      </w:r>
      <w:r w:rsidR="00CA0CDF" w:rsidRPr="00B445F3">
        <w:rPr>
          <w:rFonts w:cs="Times New Roman"/>
          <w:sz w:val="24"/>
          <w:szCs w:val="24"/>
        </w:rPr>
        <w:t xml:space="preserve">etitive rates.  </w:t>
      </w:r>
      <w:r w:rsidR="00BD09B7" w:rsidRPr="00B445F3">
        <w:rPr>
          <w:rFonts w:cs="Times New Roman"/>
          <w:sz w:val="24"/>
          <w:szCs w:val="24"/>
        </w:rPr>
        <w:t>In other words, prices that are either above or below the equilibrium price that would occur in an efficient competitive market are not economically efficient</w:t>
      </w:r>
      <w:r w:rsidR="005B3ED9">
        <w:rPr>
          <w:rFonts w:cs="Times New Roman"/>
          <w:sz w:val="24"/>
          <w:szCs w:val="24"/>
        </w:rPr>
        <w:t xml:space="preserve"> for customers</w:t>
      </w:r>
      <w:r w:rsidR="00BD09B7" w:rsidRPr="00B445F3">
        <w:rPr>
          <w:rFonts w:cs="Times New Roman"/>
          <w:sz w:val="24"/>
          <w:szCs w:val="24"/>
        </w:rPr>
        <w:t>.</w:t>
      </w:r>
    </w:p>
    <w:p w:rsidR="00B445F3" w:rsidRPr="007E46DB" w:rsidRDefault="00B445F3" w:rsidP="007E46DB">
      <w:pPr>
        <w:spacing w:line="480" w:lineRule="auto"/>
        <w:ind w:left="1440" w:right="720"/>
        <w:rPr>
          <w:rFonts w:cs="Times New Roman"/>
          <w:sz w:val="24"/>
          <w:szCs w:val="24"/>
        </w:rPr>
      </w:pPr>
    </w:p>
    <w:p w:rsidR="00E4574F" w:rsidRPr="00706BD6" w:rsidRDefault="00E4574F" w:rsidP="00B445F3">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1</w:t>
      </w:r>
      <w:r w:rsidR="007F23B8">
        <w:rPr>
          <w:rFonts w:cs="Times New Roman"/>
          <w:b/>
          <w:i/>
          <w:sz w:val="24"/>
          <w:szCs w:val="24"/>
        </w:rPr>
        <w:t>2</w:t>
      </w:r>
      <w:r w:rsidRPr="00706BD6">
        <w:rPr>
          <w:rFonts w:cs="Times New Roman"/>
          <w:b/>
          <w:i/>
          <w:sz w:val="24"/>
          <w:szCs w:val="24"/>
        </w:rPr>
        <w:t>.</w:t>
      </w:r>
      <w:r w:rsidRPr="00706BD6">
        <w:rPr>
          <w:rFonts w:cs="Times New Roman"/>
          <w:b/>
          <w:i/>
          <w:sz w:val="24"/>
          <w:szCs w:val="24"/>
        </w:rPr>
        <w:tab/>
        <w:t xml:space="preserve">WOULD THE IMPLEMENTATION OF THE C.I.R. AS OUTLINED IN THE STIPULATION VIOLATE ANY </w:t>
      </w:r>
      <w:r w:rsidR="00C12309" w:rsidRPr="00706BD6">
        <w:rPr>
          <w:rFonts w:cs="Times New Roman"/>
          <w:b/>
          <w:i/>
          <w:sz w:val="24"/>
          <w:szCs w:val="24"/>
        </w:rPr>
        <w:t xml:space="preserve">OTHER </w:t>
      </w:r>
      <w:r w:rsidRPr="00706BD6">
        <w:rPr>
          <w:rFonts w:cs="Times New Roman"/>
          <w:b/>
          <w:i/>
          <w:sz w:val="24"/>
          <w:szCs w:val="24"/>
        </w:rPr>
        <w:t>IMPORTANT R</w:t>
      </w:r>
      <w:r w:rsidR="00C12309" w:rsidRPr="00706BD6">
        <w:rPr>
          <w:rFonts w:cs="Times New Roman"/>
          <w:b/>
          <w:i/>
          <w:sz w:val="24"/>
          <w:szCs w:val="24"/>
        </w:rPr>
        <w:t xml:space="preserve">EGULATORY PRINCIPLE OR PRACTICE BEYOND THOSE SUGGESTED BY </w:t>
      </w:r>
      <w:r w:rsidR="0022788C">
        <w:rPr>
          <w:rFonts w:cs="Times New Roman"/>
          <w:b/>
          <w:i/>
          <w:sz w:val="24"/>
          <w:szCs w:val="24"/>
        </w:rPr>
        <w:t>AEP OHIO</w:t>
      </w:r>
      <w:r w:rsidR="00C12309" w:rsidRPr="00706BD6">
        <w:rPr>
          <w:rFonts w:cs="Times New Roman"/>
          <w:b/>
          <w:i/>
          <w:sz w:val="24"/>
          <w:szCs w:val="24"/>
        </w:rPr>
        <w:t xml:space="preserve"> IN THIS CASE?</w:t>
      </w:r>
    </w:p>
    <w:p w:rsidR="001074DC" w:rsidRDefault="00645DE0" w:rsidP="001074DC">
      <w:pPr>
        <w:spacing w:line="480" w:lineRule="auto"/>
        <w:ind w:left="720" w:hanging="720"/>
        <w:rPr>
          <w:rFonts w:cs="Times New Roman"/>
          <w:b/>
          <w:i/>
          <w:sz w:val="24"/>
          <w:szCs w:val="24"/>
        </w:rPr>
      </w:pPr>
      <w:r w:rsidRPr="00706BD6">
        <w:rPr>
          <w:rFonts w:cs="Times New Roman"/>
          <w:b/>
          <w:i/>
          <w:sz w:val="24"/>
          <w:szCs w:val="24"/>
        </w:rPr>
        <w:t>A</w:t>
      </w:r>
      <w:r w:rsidR="00706BD6" w:rsidRPr="00706BD6">
        <w:rPr>
          <w:rFonts w:cs="Times New Roman"/>
          <w:b/>
          <w:i/>
          <w:sz w:val="24"/>
          <w:szCs w:val="24"/>
        </w:rPr>
        <w:t>1</w:t>
      </w:r>
      <w:r w:rsidR="007F23B8">
        <w:rPr>
          <w:rFonts w:cs="Times New Roman"/>
          <w:b/>
          <w:i/>
          <w:sz w:val="24"/>
          <w:szCs w:val="24"/>
        </w:rPr>
        <w:t>2</w:t>
      </w:r>
      <w:r w:rsidRPr="00706BD6">
        <w:rPr>
          <w:rFonts w:cs="Times New Roman"/>
          <w:b/>
          <w:i/>
          <w:sz w:val="24"/>
          <w:szCs w:val="24"/>
        </w:rPr>
        <w:t>.</w:t>
      </w:r>
      <w:r w:rsidRPr="00B54B94">
        <w:rPr>
          <w:rFonts w:cs="Times New Roman"/>
          <w:sz w:val="24"/>
          <w:szCs w:val="24"/>
        </w:rPr>
        <w:tab/>
      </w:r>
      <w:r w:rsidR="00B63BA3" w:rsidRPr="00B54B94">
        <w:rPr>
          <w:rFonts w:cs="Times New Roman"/>
          <w:sz w:val="24"/>
          <w:szCs w:val="24"/>
        </w:rPr>
        <w:t>Yes</w:t>
      </w:r>
      <w:r w:rsidR="009C2DC2" w:rsidRPr="00B54B94">
        <w:rPr>
          <w:rFonts w:cs="Times New Roman"/>
          <w:sz w:val="24"/>
          <w:szCs w:val="24"/>
        </w:rPr>
        <w:t xml:space="preserve">.  The Stipulation calls for the “signatory parties” to set the </w:t>
      </w:r>
      <w:r w:rsidR="00F86E76" w:rsidRPr="00B54B94">
        <w:rPr>
          <w:rFonts w:cs="Times New Roman"/>
          <w:sz w:val="24"/>
          <w:szCs w:val="24"/>
        </w:rPr>
        <w:t xml:space="preserve">CIR tax rate </w:t>
      </w:r>
      <w:r w:rsidR="00BB5365" w:rsidRPr="00B54B94">
        <w:rPr>
          <w:rFonts w:cs="Times New Roman"/>
          <w:sz w:val="24"/>
          <w:szCs w:val="24"/>
        </w:rPr>
        <w:t>based on mills per KWh, and no additional methodology is outlined in the Stipulation.  The signatory parties include private firms</w:t>
      </w:r>
      <w:r w:rsidR="00A71953" w:rsidRPr="00B54B94">
        <w:rPr>
          <w:rFonts w:cs="Times New Roman"/>
          <w:sz w:val="24"/>
          <w:szCs w:val="24"/>
        </w:rPr>
        <w:t xml:space="preserve">, wholesale market participants, as well as </w:t>
      </w:r>
      <w:r w:rsidR="00BB5365" w:rsidRPr="00B54B94">
        <w:rPr>
          <w:rFonts w:cs="Times New Roman"/>
          <w:sz w:val="24"/>
          <w:szCs w:val="24"/>
        </w:rPr>
        <w:t xml:space="preserve">CRES providers.  </w:t>
      </w:r>
      <w:r w:rsidR="00340648" w:rsidRPr="00B54B94">
        <w:rPr>
          <w:rFonts w:cs="Times New Roman"/>
          <w:sz w:val="24"/>
          <w:szCs w:val="24"/>
        </w:rPr>
        <w:t xml:space="preserve">If approved by the </w:t>
      </w:r>
      <w:r w:rsidR="00660AA7">
        <w:rPr>
          <w:rFonts w:cs="Times New Roman"/>
          <w:sz w:val="24"/>
          <w:szCs w:val="24"/>
        </w:rPr>
        <w:t>PUCO</w:t>
      </w:r>
      <w:r w:rsidR="00340648" w:rsidRPr="00B54B94">
        <w:rPr>
          <w:rFonts w:cs="Times New Roman"/>
          <w:sz w:val="24"/>
          <w:szCs w:val="24"/>
        </w:rPr>
        <w:t>, this provision would allow priv</w:t>
      </w:r>
      <w:r w:rsidR="00A71953" w:rsidRPr="00B54B94">
        <w:rPr>
          <w:rFonts w:cs="Times New Roman"/>
          <w:sz w:val="24"/>
          <w:szCs w:val="24"/>
        </w:rPr>
        <w:t>ate entities to set a tax rate.</w:t>
      </w:r>
      <w:r w:rsidR="001074DC">
        <w:rPr>
          <w:rFonts w:cs="Times New Roman"/>
          <w:b/>
          <w:i/>
          <w:sz w:val="24"/>
          <w:szCs w:val="24"/>
        </w:rPr>
        <w:br w:type="page"/>
      </w:r>
    </w:p>
    <w:p w:rsidR="000D53EA" w:rsidRPr="00706BD6" w:rsidRDefault="000D53EA" w:rsidP="000D53E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1</w:t>
      </w:r>
      <w:r w:rsidR="007F23B8">
        <w:rPr>
          <w:rFonts w:cs="Times New Roman"/>
          <w:b/>
          <w:i/>
          <w:sz w:val="24"/>
          <w:szCs w:val="24"/>
        </w:rPr>
        <w:t>3</w:t>
      </w:r>
      <w:r w:rsidRPr="00706BD6">
        <w:rPr>
          <w:rFonts w:cs="Times New Roman"/>
          <w:b/>
          <w:i/>
          <w:sz w:val="24"/>
          <w:szCs w:val="24"/>
        </w:rPr>
        <w:t>.</w:t>
      </w:r>
      <w:r w:rsidRPr="00706BD6">
        <w:rPr>
          <w:rFonts w:cs="Times New Roman"/>
          <w:b/>
          <w:i/>
          <w:sz w:val="24"/>
          <w:szCs w:val="24"/>
        </w:rPr>
        <w:tab/>
        <w:t xml:space="preserve">WOULD THE IMPLEMENTATION OF THE C.I.R. AS OUTLINED IN THE STIPULATION BE OF BENEFIT TO </w:t>
      </w:r>
      <w:r w:rsidR="00660AA7">
        <w:rPr>
          <w:rFonts w:cs="Times New Roman"/>
          <w:b/>
          <w:i/>
          <w:sz w:val="24"/>
          <w:szCs w:val="24"/>
        </w:rPr>
        <w:t>CONSUMERS</w:t>
      </w:r>
      <w:r w:rsidRPr="00706BD6">
        <w:rPr>
          <w:rFonts w:cs="Times New Roman"/>
          <w:b/>
          <w:i/>
          <w:sz w:val="24"/>
          <w:szCs w:val="24"/>
        </w:rPr>
        <w:t xml:space="preserve"> AND THE PUBLIC INTEREST?</w:t>
      </w:r>
    </w:p>
    <w:p w:rsidR="007F61B5" w:rsidRDefault="00881BB7" w:rsidP="000D53EA">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1</w:t>
      </w:r>
      <w:r w:rsidR="007F23B8">
        <w:rPr>
          <w:rFonts w:cs="Times New Roman"/>
          <w:b/>
          <w:i/>
          <w:sz w:val="24"/>
          <w:szCs w:val="24"/>
        </w:rPr>
        <w:t>3</w:t>
      </w:r>
      <w:r w:rsidRPr="00706BD6">
        <w:rPr>
          <w:rFonts w:cs="Times New Roman"/>
          <w:b/>
          <w:i/>
          <w:sz w:val="24"/>
          <w:szCs w:val="24"/>
        </w:rPr>
        <w:t>.</w:t>
      </w:r>
      <w:r w:rsidRPr="00B54B94">
        <w:rPr>
          <w:rFonts w:cs="Times New Roman"/>
          <w:sz w:val="24"/>
          <w:szCs w:val="24"/>
        </w:rPr>
        <w:tab/>
        <w:t xml:space="preserve">No.  An additional rider on customer bills would add yet another layer of complexity and cost to businesses and households who are already struggling through a difficult </w:t>
      </w:r>
      <w:r w:rsidR="00660AA7">
        <w:rPr>
          <w:rFonts w:cs="Times New Roman"/>
          <w:sz w:val="24"/>
          <w:szCs w:val="24"/>
        </w:rPr>
        <w:t xml:space="preserve">economic </w:t>
      </w:r>
      <w:r w:rsidRPr="00B54B94">
        <w:rPr>
          <w:rFonts w:cs="Times New Roman"/>
          <w:sz w:val="24"/>
          <w:szCs w:val="24"/>
        </w:rPr>
        <w:t xml:space="preserve">recovery.  </w:t>
      </w:r>
      <w:r w:rsidR="006467DF" w:rsidRPr="00B54B94">
        <w:rPr>
          <w:rFonts w:cs="Times New Roman"/>
          <w:sz w:val="24"/>
          <w:szCs w:val="24"/>
        </w:rPr>
        <w:t xml:space="preserve">Customers </w:t>
      </w:r>
      <w:r w:rsidR="002B7E95">
        <w:rPr>
          <w:rFonts w:cs="Times New Roman"/>
          <w:sz w:val="24"/>
          <w:szCs w:val="24"/>
        </w:rPr>
        <w:t xml:space="preserve">today </w:t>
      </w:r>
      <w:r w:rsidR="006467DF" w:rsidRPr="00B54B94">
        <w:rPr>
          <w:rFonts w:cs="Times New Roman"/>
          <w:sz w:val="24"/>
          <w:szCs w:val="24"/>
        </w:rPr>
        <w:t>are already faced with complex rider mechanisms on their energy bills that th</w:t>
      </w:r>
      <w:r w:rsidR="000E35B2" w:rsidRPr="00B54B94">
        <w:rPr>
          <w:rFonts w:cs="Times New Roman"/>
          <w:sz w:val="24"/>
          <w:szCs w:val="24"/>
        </w:rPr>
        <w:t xml:space="preserve">ey do not understand completely.  The CIR would provide an energy tax that would likely raise both </w:t>
      </w:r>
      <w:r w:rsidR="00660AA7">
        <w:rPr>
          <w:rFonts w:cs="Times New Roman"/>
          <w:sz w:val="24"/>
          <w:szCs w:val="24"/>
        </w:rPr>
        <w:t xml:space="preserve">AEP Ohio’s </w:t>
      </w:r>
      <w:r w:rsidR="000E35B2" w:rsidRPr="00B54B94">
        <w:rPr>
          <w:rFonts w:cs="Times New Roman"/>
          <w:sz w:val="24"/>
          <w:szCs w:val="24"/>
        </w:rPr>
        <w:t xml:space="preserve">SSO and CRES rates, and increase energy costs to businesses and households.  Moreover, these additional costs on Ohio manufacturers would likely have an adverse effect on the Ohio economy, including employment and gross state product.  </w:t>
      </w:r>
      <w:r w:rsidR="005338AB" w:rsidRPr="00B54B94">
        <w:rPr>
          <w:rFonts w:cs="Times New Roman"/>
          <w:sz w:val="24"/>
          <w:szCs w:val="24"/>
        </w:rPr>
        <w:t>This would be directly counter to the public interest.</w:t>
      </w:r>
    </w:p>
    <w:p w:rsidR="007E46DB" w:rsidRPr="00B54B94" w:rsidRDefault="007E46DB" w:rsidP="000D53EA">
      <w:pPr>
        <w:spacing w:line="480" w:lineRule="auto"/>
        <w:ind w:left="720" w:hanging="720"/>
        <w:rPr>
          <w:rFonts w:cs="Times New Roman"/>
          <w:sz w:val="24"/>
          <w:szCs w:val="24"/>
        </w:rPr>
      </w:pPr>
    </w:p>
    <w:p w:rsidR="007F61B5" w:rsidRPr="00706BD6" w:rsidRDefault="009B7347" w:rsidP="000D53E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1</w:t>
      </w:r>
      <w:r w:rsidR="007F23B8">
        <w:rPr>
          <w:rFonts w:cs="Times New Roman"/>
          <w:b/>
          <w:i/>
          <w:sz w:val="24"/>
          <w:szCs w:val="24"/>
        </w:rPr>
        <w:t>4</w:t>
      </w:r>
      <w:r w:rsidR="001074DC">
        <w:rPr>
          <w:rFonts w:cs="Times New Roman"/>
          <w:b/>
          <w:i/>
          <w:sz w:val="24"/>
          <w:szCs w:val="24"/>
        </w:rPr>
        <w:t>.</w:t>
      </w:r>
      <w:r w:rsidRPr="00706BD6">
        <w:rPr>
          <w:rFonts w:cs="Times New Roman"/>
          <w:b/>
          <w:i/>
          <w:sz w:val="24"/>
          <w:szCs w:val="24"/>
        </w:rPr>
        <w:tab/>
        <w:t xml:space="preserve">THE STIPULATION PROVIDES FOR </w:t>
      </w:r>
      <w:r w:rsidR="00660AA7">
        <w:rPr>
          <w:rFonts w:cs="Times New Roman"/>
          <w:b/>
          <w:i/>
          <w:sz w:val="24"/>
          <w:szCs w:val="24"/>
        </w:rPr>
        <w:t>FINANCIAL BENEFITS</w:t>
      </w:r>
      <w:r w:rsidR="00B24ECD" w:rsidRPr="00706BD6">
        <w:rPr>
          <w:rFonts w:cs="Times New Roman"/>
          <w:b/>
          <w:i/>
          <w:sz w:val="24"/>
          <w:szCs w:val="24"/>
        </w:rPr>
        <w:t xml:space="preserve"> TO SPECIFIC SIGNATORY PARTIES.  CAN YOU SUMMARIZE A FEW OF THESE?</w:t>
      </w:r>
    </w:p>
    <w:p w:rsidR="00684AE3" w:rsidRPr="00B54B94" w:rsidRDefault="00B24ECD" w:rsidP="000D53EA">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1</w:t>
      </w:r>
      <w:r w:rsidR="007F23B8">
        <w:rPr>
          <w:rFonts w:cs="Times New Roman"/>
          <w:b/>
          <w:i/>
          <w:sz w:val="24"/>
          <w:szCs w:val="24"/>
        </w:rPr>
        <w:t>4</w:t>
      </w:r>
      <w:r w:rsidRPr="00706BD6">
        <w:rPr>
          <w:rFonts w:cs="Times New Roman"/>
          <w:b/>
          <w:i/>
          <w:sz w:val="24"/>
          <w:szCs w:val="24"/>
        </w:rPr>
        <w:t>.</w:t>
      </w:r>
      <w:r w:rsidRPr="00B54B94">
        <w:rPr>
          <w:rFonts w:cs="Times New Roman"/>
          <w:sz w:val="24"/>
          <w:szCs w:val="24"/>
        </w:rPr>
        <w:tab/>
        <w:t xml:space="preserve">Sure.  </w:t>
      </w:r>
      <w:r w:rsidR="006829DA" w:rsidRPr="00B54B94">
        <w:rPr>
          <w:rFonts w:cs="Times New Roman"/>
          <w:sz w:val="24"/>
          <w:szCs w:val="24"/>
        </w:rPr>
        <w:t>The Stipulation provides a $10/MWh discount to automakers in the AEP Ohio service area, which is capped at $500</w:t>
      </w:r>
      <w:r w:rsidR="00660AA7">
        <w:rPr>
          <w:rFonts w:cs="Times New Roman"/>
          <w:sz w:val="24"/>
          <w:szCs w:val="24"/>
        </w:rPr>
        <w:t>,000</w:t>
      </w:r>
      <w:r w:rsidR="006829DA" w:rsidRPr="00B54B94">
        <w:rPr>
          <w:rFonts w:cs="Times New Roman"/>
          <w:sz w:val="24"/>
          <w:szCs w:val="24"/>
        </w:rPr>
        <w:t xml:space="preserve"> per year.  The Stipulation provides Ohio Partners for Affordable Energy (OPAE) with $200</w:t>
      </w:r>
      <w:r w:rsidR="00660AA7">
        <w:rPr>
          <w:rFonts w:cs="Times New Roman"/>
          <w:sz w:val="24"/>
          <w:szCs w:val="24"/>
        </w:rPr>
        <w:t>,000</w:t>
      </w:r>
      <w:r w:rsidR="006829DA" w:rsidRPr="00B54B94">
        <w:rPr>
          <w:rFonts w:cs="Times New Roman"/>
          <w:sz w:val="24"/>
          <w:szCs w:val="24"/>
        </w:rPr>
        <w:t xml:space="preserve"> to manage a Community Assistance Program (CAP) that will have an annual budget of $8 million.  </w:t>
      </w:r>
      <w:r w:rsidR="00EB2E2F" w:rsidRPr="00B54B94">
        <w:rPr>
          <w:rFonts w:cs="Times New Roman"/>
          <w:sz w:val="24"/>
          <w:szCs w:val="24"/>
        </w:rPr>
        <w:t>The Stipulation provides the Ohio Hospital Association (OHA) with $400</w:t>
      </w:r>
      <w:r w:rsidR="00660AA7">
        <w:rPr>
          <w:rFonts w:cs="Times New Roman"/>
          <w:sz w:val="24"/>
          <w:szCs w:val="24"/>
        </w:rPr>
        <w:t>,000</w:t>
      </w:r>
      <w:r w:rsidR="00EB2E2F" w:rsidRPr="00B54B94">
        <w:rPr>
          <w:rFonts w:cs="Times New Roman"/>
          <w:sz w:val="24"/>
          <w:szCs w:val="24"/>
        </w:rPr>
        <w:t xml:space="preserve"> per year in energy efficiency/peak demand reduction (EE/PDR)</w:t>
      </w:r>
      <w:r w:rsidR="00BC22EC" w:rsidRPr="00B54B94">
        <w:rPr>
          <w:rFonts w:cs="Times New Roman"/>
          <w:sz w:val="24"/>
          <w:szCs w:val="24"/>
        </w:rPr>
        <w:t xml:space="preserve"> funding</w:t>
      </w:r>
      <w:r w:rsidR="00EB2E2F" w:rsidRPr="00B54B94">
        <w:rPr>
          <w:rFonts w:cs="Times New Roman"/>
          <w:sz w:val="24"/>
          <w:szCs w:val="24"/>
        </w:rPr>
        <w:t xml:space="preserve">, and provides for collaboration between </w:t>
      </w:r>
      <w:r w:rsidR="0022788C">
        <w:rPr>
          <w:rFonts w:cs="Times New Roman"/>
          <w:sz w:val="24"/>
          <w:szCs w:val="24"/>
        </w:rPr>
        <w:t>AEP Ohio</w:t>
      </w:r>
      <w:r w:rsidR="00EB2E2F" w:rsidRPr="00B54B94">
        <w:rPr>
          <w:rFonts w:cs="Times New Roman"/>
          <w:sz w:val="24"/>
          <w:szCs w:val="24"/>
        </w:rPr>
        <w:t xml:space="preserve"> and OHA on how to distribute an additional amount of up to $600</w:t>
      </w:r>
      <w:r w:rsidR="00660AA7">
        <w:rPr>
          <w:rFonts w:cs="Times New Roman"/>
          <w:sz w:val="24"/>
          <w:szCs w:val="24"/>
        </w:rPr>
        <w:t>,000</w:t>
      </w:r>
      <w:r w:rsidR="00EB2E2F" w:rsidRPr="00B54B94">
        <w:rPr>
          <w:rFonts w:cs="Times New Roman"/>
          <w:sz w:val="24"/>
          <w:szCs w:val="24"/>
        </w:rPr>
        <w:t xml:space="preserve"> per year in EE/PDR funding.</w:t>
      </w:r>
      <w:r w:rsidR="001956ED" w:rsidRPr="00B54B94">
        <w:rPr>
          <w:rStyle w:val="FootnoteReference"/>
          <w:rFonts w:cs="Times New Roman"/>
          <w:sz w:val="24"/>
          <w:szCs w:val="24"/>
        </w:rPr>
        <w:footnoteReference w:id="7"/>
      </w:r>
    </w:p>
    <w:p w:rsidR="001956ED" w:rsidRPr="00B54B94" w:rsidRDefault="001956ED" w:rsidP="000D53EA">
      <w:pPr>
        <w:spacing w:line="480" w:lineRule="auto"/>
        <w:ind w:left="720" w:hanging="720"/>
        <w:rPr>
          <w:rFonts w:cs="Times New Roman"/>
          <w:sz w:val="24"/>
          <w:szCs w:val="24"/>
        </w:rPr>
      </w:pPr>
    </w:p>
    <w:p w:rsidR="006C20BF" w:rsidRPr="00706BD6" w:rsidRDefault="006C20BF" w:rsidP="000D53E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1</w:t>
      </w:r>
      <w:r w:rsidR="007F23B8">
        <w:rPr>
          <w:rFonts w:cs="Times New Roman"/>
          <w:b/>
          <w:i/>
          <w:sz w:val="24"/>
          <w:szCs w:val="24"/>
        </w:rPr>
        <w:t>5</w:t>
      </w:r>
      <w:r w:rsidRPr="00706BD6">
        <w:rPr>
          <w:rFonts w:cs="Times New Roman"/>
          <w:b/>
          <w:i/>
          <w:sz w:val="24"/>
          <w:szCs w:val="24"/>
        </w:rPr>
        <w:t>.</w:t>
      </w:r>
      <w:r w:rsidRPr="00706BD6">
        <w:rPr>
          <w:rFonts w:cs="Times New Roman"/>
          <w:b/>
          <w:i/>
          <w:sz w:val="24"/>
          <w:szCs w:val="24"/>
        </w:rPr>
        <w:tab/>
        <w:t xml:space="preserve">DO THESE CONCENTRATED INCENTIVES BENEFIT </w:t>
      </w:r>
      <w:r w:rsidR="002B7E95">
        <w:rPr>
          <w:rFonts w:cs="Times New Roman"/>
          <w:b/>
          <w:i/>
          <w:sz w:val="24"/>
          <w:szCs w:val="24"/>
        </w:rPr>
        <w:t>CUSTOMERS</w:t>
      </w:r>
      <w:r w:rsidRPr="00706BD6">
        <w:rPr>
          <w:rFonts w:cs="Times New Roman"/>
          <w:b/>
          <w:i/>
          <w:sz w:val="24"/>
          <w:szCs w:val="24"/>
        </w:rPr>
        <w:t xml:space="preserve"> AND THE PUBLIC INTEREST?</w:t>
      </w:r>
    </w:p>
    <w:p w:rsidR="0054208D" w:rsidRDefault="000C0763" w:rsidP="000D53EA">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1</w:t>
      </w:r>
      <w:r w:rsidR="007F23B8">
        <w:rPr>
          <w:rFonts w:cs="Times New Roman"/>
          <w:b/>
          <w:i/>
          <w:sz w:val="24"/>
          <w:szCs w:val="24"/>
        </w:rPr>
        <w:t>5</w:t>
      </w:r>
      <w:r w:rsidRPr="00706BD6">
        <w:rPr>
          <w:rFonts w:cs="Times New Roman"/>
          <w:b/>
          <w:i/>
          <w:sz w:val="24"/>
          <w:szCs w:val="24"/>
        </w:rPr>
        <w:t>.</w:t>
      </w:r>
      <w:r w:rsidRPr="00B54B94">
        <w:rPr>
          <w:rFonts w:cs="Times New Roman"/>
          <w:sz w:val="24"/>
          <w:szCs w:val="24"/>
        </w:rPr>
        <w:tab/>
      </w:r>
      <w:r w:rsidR="00625A41">
        <w:rPr>
          <w:rFonts w:cs="Times New Roman"/>
          <w:sz w:val="24"/>
          <w:szCs w:val="24"/>
        </w:rPr>
        <w:t>Unfortunately, these incentives provide limited benefits to relatively few while the overwhelming majority of customers are left with the costs of paying for the purchase power agreement and various other terms of the Stipulation</w:t>
      </w:r>
      <w:r w:rsidR="002B7E95">
        <w:rPr>
          <w:rFonts w:cs="Times New Roman"/>
          <w:sz w:val="24"/>
          <w:szCs w:val="24"/>
        </w:rPr>
        <w:t>.</w:t>
      </w:r>
      <w:r w:rsidR="0054208D">
        <w:rPr>
          <w:rFonts w:cs="Times New Roman"/>
          <w:sz w:val="24"/>
          <w:szCs w:val="24"/>
        </w:rPr>
        <w:t xml:space="preserve"> </w:t>
      </w:r>
      <w:r w:rsidR="002B7E95">
        <w:rPr>
          <w:rFonts w:cs="Times New Roman"/>
          <w:sz w:val="24"/>
          <w:szCs w:val="24"/>
        </w:rPr>
        <w:t xml:space="preserve"> </w:t>
      </w:r>
      <w:r w:rsidR="0060589D" w:rsidRPr="00B54B94">
        <w:rPr>
          <w:rFonts w:cs="Times New Roman"/>
          <w:sz w:val="24"/>
          <w:szCs w:val="24"/>
        </w:rPr>
        <w:t>If the Stipulation is approved by the Commission, t</w:t>
      </w:r>
      <w:r w:rsidR="0046367D" w:rsidRPr="00B54B94">
        <w:rPr>
          <w:rFonts w:cs="Times New Roman"/>
          <w:sz w:val="24"/>
          <w:szCs w:val="24"/>
        </w:rPr>
        <w:t xml:space="preserve">hese incentives and credits </w:t>
      </w:r>
      <w:r w:rsidR="0060589D" w:rsidRPr="00B54B94">
        <w:rPr>
          <w:rFonts w:cs="Times New Roman"/>
          <w:sz w:val="24"/>
          <w:szCs w:val="24"/>
        </w:rPr>
        <w:t>will be</w:t>
      </w:r>
      <w:r w:rsidR="0046367D" w:rsidRPr="00B54B94">
        <w:rPr>
          <w:rFonts w:cs="Times New Roman"/>
          <w:sz w:val="24"/>
          <w:szCs w:val="24"/>
        </w:rPr>
        <w:t xml:space="preserve"> funded via riders on customer bills within the AEP Ohio service area.  They are a direct benef</w:t>
      </w:r>
      <w:r w:rsidR="00E30ED6" w:rsidRPr="00B54B94">
        <w:rPr>
          <w:rFonts w:cs="Times New Roman"/>
          <w:sz w:val="24"/>
          <w:szCs w:val="24"/>
        </w:rPr>
        <w:t>it to signatory parties and are an explicit</w:t>
      </w:r>
      <w:r w:rsidR="0046367D" w:rsidRPr="00B54B94">
        <w:rPr>
          <w:rFonts w:cs="Times New Roman"/>
          <w:sz w:val="24"/>
          <w:szCs w:val="24"/>
        </w:rPr>
        <w:t xml:space="preserve"> tax on</w:t>
      </w:r>
      <w:r w:rsidR="00E30ED6" w:rsidRPr="00B54B94">
        <w:rPr>
          <w:rFonts w:cs="Times New Roman"/>
          <w:sz w:val="24"/>
          <w:szCs w:val="24"/>
        </w:rPr>
        <w:t xml:space="preserve"> energy to</w:t>
      </w:r>
      <w:r w:rsidR="0046367D" w:rsidRPr="00B54B94">
        <w:rPr>
          <w:rFonts w:cs="Times New Roman"/>
          <w:sz w:val="24"/>
          <w:szCs w:val="24"/>
        </w:rPr>
        <w:t xml:space="preserve"> </w:t>
      </w:r>
      <w:r w:rsidR="00F7114B" w:rsidRPr="00B54B94">
        <w:rPr>
          <w:rFonts w:cs="Times New Roman"/>
          <w:sz w:val="24"/>
          <w:szCs w:val="24"/>
        </w:rPr>
        <w:t xml:space="preserve">households and </w:t>
      </w:r>
      <w:r w:rsidR="0046367D" w:rsidRPr="00B54B94">
        <w:rPr>
          <w:rFonts w:cs="Times New Roman"/>
          <w:sz w:val="24"/>
          <w:szCs w:val="24"/>
        </w:rPr>
        <w:t>bu</w:t>
      </w:r>
      <w:r w:rsidR="00A879F2" w:rsidRPr="00B54B94">
        <w:rPr>
          <w:rFonts w:cs="Times New Roman"/>
          <w:sz w:val="24"/>
          <w:szCs w:val="24"/>
        </w:rPr>
        <w:t>sinesses</w:t>
      </w:r>
      <w:r w:rsidR="00F7114B" w:rsidRPr="00B54B94">
        <w:rPr>
          <w:rFonts w:cs="Times New Roman"/>
          <w:sz w:val="24"/>
          <w:szCs w:val="24"/>
        </w:rPr>
        <w:t>.</w:t>
      </w:r>
      <w:r w:rsidR="00A879F2" w:rsidRPr="00B54B94">
        <w:rPr>
          <w:rFonts w:cs="Times New Roman"/>
          <w:sz w:val="24"/>
          <w:szCs w:val="24"/>
        </w:rPr>
        <w:t xml:space="preserve">  This funding structure is the </w:t>
      </w:r>
      <w:r w:rsidR="0060589D" w:rsidRPr="00B54B94">
        <w:rPr>
          <w:rFonts w:cs="Times New Roman"/>
          <w:sz w:val="24"/>
          <w:szCs w:val="24"/>
        </w:rPr>
        <w:t xml:space="preserve">classic </w:t>
      </w:r>
      <w:r w:rsidR="00A879F2" w:rsidRPr="00B54B94">
        <w:rPr>
          <w:rFonts w:cs="Times New Roman"/>
          <w:sz w:val="24"/>
          <w:szCs w:val="24"/>
        </w:rPr>
        <w:t xml:space="preserve">textbook definition of “government failure,” the public sector corollary to market failure.  </w:t>
      </w:r>
      <w:r w:rsidR="00BE14D5" w:rsidRPr="00B54B94">
        <w:rPr>
          <w:rFonts w:cs="Times New Roman"/>
          <w:sz w:val="24"/>
          <w:szCs w:val="24"/>
        </w:rPr>
        <w:t xml:space="preserve">Within the larger theory of Public Choice, a branch of political science and economics, government failures are understood to arise when certain conditions for them are met.  One of these conditions is the classic problem of </w:t>
      </w:r>
      <w:r w:rsidR="00BE14D5" w:rsidRPr="00B54B94">
        <w:rPr>
          <w:rFonts w:cs="Times New Roman"/>
          <w:i/>
          <w:sz w:val="24"/>
          <w:szCs w:val="24"/>
        </w:rPr>
        <w:t>concentrated benefits and diffuse costs</w:t>
      </w:r>
      <w:r w:rsidR="00BE14D5" w:rsidRPr="00B54B94">
        <w:rPr>
          <w:rFonts w:cs="Times New Roman"/>
          <w:sz w:val="24"/>
          <w:szCs w:val="24"/>
        </w:rPr>
        <w:t>.</w:t>
      </w:r>
      <w:r w:rsidR="00634DB3" w:rsidRPr="00B54B94">
        <w:rPr>
          <w:rStyle w:val="FootnoteReference"/>
          <w:rFonts w:cs="Times New Roman"/>
          <w:sz w:val="24"/>
          <w:szCs w:val="24"/>
        </w:rPr>
        <w:footnoteReference w:id="8"/>
      </w:r>
    </w:p>
    <w:p w:rsidR="0054208D" w:rsidRDefault="0054208D">
      <w:pPr>
        <w:rPr>
          <w:rFonts w:cs="Times New Roman"/>
          <w:sz w:val="24"/>
          <w:szCs w:val="24"/>
        </w:rPr>
      </w:pPr>
      <w:r>
        <w:rPr>
          <w:rFonts w:cs="Times New Roman"/>
          <w:sz w:val="24"/>
          <w:szCs w:val="24"/>
        </w:rPr>
        <w:br w:type="page"/>
      </w:r>
    </w:p>
    <w:p w:rsidR="00E26FFA" w:rsidRPr="00B54B94" w:rsidRDefault="00E26FFA" w:rsidP="00602AF1">
      <w:pPr>
        <w:spacing w:line="480" w:lineRule="auto"/>
        <w:ind w:left="720"/>
        <w:rPr>
          <w:rFonts w:cs="Times New Roman"/>
          <w:sz w:val="24"/>
          <w:szCs w:val="24"/>
        </w:rPr>
      </w:pPr>
      <w:r w:rsidRPr="00B54B94">
        <w:rPr>
          <w:rFonts w:cs="Times New Roman"/>
          <w:sz w:val="24"/>
          <w:szCs w:val="24"/>
        </w:rPr>
        <w:t xml:space="preserve">Credits to the auto industry or the hospital industry, for example, are benefits that are concentrated on a small group of targeted firms.  The costs of providing these benefits are diffuse, or spread out across all </w:t>
      </w:r>
      <w:r w:rsidR="00642BC0">
        <w:rPr>
          <w:rFonts w:cs="Times New Roman"/>
          <w:sz w:val="24"/>
          <w:szCs w:val="24"/>
        </w:rPr>
        <w:t>customers</w:t>
      </w:r>
      <w:r w:rsidRPr="00B54B94">
        <w:rPr>
          <w:rFonts w:cs="Times New Roman"/>
          <w:sz w:val="24"/>
          <w:szCs w:val="24"/>
        </w:rPr>
        <w:t>—residential, commercial</w:t>
      </w:r>
      <w:r w:rsidR="00B63BA3" w:rsidRPr="00B54B94">
        <w:rPr>
          <w:rFonts w:cs="Times New Roman"/>
          <w:sz w:val="24"/>
          <w:szCs w:val="24"/>
        </w:rPr>
        <w:t>,</w:t>
      </w:r>
      <w:r w:rsidRPr="00B54B94">
        <w:rPr>
          <w:rFonts w:cs="Times New Roman"/>
          <w:sz w:val="24"/>
          <w:szCs w:val="24"/>
        </w:rPr>
        <w:t xml:space="preserve"> and industrial.  </w:t>
      </w:r>
      <w:r w:rsidR="006906FC" w:rsidRPr="00B54B94">
        <w:rPr>
          <w:rFonts w:cs="Times New Roman"/>
          <w:sz w:val="24"/>
          <w:szCs w:val="24"/>
        </w:rPr>
        <w:t xml:space="preserve">These incentives and benefits to signatory parties are textbook classic examples of a public interest violation.  </w:t>
      </w:r>
      <w:r w:rsidR="008E0483" w:rsidRPr="00B54B94">
        <w:rPr>
          <w:rFonts w:cs="Times New Roman"/>
          <w:sz w:val="24"/>
          <w:szCs w:val="24"/>
        </w:rPr>
        <w:t xml:space="preserve">Moreover, it is precisely the </w:t>
      </w:r>
      <w:r w:rsidR="006F3102" w:rsidRPr="00B54B94">
        <w:rPr>
          <w:rFonts w:cs="Times New Roman"/>
          <w:sz w:val="24"/>
          <w:szCs w:val="24"/>
        </w:rPr>
        <w:t>purpose</w:t>
      </w:r>
      <w:r w:rsidR="008E0483" w:rsidRPr="00B54B94">
        <w:rPr>
          <w:rFonts w:cs="Times New Roman"/>
          <w:sz w:val="24"/>
          <w:szCs w:val="24"/>
        </w:rPr>
        <w:t xml:space="preserve"> of public service/utilities commissions to protect </w:t>
      </w:r>
      <w:r w:rsidR="002B7E95">
        <w:rPr>
          <w:rFonts w:cs="Times New Roman"/>
          <w:sz w:val="24"/>
          <w:szCs w:val="24"/>
        </w:rPr>
        <w:t>customers</w:t>
      </w:r>
      <w:r w:rsidR="002B7E95" w:rsidRPr="00B54B94">
        <w:rPr>
          <w:rFonts w:cs="Times New Roman"/>
          <w:sz w:val="24"/>
          <w:szCs w:val="24"/>
        </w:rPr>
        <w:t xml:space="preserve"> </w:t>
      </w:r>
      <w:r w:rsidR="008E0483" w:rsidRPr="00B54B94">
        <w:rPr>
          <w:rFonts w:cs="Times New Roman"/>
          <w:sz w:val="24"/>
          <w:szCs w:val="24"/>
        </w:rPr>
        <w:t>against these sorts of abuses.</w:t>
      </w:r>
    </w:p>
    <w:p w:rsidR="00DA503C" w:rsidRPr="00B54B94" w:rsidRDefault="00DA503C" w:rsidP="00602AF1">
      <w:pPr>
        <w:spacing w:line="480" w:lineRule="auto"/>
        <w:ind w:left="720"/>
        <w:rPr>
          <w:rFonts w:cs="Times New Roman"/>
          <w:sz w:val="24"/>
          <w:szCs w:val="24"/>
        </w:rPr>
      </w:pPr>
    </w:p>
    <w:p w:rsidR="0054208D" w:rsidRDefault="001B0E72" w:rsidP="0054208D">
      <w:pPr>
        <w:spacing w:line="480" w:lineRule="auto"/>
        <w:ind w:left="720"/>
        <w:rPr>
          <w:rFonts w:cs="Times New Roman"/>
          <w:b/>
          <w:i/>
          <w:sz w:val="24"/>
          <w:szCs w:val="24"/>
        </w:rPr>
      </w:pPr>
      <w:r w:rsidRPr="00B54B94">
        <w:rPr>
          <w:rFonts w:cs="Times New Roman"/>
          <w:sz w:val="24"/>
          <w:szCs w:val="24"/>
        </w:rPr>
        <w:t xml:space="preserve">Additionally, </w:t>
      </w:r>
      <w:r w:rsidR="000C7CF4" w:rsidRPr="00B54B94">
        <w:rPr>
          <w:rFonts w:cs="Times New Roman"/>
          <w:sz w:val="24"/>
          <w:szCs w:val="24"/>
        </w:rPr>
        <w:t xml:space="preserve">a quick perusal of the Stipulation </w:t>
      </w:r>
      <w:r w:rsidR="00ED4754" w:rsidRPr="00B54B94">
        <w:rPr>
          <w:rFonts w:cs="Times New Roman"/>
          <w:sz w:val="24"/>
          <w:szCs w:val="24"/>
        </w:rPr>
        <w:t>reveals</w:t>
      </w:r>
      <w:r w:rsidR="000C7CF4" w:rsidRPr="00B54B94">
        <w:rPr>
          <w:rFonts w:cs="Times New Roman"/>
          <w:sz w:val="24"/>
          <w:szCs w:val="24"/>
        </w:rPr>
        <w:t xml:space="preserve"> that </w:t>
      </w:r>
      <w:r w:rsidR="006450DD" w:rsidRPr="00B54B94">
        <w:rPr>
          <w:rFonts w:cs="Times New Roman"/>
          <w:sz w:val="24"/>
          <w:szCs w:val="24"/>
        </w:rPr>
        <w:t xml:space="preserve">a number of </w:t>
      </w:r>
      <w:r w:rsidR="004C09D7" w:rsidRPr="00B54B94">
        <w:rPr>
          <w:rFonts w:cs="Times New Roman"/>
          <w:sz w:val="24"/>
          <w:szCs w:val="24"/>
        </w:rPr>
        <w:t xml:space="preserve">the </w:t>
      </w:r>
      <w:r w:rsidR="009C5E1B">
        <w:rPr>
          <w:rFonts w:cs="Times New Roman"/>
          <w:sz w:val="24"/>
          <w:szCs w:val="24"/>
        </w:rPr>
        <w:t>“</w:t>
      </w:r>
      <w:r w:rsidR="004C09D7" w:rsidRPr="00B54B94">
        <w:rPr>
          <w:rFonts w:cs="Times New Roman"/>
          <w:sz w:val="24"/>
          <w:szCs w:val="24"/>
        </w:rPr>
        <w:t>signatory parties</w:t>
      </w:r>
      <w:r w:rsidR="009C5E1B">
        <w:rPr>
          <w:rFonts w:cs="Times New Roman"/>
          <w:sz w:val="24"/>
          <w:szCs w:val="24"/>
        </w:rPr>
        <w:t>” (e.g., Sierra Club, IGS, Direct Energy)</w:t>
      </w:r>
      <w:r w:rsidR="004C09D7" w:rsidRPr="00B54B94">
        <w:rPr>
          <w:rFonts w:cs="Times New Roman"/>
          <w:sz w:val="24"/>
          <w:szCs w:val="24"/>
        </w:rPr>
        <w:t xml:space="preserve"> have </w:t>
      </w:r>
      <w:r w:rsidR="009C5E1B">
        <w:rPr>
          <w:rFonts w:cs="Times New Roman"/>
          <w:sz w:val="24"/>
          <w:szCs w:val="24"/>
        </w:rPr>
        <w:t xml:space="preserve">in fact </w:t>
      </w:r>
      <w:r w:rsidR="004C09D7" w:rsidRPr="00B54B94">
        <w:rPr>
          <w:rFonts w:cs="Times New Roman"/>
          <w:sz w:val="24"/>
          <w:szCs w:val="24"/>
        </w:rPr>
        <w:t>opted out of participating in several of the provisions</w:t>
      </w:r>
      <w:r w:rsidR="009C5E1B">
        <w:rPr>
          <w:rFonts w:cs="Times New Roman"/>
          <w:sz w:val="24"/>
          <w:szCs w:val="24"/>
        </w:rPr>
        <w:t xml:space="preserve"> but are nonetheless described as “signatory parties</w:t>
      </w:r>
      <w:r w:rsidR="004C09D7" w:rsidRPr="00B54B94">
        <w:rPr>
          <w:rFonts w:cs="Times New Roman"/>
          <w:sz w:val="24"/>
          <w:szCs w:val="24"/>
        </w:rPr>
        <w:t>.</w:t>
      </w:r>
      <w:r w:rsidR="009C5E1B">
        <w:rPr>
          <w:rFonts w:cs="Times New Roman"/>
          <w:sz w:val="24"/>
          <w:szCs w:val="24"/>
        </w:rPr>
        <w:t>”</w:t>
      </w:r>
      <w:r w:rsidR="001D7EC8" w:rsidRPr="00B54B94">
        <w:rPr>
          <w:rStyle w:val="FootnoteReference"/>
          <w:rFonts w:cs="Times New Roman"/>
          <w:sz w:val="24"/>
          <w:szCs w:val="24"/>
        </w:rPr>
        <w:footnoteReference w:id="9"/>
      </w:r>
      <w:r w:rsidR="004C09D7" w:rsidRPr="00B54B94">
        <w:rPr>
          <w:rFonts w:cs="Times New Roman"/>
          <w:sz w:val="24"/>
          <w:szCs w:val="24"/>
        </w:rPr>
        <w:t xml:space="preserve">  This further heightens the degree of concentration of benefits conveyed by the Stipulation and the PPA rider more broadly.</w:t>
      </w:r>
      <w:r w:rsidR="00A63E3C" w:rsidRPr="00B54B94">
        <w:rPr>
          <w:rFonts w:cs="Times New Roman"/>
          <w:sz w:val="24"/>
          <w:szCs w:val="24"/>
        </w:rPr>
        <w:t xml:space="preserve">  This clarifies the fact that provisions contained within the Stipulation are meant to further the interest of one or more signatory party(ies) at a cost to </w:t>
      </w:r>
      <w:r w:rsidR="002B7E95">
        <w:rPr>
          <w:rFonts w:cs="Times New Roman"/>
          <w:sz w:val="24"/>
          <w:szCs w:val="24"/>
        </w:rPr>
        <w:t xml:space="preserve">other customers </w:t>
      </w:r>
      <w:r w:rsidR="00A63E3C" w:rsidRPr="00B54B94">
        <w:rPr>
          <w:rFonts w:cs="Times New Roman"/>
          <w:sz w:val="24"/>
          <w:szCs w:val="24"/>
        </w:rPr>
        <w:t xml:space="preserve"> within </w:t>
      </w:r>
      <w:r w:rsidR="0022788C">
        <w:rPr>
          <w:rFonts w:cs="Times New Roman"/>
          <w:sz w:val="24"/>
          <w:szCs w:val="24"/>
        </w:rPr>
        <w:t>AEP Ohio</w:t>
      </w:r>
      <w:r w:rsidR="00A63E3C" w:rsidRPr="00B54B94">
        <w:rPr>
          <w:rFonts w:cs="Times New Roman"/>
          <w:sz w:val="24"/>
          <w:szCs w:val="24"/>
        </w:rPr>
        <w:t>’s service territory.</w:t>
      </w:r>
      <w:r w:rsidR="0054208D">
        <w:rPr>
          <w:rFonts w:cs="Times New Roman"/>
          <w:b/>
          <w:i/>
          <w:sz w:val="24"/>
          <w:szCs w:val="24"/>
        </w:rPr>
        <w:br w:type="page"/>
      </w:r>
    </w:p>
    <w:p w:rsidR="006639F5" w:rsidRPr="00706BD6" w:rsidRDefault="00B44407" w:rsidP="000D53E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1</w:t>
      </w:r>
      <w:r w:rsidR="007F23B8">
        <w:rPr>
          <w:rFonts w:cs="Times New Roman"/>
          <w:b/>
          <w:i/>
          <w:sz w:val="24"/>
          <w:szCs w:val="24"/>
        </w:rPr>
        <w:t>6</w:t>
      </w:r>
      <w:r w:rsidRPr="00706BD6">
        <w:rPr>
          <w:rFonts w:cs="Times New Roman"/>
          <w:b/>
          <w:i/>
          <w:sz w:val="24"/>
          <w:szCs w:val="24"/>
        </w:rPr>
        <w:t>.</w:t>
      </w:r>
      <w:r w:rsidRPr="00706BD6">
        <w:rPr>
          <w:rFonts w:cs="Times New Roman"/>
          <w:b/>
          <w:i/>
          <w:sz w:val="24"/>
          <w:szCs w:val="24"/>
        </w:rPr>
        <w:tab/>
        <w:t>THE STIPULATION PROVIDES FOR THE DEVELOPMENT OF AT LEAST 900 MW OF RENEWABLE GENERATION CAPACITY (500MW OF WIND AND 400 MW OF SOLAR).  HOW WILL THESE BE PAID?</w:t>
      </w:r>
    </w:p>
    <w:p w:rsidR="00C217FB" w:rsidRPr="00B54B94" w:rsidRDefault="00C217FB" w:rsidP="000D53EA">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1</w:t>
      </w:r>
      <w:r w:rsidR="007F23B8">
        <w:rPr>
          <w:rFonts w:cs="Times New Roman"/>
          <w:b/>
          <w:i/>
          <w:sz w:val="24"/>
          <w:szCs w:val="24"/>
        </w:rPr>
        <w:t>6</w:t>
      </w:r>
      <w:r w:rsidRPr="00706BD6">
        <w:rPr>
          <w:rFonts w:cs="Times New Roman"/>
          <w:b/>
          <w:i/>
          <w:sz w:val="24"/>
          <w:szCs w:val="24"/>
        </w:rPr>
        <w:t>.</w:t>
      </w:r>
      <w:r w:rsidRPr="00B54B94">
        <w:rPr>
          <w:rFonts w:cs="Times New Roman"/>
          <w:sz w:val="24"/>
          <w:szCs w:val="24"/>
        </w:rPr>
        <w:tab/>
        <w:t xml:space="preserve">According to the Stipulation, </w:t>
      </w:r>
      <w:r w:rsidR="0022788C">
        <w:rPr>
          <w:rFonts w:cs="Times New Roman"/>
          <w:sz w:val="24"/>
          <w:szCs w:val="24"/>
        </w:rPr>
        <w:t>AEP Ohio</w:t>
      </w:r>
      <w:r w:rsidRPr="00B54B94">
        <w:rPr>
          <w:rFonts w:cs="Times New Roman"/>
          <w:sz w:val="24"/>
          <w:szCs w:val="24"/>
        </w:rPr>
        <w:t xml:space="preserve"> will file future applications with the </w:t>
      </w:r>
      <w:r w:rsidR="006E0834">
        <w:rPr>
          <w:rFonts w:cs="Times New Roman"/>
          <w:sz w:val="24"/>
          <w:szCs w:val="24"/>
        </w:rPr>
        <w:t>PUCO</w:t>
      </w:r>
      <w:r w:rsidRPr="00B54B94">
        <w:rPr>
          <w:rFonts w:cs="Times New Roman"/>
          <w:sz w:val="24"/>
          <w:szCs w:val="24"/>
        </w:rPr>
        <w:t xml:space="preserve"> to pass the costs of the development of these resources through to </w:t>
      </w:r>
      <w:r w:rsidR="002B7E95">
        <w:rPr>
          <w:rFonts w:cs="Times New Roman"/>
          <w:sz w:val="24"/>
          <w:szCs w:val="24"/>
        </w:rPr>
        <w:t>customers</w:t>
      </w:r>
      <w:r w:rsidR="002B7E95" w:rsidRPr="00B54B94">
        <w:rPr>
          <w:rFonts w:cs="Times New Roman"/>
          <w:sz w:val="24"/>
          <w:szCs w:val="24"/>
        </w:rPr>
        <w:t xml:space="preserve"> </w:t>
      </w:r>
      <w:r w:rsidRPr="00B54B94">
        <w:rPr>
          <w:rFonts w:cs="Times New Roman"/>
          <w:sz w:val="24"/>
          <w:szCs w:val="24"/>
        </w:rPr>
        <w:t>via the PPA rider mechanism.</w:t>
      </w:r>
    </w:p>
    <w:p w:rsidR="00906F6A" w:rsidRPr="00B54B94" w:rsidRDefault="00906F6A" w:rsidP="000D53EA">
      <w:pPr>
        <w:spacing w:line="480" w:lineRule="auto"/>
        <w:ind w:left="720" w:hanging="720"/>
        <w:rPr>
          <w:rFonts w:cs="Times New Roman"/>
          <w:sz w:val="24"/>
          <w:szCs w:val="24"/>
        </w:rPr>
      </w:pPr>
    </w:p>
    <w:p w:rsidR="00906F6A" w:rsidRPr="00706BD6" w:rsidRDefault="00906F6A" w:rsidP="000D53E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1</w:t>
      </w:r>
      <w:r w:rsidR="007F23B8">
        <w:rPr>
          <w:rFonts w:cs="Times New Roman"/>
          <w:b/>
          <w:i/>
          <w:sz w:val="24"/>
          <w:szCs w:val="24"/>
        </w:rPr>
        <w:t>7</w:t>
      </w:r>
      <w:r w:rsidRPr="00706BD6">
        <w:rPr>
          <w:rFonts w:cs="Times New Roman"/>
          <w:b/>
          <w:i/>
          <w:sz w:val="24"/>
          <w:szCs w:val="24"/>
        </w:rPr>
        <w:t>.</w:t>
      </w:r>
      <w:r w:rsidRPr="00706BD6">
        <w:rPr>
          <w:rFonts w:cs="Times New Roman"/>
          <w:b/>
          <w:i/>
          <w:sz w:val="24"/>
          <w:szCs w:val="24"/>
        </w:rPr>
        <w:tab/>
        <w:t>DOES THE FULL COST RECOVERY OF THESE RESOURCES VIOLATE ANY IMPORTANT REGULATORY PRINCIPLE OR PRACTICE?</w:t>
      </w:r>
    </w:p>
    <w:p w:rsidR="007E46DB" w:rsidRDefault="00D63CFE" w:rsidP="009B4EC0">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1</w:t>
      </w:r>
      <w:r w:rsidR="001074DC">
        <w:rPr>
          <w:rFonts w:cs="Times New Roman"/>
          <w:b/>
          <w:i/>
          <w:sz w:val="24"/>
          <w:szCs w:val="24"/>
        </w:rPr>
        <w:t>7</w:t>
      </w:r>
      <w:r w:rsidRPr="00706BD6">
        <w:rPr>
          <w:rFonts w:cs="Times New Roman"/>
          <w:b/>
          <w:i/>
          <w:sz w:val="24"/>
          <w:szCs w:val="24"/>
        </w:rPr>
        <w:t>.</w:t>
      </w:r>
      <w:r w:rsidRPr="00B54B94">
        <w:rPr>
          <w:rFonts w:cs="Times New Roman"/>
          <w:sz w:val="24"/>
          <w:szCs w:val="24"/>
        </w:rPr>
        <w:tab/>
        <w:t xml:space="preserve">Yes.  As I discussed previously with respect to the cost recovery of co-firing conversion of the Conesville units, in a deregulated market these costs should be recovered only through revenues gained in a competitive wholesale market.  </w:t>
      </w:r>
      <w:r w:rsidR="006E0834">
        <w:rPr>
          <w:rFonts w:cs="Times New Roman"/>
          <w:sz w:val="24"/>
          <w:szCs w:val="24"/>
        </w:rPr>
        <w:t>Full recovery</w:t>
      </w:r>
      <w:r w:rsidRPr="00B54B94">
        <w:rPr>
          <w:rFonts w:cs="Times New Roman"/>
          <w:sz w:val="24"/>
          <w:szCs w:val="24"/>
        </w:rPr>
        <w:t xml:space="preserve"> of these costs by a distribution utility via a </w:t>
      </w:r>
      <w:r w:rsidR="002B7E95">
        <w:rPr>
          <w:rFonts w:cs="Times New Roman"/>
          <w:sz w:val="24"/>
          <w:szCs w:val="24"/>
        </w:rPr>
        <w:t>PPA rider</w:t>
      </w:r>
      <w:r w:rsidRPr="00B54B94">
        <w:rPr>
          <w:rFonts w:cs="Times New Roman"/>
          <w:sz w:val="24"/>
          <w:szCs w:val="24"/>
        </w:rPr>
        <w:t xml:space="preserve"> with a divested generation </w:t>
      </w:r>
      <w:r w:rsidR="00967F3C" w:rsidRPr="00B54B94">
        <w:rPr>
          <w:rFonts w:cs="Times New Roman"/>
          <w:sz w:val="24"/>
          <w:szCs w:val="24"/>
        </w:rPr>
        <w:t xml:space="preserve">subsidiary </w:t>
      </w:r>
      <w:r w:rsidR="00AC7679" w:rsidRPr="00B54B94">
        <w:rPr>
          <w:rFonts w:cs="Times New Roman"/>
          <w:sz w:val="24"/>
          <w:szCs w:val="24"/>
        </w:rPr>
        <w:t>would be distortionary.</w:t>
      </w:r>
      <w:r w:rsidR="004C48EA">
        <w:rPr>
          <w:rFonts w:cs="Times New Roman"/>
          <w:sz w:val="24"/>
          <w:szCs w:val="24"/>
        </w:rPr>
        <w:t xml:space="preserve"> </w:t>
      </w:r>
    </w:p>
    <w:p w:rsidR="004C48EA" w:rsidRDefault="004C48EA" w:rsidP="009B4EC0">
      <w:pPr>
        <w:spacing w:line="480" w:lineRule="auto"/>
        <w:ind w:left="720" w:hanging="720"/>
        <w:rPr>
          <w:rFonts w:cs="Times New Roman"/>
          <w:sz w:val="24"/>
          <w:szCs w:val="24"/>
        </w:rPr>
      </w:pPr>
    </w:p>
    <w:p w:rsidR="009C4A23" w:rsidRPr="00706BD6" w:rsidRDefault="009C4A23" w:rsidP="000D53E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1</w:t>
      </w:r>
      <w:r w:rsidR="001074DC">
        <w:rPr>
          <w:rFonts w:cs="Times New Roman"/>
          <w:b/>
          <w:i/>
          <w:sz w:val="24"/>
          <w:szCs w:val="24"/>
        </w:rPr>
        <w:t>8</w:t>
      </w:r>
      <w:r w:rsidRPr="00706BD6">
        <w:rPr>
          <w:rFonts w:cs="Times New Roman"/>
          <w:b/>
          <w:i/>
          <w:sz w:val="24"/>
          <w:szCs w:val="24"/>
        </w:rPr>
        <w:t>.</w:t>
      </w:r>
      <w:r w:rsidRPr="00706BD6">
        <w:rPr>
          <w:rFonts w:cs="Times New Roman"/>
          <w:b/>
          <w:i/>
          <w:sz w:val="24"/>
          <w:szCs w:val="24"/>
        </w:rPr>
        <w:tab/>
        <w:t xml:space="preserve">THE STIPULATION PURPORTS </w:t>
      </w:r>
      <w:r w:rsidR="006E0834">
        <w:rPr>
          <w:rFonts w:cs="Times New Roman"/>
          <w:b/>
          <w:i/>
          <w:sz w:val="24"/>
          <w:szCs w:val="24"/>
        </w:rPr>
        <w:t xml:space="preserve">TO PROVIDE </w:t>
      </w:r>
      <w:r w:rsidRPr="00706BD6">
        <w:rPr>
          <w:rFonts w:cs="Times New Roman"/>
          <w:b/>
          <w:i/>
          <w:sz w:val="24"/>
          <w:szCs w:val="24"/>
        </w:rPr>
        <w:t>JOBS BENEFITS OF SITING THE SOLAR INSTALLATIONS PREFERENTIALLY IN APPALACHIAN OHIO.  ARE THESE PURPORTED JOBS BENEFITS OVERSTATED?</w:t>
      </w:r>
    </w:p>
    <w:p w:rsidR="004C48EA" w:rsidRDefault="004E77EC" w:rsidP="009B4EC0">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1</w:t>
      </w:r>
      <w:r w:rsidR="001074DC">
        <w:rPr>
          <w:rFonts w:cs="Times New Roman"/>
          <w:b/>
          <w:i/>
          <w:sz w:val="24"/>
          <w:szCs w:val="24"/>
        </w:rPr>
        <w:t>8</w:t>
      </w:r>
      <w:r w:rsidRPr="00706BD6">
        <w:rPr>
          <w:rFonts w:cs="Times New Roman"/>
          <w:b/>
          <w:i/>
          <w:sz w:val="24"/>
          <w:szCs w:val="24"/>
        </w:rPr>
        <w:t>.</w:t>
      </w:r>
      <w:r w:rsidRPr="00B54B94">
        <w:rPr>
          <w:rFonts w:cs="Times New Roman"/>
          <w:sz w:val="24"/>
          <w:szCs w:val="24"/>
        </w:rPr>
        <w:tab/>
      </w:r>
      <w:r w:rsidR="009B5362">
        <w:rPr>
          <w:rFonts w:cs="Times New Roman"/>
          <w:sz w:val="24"/>
          <w:szCs w:val="24"/>
        </w:rPr>
        <w:t xml:space="preserve">Possibly.  </w:t>
      </w:r>
      <w:r w:rsidR="009E1181" w:rsidRPr="00B54B94">
        <w:rPr>
          <w:rFonts w:cs="Times New Roman"/>
          <w:sz w:val="24"/>
          <w:szCs w:val="24"/>
        </w:rPr>
        <w:t xml:space="preserve">The aim of siting the facilities in Appalachian Ohio is laudable in that it may serve to bring some economic benefit to a region of the state that has been more severely hit by the recession.  </w:t>
      </w:r>
      <w:r w:rsidR="008B04F6" w:rsidRPr="00B54B94">
        <w:rPr>
          <w:rFonts w:cs="Times New Roman"/>
          <w:sz w:val="24"/>
          <w:szCs w:val="24"/>
        </w:rPr>
        <w:t>There are two mitigating factors to the Stipulation’s claim that this will “create permanent manufac</w:t>
      </w:r>
      <w:r w:rsidR="00F821D7" w:rsidRPr="00B54B94">
        <w:rPr>
          <w:rFonts w:cs="Times New Roman"/>
          <w:sz w:val="24"/>
          <w:szCs w:val="24"/>
        </w:rPr>
        <w:t>turing jobs in Appalachian Ohio</w:t>
      </w:r>
      <w:r w:rsidR="008B04F6" w:rsidRPr="00B54B94">
        <w:rPr>
          <w:rFonts w:cs="Times New Roman"/>
          <w:sz w:val="24"/>
          <w:szCs w:val="24"/>
        </w:rPr>
        <w:t>”</w:t>
      </w:r>
      <w:r w:rsidR="00F821D7" w:rsidRPr="00B54B94">
        <w:rPr>
          <w:rFonts w:cs="Times New Roman"/>
          <w:sz w:val="24"/>
          <w:szCs w:val="24"/>
        </w:rPr>
        <w:t xml:space="preserve"> (p.32).</w:t>
      </w:r>
      <w:r w:rsidR="008B04F6" w:rsidRPr="00B54B94">
        <w:rPr>
          <w:rFonts w:cs="Times New Roman"/>
          <w:sz w:val="24"/>
          <w:szCs w:val="24"/>
        </w:rPr>
        <w:t xml:space="preserve">  </w:t>
      </w:r>
      <w:r w:rsidR="007520F9" w:rsidRPr="00B54B94">
        <w:rPr>
          <w:rFonts w:cs="Times New Roman"/>
          <w:sz w:val="24"/>
          <w:szCs w:val="24"/>
        </w:rPr>
        <w:t xml:space="preserve">First, solar installations, once installed, require only operational and maintenance staffing and do not require a high degree of permanent manufacturing employees.  Second, there is no guarantee that </w:t>
      </w:r>
      <w:r w:rsidR="00F821D7" w:rsidRPr="00B54B94">
        <w:rPr>
          <w:rFonts w:cs="Times New Roman"/>
          <w:sz w:val="24"/>
          <w:szCs w:val="24"/>
        </w:rPr>
        <w:t xml:space="preserve">the solar equipment (presumably </w:t>
      </w:r>
      <w:r w:rsidR="00545948">
        <w:rPr>
          <w:rFonts w:cs="Times New Roman"/>
          <w:sz w:val="24"/>
          <w:szCs w:val="24"/>
        </w:rPr>
        <w:t>photovoltaic [</w:t>
      </w:r>
      <w:r w:rsidR="00F821D7" w:rsidRPr="00B54B94">
        <w:rPr>
          <w:rFonts w:cs="Times New Roman"/>
          <w:sz w:val="24"/>
          <w:szCs w:val="24"/>
        </w:rPr>
        <w:t>PV</w:t>
      </w:r>
      <w:r w:rsidR="00545948">
        <w:rPr>
          <w:rFonts w:cs="Times New Roman"/>
          <w:sz w:val="24"/>
          <w:szCs w:val="24"/>
        </w:rPr>
        <w:t>] power system</w:t>
      </w:r>
      <w:r w:rsidR="00F821D7" w:rsidRPr="00B54B94">
        <w:rPr>
          <w:rFonts w:cs="Times New Roman"/>
          <w:sz w:val="24"/>
          <w:szCs w:val="24"/>
        </w:rPr>
        <w:t xml:space="preserve"> but not specified in the Stipulation) will be purchased from Ohio manufacturers, or even domestic manufacturers from within the United States.  Given the international pressure that domestic firms presently face in the PV panel market, this provision of the Stipulation may very well result in the provision of an economic stimulus to the People’</w:t>
      </w:r>
      <w:r w:rsidR="00482359" w:rsidRPr="00B54B94">
        <w:rPr>
          <w:rFonts w:cs="Times New Roman"/>
          <w:sz w:val="24"/>
          <w:szCs w:val="24"/>
        </w:rPr>
        <w:t>s Republic of China</w:t>
      </w:r>
      <w:r w:rsidR="005B12AD" w:rsidRPr="00B54B94">
        <w:rPr>
          <w:rFonts w:cs="Times New Roman"/>
          <w:sz w:val="24"/>
          <w:szCs w:val="24"/>
        </w:rPr>
        <w:t>,</w:t>
      </w:r>
      <w:r w:rsidR="00482359" w:rsidRPr="00B54B94">
        <w:rPr>
          <w:rFonts w:cs="Times New Roman"/>
          <w:sz w:val="24"/>
          <w:szCs w:val="24"/>
        </w:rPr>
        <w:t xml:space="preserve"> at a </w:t>
      </w:r>
      <w:r w:rsidR="008741FA" w:rsidRPr="00B54B94">
        <w:rPr>
          <w:rFonts w:cs="Times New Roman"/>
          <w:sz w:val="24"/>
          <w:szCs w:val="24"/>
        </w:rPr>
        <w:t xml:space="preserve">potentially sizeable </w:t>
      </w:r>
      <w:r w:rsidR="00482359" w:rsidRPr="00B54B94">
        <w:rPr>
          <w:rFonts w:cs="Times New Roman"/>
          <w:sz w:val="24"/>
          <w:szCs w:val="24"/>
        </w:rPr>
        <w:t>cost to Ohio’s households and businesses.</w:t>
      </w:r>
    </w:p>
    <w:p w:rsidR="007E46DB" w:rsidRDefault="007E46DB" w:rsidP="009B4EC0">
      <w:pPr>
        <w:spacing w:line="480" w:lineRule="auto"/>
        <w:ind w:left="720" w:hanging="720"/>
        <w:rPr>
          <w:rFonts w:cs="Times New Roman"/>
          <w:sz w:val="24"/>
          <w:szCs w:val="24"/>
        </w:rPr>
      </w:pPr>
    </w:p>
    <w:p w:rsidR="00077841" w:rsidRPr="00B54B94" w:rsidRDefault="00077841" w:rsidP="00AC70D7">
      <w:pPr>
        <w:pStyle w:val="Heading1"/>
        <w:rPr>
          <w:rFonts w:cs="Times New Roman"/>
          <w:sz w:val="24"/>
          <w:szCs w:val="24"/>
        </w:rPr>
      </w:pPr>
      <w:bookmarkStart w:id="12" w:name="_Toc439078831"/>
      <w:r w:rsidRPr="00B54B94">
        <w:rPr>
          <w:rFonts w:cs="Times New Roman"/>
          <w:sz w:val="24"/>
          <w:szCs w:val="24"/>
        </w:rPr>
        <w:t>ASSESSMENT OF THE STIPULATION AS A WHOLE</w:t>
      </w:r>
      <w:bookmarkEnd w:id="12"/>
    </w:p>
    <w:p w:rsidR="00182AE9" w:rsidRPr="00B54B94" w:rsidRDefault="00182AE9" w:rsidP="000D53EA">
      <w:pPr>
        <w:spacing w:line="480" w:lineRule="auto"/>
        <w:ind w:left="720" w:hanging="720"/>
        <w:rPr>
          <w:rFonts w:cs="Times New Roman"/>
          <w:sz w:val="24"/>
          <w:szCs w:val="24"/>
        </w:rPr>
      </w:pPr>
    </w:p>
    <w:p w:rsidR="00D05C1A" w:rsidRPr="00706BD6" w:rsidRDefault="005544C5" w:rsidP="000D53EA">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1</w:t>
      </w:r>
      <w:r w:rsidR="001074DC">
        <w:rPr>
          <w:rFonts w:cs="Times New Roman"/>
          <w:b/>
          <w:i/>
          <w:sz w:val="24"/>
          <w:szCs w:val="24"/>
        </w:rPr>
        <w:t>9.</w:t>
      </w:r>
      <w:r w:rsidRPr="00706BD6">
        <w:rPr>
          <w:rFonts w:cs="Times New Roman"/>
          <w:b/>
          <w:i/>
          <w:sz w:val="24"/>
          <w:szCs w:val="24"/>
        </w:rPr>
        <w:tab/>
      </w:r>
      <w:r w:rsidR="0006221A" w:rsidRPr="00706BD6">
        <w:rPr>
          <w:rFonts w:cs="Times New Roman"/>
          <w:b/>
          <w:i/>
          <w:sz w:val="24"/>
          <w:szCs w:val="24"/>
        </w:rPr>
        <w:t>YOU HAVE SHOWN THAT A NUMBER OF PROVISIONS OF THE STIPULATION ARE CONDITIONAL UPON SOME DEGREE OF UNCERTAINTY.  YOU HAVE ARGUED THAT THE FIRST PRONG OF THE TEST FOR EVALUATING A</w:t>
      </w:r>
      <w:r w:rsidR="00F25E38" w:rsidRPr="00706BD6">
        <w:rPr>
          <w:rFonts w:cs="Times New Roman"/>
          <w:b/>
          <w:i/>
          <w:sz w:val="24"/>
          <w:szCs w:val="24"/>
        </w:rPr>
        <w:t xml:space="preserve"> STIPULATION IS NOT MET BECAUSE THE UNCERTAINTY PRECLUDES THE BARGAINING PARTIES FROM BEING KNOWLEDGEABLE ABOUT THE PROVISIONS TO WHICH THEY ARE SIGNATORIES.  </w:t>
      </w:r>
      <w:r w:rsidR="00B95A70" w:rsidRPr="00706BD6">
        <w:rPr>
          <w:rFonts w:cs="Times New Roman"/>
          <w:b/>
          <w:i/>
          <w:sz w:val="24"/>
          <w:szCs w:val="24"/>
        </w:rPr>
        <w:t>HOWEVER, CAN YOU CHARACTERIZE THE DEGREE OF UNCERTAINTY THESE PARTIES FACED IN BARGAINING FOR THE STIPULATION AS A WHOLE?</w:t>
      </w:r>
    </w:p>
    <w:p w:rsidR="004E7B23" w:rsidRPr="00B54B94" w:rsidRDefault="004E7B23" w:rsidP="000D53EA">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1</w:t>
      </w:r>
      <w:r w:rsidR="001074DC">
        <w:rPr>
          <w:rFonts w:cs="Times New Roman"/>
          <w:b/>
          <w:i/>
          <w:sz w:val="24"/>
          <w:szCs w:val="24"/>
        </w:rPr>
        <w:t>9</w:t>
      </w:r>
      <w:r w:rsidRPr="00706BD6">
        <w:rPr>
          <w:rFonts w:cs="Times New Roman"/>
          <w:b/>
          <w:i/>
          <w:sz w:val="24"/>
          <w:szCs w:val="24"/>
        </w:rPr>
        <w:t>.</w:t>
      </w:r>
      <w:r w:rsidRPr="00B54B94">
        <w:rPr>
          <w:rFonts w:cs="Times New Roman"/>
          <w:sz w:val="24"/>
          <w:szCs w:val="24"/>
        </w:rPr>
        <w:tab/>
        <w:t>The lack of any preliminary (let alone thorough) study</w:t>
      </w:r>
      <w:r w:rsidR="009539FB" w:rsidRPr="00B54B94">
        <w:rPr>
          <w:rFonts w:cs="Times New Roman"/>
          <w:sz w:val="24"/>
          <w:szCs w:val="24"/>
        </w:rPr>
        <w:t>, assessment</w:t>
      </w:r>
      <w:r w:rsidR="00545948">
        <w:rPr>
          <w:rFonts w:cs="Times New Roman"/>
          <w:sz w:val="24"/>
          <w:szCs w:val="24"/>
        </w:rPr>
        <w:t>,</w:t>
      </w:r>
      <w:r w:rsidR="009539FB" w:rsidRPr="00B54B94">
        <w:rPr>
          <w:rFonts w:cs="Times New Roman"/>
          <w:sz w:val="24"/>
          <w:szCs w:val="24"/>
        </w:rPr>
        <w:t xml:space="preserve"> or evaluation</w:t>
      </w:r>
      <w:r w:rsidRPr="00B54B94">
        <w:rPr>
          <w:rFonts w:cs="Times New Roman"/>
          <w:sz w:val="24"/>
          <w:szCs w:val="24"/>
        </w:rPr>
        <w:t xml:space="preserve"> of many of the provisions and individually-tailored carve outs </w:t>
      </w:r>
      <w:r w:rsidR="00976514" w:rsidRPr="00B54B94">
        <w:rPr>
          <w:rFonts w:cs="Times New Roman"/>
          <w:sz w:val="24"/>
          <w:szCs w:val="24"/>
        </w:rPr>
        <w:t>contained with</w:t>
      </w:r>
      <w:r w:rsidR="00963033" w:rsidRPr="00B54B94">
        <w:rPr>
          <w:rFonts w:cs="Times New Roman"/>
          <w:sz w:val="24"/>
          <w:szCs w:val="24"/>
        </w:rPr>
        <w:t xml:space="preserve">in the Stipulation </w:t>
      </w:r>
      <w:r w:rsidR="009539FB" w:rsidRPr="00B54B94">
        <w:rPr>
          <w:rFonts w:cs="Times New Roman"/>
          <w:sz w:val="24"/>
          <w:szCs w:val="24"/>
        </w:rPr>
        <w:t>would indeed have precluded the signatories from capably</w:t>
      </w:r>
      <w:r w:rsidR="00A30C62" w:rsidRPr="00B54B94">
        <w:rPr>
          <w:rFonts w:cs="Times New Roman"/>
          <w:sz w:val="24"/>
          <w:szCs w:val="24"/>
        </w:rPr>
        <w:t xml:space="preserve"> and knowledgeably bargaining. </w:t>
      </w:r>
      <w:r w:rsidR="00C1750C">
        <w:rPr>
          <w:rFonts w:cs="Times New Roman"/>
          <w:sz w:val="24"/>
          <w:szCs w:val="24"/>
        </w:rPr>
        <w:t xml:space="preserve"> </w:t>
      </w:r>
      <w:r w:rsidR="00A30C62" w:rsidRPr="00B54B94">
        <w:rPr>
          <w:rFonts w:cs="Times New Roman"/>
          <w:sz w:val="24"/>
          <w:szCs w:val="24"/>
        </w:rPr>
        <w:t xml:space="preserve">Taken as a whole, the quantity of provisions contained within the Stipulation that are defined by at least some degree of uncertainty is striking. </w:t>
      </w:r>
      <w:r w:rsidR="009F6344" w:rsidRPr="00B54B94">
        <w:rPr>
          <w:rFonts w:cs="Times New Roman"/>
          <w:sz w:val="24"/>
          <w:szCs w:val="24"/>
        </w:rPr>
        <w:t xml:space="preserve"> Table 1 provides a list of seventeen substantive provisions within the Stipulation and matches them to four general classes of uncertainty.  </w:t>
      </w:r>
      <w:r w:rsidR="007057E0" w:rsidRPr="00B54B94">
        <w:rPr>
          <w:rFonts w:cs="Times New Roman"/>
          <w:sz w:val="24"/>
          <w:szCs w:val="24"/>
        </w:rPr>
        <w:t>These general classes are the following:</w:t>
      </w:r>
    </w:p>
    <w:p w:rsidR="00D05C1A" w:rsidRPr="00B54B94" w:rsidRDefault="00795456" w:rsidP="007E46DB">
      <w:pPr>
        <w:pStyle w:val="ListParagraph"/>
        <w:numPr>
          <w:ilvl w:val="0"/>
          <w:numId w:val="8"/>
        </w:numPr>
        <w:spacing w:line="480" w:lineRule="auto"/>
        <w:ind w:left="1440" w:right="720" w:hanging="720"/>
        <w:rPr>
          <w:rFonts w:cs="Times New Roman"/>
          <w:sz w:val="24"/>
          <w:szCs w:val="24"/>
        </w:rPr>
      </w:pPr>
      <w:r w:rsidRPr="00B54B94">
        <w:rPr>
          <w:rFonts w:cs="Times New Roman"/>
          <w:sz w:val="24"/>
          <w:szCs w:val="24"/>
        </w:rPr>
        <w:t xml:space="preserve">The Stipulation proposes </w:t>
      </w:r>
      <w:r w:rsidR="00871CC5" w:rsidRPr="00B54B94">
        <w:rPr>
          <w:rFonts w:cs="Times New Roman"/>
          <w:sz w:val="24"/>
          <w:szCs w:val="24"/>
        </w:rPr>
        <w:t>an action</w:t>
      </w:r>
      <w:r w:rsidR="00F242D4" w:rsidRPr="00B54B94">
        <w:rPr>
          <w:rFonts w:cs="Times New Roman"/>
          <w:sz w:val="24"/>
          <w:szCs w:val="24"/>
        </w:rPr>
        <w:t xml:space="preserve"> or outcome</w:t>
      </w:r>
      <w:r w:rsidR="00871CC5" w:rsidRPr="00B54B94">
        <w:rPr>
          <w:rFonts w:cs="Times New Roman"/>
          <w:sz w:val="24"/>
          <w:szCs w:val="24"/>
        </w:rPr>
        <w:t xml:space="preserve"> that is conditional upon </w:t>
      </w:r>
      <w:r w:rsidR="00F242D4" w:rsidRPr="00B54B94">
        <w:rPr>
          <w:rFonts w:cs="Times New Roman"/>
          <w:sz w:val="24"/>
          <w:szCs w:val="24"/>
        </w:rPr>
        <w:t xml:space="preserve">future </w:t>
      </w:r>
      <w:r w:rsidR="00871CC5" w:rsidRPr="00B54B94">
        <w:rPr>
          <w:rFonts w:cs="Times New Roman"/>
          <w:sz w:val="24"/>
          <w:szCs w:val="24"/>
        </w:rPr>
        <w:t>regulatory approval by the PUCO</w:t>
      </w:r>
      <w:r w:rsidR="00F242D4" w:rsidRPr="00B54B94">
        <w:rPr>
          <w:rFonts w:cs="Times New Roman"/>
          <w:sz w:val="24"/>
          <w:szCs w:val="24"/>
        </w:rPr>
        <w:t xml:space="preserve"> or another relevant authority</w:t>
      </w:r>
      <w:r w:rsidR="00871CC5" w:rsidRPr="00B54B94">
        <w:rPr>
          <w:rFonts w:cs="Times New Roman"/>
          <w:sz w:val="24"/>
          <w:szCs w:val="24"/>
        </w:rPr>
        <w:t xml:space="preserve"> (e.g., FERC or </w:t>
      </w:r>
      <w:r w:rsidR="00F242D4" w:rsidRPr="00B54B94">
        <w:rPr>
          <w:rFonts w:cs="Times New Roman"/>
          <w:sz w:val="24"/>
          <w:szCs w:val="24"/>
        </w:rPr>
        <w:t>PJM).</w:t>
      </w:r>
    </w:p>
    <w:p w:rsidR="00360FDB" w:rsidRPr="00B54B94" w:rsidRDefault="00360FDB" w:rsidP="007E46DB">
      <w:pPr>
        <w:pStyle w:val="ListParagraph"/>
        <w:numPr>
          <w:ilvl w:val="0"/>
          <w:numId w:val="8"/>
        </w:numPr>
        <w:spacing w:line="480" w:lineRule="auto"/>
        <w:ind w:left="1440" w:right="720" w:hanging="720"/>
        <w:rPr>
          <w:rFonts w:cs="Times New Roman"/>
          <w:sz w:val="24"/>
          <w:szCs w:val="24"/>
        </w:rPr>
      </w:pPr>
      <w:r w:rsidRPr="00B54B94">
        <w:rPr>
          <w:rFonts w:cs="Times New Roman"/>
          <w:sz w:val="24"/>
          <w:szCs w:val="24"/>
        </w:rPr>
        <w:t xml:space="preserve">The Stipulation proposes an action or outcome </w:t>
      </w:r>
      <w:r w:rsidR="007D5E62" w:rsidRPr="00B54B94">
        <w:rPr>
          <w:rFonts w:cs="Times New Roman"/>
          <w:sz w:val="24"/>
          <w:szCs w:val="24"/>
        </w:rPr>
        <w:t>for which no preliminary, or thorough, technical (e.g., engineering, operational) analyses have been performed and provided to signatory parties.</w:t>
      </w:r>
    </w:p>
    <w:p w:rsidR="00F242D4" w:rsidRPr="00B54B94" w:rsidRDefault="00F242D4" w:rsidP="007E46DB">
      <w:pPr>
        <w:pStyle w:val="ListParagraph"/>
        <w:numPr>
          <w:ilvl w:val="0"/>
          <w:numId w:val="8"/>
        </w:numPr>
        <w:spacing w:line="480" w:lineRule="auto"/>
        <w:ind w:left="1440" w:right="720" w:hanging="720"/>
        <w:rPr>
          <w:rFonts w:cs="Times New Roman"/>
          <w:sz w:val="24"/>
          <w:szCs w:val="24"/>
        </w:rPr>
      </w:pPr>
      <w:r w:rsidRPr="00B54B94">
        <w:rPr>
          <w:rFonts w:cs="Times New Roman"/>
          <w:sz w:val="24"/>
          <w:szCs w:val="24"/>
        </w:rPr>
        <w:t xml:space="preserve">The Stipulation </w:t>
      </w:r>
      <w:r w:rsidR="00360FDB" w:rsidRPr="00B54B94">
        <w:rPr>
          <w:rFonts w:cs="Times New Roman"/>
          <w:sz w:val="24"/>
          <w:szCs w:val="24"/>
        </w:rPr>
        <w:t>proposes an action or outcome that may or may not be technically feasible and for which no preliminary, or thorough, analyses have been provided to signatory parties.</w:t>
      </w:r>
    </w:p>
    <w:p w:rsidR="007E46DB" w:rsidRPr="004C48EA" w:rsidRDefault="007D5E62" w:rsidP="004C48EA">
      <w:pPr>
        <w:pStyle w:val="ListParagraph"/>
        <w:numPr>
          <w:ilvl w:val="0"/>
          <w:numId w:val="8"/>
        </w:numPr>
        <w:spacing w:line="480" w:lineRule="auto"/>
        <w:ind w:left="1440" w:right="720" w:hanging="720"/>
        <w:rPr>
          <w:rFonts w:cs="Times New Roman"/>
          <w:sz w:val="24"/>
          <w:szCs w:val="24"/>
        </w:rPr>
      </w:pPr>
      <w:r w:rsidRPr="004C48EA">
        <w:rPr>
          <w:rFonts w:cs="Times New Roman"/>
          <w:sz w:val="24"/>
          <w:szCs w:val="24"/>
        </w:rPr>
        <w:t>The Stipulation proposes an action or outcome for which no preliminary, or thorough, economic or cost-benefit analyses have been performed and provided to signatory parties.</w:t>
      </w:r>
      <w:r w:rsidR="00D90A34" w:rsidRPr="004C48EA">
        <w:rPr>
          <w:rFonts w:cs="Times New Roman"/>
          <w:sz w:val="24"/>
          <w:szCs w:val="24"/>
        </w:rPr>
        <w:br w:type="page"/>
      </w:r>
    </w:p>
    <w:p w:rsidR="0054208D" w:rsidRDefault="0054208D" w:rsidP="00C1750C">
      <w:pPr>
        <w:ind w:left="720" w:hanging="720"/>
        <w:jc w:val="center"/>
        <w:rPr>
          <w:rFonts w:cs="Times New Roman"/>
          <w:b/>
          <w:sz w:val="24"/>
          <w:szCs w:val="24"/>
        </w:rPr>
        <w:sectPr w:rsidR="0054208D" w:rsidSect="000443A3">
          <w:headerReference w:type="default" r:id="rId15"/>
          <w:footerReference w:type="default" r:id="rId16"/>
          <w:pgSz w:w="12240" w:h="15840"/>
          <w:pgMar w:top="1440" w:right="1800" w:bottom="1440" w:left="1800" w:header="720" w:footer="720" w:gutter="0"/>
          <w:lnNumType w:countBy="1"/>
          <w:pgNumType w:start="1"/>
          <w:cols w:space="720"/>
          <w:docGrid w:linePitch="360"/>
        </w:sectPr>
      </w:pPr>
    </w:p>
    <w:p w:rsidR="006D1279" w:rsidRPr="00B54B94" w:rsidRDefault="006D1279" w:rsidP="00C1750C">
      <w:pPr>
        <w:ind w:left="720" w:hanging="720"/>
        <w:jc w:val="center"/>
        <w:rPr>
          <w:rFonts w:cs="Times New Roman"/>
          <w:b/>
          <w:sz w:val="24"/>
          <w:szCs w:val="24"/>
        </w:rPr>
      </w:pPr>
      <w:r w:rsidRPr="00B54B94">
        <w:rPr>
          <w:rFonts w:cs="Times New Roman"/>
          <w:b/>
          <w:sz w:val="24"/>
          <w:szCs w:val="24"/>
        </w:rPr>
        <w:t xml:space="preserve">Table </w:t>
      </w:r>
      <w:r w:rsidR="000A08E2" w:rsidRPr="00B54B94">
        <w:rPr>
          <w:rFonts w:cs="Times New Roman"/>
          <w:b/>
          <w:sz w:val="24"/>
          <w:szCs w:val="24"/>
        </w:rPr>
        <w:t xml:space="preserve">1. List of </w:t>
      </w:r>
      <w:r w:rsidR="006D1CFD" w:rsidRPr="00B54B94">
        <w:rPr>
          <w:rFonts w:cs="Times New Roman"/>
          <w:b/>
          <w:sz w:val="24"/>
          <w:szCs w:val="24"/>
        </w:rPr>
        <w:t>Stipulation provisions by their degree of uncertainty precluding serious bargaining among capable, knowledgeable parties</w:t>
      </w:r>
    </w:p>
    <w:tbl>
      <w:tblPr>
        <w:tblStyle w:val="TableGrid"/>
        <w:tblW w:w="0" w:type="auto"/>
        <w:tblLook w:val="04A0" w:firstRow="1" w:lastRow="0" w:firstColumn="1" w:lastColumn="0" w:noHBand="0" w:noVBand="1"/>
      </w:tblPr>
      <w:tblGrid>
        <w:gridCol w:w="7400"/>
        <w:gridCol w:w="1456"/>
      </w:tblGrid>
      <w:tr w:rsidR="006D1279" w:rsidRPr="00B54B94" w:rsidTr="00397ED7">
        <w:tc>
          <w:tcPr>
            <w:tcW w:w="8118" w:type="dxa"/>
            <w:vAlign w:val="center"/>
          </w:tcPr>
          <w:p w:rsidR="006D1279" w:rsidRPr="00B54B94" w:rsidRDefault="006D1279" w:rsidP="00397ED7">
            <w:pPr>
              <w:jc w:val="center"/>
              <w:rPr>
                <w:rFonts w:cs="Times New Roman"/>
                <w:b/>
                <w:sz w:val="24"/>
                <w:szCs w:val="24"/>
              </w:rPr>
            </w:pPr>
            <w:r w:rsidRPr="00B54B94">
              <w:rPr>
                <w:rFonts w:cs="Times New Roman"/>
                <w:b/>
                <w:sz w:val="24"/>
                <w:szCs w:val="24"/>
              </w:rPr>
              <w:t>Provision or plan within Stipulation</w:t>
            </w:r>
          </w:p>
        </w:tc>
        <w:tc>
          <w:tcPr>
            <w:tcW w:w="1458" w:type="dxa"/>
            <w:vAlign w:val="center"/>
          </w:tcPr>
          <w:p w:rsidR="006D1279" w:rsidRPr="00B54B94" w:rsidRDefault="006D1279" w:rsidP="00397ED7">
            <w:pPr>
              <w:jc w:val="center"/>
              <w:rPr>
                <w:rFonts w:cs="Times New Roman"/>
                <w:b/>
                <w:sz w:val="24"/>
                <w:szCs w:val="24"/>
              </w:rPr>
            </w:pPr>
            <w:r w:rsidRPr="00B54B94">
              <w:rPr>
                <w:rFonts w:cs="Times New Roman"/>
                <w:b/>
                <w:sz w:val="24"/>
                <w:szCs w:val="24"/>
              </w:rPr>
              <w:t>Uncertainty Condition</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PJM Long-term capacity product</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Automaker credit</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Competition Incentive Rider (CIR)</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EE/PDR funding to OHA &amp; affiliates</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Volt-Var Optimization deployment</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2,4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Funding to Community Assistance Program (CAP)</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Pass-thru of 50% of costs for Pilot Supplier Consolidated Billing program</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w:t>
            </w:r>
          </w:p>
        </w:tc>
      </w:tr>
      <w:tr w:rsidR="006D1279" w:rsidRPr="00B54B94" w:rsidTr="00397ED7">
        <w:tc>
          <w:tcPr>
            <w:tcW w:w="8118" w:type="dxa"/>
          </w:tcPr>
          <w:p w:rsidR="006D1279" w:rsidRPr="00B54B94" w:rsidRDefault="00530CCB" w:rsidP="00397ED7">
            <w:pPr>
              <w:rPr>
                <w:rFonts w:cs="Times New Roman"/>
                <w:sz w:val="24"/>
                <w:szCs w:val="24"/>
              </w:rPr>
            </w:pPr>
            <w:r>
              <w:rPr>
                <w:rFonts w:cs="Times New Roman"/>
                <w:sz w:val="24"/>
                <w:szCs w:val="24"/>
              </w:rPr>
              <w:t>Co-firing conversion of Cones</w:t>
            </w:r>
            <w:r w:rsidR="006D1279" w:rsidRPr="00B54B94">
              <w:rPr>
                <w:rFonts w:cs="Times New Roman"/>
                <w:sz w:val="24"/>
                <w:szCs w:val="24"/>
              </w:rPr>
              <w:t>ville units 5 &amp; 6</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 xml:space="preserve">Retirement, refueling or repowering </w:t>
            </w:r>
            <w:r w:rsidR="00530CCB">
              <w:rPr>
                <w:rFonts w:cs="Times New Roman"/>
                <w:sz w:val="24"/>
                <w:szCs w:val="24"/>
              </w:rPr>
              <w:t>Con</w:t>
            </w:r>
            <w:r w:rsidR="00530CCB" w:rsidRPr="00B54B94">
              <w:rPr>
                <w:rFonts w:cs="Times New Roman"/>
                <w:sz w:val="24"/>
                <w:szCs w:val="24"/>
              </w:rPr>
              <w:t>esville</w:t>
            </w:r>
            <w:r w:rsidRPr="00B54B94">
              <w:rPr>
                <w:rFonts w:cs="Times New Roman"/>
                <w:sz w:val="24"/>
                <w:szCs w:val="24"/>
              </w:rPr>
              <w:t xml:space="preserve"> units 5 &amp; 6 and Cardinal unit 1</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Retirement, refueling or repowering of co-owned PPA units</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Conesville units 5 &amp; 6 RMR declaration</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EE/PDR energy savings goal achievement</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Carbon emissions reduction plan</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Fuel diversification plan</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Grid modernization plan</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Battery technology deployment</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r w:rsidR="006D1279" w:rsidRPr="00B54B94" w:rsidTr="00397ED7">
        <w:tc>
          <w:tcPr>
            <w:tcW w:w="8118" w:type="dxa"/>
          </w:tcPr>
          <w:p w:rsidR="006D1279" w:rsidRPr="00B54B94" w:rsidRDefault="006D1279" w:rsidP="00397ED7">
            <w:pPr>
              <w:rPr>
                <w:rFonts w:cs="Times New Roman"/>
                <w:sz w:val="24"/>
                <w:szCs w:val="24"/>
              </w:rPr>
            </w:pPr>
            <w:r w:rsidRPr="00B54B94">
              <w:rPr>
                <w:rFonts w:cs="Times New Roman"/>
                <w:sz w:val="24"/>
                <w:szCs w:val="24"/>
              </w:rPr>
              <w:t>Renewable energy development</w:t>
            </w:r>
          </w:p>
        </w:tc>
        <w:tc>
          <w:tcPr>
            <w:tcW w:w="1458" w:type="dxa"/>
            <w:vAlign w:val="center"/>
          </w:tcPr>
          <w:p w:rsidR="006D1279" w:rsidRPr="00B54B94" w:rsidRDefault="006D1279" w:rsidP="00397ED7">
            <w:pPr>
              <w:jc w:val="center"/>
              <w:rPr>
                <w:rFonts w:cs="Times New Roman"/>
                <w:sz w:val="24"/>
                <w:szCs w:val="24"/>
              </w:rPr>
            </w:pPr>
            <w:r w:rsidRPr="00B54B94">
              <w:rPr>
                <w:rFonts w:cs="Times New Roman"/>
                <w:sz w:val="24"/>
                <w:szCs w:val="24"/>
              </w:rPr>
              <w:t>1,2,3,4</w:t>
            </w:r>
          </w:p>
        </w:tc>
      </w:tr>
    </w:tbl>
    <w:p w:rsidR="006D1279" w:rsidRPr="0054208D" w:rsidRDefault="00A70963" w:rsidP="006D1279">
      <w:pPr>
        <w:rPr>
          <w:rFonts w:cs="Times New Roman"/>
          <w:sz w:val="20"/>
          <w:szCs w:val="20"/>
        </w:rPr>
      </w:pPr>
      <w:r w:rsidRPr="0054208D">
        <w:rPr>
          <w:rFonts w:cs="Times New Roman"/>
          <w:sz w:val="20"/>
          <w:szCs w:val="20"/>
        </w:rPr>
        <w:t xml:space="preserve">Uncertainty Condition </w:t>
      </w:r>
      <w:r w:rsidR="006D1279" w:rsidRPr="0054208D">
        <w:rPr>
          <w:rFonts w:cs="Times New Roman"/>
          <w:sz w:val="20"/>
          <w:szCs w:val="20"/>
        </w:rPr>
        <w:t>Key:</w:t>
      </w:r>
    </w:p>
    <w:p w:rsidR="006D1279" w:rsidRPr="0054208D" w:rsidRDefault="0054208D" w:rsidP="0054208D">
      <w:pPr>
        <w:ind w:left="630" w:hanging="270"/>
        <w:rPr>
          <w:rFonts w:cs="Times New Roman"/>
          <w:sz w:val="20"/>
          <w:szCs w:val="20"/>
        </w:rPr>
      </w:pPr>
      <w:r>
        <w:rPr>
          <w:rFonts w:cs="Times New Roman"/>
          <w:sz w:val="20"/>
          <w:szCs w:val="20"/>
        </w:rPr>
        <w:t>1:</w:t>
      </w:r>
      <w:r>
        <w:rPr>
          <w:rFonts w:cs="Times New Roman"/>
          <w:sz w:val="20"/>
          <w:szCs w:val="20"/>
        </w:rPr>
        <w:tab/>
      </w:r>
      <w:r w:rsidR="006D1279" w:rsidRPr="0054208D">
        <w:rPr>
          <w:rFonts w:cs="Times New Roman"/>
          <w:sz w:val="20"/>
          <w:szCs w:val="20"/>
        </w:rPr>
        <w:t>Absence of certainty in outcome of future regulatory proceeding</w:t>
      </w:r>
      <w:r w:rsidR="00BD101B" w:rsidRPr="0054208D">
        <w:rPr>
          <w:rFonts w:cs="Times New Roman"/>
          <w:sz w:val="20"/>
          <w:szCs w:val="20"/>
        </w:rPr>
        <w:t xml:space="preserve"> or approval</w:t>
      </w:r>
    </w:p>
    <w:p w:rsidR="006D1279" w:rsidRPr="0054208D" w:rsidRDefault="0054208D" w:rsidP="0054208D">
      <w:pPr>
        <w:ind w:left="630" w:hanging="270"/>
        <w:rPr>
          <w:rFonts w:cs="Times New Roman"/>
          <w:sz w:val="20"/>
          <w:szCs w:val="20"/>
        </w:rPr>
      </w:pPr>
      <w:r>
        <w:rPr>
          <w:rFonts w:cs="Times New Roman"/>
          <w:sz w:val="20"/>
          <w:szCs w:val="20"/>
        </w:rPr>
        <w:t>2:</w:t>
      </w:r>
      <w:r>
        <w:rPr>
          <w:rFonts w:cs="Times New Roman"/>
          <w:sz w:val="20"/>
          <w:szCs w:val="20"/>
        </w:rPr>
        <w:tab/>
      </w:r>
      <w:r w:rsidR="006D1279" w:rsidRPr="0054208D">
        <w:rPr>
          <w:rFonts w:cs="Times New Roman"/>
          <w:sz w:val="20"/>
          <w:szCs w:val="20"/>
        </w:rPr>
        <w:t>Uncertainty due to lack of any preliminary technical analysis (e.g., engineering, operational)</w:t>
      </w:r>
    </w:p>
    <w:p w:rsidR="006D1279" w:rsidRPr="0054208D" w:rsidRDefault="006D1279" w:rsidP="0054208D">
      <w:pPr>
        <w:ind w:left="630" w:hanging="270"/>
        <w:rPr>
          <w:rFonts w:cs="Times New Roman"/>
          <w:sz w:val="20"/>
          <w:szCs w:val="20"/>
        </w:rPr>
      </w:pPr>
      <w:r w:rsidRPr="0054208D">
        <w:rPr>
          <w:rFonts w:cs="Times New Roman"/>
          <w:sz w:val="20"/>
          <w:szCs w:val="20"/>
        </w:rPr>
        <w:t>3:</w:t>
      </w:r>
      <w:r w:rsidR="0054208D">
        <w:rPr>
          <w:rFonts w:cs="Times New Roman"/>
          <w:sz w:val="20"/>
          <w:szCs w:val="20"/>
        </w:rPr>
        <w:tab/>
      </w:r>
      <w:r w:rsidRPr="0054208D">
        <w:rPr>
          <w:rFonts w:cs="Times New Roman"/>
          <w:sz w:val="20"/>
          <w:szCs w:val="20"/>
        </w:rPr>
        <w:t>Uncertainty due to lack of any feasibility assessment (e.g., siting, transmission, permitting, fuel supply or availability)</w:t>
      </w:r>
    </w:p>
    <w:p w:rsidR="006D1279" w:rsidRPr="00B54B94" w:rsidRDefault="0054208D" w:rsidP="0054208D">
      <w:pPr>
        <w:ind w:left="630" w:hanging="270"/>
        <w:rPr>
          <w:rFonts w:cs="Times New Roman"/>
          <w:sz w:val="24"/>
          <w:szCs w:val="24"/>
        </w:rPr>
      </w:pPr>
      <w:r>
        <w:rPr>
          <w:rFonts w:cs="Times New Roman"/>
          <w:sz w:val="20"/>
          <w:szCs w:val="20"/>
        </w:rPr>
        <w:t>4:</w:t>
      </w:r>
      <w:r>
        <w:rPr>
          <w:rFonts w:cs="Times New Roman"/>
          <w:sz w:val="20"/>
          <w:szCs w:val="20"/>
        </w:rPr>
        <w:tab/>
      </w:r>
      <w:r w:rsidR="006D1279" w:rsidRPr="0054208D">
        <w:rPr>
          <w:rFonts w:cs="Times New Roman"/>
          <w:sz w:val="20"/>
          <w:szCs w:val="20"/>
        </w:rPr>
        <w:t>Uncertainty due to lack of any preliminary economic analysis or cost-benefit analysis</w:t>
      </w:r>
    </w:p>
    <w:p w:rsidR="006D1279" w:rsidRPr="00B54B94" w:rsidRDefault="006D1279" w:rsidP="000D53EA">
      <w:pPr>
        <w:spacing w:line="480" w:lineRule="auto"/>
        <w:ind w:left="720" w:hanging="720"/>
        <w:rPr>
          <w:rFonts w:cs="Times New Roman"/>
          <w:b/>
          <w:sz w:val="24"/>
          <w:szCs w:val="24"/>
        </w:rPr>
      </w:pPr>
    </w:p>
    <w:p w:rsidR="00855420" w:rsidRPr="00B54B94" w:rsidRDefault="00907A3E" w:rsidP="007E46DB">
      <w:pPr>
        <w:spacing w:line="480" w:lineRule="auto"/>
        <w:ind w:left="720"/>
        <w:rPr>
          <w:rFonts w:cs="Times New Roman"/>
          <w:sz w:val="24"/>
          <w:szCs w:val="24"/>
        </w:rPr>
      </w:pPr>
      <w:r w:rsidRPr="00B54B94">
        <w:rPr>
          <w:rFonts w:cs="Times New Roman"/>
          <w:sz w:val="24"/>
          <w:szCs w:val="24"/>
        </w:rPr>
        <w:t xml:space="preserve">While the list and conditions of uncertainty contained with Table 1 is by no means exhaustive—meaning that additional conditions of uncertainty may also define them—it </w:t>
      </w:r>
      <w:r w:rsidR="00545948">
        <w:rPr>
          <w:rFonts w:cs="Times New Roman"/>
          <w:sz w:val="24"/>
          <w:szCs w:val="24"/>
        </w:rPr>
        <w:t>encompasses</w:t>
      </w:r>
      <w:r w:rsidR="00545948" w:rsidRPr="00B54B94" w:rsidDel="00545948">
        <w:rPr>
          <w:rFonts w:cs="Times New Roman"/>
          <w:sz w:val="24"/>
          <w:szCs w:val="24"/>
        </w:rPr>
        <w:t xml:space="preserve"> </w:t>
      </w:r>
      <w:r w:rsidRPr="00B54B94">
        <w:rPr>
          <w:rFonts w:cs="Times New Roman"/>
          <w:sz w:val="24"/>
          <w:szCs w:val="24"/>
        </w:rPr>
        <w:t xml:space="preserve">those conditions that I would ascribe to be reasonably important for consideration by a signatory party.  Taken as a whole, the quantity of provisions of the Stipulation and the expansive nature of uncertainty </w:t>
      </w:r>
      <w:r w:rsidR="0075724A" w:rsidRPr="00B54B94">
        <w:rPr>
          <w:rFonts w:cs="Times New Roman"/>
          <w:sz w:val="24"/>
          <w:szCs w:val="24"/>
        </w:rPr>
        <w:t xml:space="preserve">that defines them, I do not see how </w:t>
      </w:r>
      <w:r w:rsidR="00CD61FD" w:rsidRPr="00B54B94">
        <w:rPr>
          <w:rFonts w:cs="Times New Roman"/>
          <w:sz w:val="24"/>
          <w:szCs w:val="24"/>
        </w:rPr>
        <w:t xml:space="preserve">anyone could </w:t>
      </w:r>
      <w:r w:rsidR="0075724A" w:rsidRPr="00B54B94">
        <w:rPr>
          <w:rFonts w:cs="Times New Roman"/>
          <w:sz w:val="24"/>
          <w:szCs w:val="24"/>
        </w:rPr>
        <w:t>describe the nature of bargaining over them to be knowledgeable or capable.</w:t>
      </w:r>
    </w:p>
    <w:p w:rsidR="00580721" w:rsidRPr="00706BD6" w:rsidRDefault="00580721" w:rsidP="00580721">
      <w:pPr>
        <w:spacing w:line="480" w:lineRule="auto"/>
        <w:ind w:left="720" w:hanging="720"/>
        <w:rPr>
          <w:rFonts w:cs="Times New Roman"/>
          <w:b/>
          <w:i/>
          <w:sz w:val="24"/>
          <w:szCs w:val="24"/>
        </w:rPr>
      </w:pPr>
      <w:r w:rsidRPr="00706BD6">
        <w:rPr>
          <w:rFonts w:cs="Times New Roman"/>
          <w:b/>
          <w:i/>
          <w:sz w:val="24"/>
          <w:szCs w:val="24"/>
        </w:rPr>
        <w:t>Q</w:t>
      </w:r>
      <w:r w:rsidR="001074DC">
        <w:rPr>
          <w:rFonts w:cs="Times New Roman"/>
          <w:b/>
          <w:i/>
          <w:sz w:val="24"/>
          <w:szCs w:val="24"/>
        </w:rPr>
        <w:t>20</w:t>
      </w:r>
      <w:r w:rsidRPr="00706BD6">
        <w:rPr>
          <w:rFonts w:cs="Times New Roman"/>
          <w:b/>
          <w:i/>
          <w:sz w:val="24"/>
          <w:szCs w:val="24"/>
        </w:rPr>
        <w:t>.</w:t>
      </w:r>
      <w:r w:rsidRPr="00706BD6">
        <w:rPr>
          <w:rFonts w:cs="Times New Roman"/>
          <w:b/>
          <w:i/>
          <w:sz w:val="24"/>
          <w:szCs w:val="24"/>
        </w:rPr>
        <w:tab/>
        <w:t xml:space="preserve">TAKEN AS A WHOLE, </w:t>
      </w:r>
      <w:r w:rsidR="000A785A">
        <w:rPr>
          <w:rFonts w:cs="Times New Roman"/>
          <w:b/>
          <w:i/>
          <w:sz w:val="24"/>
          <w:szCs w:val="24"/>
        </w:rPr>
        <w:t>DOES</w:t>
      </w:r>
      <w:r w:rsidR="000A785A" w:rsidRPr="00706BD6">
        <w:rPr>
          <w:rFonts w:cs="Times New Roman"/>
          <w:b/>
          <w:i/>
          <w:sz w:val="24"/>
          <w:szCs w:val="24"/>
        </w:rPr>
        <w:t xml:space="preserve"> </w:t>
      </w:r>
      <w:r w:rsidRPr="00706BD6">
        <w:rPr>
          <w:rFonts w:cs="Times New Roman"/>
          <w:b/>
          <w:i/>
          <w:sz w:val="24"/>
          <w:szCs w:val="24"/>
        </w:rPr>
        <w:t>THE STIPULATION ME</w:t>
      </w:r>
      <w:r w:rsidR="000A785A">
        <w:rPr>
          <w:rFonts w:cs="Times New Roman"/>
          <w:b/>
          <w:i/>
          <w:sz w:val="24"/>
          <w:szCs w:val="24"/>
        </w:rPr>
        <w:t>E</w:t>
      </w:r>
      <w:r w:rsidRPr="00706BD6">
        <w:rPr>
          <w:rFonts w:cs="Times New Roman"/>
          <w:b/>
          <w:i/>
          <w:sz w:val="24"/>
          <w:szCs w:val="24"/>
        </w:rPr>
        <w:t>T THE COMMISSION’S THREE CONDITIONS FOR EVALUATION OF A STIPULATION?</w:t>
      </w:r>
    </w:p>
    <w:p w:rsidR="00580721" w:rsidRPr="00B54B94" w:rsidRDefault="00EF2294" w:rsidP="00580721">
      <w:pPr>
        <w:spacing w:line="480" w:lineRule="auto"/>
        <w:ind w:left="720" w:hanging="720"/>
        <w:rPr>
          <w:rFonts w:cs="Times New Roman"/>
          <w:sz w:val="24"/>
          <w:szCs w:val="24"/>
        </w:rPr>
      </w:pPr>
      <w:r w:rsidRPr="00706BD6">
        <w:rPr>
          <w:rFonts w:cs="Times New Roman"/>
          <w:b/>
          <w:i/>
          <w:sz w:val="24"/>
          <w:szCs w:val="24"/>
        </w:rPr>
        <w:t>A</w:t>
      </w:r>
      <w:r w:rsidR="001074DC">
        <w:rPr>
          <w:rFonts w:cs="Times New Roman"/>
          <w:b/>
          <w:i/>
          <w:sz w:val="24"/>
          <w:szCs w:val="24"/>
        </w:rPr>
        <w:t>20</w:t>
      </w:r>
      <w:r w:rsidRPr="00706BD6">
        <w:rPr>
          <w:rFonts w:cs="Times New Roman"/>
          <w:b/>
          <w:i/>
          <w:sz w:val="24"/>
          <w:szCs w:val="24"/>
        </w:rPr>
        <w:t>.</w:t>
      </w:r>
      <w:r w:rsidRPr="00B54B94">
        <w:rPr>
          <w:rFonts w:cs="Times New Roman"/>
          <w:sz w:val="24"/>
          <w:szCs w:val="24"/>
        </w:rPr>
        <w:tab/>
        <w:t xml:space="preserve">No.  </w:t>
      </w:r>
      <w:r w:rsidR="00A361CA" w:rsidRPr="00B54B94">
        <w:rPr>
          <w:rFonts w:cs="Times New Roman"/>
          <w:sz w:val="24"/>
          <w:szCs w:val="24"/>
        </w:rPr>
        <w:t xml:space="preserve">As described thus far, the provisions in the Stipulation fail the three-part test.  The failure is brought into stark relief when the Stipulation is considered as a whole.  The cumulative result of each provision’s failure confirms, without question, that the Stipulation as a package was not the subject of serious bargaining between knowledgeable parties, violates important regulatory principles and practices, and does not benefit </w:t>
      </w:r>
      <w:r w:rsidR="00642BC0">
        <w:rPr>
          <w:rFonts w:cs="Times New Roman"/>
          <w:sz w:val="24"/>
          <w:szCs w:val="24"/>
        </w:rPr>
        <w:t>customers</w:t>
      </w:r>
      <w:r w:rsidR="00A361CA" w:rsidRPr="00B54B94">
        <w:rPr>
          <w:rFonts w:cs="Times New Roman"/>
          <w:sz w:val="24"/>
          <w:szCs w:val="24"/>
        </w:rPr>
        <w:t xml:space="preserve"> and the public interest.</w:t>
      </w:r>
    </w:p>
    <w:p w:rsidR="00580721" w:rsidRPr="00B54B94" w:rsidRDefault="00580721" w:rsidP="006576EB">
      <w:pPr>
        <w:spacing w:line="480" w:lineRule="auto"/>
        <w:ind w:left="720" w:hanging="720"/>
        <w:rPr>
          <w:rFonts w:cs="Times New Roman"/>
          <w:sz w:val="24"/>
          <w:szCs w:val="24"/>
        </w:rPr>
      </w:pPr>
    </w:p>
    <w:p w:rsidR="006576EB" w:rsidRPr="00706BD6" w:rsidRDefault="006576EB" w:rsidP="006576EB">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2</w:t>
      </w:r>
      <w:r w:rsidR="001074DC">
        <w:rPr>
          <w:rFonts w:cs="Times New Roman"/>
          <w:b/>
          <w:i/>
          <w:sz w:val="24"/>
          <w:szCs w:val="24"/>
        </w:rPr>
        <w:t>1</w:t>
      </w:r>
      <w:r w:rsidRPr="00706BD6">
        <w:rPr>
          <w:rFonts w:cs="Times New Roman"/>
          <w:b/>
          <w:i/>
          <w:sz w:val="24"/>
          <w:szCs w:val="24"/>
        </w:rPr>
        <w:t>.</w:t>
      </w:r>
      <w:r w:rsidRPr="00706BD6">
        <w:rPr>
          <w:rFonts w:cs="Times New Roman"/>
          <w:b/>
          <w:i/>
          <w:sz w:val="24"/>
          <w:szCs w:val="24"/>
        </w:rPr>
        <w:tab/>
      </w:r>
      <w:r w:rsidR="000A785A">
        <w:rPr>
          <w:rFonts w:cs="Times New Roman"/>
          <w:b/>
          <w:i/>
          <w:sz w:val="24"/>
          <w:szCs w:val="24"/>
        </w:rPr>
        <w:t>ARE</w:t>
      </w:r>
      <w:r w:rsidR="000A785A" w:rsidRPr="00706BD6">
        <w:rPr>
          <w:rFonts w:cs="Times New Roman"/>
          <w:b/>
          <w:i/>
          <w:sz w:val="24"/>
          <w:szCs w:val="24"/>
        </w:rPr>
        <w:t xml:space="preserve"> </w:t>
      </w:r>
      <w:r w:rsidRPr="00706BD6">
        <w:rPr>
          <w:rFonts w:cs="Times New Roman"/>
          <w:b/>
          <w:i/>
          <w:sz w:val="24"/>
          <w:szCs w:val="24"/>
        </w:rPr>
        <w:t xml:space="preserve">THE PPA RIDER </w:t>
      </w:r>
      <w:r w:rsidR="000A785A">
        <w:rPr>
          <w:rFonts w:cs="Times New Roman"/>
          <w:b/>
          <w:i/>
          <w:sz w:val="24"/>
          <w:szCs w:val="24"/>
        </w:rPr>
        <w:t xml:space="preserve">PROVISIONS IN </w:t>
      </w:r>
      <w:r w:rsidRPr="00706BD6">
        <w:rPr>
          <w:rFonts w:cs="Times New Roman"/>
          <w:b/>
          <w:i/>
          <w:sz w:val="24"/>
          <w:szCs w:val="24"/>
        </w:rPr>
        <w:t>THE STIPULATION OF BENEFIT TO RATE PAYERS AND THE PUBLIC INTEREST?</w:t>
      </w:r>
    </w:p>
    <w:p w:rsidR="00D53954" w:rsidRPr="00B54B94" w:rsidRDefault="001076A4" w:rsidP="00D53954">
      <w:pPr>
        <w:spacing w:line="480" w:lineRule="auto"/>
        <w:ind w:left="720" w:hanging="720"/>
        <w:rPr>
          <w:rFonts w:cs="Times New Roman"/>
          <w:sz w:val="24"/>
          <w:szCs w:val="24"/>
        </w:rPr>
      </w:pPr>
      <w:r w:rsidRPr="00706BD6">
        <w:rPr>
          <w:rFonts w:cs="Times New Roman"/>
          <w:b/>
          <w:i/>
          <w:sz w:val="24"/>
          <w:szCs w:val="24"/>
        </w:rPr>
        <w:t>A</w:t>
      </w:r>
      <w:r w:rsidR="00706BD6" w:rsidRPr="00706BD6">
        <w:rPr>
          <w:rFonts w:cs="Times New Roman"/>
          <w:b/>
          <w:i/>
          <w:sz w:val="24"/>
          <w:szCs w:val="24"/>
        </w:rPr>
        <w:t>2</w:t>
      </w:r>
      <w:r w:rsidR="001074DC">
        <w:rPr>
          <w:rFonts w:cs="Times New Roman"/>
          <w:b/>
          <w:i/>
          <w:sz w:val="24"/>
          <w:szCs w:val="24"/>
        </w:rPr>
        <w:t>1</w:t>
      </w:r>
      <w:r w:rsidRPr="00706BD6">
        <w:rPr>
          <w:rFonts w:cs="Times New Roman"/>
          <w:b/>
          <w:i/>
          <w:sz w:val="24"/>
          <w:szCs w:val="24"/>
        </w:rPr>
        <w:t>.</w:t>
      </w:r>
      <w:r w:rsidRPr="00B54B94">
        <w:rPr>
          <w:rFonts w:cs="Times New Roman"/>
          <w:sz w:val="24"/>
          <w:szCs w:val="24"/>
        </w:rPr>
        <w:tab/>
        <w:t xml:space="preserve">No.  The PPA rider </w:t>
      </w:r>
      <w:r w:rsidR="000A785A">
        <w:rPr>
          <w:rFonts w:cs="Times New Roman"/>
          <w:sz w:val="24"/>
          <w:szCs w:val="24"/>
        </w:rPr>
        <w:t>in</w:t>
      </w:r>
      <w:r w:rsidR="004E1FC9" w:rsidRPr="00B54B94">
        <w:rPr>
          <w:rFonts w:cs="Times New Roman"/>
          <w:sz w:val="24"/>
          <w:szCs w:val="24"/>
        </w:rPr>
        <w:t xml:space="preserve"> the Stipulation is economically distortionary and violates the underlying principle of functional separation of </w:t>
      </w:r>
      <w:r w:rsidR="00545948">
        <w:rPr>
          <w:rFonts w:cs="Times New Roman"/>
          <w:sz w:val="24"/>
          <w:szCs w:val="24"/>
        </w:rPr>
        <w:t xml:space="preserve">electric </w:t>
      </w:r>
      <w:r w:rsidR="004E1FC9" w:rsidRPr="00B54B94">
        <w:rPr>
          <w:rFonts w:cs="Times New Roman"/>
          <w:sz w:val="24"/>
          <w:szCs w:val="24"/>
        </w:rPr>
        <w:t xml:space="preserve">distribution and generation inherent to deregulation.  </w:t>
      </w:r>
      <w:r w:rsidR="000A785A">
        <w:rPr>
          <w:rFonts w:cs="Times New Roman"/>
          <w:sz w:val="24"/>
          <w:szCs w:val="24"/>
        </w:rPr>
        <w:t>T</w:t>
      </w:r>
      <w:r w:rsidR="007B5415" w:rsidRPr="00B54B94">
        <w:rPr>
          <w:rFonts w:cs="Times New Roman"/>
          <w:sz w:val="24"/>
          <w:szCs w:val="24"/>
        </w:rPr>
        <w:t xml:space="preserve">he rider essentially </w:t>
      </w:r>
      <w:r w:rsidR="000A785A" w:rsidRPr="00B54B94">
        <w:rPr>
          <w:rFonts w:cs="Times New Roman"/>
          <w:sz w:val="24"/>
          <w:szCs w:val="24"/>
        </w:rPr>
        <w:t>indemnif</w:t>
      </w:r>
      <w:r w:rsidR="000A785A">
        <w:rPr>
          <w:rFonts w:cs="Times New Roman"/>
          <w:sz w:val="24"/>
          <w:szCs w:val="24"/>
        </w:rPr>
        <w:t>ies</w:t>
      </w:r>
      <w:r w:rsidR="000A785A" w:rsidRPr="00B54B94">
        <w:rPr>
          <w:rFonts w:cs="Times New Roman"/>
          <w:sz w:val="24"/>
          <w:szCs w:val="24"/>
        </w:rPr>
        <w:t xml:space="preserve"> </w:t>
      </w:r>
      <w:r w:rsidR="0022788C">
        <w:rPr>
          <w:rFonts w:cs="Times New Roman"/>
          <w:sz w:val="24"/>
          <w:szCs w:val="24"/>
        </w:rPr>
        <w:t>AEP Ohio</w:t>
      </w:r>
      <w:r w:rsidR="007B5415" w:rsidRPr="00B54B94">
        <w:rPr>
          <w:rFonts w:cs="Times New Roman"/>
          <w:sz w:val="24"/>
          <w:szCs w:val="24"/>
        </w:rPr>
        <w:t xml:space="preserve"> against losses and it places </w:t>
      </w:r>
      <w:r w:rsidR="00494225">
        <w:rPr>
          <w:rFonts w:cs="Times New Roman"/>
          <w:sz w:val="24"/>
          <w:szCs w:val="24"/>
        </w:rPr>
        <w:t>a vast majority of the</w:t>
      </w:r>
      <w:r w:rsidR="00494225" w:rsidRPr="00B54B94">
        <w:rPr>
          <w:rFonts w:cs="Times New Roman"/>
          <w:sz w:val="24"/>
          <w:szCs w:val="24"/>
        </w:rPr>
        <w:t xml:space="preserve"> </w:t>
      </w:r>
      <w:r w:rsidR="007B5415" w:rsidRPr="00B54B94">
        <w:rPr>
          <w:rFonts w:cs="Times New Roman"/>
          <w:sz w:val="24"/>
          <w:szCs w:val="24"/>
        </w:rPr>
        <w:t xml:space="preserve">economic risk in the hands of households and businesses.  </w:t>
      </w:r>
      <w:r w:rsidR="000A785A">
        <w:rPr>
          <w:rFonts w:cs="Times New Roman"/>
          <w:sz w:val="24"/>
          <w:szCs w:val="24"/>
        </w:rPr>
        <w:t>The rider</w:t>
      </w:r>
      <w:r w:rsidR="007B5415" w:rsidRPr="00B54B94">
        <w:rPr>
          <w:rFonts w:cs="Times New Roman"/>
          <w:sz w:val="24"/>
          <w:szCs w:val="24"/>
        </w:rPr>
        <w:t xml:space="preserve"> will ensure that all environmental costs, all fuel costs, all retrofit costs, wholesale market risk, and all other costs and risks associated with the operation, maintenance, and retrofit of these units is borne by </w:t>
      </w:r>
      <w:r w:rsidR="00642BC0">
        <w:rPr>
          <w:rFonts w:cs="Times New Roman"/>
          <w:sz w:val="24"/>
          <w:szCs w:val="24"/>
        </w:rPr>
        <w:t>customers</w:t>
      </w:r>
      <w:r w:rsidR="007B5415" w:rsidRPr="00B54B94">
        <w:rPr>
          <w:rFonts w:cs="Times New Roman"/>
          <w:sz w:val="24"/>
          <w:szCs w:val="24"/>
        </w:rPr>
        <w:t xml:space="preserve">.  </w:t>
      </w:r>
      <w:r w:rsidR="000A785A">
        <w:rPr>
          <w:rFonts w:cs="Times New Roman"/>
          <w:sz w:val="24"/>
          <w:szCs w:val="24"/>
        </w:rPr>
        <w:t>Other provisions in the Stipulation</w:t>
      </w:r>
      <w:r w:rsidR="000A785A" w:rsidRPr="00B54B94">
        <w:rPr>
          <w:rFonts w:cs="Times New Roman"/>
          <w:sz w:val="24"/>
          <w:szCs w:val="24"/>
        </w:rPr>
        <w:t xml:space="preserve"> </w:t>
      </w:r>
      <w:r w:rsidR="00B22730" w:rsidRPr="00B54B94">
        <w:rPr>
          <w:rFonts w:cs="Times New Roman"/>
          <w:sz w:val="24"/>
          <w:szCs w:val="24"/>
        </w:rPr>
        <w:t xml:space="preserve">also commit </w:t>
      </w:r>
      <w:r w:rsidR="0022788C">
        <w:rPr>
          <w:rFonts w:cs="Times New Roman"/>
          <w:sz w:val="24"/>
          <w:szCs w:val="24"/>
        </w:rPr>
        <w:t>AEP Ohio</w:t>
      </w:r>
      <w:r w:rsidR="00B22730" w:rsidRPr="00B54B94">
        <w:rPr>
          <w:rFonts w:cs="Times New Roman"/>
          <w:sz w:val="24"/>
          <w:szCs w:val="24"/>
        </w:rPr>
        <w:t xml:space="preserve"> to a path of submitting several additional cost recovery filings to the Commission to increase these costs on </w:t>
      </w:r>
      <w:r w:rsidR="00642BC0">
        <w:rPr>
          <w:rFonts w:cs="Times New Roman"/>
          <w:sz w:val="24"/>
          <w:szCs w:val="24"/>
        </w:rPr>
        <w:t>customers</w:t>
      </w:r>
      <w:r w:rsidR="00B22730" w:rsidRPr="00B54B94">
        <w:rPr>
          <w:rFonts w:cs="Times New Roman"/>
          <w:sz w:val="24"/>
          <w:szCs w:val="24"/>
        </w:rPr>
        <w:t xml:space="preserve"> even further.  </w:t>
      </w:r>
      <w:r w:rsidR="00D53954" w:rsidRPr="00B54B94">
        <w:rPr>
          <w:rFonts w:cs="Times New Roman"/>
          <w:sz w:val="24"/>
          <w:szCs w:val="24"/>
        </w:rPr>
        <w:t xml:space="preserve">Not only is this directly counter to the public interest, this is directly counter to the intention of deregulation, in which these pricing risks and costs should be borne by </w:t>
      </w:r>
      <w:r w:rsidR="00545948">
        <w:rPr>
          <w:rFonts w:cs="Times New Roman"/>
          <w:sz w:val="24"/>
          <w:szCs w:val="24"/>
        </w:rPr>
        <w:t xml:space="preserve">the </w:t>
      </w:r>
      <w:r w:rsidR="00D53954" w:rsidRPr="00B54B94">
        <w:rPr>
          <w:rFonts w:cs="Times New Roman"/>
          <w:sz w:val="24"/>
          <w:szCs w:val="24"/>
        </w:rPr>
        <w:t>firms operating in a competitive market.</w:t>
      </w:r>
    </w:p>
    <w:p w:rsidR="00397B0D" w:rsidRPr="00B54B94" w:rsidRDefault="00397B0D" w:rsidP="000D53EA">
      <w:pPr>
        <w:spacing w:line="480" w:lineRule="auto"/>
        <w:ind w:left="720" w:hanging="720"/>
        <w:rPr>
          <w:rFonts w:cs="Times New Roman"/>
          <w:sz w:val="24"/>
          <w:szCs w:val="24"/>
        </w:rPr>
      </w:pPr>
    </w:p>
    <w:p w:rsidR="00397B0D" w:rsidRPr="00B54B94" w:rsidRDefault="000A785A" w:rsidP="00397B0D">
      <w:pPr>
        <w:spacing w:line="480" w:lineRule="auto"/>
        <w:ind w:left="720"/>
        <w:rPr>
          <w:rFonts w:cs="Times New Roman"/>
          <w:sz w:val="24"/>
          <w:szCs w:val="24"/>
        </w:rPr>
      </w:pPr>
      <w:r>
        <w:rPr>
          <w:rFonts w:cs="Times New Roman"/>
          <w:sz w:val="24"/>
          <w:szCs w:val="24"/>
        </w:rPr>
        <w:t>As a package, the</w:t>
      </w:r>
      <w:r w:rsidR="00397B0D" w:rsidRPr="00B54B94">
        <w:rPr>
          <w:rFonts w:cs="Times New Roman"/>
          <w:sz w:val="24"/>
          <w:szCs w:val="24"/>
        </w:rPr>
        <w:t xml:space="preserve"> Stipulation introduce</w:t>
      </w:r>
      <w:r w:rsidR="001333CC">
        <w:rPr>
          <w:rFonts w:cs="Times New Roman"/>
          <w:sz w:val="24"/>
          <w:szCs w:val="24"/>
        </w:rPr>
        <w:t>s</w:t>
      </w:r>
      <w:r w:rsidR="00397B0D" w:rsidRPr="00B54B94">
        <w:rPr>
          <w:rFonts w:cs="Times New Roman"/>
          <w:sz w:val="24"/>
          <w:szCs w:val="24"/>
        </w:rPr>
        <w:t xml:space="preserve"> new taxes and surcharges on energy, create incentives for CRES </w:t>
      </w:r>
      <w:r w:rsidR="00545948">
        <w:rPr>
          <w:rFonts w:cs="Times New Roman"/>
          <w:sz w:val="24"/>
          <w:szCs w:val="24"/>
        </w:rPr>
        <w:t>providers</w:t>
      </w:r>
      <w:r w:rsidR="00545948" w:rsidRPr="00B54B94">
        <w:rPr>
          <w:rFonts w:cs="Times New Roman"/>
          <w:sz w:val="24"/>
          <w:szCs w:val="24"/>
        </w:rPr>
        <w:t xml:space="preserve"> </w:t>
      </w:r>
      <w:r w:rsidR="00397B0D" w:rsidRPr="00B54B94">
        <w:rPr>
          <w:rFonts w:cs="Times New Roman"/>
          <w:sz w:val="24"/>
          <w:szCs w:val="24"/>
        </w:rPr>
        <w:t>to distort the prices that they charge customers, solidifies a system of cross subsidies from businesses and households to a concentrated clientele of signatories, and introduces a system of credits to provide against mismanagement that only take effect for half of the term of the Stipulation.</w:t>
      </w:r>
    </w:p>
    <w:p w:rsidR="00B47C36" w:rsidRPr="00B54B94" w:rsidRDefault="00B47C36" w:rsidP="005E0F34">
      <w:pPr>
        <w:spacing w:line="480" w:lineRule="auto"/>
        <w:ind w:left="720" w:hanging="720"/>
        <w:rPr>
          <w:rFonts w:cs="Times New Roman"/>
          <w:sz w:val="24"/>
          <w:szCs w:val="24"/>
        </w:rPr>
      </w:pPr>
    </w:p>
    <w:p w:rsidR="00AB76B4" w:rsidRPr="00B54B94" w:rsidRDefault="005E0F34" w:rsidP="00B47C36">
      <w:pPr>
        <w:spacing w:line="480" w:lineRule="auto"/>
        <w:ind w:left="720"/>
        <w:rPr>
          <w:rFonts w:cs="Times New Roman"/>
          <w:sz w:val="24"/>
          <w:szCs w:val="24"/>
        </w:rPr>
      </w:pPr>
      <w:r w:rsidRPr="00B54B94">
        <w:rPr>
          <w:rFonts w:cs="Times New Roman"/>
          <w:sz w:val="24"/>
          <w:szCs w:val="24"/>
        </w:rPr>
        <w:t xml:space="preserve">Furthermore, </w:t>
      </w:r>
      <w:r w:rsidR="00AB76B4" w:rsidRPr="00B54B94">
        <w:rPr>
          <w:rFonts w:cs="Times New Roman"/>
          <w:sz w:val="24"/>
          <w:szCs w:val="24"/>
        </w:rPr>
        <w:t xml:space="preserve">I have already filed direct testimony (dated September 11, 2015) regarding the macroeconomic impact analysis provided by </w:t>
      </w:r>
      <w:r w:rsidR="0022788C">
        <w:rPr>
          <w:rFonts w:cs="Times New Roman"/>
          <w:sz w:val="24"/>
          <w:szCs w:val="24"/>
        </w:rPr>
        <w:t>AEP Ohio</w:t>
      </w:r>
      <w:r w:rsidR="00AB76B4" w:rsidRPr="00B54B94">
        <w:rPr>
          <w:rFonts w:cs="Times New Roman"/>
          <w:sz w:val="24"/>
          <w:szCs w:val="24"/>
        </w:rPr>
        <w:t xml:space="preserve"> for the PPA rider itself.  In that testimony, I provided at some length and detail, an explanation of how the macroeconomic analysis performed by </w:t>
      </w:r>
      <w:r w:rsidR="0022788C">
        <w:rPr>
          <w:rFonts w:cs="Times New Roman"/>
          <w:sz w:val="24"/>
          <w:szCs w:val="24"/>
        </w:rPr>
        <w:t>AEP Ohio</w:t>
      </w:r>
      <w:r w:rsidR="00AB76B4" w:rsidRPr="00B54B94">
        <w:rPr>
          <w:rFonts w:cs="Times New Roman"/>
          <w:sz w:val="24"/>
          <w:szCs w:val="24"/>
        </w:rPr>
        <w:t xml:space="preserve"> is not credible, and is based upon an outdated and flawed methodology.  Taken as a whole—the PPA rider </w:t>
      </w:r>
      <w:r w:rsidR="000A785A">
        <w:rPr>
          <w:rFonts w:cs="Times New Roman"/>
          <w:sz w:val="24"/>
          <w:szCs w:val="24"/>
        </w:rPr>
        <w:t xml:space="preserve">and </w:t>
      </w:r>
      <w:r w:rsidR="00AB76B4" w:rsidRPr="00B54B94">
        <w:rPr>
          <w:rFonts w:cs="Times New Roman"/>
          <w:sz w:val="24"/>
          <w:szCs w:val="24"/>
        </w:rPr>
        <w:t xml:space="preserve">the </w:t>
      </w:r>
      <w:r w:rsidR="000A785A">
        <w:rPr>
          <w:rFonts w:cs="Times New Roman"/>
          <w:sz w:val="24"/>
          <w:szCs w:val="24"/>
        </w:rPr>
        <w:t xml:space="preserve">other </w:t>
      </w:r>
      <w:r w:rsidR="00AB76B4" w:rsidRPr="00B54B94">
        <w:rPr>
          <w:rFonts w:cs="Times New Roman"/>
          <w:sz w:val="24"/>
          <w:szCs w:val="24"/>
        </w:rPr>
        <w:t xml:space="preserve">provisions of the Stipulation—the Commission has not been provided any </w:t>
      </w:r>
      <w:r w:rsidR="00D53954" w:rsidRPr="00B54B94">
        <w:rPr>
          <w:rFonts w:cs="Times New Roman"/>
          <w:sz w:val="24"/>
          <w:szCs w:val="24"/>
        </w:rPr>
        <w:t xml:space="preserve">inclusive </w:t>
      </w:r>
      <w:r w:rsidR="00AB76B4" w:rsidRPr="00B54B94">
        <w:rPr>
          <w:rFonts w:cs="Times New Roman"/>
          <w:sz w:val="24"/>
          <w:szCs w:val="24"/>
        </w:rPr>
        <w:t xml:space="preserve">economic impact assessment.  The economic assessment </w:t>
      </w:r>
      <w:r w:rsidR="000A785A">
        <w:rPr>
          <w:rFonts w:cs="Times New Roman"/>
          <w:sz w:val="24"/>
          <w:szCs w:val="24"/>
        </w:rPr>
        <w:t xml:space="preserve">provided by AEP Ohio </w:t>
      </w:r>
      <w:r w:rsidR="00AB76B4" w:rsidRPr="00B54B94">
        <w:rPr>
          <w:rFonts w:cs="Times New Roman"/>
          <w:sz w:val="24"/>
          <w:szCs w:val="24"/>
        </w:rPr>
        <w:t>for the PPA rider alone, that was performed prior to the introduction of the terms of the Stipulation, should not be trusted.  Moreover, the Stipulation adds several costly provisio</w:t>
      </w:r>
      <w:r w:rsidR="00D53954" w:rsidRPr="00B54B94">
        <w:rPr>
          <w:rFonts w:cs="Times New Roman"/>
          <w:sz w:val="24"/>
          <w:szCs w:val="24"/>
        </w:rPr>
        <w:t xml:space="preserve">ns, expenditures, riders and a </w:t>
      </w:r>
      <w:r w:rsidR="00AB76B4" w:rsidRPr="00B54B94">
        <w:rPr>
          <w:rFonts w:cs="Times New Roman"/>
          <w:sz w:val="24"/>
          <w:szCs w:val="24"/>
        </w:rPr>
        <w:t xml:space="preserve">distortionary energy tax to the PPA rider.  Any purported </w:t>
      </w:r>
      <w:r w:rsidR="00901BF8" w:rsidRPr="00B54B94">
        <w:rPr>
          <w:rFonts w:cs="Times New Roman"/>
          <w:sz w:val="24"/>
          <w:szCs w:val="24"/>
        </w:rPr>
        <w:t xml:space="preserve">positive </w:t>
      </w:r>
      <w:r w:rsidR="00AB76B4" w:rsidRPr="00B54B94">
        <w:rPr>
          <w:rFonts w:cs="Times New Roman"/>
          <w:sz w:val="24"/>
          <w:szCs w:val="24"/>
        </w:rPr>
        <w:t>economic benefits of the PPA rider</w:t>
      </w:r>
      <w:r w:rsidR="000A785A">
        <w:rPr>
          <w:rFonts w:cs="Times New Roman"/>
          <w:sz w:val="24"/>
          <w:szCs w:val="24"/>
        </w:rPr>
        <w:t xml:space="preserve"> described in</w:t>
      </w:r>
      <w:r w:rsidR="00901BF8" w:rsidRPr="00B54B94">
        <w:rPr>
          <w:rFonts w:cs="Times New Roman"/>
          <w:sz w:val="24"/>
          <w:szCs w:val="24"/>
        </w:rPr>
        <w:t xml:space="preserve"> the Stipulation</w:t>
      </w:r>
      <w:r w:rsidR="00511CB3" w:rsidRPr="00B54B94">
        <w:rPr>
          <w:rFonts w:cs="Times New Roman"/>
          <w:sz w:val="24"/>
          <w:szCs w:val="24"/>
        </w:rPr>
        <w:t>,</w:t>
      </w:r>
      <w:r w:rsidR="00901BF8" w:rsidRPr="00B54B94">
        <w:rPr>
          <w:rFonts w:cs="Times New Roman"/>
          <w:sz w:val="24"/>
          <w:szCs w:val="24"/>
        </w:rPr>
        <w:t xml:space="preserve"> are unfounded at best</w:t>
      </w:r>
      <w:r w:rsidR="00831BD0" w:rsidRPr="00B54B94">
        <w:rPr>
          <w:rFonts w:cs="Times New Roman"/>
          <w:sz w:val="24"/>
          <w:szCs w:val="24"/>
        </w:rPr>
        <w:t>.</w:t>
      </w:r>
      <w:r w:rsidR="003C7B33" w:rsidRPr="00B54B94">
        <w:rPr>
          <w:rFonts w:cs="Times New Roman"/>
          <w:sz w:val="24"/>
          <w:szCs w:val="24"/>
        </w:rPr>
        <w:t xml:space="preserve">  In my opinion, the PPA rider and the </w:t>
      </w:r>
      <w:r w:rsidR="000A785A">
        <w:rPr>
          <w:rFonts w:cs="Times New Roman"/>
          <w:sz w:val="24"/>
          <w:szCs w:val="24"/>
        </w:rPr>
        <w:t>rest of the</w:t>
      </w:r>
      <w:r w:rsidR="000A785A" w:rsidRPr="00B54B94">
        <w:rPr>
          <w:rFonts w:cs="Times New Roman"/>
          <w:sz w:val="24"/>
          <w:szCs w:val="24"/>
        </w:rPr>
        <w:t xml:space="preserve"> </w:t>
      </w:r>
      <w:r w:rsidR="003C7B33" w:rsidRPr="00B54B94">
        <w:rPr>
          <w:rFonts w:cs="Times New Roman"/>
          <w:sz w:val="24"/>
          <w:szCs w:val="24"/>
        </w:rPr>
        <w:t xml:space="preserve">Stipulation are </w:t>
      </w:r>
      <w:r w:rsidR="001C7E4C" w:rsidRPr="00B54B94">
        <w:rPr>
          <w:rFonts w:cs="Times New Roman"/>
          <w:sz w:val="24"/>
          <w:szCs w:val="24"/>
        </w:rPr>
        <w:t xml:space="preserve">not </w:t>
      </w:r>
      <w:r w:rsidR="003C7B33" w:rsidRPr="00B54B94">
        <w:rPr>
          <w:rFonts w:cs="Times New Roman"/>
          <w:sz w:val="24"/>
          <w:szCs w:val="24"/>
        </w:rPr>
        <w:t>of benefit to households, businesses, and the public more broadly.</w:t>
      </w:r>
    </w:p>
    <w:p w:rsidR="00480B0C" w:rsidRPr="00B54B94" w:rsidRDefault="00480B0C" w:rsidP="00B47C36">
      <w:pPr>
        <w:spacing w:line="480" w:lineRule="auto"/>
        <w:ind w:left="720"/>
        <w:rPr>
          <w:rFonts w:cs="Times New Roman"/>
          <w:sz w:val="24"/>
          <w:szCs w:val="24"/>
        </w:rPr>
      </w:pPr>
    </w:p>
    <w:p w:rsidR="00480B0C" w:rsidRDefault="00480B0C" w:rsidP="00480B0C">
      <w:pPr>
        <w:spacing w:line="480" w:lineRule="auto"/>
        <w:ind w:left="720"/>
        <w:rPr>
          <w:rFonts w:cs="Times New Roman"/>
          <w:sz w:val="24"/>
          <w:szCs w:val="24"/>
        </w:rPr>
      </w:pPr>
      <w:r w:rsidRPr="00B54B94">
        <w:rPr>
          <w:rFonts w:cs="Times New Roman"/>
          <w:sz w:val="24"/>
          <w:szCs w:val="24"/>
        </w:rPr>
        <w:t xml:space="preserve">At a time when households are struggling to keep up with the ever-increasing cost of living, the astronomical costs of college tuition, the increasing cost of housing, and flat-to-declining real wages, saddling </w:t>
      </w:r>
      <w:r w:rsidR="00545948">
        <w:rPr>
          <w:rFonts w:cs="Times New Roman"/>
          <w:sz w:val="24"/>
          <w:szCs w:val="24"/>
        </w:rPr>
        <w:t xml:space="preserve">AEP </w:t>
      </w:r>
      <w:r w:rsidRPr="00B54B94">
        <w:rPr>
          <w:rFonts w:cs="Times New Roman"/>
          <w:sz w:val="24"/>
          <w:szCs w:val="24"/>
        </w:rPr>
        <w:t>Ohio</w:t>
      </w:r>
      <w:r w:rsidR="00545948">
        <w:rPr>
          <w:rFonts w:cs="Times New Roman"/>
          <w:sz w:val="24"/>
          <w:szCs w:val="24"/>
        </w:rPr>
        <w:t>’s</w:t>
      </w:r>
      <w:r w:rsidRPr="00B54B94">
        <w:rPr>
          <w:rFonts w:cs="Times New Roman"/>
          <w:sz w:val="24"/>
          <w:szCs w:val="24"/>
        </w:rPr>
        <w:t xml:space="preserve"> </w:t>
      </w:r>
      <w:r w:rsidR="00545948">
        <w:rPr>
          <w:rFonts w:cs="Times New Roman"/>
          <w:sz w:val="24"/>
          <w:szCs w:val="24"/>
        </w:rPr>
        <w:t xml:space="preserve">customers </w:t>
      </w:r>
      <w:r w:rsidRPr="00B54B94">
        <w:rPr>
          <w:rFonts w:cs="Times New Roman"/>
          <w:sz w:val="24"/>
          <w:szCs w:val="24"/>
        </w:rPr>
        <w:t xml:space="preserve"> and businesses with a litany of additional riders, surcharges and taxes is most certainly not in the public interest.</w:t>
      </w:r>
    </w:p>
    <w:p w:rsidR="004108F3" w:rsidRDefault="004108F3" w:rsidP="00480B0C">
      <w:pPr>
        <w:spacing w:line="480" w:lineRule="auto"/>
        <w:ind w:left="720"/>
        <w:rPr>
          <w:rFonts w:cs="Times New Roman"/>
          <w:sz w:val="24"/>
          <w:szCs w:val="24"/>
        </w:rPr>
      </w:pPr>
    </w:p>
    <w:p w:rsidR="006E0834" w:rsidRDefault="006E0834" w:rsidP="006E0834">
      <w:pPr>
        <w:spacing w:line="480" w:lineRule="auto"/>
        <w:rPr>
          <w:rFonts w:cs="Times New Roman"/>
          <w:b/>
          <w:i/>
          <w:sz w:val="24"/>
          <w:szCs w:val="24"/>
        </w:rPr>
      </w:pPr>
      <w:r>
        <w:rPr>
          <w:rFonts w:cs="Times New Roman"/>
          <w:b/>
          <w:i/>
          <w:sz w:val="24"/>
          <w:szCs w:val="24"/>
        </w:rPr>
        <w:t>Q2</w:t>
      </w:r>
      <w:r w:rsidR="001074DC">
        <w:rPr>
          <w:rFonts w:cs="Times New Roman"/>
          <w:b/>
          <w:i/>
          <w:sz w:val="24"/>
          <w:szCs w:val="24"/>
        </w:rPr>
        <w:t>2</w:t>
      </w:r>
      <w:r>
        <w:rPr>
          <w:rFonts w:cs="Times New Roman"/>
          <w:b/>
          <w:i/>
          <w:sz w:val="24"/>
          <w:szCs w:val="24"/>
        </w:rPr>
        <w:t>.</w:t>
      </w:r>
      <w:r>
        <w:rPr>
          <w:rFonts w:cs="Times New Roman"/>
          <w:b/>
          <w:i/>
          <w:sz w:val="24"/>
          <w:szCs w:val="24"/>
        </w:rPr>
        <w:tab/>
        <w:t>PLEASE SUMMARIZE YOUR RECOMMENDATIONS</w:t>
      </w:r>
      <w:r w:rsidR="00397ED7">
        <w:rPr>
          <w:rFonts w:cs="Times New Roman"/>
          <w:b/>
          <w:i/>
          <w:sz w:val="24"/>
          <w:szCs w:val="24"/>
        </w:rPr>
        <w:t>.</w:t>
      </w:r>
    </w:p>
    <w:p w:rsidR="006E0834" w:rsidRPr="006E0834" w:rsidRDefault="006E0834" w:rsidP="001074DC">
      <w:pPr>
        <w:spacing w:line="480" w:lineRule="auto"/>
        <w:ind w:left="720" w:hanging="720"/>
        <w:rPr>
          <w:rFonts w:cs="Times New Roman"/>
          <w:sz w:val="24"/>
          <w:szCs w:val="24"/>
        </w:rPr>
      </w:pPr>
      <w:r>
        <w:rPr>
          <w:rFonts w:cs="Times New Roman"/>
          <w:b/>
          <w:i/>
          <w:sz w:val="24"/>
          <w:szCs w:val="24"/>
        </w:rPr>
        <w:t>A2</w:t>
      </w:r>
      <w:r w:rsidR="001074DC">
        <w:rPr>
          <w:rFonts w:cs="Times New Roman"/>
          <w:b/>
          <w:i/>
          <w:sz w:val="24"/>
          <w:szCs w:val="24"/>
        </w:rPr>
        <w:t>2</w:t>
      </w:r>
      <w:r>
        <w:rPr>
          <w:rFonts w:cs="Times New Roman"/>
          <w:b/>
          <w:i/>
          <w:sz w:val="24"/>
          <w:szCs w:val="24"/>
        </w:rPr>
        <w:t>.</w:t>
      </w:r>
      <w:r>
        <w:rPr>
          <w:rFonts w:cs="Times New Roman"/>
          <w:b/>
          <w:i/>
          <w:sz w:val="24"/>
          <w:szCs w:val="24"/>
        </w:rPr>
        <w:tab/>
      </w:r>
      <w:r w:rsidR="00397ED7">
        <w:rPr>
          <w:rFonts w:cs="Times New Roman"/>
          <w:sz w:val="24"/>
          <w:szCs w:val="24"/>
        </w:rPr>
        <w:t>For the foregoing reasons, t</w:t>
      </w:r>
      <w:r>
        <w:rPr>
          <w:rFonts w:cs="Times New Roman"/>
          <w:sz w:val="24"/>
          <w:szCs w:val="24"/>
        </w:rPr>
        <w:t xml:space="preserve">he Stipulation fails </w:t>
      </w:r>
      <w:r w:rsidR="00397ED7">
        <w:rPr>
          <w:rFonts w:cs="Times New Roman"/>
          <w:sz w:val="24"/>
          <w:szCs w:val="24"/>
        </w:rPr>
        <w:t>each part of the</w:t>
      </w:r>
      <w:r>
        <w:rPr>
          <w:rFonts w:cs="Times New Roman"/>
          <w:sz w:val="24"/>
          <w:szCs w:val="24"/>
        </w:rPr>
        <w:t xml:space="preserve"> three-prong test and should be rejected.</w:t>
      </w:r>
    </w:p>
    <w:p w:rsidR="002468F6" w:rsidRPr="00B54B94" w:rsidRDefault="002468F6" w:rsidP="00480B0C">
      <w:pPr>
        <w:spacing w:line="480" w:lineRule="auto"/>
        <w:ind w:left="720"/>
        <w:rPr>
          <w:rFonts w:cs="Times New Roman"/>
          <w:sz w:val="24"/>
          <w:szCs w:val="24"/>
        </w:rPr>
      </w:pPr>
    </w:p>
    <w:p w:rsidR="00480B0C" w:rsidRPr="00B54B94" w:rsidRDefault="00AC70D7" w:rsidP="00AC70D7">
      <w:pPr>
        <w:pStyle w:val="Heading1"/>
        <w:rPr>
          <w:rFonts w:cs="Times New Roman"/>
          <w:sz w:val="24"/>
          <w:szCs w:val="24"/>
        </w:rPr>
      </w:pPr>
      <w:bookmarkStart w:id="13" w:name="_Toc439078832"/>
      <w:r w:rsidRPr="00B54B94">
        <w:rPr>
          <w:rFonts w:cs="Times New Roman"/>
          <w:sz w:val="24"/>
          <w:szCs w:val="24"/>
        </w:rPr>
        <w:t>CONCLUSION</w:t>
      </w:r>
      <w:bookmarkEnd w:id="13"/>
    </w:p>
    <w:p w:rsidR="00AC70D7" w:rsidRPr="00B54B94" w:rsidRDefault="00AC70D7" w:rsidP="002468F6">
      <w:pPr>
        <w:spacing w:line="480" w:lineRule="auto"/>
        <w:rPr>
          <w:rFonts w:cs="Times New Roman"/>
          <w:sz w:val="24"/>
          <w:szCs w:val="24"/>
        </w:rPr>
      </w:pPr>
    </w:p>
    <w:p w:rsidR="00B84430" w:rsidRPr="00706BD6" w:rsidRDefault="00B84430" w:rsidP="002468F6">
      <w:pPr>
        <w:spacing w:line="480" w:lineRule="auto"/>
        <w:ind w:left="720" w:hanging="720"/>
        <w:rPr>
          <w:rFonts w:cs="Times New Roman"/>
          <w:b/>
          <w:i/>
          <w:sz w:val="24"/>
          <w:szCs w:val="24"/>
        </w:rPr>
      </w:pPr>
      <w:r w:rsidRPr="00706BD6">
        <w:rPr>
          <w:rFonts w:cs="Times New Roman"/>
          <w:b/>
          <w:i/>
          <w:sz w:val="24"/>
          <w:szCs w:val="24"/>
        </w:rPr>
        <w:t>Q</w:t>
      </w:r>
      <w:r w:rsidR="00706BD6" w:rsidRPr="00706BD6">
        <w:rPr>
          <w:rFonts w:cs="Times New Roman"/>
          <w:b/>
          <w:i/>
          <w:sz w:val="24"/>
          <w:szCs w:val="24"/>
        </w:rPr>
        <w:t>2</w:t>
      </w:r>
      <w:r w:rsidR="001074DC">
        <w:rPr>
          <w:rFonts w:cs="Times New Roman"/>
          <w:b/>
          <w:i/>
          <w:sz w:val="24"/>
          <w:szCs w:val="24"/>
        </w:rPr>
        <w:t>3</w:t>
      </w:r>
      <w:r w:rsidRPr="00706BD6">
        <w:rPr>
          <w:rFonts w:cs="Times New Roman"/>
          <w:b/>
          <w:i/>
          <w:sz w:val="24"/>
          <w:szCs w:val="24"/>
        </w:rPr>
        <w:t>.</w:t>
      </w:r>
      <w:r w:rsidRPr="00706BD6">
        <w:rPr>
          <w:rFonts w:cs="Times New Roman"/>
          <w:b/>
          <w:i/>
          <w:sz w:val="24"/>
          <w:szCs w:val="24"/>
        </w:rPr>
        <w:tab/>
        <w:t>DOES THIS CONCLUDE YOUR WRITTEN TESTIMONY?</w:t>
      </w:r>
    </w:p>
    <w:p w:rsidR="00B54B94" w:rsidRDefault="00B84430" w:rsidP="000D53EA">
      <w:pPr>
        <w:spacing w:line="480" w:lineRule="auto"/>
        <w:ind w:left="720" w:hanging="720"/>
        <w:sectPr w:rsidR="00B54B94" w:rsidSect="00D90A34">
          <w:type w:val="continuous"/>
          <w:pgSz w:w="12240" w:h="15840"/>
          <w:pgMar w:top="1440" w:right="1800" w:bottom="1440" w:left="1800" w:header="720" w:footer="720" w:gutter="0"/>
          <w:lnNumType w:countBy="1"/>
          <w:cols w:space="720"/>
          <w:docGrid w:linePitch="360"/>
        </w:sectPr>
      </w:pPr>
      <w:r w:rsidRPr="00706BD6">
        <w:rPr>
          <w:rFonts w:cs="Times New Roman"/>
          <w:b/>
          <w:i/>
          <w:sz w:val="24"/>
          <w:szCs w:val="24"/>
        </w:rPr>
        <w:t>A</w:t>
      </w:r>
      <w:r w:rsidR="00706BD6" w:rsidRPr="00706BD6">
        <w:rPr>
          <w:rFonts w:cs="Times New Roman"/>
          <w:b/>
          <w:i/>
          <w:sz w:val="24"/>
          <w:szCs w:val="24"/>
        </w:rPr>
        <w:t>2</w:t>
      </w:r>
      <w:r w:rsidR="001074DC">
        <w:rPr>
          <w:rFonts w:cs="Times New Roman"/>
          <w:b/>
          <w:i/>
          <w:sz w:val="24"/>
          <w:szCs w:val="24"/>
        </w:rPr>
        <w:t>3</w:t>
      </w:r>
      <w:r w:rsidRPr="00706BD6">
        <w:rPr>
          <w:rFonts w:cs="Times New Roman"/>
          <w:b/>
          <w:i/>
          <w:sz w:val="24"/>
          <w:szCs w:val="24"/>
        </w:rPr>
        <w:t>.</w:t>
      </w:r>
      <w:r w:rsidRPr="00B54B94">
        <w:rPr>
          <w:rFonts w:cs="Times New Roman"/>
          <w:sz w:val="24"/>
          <w:szCs w:val="24"/>
        </w:rPr>
        <w:tab/>
        <w:t>Yes, it does.</w:t>
      </w:r>
    </w:p>
    <w:p w:rsidR="00B54B94" w:rsidRDefault="00B54B94" w:rsidP="00B54B94">
      <w:pPr>
        <w:ind w:right="-90"/>
        <w:jc w:val="center"/>
        <w:rPr>
          <w:rFonts w:cs="Times New Roman"/>
          <w:b/>
          <w:sz w:val="24"/>
          <w:szCs w:val="24"/>
          <w:u w:val="single"/>
        </w:rPr>
      </w:pPr>
      <w:r w:rsidRPr="00FB124A">
        <w:rPr>
          <w:rFonts w:cs="Times New Roman"/>
          <w:b/>
          <w:sz w:val="24"/>
          <w:szCs w:val="24"/>
          <w:u w:val="single"/>
        </w:rPr>
        <w:t>CERTIFICATE OF SERVICE</w:t>
      </w:r>
    </w:p>
    <w:p w:rsidR="00B54B94" w:rsidRPr="00FB124A" w:rsidRDefault="00B54B94" w:rsidP="00B54B94">
      <w:pPr>
        <w:ind w:right="-90"/>
        <w:jc w:val="center"/>
        <w:rPr>
          <w:rFonts w:cs="Times New Roman"/>
          <w:sz w:val="24"/>
          <w:szCs w:val="24"/>
        </w:rPr>
      </w:pPr>
    </w:p>
    <w:p w:rsidR="00B54B94" w:rsidRDefault="00B54B94" w:rsidP="00B54B94">
      <w:pPr>
        <w:suppressAutoHyphens/>
        <w:spacing w:line="480" w:lineRule="auto"/>
        <w:ind w:right="-90" w:firstLine="720"/>
        <w:rPr>
          <w:rFonts w:cs="Times New Roman"/>
          <w:bCs/>
          <w:spacing w:val="-3"/>
          <w:sz w:val="24"/>
          <w:szCs w:val="24"/>
        </w:rPr>
      </w:pPr>
      <w:r w:rsidRPr="00FB124A">
        <w:rPr>
          <w:rFonts w:cs="Times New Roman"/>
          <w:bCs/>
          <w:spacing w:val="-3"/>
          <w:sz w:val="24"/>
          <w:szCs w:val="24"/>
        </w:rPr>
        <w:t>I hereby certif</w:t>
      </w:r>
      <w:r>
        <w:rPr>
          <w:rFonts w:cs="Times New Roman"/>
          <w:bCs/>
          <w:spacing w:val="-3"/>
          <w:sz w:val="24"/>
          <w:szCs w:val="24"/>
        </w:rPr>
        <w:t>y</w:t>
      </w:r>
      <w:r w:rsidRPr="00FB124A">
        <w:rPr>
          <w:rFonts w:cs="Times New Roman"/>
          <w:bCs/>
          <w:spacing w:val="-3"/>
          <w:sz w:val="24"/>
          <w:szCs w:val="24"/>
        </w:rPr>
        <w:t xml:space="preserve"> that a true copy of the foregoing </w:t>
      </w:r>
      <w:r>
        <w:rPr>
          <w:rFonts w:cs="Times New Roman"/>
          <w:bCs/>
          <w:i/>
          <w:spacing w:val="-3"/>
          <w:sz w:val="24"/>
          <w:szCs w:val="24"/>
        </w:rPr>
        <w:t>D</w:t>
      </w:r>
      <w:r w:rsidRPr="00FB124A">
        <w:rPr>
          <w:rFonts w:cs="Times New Roman"/>
          <w:bCs/>
          <w:i/>
          <w:spacing w:val="-3"/>
          <w:sz w:val="24"/>
          <w:szCs w:val="24"/>
        </w:rPr>
        <w:t>irect Testimony of</w:t>
      </w:r>
      <w:r w:rsidRPr="000F77A9">
        <w:rPr>
          <w:rFonts w:cs="Times New Roman"/>
          <w:bCs/>
          <w:i/>
          <w:spacing w:val="-3"/>
          <w:sz w:val="24"/>
          <w:szCs w:val="24"/>
        </w:rPr>
        <w:t xml:space="preserve"> </w:t>
      </w:r>
      <w:r>
        <w:rPr>
          <w:rFonts w:cs="Times New Roman"/>
          <w:bCs/>
          <w:i/>
          <w:spacing w:val="-3"/>
          <w:sz w:val="24"/>
          <w:szCs w:val="24"/>
        </w:rPr>
        <w:t>Noah C. Dormady</w:t>
      </w:r>
      <w:r w:rsidR="004108F3">
        <w:rPr>
          <w:rFonts w:cs="Times New Roman"/>
          <w:bCs/>
          <w:i/>
          <w:spacing w:val="-3"/>
          <w:sz w:val="24"/>
          <w:szCs w:val="24"/>
        </w:rPr>
        <w:t>, Ph.D.</w:t>
      </w:r>
      <w:r>
        <w:rPr>
          <w:rFonts w:cs="Times New Roman"/>
          <w:bCs/>
          <w:i/>
          <w:spacing w:val="-3"/>
          <w:sz w:val="24"/>
          <w:szCs w:val="24"/>
        </w:rPr>
        <w:t xml:space="preserve"> </w:t>
      </w:r>
      <w:r w:rsidRPr="00FB124A">
        <w:rPr>
          <w:rFonts w:cs="Times New Roman"/>
          <w:bCs/>
          <w:i/>
          <w:spacing w:val="-3"/>
          <w:sz w:val="24"/>
          <w:szCs w:val="24"/>
        </w:rPr>
        <w:t xml:space="preserve">on Behalf of the Office of the </w:t>
      </w:r>
      <w:r w:rsidRPr="00FB124A">
        <w:rPr>
          <w:rFonts w:cs="Times New Roman"/>
          <w:bCs/>
          <w:i/>
          <w:iCs/>
          <w:spacing w:val="-3"/>
          <w:sz w:val="24"/>
          <w:szCs w:val="24"/>
        </w:rPr>
        <w:t>Ohio Consumers’ Counsel</w:t>
      </w:r>
      <w:r>
        <w:rPr>
          <w:rFonts w:cs="Times New Roman"/>
          <w:bCs/>
          <w:i/>
          <w:iCs/>
          <w:spacing w:val="-3"/>
          <w:sz w:val="24"/>
          <w:szCs w:val="24"/>
        </w:rPr>
        <w:t xml:space="preserve"> </w:t>
      </w:r>
      <w:r w:rsidRPr="00FB124A">
        <w:rPr>
          <w:rFonts w:cs="Times New Roman"/>
          <w:bCs/>
          <w:spacing w:val="-3"/>
          <w:sz w:val="24"/>
          <w:szCs w:val="24"/>
        </w:rPr>
        <w:t xml:space="preserve"> was served vi</w:t>
      </w:r>
      <w:r>
        <w:rPr>
          <w:rFonts w:cs="Times New Roman"/>
          <w:bCs/>
          <w:spacing w:val="-3"/>
          <w:sz w:val="24"/>
          <w:szCs w:val="24"/>
        </w:rPr>
        <w:t>a electronic transmission this 28</w:t>
      </w:r>
      <w:r w:rsidRPr="00686ECE">
        <w:rPr>
          <w:rFonts w:cs="Times New Roman"/>
          <w:bCs/>
          <w:spacing w:val="-3"/>
          <w:sz w:val="24"/>
          <w:szCs w:val="24"/>
          <w:vertAlign w:val="superscript"/>
        </w:rPr>
        <w:t>th</w:t>
      </w:r>
      <w:r w:rsidRPr="00FB124A">
        <w:rPr>
          <w:rFonts w:cs="Times New Roman"/>
          <w:bCs/>
          <w:spacing w:val="-3"/>
          <w:sz w:val="24"/>
          <w:szCs w:val="24"/>
        </w:rPr>
        <w:t xml:space="preserve"> day of </w:t>
      </w:r>
      <w:r>
        <w:rPr>
          <w:rFonts w:cs="Times New Roman"/>
          <w:bCs/>
          <w:spacing w:val="-3"/>
          <w:sz w:val="24"/>
          <w:szCs w:val="24"/>
        </w:rPr>
        <w:t>December, 2015 upon the parties below</w:t>
      </w:r>
      <w:r w:rsidRPr="00FB124A">
        <w:rPr>
          <w:rFonts w:cs="Times New Roman"/>
          <w:bCs/>
          <w:spacing w:val="-3"/>
          <w:sz w:val="24"/>
          <w:szCs w:val="24"/>
        </w:rPr>
        <w:t>.</w:t>
      </w:r>
    </w:p>
    <w:p w:rsidR="00B54B94" w:rsidRPr="0049580C" w:rsidRDefault="00B54B94" w:rsidP="00B54B94">
      <w:pPr>
        <w:pStyle w:val="EndnoteText"/>
        <w:tabs>
          <w:tab w:val="left" w:pos="-720"/>
          <w:tab w:val="left" w:pos="5040"/>
        </w:tabs>
        <w:suppressAutoHyphens/>
        <w:ind w:right="-90"/>
        <w:rPr>
          <w:rFonts w:ascii="Times New Roman" w:hAnsi="Times New Roman"/>
          <w:bCs/>
          <w:i/>
          <w:snapToGrid/>
          <w:spacing w:val="-3"/>
          <w:szCs w:val="24"/>
          <w:u w:val="single"/>
        </w:rPr>
      </w:pPr>
      <w:r>
        <w:rPr>
          <w:rFonts w:ascii="Times New Roman" w:hAnsi="Times New Roman"/>
          <w:bCs/>
          <w:snapToGrid/>
          <w:spacing w:val="-3"/>
          <w:szCs w:val="24"/>
        </w:rPr>
        <w:tab/>
      </w:r>
      <w:r w:rsidRPr="0049580C">
        <w:rPr>
          <w:rFonts w:ascii="Times New Roman" w:hAnsi="Times New Roman"/>
          <w:bCs/>
          <w:i/>
          <w:snapToGrid/>
          <w:spacing w:val="-3"/>
          <w:szCs w:val="24"/>
          <w:u w:val="single"/>
        </w:rPr>
        <w:t>/s/ William J. Michael</w:t>
      </w:r>
      <w:r w:rsidRPr="0049580C">
        <w:rPr>
          <w:rFonts w:ascii="Times New Roman" w:hAnsi="Times New Roman"/>
          <w:bCs/>
          <w:i/>
          <w:snapToGrid/>
          <w:spacing w:val="-3"/>
          <w:szCs w:val="24"/>
          <w:u w:val="single"/>
        </w:rPr>
        <w:tab/>
      </w:r>
      <w:r w:rsidRPr="0049580C">
        <w:rPr>
          <w:rFonts w:ascii="Times New Roman" w:hAnsi="Times New Roman"/>
          <w:bCs/>
          <w:i/>
          <w:snapToGrid/>
          <w:spacing w:val="-3"/>
          <w:szCs w:val="24"/>
          <w:u w:val="single"/>
        </w:rPr>
        <w:tab/>
      </w:r>
      <w:r w:rsidRPr="0049580C">
        <w:rPr>
          <w:rFonts w:ascii="Times New Roman" w:hAnsi="Times New Roman"/>
          <w:bCs/>
          <w:i/>
          <w:snapToGrid/>
          <w:spacing w:val="-3"/>
          <w:szCs w:val="24"/>
          <w:u w:val="single"/>
        </w:rPr>
        <w:tab/>
      </w:r>
    </w:p>
    <w:p w:rsidR="00B54B94" w:rsidRPr="00EA18E9" w:rsidRDefault="00B54B94" w:rsidP="00B54B94">
      <w:pPr>
        <w:pStyle w:val="EndnoteText"/>
        <w:tabs>
          <w:tab w:val="left" w:pos="-720"/>
          <w:tab w:val="left" w:pos="5040"/>
        </w:tabs>
        <w:suppressAutoHyphens/>
        <w:ind w:right="-90"/>
        <w:rPr>
          <w:rFonts w:ascii="Times New Roman" w:hAnsi="Times New Roman"/>
          <w:bCs/>
          <w:snapToGrid/>
          <w:spacing w:val="-3"/>
          <w:szCs w:val="24"/>
        </w:rPr>
      </w:pPr>
      <w:r w:rsidRPr="00EA18E9">
        <w:rPr>
          <w:rFonts w:ascii="Times New Roman" w:hAnsi="Times New Roman"/>
          <w:bCs/>
          <w:snapToGrid/>
          <w:spacing w:val="-3"/>
          <w:szCs w:val="24"/>
        </w:rPr>
        <w:tab/>
        <w:t>William J. Michael</w:t>
      </w:r>
    </w:p>
    <w:p w:rsidR="00B54B94" w:rsidRDefault="00B54B94" w:rsidP="00B54B94">
      <w:pPr>
        <w:pStyle w:val="EndnoteText"/>
        <w:widowControl/>
        <w:tabs>
          <w:tab w:val="left" w:pos="-720"/>
          <w:tab w:val="left" w:pos="5040"/>
        </w:tabs>
        <w:suppressAutoHyphens/>
        <w:ind w:right="-90"/>
        <w:rPr>
          <w:rFonts w:ascii="Times New Roman" w:hAnsi="Times New Roman"/>
          <w:bCs/>
          <w:snapToGrid/>
          <w:spacing w:val="-3"/>
          <w:szCs w:val="24"/>
        </w:rPr>
      </w:pPr>
      <w:r w:rsidRPr="00EA18E9">
        <w:rPr>
          <w:rFonts w:ascii="Times New Roman" w:hAnsi="Times New Roman"/>
          <w:bCs/>
          <w:snapToGrid/>
          <w:spacing w:val="-3"/>
          <w:szCs w:val="24"/>
        </w:rPr>
        <w:tab/>
        <w:t>Assistant Consumers’ Counsel</w:t>
      </w:r>
    </w:p>
    <w:p w:rsidR="00B54B94" w:rsidRPr="00FB124A" w:rsidRDefault="00B54B94" w:rsidP="00B54B94">
      <w:pPr>
        <w:pStyle w:val="EndnoteText"/>
        <w:widowControl/>
        <w:tabs>
          <w:tab w:val="left" w:pos="-720"/>
          <w:tab w:val="left" w:pos="5040"/>
        </w:tabs>
        <w:suppressAutoHyphens/>
        <w:ind w:right="-90"/>
        <w:rPr>
          <w:rFonts w:ascii="Times New Roman" w:hAnsi="Times New Roman"/>
          <w:bCs/>
          <w:snapToGrid/>
          <w:spacing w:val="-3"/>
          <w:szCs w:val="24"/>
        </w:rPr>
      </w:pPr>
    </w:p>
    <w:p w:rsidR="00B54B94" w:rsidRPr="00887E0B" w:rsidRDefault="00B54B94" w:rsidP="00B54B94">
      <w:pPr>
        <w:jc w:val="center"/>
        <w:rPr>
          <w:rFonts w:cs="Times New Roman"/>
          <w:b/>
          <w:sz w:val="24"/>
          <w:szCs w:val="24"/>
          <w:u w:val="single"/>
        </w:rPr>
      </w:pPr>
      <w:r w:rsidRPr="00887E0B">
        <w:rPr>
          <w:rFonts w:cs="Times New Roman"/>
          <w:b/>
          <w:sz w:val="24"/>
          <w:szCs w:val="24"/>
          <w:u w:val="single"/>
        </w:rPr>
        <w:t>SERVICE LIST</w:t>
      </w:r>
    </w:p>
    <w:p w:rsidR="00B54B94" w:rsidRPr="00887E0B" w:rsidRDefault="00B54B94" w:rsidP="00B54B94">
      <w:pPr>
        <w:jc w:val="center"/>
        <w:rPr>
          <w:rFonts w:eastAsia="Calibri" w:cs="Times New Roman"/>
          <w:b/>
          <w:sz w:val="24"/>
          <w:szCs w:val="24"/>
          <w:u w:val="single"/>
        </w:rPr>
      </w:pPr>
    </w:p>
    <w:tbl>
      <w:tblPr>
        <w:tblW w:w="0" w:type="auto"/>
        <w:tblLook w:val="01E0" w:firstRow="1" w:lastRow="1" w:firstColumn="1" w:lastColumn="1" w:noHBand="0" w:noVBand="0"/>
      </w:tblPr>
      <w:tblGrid>
        <w:gridCol w:w="4428"/>
        <w:gridCol w:w="4428"/>
      </w:tblGrid>
      <w:tr w:rsidR="001074DC" w:rsidRPr="00FB0796" w:rsidTr="009657E6">
        <w:tc>
          <w:tcPr>
            <w:tcW w:w="4428" w:type="dxa"/>
          </w:tcPr>
          <w:p w:rsidR="001074DC" w:rsidRDefault="005E2337" w:rsidP="009657E6">
            <w:pPr>
              <w:autoSpaceDE w:val="0"/>
              <w:autoSpaceDN w:val="0"/>
              <w:adjustRightInd w:val="0"/>
            </w:pPr>
            <w:hyperlink r:id="rId17" w:history="1">
              <w:r w:rsidR="00FC73BA" w:rsidRPr="00D469CD">
                <w:rPr>
                  <w:rStyle w:val="Hyperlink"/>
                </w:rPr>
                <w:t>Steven.beeler@puc.state.oh.us</w:t>
              </w:r>
            </w:hyperlink>
          </w:p>
          <w:p w:rsidR="001074DC" w:rsidRDefault="005E2337" w:rsidP="009657E6">
            <w:pPr>
              <w:autoSpaceDE w:val="0"/>
              <w:autoSpaceDN w:val="0"/>
              <w:adjustRightInd w:val="0"/>
            </w:pPr>
            <w:hyperlink r:id="rId18" w:history="1">
              <w:r w:rsidR="00FC73BA" w:rsidRPr="00D469CD">
                <w:rPr>
                  <w:rStyle w:val="Hyperlink"/>
                </w:rPr>
                <w:t>Werner.margard@puc.state.oh.us</w:t>
              </w:r>
            </w:hyperlink>
          </w:p>
          <w:p w:rsidR="001074DC" w:rsidRDefault="005E2337" w:rsidP="009657E6">
            <w:pPr>
              <w:autoSpaceDE w:val="0"/>
              <w:autoSpaceDN w:val="0"/>
              <w:adjustRightInd w:val="0"/>
            </w:pPr>
            <w:hyperlink r:id="rId19" w:history="1">
              <w:r w:rsidR="00FC73BA" w:rsidRPr="00D469CD">
                <w:rPr>
                  <w:rStyle w:val="Hyperlink"/>
                </w:rPr>
                <w:t>haydenm@firstenergycorp.com</w:t>
              </w:r>
            </w:hyperlink>
          </w:p>
          <w:p w:rsidR="001074DC" w:rsidRDefault="005E2337" w:rsidP="009657E6">
            <w:pPr>
              <w:autoSpaceDE w:val="0"/>
              <w:autoSpaceDN w:val="0"/>
              <w:adjustRightInd w:val="0"/>
            </w:pPr>
            <w:hyperlink r:id="rId20" w:history="1">
              <w:r w:rsidR="00FC73BA" w:rsidRPr="00D469CD">
                <w:rPr>
                  <w:rStyle w:val="Hyperlink"/>
                </w:rPr>
                <w:t>jmcdermott@firstenergycorp.com</w:t>
              </w:r>
            </w:hyperlink>
          </w:p>
          <w:p w:rsidR="001074DC" w:rsidRDefault="005E2337" w:rsidP="009657E6">
            <w:pPr>
              <w:autoSpaceDE w:val="0"/>
              <w:autoSpaceDN w:val="0"/>
              <w:adjustRightInd w:val="0"/>
            </w:pPr>
            <w:hyperlink r:id="rId21" w:history="1">
              <w:r w:rsidR="00FC73BA" w:rsidRPr="00D469CD">
                <w:rPr>
                  <w:rStyle w:val="Hyperlink"/>
                </w:rPr>
                <w:t>scasto@firstenergycorp.com</w:t>
              </w:r>
            </w:hyperlink>
          </w:p>
          <w:p w:rsidR="001074DC" w:rsidRDefault="005E2337" w:rsidP="009657E6">
            <w:pPr>
              <w:autoSpaceDE w:val="0"/>
              <w:autoSpaceDN w:val="0"/>
              <w:adjustRightInd w:val="0"/>
            </w:pPr>
            <w:hyperlink r:id="rId22" w:history="1">
              <w:r w:rsidR="00FC73BA" w:rsidRPr="00D469CD">
                <w:rPr>
                  <w:rStyle w:val="Hyperlink"/>
                </w:rPr>
                <w:t>jlang@calfee.com</w:t>
              </w:r>
            </w:hyperlink>
          </w:p>
          <w:p w:rsidR="001074DC" w:rsidRDefault="005E2337" w:rsidP="009657E6">
            <w:pPr>
              <w:autoSpaceDE w:val="0"/>
              <w:autoSpaceDN w:val="0"/>
              <w:adjustRightInd w:val="0"/>
            </w:pPr>
            <w:hyperlink r:id="rId23" w:history="1">
              <w:r w:rsidR="00FC73BA" w:rsidRPr="00D469CD">
                <w:rPr>
                  <w:rStyle w:val="Hyperlink"/>
                </w:rPr>
                <w:t>talexander@calfee.com</w:t>
              </w:r>
            </w:hyperlink>
          </w:p>
          <w:p w:rsidR="001074DC" w:rsidRDefault="005E2337" w:rsidP="009657E6">
            <w:pPr>
              <w:autoSpaceDE w:val="0"/>
              <w:autoSpaceDN w:val="0"/>
              <w:adjustRightInd w:val="0"/>
            </w:pPr>
            <w:hyperlink r:id="rId24" w:history="1">
              <w:r w:rsidR="00FC73BA" w:rsidRPr="00D469CD">
                <w:rPr>
                  <w:rStyle w:val="Hyperlink"/>
                </w:rPr>
                <w:t>myurick@taftlaw.com</w:t>
              </w:r>
            </w:hyperlink>
          </w:p>
          <w:p w:rsidR="001074DC" w:rsidRDefault="005E2337" w:rsidP="009657E6">
            <w:pPr>
              <w:autoSpaceDE w:val="0"/>
              <w:autoSpaceDN w:val="0"/>
              <w:adjustRightInd w:val="0"/>
            </w:pPr>
            <w:hyperlink r:id="rId25" w:history="1">
              <w:r w:rsidR="00FC73BA" w:rsidRPr="00D469CD">
                <w:rPr>
                  <w:rStyle w:val="Hyperlink"/>
                </w:rPr>
                <w:t>callwein@keglerbrown.com</w:t>
              </w:r>
            </w:hyperlink>
          </w:p>
          <w:p w:rsidR="001074DC" w:rsidRDefault="005E2337" w:rsidP="009657E6">
            <w:pPr>
              <w:autoSpaceDE w:val="0"/>
              <w:autoSpaceDN w:val="0"/>
              <w:adjustRightInd w:val="0"/>
            </w:pPr>
            <w:hyperlink r:id="rId26" w:history="1">
              <w:r w:rsidR="00FC73BA" w:rsidRPr="00D469CD">
                <w:rPr>
                  <w:rStyle w:val="Hyperlink"/>
                </w:rPr>
                <w:t>tony.mendoza@sierraclub.org</w:t>
              </w:r>
            </w:hyperlink>
          </w:p>
          <w:p w:rsidR="001074DC" w:rsidRDefault="005E2337" w:rsidP="009657E6">
            <w:pPr>
              <w:autoSpaceDE w:val="0"/>
              <w:autoSpaceDN w:val="0"/>
              <w:adjustRightInd w:val="0"/>
            </w:pPr>
            <w:hyperlink r:id="rId27" w:history="1">
              <w:r w:rsidR="00FC73BA" w:rsidRPr="00D469CD">
                <w:rPr>
                  <w:rStyle w:val="Hyperlink"/>
                </w:rPr>
                <w:t>tdougherty@theOEC.org</w:t>
              </w:r>
            </w:hyperlink>
          </w:p>
          <w:p w:rsidR="001074DC" w:rsidRDefault="005E2337" w:rsidP="009657E6">
            <w:pPr>
              <w:autoSpaceDE w:val="0"/>
              <w:autoSpaceDN w:val="0"/>
              <w:adjustRightInd w:val="0"/>
            </w:pPr>
            <w:hyperlink r:id="rId28" w:history="1">
              <w:r w:rsidR="00FC73BA" w:rsidRPr="00D469CD">
                <w:rPr>
                  <w:rStyle w:val="Hyperlink"/>
                </w:rPr>
                <w:t>twilliams@snhslaw.com</w:t>
              </w:r>
            </w:hyperlink>
          </w:p>
          <w:p w:rsidR="001074DC" w:rsidRDefault="005E2337" w:rsidP="009657E6">
            <w:pPr>
              <w:autoSpaceDE w:val="0"/>
              <w:autoSpaceDN w:val="0"/>
              <w:adjustRightInd w:val="0"/>
            </w:pPr>
            <w:hyperlink r:id="rId29" w:history="1">
              <w:r w:rsidR="00FC73BA" w:rsidRPr="00D469CD">
                <w:rPr>
                  <w:rStyle w:val="Hyperlink"/>
                </w:rPr>
                <w:t>jeffrey.mayes@monitoringanalytics.com</w:t>
              </w:r>
            </w:hyperlink>
          </w:p>
          <w:p w:rsidR="001074DC" w:rsidRDefault="005E2337" w:rsidP="009657E6">
            <w:pPr>
              <w:autoSpaceDE w:val="0"/>
              <w:autoSpaceDN w:val="0"/>
              <w:adjustRightInd w:val="0"/>
            </w:pPr>
            <w:hyperlink r:id="rId30" w:history="1">
              <w:r w:rsidR="00FC73BA" w:rsidRPr="00D469CD">
                <w:rPr>
                  <w:rStyle w:val="Hyperlink"/>
                </w:rPr>
                <w:t>ricks@ohanet.org</w:t>
              </w:r>
            </w:hyperlink>
          </w:p>
          <w:p w:rsidR="001074DC" w:rsidRDefault="005E2337" w:rsidP="009657E6">
            <w:pPr>
              <w:autoSpaceDE w:val="0"/>
              <w:autoSpaceDN w:val="0"/>
              <w:adjustRightInd w:val="0"/>
            </w:pPr>
            <w:hyperlink r:id="rId31" w:history="1">
              <w:r w:rsidR="00FC73BA" w:rsidRPr="00D469CD">
                <w:rPr>
                  <w:rStyle w:val="Hyperlink"/>
                </w:rPr>
                <w:t>tobrien@bricker.com</w:t>
              </w:r>
            </w:hyperlink>
          </w:p>
          <w:p w:rsidR="001074DC" w:rsidRDefault="005E2337" w:rsidP="009657E6">
            <w:pPr>
              <w:autoSpaceDE w:val="0"/>
              <w:autoSpaceDN w:val="0"/>
              <w:adjustRightInd w:val="0"/>
            </w:pPr>
            <w:hyperlink r:id="rId32" w:history="1">
              <w:r w:rsidR="00FC73BA" w:rsidRPr="00D469CD">
                <w:rPr>
                  <w:rStyle w:val="Hyperlink"/>
                </w:rPr>
                <w:t>mhpetricoff@vorys.com</w:t>
              </w:r>
            </w:hyperlink>
          </w:p>
          <w:p w:rsidR="001074DC" w:rsidRDefault="005E2337" w:rsidP="009657E6">
            <w:pPr>
              <w:autoSpaceDE w:val="0"/>
              <w:autoSpaceDN w:val="0"/>
              <w:adjustRightInd w:val="0"/>
            </w:pPr>
            <w:hyperlink r:id="rId33" w:history="1">
              <w:r w:rsidR="00FC73BA" w:rsidRPr="00D469CD">
                <w:rPr>
                  <w:rStyle w:val="Hyperlink"/>
                </w:rPr>
                <w:t>mjsettineri@vorys.com</w:t>
              </w:r>
            </w:hyperlink>
          </w:p>
          <w:p w:rsidR="001074DC" w:rsidRDefault="005E2337" w:rsidP="009657E6">
            <w:pPr>
              <w:autoSpaceDE w:val="0"/>
              <w:autoSpaceDN w:val="0"/>
              <w:adjustRightInd w:val="0"/>
            </w:pPr>
            <w:hyperlink r:id="rId34" w:history="1">
              <w:r w:rsidR="00FC73BA" w:rsidRPr="00D469CD">
                <w:rPr>
                  <w:rStyle w:val="Hyperlink"/>
                </w:rPr>
                <w:t>glpetrucci@vorys.com</w:t>
              </w:r>
            </w:hyperlink>
          </w:p>
          <w:p w:rsidR="001074DC" w:rsidRDefault="005E2337" w:rsidP="009657E6">
            <w:pPr>
              <w:autoSpaceDE w:val="0"/>
              <w:autoSpaceDN w:val="0"/>
              <w:adjustRightInd w:val="0"/>
            </w:pPr>
            <w:hyperlink r:id="rId35" w:history="1">
              <w:r w:rsidR="00FC73BA" w:rsidRPr="00D469CD">
                <w:rPr>
                  <w:rStyle w:val="Hyperlink"/>
                </w:rPr>
                <w:t>mdortch@kravitzllc.com</w:t>
              </w:r>
            </w:hyperlink>
          </w:p>
          <w:p w:rsidR="001074DC" w:rsidRDefault="005E2337" w:rsidP="009657E6">
            <w:pPr>
              <w:autoSpaceDE w:val="0"/>
              <w:autoSpaceDN w:val="0"/>
              <w:adjustRightInd w:val="0"/>
            </w:pPr>
            <w:hyperlink r:id="rId36" w:history="1">
              <w:r w:rsidR="00FC73BA" w:rsidRPr="00D469CD">
                <w:rPr>
                  <w:rStyle w:val="Hyperlink"/>
                </w:rPr>
                <w:t>joliker@igsenergy.com</w:t>
              </w:r>
            </w:hyperlink>
          </w:p>
          <w:p w:rsidR="001074DC" w:rsidRDefault="005E2337" w:rsidP="009657E6">
            <w:pPr>
              <w:autoSpaceDE w:val="0"/>
              <w:autoSpaceDN w:val="0"/>
              <w:adjustRightInd w:val="0"/>
            </w:pPr>
            <w:hyperlink r:id="rId37" w:history="1">
              <w:r w:rsidR="00FC73BA" w:rsidRPr="00D469CD">
                <w:rPr>
                  <w:rStyle w:val="Hyperlink"/>
                </w:rPr>
                <w:t>sechler@carpenterlipps.com</w:t>
              </w:r>
            </w:hyperlink>
          </w:p>
          <w:p w:rsidR="001074DC" w:rsidRDefault="005E2337" w:rsidP="009657E6">
            <w:pPr>
              <w:autoSpaceDE w:val="0"/>
              <w:autoSpaceDN w:val="0"/>
              <w:adjustRightInd w:val="0"/>
            </w:pPr>
            <w:hyperlink r:id="rId38" w:history="1">
              <w:r w:rsidR="00FC73BA" w:rsidRPr="00D469CD">
                <w:rPr>
                  <w:rStyle w:val="Hyperlink"/>
                </w:rPr>
                <w:t>gpoulos@enernoc.com</w:t>
              </w:r>
            </w:hyperlink>
          </w:p>
          <w:p w:rsidR="001074DC" w:rsidRDefault="005E2337" w:rsidP="009657E6">
            <w:pPr>
              <w:autoSpaceDE w:val="0"/>
              <w:autoSpaceDN w:val="0"/>
              <w:adjustRightInd w:val="0"/>
            </w:pPr>
            <w:hyperlink r:id="rId39" w:history="1">
              <w:r w:rsidR="00FC73BA" w:rsidRPr="00D469CD">
                <w:rPr>
                  <w:rStyle w:val="Hyperlink"/>
                </w:rPr>
                <w:t>sfisk@earthjustice.org</w:t>
              </w:r>
            </w:hyperlink>
          </w:p>
          <w:p w:rsidR="001074DC" w:rsidRDefault="005E2337" w:rsidP="009657E6">
            <w:pPr>
              <w:autoSpaceDE w:val="0"/>
              <w:autoSpaceDN w:val="0"/>
              <w:adjustRightInd w:val="0"/>
            </w:pPr>
            <w:hyperlink r:id="rId40" w:history="1">
              <w:r w:rsidR="00FC73BA" w:rsidRPr="00D469CD">
                <w:rPr>
                  <w:rStyle w:val="Hyperlink"/>
                </w:rPr>
                <w:t>Kristin.henry@sierraclub.org</w:t>
              </w:r>
            </w:hyperlink>
          </w:p>
          <w:p w:rsidR="001074DC" w:rsidRDefault="005E2337" w:rsidP="009657E6">
            <w:pPr>
              <w:autoSpaceDE w:val="0"/>
              <w:autoSpaceDN w:val="0"/>
              <w:adjustRightInd w:val="0"/>
            </w:pPr>
            <w:hyperlink r:id="rId41" w:history="1">
              <w:r w:rsidR="00FC73BA" w:rsidRPr="00D469CD">
                <w:rPr>
                  <w:rStyle w:val="Hyperlink"/>
                </w:rPr>
                <w:t>chris@envlaw.com</w:t>
              </w:r>
            </w:hyperlink>
          </w:p>
          <w:p w:rsidR="00FC73BA" w:rsidRDefault="005E2337" w:rsidP="009657E6">
            <w:pPr>
              <w:autoSpaceDE w:val="0"/>
              <w:autoSpaceDN w:val="0"/>
              <w:adjustRightInd w:val="0"/>
            </w:pPr>
            <w:hyperlink r:id="rId42" w:history="1">
              <w:r w:rsidR="00FC73BA" w:rsidRPr="00D469CD">
                <w:rPr>
                  <w:rStyle w:val="Hyperlink"/>
                </w:rPr>
                <w:t>todonnell@dickinsonwright.com</w:t>
              </w:r>
            </w:hyperlink>
          </w:p>
          <w:p w:rsidR="00FC73BA" w:rsidRDefault="005E2337" w:rsidP="009657E6">
            <w:pPr>
              <w:autoSpaceDE w:val="0"/>
              <w:autoSpaceDN w:val="0"/>
              <w:adjustRightInd w:val="0"/>
            </w:pPr>
            <w:hyperlink r:id="rId43" w:history="1">
              <w:r w:rsidR="00FC73BA" w:rsidRPr="00D469CD">
                <w:rPr>
                  <w:rStyle w:val="Hyperlink"/>
                </w:rPr>
                <w:t>rseiler@dickinsonwright.com</w:t>
              </w:r>
            </w:hyperlink>
          </w:p>
          <w:p w:rsidR="00FC73BA" w:rsidRPr="00FB0796" w:rsidRDefault="00FC73BA" w:rsidP="009657E6">
            <w:pPr>
              <w:autoSpaceDE w:val="0"/>
              <w:autoSpaceDN w:val="0"/>
              <w:adjustRightInd w:val="0"/>
            </w:pPr>
          </w:p>
        </w:tc>
        <w:tc>
          <w:tcPr>
            <w:tcW w:w="4428" w:type="dxa"/>
          </w:tcPr>
          <w:p w:rsidR="001074DC" w:rsidRDefault="005E2337" w:rsidP="009657E6">
            <w:pPr>
              <w:autoSpaceDE w:val="0"/>
              <w:autoSpaceDN w:val="0"/>
              <w:adjustRightInd w:val="0"/>
            </w:pPr>
            <w:hyperlink r:id="rId44" w:history="1">
              <w:r w:rsidR="00FC73BA" w:rsidRPr="00D469CD">
                <w:rPr>
                  <w:rStyle w:val="Hyperlink"/>
                </w:rPr>
                <w:t>stnourse@aep.com</w:t>
              </w:r>
            </w:hyperlink>
          </w:p>
          <w:p w:rsidR="001074DC" w:rsidRDefault="005E2337" w:rsidP="009657E6">
            <w:pPr>
              <w:autoSpaceDE w:val="0"/>
              <w:autoSpaceDN w:val="0"/>
              <w:adjustRightInd w:val="0"/>
            </w:pPr>
            <w:hyperlink r:id="rId45" w:history="1">
              <w:r w:rsidR="00FC73BA" w:rsidRPr="00D469CD">
                <w:rPr>
                  <w:rStyle w:val="Hyperlink"/>
                </w:rPr>
                <w:t>mjsatterwhite@aep.com</w:t>
              </w:r>
            </w:hyperlink>
          </w:p>
          <w:p w:rsidR="001074DC" w:rsidRDefault="005E2337" w:rsidP="009657E6">
            <w:pPr>
              <w:autoSpaceDE w:val="0"/>
              <w:autoSpaceDN w:val="0"/>
              <w:adjustRightInd w:val="0"/>
            </w:pPr>
            <w:hyperlink r:id="rId46" w:history="1">
              <w:r w:rsidR="00FC73BA" w:rsidRPr="00D469CD">
                <w:rPr>
                  <w:rStyle w:val="Hyperlink"/>
                </w:rPr>
                <w:t>msmckenzie@aep.com</w:t>
              </w:r>
            </w:hyperlink>
          </w:p>
          <w:p w:rsidR="001074DC" w:rsidRDefault="005E2337" w:rsidP="009657E6">
            <w:pPr>
              <w:autoSpaceDE w:val="0"/>
              <w:autoSpaceDN w:val="0"/>
              <w:adjustRightInd w:val="0"/>
            </w:pPr>
            <w:hyperlink r:id="rId47" w:history="1">
              <w:r w:rsidR="00FC73BA" w:rsidRPr="00D469CD">
                <w:rPr>
                  <w:rStyle w:val="Hyperlink"/>
                </w:rPr>
                <w:t>mkurtz@BKLlawfirm.com</w:t>
              </w:r>
            </w:hyperlink>
          </w:p>
          <w:p w:rsidR="001074DC" w:rsidRDefault="005E2337" w:rsidP="009657E6">
            <w:pPr>
              <w:autoSpaceDE w:val="0"/>
              <w:autoSpaceDN w:val="0"/>
              <w:adjustRightInd w:val="0"/>
            </w:pPr>
            <w:hyperlink r:id="rId48" w:history="1">
              <w:r w:rsidR="00FC73BA" w:rsidRPr="00D469CD">
                <w:rPr>
                  <w:rStyle w:val="Hyperlink"/>
                </w:rPr>
                <w:t>kboehm@BKLlawfirm.com</w:t>
              </w:r>
            </w:hyperlink>
          </w:p>
          <w:p w:rsidR="001074DC" w:rsidRDefault="005E2337" w:rsidP="009657E6">
            <w:pPr>
              <w:autoSpaceDE w:val="0"/>
              <w:autoSpaceDN w:val="0"/>
              <w:adjustRightInd w:val="0"/>
            </w:pPr>
            <w:hyperlink r:id="rId49" w:history="1">
              <w:r w:rsidR="00FC73BA" w:rsidRPr="00D469CD">
                <w:rPr>
                  <w:rStyle w:val="Hyperlink"/>
                </w:rPr>
                <w:t>jkylercohn@BKLlawfirm.com</w:t>
              </w:r>
            </w:hyperlink>
          </w:p>
          <w:p w:rsidR="001074DC" w:rsidRDefault="005E2337" w:rsidP="009657E6">
            <w:pPr>
              <w:autoSpaceDE w:val="0"/>
              <w:autoSpaceDN w:val="0"/>
              <w:adjustRightInd w:val="0"/>
            </w:pPr>
            <w:hyperlink r:id="rId50" w:history="1">
              <w:r w:rsidR="00FC73BA" w:rsidRPr="00D469CD">
                <w:rPr>
                  <w:rStyle w:val="Hyperlink"/>
                </w:rPr>
                <w:t>sam@mwncmh.com</w:t>
              </w:r>
            </w:hyperlink>
          </w:p>
          <w:p w:rsidR="001074DC" w:rsidRDefault="005E2337" w:rsidP="009657E6">
            <w:pPr>
              <w:autoSpaceDE w:val="0"/>
              <w:autoSpaceDN w:val="0"/>
              <w:adjustRightInd w:val="0"/>
            </w:pPr>
            <w:hyperlink r:id="rId51" w:history="1">
              <w:r w:rsidR="00FC73BA" w:rsidRPr="00D469CD">
                <w:rPr>
                  <w:rStyle w:val="Hyperlink"/>
                </w:rPr>
                <w:t>fdarr@mwncmh.com</w:t>
              </w:r>
            </w:hyperlink>
          </w:p>
          <w:p w:rsidR="001074DC" w:rsidRDefault="005E2337" w:rsidP="009657E6">
            <w:pPr>
              <w:autoSpaceDE w:val="0"/>
              <w:autoSpaceDN w:val="0"/>
              <w:adjustRightInd w:val="0"/>
            </w:pPr>
            <w:hyperlink r:id="rId52" w:history="1">
              <w:r w:rsidR="00FC73BA" w:rsidRPr="00D469CD">
                <w:rPr>
                  <w:rStyle w:val="Hyperlink"/>
                </w:rPr>
                <w:t>mpritchard@mwncmh.com</w:t>
              </w:r>
            </w:hyperlink>
          </w:p>
          <w:p w:rsidR="001074DC" w:rsidRDefault="005E2337" w:rsidP="009657E6">
            <w:pPr>
              <w:autoSpaceDE w:val="0"/>
              <w:autoSpaceDN w:val="0"/>
              <w:adjustRightInd w:val="0"/>
            </w:pPr>
            <w:hyperlink r:id="rId53" w:history="1">
              <w:r w:rsidR="00FC73BA" w:rsidRPr="00D469CD">
                <w:rPr>
                  <w:rStyle w:val="Hyperlink"/>
                </w:rPr>
                <w:t>Kurt.Helfrich@ThompsonHine.com</w:t>
              </w:r>
            </w:hyperlink>
          </w:p>
          <w:p w:rsidR="001074DC" w:rsidRDefault="005E2337" w:rsidP="009657E6">
            <w:pPr>
              <w:autoSpaceDE w:val="0"/>
              <w:autoSpaceDN w:val="0"/>
              <w:adjustRightInd w:val="0"/>
            </w:pPr>
            <w:hyperlink r:id="rId54" w:history="1">
              <w:r w:rsidR="00FC73BA" w:rsidRPr="00D469CD">
                <w:rPr>
                  <w:rStyle w:val="Hyperlink"/>
                </w:rPr>
                <w:t>Scott.Campbell@ThompsonHine.com</w:t>
              </w:r>
            </w:hyperlink>
          </w:p>
          <w:p w:rsidR="001074DC" w:rsidRDefault="005E2337" w:rsidP="009657E6">
            <w:pPr>
              <w:autoSpaceDE w:val="0"/>
              <w:autoSpaceDN w:val="0"/>
              <w:adjustRightInd w:val="0"/>
            </w:pPr>
            <w:hyperlink r:id="rId55" w:history="1">
              <w:r w:rsidR="00FC73BA" w:rsidRPr="00D469CD">
                <w:rPr>
                  <w:rStyle w:val="Hyperlink"/>
                </w:rPr>
                <w:t>Stephanie.Chmiel@ThompsonHine.com</w:t>
              </w:r>
            </w:hyperlink>
          </w:p>
          <w:p w:rsidR="001074DC" w:rsidRDefault="005E2337" w:rsidP="009657E6">
            <w:pPr>
              <w:autoSpaceDE w:val="0"/>
              <w:autoSpaceDN w:val="0"/>
              <w:adjustRightInd w:val="0"/>
            </w:pPr>
            <w:hyperlink r:id="rId56" w:history="1">
              <w:r w:rsidR="00FC73BA" w:rsidRPr="00D469CD">
                <w:rPr>
                  <w:rStyle w:val="Hyperlink"/>
                </w:rPr>
                <w:t>lhawrot@spilmanlaw.com</w:t>
              </w:r>
            </w:hyperlink>
          </w:p>
          <w:p w:rsidR="001074DC" w:rsidRDefault="005E2337" w:rsidP="009657E6">
            <w:pPr>
              <w:autoSpaceDE w:val="0"/>
              <w:autoSpaceDN w:val="0"/>
              <w:adjustRightInd w:val="0"/>
            </w:pPr>
            <w:hyperlink r:id="rId57" w:history="1">
              <w:r w:rsidR="00FC73BA" w:rsidRPr="00D469CD">
                <w:rPr>
                  <w:rStyle w:val="Hyperlink"/>
                </w:rPr>
                <w:t>dwilliamson@spilmanlaw.com</w:t>
              </w:r>
            </w:hyperlink>
          </w:p>
          <w:p w:rsidR="001074DC" w:rsidRDefault="005E2337" w:rsidP="009657E6">
            <w:pPr>
              <w:autoSpaceDE w:val="0"/>
              <w:autoSpaceDN w:val="0"/>
              <w:adjustRightInd w:val="0"/>
            </w:pPr>
            <w:hyperlink r:id="rId58" w:history="1">
              <w:r w:rsidR="00FC73BA" w:rsidRPr="00D469CD">
                <w:rPr>
                  <w:rStyle w:val="Hyperlink"/>
                </w:rPr>
                <w:t>charris@spilmanlaw.com</w:t>
              </w:r>
            </w:hyperlink>
          </w:p>
          <w:p w:rsidR="001074DC" w:rsidRDefault="005E2337" w:rsidP="009657E6">
            <w:pPr>
              <w:autoSpaceDE w:val="0"/>
              <w:autoSpaceDN w:val="0"/>
              <w:adjustRightInd w:val="0"/>
            </w:pPr>
            <w:hyperlink r:id="rId59" w:history="1">
              <w:r w:rsidR="00FC73BA" w:rsidRPr="00D469CD">
                <w:rPr>
                  <w:rStyle w:val="Hyperlink"/>
                </w:rPr>
                <w:t>Stephen.Chriss@walmart.com</w:t>
              </w:r>
            </w:hyperlink>
          </w:p>
          <w:p w:rsidR="001074DC" w:rsidRDefault="005E2337" w:rsidP="009657E6">
            <w:pPr>
              <w:autoSpaceDE w:val="0"/>
              <w:autoSpaceDN w:val="0"/>
              <w:adjustRightInd w:val="0"/>
            </w:pPr>
            <w:hyperlink r:id="rId60" w:history="1">
              <w:r w:rsidR="00FC73BA" w:rsidRPr="00D469CD">
                <w:rPr>
                  <w:rStyle w:val="Hyperlink"/>
                </w:rPr>
                <w:t>Schmidt@sppgrp.com</w:t>
              </w:r>
            </w:hyperlink>
          </w:p>
          <w:p w:rsidR="001074DC" w:rsidRDefault="005E2337" w:rsidP="009657E6">
            <w:pPr>
              <w:autoSpaceDE w:val="0"/>
              <w:autoSpaceDN w:val="0"/>
              <w:adjustRightInd w:val="0"/>
            </w:pPr>
            <w:hyperlink r:id="rId61" w:history="1">
              <w:r w:rsidR="00FC73BA" w:rsidRPr="00D469CD">
                <w:rPr>
                  <w:rStyle w:val="Hyperlink"/>
                </w:rPr>
                <w:t>Bojko@carpenterlipps.com</w:t>
              </w:r>
            </w:hyperlink>
          </w:p>
          <w:p w:rsidR="001074DC" w:rsidRDefault="005E2337" w:rsidP="009657E6">
            <w:pPr>
              <w:autoSpaceDE w:val="0"/>
              <w:autoSpaceDN w:val="0"/>
              <w:adjustRightInd w:val="0"/>
            </w:pPr>
            <w:hyperlink r:id="rId62" w:history="1">
              <w:r w:rsidR="00FC73BA" w:rsidRPr="00D469CD">
                <w:rPr>
                  <w:rStyle w:val="Hyperlink"/>
                </w:rPr>
                <w:t>orourke@carpenterlipps.com</w:t>
              </w:r>
            </w:hyperlink>
          </w:p>
          <w:p w:rsidR="001074DC" w:rsidRDefault="005E2337" w:rsidP="009657E6">
            <w:pPr>
              <w:autoSpaceDE w:val="0"/>
              <w:autoSpaceDN w:val="0"/>
              <w:adjustRightInd w:val="0"/>
            </w:pPr>
            <w:hyperlink r:id="rId63" w:history="1">
              <w:r w:rsidR="00FC73BA" w:rsidRPr="00D469CD">
                <w:rPr>
                  <w:rStyle w:val="Hyperlink"/>
                </w:rPr>
                <w:t>mfleisher@elpc.org</w:t>
              </w:r>
            </w:hyperlink>
          </w:p>
          <w:p w:rsidR="001074DC" w:rsidRDefault="005E2337" w:rsidP="009657E6">
            <w:pPr>
              <w:autoSpaceDE w:val="0"/>
              <w:autoSpaceDN w:val="0"/>
              <w:adjustRightInd w:val="0"/>
            </w:pPr>
            <w:hyperlink r:id="rId64" w:history="1">
              <w:r w:rsidR="00FC73BA" w:rsidRPr="00D469CD">
                <w:rPr>
                  <w:rStyle w:val="Hyperlink"/>
                </w:rPr>
                <w:t>msmalz@ohiopovertylaw.org</w:t>
              </w:r>
            </w:hyperlink>
          </w:p>
          <w:p w:rsidR="001074DC" w:rsidRDefault="005E2337" w:rsidP="009657E6">
            <w:pPr>
              <w:autoSpaceDE w:val="0"/>
              <w:autoSpaceDN w:val="0"/>
              <w:adjustRightInd w:val="0"/>
            </w:pPr>
            <w:hyperlink r:id="rId65" w:history="1">
              <w:r w:rsidR="00FC73BA" w:rsidRPr="00D469CD">
                <w:rPr>
                  <w:rStyle w:val="Hyperlink"/>
                </w:rPr>
                <w:t>cmooney@ohiopartners.org</w:t>
              </w:r>
            </w:hyperlink>
          </w:p>
          <w:p w:rsidR="001074DC" w:rsidRDefault="005E2337" w:rsidP="009657E6">
            <w:pPr>
              <w:autoSpaceDE w:val="0"/>
              <w:autoSpaceDN w:val="0"/>
              <w:adjustRightInd w:val="0"/>
            </w:pPr>
            <w:hyperlink r:id="rId66" w:history="1">
              <w:r w:rsidR="00FC73BA" w:rsidRPr="00D469CD">
                <w:rPr>
                  <w:rStyle w:val="Hyperlink"/>
                </w:rPr>
                <w:t>drinebolt@ohiopartners.org</w:t>
              </w:r>
            </w:hyperlink>
          </w:p>
          <w:p w:rsidR="001074DC" w:rsidRDefault="005E2337" w:rsidP="009657E6">
            <w:pPr>
              <w:autoSpaceDE w:val="0"/>
              <w:autoSpaceDN w:val="0"/>
              <w:adjustRightInd w:val="0"/>
            </w:pPr>
            <w:hyperlink r:id="rId67" w:history="1">
              <w:r w:rsidR="00FC73BA" w:rsidRPr="00D469CD">
                <w:rPr>
                  <w:rStyle w:val="Hyperlink"/>
                </w:rPr>
                <w:t>ghull@eckertseamans.com</w:t>
              </w:r>
            </w:hyperlink>
          </w:p>
          <w:p w:rsidR="001074DC" w:rsidRDefault="005E2337" w:rsidP="009657E6">
            <w:pPr>
              <w:autoSpaceDE w:val="0"/>
              <w:autoSpaceDN w:val="0"/>
              <w:adjustRightInd w:val="0"/>
            </w:pPr>
            <w:hyperlink r:id="rId68" w:history="1">
              <w:r w:rsidR="00FC73BA" w:rsidRPr="00D469CD">
                <w:rPr>
                  <w:rStyle w:val="Hyperlink"/>
                </w:rPr>
                <w:t>msoules@earthjustice.org</w:t>
              </w:r>
            </w:hyperlink>
          </w:p>
          <w:p w:rsidR="001074DC" w:rsidRDefault="005E2337" w:rsidP="009657E6">
            <w:pPr>
              <w:autoSpaceDE w:val="0"/>
              <w:autoSpaceDN w:val="0"/>
              <w:adjustRightInd w:val="0"/>
            </w:pPr>
            <w:hyperlink r:id="rId69" w:history="1">
              <w:r w:rsidR="00FC73BA" w:rsidRPr="00D469CD">
                <w:rPr>
                  <w:rStyle w:val="Hyperlink"/>
                </w:rPr>
                <w:t>jennifer.spinosi@directenergy.com</w:t>
              </w:r>
            </w:hyperlink>
          </w:p>
          <w:p w:rsidR="001074DC" w:rsidRDefault="005E2337" w:rsidP="009657E6">
            <w:pPr>
              <w:autoSpaceDE w:val="0"/>
              <w:autoSpaceDN w:val="0"/>
              <w:adjustRightInd w:val="0"/>
            </w:pPr>
            <w:hyperlink r:id="rId70" w:history="1">
              <w:r w:rsidR="00FC73BA" w:rsidRPr="00D469CD">
                <w:rPr>
                  <w:rStyle w:val="Hyperlink"/>
                </w:rPr>
                <w:t>laurie.williams@sierraclub.org</w:t>
              </w:r>
            </w:hyperlink>
          </w:p>
          <w:p w:rsidR="00FC73BA" w:rsidRPr="00FB0796" w:rsidRDefault="00FC73BA" w:rsidP="009657E6">
            <w:pPr>
              <w:autoSpaceDE w:val="0"/>
              <w:autoSpaceDN w:val="0"/>
              <w:adjustRightInd w:val="0"/>
            </w:pPr>
          </w:p>
        </w:tc>
      </w:tr>
    </w:tbl>
    <w:p w:rsidR="001074DC" w:rsidRPr="00FB0796" w:rsidRDefault="001074DC" w:rsidP="001074DC">
      <w:pPr>
        <w:autoSpaceDE w:val="0"/>
        <w:autoSpaceDN w:val="0"/>
        <w:adjustRightInd w:val="0"/>
        <w:rPr>
          <w:rFonts w:eastAsia="Calibri"/>
        </w:rPr>
      </w:pPr>
      <w:r w:rsidRPr="00FB0796">
        <w:rPr>
          <w:rFonts w:eastAsia="Calibri"/>
        </w:rPr>
        <w:t>Attorney Examiners:</w:t>
      </w:r>
    </w:p>
    <w:p w:rsidR="00FC73BA" w:rsidRDefault="00FC73BA" w:rsidP="001074DC">
      <w:pPr>
        <w:autoSpaceDE w:val="0"/>
        <w:autoSpaceDN w:val="0"/>
        <w:adjustRightInd w:val="0"/>
        <w:rPr>
          <w:rFonts w:eastAsia="Calibri"/>
        </w:rPr>
      </w:pPr>
    </w:p>
    <w:p w:rsidR="001074DC" w:rsidRDefault="005E2337" w:rsidP="001074DC">
      <w:pPr>
        <w:autoSpaceDE w:val="0"/>
        <w:autoSpaceDN w:val="0"/>
        <w:adjustRightInd w:val="0"/>
        <w:rPr>
          <w:rFonts w:eastAsia="Calibri"/>
        </w:rPr>
      </w:pPr>
      <w:hyperlink r:id="rId71" w:history="1">
        <w:r w:rsidR="00FC73BA" w:rsidRPr="00D469CD">
          <w:rPr>
            <w:rStyle w:val="Hyperlink"/>
            <w:rFonts w:eastAsia="Calibri"/>
          </w:rPr>
          <w:t>Sarah.parrot@puc.state.oh.us</w:t>
        </w:r>
      </w:hyperlink>
    </w:p>
    <w:p w:rsidR="001074DC" w:rsidRDefault="005E2337" w:rsidP="001074DC">
      <w:pPr>
        <w:rPr>
          <w:rFonts w:eastAsia="Calibri"/>
        </w:rPr>
      </w:pPr>
      <w:hyperlink r:id="rId72" w:history="1">
        <w:r w:rsidR="00FC73BA" w:rsidRPr="00D469CD">
          <w:rPr>
            <w:rStyle w:val="Hyperlink"/>
            <w:rFonts w:eastAsia="Calibri"/>
          </w:rPr>
          <w:t>Greta.see@puc.state.oh.us</w:t>
        </w:r>
      </w:hyperlink>
    </w:p>
    <w:p w:rsidR="00FC73BA" w:rsidRPr="00FB0796" w:rsidRDefault="00FC73BA" w:rsidP="001074DC"/>
    <w:p w:rsidR="00B84430" w:rsidRPr="00B84430" w:rsidRDefault="00B84430" w:rsidP="000D53EA">
      <w:pPr>
        <w:spacing w:line="480" w:lineRule="auto"/>
        <w:ind w:left="720" w:hanging="720"/>
      </w:pPr>
    </w:p>
    <w:sectPr w:rsidR="00B84430" w:rsidRPr="00B84430" w:rsidSect="00B54B94">
      <w:headerReference w:type="default" r:id="rId73"/>
      <w:footerReference w:type="default" r:id="rId7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6C" w:rsidRDefault="007F7A6C" w:rsidP="00CB2E58">
      <w:r>
        <w:separator/>
      </w:r>
    </w:p>
  </w:endnote>
  <w:endnote w:type="continuationSeparator" w:id="0">
    <w:p w:rsidR="007F7A6C" w:rsidRDefault="007F7A6C" w:rsidP="00CB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72" w:rsidRDefault="00140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D7" w:rsidRDefault="00397ED7">
    <w:pPr>
      <w:pStyle w:val="Footer"/>
      <w:jc w:val="center"/>
    </w:pPr>
  </w:p>
  <w:p w:rsidR="00397ED7" w:rsidRDefault="00397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34465"/>
      <w:docPartObj>
        <w:docPartGallery w:val="Page Numbers (Bottom of Page)"/>
        <w:docPartUnique/>
      </w:docPartObj>
    </w:sdtPr>
    <w:sdtEndPr>
      <w:rPr>
        <w:rFonts w:cs="Times New Roman"/>
        <w:noProof/>
        <w:sz w:val="24"/>
        <w:szCs w:val="24"/>
      </w:rPr>
    </w:sdtEndPr>
    <w:sdtContent>
      <w:p w:rsidR="00397ED7" w:rsidRPr="00634C3C" w:rsidRDefault="00397ED7">
        <w:pPr>
          <w:pStyle w:val="Footer"/>
          <w:jc w:val="center"/>
          <w:rPr>
            <w:rFonts w:cs="Times New Roman"/>
            <w:sz w:val="24"/>
            <w:szCs w:val="24"/>
          </w:rPr>
        </w:pPr>
        <w:r w:rsidRPr="00634C3C">
          <w:rPr>
            <w:rFonts w:cs="Times New Roman"/>
            <w:sz w:val="24"/>
            <w:szCs w:val="24"/>
          </w:rPr>
          <w:fldChar w:fldCharType="begin"/>
        </w:r>
        <w:r w:rsidRPr="00634C3C">
          <w:rPr>
            <w:rFonts w:cs="Times New Roman"/>
            <w:sz w:val="24"/>
            <w:szCs w:val="24"/>
          </w:rPr>
          <w:instrText xml:space="preserve"> PAGE   \* MERGEFORMAT </w:instrText>
        </w:r>
        <w:r w:rsidRPr="00634C3C">
          <w:rPr>
            <w:rFonts w:cs="Times New Roman"/>
            <w:sz w:val="24"/>
            <w:szCs w:val="24"/>
          </w:rPr>
          <w:fldChar w:fldCharType="separate"/>
        </w:r>
        <w:r>
          <w:rPr>
            <w:rFonts w:cs="Times New Roman"/>
            <w:noProof/>
            <w:sz w:val="24"/>
            <w:szCs w:val="24"/>
          </w:rPr>
          <w:t>1</w:t>
        </w:r>
        <w:r w:rsidRPr="00634C3C">
          <w:rPr>
            <w:rFonts w:cs="Times New Roman"/>
            <w:noProof/>
            <w:sz w:val="24"/>
            <w:szCs w:val="24"/>
          </w:rPr>
          <w:fldChar w:fldCharType="end"/>
        </w:r>
      </w:p>
    </w:sdtContent>
  </w:sdt>
  <w:p w:rsidR="00397ED7" w:rsidRDefault="00397E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671897"/>
      <w:docPartObj>
        <w:docPartGallery w:val="Page Numbers (Bottom of Page)"/>
        <w:docPartUnique/>
      </w:docPartObj>
    </w:sdtPr>
    <w:sdtEndPr>
      <w:rPr>
        <w:noProof/>
      </w:rPr>
    </w:sdtEndPr>
    <w:sdtContent>
      <w:p w:rsidR="00397ED7" w:rsidRDefault="00397ED7">
        <w:pPr>
          <w:pStyle w:val="Footer"/>
          <w:jc w:val="center"/>
        </w:pPr>
        <w:r>
          <w:t>i</w:t>
        </w:r>
      </w:p>
    </w:sdtContent>
  </w:sdt>
  <w:p w:rsidR="00397ED7" w:rsidRDefault="00397E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18891"/>
      <w:docPartObj>
        <w:docPartGallery w:val="Page Numbers (Bottom of Page)"/>
        <w:docPartUnique/>
      </w:docPartObj>
    </w:sdtPr>
    <w:sdtEndPr>
      <w:rPr>
        <w:noProof/>
      </w:rPr>
    </w:sdtEndPr>
    <w:sdtContent>
      <w:p w:rsidR="00397ED7" w:rsidRDefault="00397ED7">
        <w:pPr>
          <w:pStyle w:val="Footer"/>
          <w:jc w:val="center"/>
        </w:pPr>
        <w:r>
          <w:fldChar w:fldCharType="begin"/>
        </w:r>
        <w:r>
          <w:instrText xml:space="preserve"> PAGE   \* MERGEFORMAT </w:instrText>
        </w:r>
        <w:r>
          <w:fldChar w:fldCharType="separate"/>
        </w:r>
        <w:r w:rsidR="00140F72">
          <w:rPr>
            <w:noProof/>
          </w:rPr>
          <w:t>22</w:t>
        </w:r>
        <w:r>
          <w:rPr>
            <w:noProof/>
          </w:rPr>
          <w:fldChar w:fldCharType="end"/>
        </w:r>
      </w:p>
    </w:sdtContent>
  </w:sdt>
  <w:p w:rsidR="00397ED7" w:rsidRDefault="00397E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D7" w:rsidRDefault="00397ED7">
    <w:pPr>
      <w:pStyle w:val="Footer"/>
      <w:jc w:val="center"/>
    </w:pPr>
  </w:p>
  <w:p w:rsidR="00397ED7" w:rsidRDefault="00397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6C" w:rsidRDefault="007F7A6C" w:rsidP="00CB2E58">
      <w:r>
        <w:separator/>
      </w:r>
    </w:p>
  </w:footnote>
  <w:footnote w:type="continuationSeparator" w:id="0">
    <w:p w:rsidR="007F7A6C" w:rsidRDefault="007F7A6C" w:rsidP="00CB2E58">
      <w:r>
        <w:continuationSeparator/>
      </w:r>
    </w:p>
  </w:footnote>
  <w:footnote w:id="1">
    <w:p w:rsidR="00397ED7" w:rsidRDefault="00397ED7">
      <w:pPr>
        <w:pStyle w:val="FootnoteText"/>
      </w:pPr>
      <w:r>
        <w:rPr>
          <w:rStyle w:val="FootnoteReference"/>
        </w:rPr>
        <w:footnoteRef/>
      </w:r>
      <w:r>
        <w:t xml:space="preserve"> To my knowledge, Ohio Partners for Affordable Energy represents only a subset of residential customers.</w:t>
      </w:r>
    </w:p>
  </w:footnote>
  <w:footnote w:id="2">
    <w:p w:rsidR="00397ED7" w:rsidRPr="00977C8C" w:rsidRDefault="00397ED7" w:rsidP="00977C8C">
      <w:pPr>
        <w:pStyle w:val="FootnoteText"/>
        <w:spacing w:after="120"/>
      </w:pPr>
      <w:r w:rsidRPr="00977C8C">
        <w:rPr>
          <w:rStyle w:val="FootnoteReference"/>
        </w:rPr>
        <w:footnoteRef/>
      </w:r>
      <w:r w:rsidRPr="00977C8C">
        <w:t xml:space="preserve"> In response to interrogatories, the </w:t>
      </w:r>
      <w:r>
        <w:t>AEP Ohio</w:t>
      </w:r>
      <w:r w:rsidRPr="00977C8C">
        <w:t xml:space="preserve"> has </w:t>
      </w:r>
      <w:r>
        <w:t>confirmed</w:t>
      </w:r>
      <w:r w:rsidRPr="00977C8C">
        <w:t xml:space="preserve"> that they have indeed performed no study or calculation of the costs of converting the units to natural gas co-firing units.  (See INT-S1-048)</w:t>
      </w:r>
      <w:r>
        <w:t>.</w:t>
      </w:r>
    </w:p>
  </w:footnote>
  <w:footnote w:id="3">
    <w:p w:rsidR="00397ED7" w:rsidRPr="00977C8C" w:rsidRDefault="00397ED7" w:rsidP="00977C8C">
      <w:pPr>
        <w:pStyle w:val="FootnoteText"/>
        <w:spacing w:after="120"/>
      </w:pPr>
      <w:r w:rsidRPr="00977C8C">
        <w:rPr>
          <w:rStyle w:val="FootnoteReference"/>
        </w:rPr>
        <w:footnoteRef/>
      </w:r>
      <w:r w:rsidRPr="00977C8C">
        <w:t xml:space="preserve"> See Pablo Vegas testimony (pp. 15-16) filed May 15, 2015.  See also Kelley Pearce testimony </w:t>
      </w:r>
      <w:r>
        <w:t>(pp.25-26) filed May 15, 2015.</w:t>
      </w:r>
    </w:p>
  </w:footnote>
  <w:footnote w:id="4">
    <w:p w:rsidR="00397ED7" w:rsidRPr="00977C8C" w:rsidRDefault="00397ED7" w:rsidP="00977C8C">
      <w:pPr>
        <w:spacing w:after="120"/>
        <w:rPr>
          <w:sz w:val="20"/>
          <w:szCs w:val="20"/>
        </w:rPr>
      </w:pPr>
      <w:r w:rsidRPr="00977C8C">
        <w:rPr>
          <w:rStyle w:val="FootnoteReference"/>
          <w:sz w:val="20"/>
          <w:szCs w:val="20"/>
        </w:rPr>
        <w:footnoteRef/>
      </w:r>
      <w:r w:rsidRPr="00977C8C">
        <w:rPr>
          <w:sz w:val="20"/>
          <w:szCs w:val="20"/>
        </w:rPr>
        <w:t xml:space="preserve"> Retrieved from: </w:t>
      </w:r>
      <w:hyperlink r:id="rId1" w:history="1">
        <w:r w:rsidRPr="00977C8C">
          <w:rPr>
            <w:rStyle w:val="Hyperlink"/>
            <w:sz w:val="20"/>
            <w:szCs w:val="20"/>
          </w:rPr>
          <w:t>http://www.puco.ohio.gov/puco/assets/File/Summary%20of%20Switch%20Rates%20CUS%203Q2015.pdf</w:t>
        </w:r>
      </w:hyperlink>
    </w:p>
  </w:footnote>
  <w:footnote w:id="5">
    <w:p w:rsidR="00397ED7" w:rsidRPr="00977C8C" w:rsidRDefault="00397ED7" w:rsidP="00977C8C">
      <w:pPr>
        <w:pStyle w:val="FootnoteText"/>
        <w:spacing w:after="120"/>
      </w:pPr>
      <w:r w:rsidRPr="00977C8C">
        <w:rPr>
          <w:rStyle w:val="FootnoteReference"/>
        </w:rPr>
        <w:footnoteRef/>
      </w:r>
      <w:r w:rsidRPr="00977C8C">
        <w:t xml:space="preserve"> Deadweight loss is a measure of inefficiency that can occur when prices are distorted leading to foregone transactions.</w:t>
      </w:r>
    </w:p>
  </w:footnote>
  <w:footnote w:id="6">
    <w:p w:rsidR="00397ED7" w:rsidRPr="00977C8C" w:rsidRDefault="00397ED7" w:rsidP="00977C8C">
      <w:pPr>
        <w:pStyle w:val="FootnoteText"/>
        <w:spacing w:after="120"/>
      </w:pPr>
      <w:r w:rsidRPr="00977C8C">
        <w:rPr>
          <w:rStyle w:val="FootnoteReference"/>
        </w:rPr>
        <w:footnoteRef/>
      </w:r>
      <w:r w:rsidRPr="00977C8C">
        <w:t xml:space="preserve"> Consumer surplus is a measure of consumer benefit from engaging in a transaction.</w:t>
      </w:r>
    </w:p>
  </w:footnote>
  <w:footnote w:id="7">
    <w:p w:rsidR="00397ED7" w:rsidRPr="00977C8C" w:rsidRDefault="00397ED7" w:rsidP="00977C8C">
      <w:pPr>
        <w:spacing w:after="120"/>
        <w:rPr>
          <w:sz w:val="20"/>
          <w:szCs w:val="20"/>
        </w:rPr>
      </w:pPr>
      <w:r w:rsidRPr="00977C8C">
        <w:rPr>
          <w:rStyle w:val="FootnoteReference"/>
          <w:sz w:val="20"/>
          <w:szCs w:val="20"/>
        </w:rPr>
        <w:footnoteRef/>
      </w:r>
      <w:r w:rsidRPr="00977C8C">
        <w:rPr>
          <w:sz w:val="20"/>
          <w:szCs w:val="20"/>
        </w:rPr>
        <w:t xml:space="preserve"> And subsequent to the filing of the Stipulation, a settlement agreement from Industrial Energy Users-Ohio (IEU) was purchased for $8 million.</w:t>
      </w:r>
    </w:p>
  </w:footnote>
  <w:footnote w:id="8">
    <w:p w:rsidR="00397ED7" w:rsidRPr="00977C8C" w:rsidRDefault="00397ED7" w:rsidP="00977C8C">
      <w:pPr>
        <w:spacing w:after="120"/>
        <w:rPr>
          <w:sz w:val="20"/>
          <w:szCs w:val="20"/>
        </w:rPr>
      </w:pPr>
      <w:r w:rsidRPr="00977C8C">
        <w:rPr>
          <w:rStyle w:val="FootnoteReference"/>
          <w:sz w:val="20"/>
          <w:szCs w:val="20"/>
        </w:rPr>
        <w:footnoteRef/>
      </w:r>
      <w:r w:rsidRPr="00977C8C">
        <w:rPr>
          <w:sz w:val="20"/>
          <w:szCs w:val="20"/>
        </w:rPr>
        <w:t xml:space="preserve"> See for example:</w:t>
      </w:r>
      <w:r>
        <w:rPr>
          <w:sz w:val="20"/>
          <w:szCs w:val="20"/>
        </w:rPr>
        <w:br/>
      </w:r>
      <w:r w:rsidRPr="00977C8C">
        <w:rPr>
          <w:sz w:val="20"/>
          <w:szCs w:val="20"/>
        </w:rPr>
        <w:t xml:space="preserve">Olson, M. (2009). </w:t>
      </w:r>
      <w:r w:rsidRPr="00977C8C">
        <w:rPr>
          <w:i/>
          <w:iCs/>
          <w:sz w:val="20"/>
          <w:szCs w:val="20"/>
        </w:rPr>
        <w:t>The logic of collective action</w:t>
      </w:r>
      <w:r w:rsidRPr="00977C8C">
        <w:rPr>
          <w:sz w:val="20"/>
          <w:szCs w:val="20"/>
        </w:rPr>
        <w:t xml:space="preserve"> (Vol. 124). Cambridge: Harvard University Press.</w:t>
      </w:r>
      <w:r>
        <w:rPr>
          <w:sz w:val="20"/>
          <w:szCs w:val="20"/>
        </w:rPr>
        <w:br/>
      </w:r>
      <w:r w:rsidRPr="00977C8C">
        <w:rPr>
          <w:rFonts w:eastAsia="Times New Roman" w:cs="Times New Roman"/>
          <w:sz w:val="20"/>
          <w:szCs w:val="20"/>
        </w:rPr>
        <w:t xml:space="preserve">Wilson, J. Q. (1980). </w:t>
      </w:r>
      <w:r w:rsidRPr="00977C8C">
        <w:rPr>
          <w:rFonts w:eastAsia="Times New Roman" w:cs="Times New Roman"/>
          <w:i/>
          <w:sz w:val="20"/>
          <w:szCs w:val="20"/>
        </w:rPr>
        <w:t>The politics of regulation</w:t>
      </w:r>
      <w:r w:rsidRPr="00977C8C">
        <w:rPr>
          <w:rFonts w:eastAsia="Times New Roman" w:cs="Times New Roman"/>
          <w:sz w:val="20"/>
          <w:szCs w:val="20"/>
        </w:rPr>
        <w:t xml:space="preserve">. </w:t>
      </w:r>
      <w:r w:rsidRPr="00977C8C">
        <w:rPr>
          <w:rFonts w:eastAsia="Times New Roman" w:cs="Times New Roman"/>
          <w:iCs/>
          <w:sz w:val="20"/>
          <w:szCs w:val="20"/>
        </w:rPr>
        <w:t>New York: Basic Books.</w:t>
      </w:r>
      <w:r>
        <w:rPr>
          <w:rFonts w:eastAsia="Times New Roman" w:cs="Times New Roman"/>
          <w:sz w:val="20"/>
          <w:szCs w:val="20"/>
        </w:rPr>
        <w:br/>
      </w:r>
      <w:r w:rsidRPr="00977C8C">
        <w:rPr>
          <w:rFonts w:eastAsia="Times New Roman" w:cs="Times New Roman"/>
          <w:sz w:val="20"/>
          <w:szCs w:val="20"/>
        </w:rPr>
        <w:t xml:space="preserve">Weingast, B., Shepsle, K., Johnsen, C. (1981). The political economy of benefits and costs: A neoclassical approach to distributive politics. </w:t>
      </w:r>
      <w:r w:rsidRPr="00977C8C">
        <w:rPr>
          <w:rFonts w:eastAsia="Times New Roman" w:cs="Times New Roman"/>
          <w:i/>
          <w:sz w:val="20"/>
          <w:szCs w:val="20"/>
        </w:rPr>
        <w:t>The Journal of Political Economy 89</w:t>
      </w:r>
      <w:r w:rsidRPr="00977C8C">
        <w:rPr>
          <w:rFonts w:eastAsia="Times New Roman" w:cs="Times New Roman"/>
          <w:sz w:val="20"/>
          <w:szCs w:val="20"/>
        </w:rPr>
        <w:t>(4): 642-664.</w:t>
      </w:r>
      <w:r>
        <w:rPr>
          <w:rFonts w:eastAsia="Times New Roman" w:cs="Times New Roman"/>
          <w:sz w:val="20"/>
          <w:szCs w:val="20"/>
        </w:rPr>
        <w:br/>
      </w:r>
      <w:r w:rsidRPr="00977C8C">
        <w:rPr>
          <w:rFonts w:eastAsia="Times New Roman" w:cs="Times New Roman"/>
          <w:sz w:val="20"/>
          <w:szCs w:val="20"/>
        </w:rPr>
        <w:t xml:space="preserve">Schultze, C. (1992). Is there a bias toward excess in the U.S. government budgets or deficits? </w:t>
      </w:r>
      <w:r w:rsidRPr="00977C8C">
        <w:rPr>
          <w:rFonts w:eastAsia="Times New Roman" w:cs="Times New Roman"/>
          <w:i/>
          <w:sz w:val="20"/>
          <w:szCs w:val="20"/>
        </w:rPr>
        <w:t>The Journal of Economic Perspectives 6</w:t>
      </w:r>
      <w:r w:rsidRPr="00977C8C">
        <w:rPr>
          <w:rFonts w:eastAsia="Times New Roman" w:cs="Times New Roman"/>
          <w:sz w:val="20"/>
          <w:szCs w:val="20"/>
        </w:rPr>
        <w:t>(2):25-43.</w:t>
      </w:r>
    </w:p>
  </w:footnote>
  <w:footnote w:id="9">
    <w:p w:rsidR="00397ED7" w:rsidRPr="00977C8C" w:rsidRDefault="00397ED7" w:rsidP="00977C8C">
      <w:pPr>
        <w:pStyle w:val="FootnoteText"/>
        <w:spacing w:after="120"/>
      </w:pPr>
      <w:r w:rsidRPr="00977C8C">
        <w:rPr>
          <w:rStyle w:val="FootnoteReference"/>
        </w:rPr>
        <w:footnoteRef/>
      </w:r>
      <w:r w:rsidRPr="00977C8C">
        <w:t xml:space="preserve"> In response to interrogatories requesting clarification on the meaning of the language of the footnotes contained within the provision (e.g., “…is not participating in this provision”) the Company affirmed that “if a party is not participating in a provision, that party is not affirmatively joining in the statement or declaration made in the provision.” (See INT-S1-074).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72" w:rsidRDefault="00140F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72" w:rsidRDefault="00140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72" w:rsidRDefault="00140F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D7" w:rsidRDefault="00397ED7" w:rsidP="000443A3">
    <w:pPr>
      <w:pStyle w:val="Header"/>
      <w:jc w:val="center"/>
      <w:rPr>
        <w:rFonts w:cs="Times New Roman"/>
        <w:i/>
        <w:sz w:val="24"/>
        <w:szCs w:val="24"/>
      </w:rPr>
    </w:pPr>
    <w:r w:rsidRPr="00066898">
      <w:rPr>
        <w:rFonts w:cs="Times New Roman"/>
        <w:i/>
        <w:sz w:val="24"/>
        <w:szCs w:val="24"/>
      </w:rPr>
      <w:t xml:space="preserve">Direct Testimony of </w:t>
    </w:r>
    <w:r>
      <w:rPr>
        <w:rFonts w:cs="Times New Roman"/>
        <w:i/>
        <w:sz w:val="24"/>
        <w:szCs w:val="24"/>
      </w:rPr>
      <w:t>Noah C. Dormady</w:t>
    </w:r>
    <w:r w:rsidR="0054208D">
      <w:rPr>
        <w:rFonts w:cs="Times New Roman"/>
        <w:i/>
        <w:sz w:val="24"/>
        <w:szCs w:val="24"/>
      </w:rPr>
      <w:t>, Ph.D.</w:t>
    </w:r>
    <w:r>
      <w:rPr>
        <w:rFonts w:cs="Times New Roman"/>
        <w:i/>
        <w:sz w:val="24"/>
        <w:szCs w:val="24"/>
      </w:rPr>
      <w:t xml:space="preserve"> </w:t>
    </w:r>
  </w:p>
  <w:p w:rsidR="00397ED7" w:rsidRDefault="00397ED7" w:rsidP="000443A3">
    <w:pPr>
      <w:pStyle w:val="Header"/>
      <w:jc w:val="center"/>
    </w:pPr>
    <w:r>
      <w:rPr>
        <w:rFonts w:cs="Times New Roman"/>
        <w:i/>
        <w:sz w:val="24"/>
        <w:szCs w:val="24"/>
      </w:rPr>
      <w:t>O</w:t>
    </w:r>
    <w:r w:rsidRPr="00066898">
      <w:rPr>
        <w:rFonts w:cs="Times New Roman"/>
        <w:i/>
        <w:sz w:val="24"/>
        <w:szCs w:val="24"/>
      </w:rPr>
      <w:t xml:space="preserve">n Behalf of the </w:t>
    </w:r>
    <w:r>
      <w:rPr>
        <w:rFonts w:cs="Times New Roman"/>
        <w:i/>
        <w:sz w:val="24"/>
        <w:szCs w:val="24"/>
      </w:rPr>
      <w:t xml:space="preserve">Office of the </w:t>
    </w:r>
    <w:r w:rsidRPr="00066898">
      <w:rPr>
        <w:rFonts w:cs="Times New Roman"/>
        <w:i/>
        <w:sz w:val="24"/>
        <w:szCs w:val="24"/>
      </w:rPr>
      <w:t>Ohio Consumers’ Counsel</w:t>
    </w:r>
    <w:r w:rsidRPr="004D3C77">
      <w:t xml:space="preserve"> </w:t>
    </w:r>
  </w:p>
  <w:p w:rsidR="00397ED7" w:rsidRDefault="00397ED7" w:rsidP="000443A3">
    <w:pPr>
      <w:pStyle w:val="Header"/>
      <w:jc w:val="center"/>
      <w:rPr>
        <w:rFonts w:cs="Times New Roman"/>
        <w:i/>
        <w:sz w:val="24"/>
        <w:szCs w:val="24"/>
        <w:lang w:val="es-ES"/>
      </w:rPr>
    </w:pPr>
    <w:r>
      <w:rPr>
        <w:rFonts w:cs="Times New Roman"/>
        <w:i/>
        <w:sz w:val="24"/>
        <w:szCs w:val="24"/>
        <w:lang w:val="es-ES"/>
      </w:rPr>
      <w:t>PUCO Case Nos. 14-1693</w:t>
    </w:r>
    <w:r w:rsidRPr="00066898">
      <w:rPr>
        <w:rFonts w:cs="Times New Roman"/>
        <w:i/>
        <w:sz w:val="24"/>
        <w:szCs w:val="24"/>
        <w:lang w:val="es-ES"/>
      </w:rPr>
      <w:t>-EL-</w:t>
    </w:r>
    <w:r>
      <w:rPr>
        <w:rFonts w:cs="Times New Roman"/>
        <w:i/>
        <w:sz w:val="24"/>
        <w:szCs w:val="24"/>
        <w:lang w:val="es-ES"/>
      </w:rPr>
      <w:t>RDR, et al.</w:t>
    </w:r>
  </w:p>
  <w:p w:rsidR="00397ED7" w:rsidRDefault="00397E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ED7" w:rsidRDefault="00397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B7F"/>
    <w:multiLevelType w:val="hybridMultilevel"/>
    <w:tmpl w:val="84FE9C6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975C2"/>
    <w:multiLevelType w:val="hybridMultilevel"/>
    <w:tmpl w:val="D116DF38"/>
    <w:lvl w:ilvl="0" w:tplc="0EE6D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944C9"/>
    <w:multiLevelType w:val="hybridMultilevel"/>
    <w:tmpl w:val="418C0038"/>
    <w:lvl w:ilvl="0" w:tplc="0409000F">
      <w:start w:val="1"/>
      <w:numFmt w:val="decimal"/>
      <w:lvlText w:val="%1."/>
      <w:lvlJc w:val="left"/>
      <w:pPr>
        <w:ind w:left="108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6D6D7C"/>
    <w:multiLevelType w:val="hybridMultilevel"/>
    <w:tmpl w:val="F1C01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E839BC"/>
    <w:multiLevelType w:val="hybridMultilevel"/>
    <w:tmpl w:val="94F4D940"/>
    <w:lvl w:ilvl="0" w:tplc="0300598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6183B"/>
    <w:multiLevelType w:val="hybridMultilevel"/>
    <w:tmpl w:val="F52EA6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A26978"/>
    <w:multiLevelType w:val="hybridMultilevel"/>
    <w:tmpl w:val="DC228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BA4728"/>
    <w:multiLevelType w:val="hybridMultilevel"/>
    <w:tmpl w:val="388CD7A6"/>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0802A6"/>
    <w:multiLevelType w:val="hybridMultilevel"/>
    <w:tmpl w:val="7FB81D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7"/>
  </w:num>
  <w:num w:numId="4">
    <w:abstractNumId w:val="0"/>
  </w:num>
  <w:num w:numId="5">
    <w:abstractNumId w:val="2"/>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D5"/>
    <w:rsid w:val="000018C7"/>
    <w:rsid w:val="0000478E"/>
    <w:rsid w:val="00015C1E"/>
    <w:rsid w:val="00027CDE"/>
    <w:rsid w:val="00031E2F"/>
    <w:rsid w:val="00034046"/>
    <w:rsid w:val="000443A3"/>
    <w:rsid w:val="000607B1"/>
    <w:rsid w:val="0006145D"/>
    <w:rsid w:val="0006221A"/>
    <w:rsid w:val="00065A32"/>
    <w:rsid w:val="00070134"/>
    <w:rsid w:val="000724D2"/>
    <w:rsid w:val="00074F7F"/>
    <w:rsid w:val="00076786"/>
    <w:rsid w:val="00077841"/>
    <w:rsid w:val="00081A26"/>
    <w:rsid w:val="00082849"/>
    <w:rsid w:val="00096535"/>
    <w:rsid w:val="000969EF"/>
    <w:rsid w:val="000A08E2"/>
    <w:rsid w:val="000A2FA4"/>
    <w:rsid w:val="000A300A"/>
    <w:rsid w:val="000A706F"/>
    <w:rsid w:val="000A785A"/>
    <w:rsid w:val="000A7F9C"/>
    <w:rsid w:val="000B00BF"/>
    <w:rsid w:val="000C0763"/>
    <w:rsid w:val="000C7ABE"/>
    <w:rsid w:val="000C7CF4"/>
    <w:rsid w:val="000D53EA"/>
    <w:rsid w:val="000D5E1D"/>
    <w:rsid w:val="000E26FE"/>
    <w:rsid w:val="000E35B2"/>
    <w:rsid w:val="001018AE"/>
    <w:rsid w:val="00104904"/>
    <w:rsid w:val="001074DC"/>
    <w:rsid w:val="001076A4"/>
    <w:rsid w:val="001159C8"/>
    <w:rsid w:val="00125171"/>
    <w:rsid w:val="001256FF"/>
    <w:rsid w:val="00126CF9"/>
    <w:rsid w:val="001278D2"/>
    <w:rsid w:val="00131E9C"/>
    <w:rsid w:val="001333CC"/>
    <w:rsid w:val="00134FEA"/>
    <w:rsid w:val="00137CDA"/>
    <w:rsid w:val="00140C67"/>
    <w:rsid w:val="00140F72"/>
    <w:rsid w:val="001522D4"/>
    <w:rsid w:val="0015663C"/>
    <w:rsid w:val="00156CB0"/>
    <w:rsid w:val="0016103B"/>
    <w:rsid w:val="00162E13"/>
    <w:rsid w:val="0016358B"/>
    <w:rsid w:val="00167525"/>
    <w:rsid w:val="00182AE9"/>
    <w:rsid w:val="001873EE"/>
    <w:rsid w:val="00190208"/>
    <w:rsid w:val="001956ED"/>
    <w:rsid w:val="001A5C5A"/>
    <w:rsid w:val="001B0E72"/>
    <w:rsid w:val="001B6317"/>
    <w:rsid w:val="001C09D6"/>
    <w:rsid w:val="001C6B17"/>
    <w:rsid w:val="001C7E4C"/>
    <w:rsid w:val="001D007A"/>
    <w:rsid w:val="001D1C12"/>
    <w:rsid w:val="001D38E8"/>
    <w:rsid w:val="001D7EC8"/>
    <w:rsid w:val="001E3FE5"/>
    <w:rsid w:val="001E47C7"/>
    <w:rsid w:val="001E5B95"/>
    <w:rsid w:val="001E5D7A"/>
    <w:rsid w:val="001F2F21"/>
    <w:rsid w:val="00204BBF"/>
    <w:rsid w:val="002052ED"/>
    <w:rsid w:val="0021363E"/>
    <w:rsid w:val="002167AD"/>
    <w:rsid w:val="0022281B"/>
    <w:rsid w:val="00226AE5"/>
    <w:rsid w:val="0022788C"/>
    <w:rsid w:val="00233BB4"/>
    <w:rsid w:val="00236D1F"/>
    <w:rsid w:val="002376A6"/>
    <w:rsid w:val="002468F6"/>
    <w:rsid w:val="00267E89"/>
    <w:rsid w:val="00276674"/>
    <w:rsid w:val="00276F5E"/>
    <w:rsid w:val="00282794"/>
    <w:rsid w:val="002873F6"/>
    <w:rsid w:val="00287746"/>
    <w:rsid w:val="002901ED"/>
    <w:rsid w:val="00290FDA"/>
    <w:rsid w:val="00291F06"/>
    <w:rsid w:val="002A6512"/>
    <w:rsid w:val="002B3696"/>
    <w:rsid w:val="002B545B"/>
    <w:rsid w:val="002B7E95"/>
    <w:rsid w:val="002C1E8B"/>
    <w:rsid w:val="002C3AC9"/>
    <w:rsid w:val="002C67B6"/>
    <w:rsid w:val="002D0F9A"/>
    <w:rsid w:val="002D3005"/>
    <w:rsid w:val="002D3B8B"/>
    <w:rsid w:val="002D4C2E"/>
    <w:rsid w:val="002D56B2"/>
    <w:rsid w:val="002E74AA"/>
    <w:rsid w:val="002F145A"/>
    <w:rsid w:val="003336D2"/>
    <w:rsid w:val="00336376"/>
    <w:rsid w:val="00336C48"/>
    <w:rsid w:val="00340648"/>
    <w:rsid w:val="00344023"/>
    <w:rsid w:val="00344582"/>
    <w:rsid w:val="00354395"/>
    <w:rsid w:val="00355A9D"/>
    <w:rsid w:val="00356204"/>
    <w:rsid w:val="00360856"/>
    <w:rsid w:val="00360FDB"/>
    <w:rsid w:val="003616D7"/>
    <w:rsid w:val="00362B27"/>
    <w:rsid w:val="00366022"/>
    <w:rsid w:val="003679B5"/>
    <w:rsid w:val="00370C65"/>
    <w:rsid w:val="00397B0D"/>
    <w:rsid w:val="00397ED7"/>
    <w:rsid w:val="003A2EDA"/>
    <w:rsid w:val="003B0733"/>
    <w:rsid w:val="003B0965"/>
    <w:rsid w:val="003B49D2"/>
    <w:rsid w:val="003C1B75"/>
    <w:rsid w:val="003C6A0E"/>
    <w:rsid w:val="003C7B33"/>
    <w:rsid w:val="003C7BAD"/>
    <w:rsid w:val="003D0198"/>
    <w:rsid w:val="003D04CA"/>
    <w:rsid w:val="003D2ED1"/>
    <w:rsid w:val="003D3C24"/>
    <w:rsid w:val="003E7BFE"/>
    <w:rsid w:val="003F31F0"/>
    <w:rsid w:val="003F58ED"/>
    <w:rsid w:val="00400D0E"/>
    <w:rsid w:val="004042D2"/>
    <w:rsid w:val="00404331"/>
    <w:rsid w:val="00404ED2"/>
    <w:rsid w:val="004108F3"/>
    <w:rsid w:val="00426A4E"/>
    <w:rsid w:val="00427597"/>
    <w:rsid w:val="00435A85"/>
    <w:rsid w:val="004377AF"/>
    <w:rsid w:val="004428C5"/>
    <w:rsid w:val="0045208B"/>
    <w:rsid w:val="004629DC"/>
    <w:rsid w:val="0046367D"/>
    <w:rsid w:val="00473111"/>
    <w:rsid w:val="004735EE"/>
    <w:rsid w:val="00475ABF"/>
    <w:rsid w:val="00480B0C"/>
    <w:rsid w:val="00482242"/>
    <w:rsid w:val="00482359"/>
    <w:rsid w:val="00483B84"/>
    <w:rsid w:val="00484F84"/>
    <w:rsid w:val="0048672C"/>
    <w:rsid w:val="00494225"/>
    <w:rsid w:val="00494D9A"/>
    <w:rsid w:val="00496FF9"/>
    <w:rsid w:val="004B22D9"/>
    <w:rsid w:val="004B7C2B"/>
    <w:rsid w:val="004C09D7"/>
    <w:rsid w:val="004C0BD5"/>
    <w:rsid w:val="004C0D90"/>
    <w:rsid w:val="004C48EA"/>
    <w:rsid w:val="004C5681"/>
    <w:rsid w:val="004C6707"/>
    <w:rsid w:val="004D2F22"/>
    <w:rsid w:val="004D42EC"/>
    <w:rsid w:val="004D784F"/>
    <w:rsid w:val="004E1FC9"/>
    <w:rsid w:val="004E30A9"/>
    <w:rsid w:val="004E3529"/>
    <w:rsid w:val="004E77EC"/>
    <w:rsid w:val="004E7B23"/>
    <w:rsid w:val="004F25E2"/>
    <w:rsid w:val="004F5157"/>
    <w:rsid w:val="004F6902"/>
    <w:rsid w:val="00502DFE"/>
    <w:rsid w:val="005041F6"/>
    <w:rsid w:val="005059C7"/>
    <w:rsid w:val="00511CB3"/>
    <w:rsid w:val="0051369E"/>
    <w:rsid w:val="0052592B"/>
    <w:rsid w:val="00530CCB"/>
    <w:rsid w:val="00532D6C"/>
    <w:rsid w:val="005338AB"/>
    <w:rsid w:val="0054208D"/>
    <w:rsid w:val="00545948"/>
    <w:rsid w:val="00546245"/>
    <w:rsid w:val="005544C5"/>
    <w:rsid w:val="00555D5B"/>
    <w:rsid w:val="00556567"/>
    <w:rsid w:val="00560A64"/>
    <w:rsid w:val="00567C72"/>
    <w:rsid w:val="00580721"/>
    <w:rsid w:val="005921BA"/>
    <w:rsid w:val="00593667"/>
    <w:rsid w:val="005A10C9"/>
    <w:rsid w:val="005A2D86"/>
    <w:rsid w:val="005A5229"/>
    <w:rsid w:val="005B12AD"/>
    <w:rsid w:val="005B3ED9"/>
    <w:rsid w:val="005C6939"/>
    <w:rsid w:val="005E0F34"/>
    <w:rsid w:val="005E2337"/>
    <w:rsid w:val="005E7779"/>
    <w:rsid w:val="00602AF1"/>
    <w:rsid w:val="00604543"/>
    <w:rsid w:val="0060589D"/>
    <w:rsid w:val="0061058B"/>
    <w:rsid w:val="006156B2"/>
    <w:rsid w:val="00625A41"/>
    <w:rsid w:val="00630554"/>
    <w:rsid w:val="00634DB3"/>
    <w:rsid w:val="006419DB"/>
    <w:rsid w:val="00642BC0"/>
    <w:rsid w:val="006450DD"/>
    <w:rsid w:val="00645DE0"/>
    <w:rsid w:val="006467DF"/>
    <w:rsid w:val="00646BCE"/>
    <w:rsid w:val="00656183"/>
    <w:rsid w:val="006576EB"/>
    <w:rsid w:val="00660580"/>
    <w:rsid w:val="00660AA7"/>
    <w:rsid w:val="006639F5"/>
    <w:rsid w:val="006641A1"/>
    <w:rsid w:val="00666060"/>
    <w:rsid w:val="00667C8C"/>
    <w:rsid w:val="006712B2"/>
    <w:rsid w:val="00674312"/>
    <w:rsid w:val="00676447"/>
    <w:rsid w:val="006823D1"/>
    <w:rsid w:val="006829DA"/>
    <w:rsid w:val="00684AE3"/>
    <w:rsid w:val="00686CB1"/>
    <w:rsid w:val="006906FC"/>
    <w:rsid w:val="00695F3A"/>
    <w:rsid w:val="006A20F1"/>
    <w:rsid w:val="006B269B"/>
    <w:rsid w:val="006C20BF"/>
    <w:rsid w:val="006D01C4"/>
    <w:rsid w:val="006D1279"/>
    <w:rsid w:val="006D1CFD"/>
    <w:rsid w:val="006E0834"/>
    <w:rsid w:val="006F128E"/>
    <w:rsid w:val="006F3102"/>
    <w:rsid w:val="007001F7"/>
    <w:rsid w:val="007057E0"/>
    <w:rsid w:val="00706BD6"/>
    <w:rsid w:val="007177F0"/>
    <w:rsid w:val="00721F15"/>
    <w:rsid w:val="00725397"/>
    <w:rsid w:val="00735C29"/>
    <w:rsid w:val="00736102"/>
    <w:rsid w:val="007520F9"/>
    <w:rsid w:val="0075724A"/>
    <w:rsid w:val="00770E9A"/>
    <w:rsid w:val="00771238"/>
    <w:rsid w:val="00777F72"/>
    <w:rsid w:val="007854DD"/>
    <w:rsid w:val="00795456"/>
    <w:rsid w:val="00797849"/>
    <w:rsid w:val="007A2007"/>
    <w:rsid w:val="007A4C2B"/>
    <w:rsid w:val="007B5415"/>
    <w:rsid w:val="007B5942"/>
    <w:rsid w:val="007B6186"/>
    <w:rsid w:val="007C308F"/>
    <w:rsid w:val="007D57A6"/>
    <w:rsid w:val="007D5E62"/>
    <w:rsid w:val="007E3CA8"/>
    <w:rsid w:val="007E46DB"/>
    <w:rsid w:val="007E61DF"/>
    <w:rsid w:val="007F1326"/>
    <w:rsid w:val="007F2061"/>
    <w:rsid w:val="007F23B8"/>
    <w:rsid w:val="007F3F8C"/>
    <w:rsid w:val="007F61B5"/>
    <w:rsid w:val="007F7A6C"/>
    <w:rsid w:val="008041AF"/>
    <w:rsid w:val="00807CAC"/>
    <w:rsid w:val="00815B83"/>
    <w:rsid w:val="00820F5D"/>
    <w:rsid w:val="00821A39"/>
    <w:rsid w:val="00826633"/>
    <w:rsid w:val="00827CE8"/>
    <w:rsid w:val="00830382"/>
    <w:rsid w:val="00831BD0"/>
    <w:rsid w:val="00840FCD"/>
    <w:rsid w:val="008439FE"/>
    <w:rsid w:val="00845472"/>
    <w:rsid w:val="008547C0"/>
    <w:rsid w:val="00855420"/>
    <w:rsid w:val="008629D4"/>
    <w:rsid w:val="00862DC4"/>
    <w:rsid w:val="00871CC5"/>
    <w:rsid w:val="008741FA"/>
    <w:rsid w:val="00877F91"/>
    <w:rsid w:val="00880325"/>
    <w:rsid w:val="00881BB7"/>
    <w:rsid w:val="00886657"/>
    <w:rsid w:val="00895D3B"/>
    <w:rsid w:val="00896F4D"/>
    <w:rsid w:val="008A2224"/>
    <w:rsid w:val="008A601C"/>
    <w:rsid w:val="008B04F6"/>
    <w:rsid w:val="008B1E45"/>
    <w:rsid w:val="008C1FFC"/>
    <w:rsid w:val="008C6F8D"/>
    <w:rsid w:val="008D277C"/>
    <w:rsid w:val="008D5F33"/>
    <w:rsid w:val="008D62B8"/>
    <w:rsid w:val="008D6465"/>
    <w:rsid w:val="008E0483"/>
    <w:rsid w:val="008F03B1"/>
    <w:rsid w:val="008F30D3"/>
    <w:rsid w:val="008F70AF"/>
    <w:rsid w:val="00900F99"/>
    <w:rsid w:val="00901BF8"/>
    <w:rsid w:val="009050F4"/>
    <w:rsid w:val="00906F6A"/>
    <w:rsid w:val="00907A3E"/>
    <w:rsid w:val="009231FF"/>
    <w:rsid w:val="00934ED7"/>
    <w:rsid w:val="00937280"/>
    <w:rsid w:val="00945490"/>
    <w:rsid w:val="009539FB"/>
    <w:rsid w:val="0095420F"/>
    <w:rsid w:val="00954EF0"/>
    <w:rsid w:val="00961AB5"/>
    <w:rsid w:val="00963033"/>
    <w:rsid w:val="00964618"/>
    <w:rsid w:val="00967F3C"/>
    <w:rsid w:val="00970498"/>
    <w:rsid w:val="00973F66"/>
    <w:rsid w:val="009758B9"/>
    <w:rsid w:val="00975AB1"/>
    <w:rsid w:val="009762C3"/>
    <w:rsid w:val="00976514"/>
    <w:rsid w:val="00977C8C"/>
    <w:rsid w:val="00982384"/>
    <w:rsid w:val="0098703C"/>
    <w:rsid w:val="009911FF"/>
    <w:rsid w:val="009939FB"/>
    <w:rsid w:val="00993FA6"/>
    <w:rsid w:val="009A3544"/>
    <w:rsid w:val="009B4EC0"/>
    <w:rsid w:val="009B5360"/>
    <w:rsid w:val="009B5362"/>
    <w:rsid w:val="009B7347"/>
    <w:rsid w:val="009C19C0"/>
    <w:rsid w:val="009C2D1E"/>
    <w:rsid w:val="009C2DC2"/>
    <w:rsid w:val="009C4A23"/>
    <w:rsid w:val="009C4EEB"/>
    <w:rsid w:val="009C5E1B"/>
    <w:rsid w:val="009D105B"/>
    <w:rsid w:val="009D3D61"/>
    <w:rsid w:val="009E06D8"/>
    <w:rsid w:val="009E0AE5"/>
    <w:rsid w:val="009E1181"/>
    <w:rsid w:val="009E29F4"/>
    <w:rsid w:val="009E5AD5"/>
    <w:rsid w:val="009E6D3B"/>
    <w:rsid w:val="009F07C7"/>
    <w:rsid w:val="009F25F6"/>
    <w:rsid w:val="009F580A"/>
    <w:rsid w:val="009F6344"/>
    <w:rsid w:val="00A018F7"/>
    <w:rsid w:val="00A128D9"/>
    <w:rsid w:val="00A1645D"/>
    <w:rsid w:val="00A2703A"/>
    <w:rsid w:val="00A30C62"/>
    <w:rsid w:val="00A34216"/>
    <w:rsid w:val="00A361CA"/>
    <w:rsid w:val="00A50560"/>
    <w:rsid w:val="00A50892"/>
    <w:rsid w:val="00A54FA2"/>
    <w:rsid w:val="00A63E3C"/>
    <w:rsid w:val="00A672D0"/>
    <w:rsid w:val="00A70963"/>
    <w:rsid w:val="00A70AED"/>
    <w:rsid w:val="00A71953"/>
    <w:rsid w:val="00A77BFA"/>
    <w:rsid w:val="00A817AC"/>
    <w:rsid w:val="00A86220"/>
    <w:rsid w:val="00A879F2"/>
    <w:rsid w:val="00A916D2"/>
    <w:rsid w:val="00AA1057"/>
    <w:rsid w:val="00AA435A"/>
    <w:rsid w:val="00AA69F5"/>
    <w:rsid w:val="00AA6A78"/>
    <w:rsid w:val="00AB644E"/>
    <w:rsid w:val="00AB76B4"/>
    <w:rsid w:val="00AC3739"/>
    <w:rsid w:val="00AC70D7"/>
    <w:rsid w:val="00AC7679"/>
    <w:rsid w:val="00AE493F"/>
    <w:rsid w:val="00AF3254"/>
    <w:rsid w:val="00B04EE9"/>
    <w:rsid w:val="00B14193"/>
    <w:rsid w:val="00B20661"/>
    <w:rsid w:val="00B22730"/>
    <w:rsid w:val="00B22831"/>
    <w:rsid w:val="00B22B08"/>
    <w:rsid w:val="00B24ECD"/>
    <w:rsid w:val="00B31768"/>
    <w:rsid w:val="00B326FA"/>
    <w:rsid w:val="00B33EF2"/>
    <w:rsid w:val="00B41651"/>
    <w:rsid w:val="00B44407"/>
    <w:rsid w:val="00B4455C"/>
    <w:rsid w:val="00B445F3"/>
    <w:rsid w:val="00B46A02"/>
    <w:rsid w:val="00B46B5A"/>
    <w:rsid w:val="00B47C36"/>
    <w:rsid w:val="00B54B94"/>
    <w:rsid w:val="00B63BA3"/>
    <w:rsid w:val="00B66392"/>
    <w:rsid w:val="00B84430"/>
    <w:rsid w:val="00B84D2B"/>
    <w:rsid w:val="00B87E48"/>
    <w:rsid w:val="00B91613"/>
    <w:rsid w:val="00B930BD"/>
    <w:rsid w:val="00B95A70"/>
    <w:rsid w:val="00B96841"/>
    <w:rsid w:val="00BA439D"/>
    <w:rsid w:val="00BB23E2"/>
    <w:rsid w:val="00BB3662"/>
    <w:rsid w:val="00BB5181"/>
    <w:rsid w:val="00BB5365"/>
    <w:rsid w:val="00BC1ED8"/>
    <w:rsid w:val="00BC22EC"/>
    <w:rsid w:val="00BD09B7"/>
    <w:rsid w:val="00BD101B"/>
    <w:rsid w:val="00BD3E96"/>
    <w:rsid w:val="00BD6B79"/>
    <w:rsid w:val="00BD75C6"/>
    <w:rsid w:val="00BD7883"/>
    <w:rsid w:val="00BE14D5"/>
    <w:rsid w:val="00BE6AD3"/>
    <w:rsid w:val="00BF2DD8"/>
    <w:rsid w:val="00C04112"/>
    <w:rsid w:val="00C12309"/>
    <w:rsid w:val="00C1750C"/>
    <w:rsid w:val="00C217FB"/>
    <w:rsid w:val="00C22D14"/>
    <w:rsid w:val="00C24873"/>
    <w:rsid w:val="00C31296"/>
    <w:rsid w:val="00C54EC5"/>
    <w:rsid w:val="00C55A96"/>
    <w:rsid w:val="00C55C0B"/>
    <w:rsid w:val="00C651E2"/>
    <w:rsid w:val="00C67FEC"/>
    <w:rsid w:val="00C706DB"/>
    <w:rsid w:val="00C70E9D"/>
    <w:rsid w:val="00C731E4"/>
    <w:rsid w:val="00C74505"/>
    <w:rsid w:val="00C905CA"/>
    <w:rsid w:val="00CA0CDF"/>
    <w:rsid w:val="00CB2E58"/>
    <w:rsid w:val="00CB5B08"/>
    <w:rsid w:val="00CC2DCC"/>
    <w:rsid w:val="00CD4B92"/>
    <w:rsid w:val="00CD4C0C"/>
    <w:rsid w:val="00CD5FE0"/>
    <w:rsid w:val="00CD61FD"/>
    <w:rsid w:val="00CD76C4"/>
    <w:rsid w:val="00CE2F83"/>
    <w:rsid w:val="00CE50C4"/>
    <w:rsid w:val="00CE58B1"/>
    <w:rsid w:val="00CF3803"/>
    <w:rsid w:val="00CF7812"/>
    <w:rsid w:val="00D0211F"/>
    <w:rsid w:val="00D04A16"/>
    <w:rsid w:val="00D05C1A"/>
    <w:rsid w:val="00D14A1F"/>
    <w:rsid w:val="00D16E23"/>
    <w:rsid w:val="00D21016"/>
    <w:rsid w:val="00D245BD"/>
    <w:rsid w:val="00D417AB"/>
    <w:rsid w:val="00D53954"/>
    <w:rsid w:val="00D63CFE"/>
    <w:rsid w:val="00D71AE5"/>
    <w:rsid w:val="00D8412D"/>
    <w:rsid w:val="00D8500E"/>
    <w:rsid w:val="00D90A34"/>
    <w:rsid w:val="00DA503C"/>
    <w:rsid w:val="00DB0CE1"/>
    <w:rsid w:val="00DB1671"/>
    <w:rsid w:val="00DC3D83"/>
    <w:rsid w:val="00DD5516"/>
    <w:rsid w:val="00DE3E42"/>
    <w:rsid w:val="00DE531E"/>
    <w:rsid w:val="00DF23DC"/>
    <w:rsid w:val="00DF30B0"/>
    <w:rsid w:val="00E105BB"/>
    <w:rsid w:val="00E12B06"/>
    <w:rsid w:val="00E23428"/>
    <w:rsid w:val="00E26FFA"/>
    <w:rsid w:val="00E30ED6"/>
    <w:rsid w:val="00E408C7"/>
    <w:rsid w:val="00E41CD3"/>
    <w:rsid w:val="00E434AC"/>
    <w:rsid w:val="00E43C1D"/>
    <w:rsid w:val="00E448CD"/>
    <w:rsid w:val="00E4574F"/>
    <w:rsid w:val="00E46D44"/>
    <w:rsid w:val="00E5346A"/>
    <w:rsid w:val="00E548BA"/>
    <w:rsid w:val="00E62346"/>
    <w:rsid w:val="00E756EC"/>
    <w:rsid w:val="00E76EB5"/>
    <w:rsid w:val="00E8031F"/>
    <w:rsid w:val="00E80BA1"/>
    <w:rsid w:val="00E853F9"/>
    <w:rsid w:val="00E87C98"/>
    <w:rsid w:val="00E90CAB"/>
    <w:rsid w:val="00E923A3"/>
    <w:rsid w:val="00EA619D"/>
    <w:rsid w:val="00EB2E2F"/>
    <w:rsid w:val="00EB4012"/>
    <w:rsid w:val="00EB6193"/>
    <w:rsid w:val="00EB64AB"/>
    <w:rsid w:val="00EC073D"/>
    <w:rsid w:val="00EC2C1C"/>
    <w:rsid w:val="00EC33D7"/>
    <w:rsid w:val="00EC395E"/>
    <w:rsid w:val="00EC57E8"/>
    <w:rsid w:val="00ED2C81"/>
    <w:rsid w:val="00ED4754"/>
    <w:rsid w:val="00EE1D29"/>
    <w:rsid w:val="00EF2294"/>
    <w:rsid w:val="00F00577"/>
    <w:rsid w:val="00F06D13"/>
    <w:rsid w:val="00F11BB3"/>
    <w:rsid w:val="00F11CAD"/>
    <w:rsid w:val="00F1363D"/>
    <w:rsid w:val="00F13B62"/>
    <w:rsid w:val="00F13EA9"/>
    <w:rsid w:val="00F1402A"/>
    <w:rsid w:val="00F242D4"/>
    <w:rsid w:val="00F24B1B"/>
    <w:rsid w:val="00F25E38"/>
    <w:rsid w:val="00F371B2"/>
    <w:rsid w:val="00F41A78"/>
    <w:rsid w:val="00F46BDD"/>
    <w:rsid w:val="00F51D0A"/>
    <w:rsid w:val="00F61886"/>
    <w:rsid w:val="00F7114B"/>
    <w:rsid w:val="00F71A86"/>
    <w:rsid w:val="00F75363"/>
    <w:rsid w:val="00F75A3C"/>
    <w:rsid w:val="00F821D7"/>
    <w:rsid w:val="00F86E76"/>
    <w:rsid w:val="00FA2058"/>
    <w:rsid w:val="00FB5D86"/>
    <w:rsid w:val="00FC73BA"/>
    <w:rsid w:val="00FD2EE8"/>
    <w:rsid w:val="00FD6E54"/>
    <w:rsid w:val="00FE0F5F"/>
    <w:rsid w:val="00FE35E3"/>
    <w:rsid w:val="00FE39C9"/>
    <w:rsid w:val="00FF2738"/>
    <w:rsid w:val="00FF4F17"/>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AC70D7"/>
    <w:pPr>
      <w:numPr>
        <w:numId w:val="9"/>
      </w:numPr>
      <w:spacing w:line="480" w:lineRule="auto"/>
      <w:ind w:left="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E13"/>
    <w:pPr>
      <w:ind w:left="720"/>
      <w:contextualSpacing/>
    </w:pPr>
  </w:style>
  <w:style w:type="paragraph" w:styleId="FootnoteText">
    <w:name w:val="footnote text"/>
    <w:basedOn w:val="Normal"/>
    <w:link w:val="FootnoteTextChar"/>
    <w:uiPriority w:val="99"/>
    <w:semiHidden/>
    <w:unhideWhenUsed/>
    <w:rsid w:val="00CB2E58"/>
    <w:rPr>
      <w:sz w:val="20"/>
      <w:szCs w:val="20"/>
    </w:rPr>
  </w:style>
  <w:style w:type="character" w:customStyle="1" w:styleId="FootnoteTextChar">
    <w:name w:val="Footnote Text Char"/>
    <w:basedOn w:val="DefaultParagraphFont"/>
    <w:link w:val="FootnoteText"/>
    <w:uiPriority w:val="99"/>
    <w:semiHidden/>
    <w:rsid w:val="00CB2E58"/>
    <w:rPr>
      <w:sz w:val="20"/>
      <w:szCs w:val="20"/>
    </w:rPr>
  </w:style>
  <w:style w:type="character" w:styleId="FootnoteReference">
    <w:name w:val="footnote reference"/>
    <w:basedOn w:val="DefaultParagraphFont"/>
    <w:uiPriority w:val="99"/>
    <w:semiHidden/>
    <w:unhideWhenUsed/>
    <w:rsid w:val="00CB2E58"/>
    <w:rPr>
      <w:vertAlign w:val="superscript"/>
    </w:rPr>
  </w:style>
  <w:style w:type="paragraph" w:styleId="Header">
    <w:name w:val="header"/>
    <w:basedOn w:val="Normal"/>
    <w:link w:val="HeaderChar"/>
    <w:uiPriority w:val="99"/>
    <w:unhideWhenUsed/>
    <w:rsid w:val="00E448CD"/>
    <w:pPr>
      <w:tabs>
        <w:tab w:val="center" w:pos="4680"/>
        <w:tab w:val="right" w:pos="9360"/>
      </w:tabs>
    </w:pPr>
  </w:style>
  <w:style w:type="character" w:customStyle="1" w:styleId="HeaderChar">
    <w:name w:val="Header Char"/>
    <w:basedOn w:val="DefaultParagraphFont"/>
    <w:link w:val="Header"/>
    <w:uiPriority w:val="99"/>
    <w:rsid w:val="00E448CD"/>
  </w:style>
  <w:style w:type="paragraph" w:styleId="Footer">
    <w:name w:val="footer"/>
    <w:basedOn w:val="Normal"/>
    <w:link w:val="FooterChar"/>
    <w:uiPriority w:val="99"/>
    <w:unhideWhenUsed/>
    <w:rsid w:val="00E448CD"/>
    <w:pPr>
      <w:tabs>
        <w:tab w:val="center" w:pos="4680"/>
        <w:tab w:val="right" w:pos="9360"/>
      </w:tabs>
    </w:pPr>
  </w:style>
  <w:style w:type="character" w:customStyle="1" w:styleId="FooterChar">
    <w:name w:val="Footer Char"/>
    <w:basedOn w:val="DefaultParagraphFont"/>
    <w:link w:val="Footer"/>
    <w:uiPriority w:val="99"/>
    <w:rsid w:val="00E448CD"/>
  </w:style>
  <w:style w:type="character" w:styleId="Hyperlink">
    <w:name w:val="Hyperlink"/>
    <w:basedOn w:val="DefaultParagraphFont"/>
    <w:uiPriority w:val="99"/>
    <w:unhideWhenUsed/>
    <w:rsid w:val="008439FE"/>
    <w:rPr>
      <w:color w:val="0000FF" w:themeColor="hyperlink"/>
      <w:u w:val="single"/>
    </w:rPr>
  </w:style>
  <w:style w:type="character" w:styleId="CommentReference">
    <w:name w:val="annotation reference"/>
    <w:basedOn w:val="DefaultParagraphFont"/>
    <w:uiPriority w:val="99"/>
    <w:semiHidden/>
    <w:unhideWhenUsed/>
    <w:rsid w:val="00AF3254"/>
    <w:rPr>
      <w:sz w:val="16"/>
      <w:szCs w:val="16"/>
    </w:rPr>
  </w:style>
  <w:style w:type="paragraph" w:styleId="CommentText">
    <w:name w:val="annotation text"/>
    <w:basedOn w:val="Normal"/>
    <w:link w:val="CommentTextChar"/>
    <w:semiHidden/>
    <w:unhideWhenUsed/>
    <w:rsid w:val="00AF3254"/>
    <w:rPr>
      <w:sz w:val="20"/>
      <w:szCs w:val="20"/>
    </w:rPr>
  </w:style>
  <w:style w:type="character" w:customStyle="1" w:styleId="CommentTextChar">
    <w:name w:val="Comment Text Char"/>
    <w:basedOn w:val="DefaultParagraphFont"/>
    <w:link w:val="CommentText"/>
    <w:semiHidden/>
    <w:rsid w:val="00AF3254"/>
    <w:rPr>
      <w:sz w:val="20"/>
      <w:szCs w:val="20"/>
    </w:rPr>
  </w:style>
  <w:style w:type="paragraph" w:styleId="CommentSubject">
    <w:name w:val="annotation subject"/>
    <w:basedOn w:val="CommentText"/>
    <w:next w:val="CommentText"/>
    <w:link w:val="CommentSubjectChar"/>
    <w:uiPriority w:val="99"/>
    <w:semiHidden/>
    <w:unhideWhenUsed/>
    <w:rsid w:val="00AF3254"/>
    <w:rPr>
      <w:b/>
      <w:bCs/>
    </w:rPr>
  </w:style>
  <w:style w:type="character" w:customStyle="1" w:styleId="CommentSubjectChar">
    <w:name w:val="Comment Subject Char"/>
    <w:basedOn w:val="CommentTextChar"/>
    <w:link w:val="CommentSubject"/>
    <w:uiPriority w:val="99"/>
    <w:semiHidden/>
    <w:rsid w:val="00AF3254"/>
    <w:rPr>
      <w:b/>
      <w:bCs/>
      <w:sz w:val="20"/>
      <w:szCs w:val="20"/>
    </w:rPr>
  </w:style>
  <w:style w:type="paragraph" w:styleId="BalloonText">
    <w:name w:val="Balloon Text"/>
    <w:basedOn w:val="Normal"/>
    <w:link w:val="BalloonTextChar"/>
    <w:uiPriority w:val="99"/>
    <w:semiHidden/>
    <w:unhideWhenUsed/>
    <w:rsid w:val="00AF3254"/>
    <w:rPr>
      <w:rFonts w:ascii="Tahoma" w:hAnsi="Tahoma" w:cs="Tahoma"/>
      <w:sz w:val="16"/>
      <w:szCs w:val="16"/>
    </w:rPr>
  </w:style>
  <w:style w:type="character" w:customStyle="1" w:styleId="BalloonTextChar">
    <w:name w:val="Balloon Text Char"/>
    <w:basedOn w:val="DefaultParagraphFont"/>
    <w:link w:val="BalloonText"/>
    <w:uiPriority w:val="99"/>
    <w:semiHidden/>
    <w:rsid w:val="00AF3254"/>
    <w:rPr>
      <w:rFonts w:ascii="Tahoma" w:hAnsi="Tahoma" w:cs="Tahoma"/>
      <w:sz w:val="16"/>
      <w:szCs w:val="16"/>
    </w:rPr>
  </w:style>
  <w:style w:type="table" w:styleId="TableGrid">
    <w:name w:val="Table Grid"/>
    <w:basedOn w:val="TableNormal"/>
    <w:uiPriority w:val="59"/>
    <w:rsid w:val="006D1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54B94"/>
    <w:pPr>
      <w:tabs>
        <w:tab w:val="decimal" w:leader="dot" w:pos="8640"/>
      </w:tabs>
      <w:spacing w:after="240"/>
      <w:ind w:left="720" w:hanging="720"/>
    </w:pPr>
    <w:rPr>
      <w:caps/>
      <w:sz w:val="24"/>
    </w:rPr>
  </w:style>
  <w:style w:type="paragraph" w:styleId="HTMLPreformatted">
    <w:name w:val="HTML Preformatted"/>
    <w:basedOn w:val="Normal"/>
    <w:link w:val="HTMLPreformattedChar"/>
    <w:unhideWhenUsed/>
    <w:rsid w:val="0004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443A3"/>
    <w:rPr>
      <w:rFonts w:ascii="Courier New" w:eastAsia="Courier New" w:hAnsi="Courier New" w:cs="Courier New"/>
      <w:sz w:val="20"/>
      <w:szCs w:val="20"/>
    </w:rPr>
  </w:style>
  <w:style w:type="character" w:styleId="LineNumber">
    <w:name w:val="line number"/>
    <w:basedOn w:val="DefaultParagraphFont"/>
    <w:uiPriority w:val="99"/>
    <w:semiHidden/>
    <w:unhideWhenUsed/>
    <w:rsid w:val="000443A3"/>
  </w:style>
  <w:style w:type="character" w:customStyle="1" w:styleId="Heading1Char">
    <w:name w:val="Heading 1 Char"/>
    <w:basedOn w:val="DefaultParagraphFont"/>
    <w:link w:val="Heading1"/>
    <w:uiPriority w:val="9"/>
    <w:rsid w:val="00AC70D7"/>
    <w:rPr>
      <w:b/>
    </w:rPr>
  </w:style>
  <w:style w:type="paragraph" w:styleId="EndnoteText">
    <w:name w:val="endnote text"/>
    <w:basedOn w:val="Normal"/>
    <w:link w:val="EndnoteTextChar"/>
    <w:semiHidden/>
    <w:rsid w:val="00B54B94"/>
    <w:pPr>
      <w:widowControl w:val="0"/>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B54B94"/>
    <w:rPr>
      <w:rFonts w:ascii="Courier New" w:eastAsia="Times New Roman" w:hAnsi="Courier New" w:cs="Times New Roman"/>
      <w:snapToGrid w:val="0"/>
      <w:sz w:val="24"/>
      <w:szCs w:val="20"/>
    </w:rPr>
  </w:style>
  <w:style w:type="character" w:styleId="FollowedHyperlink">
    <w:name w:val="FollowedHyperlink"/>
    <w:basedOn w:val="DefaultParagraphFont"/>
    <w:uiPriority w:val="99"/>
    <w:semiHidden/>
    <w:unhideWhenUsed/>
    <w:rsid w:val="00BD6B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AC70D7"/>
    <w:pPr>
      <w:numPr>
        <w:numId w:val="9"/>
      </w:numPr>
      <w:spacing w:line="480" w:lineRule="auto"/>
      <w:ind w:left="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E13"/>
    <w:pPr>
      <w:ind w:left="720"/>
      <w:contextualSpacing/>
    </w:pPr>
  </w:style>
  <w:style w:type="paragraph" w:styleId="FootnoteText">
    <w:name w:val="footnote text"/>
    <w:basedOn w:val="Normal"/>
    <w:link w:val="FootnoteTextChar"/>
    <w:uiPriority w:val="99"/>
    <w:semiHidden/>
    <w:unhideWhenUsed/>
    <w:rsid w:val="00CB2E58"/>
    <w:rPr>
      <w:sz w:val="20"/>
      <w:szCs w:val="20"/>
    </w:rPr>
  </w:style>
  <w:style w:type="character" w:customStyle="1" w:styleId="FootnoteTextChar">
    <w:name w:val="Footnote Text Char"/>
    <w:basedOn w:val="DefaultParagraphFont"/>
    <w:link w:val="FootnoteText"/>
    <w:uiPriority w:val="99"/>
    <w:semiHidden/>
    <w:rsid w:val="00CB2E58"/>
    <w:rPr>
      <w:sz w:val="20"/>
      <w:szCs w:val="20"/>
    </w:rPr>
  </w:style>
  <w:style w:type="character" w:styleId="FootnoteReference">
    <w:name w:val="footnote reference"/>
    <w:basedOn w:val="DefaultParagraphFont"/>
    <w:uiPriority w:val="99"/>
    <w:semiHidden/>
    <w:unhideWhenUsed/>
    <w:rsid w:val="00CB2E58"/>
    <w:rPr>
      <w:vertAlign w:val="superscript"/>
    </w:rPr>
  </w:style>
  <w:style w:type="paragraph" w:styleId="Header">
    <w:name w:val="header"/>
    <w:basedOn w:val="Normal"/>
    <w:link w:val="HeaderChar"/>
    <w:uiPriority w:val="99"/>
    <w:unhideWhenUsed/>
    <w:rsid w:val="00E448CD"/>
    <w:pPr>
      <w:tabs>
        <w:tab w:val="center" w:pos="4680"/>
        <w:tab w:val="right" w:pos="9360"/>
      </w:tabs>
    </w:pPr>
  </w:style>
  <w:style w:type="character" w:customStyle="1" w:styleId="HeaderChar">
    <w:name w:val="Header Char"/>
    <w:basedOn w:val="DefaultParagraphFont"/>
    <w:link w:val="Header"/>
    <w:uiPriority w:val="99"/>
    <w:rsid w:val="00E448CD"/>
  </w:style>
  <w:style w:type="paragraph" w:styleId="Footer">
    <w:name w:val="footer"/>
    <w:basedOn w:val="Normal"/>
    <w:link w:val="FooterChar"/>
    <w:uiPriority w:val="99"/>
    <w:unhideWhenUsed/>
    <w:rsid w:val="00E448CD"/>
    <w:pPr>
      <w:tabs>
        <w:tab w:val="center" w:pos="4680"/>
        <w:tab w:val="right" w:pos="9360"/>
      </w:tabs>
    </w:pPr>
  </w:style>
  <w:style w:type="character" w:customStyle="1" w:styleId="FooterChar">
    <w:name w:val="Footer Char"/>
    <w:basedOn w:val="DefaultParagraphFont"/>
    <w:link w:val="Footer"/>
    <w:uiPriority w:val="99"/>
    <w:rsid w:val="00E448CD"/>
  </w:style>
  <w:style w:type="character" w:styleId="Hyperlink">
    <w:name w:val="Hyperlink"/>
    <w:basedOn w:val="DefaultParagraphFont"/>
    <w:uiPriority w:val="99"/>
    <w:unhideWhenUsed/>
    <w:rsid w:val="008439FE"/>
    <w:rPr>
      <w:color w:val="0000FF" w:themeColor="hyperlink"/>
      <w:u w:val="single"/>
    </w:rPr>
  </w:style>
  <w:style w:type="character" w:styleId="CommentReference">
    <w:name w:val="annotation reference"/>
    <w:basedOn w:val="DefaultParagraphFont"/>
    <w:uiPriority w:val="99"/>
    <w:semiHidden/>
    <w:unhideWhenUsed/>
    <w:rsid w:val="00AF3254"/>
    <w:rPr>
      <w:sz w:val="16"/>
      <w:szCs w:val="16"/>
    </w:rPr>
  </w:style>
  <w:style w:type="paragraph" w:styleId="CommentText">
    <w:name w:val="annotation text"/>
    <w:basedOn w:val="Normal"/>
    <w:link w:val="CommentTextChar"/>
    <w:semiHidden/>
    <w:unhideWhenUsed/>
    <w:rsid w:val="00AF3254"/>
    <w:rPr>
      <w:sz w:val="20"/>
      <w:szCs w:val="20"/>
    </w:rPr>
  </w:style>
  <w:style w:type="character" w:customStyle="1" w:styleId="CommentTextChar">
    <w:name w:val="Comment Text Char"/>
    <w:basedOn w:val="DefaultParagraphFont"/>
    <w:link w:val="CommentText"/>
    <w:semiHidden/>
    <w:rsid w:val="00AF3254"/>
    <w:rPr>
      <w:sz w:val="20"/>
      <w:szCs w:val="20"/>
    </w:rPr>
  </w:style>
  <w:style w:type="paragraph" w:styleId="CommentSubject">
    <w:name w:val="annotation subject"/>
    <w:basedOn w:val="CommentText"/>
    <w:next w:val="CommentText"/>
    <w:link w:val="CommentSubjectChar"/>
    <w:uiPriority w:val="99"/>
    <w:semiHidden/>
    <w:unhideWhenUsed/>
    <w:rsid w:val="00AF3254"/>
    <w:rPr>
      <w:b/>
      <w:bCs/>
    </w:rPr>
  </w:style>
  <w:style w:type="character" w:customStyle="1" w:styleId="CommentSubjectChar">
    <w:name w:val="Comment Subject Char"/>
    <w:basedOn w:val="CommentTextChar"/>
    <w:link w:val="CommentSubject"/>
    <w:uiPriority w:val="99"/>
    <w:semiHidden/>
    <w:rsid w:val="00AF3254"/>
    <w:rPr>
      <w:b/>
      <w:bCs/>
      <w:sz w:val="20"/>
      <w:szCs w:val="20"/>
    </w:rPr>
  </w:style>
  <w:style w:type="paragraph" w:styleId="BalloonText">
    <w:name w:val="Balloon Text"/>
    <w:basedOn w:val="Normal"/>
    <w:link w:val="BalloonTextChar"/>
    <w:uiPriority w:val="99"/>
    <w:semiHidden/>
    <w:unhideWhenUsed/>
    <w:rsid w:val="00AF3254"/>
    <w:rPr>
      <w:rFonts w:ascii="Tahoma" w:hAnsi="Tahoma" w:cs="Tahoma"/>
      <w:sz w:val="16"/>
      <w:szCs w:val="16"/>
    </w:rPr>
  </w:style>
  <w:style w:type="character" w:customStyle="1" w:styleId="BalloonTextChar">
    <w:name w:val="Balloon Text Char"/>
    <w:basedOn w:val="DefaultParagraphFont"/>
    <w:link w:val="BalloonText"/>
    <w:uiPriority w:val="99"/>
    <w:semiHidden/>
    <w:rsid w:val="00AF3254"/>
    <w:rPr>
      <w:rFonts w:ascii="Tahoma" w:hAnsi="Tahoma" w:cs="Tahoma"/>
      <w:sz w:val="16"/>
      <w:szCs w:val="16"/>
    </w:rPr>
  </w:style>
  <w:style w:type="table" w:styleId="TableGrid">
    <w:name w:val="Table Grid"/>
    <w:basedOn w:val="TableNormal"/>
    <w:uiPriority w:val="59"/>
    <w:rsid w:val="006D1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B54B94"/>
    <w:pPr>
      <w:tabs>
        <w:tab w:val="decimal" w:leader="dot" w:pos="8640"/>
      </w:tabs>
      <w:spacing w:after="240"/>
      <w:ind w:left="720" w:hanging="720"/>
    </w:pPr>
    <w:rPr>
      <w:caps/>
      <w:sz w:val="24"/>
    </w:rPr>
  </w:style>
  <w:style w:type="paragraph" w:styleId="HTMLPreformatted">
    <w:name w:val="HTML Preformatted"/>
    <w:basedOn w:val="Normal"/>
    <w:link w:val="HTMLPreformattedChar"/>
    <w:unhideWhenUsed/>
    <w:rsid w:val="0004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443A3"/>
    <w:rPr>
      <w:rFonts w:ascii="Courier New" w:eastAsia="Courier New" w:hAnsi="Courier New" w:cs="Courier New"/>
      <w:sz w:val="20"/>
      <w:szCs w:val="20"/>
    </w:rPr>
  </w:style>
  <w:style w:type="character" w:styleId="LineNumber">
    <w:name w:val="line number"/>
    <w:basedOn w:val="DefaultParagraphFont"/>
    <w:uiPriority w:val="99"/>
    <w:semiHidden/>
    <w:unhideWhenUsed/>
    <w:rsid w:val="000443A3"/>
  </w:style>
  <w:style w:type="character" w:customStyle="1" w:styleId="Heading1Char">
    <w:name w:val="Heading 1 Char"/>
    <w:basedOn w:val="DefaultParagraphFont"/>
    <w:link w:val="Heading1"/>
    <w:uiPriority w:val="9"/>
    <w:rsid w:val="00AC70D7"/>
    <w:rPr>
      <w:b/>
    </w:rPr>
  </w:style>
  <w:style w:type="paragraph" w:styleId="EndnoteText">
    <w:name w:val="endnote text"/>
    <w:basedOn w:val="Normal"/>
    <w:link w:val="EndnoteTextChar"/>
    <w:semiHidden/>
    <w:rsid w:val="00B54B94"/>
    <w:pPr>
      <w:widowControl w:val="0"/>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B54B94"/>
    <w:rPr>
      <w:rFonts w:ascii="Courier New" w:eastAsia="Times New Roman" w:hAnsi="Courier New" w:cs="Times New Roman"/>
      <w:snapToGrid w:val="0"/>
      <w:sz w:val="24"/>
      <w:szCs w:val="20"/>
    </w:rPr>
  </w:style>
  <w:style w:type="character" w:styleId="FollowedHyperlink">
    <w:name w:val="FollowedHyperlink"/>
    <w:basedOn w:val="DefaultParagraphFont"/>
    <w:uiPriority w:val="99"/>
    <w:semiHidden/>
    <w:unhideWhenUsed/>
    <w:rsid w:val="00BD6B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1576">
      <w:bodyDiv w:val="1"/>
      <w:marLeft w:val="0"/>
      <w:marRight w:val="0"/>
      <w:marTop w:val="0"/>
      <w:marBottom w:val="0"/>
      <w:divBdr>
        <w:top w:val="none" w:sz="0" w:space="0" w:color="auto"/>
        <w:left w:val="none" w:sz="0" w:space="0" w:color="auto"/>
        <w:bottom w:val="none" w:sz="0" w:space="0" w:color="auto"/>
        <w:right w:val="none" w:sz="0" w:space="0" w:color="auto"/>
      </w:divBdr>
      <w:divsChild>
        <w:div w:id="947931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Werner.margard@puc.state.oh.us" TargetMode="External"/><Relationship Id="rId26" Type="http://schemas.openxmlformats.org/officeDocument/2006/relationships/hyperlink" Target="mailto:tony.mendoza@sierraclub.org" TargetMode="External"/><Relationship Id="rId39" Type="http://schemas.openxmlformats.org/officeDocument/2006/relationships/hyperlink" Target="mailto:sfisk@earthjustice.org" TargetMode="External"/><Relationship Id="rId21" Type="http://schemas.openxmlformats.org/officeDocument/2006/relationships/hyperlink" Target="mailto:scasto@firstenergycorp.com" TargetMode="External"/><Relationship Id="rId34" Type="http://schemas.openxmlformats.org/officeDocument/2006/relationships/hyperlink" Target="mailto:glpetrucci@vorys.com" TargetMode="External"/><Relationship Id="rId42" Type="http://schemas.openxmlformats.org/officeDocument/2006/relationships/hyperlink" Target="mailto:todonnell@dickinsonwright.com" TargetMode="External"/><Relationship Id="rId47" Type="http://schemas.openxmlformats.org/officeDocument/2006/relationships/hyperlink" Target="mailto:mkurtz@BKLlawfirm.com" TargetMode="External"/><Relationship Id="rId50" Type="http://schemas.openxmlformats.org/officeDocument/2006/relationships/hyperlink" Target="mailto:sam@mwncmh.com" TargetMode="External"/><Relationship Id="rId55" Type="http://schemas.openxmlformats.org/officeDocument/2006/relationships/hyperlink" Target="mailto:Stephanie.Chmiel@ThompsonHine.com" TargetMode="External"/><Relationship Id="rId63" Type="http://schemas.openxmlformats.org/officeDocument/2006/relationships/hyperlink" Target="mailto:mfleisher@elpc.org" TargetMode="External"/><Relationship Id="rId68" Type="http://schemas.openxmlformats.org/officeDocument/2006/relationships/hyperlink" Target="mailto:msoules@earthjustice.org"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Sarah.parrot@puc.state.oh.us"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mailto:jeffrey.mayes@monitoringanalytics.com" TargetMode="External"/><Relationship Id="rId11" Type="http://schemas.openxmlformats.org/officeDocument/2006/relationships/footer" Target="footer2.xml"/><Relationship Id="rId24" Type="http://schemas.openxmlformats.org/officeDocument/2006/relationships/hyperlink" Target="mailto:myurick@taftlaw.com" TargetMode="External"/><Relationship Id="rId32" Type="http://schemas.openxmlformats.org/officeDocument/2006/relationships/hyperlink" Target="mailto:mhpetricoff@vorys.com" TargetMode="External"/><Relationship Id="rId37" Type="http://schemas.openxmlformats.org/officeDocument/2006/relationships/hyperlink" Target="mailto:sechler@carpenterlipps.com" TargetMode="External"/><Relationship Id="rId40" Type="http://schemas.openxmlformats.org/officeDocument/2006/relationships/hyperlink" Target="mailto:Kristin.henry@sierraclub.org" TargetMode="External"/><Relationship Id="rId45" Type="http://schemas.openxmlformats.org/officeDocument/2006/relationships/hyperlink" Target="mailto:mjsatterwhite@aep.com" TargetMode="External"/><Relationship Id="rId53" Type="http://schemas.openxmlformats.org/officeDocument/2006/relationships/hyperlink" Target="mailto:Kurt.Helfrich@ThompsonHine.com" TargetMode="External"/><Relationship Id="rId58" Type="http://schemas.openxmlformats.org/officeDocument/2006/relationships/hyperlink" Target="mailto:charris@spilmanlaw.com" TargetMode="External"/><Relationship Id="rId66" Type="http://schemas.openxmlformats.org/officeDocument/2006/relationships/hyperlink" Target="mailto:drinebolt@ohiopartners.org" TargetMode="External"/><Relationship Id="rId7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talexander@calfee.com" TargetMode="External"/><Relationship Id="rId28" Type="http://schemas.openxmlformats.org/officeDocument/2006/relationships/hyperlink" Target="mailto:twilliams@snhslaw.com" TargetMode="External"/><Relationship Id="rId36" Type="http://schemas.openxmlformats.org/officeDocument/2006/relationships/hyperlink" Target="mailto:joliker@igsenergy.com" TargetMode="External"/><Relationship Id="rId49" Type="http://schemas.openxmlformats.org/officeDocument/2006/relationships/hyperlink" Target="mailto:jkylercohn@BKLlawfirm.com" TargetMode="External"/><Relationship Id="rId57" Type="http://schemas.openxmlformats.org/officeDocument/2006/relationships/hyperlink" Target="mailto:dwilliamson@spilmanlaw.com" TargetMode="External"/><Relationship Id="rId61" Type="http://schemas.openxmlformats.org/officeDocument/2006/relationships/hyperlink" Target="mailto:Bojko@carpenterlipps.com" TargetMode="External"/><Relationship Id="rId10" Type="http://schemas.openxmlformats.org/officeDocument/2006/relationships/footer" Target="footer1.xml"/><Relationship Id="rId19" Type="http://schemas.openxmlformats.org/officeDocument/2006/relationships/hyperlink" Target="mailto:haydenm@firstenergycorp.com" TargetMode="External"/><Relationship Id="rId31" Type="http://schemas.openxmlformats.org/officeDocument/2006/relationships/hyperlink" Target="mailto:tobrien@bricker.com" TargetMode="External"/><Relationship Id="rId44" Type="http://schemas.openxmlformats.org/officeDocument/2006/relationships/hyperlink" Target="mailto:stnourse@aep.com" TargetMode="External"/><Relationship Id="rId52" Type="http://schemas.openxmlformats.org/officeDocument/2006/relationships/hyperlink" Target="mailto:mpritchard@mwncmh.com" TargetMode="External"/><Relationship Id="rId60" Type="http://schemas.openxmlformats.org/officeDocument/2006/relationships/hyperlink" Target="mailto:Schmidt@sppgrp.com" TargetMode="External"/><Relationship Id="rId65" Type="http://schemas.openxmlformats.org/officeDocument/2006/relationships/hyperlink" Target="mailto:cmooney@ohiopartners.org" TargetMode="External"/><Relationship Id="rId73"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jlang@calfee.com" TargetMode="External"/><Relationship Id="rId27" Type="http://schemas.openxmlformats.org/officeDocument/2006/relationships/hyperlink" Target="mailto:tdougherty@theOEC.org" TargetMode="External"/><Relationship Id="rId30" Type="http://schemas.openxmlformats.org/officeDocument/2006/relationships/hyperlink" Target="mailto:ricks@ohanet.org" TargetMode="External"/><Relationship Id="rId35" Type="http://schemas.openxmlformats.org/officeDocument/2006/relationships/hyperlink" Target="mailto:mdortch@kravitzllc.com" TargetMode="External"/><Relationship Id="rId43" Type="http://schemas.openxmlformats.org/officeDocument/2006/relationships/hyperlink" Target="mailto:rseiler@dickinsonwright.com" TargetMode="External"/><Relationship Id="rId48" Type="http://schemas.openxmlformats.org/officeDocument/2006/relationships/hyperlink" Target="mailto:kboehm@BKLlawfirm.com" TargetMode="External"/><Relationship Id="rId56" Type="http://schemas.openxmlformats.org/officeDocument/2006/relationships/hyperlink" Target="mailto:lhawrot@spilmanlaw.com" TargetMode="External"/><Relationship Id="rId64" Type="http://schemas.openxmlformats.org/officeDocument/2006/relationships/hyperlink" Target="mailto:msmalz@ohiopovertylaw.org" TargetMode="External"/><Relationship Id="rId69" Type="http://schemas.openxmlformats.org/officeDocument/2006/relationships/hyperlink" Target="mailto:jennifer.spinosi@directenergy.com" TargetMode="External"/><Relationship Id="rId8" Type="http://schemas.openxmlformats.org/officeDocument/2006/relationships/header" Target="header1.xml"/><Relationship Id="rId51" Type="http://schemas.openxmlformats.org/officeDocument/2006/relationships/hyperlink" Target="mailto:fdarr@mwncmh.com" TargetMode="External"/><Relationship Id="rId72" Type="http://schemas.openxmlformats.org/officeDocument/2006/relationships/hyperlink" Target="mailto:Greta.see@puc.state.oh.us"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mailto:Steven.beeler@puc.state.oh.us" TargetMode="External"/><Relationship Id="rId25" Type="http://schemas.openxmlformats.org/officeDocument/2006/relationships/hyperlink" Target="mailto:callwein@keglerbrown.com" TargetMode="External"/><Relationship Id="rId33" Type="http://schemas.openxmlformats.org/officeDocument/2006/relationships/hyperlink" Target="mailto:mjsettineri@vorys.com" TargetMode="External"/><Relationship Id="rId38" Type="http://schemas.openxmlformats.org/officeDocument/2006/relationships/hyperlink" Target="mailto:gpoulos@enernoc.com" TargetMode="External"/><Relationship Id="rId46" Type="http://schemas.openxmlformats.org/officeDocument/2006/relationships/hyperlink" Target="mailto:msmckenzie@aep.com" TargetMode="External"/><Relationship Id="rId59" Type="http://schemas.openxmlformats.org/officeDocument/2006/relationships/hyperlink" Target="mailto:Stephen.Chriss@walmart.com" TargetMode="External"/><Relationship Id="rId67" Type="http://schemas.openxmlformats.org/officeDocument/2006/relationships/hyperlink" Target="mailto:ghull@eckertseamans.com" TargetMode="External"/><Relationship Id="rId20" Type="http://schemas.openxmlformats.org/officeDocument/2006/relationships/hyperlink" Target="mailto:jmcdermott@firstenergycorp.com" TargetMode="External"/><Relationship Id="rId41" Type="http://schemas.openxmlformats.org/officeDocument/2006/relationships/hyperlink" Target="mailto:chris@envlaw.com" TargetMode="External"/><Relationship Id="rId54" Type="http://schemas.openxmlformats.org/officeDocument/2006/relationships/hyperlink" Target="mailto:Scott.Campbell@ThompsonHine.com" TargetMode="External"/><Relationship Id="rId62" Type="http://schemas.openxmlformats.org/officeDocument/2006/relationships/hyperlink" Target="mailto:orourke@carpenterlipps.com" TargetMode="External"/><Relationship Id="rId70" Type="http://schemas.openxmlformats.org/officeDocument/2006/relationships/hyperlink" Target="mailto:laurie.williams@sierraclub.or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puco.ohio.gov/puco/assets/File/Summary%20of%20Switch%20Rates%20CUS%203Q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4680</Words>
  <Characters>26148</Characters>
  <Application>Microsoft Office Word</Application>
  <DocSecurity>0</DocSecurity>
  <Lines>641</Lines>
  <Paragraphs>219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30749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2015-12-23T01:13:00Z</cp:lastPrinted>
  <dcterms:created xsi:type="dcterms:W3CDTF">2015-12-28T20:24:00Z</dcterms:created>
  <dcterms:modified xsi:type="dcterms:W3CDTF">2015-12-28T20:24:00Z</dcterms:modified>
  <cp:category> </cp:category>
  <cp:contentStatus> </cp:contentStatus>
</cp:coreProperties>
</file>