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F4" w:rsidRPr="00936074" w:rsidRDefault="00884BF4" w:rsidP="00884BF4">
      <w:pPr>
        <w:jc w:val="center"/>
        <w:rPr>
          <w:b/>
          <w:sz w:val="24"/>
          <w:szCs w:val="24"/>
        </w:rPr>
      </w:pPr>
      <w:bookmarkStart w:id="0" w:name="_GoBack"/>
      <w:bookmarkEnd w:id="0"/>
      <w:r w:rsidRPr="00936074">
        <w:rPr>
          <w:b/>
          <w:sz w:val="24"/>
          <w:szCs w:val="24"/>
        </w:rPr>
        <w:t>BEFORE</w:t>
      </w:r>
    </w:p>
    <w:p w:rsidR="00884BF4" w:rsidRPr="00936074" w:rsidRDefault="00884BF4" w:rsidP="00884BF4">
      <w:pPr>
        <w:jc w:val="center"/>
        <w:rPr>
          <w:b/>
          <w:sz w:val="24"/>
          <w:szCs w:val="24"/>
        </w:rPr>
      </w:pPr>
      <w:r w:rsidRPr="00936074">
        <w:rPr>
          <w:b/>
          <w:sz w:val="24"/>
          <w:szCs w:val="24"/>
        </w:rPr>
        <w:t>THE PUBLIC UTILITIES COMMISSION OF OHIO</w:t>
      </w:r>
    </w:p>
    <w:p w:rsidR="00884BF4" w:rsidRDefault="00884BF4" w:rsidP="00884BF4">
      <w:pPr>
        <w:rPr>
          <w:sz w:val="24"/>
          <w:szCs w:val="24"/>
        </w:rPr>
      </w:pPr>
    </w:p>
    <w:tbl>
      <w:tblPr>
        <w:tblW w:w="9108" w:type="dxa"/>
        <w:tblLayout w:type="fixed"/>
        <w:tblLook w:val="0000" w:firstRow="0" w:lastRow="0" w:firstColumn="0" w:lastColumn="0" w:noHBand="0" w:noVBand="0"/>
      </w:tblPr>
      <w:tblGrid>
        <w:gridCol w:w="4860"/>
        <w:gridCol w:w="365"/>
        <w:gridCol w:w="3883"/>
      </w:tblGrid>
      <w:tr w:rsidR="00884BF4" w:rsidRPr="00C66E24" w:rsidTr="008B379C">
        <w:trPr>
          <w:trHeight w:val="1201"/>
        </w:trPr>
        <w:tc>
          <w:tcPr>
            <w:tcW w:w="4860" w:type="dxa"/>
          </w:tcPr>
          <w:p w:rsidR="00884BF4" w:rsidRPr="00C66E24" w:rsidRDefault="00884BF4" w:rsidP="007502F9">
            <w:pPr>
              <w:rPr>
                <w:sz w:val="24"/>
              </w:rPr>
            </w:pPr>
            <w:r w:rsidRPr="00C66E24">
              <w:rPr>
                <w:sz w:val="24"/>
              </w:rPr>
              <w:t>Purchased Gas Adjustment Clauses Contained Within the Rate Schedules of Brainard Gas Corporation, Northeast Ohio Natural Gas Corporation, and Orwell Natural Gas Company and Related Matters.</w:t>
            </w:r>
          </w:p>
        </w:tc>
        <w:tc>
          <w:tcPr>
            <w:tcW w:w="365" w:type="dxa"/>
          </w:tcPr>
          <w:p w:rsidR="00884BF4" w:rsidRPr="00C66E24" w:rsidRDefault="00884BF4" w:rsidP="008B379C">
            <w:pPr>
              <w:rPr>
                <w:sz w:val="24"/>
              </w:rPr>
            </w:pPr>
            <w:r w:rsidRPr="00C66E24">
              <w:rPr>
                <w:sz w:val="24"/>
              </w:rPr>
              <w:t>)</w:t>
            </w:r>
          </w:p>
          <w:p w:rsidR="00884BF4" w:rsidRPr="00C66E24" w:rsidRDefault="00884BF4" w:rsidP="008B379C">
            <w:pPr>
              <w:rPr>
                <w:sz w:val="24"/>
              </w:rPr>
            </w:pPr>
            <w:r w:rsidRPr="00C66E24">
              <w:rPr>
                <w:sz w:val="24"/>
              </w:rPr>
              <w:t>)</w:t>
            </w:r>
          </w:p>
          <w:p w:rsidR="00884BF4" w:rsidRPr="00C66E24" w:rsidRDefault="00884BF4" w:rsidP="008B379C">
            <w:pPr>
              <w:rPr>
                <w:sz w:val="24"/>
              </w:rPr>
            </w:pPr>
            <w:r w:rsidRPr="00C66E24">
              <w:rPr>
                <w:sz w:val="24"/>
              </w:rPr>
              <w:t>)</w:t>
            </w:r>
          </w:p>
          <w:p w:rsidR="00884BF4" w:rsidRPr="00C66E24" w:rsidRDefault="00884BF4" w:rsidP="008B379C">
            <w:pPr>
              <w:rPr>
                <w:sz w:val="24"/>
              </w:rPr>
            </w:pPr>
            <w:r w:rsidRPr="00C66E24">
              <w:rPr>
                <w:sz w:val="24"/>
              </w:rPr>
              <w:t>)</w:t>
            </w:r>
          </w:p>
          <w:p w:rsidR="00884BF4" w:rsidRPr="00C66E24" w:rsidRDefault="00884BF4" w:rsidP="008B379C">
            <w:pPr>
              <w:rPr>
                <w:sz w:val="24"/>
              </w:rPr>
            </w:pPr>
            <w:r w:rsidRPr="00C66E24">
              <w:rPr>
                <w:sz w:val="24"/>
              </w:rPr>
              <w:t>)</w:t>
            </w:r>
          </w:p>
          <w:p w:rsidR="007502F9" w:rsidRDefault="00884BF4" w:rsidP="00FE177B">
            <w:pPr>
              <w:rPr>
                <w:sz w:val="24"/>
              </w:rPr>
            </w:pPr>
            <w:r w:rsidRPr="00C66E24">
              <w:rPr>
                <w:sz w:val="24"/>
              </w:rPr>
              <w:t>)</w:t>
            </w:r>
          </w:p>
          <w:p w:rsidR="0031299E" w:rsidRPr="00C66E24" w:rsidRDefault="0031299E" w:rsidP="00FE177B">
            <w:pPr>
              <w:rPr>
                <w:sz w:val="24"/>
              </w:rPr>
            </w:pPr>
          </w:p>
        </w:tc>
        <w:tc>
          <w:tcPr>
            <w:tcW w:w="3883" w:type="dxa"/>
          </w:tcPr>
          <w:p w:rsidR="00884BF4" w:rsidRPr="00C66E24" w:rsidRDefault="00884BF4" w:rsidP="008B379C">
            <w:pPr>
              <w:rPr>
                <w:sz w:val="24"/>
              </w:rPr>
            </w:pPr>
          </w:p>
          <w:p w:rsidR="00884BF4" w:rsidRPr="00C66E24" w:rsidRDefault="00884BF4" w:rsidP="008B379C">
            <w:pPr>
              <w:rPr>
                <w:sz w:val="24"/>
              </w:rPr>
            </w:pPr>
            <w:r w:rsidRPr="00C66E24">
              <w:rPr>
                <w:sz w:val="24"/>
              </w:rPr>
              <w:t>Case No. 14-206-GA-GCR</w:t>
            </w:r>
          </w:p>
          <w:p w:rsidR="00884BF4" w:rsidRPr="00C66E24" w:rsidRDefault="00884BF4" w:rsidP="008B379C">
            <w:pPr>
              <w:rPr>
                <w:sz w:val="24"/>
              </w:rPr>
            </w:pPr>
            <w:r w:rsidRPr="00C66E24">
              <w:rPr>
                <w:sz w:val="24"/>
              </w:rPr>
              <w:t>Case No. 14-209-GA-GCR</w:t>
            </w:r>
          </w:p>
          <w:p w:rsidR="00884BF4" w:rsidRPr="00C66E24" w:rsidRDefault="00884BF4" w:rsidP="008B379C">
            <w:pPr>
              <w:rPr>
                <w:sz w:val="24"/>
              </w:rPr>
            </w:pPr>
            <w:r w:rsidRPr="00C66E24">
              <w:rPr>
                <w:sz w:val="24"/>
              </w:rPr>
              <w:t>Case No. 14-212-GA-GCR</w:t>
            </w:r>
          </w:p>
          <w:p w:rsidR="00884BF4" w:rsidRPr="00C66E24" w:rsidRDefault="00884BF4" w:rsidP="008B379C">
            <w:pPr>
              <w:ind w:right="388"/>
              <w:rPr>
                <w:sz w:val="24"/>
              </w:rPr>
            </w:pPr>
          </w:p>
          <w:p w:rsidR="00884BF4" w:rsidRPr="00C66E24" w:rsidRDefault="00884BF4" w:rsidP="008B379C">
            <w:pPr>
              <w:rPr>
                <w:sz w:val="24"/>
              </w:rPr>
            </w:pPr>
          </w:p>
        </w:tc>
      </w:tr>
    </w:tbl>
    <w:p w:rsidR="00884BF4" w:rsidRPr="00936074" w:rsidRDefault="00884BF4" w:rsidP="00884BF4">
      <w:pPr>
        <w:pBdr>
          <w:top w:val="single" w:sz="12" w:space="1" w:color="auto"/>
        </w:pBdr>
        <w:rPr>
          <w:sz w:val="24"/>
          <w:szCs w:val="24"/>
        </w:rPr>
      </w:pPr>
    </w:p>
    <w:p w:rsidR="00FE177B" w:rsidRDefault="00884BF4" w:rsidP="00884BF4">
      <w:pPr>
        <w:jc w:val="center"/>
        <w:rPr>
          <w:b/>
          <w:caps/>
          <w:sz w:val="24"/>
          <w:szCs w:val="24"/>
        </w:rPr>
      </w:pPr>
      <w:r>
        <w:rPr>
          <w:b/>
          <w:caps/>
          <w:sz w:val="24"/>
          <w:szCs w:val="24"/>
        </w:rPr>
        <w:t xml:space="preserve">Memorandum contra </w:t>
      </w:r>
    </w:p>
    <w:p w:rsidR="00884BF4" w:rsidRPr="00936074" w:rsidRDefault="00884BF4" w:rsidP="00884BF4">
      <w:pPr>
        <w:jc w:val="center"/>
        <w:rPr>
          <w:b/>
          <w:caps/>
          <w:sz w:val="24"/>
          <w:szCs w:val="24"/>
        </w:rPr>
      </w:pPr>
      <w:r>
        <w:rPr>
          <w:b/>
          <w:caps/>
          <w:sz w:val="24"/>
          <w:szCs w:val="24"/>
        </w:rPr>
        <w:t xml:space="preserve">motion </w:t>
      </w:r>
      <w:r w:rsidR="00FE177B">
        <w:rPr>
          <w:b/>
          <w:caps/>
          <w:sz w:val="24"/>
          <w:szCs w:val="24"/>
        </w:rPr>
        <w:t xml:space="preserve">for leave </w:t>
      </w:r>
      <w:r>
        <w:rPr>
          <w:b/>
          <w:caps/>
          <w:sz w:val="24"/>
          <w:szCs w:val="24"/>
        </w:rPr>
        <w:t>to file out of time</w:t>
      </w:r>
    </w:p>
    <w:p w:rsidR="00884BF4" w:rsidRPr="005B250A" w:rsidRDefault="00884BF4" w:rsidP="00884BF4">
      <w:pPr>
        <w:pBdr>
          <w:bottom w:val="single" w:sz="12" w:space="1" w:color="auto"/>
        </w:pBdr>
        <w:jc w:val="center"/>
        <w:rPr>
          <w:b/>
          <w:sz w:val="24"/>
          <w:szCs w:val="24"/>
        </w:rPr>
      </w:pPr>
      <w:r w:rsidRPr="005B250A">
        <w:rPr>
          <w:b/>
          <w:sz w:val="24"/>
          <w:szCs w:val="24"/>
        </w:rPr>
        <w:t>BY</w:t>
      </w:r>
    </w:p>
    <w:p w:rsidR="00884BF4" w:rsidRPr="005B250A" w:rsidRDefault="00884BF4" w:rsidP="00884BF4">
      <w:pPr>
        <w:pBdr>
          <w:bottom w:val="single" w:sz="12" w:space="1" w:color="auto"/>
        </w:pBdr>
        <w:jc w:val="center"/>
        <w:rPr>
          <w:b/>
          <w:sz w:val="24"/>
          <w:szCs w:val="24"/>
        </w:rPr>
      </w:pPr>
      <w:r w:rsidRPr="005B250A">
        <w:rPr>
          <w:b/>
          <w:sz w:val="24"/>
          <w:szCs w:val="24"/>
        </w:rPr>
        <w:t>THE OFFICE OF THE OHIO CONSUMERS’ COUNSEL</w:t>
      </w:r>
    </w:p>
    <w:p w:rsidR="00884BF4" w:rsidRPr="00936074" w:rsidRDefault="00884BF4" w:rsidP="00884BF4">
      <w:pPr>
        <w:pBdr>
          <w:bottom w:val="single" w:sz="12" w:space="1" w:color="auto"/>
        </w:pBdr>
        <w:rPr>
          <w:sz w:val="24"/>
          <w:szCs w:val="24"/>
        </w:rPr>
      </w:pPr>
    </w:p>
    <w:p w:rsidR="00884BF4" w:rsidRDefault="00884BF4" w:rsidP="00884BF4">
      <w:pPr>
        <w:rPr>
          <w:sz w:val="24"/>
          <w:szCs w:val="24"/>
        </w:rPr>
      </w:pPr>
    </w:p>
    <w:p w:rsidR="00615AD0" w:rsidRDefault="00884BF4" w:rsidP="00615AD0">
      <w:pPr>
        <w:autoSpaceDE w:val="0"/>
        <w:autoSpaceDN w:val="0"/>
        <w:adjustRightInd w:val="0"/>
        <w:spacing w:line="480" w:lineRule="auto"/>
        <w:rPr>
          <w:rFonts w:eastAsiaTheme="minorHAnsi"/>
          <w:sz w:val="24"/>
          <w:szCs w:val="24"/>
        </w:rPr>
      </w:pPr>
      <w:r w:rsidRPr="00936074">
        <w:rPr>
          <w:sz w:val="24"/>
          <w:szCs w:val="24"/>
        </w:rPr>
        <w:tab/>
      </w:r>
      <w:r w:rsidR="007502F9">
        <w:rPr>
          <w:sz w:val="24"/>
          <w:szCs w:val="24"/>
        </w:rPr>
        <w:t xml:space="preserve">On July 15, 2015, </w:t>
      </w:r>
      <w:r w:rsidR="007502F9" w:rsidRPr="00C66E24">
        <w:rPr>
          <w:sz w:val="24"/>
        </w:rPr>
        <w:t>Brainard Gas Corporation</w:t>
      </w:r>
      <w:r w:rsidR="007502F9">
        <w:rPr>
          <w:sz w:val="24"/>
        </w:rPr>
        <w:t xml:space="preserve"> (“Brainard”)</w:t>
      </w:r>
      <w:r w:rsidR="007502F9" w:rsidRPr="00C66E24">
        <w:rPr>
          <w:sz w:val="24"/>
        </w:rPr>
        <w:t>, Northeast Ohio Natural Gas Corporation</w:t>
      </w:r>
      <w:r w:rsidR="007502F9">
        <w:rPr>
          <w:sz w:val="24"/>
        </w:rPr>
        <w:t xml:space="preserve"> (“Northeast”)</w:t>
      </w:r>
      <w:r w:rsidR="007502F9" w:rsidRPr="00C66E24">
        <w:rPr>
          <w:sz w:val="24"/>
        </w:rPr>
        <w:t>, and Orwell Natural Gas Company</w:t>
      </w:r>
      <w:r w:rsidR="007502F9">
        <w:rPr>
          <w:sz w:val="24"/>
        </w:rPr>
        <w:t xml:space="preserve"> (“Orwell”) (collectively “the Utilities”) filed a Motion for Leave to File </w:t>
      </w:r>
      <w:r w:rsidR="007502F9">
        <w:rPr>
          <w:i/>
          <w:sz w:val="24"/>
        </w:rPr>
        <w:t xml:space="preserve">Instanter </w:t>
      </w:r>
      <w:r w:rsidR="007502F9" w:rsidRPr="007502F9">
        <w:rPr>
          <w:sz w:val="24"/>
        </w:rPr>
        <w:t xml:space="preserve">the Direct Testimony of </w:t>
      </w:r>
      <w:r w:rsidR="00A82A8A">
        <w:rPr>
          <w:sz w:val="24"/>
        </w:rPr>
        <w:t>M</w:t>
      </w:r>
      <w:r w:rsidR="007502F9" w:rsidRPr="007502F9">
        <w:rPr>
          <w:sz w:val="24"/>
        </w:rPr>
        <w:t>artin K. Whelan and Request for Expedited Treatment in the above-captioned proceedi</w:t>
      </w:r>
      <w:r w:rsidR="007502F9">
        <w:rPr>
          <w:sz w:val="24"/>
        </w:rPr>
        <w:t>n</w:t>
      </w:r>
      <w:r w:rsidR="007502F9" w:rsidRPr="007502F9">
        <w:rPr>
          <w:sz w:val="24"/>
        </w:rPr>
        <w:t>g</w:t>
      </w:r>
      <w:r w:rsidR="007502F9">
        <w:t>.</w:t>
      </w:r>
      <w:r w:rsidR="00615AD0" w:rsidRPr="00615AD0">
        <w:rPr>
          <w:rFonts w:eastAsiaTheme="minorHAnsi"/>
          <w:sz w:val="24"/>
          <w:szCs w:val="24"/>
        </w:rPr>
        <w:t xml:space="preserve"> </w:t>
      </w:r>
      <w:r w:rsidR="00615AD0">
        <w:rPr>
          <w:rFonts w:eastAsiaTheme="minorHAnsi"/>
          <w:sz w:val="24"/>
          <w:szCs w:val="24"/>
        </w:rPr>
        <w:t xml:space="preserve"> Under Ohio Adm. Code 4901-1-35(B), </w:t>
      </w:r>
      <w:r w:rsidR="00615AD0" w:rsidRPr="00936074">
        <w:rPr>
          <w:sz w:val="24"/>
          <w:szCs w:val="24"/>
        </w:rPr>
        <w:t xml:space="preserve">the Office of the Ohio Consumers’ Counsel (“OCC”) </w:t>
      </w:r>
      <w:r w:rsidR="00615AD0">
        <w:rPr>
          <w:sz w:val="24"/>
          <w:szCs w:val="24"/>
        </w:rPr>
        <w:t xml:space="preserve">hereby </w:t>
      </w:r>
      <w:r w:rsidR="00615AD0">
        <w:rPr>
          <w:rFonts w:eastAsiaTheme="minorHAnsi"/>
          <w:sz w:val="24"/>
          <w:szCs w:val="24"/>
        </w:rPr>
        <w:t>submits this memorandum contra the motion for leave to file testimony out of time.</w:t>
      </w:r>
    </w:p>
    <w:p w:rsidR="00884BF4" w:rsidRDefault="00884BF4" w:rsidP="00615AD0">
      <w:pPr>
        <w:spacing w:line="480" w:lineRule="auto"/>
        <w:ind w:firstLine="720"/>
        <w:rPr>
          <w:sz w:val="24"/>
          <w:szCs w:val="24"/>
        </w:rPr>
      </w:pPr>
      <w:r w:rsidRPr="00615AD0">
        <w:rPr>
          <w:sz w:val="24"/>
          <w:szCs w:val="24"/>
        </w:rPr>
        <w:t>Th</w:t>
      </w:r>
      <w:r w:rsidR="00E74583" w:rsidRPr="00615AD0">
        <w:rPr>
          <w:sz w:val="24"/>
          <w:szCs w:val="24"/>
        </w:rPr>
        <w:t>e above-captioned proceeding</w:t>
      </w:r>
      <w:r w:rsidRPr="00615AD0">
        <w:rPr>
          <w:sz w:val="24"/>
          <w:szCs w:val="24"/>
        </w:rPr>
        <w:t xml:space="preserve"> involves</w:t>
      </w:r>
      <w:r w:rsidR="009B05EE">
        <w:rPr>
          <w:sz w:val="24"/>
          <w:szCs w:val="24"/>
        </w:rPr>
        <w:t>, inter alia,</w:t>
      </w:r>
      <w:r w:rsidRPr="00615AD0">
        <w:rPr>
          <w:sz w:val="24"/>
          <w:szCs w:val="24"/>
        </w:rPr>
        <w:t xml:space="preserve"> the </w:t>
      </w:r>
      <w:r w:rsidR="00615AD0" w:rsidRPr="00615AD0">
        <w:rPr>
          <w:sz w:val="24"/>
          <w:szCs w:val="24"/>
        </w:rPr>
        <w:t>Public Utilities Commission of Ohio’s (“PUCO”)</w:t>
      </w:r>
      <w:r w:rsidRPr="00615AD0">
        <w:rPr>
          <w:sz w:val="24"/>
          <w:szCs w:val="24"/>
        </w:rPr>
        <w:t xml:space="preserve"> review</w:t>
      </w:r>
      <w:r w:rsidR="00615AD0" w:rsidRPr="00615AD0">
        <w:rPr>
          <w:sz w:val="24"/>
          <w:szCs w:val="24"/>
        </w:rPr>
        <w:t xml:space="preserve"> of the</w:t>
      </w:r>
      <w:r w:rsidR="00615AD0" w:rsidRPr="00615AD0">
        <w:rPr>
          <w:spacing w:val="-3"/>
          <w:sz w:val="24"/>
          <w:szCs w:val="24"/>
        </w:rPr>
        <w:t xml:space="preserve"> Utilities’ gas cost recovery (“GCR”) charges to determine whether the charges were fair, just, and reasonable.</w:t>
      </w:r>
      <w:r w:rsidR="00615AD0">
        <w:rPr>
          <w:rStyle w:val="FootnoteReference"/>
          <w:spacing w:val="-3"/>
          <w:sz w:val="24"/>
          <w:szCs w:val="24"/>
        </w:rPr>
        <w:footnoteReference w:id="1"/>
      </w:r>
      <w:r w:rsidR="00615AD0" w:rsidRPr="00615AD0">
        <w:rPr>
          <w:spacing w:val="-3"/>
          <w:sz w:val="24"/>
          <w:szCs w:val="24"/>
        </w:rPr>
        <w:t xml:space="preserve">  The PUCO’s </w:t>
      </w:r>
      <w:r w:rsidR="00B307D8">
        <w:rPr>
          <w:spacing w:val="-3"/>
          <w:sz w:val="24"/>
          <w:szCs w:val="24"/>
        </w:rPr>
        <w:t>A</w:t>
      </w:r>
      <w:r w:rsidR="00615AD0" w:rsidRPr="00615AD0">
        <w:rPr>
          <w:spacing w:val="-3"/>
          <w:sz w:val="24"/>
          <w:szCs w:val="24"/>
        </w:rPr>
        <w:t xml:space="preserve">udit in this proceeding also involves a review of </w:t>
      </w:r>
      <w:r w:rsidRPr="00615AD0">
        <w:rPr>
          <w:sz w:val="24"/>
          <w:szCs w:val="24"/>
        </w:rPr>
        <w:t>the</w:t>
      </w:r>
      <w:r w:rsidR="00615AD0" w:rsidRPr="00615AD0">
        <w:rPr>
          <w:sz w:val="24"/>
          <w:szCs w:val="24"/>
        </w:rPr>
        <w:t xml:space="preserve"> Utilities’</w:t>
      </w:r>
      <w:r w:rsidRPr="00615AD0">
        <w:rPr>
          <w:sz w:val="24"/>
          <w:szCs w:val="24"/>
        </w:rPr>
        <w:t xml:space="preserve"> natural gas purchasing policies and practices </w:t>
      </w:r>
      <w:r w:rsidR="00615AD0">
        <w:rPr>
          <w:sz w:val="24"/>
          <w:szCs w:val="24"/>
        </w:rPr>
        <w:t xml:space="preserve">and whether those </w:t>
      </w:r>
      <w:r w:rsidR="00615AD0" w:rsidRPr="00615AD0">
        <w:rPr>
          <w:spacing w:val="-3"/>
          <w:sz w:val="24"/>
          <w:szCs w:val="24"/>
        </w:rPr>
        <w:t xml:space="preserve">practices and policies were reasonable and </w:t>
      </w:r>
      <w:r w:rsidR="00615AD0" w:rsidRPr="00615AD0">
        <w:rPr>
          <w:spacing w:val="-3"/>
          <w:sz w:val="24"/>
          <w:szCs w:val="24"/>
        </w:rPr>
        <w:lastRenderedPageBreak/>
        <w:t>prudent.</w:t>
      </w:r>
      <w:r w:rsidR="00615AD0" w:rsidRPr="00615AD0">
        <w:rPr>
          <w:rStyle w:val="FootnoteReference"/>
          <w:spacing w:val="-3"/>
          <w:sz w:val="24"/>
          <w:szCs w:val="24"/>
        </w:rPr>
        <w:footnoteReference w:id="2"/>
      </w:r>
      <w:r w:rsidR="00615AD0" w:rsidRPr="00615AD0">
        <w:rPr>
          <w:spacing w:val="-3"/>
          <w:sz w:val="24"/>
          <w:szCs w:val="24"/>
        </w:rPr>
        <w:t xml:space="preserve"> </w:t>
      </w:r>
      <w:r w:rsidRPr="00615AD0">
        <w:rPr>
          <w:sz w:val="24"/>
          <w:szCs w:val="24"/>
        </w:rPr>
        <w:t xml:space="preserve"> OCC</w:t>
      </w:r>
      <w:r w:rsidR="00E74583" w:rsidRPr="00615AD0">
        <w:rPr>
          <w:sz w:val="24"/>
          <w:szCs w:val="24"/>
        </w:rPr>
        <w:t xml:space="preserve">, </w:t>
      </w:r>
      <w:r w:rsidRPr="00615AD0">
        <w:rPr>
          <w:sz w:val="24"/>
          <w:szCs w:val="24"/>
        </w:rPr>
        <w:t>under</w:t>
      </w:r>
      <w:r w:rsidR="00E74583" w:rsidRPr="00615AD0">
        <w:rPr>
          <w:sz w:val="24"/>
          <w:szCs w:val="24"/>
        </w:rPr>
        <w:t xml:space="preserve"> its statutory authority</w:t>
      </w:r>
      <w:r w:rsidRPr="00615AD0">
        <w:rPr>
          <w:sz w:val="24"/>
          <w:szCs w:val="24"/>
        </w:rPr>
        <w:t xml:space="preserve"> to represent the interests of </w:t>
      </w:r>
      <w:r w:rsidR="00E74583" w:rsidRPr="00615AD0">
        <w:rPr>
          <w:sz w:val="24"/>
          <w:szCs w:val="24"/>
        </w:rPr>
        <w:t xml:space="preserve">the </w:t>
      </w:r>
      <w:r w:rsidRPr="00615AD0">
        <w:rPr>
          <w:sz w:val="24"/>
          <w:szCs w:val="24"/>
        </w:rPr>
        <w:t xml:space="preserve">residential utility customers of </w:t>
      </w:r>
      <w:r w:rsidR="00E74583" w:rsidRPr="00615AD0">
        <w:rPr>
          <w:sz w:val="24"/>
          <w:szCs w:val="24"/>
        </w:rPr>
        <w:t>the three Utilities</w:t>
      </w:r>
      <w:r w:rsidRPr="00615AD0">
        <w:rPr>
          <w:sz w:val="24"/>
          <w:szCs w:val="24"/>
        </w:rPr>
        <w:t>,</w:t>
      </w:r>
      <w:r w:rsidR="00E74583" w:rsidRPr="00615AD0">
        <w:rPr>
          <w:rStyle w:val="FootnoteReference"/>
          <w:sz w:val="24"/>
          <w:szCs w:val="24"/>
        </w:rPr>
        <w:footnoteReference w:id="3"/>
      </w:r>
      <w:r w:rsidR="00E74583" w:rsidRPr="00615AD0">
        <w:rPr>
          <w:sz w:val="24"/>
          <w:szCs w:val="24"/>
        </w:rPr>
        <w:t xml:space="preserve"> moved to intervene in th</w:t>
      </w:r>
      <w:r w:rsidR="007502F9" w:rsidRPr="00615AD0">
        <w:rPr>
          <w:sz w:val="24"/>
          <w:szCs w:val="24"/>
        </w:rPr>
        <w:t>e three GCR cases and was granted intervention on</w:t>
      </w:r>
      <w:r w:rsidR="00E74583" w:rsidRPr="00615AD0">
        <w:rPr>
          <w:sz w:val="24"/>
          <w:szCs w:val="24"/>
        </w:rPr>
        <w:t xml:space="preserve"> </w:t>
      </w:r>
      <w:r w:rsidR="007502F9" w:rsidRPr="00615AD0">
        <w:rPr>
          <w:sz w:val="24"/>
          <w:szCs w:val="24"/>
        </w:rPr>
        <w:t>April</w:t>
      </w:r>
      <w:r w:rsidR="00E74583" w:rsidRPr="00615AD0">
        <w:rPr>
          <w:sz w:val="24"/>
          <w:szCs w:val="24"/>
        </w:rPr>
        <w:t xml:space="preserve"> 22, 201</w:t>
      </w:r>
      <w:r w:rsidR="007502F9" w:rsidRPr="00615AD0">
        <w:rPr>
          <w:sz w:val="24"/>
          <w:szCs w:val="24"/>
        </w:rPr>
        <w:t>4 and June 11, 2014</w:t>
      </w:r>
      <w:r w:rsidRPr="00615AD0">
        <w:rPr>
          <w:sz w:val="24"/>
          <w:szCs w:val="24"/>
        </w:rPr>
        <w:t xml:space="preserve">.   </w:t>
      </w:r>
    </w:p>
    <w:p w:rsidR="000158C8" w:rsidRDefault="009B05EE" w:rsidP="00615AD0">
      <w:pPr>
        <w:spacing w:line="480" w:lineRule="auto"/>
        <w:ind w:firstLine="720"/>
        <w:rPr>
          <w:sz w:val="24"/>
          <w:szCs w:val="24"/>
        </w:rPr>
      </w:pPr>
      <w:r>
        <w:rPr>
          <w:sz w:val="24"/>
          <w:szCs w:val="24"/>
        </w:rPr>
        <w:t xml:space="preserve">On January 22, 2015, Staff filed the GCR </w:t>
      </w:r>
      <w:r w:rsidR="00B307D8">
        <w:rPr>
          <w:sz w:val="24"/>
          <w:szCs w:val="24"/>
        </w:rPr>
        <w:t>F</w:t>
      </w:r>
      <w:r>
        <w:rPr>
          <w:sz w:val="24"/>
          <w:szCs w:val="24"/>
        </w:rPr>
        <w:t xml:space="preserve">inancial </w:t>
      </w:r>
      <w:r w:rsidR="00B307D8">
        <w:rPr>
          <w:sz w:val="24"/>
          <w:szCs w:val="24"/>
        </w:rPr>
        <w:t>A</w:t>
      </w:r>
      <w:r>
        <w:rPr>
          <w:sz w:val="24"/>
          <w:szCs w:val="24"/>
        </w:rPr>
        <w:t>udits of the Utilities.  Staff also filed the</w:t>
      </w:r>
      <w:r w:rsidR="00F62274">
        <w:rPr>
          <w:sz w:val="24"/>
          <w:szCs w:val="24"/>
        </w:rPr>
        <w:t xml:space="preserve"> UEX </w:t>
      </w:r>
      <w:r w:rsidR="00B307D8">
        <w:rPr>
          <w:sz w:val="24"/>
          <w:szCs w:val="24"/>
        </w:rPr>
        <w:t>A</w:t>
      </w:r>
      <w:r w:rsidR="00F62274">
        <w:rPr>
          <w:sz w:val="24"/>
          <w:szCs w:val="24"/>
        </w:rPr>
        <w:t>udits of Northeast and Or</w:t>
      </w:r>
      <w:r>
        <w:rPr>
          <w:sz w:val="24"/>
          <w:szCs w:val="24"/>
        </w:rPr>
        <w:t xml:space="preserve">well and the PIPP </w:t>
      </w:r>
      <w:r w:rsidR="00B307D8">
        <w:rPr>
          <w:sz w:val="24"/>
          <w:szCs w:val="24"/>
        </w:rPr>
        <w:t>R</w:t>
      </w:r>
      <w:r>
        <w:rPr>
          <w:sz w:val="24"/>
          <w:szCs w:val="24"/>
        </w:rPr>
        <w:t xml:space="preserve">ider </w:t>
      </w:r>
      <w:r w:rsidR="00B307D8">
        <w:rPr>
          <w:sz w:val="24"/>
          <w:szCs w:val="24"/>
        </w:rPr>
        <w:t>A</w:t>
      </w:r>
      <w:r>
        <w:rPr>
          <w:sz w:val="24"/>
          <w:szCs w:val="24"/>
        </w:rPr>
        <w:t xml:space="preserve">udit of Northeast on </w:t>
      </w:r>
      <w:r w:rsidR="00F62274">
        <w:rPr>
          <w:sz w:val="24"/>
          <w:szCs w:val="24"/>
        </w:rPr>
        <w:t>January 27, 2015.  The hearing for the Utilities’ GCR cases was originally scheduled for January 20, 2015.</w:t>
      </w:r>
      <w:r w:rsidR="00F62274">
        <w:rPr>
          <w:rStyle w:val="FootnoteReference"/>
          <w:sz w:val="24"/>
          <w:szCs w:val="24"/>
        </w:rPr>
        <w:footnoteReference w:id="4"/>
      </w:r>
      <w:r w:rsidR="00F62274">
        <w:rPr>
          <w:sz w:val="24"/>
          <w:szCs w:val="24"/>
        </w:rPr>
        <w:t xml:space="preserve">  </w:t>
      </w:r>
      <w:r>
        <w:rPr>
          <w:sz w:val="24"/>
          <w:szCs w:val="24"/>
        </w:rPr>
        <w:t xml:space="preserve">After numerous </w:t>
      </w:r>
      <w:r w:rsidR="00F62274">
        <w:rPr>
          <w:sz w:val="24"/>
          <w:szCs w:val="24"/>
        </w:rPr>
        <w:t>continuances of the hearing,</w:t>
      </w:r>
      <w:r w:rsidR="00F62274">
        <w:rPr>
          <w:rStyle w:val="FootnoteReference"/>
          <w:sz w:val="24"/>
          <w:szCs w:val="24"/>
        </w:rPr>
        <w:footnoteReference w:id="5"/>
      </w:r>
      <w:r w:rsidR="00F62274">
        <w:rPr>
          <w:sz w:val="24"/>
          <w:szCs w:val="24"/>
        </w:rPr>
        <w:t xml:space="preserve"> the hearing </w:t>
      </w:r>
      <w:r w:rsidR="00651480">
        <w:rPr>
          <w:sz w:val="24"/>
          <w:szCs w:val="24"/>
        </w:rPr>
        <w:t xml:space="preserve">is currently </w:t>
      </w:r>
      <w:r w:rsidR="00F62274">
        <w:rPr>
          <w:sz w:val="24"/>
          <w:szCs w:val="24"/>
        </w:rPr>
        <w:t>scheduled for July 28, 2015.</w:t>
      </w:r>
      <w:r w:rsidR="00F62274">
        <w:rPr>
          <w:rStyle w:val="FootnoteReference"/>
          <w:sz w:val="24"/>
          <w:szCs w:val="24"/>
        </w:rPr>
        <w:footnoteReference w:id="6"/>
      </w:r>
      <w:r w:rsidR="00651480">
        <w:rPr>
          <w:sz w:val="24"/>
          <w:szCs w:val="24"/>
        </w:rPr>
        <w:t xml:space="preserve">  In each Entry granting the continuances, the Attorney Examiner set forth the deadline for the filing of the Utilities’ testimony: “direct testimony of any witnesses testifying on behalf of each company should be filed at least 16 days prior to the hearing.”</w:t>
      </w:r>
      <w:r w:rsidR="00651480">
        <w:rPr>
          <w:rStyle w:val="FootnoteReference"/>
          <w:sz w:val="24"/>
          <w:szCs w:val="24"/>
        </w:rPr>
        <w:footnoteReference w:id="7"/>
      </w:r>
      <w:r w:rsidR="00651480">
        <w:rPr>
          <w:sz w:val="24"/>
          <w:szCs w:val="24"/>
        </w:rPr>
        <w:t xml:space="preserve">  The initial PUCO order directing that the audits be conducted and setting the initial hearing date of January 20, 2015 also directed that the Utilities’ direct testimony be filed at least 16 days prior to hearing.</w:t>
      </w:r>
      <w:r w:rsidR="00651480">
        <w:rPr>
          <w:rStyle w:val="FootnoteReference"/>
          <w:sz w:val="24"/>
          <w:szCs w:val="24"/>
        </w:rPr>
        <w:footnoteReference w:id="8"/>
      </w:r>
      <w:r w:rsidR="00651480">
        <w:rPr>
          <w:sz w:val="24"/>
          <w:szCs w:val="24"/>
        </w:rPr>
        <w:t xml:space="preserve">  </w:t>
      </w:r>
      <w:r w:rsidR="000158C8">
        <w:rPr>
          <w:sz w:val="24"/>
          <w:szCs w:val="24"/>
        </w:rPr>
        <w:t>Accordingly, for a hearing scheduled to commence on July 28, 2015, the deadline for filing the Utilities’ testimony was July 10, 2015.</w:t>
      </w:r>
    </w:p>
    <w:p w:rsidR="000A00C7" w:rsidRDefault="000158C8" w:rsidP="00615AD0">
      <w:pPr>
        <w:spacing w:line="480" w:lineRule="auto"/>
        <w:ind w:firstLine="720"/>
        <w:rPr>
          <w:sz w:val="24"/>
          <w:szCs w:val="24"/>
        </w:rPr>
      </w:pPr>
      <w:r>
        <w:rPr>
          <w:sz w:val="24"/>
          <w:szCs w:val="24"/>
        </w:rPr>
        <w:t>Despite the repeated directive, on July 15, 2015 at 5:20 p.m., the Utilities requested</w:t>
      </w:r>
      <w:r w:rsidR="00CD13D5">
        <w:rPr>
          <w:sz w:val="24"/>
          <w:szCs w:val="24"/>
        </w:rPr>
        <w:t xml:space="preserve"> leave, after the fact, </w:t>
      </w:r>
      <w:r>
        <w:rPr>
          <w:sz w:val="24"/>
          <w:szCs w:val="24"/>
        </w:rPr>
        <w:t xml:space="preserve">to file testimony </w:t>
      </w:r>
      <w:r w:rsidR="000A00C7">
        <w:rPr>
          <w:sz w:val="24"/>
          <w:szCs w:val="24"/>
        </w:rPr>
        <w:t>out of time</w:t>
      </w:r>
      <w:r w:rsidR="00B307D8">
        <w:rPr>
          <w:sz w:val="24"/>
          <w:szCs w:val="24"/>
        </w:rPr>
        <w:t xml:space="preserve"> </w:t>
      </w:r>
      <w:r w:rsidR="000A00C7">
        <w:rPr>
          <w:sz w:val="24"/>
          <w:szCs w:val="24"/>
        </w:rPr>
        <w:t>--</w:t>
      </w:r>
      <w:r w:rsidR="00B307D8">
        <w:rPr>
          <w:sz w:val="24"/>
          <w:szCs w:val="24"/>
        </w:rPr>
        <w:t xml:space="preserve"> </w:t>
      </w:r>
      <w:r>
        <w:rPr>
          <w:sz w:val="24"/>
          <w:szCs w:val="24"/>
        </w:rPr>
        <w:t xml:space="preserve">five days after the deadline </w:t>
      </w:r>
      <w:r>
        <w:rPr>
          <w:sz w:val="24"/>
          <w:szCs w:val="24"/>
        </w:rPr>
        <w:lastRenderedPageBreak/>
        <w:t>had passed</w:t>
      </w:r>
      <w:r w:rsidR="00AD7E01">
        <w:rPr>
          <w:sz w:val="24"/>
          <w:szCs w:val="24"/>
        </w:rPr>
        <w:t>.  The Utilities attached their testimony to their motion</w:t>
      </w:r>
      <w:r>
        <w:rPr>
          <w:sz w:val="24"/>
          <w:szCs w:val="24"/>
        </w:rPr>
        <w:t xml:space="preserve">, </w:t>
      </w:r>
      <w:r w:rsidR="00AD7E01">
        <w:rPr>
          <w:sz w:val="24"/>
          <w:szCs w:val="24"/>
        </w:rPr>
        <w:t>thereby filing their testimony</w:t>
      </w:r>
      <w:r>
        <w:rPr>
          <w:sz w:val="24"/>
          <w:szCs w:val="24"/>
        </w:rPr>
        <w:t xml:space="preserve"> </w:t>
      </w:r>
      <w:r w:rsidR="000A00C7">
        <w:rPr>
          <w:sz w:val="24"/>
          <w:szCs w:val="24"/>
        </w:rPr>
        <w:t>12</w:t>
      </w:r>
      <w:r>
        <w:rPr>
          <w:sz w:val="24"/>
          <w:szCs w:val="24"/>
        </w:rPr>
        <w:t xml:space="preserve"> days prior to the hearing</w:t>
      </w:r>
      <w:r w:rsidR="00AD7E01">
        <w:rPr>
          <w:sz w:val="24"/>
          <w:szCs w:val="24"/>
        </w:rPr>
        <w:t>, instead of the required minimum of 16 days</w:t>
      </w:r>
      <w:r>
        <w:rPr>
          <w:sz w:val="24"/>
          <w:szCs w:val="24"/>
        </w:rPr>
        <w:t xml:space="preserve">.  </w:t>
      </w:r>
      <w:r w:rsidR="00AD7E01">
        <w:rPr>
          <w:sz w:val="24"/>
          <w:szCs w:val="24"/>
        </w:rPr>
        <w:t>The rationale stated by the Utilities for not filing testimony on time was that they were “actively pursuing some form of settlement that may have satisfied all the parties to this case.”</w:t>
      </w:r>
      <w:r w:rsidR="00AD7E01">
        <w:rPr>
          <w:rStyle w:val="FootnoteReference"/>
          <w:sz w:val="24"/>
          <w:szCs w:val="24"/>
        </w:rPr>
        <w:footnoteReference w:id="9"/>
      </w:r>
      <w:r w:rsidR="00AD7E01">
        <w:rPr>
          <w:sz w:val="24"/>
          <w:szCs w:val="24"/>
        </w:rPr>
        <w:t xml:space="preserve">  This is not new.</w:t>
      </w:r>
      <w:r w:rsidR="000A00C7">
        <w:rPr>
          <w:sz w:val="24"/>
          <w:szCs w:val="24"/>
        </w:rPr>
        <w:t xml:space="preserve"> </w:t>
      </w:r>
      <w:r w:rsidR="00AD7E01">
        <w:rPr>
          <w:sz w:val="24"/>
          <w:szCs w:val="24"/>
        </w:rPr>
        <w:t xml:space="preserve"> As ind</w:t>
      </w:r>
      <w:r w:rsidR="000A00C7">
        <w:rPr>
          <w:sz w:val="24"/>
          <w:szCs w:val="24"/>
        </w:rPr>
        <w:t>icated in the entries granting continuances, the parties have been engaged in settlement discussions since at least March 2015</w:t>
      </w:r>
      <w:r w:rsidR="000A00C7">
        <w:rPr>
          <w:rStyle w:val="FootnoteReference"/>
          <w:sz w:val="24"/>
          <w:szCs w:val="24"/>
        </w:rPr>
        <w:footnoteReference w:id="10"/>
      </w:r>
      <w:r w:rsidR="00581E4A">
        <w:rPr>
          <w:sz w:val="24"/>
          <w:szCs w:val="24"/>
        </w:rPr>
        <w:t xml:space="preserve"> (well beyond the two months referenced in the Utilities’ Motion</w:t>
      </w:r>
      <w:r w:rsidR="00581E4A">
        <w:rPr>
          <w:rStyle w:val="FootnoteReference"/>
          <w:sz w:val="24"/>
          <w:szCs w:val="24"/>
        </w:rPr>
        <w:footnoteReference w:id="11"/>
      </w:r>
      <w:r w:rsidR="00581E4A">
        <w:rPr>
          <w:sz w:val="24"/>
          <w:szCs w:val="24"/>
        </w:rPr>
        <w:t>).</w:t>
      </w:r>
      <w:r w:rsidR="000A00C7">
        <w:rPr>
          <w:sz w:val="24"/>
          <w:szCs w:val="24"/>
        </w:rPr>
        <w:t xml:space="preserve">  On May 15, 2015, the Attorney Examiner granted his fourth and</w:t>
      </w:r>
      <w:r w:rsidR="00581E4A">
        <w:rPr>
          <w:sz w:val="24"/>
          <w:szCs w:val="24"/>
        </w:rPr>
        <w:t xml:space="preserve">, what appeared to be, </w:t>
      </w:r>
      <w:r w:rsidR="000A00C7">
        <w:rPr>
          <w:sz w:val="24"/>
          <w:szCs w:val="24"/>
        </w:rPr>
        <w:t xml:space="preserve">final continuance, explaining that he was denying the request to continue the hearing until September 1, 2015.  The Attorney Examiner acknowledged the ongoing settlement discussions, but determined that the hearing should move forward more quickly than September and scheduled the hearing for July 28, 2015.   </w:t>
      </w:r>
    </w:p>
    <w:p w:rsidR="00732927" w:rsidRDefault="000A00C7" w:rsidP="00615AD0">
      <w:pPr>
        <w:spacing w:line="480" w:lineRule="auto"/>
        <w:ind w:firstLine="720"/>
        <w:rPr>
          <w:sz w:val="24"/>
          <w:szCs w:val="24"/>
        </w:rPr>
      </w:pPr>
      <w:r>
        <w:rPr>
          <w:sz w:val="24"/>
          <w:szCs w:val="24"/>
        </w:rPr>
        <w:t xml:space="preserve">Nevertheless, the Utilities are requesting, what amounts to another continuance of the hearing.  </w:t>
      </w:r>
      <w:r w:rsidR="00732927">
        <w:rPr>
          <w:sz w:val="24"/>
          <w:szCs w:val="24"/>
        </w:rPr>
        <w:t>On numerous occasions and for several gas companies’ GCR proceedings, t</w:t>
      </w:r>
      <w:r>
        <w:rPr>
          <w:sz w:val="24"/>
          <w:szCs w:val="24"/>
        </w:rPr>
        <w:t xml:space="preserve">he </w:t>
      </w:r>
      <w:r w:rsidR="00B307D8">
        <w:rPr>
          <w:sz w:val="24"/>
          <w:szCs w:val="24"/>
        </w:rPr>
        <w:t>PUCO</w:t>
      </w:r>
      <w:r>
        <w:rPr>
          <w:sz w:val="24"/>
          <w:szCs w:val="24"/>
        </w:rPr>
        <w:t xml:space="preserve"> </w:t>
      </w:r>
      <w:r w:rsidR="00732927">
        <w:rPr>
          <w:sz w:val="24"/>
          <w:szCs w:val="24"/>
        </w:rPr>
        <w:t>has determined</w:t>
      </w:r>
      <w:r>
        <w:rPr>
          <w:sz w:val="24"/>
          <w:szCs w:val="24"/>
        </w:rPr>
        <w:t xml:space="preserve"> that 16 days</w:t>
      </w:r>
      <w:r w:rsidR="00732927">
        <w:rPr>
          <w:sz w:val="24"/>
          <w:szCs w:val="24"/>
        </w:rPr>
        <w:t xml:space="preserve"> was a reasonable period for a utility’s GCR testimony to be filed.</w:t>
      </w:r>
      <w:r w:rsidR="00732927">
        <w:rPr>
          <w:rStyle w:val="FootnoteReference"/>
          <w:sz w:val="24"/>
          <w:szCs w:val="24"/>
        </w:rPr>
        <w:footnoteReference w:id="12"/>
      </w:r>
      <w:r w:rsidR="00732927">
        <w:rPr>
          <w:sz w:val="24"/>
          <w:szCs w:val="24"/>
        </w:rPr>
        <w:t xml:space="preserve">  The </w:t>
      </w:r>
      <w:r w:rsidR="00B307D8">
        <w:rPr>
          <w:sz w:val="24"/>
          <w:szCs w:val="24"/>
        </w:rPr>
        <w:t>PUCO</w:t>
      </w:r>
      <w:r w:rsidR="00732927">
        <w:rPr>
          <w:sz w:val="24"/>
          <w:szCs w:val="24"/>
        </w:rPr>
        <w:t xml:space="preserve"> has also determined that providing intervenors with eight days to review the </w:t>
      </w:r>
      <w:r w:rsidR="00CD13D5">
        <w:rPr>
          <w:sz w:val="24"/>
          <w:szCs w:val="24"/>
        </w:rPr>
        <w:t>utility’s</w:t>
      </w:r>
      <w:r w:rsidR="00732927">
        <w:rPr>
          <w:sz w:val="24"/>
          <w:szCs w:val="24"/>
        </w:rPr>
        <w:t xml:space="preserve"> GCR testimony and file their own testimony, which is required to be filed at least seven days prior to the hearing, is reasonable.</w:t>
      </w:r>
      <w:r w:rsidR="00732927">
        <w:rPr>
          <w:rStyle w:val="FootnoteReference"/>
          <w:sz w:val="24"/>
          <w:szCs w:val="24"/>
        </w:rPr>
        <w:footnoteReference w:id="13"/>
      </w:r>
      <w:r>
        <w:rPr>
          <w:sz w:val="24"/>
          <w:szCs w:val="24"/>
        </w:rPr>
        <w:t xml:space="preserve"> </w:t>
      </w:r>
      <w:r w:rsidR="00732927">
        <w:rPr>
          <w:sz w:val="24"/>
          <w:szCs w:val="24"/>
        </w:rPr>
        <w:t xml:space="preserve">  The Utilities, however, are either asking the </w:t>
      </w:r>
      <w:r w:rsidR="00B307D8">
        <w:rPr>
          <w:sz w:val="24"/>
          <w:szCs w:val="24"/>
        </w:rPr>
        <w:t>PUCO</w:t>
      </w:r>
      <w:r w:rsidR="00732927">
        <w:rPr>
          <w:sz w:val="24"/>
          <w:szCs w:val="24"/>
        </w:rPr>
        <w:t xml:space="preserve"> to shorten the period of time for other parties to </w:t>
      </w:r>
      <w:r w:rsidR="00732927">
        <w:rPr>
          <w:sz w:val="24"/>
          <w:szCs w:val="24"/>
        </w:rPr>
        <w:lastRenderedPageBreak/>
        <w:t xml:space="preserve">review the Utilities’ testimony and file their own testimony, or to further continue the hearing. </w:t>
      </w:r>
    </w:p>
    <w:p w:rsidR="00CD13D5" w:rsidRDefault="00732927" w:rsidP="00615AD0">
      <w:pPr>
        <w:spacing w:line="480" w:lineRule="auto"/>
        <w:ind w:firstLine="720"/>
        <w:rPr>
          <w:sz w:val="24"/>
          <w:szCs w:val="24"/>
        </w:rPr>
      </w:pPr>
      <w:r>
        <w:rPr>
          <w:sz w:val="24"/>
          <w:szCs w:val="24"/>
        </w:rPr>
        <w:t xml:space="preserve">Contrary to the assertion of the Utilities, shortening the period of time for OCC to review the </w:t>
      </w:r>
      <w:r w:rsidR="00B307D8">
        <w:rPr>
          <w:sz w:val="24"/>
          <w:szCs w:val="24"/>
        </w:rPr>
        <w:t>Utilities</w:t>
      </w:r>
      <w:r>
        <w:rPr>
          <w:sz w:val="24"/>
          <w:szCs w:val="24"/>
        </w:rPr>
        <w:t xml:space="preserve"> testimony </w:t>
      </w:r>
      <w:r w:rsidR="00F81E65">
        <w:rPr>
          <w:sz w:val="24"/>
          <w:szCs w:val="24"/>
        </w:rPr>
        <w:t xml:space="preserve">and file its own testimony challenging said testimony is prejudicial. This is true even if OCC has been involved in settlement discussions up until the time that a settlement was filed.  In fact, the filing of a Stipulation exacerbates the prejudice as now OCC </w:t>
      </w:r>
      <w:r w:rsidR="00581E4A">
        <w:rPr>
          <w:sz w:val="24"/>
          <w:szCs w:val="24"/>
        </w:rPr>
        <w:t>will have to r</w:t>
      </w:r>
      <w:r w:rsidR="00F81E65">
        <w:rPr>
          <w:sz w:val="24"/>
          <w:szCs w:val="24"/>
        </w:rPr>
        <w:t xml:space="preserve">eview </w:t>
      </w:r>
      <w:r w:rsidR="00581E4A">
        <w:rPr>
          <w:sz w:val="24"/>
          <w:szCs w:val="24"/>
        </w:rPr>
        <w:t>the</w:t>
      </w:r>
      <w:r w:rsidR="00F81E65">
        <w:rPr>
          <w:sz w:val="24"/>
          <w:szCs w:val="24"/>
        </w:rPr>
        <w:t xml:space="preserve"> </w:t>
      </w:r>
      <w:r w:rsidR="00581E4A">
        <w:rPr>
          <w:sz w:val="24"/>
          <w:szCs w:val="24"/>
        </w:rPr>
        <w:t>Stipulation</w:t>
      </w:r>
      <w:r w:rsidR="00F81E65">
        <w:rPr>
          <w:sz w:val="24"/>
          <w:szCs w:val="24"/>
        </w:rPr>
        <w:t xml:space="preserve">, in addition to testimony, and </w:t>
      </w:r>
      <w:r w:rsidR="00A82A8A">
        <w:rPr>
          <w:sz w:val="24"/>
          <w:szCs w:val="24"/>
        </w:rPr>
        <w:t xml:space="preserve">either modify its Direct Testimony or </w:t>
      </w:r>
      <w:r w:rsidR="00581E4A">
        <w:rPr>
          <w:sz w:val="24"/>
          <w:szCs w:val="24"/>
        </w:rPr>
        <w:t>file</w:t>
      </w:r>
      <w:r w:rsidR="00A82A8A">
        <w:rPr>
          <w:sz w:val="24"/>
          <w:szCs w:val="24"/>
        </w:rPr>
        <w:t xml:space="preserve"> stand-alone</w:t>
      </w:r>
      <w:r w:rsidR="00581E4A">
        <w:rPr>
          <w:sz w:val="24"/>
          <w:szCs w:val="24"/>
        </w:rPr>
        <w:t xml:space="preserve"> testimony </w:t>
      </w:r>
      <w:r w:rsidR="00F81E65">
        <w:rPr>
          <w:sz w:val="24"/>
          <w:szCs w:val="24"/>
        </w:rPr>
        <w:t xml:space="preserve">opposing said Stipulation.  Affording OCC a mere five days to review testimony, the filed Stipulation, and file its own testimony is unreasonable and prejudicial.   Whether or not the Utilities believe that OCC “should not be surprised by the terms of the Stipulation” is of no consequence.  </w:t>
      </w:r>
    </w:p>
    <w:p w:rsidR="00F81E65" w:rsidRDefault="00F81E65" w:rsidP="00615AD0">
      <w:pPr>
        <w:spacing w:line="480" w:lineRule="auto"/>
        <w:ind w:firstLine="720"/>
        <w:rPr>
          <w:sz w:val="24"/>
          <w:szCs w:val="24"/>
        </w:rPr>
      </w:pPr>
      <w:r>
        <w:rPr>
          <w:sz w:val="24"/>
          <w:szCs w:val="24"/>
        </w:rPr>
        <w:t xml:space="preserve">OCC should be afforded sufficient time (at least the eight days prescribed by the PUCO numerous times) to review the testimony and file its own testimony.  At a minimum, fairness dictates that OCC should also be provided the stated 16 days to analyze the testimony prior to proceeding to hearing.  </w:t>
      </w:r>
    </w:p>
    <w:p w:rsidR="00581E4A" w:rsidRDefault="00581E4A" w:rsidP="00615AD0">
      <w:pPr>
        <w:spacing w:line="480" w:lineRule="auto"/>
        <w:ind w:firstLine="720"/>
        <w:rPr>
          <w:sz w:val="24"/>
          <w:szCs w:val="24"/>
        </w:rPr>
      </w:pPr>
      <w:r>
        <w:rPr>
          <w:sz w:val="24"/>
          <w:szCs w:val="24"/>
        </w:rPr>
        <w:t xml:space="preserve">WHEREFORE, OCC respectfully requests that the </w:t>
      </w:r>
      <w:r w:rsidR="00B307D8">
        <w:rPr>
          <w:sz w:val="24"/>
          <w:szCs w:val="24"/>
        </w:rPr>
        <w:t>PUCO</w:t>
      </w:r>
      <w:r>
        <w:rPr>
          <w:sz w:val="24"/>
          <w:szCs w:val="24"/>
        </w:rPr>
        <w:t xml:space="preserve"> deny the Utilities’ request to file testimony out of time and find that the testimony is untimely and should be </w:t>
      </w:r>
      <w:r w:rsidR="0031299E">
        <w:rPr>
          <w:sz w:val="24"/>
          <w:szCs w:val="24"/>
        </w:rPr>
        <w:t>stricken</w:t>
      </w:r>
      <w:r>
        <w:rPr>
          <w:sz w:val="24"/>
          <w:szCs w:val="24"/>
        </w:rPr>
        <w:t>.</w:t>
      </w:r>
    </w:p>
    <w:p w:rsidR="00581E4A" w:rsidRPr="00615AD0" w:rsidRDefault="00581E4A" w:rsidP="00615AD0">
      <w:pPr>
        <w:spacing w:line="480" w:lineRule="auto"/>
        <w:ind w:firstLine="720"/>
        <w:rPr>
          <w:sz w:val="24"/>
          <w:szCs w:val="24"/>
        </w:rPr>
      </w:pPr>
    </w:p>
    <w:p w:rsidR="00185005" w:rsidRDefault="00185005">
      <w:pPr>
        <w:spacing w:after="200" w:line="276" w:lineRule="auto"/>
        <w:rPr>
          <w:color w:val="000000"/>
          <w:sz w:val="24"/>
          <w:szCs w:val="24"/>
        </w:rPr>
      </w:pPr>
      <w:r>
        <w:rPr>
          <w:color w:val="000000"/>
          <w:sz w:val="24"/>
          <w:szCs w:val="24"/>
        </w:rPr>
        <w:br w:type="page"/>
      </w:r>
    </w:p>
    <w:p w:rsidR="00884BF4" w:rsidRDefault="00884BF4" w:rsidP="00884BF4">
      <w:pPr>
        <w:autoSpaceDE w:val="0"/>
        <w:autoSpaceDN w:val="0"/>
        <w:adjustRightInd w:val="0"/>
        <w:ind w:left="3600" w:firstLine="720"/>
        <w:rPr>
          <w:color w:val="000000"/>
          <w:sz w:val="24"/>
          <w:szCs w:val="24"/>
        </w:rPr>
      </w:pPr>
      <w:r w:rsidRPr="00356065">
        <w:rPr>
          <w:color w:val="000000"/>
          <w:sz w:val="24"/>
          <w:szCs w:val="24"/>
        </w:rPr>
        <w:t>Respectfully submitted,</w:t>
      </w:r>
    </w:p>
    <w:p w:rsidR="00884BF4" w:rsidRPr="00356065" w:rsidRDefault="00884BF4" w:rsidP="00884BF4">
      <w:pPr>
        <w:autoSpaceDE w:val="0"/>
        <w:autoSpaceDN w:val="0"/>
        <w:adjustRightInd w:val="0"/>
        <w:ind w:left="3600" w:firstLine="720"/>
        <w:rPr>
          <w:color w:val="000000"/>
          <w:sz w:val="24"/>
          <w:szCs w:val="24"/>
        </w:rPr>
      </w:pPr>
    </w:p>
    <w:p w:rsidR="00884BF4" w:rsidRPr="00356065" w:rsidRDefault="00884BF4" w:rsidP="00884BF4">
      <w:pPr>
        <w:autoSpaceDE w:val="0"/>
        <w:autoSpaceDN w:val="0"/>
        <w:adjustRightInd w:val="0"/>
        <w:ind w:left="3600" w:firstLine="720"/>
        <w:rPr>
          <w:color w:val="000000"/>
          <w:sz w:val="24"/>
          <w:szCs w:val="24"/>
        </w:rPr>
      </w:pPr>
      <w:r w:rsidRPr="00356065">
        <w:rPr>
          <w:color w:val="000000"/>
          <w:sz w:val="24"/>
          <w:szCs w:val="24"/>
        </w:rPr>
        <w:t>BRUCE J. WESTON</w:t>
      </w:r>
    </w:p>
    <w:p w:rsidR="00884BF4" w:rsidRPr="00356065" w:rsidRDefault="00884BF4" w:rsidP="00884BF4">
      <w:pPr>
        <w:autoSpaceDE w:val="0"/>
        <w:autoSpaceDN w:val="0"/>
        <w:adjustRightInd w:val="0"/>
        <w:ind w:left="3600" w:firstLine="720"/>
        <w:rPr>
          <w:color w:val="000000"/>
          <w:sz w:val="24"/>
          <w:szCs w:val="24"/>
        </w:rPr>
      </w:pPr>
      <w:r>
        <w:rPr>
          <w:color w:val="000000"/>
          <w:sz w:val="24"/>
          <w:szCs w:val="24"/>
        </w:rPr>
        <w:t xml:space="preserve">OHIO </w:t>
      </w:r>
      <w:r w:rsidRPr="00356065">
        <w:rPr>
          <w:color w:val="000000"/>
          <w:sz w:val="24"/>
          <w:szCs w:val="24"/>
        </w:rPr>
        <w:t>CONSUMERS’ COUNSEL</w:t>
      </w:r>
    </w:p>
    <w:p w:rsidR="00884BF4" w:rsidRDefault="00884BF4" w:rsidP="00884BF4">
      <w:pPr>
        <w:autoSpaceDE w:val="0"/>
        <w:autoSpaceDN w:val="0"/>
        <w:adjustRightInd w:val="0"/>
        <w:rPr>
          <w:i/>
          <w:iCs/>
          <w:color w:val="000000"/>
          <w:sz w:val="24"/>
          <w:szCs w:val="24"/>
        </w:rPr>
      </w:pPr>
    </w:p>
    <w:p w:rsidR="00884BF4" w:rsidRPr="0031299E" w:rsidRDefault="0031299E" w:rsidP="00884BF4">
      <w:pPr>
        <w:autoSpaceDE w:val="0"/>
        <w:autoSpaceDN w:val="0"/>
        <w:adjustRightInd w:val="0"/>
        <w:ind w:left="3600" w:firstLine="720"/>
        <w:rPr>
          <w:i/>
          <w:color w:val="000000"/>
          <w:sz w:val="24"/>
          <w:szCs w:val="24"/>
          <w:u w:val="single"/>
        </w:rPr>
      </w:pPr>
      <w:r>
        <w:rPr>
          <w:i/>
          <w:color w:val="000000"/>
          <w:sz w:val="24"/>
          <w:szCs w:val="24"/>
          <w:u w:val="single"/>
        </w:rPr>
        <w:t>/s/ Joseph P. Serio</w:t>
      </w:r>
      <w:r>
        <w:rPr>
          <w:i/>
          <w:color w:val="000000"/>
          <w:sz w:val="24"/>
          <w:szCs w:val="24"/>
          <w:u w:val="single"/>
        </w:rPr>
        <w:tab/>
      </w:r>
      <w:r>
        <w:rPr>
          <w:i/>
          <w:color w:val="000000"/>
          <w:sz w:val="24"/>
          <w:szCs w:val="24"/>
          <w:u w:val="single"/>
        </w:rPr>
        <w:tab/>
      </w:r>
      <w:r>
        <w:rPr>
          <w:i/>
          <w:color w:val="000000"/>
          <w:sz w:val="24"/>
          <w:szCs w:val="24"/>
          <w:u w:val="single"/>
        </w:rPr>
        <w:tab/>
      </w:r>
    </w:p>
    <w:p w:rsidR="00884BF4" w:rsidRPr="00356065" w:rsidRDefault="00884BF4" w:rsidP="00884BF4">
      <w:pPr>
        <w:autoSpaceDE w:val="0"/>
        <w:autoSpaceDN w:val="0"/>
        <w:adjustRightInd w:val="0"/>
        <w:ind w:left="3600" w:firstLine="720"/>
        <w:rPr>
          <w:color w:val="000000"/>
          <w:sz w:val="24"/>
          <w:szCs w:val="24"/>
        </w:rPr>
      </w:pPr>
      <w:r w:rsidRPr="00356065">
        <w:rPr>
          <w:color w:val="000000"/>
          <w:sz w:val="24"/>
          <w:szCs w:val="24"/>
        </w:rPr>
        <w:t>Joseph P. Serio, Counsel of Record</w:t>
      </w:r>
    </w:p>
    <w:p w:rsidR="00884BF4" w:rsidRDefault="00884BF4" w:rsidP="00884BF4">
      <w:pPr>
        <w:autoSpaceDE w:val="0"/>
        <w:autoSpaceDN w:val="0"/>
        <w:adjustRightInd w:val="0"/>
        <w:ind w:left="3600" w:firstLine="720"/>
        <w:rPr>
          <w:color w:val="000000"/>
          <w:sz w:val="24"/>
          <w:szCs w:val="24"/>
        </w:rPr>
      </w:pPr>
      <w:r w:rsidRPr="00356065">
        <w:rPr>
          <w:color w:val="000000"/>
          <w:sz w:val="24"/>
          <w:szCs w:val="24"/>
        </w:rPr>
        <w:t>Assistant Consumers’ Counsel</w:t>
      </w:r>
    </w:p>
    <w:p w:rsidR="00884BF4" w:rsidRPr="00356065" w:rsidRDefault="00884BF4" w:rsidP="00884BF4">
      <w:pPr>
        <w:autoSpaceDE w:val="0"/>
        <w:autoSpaceDN w:val="0"/>
        <w:adjustRightInd w:val="0"/>
        <w:ind w:left="3600" w:firstLine="720"/>
        <w:rPr>
          <w:color w:val="000000"/>
          <w:sz w:val="24"/>
          <w:szCs w:val="24"/>
        </w:rPr>
      </w:pPr>
    </w:p>
    <w:p w:rsidR="00884BF4" w:rsidRPr="00356065" w:rsidRDefault="00884BF4" w:rsidP="00884BF4">
      <w:pPr>
        <w:autoSpaceDE w:val="0"/>
        <w:autoSpaceDN w:val="0"/>
        <w:adjustRightInd w:val="0"/>
        <w:ind w:left="3600" w:firstLine="720"/>
        <w:rPr>
          <w:b/>
          <w:bCs/>
          <w:color w:val="000000"/>
          <w:sz w:val="24"/>
          <w:szCs w:val="24"/>
        </w:rPr>
      </w:pPr>
      <w:r w:rsidRPr="00356065">
        <w:rPr>
          <w:b/>
          <w:bCs/>
          <w:color w:val="000000"/>
          <w:sz w:val="24"/>
          <w:szCs w:val="24"/>
        </w:rPr>
        <w:t>Office of the Ohio Consumers’ Counsel</w:t>
      </w:r>
    </w:p>
    <w:p w:rsidR="00884BF4" w:rsidRPr="00356065" w:rsidRDefault="00884BF4" w:rsidP="00884BF4">
      <w:pPr>
        <w:autoSpaceDE w:val="0"/>
        <w:autoSpaceDN w:val="0"/>
        <w:adjustRightInd w:val="0"/>
        <w:ind w:left="3600" w:firstLine="720"/>
        <w:rPr>
          <w:color w:val="000000"/>
          <w:sz w:val="24"/>
          <w:szCs w:val="24"/>
        </w:rPr>
      </w:pPr>
      <w:r w:rsidRPr="00356065">
        <w:rPr>
          <w:color w:val="000000"/>
          <w:sz w:val="24"/>
          <w:szCs w:val="24"/>
        </w:rPr>
        <w:t>10 West Broad Street, Suite 1800</w:t>
      </w:r>
    </w:p>
    <w:p w:rsidR="00884BF4" w:rsidRPr="00356065" w:rsidRDefault="00884BF4" w:rsidP="00884BF4">
      <w:pPr>
        <w:autoSpaceDE w:val="0"/>
        <w:autoSpaceDN w:val="0"/>
        <w:adjustRightInd w:val="0"/>
        <w:ind w:left="3600" w:firstLine="720"/>
        <w:rPr>
          <w:color w:val="000000"/>
          <w:sz w:val="24"/>
          <w:szCs w:val="24"/>
        </w:rPr>
      </w:pPr>
      <w:r w:rsidRPr="00356065">
        <w:rPr>
          <w:color w:val="000000"/>
          <w:sz w:val="24"/>
          <w:szCs w:val="24"/>
        </w:rPr>
        <w:t>Columbus, Ohio 43215-3485</w:t>
      </w:r>
    </w:p>
    <w:p w:rsidR="00884BF4" w:rsidRPr="00356065" w:rsidRDefault="00884BF4" w:rsidP="00884BF4">
      <w:pPr>
        <w:autoSpaceDE w:val="0"/>
        <w:autoSpaceDN w:val="0"/>
        <w:adjustRightInd w:val="0"/>
        <w:ind w:left="4320"/>
        <w:rPr>
          <w:color w:val="000000"/>
          <w:sz w:val="24"/>
          <w:szCs w:val="24"/>
        </w:rPr>
      </w:pPr>
      <w:r>
        <w:rPr>
          <w:color w:val="000000"/>
          <w:sz w:val="24"/>
          <w:szCs w:val="24"/>
        </w:rPr>
        <w:t xml:space="preserve">Serio Phone: (614) </w:t>
      </w:r>
      <w:r w:rsidRPr="00356065">
        <w:rPr>
          <w:color w:val="000000"/>
          <w:sz w:val="24"/>
          <w:szCs w:val="24"/>
        </w:rPr>
        <w:t>466-9565</w:t>
      </w:r>
    </w:p>
    <w:p w:rsidR="00884BF4" w:rsidRDefault="00884BF4" w:rsidP="00884BF4">
      <w:pPr>
        <w:pStyle w:val="Footer"/>
        <w:tabs>
          <w:tab w:val="clear" w:pos="8640"/>
          <w:tab w:val="left" w:pos="4320"/>
        </w:tabs>
        <w:spacing w:line="240" w:lineRule="exact"/>
        <w:rPr>
          <w:color w:val="3680FF"/>
          <w:sz w:val="24"/>
          <w:szCs w:val="24"/>
        </w:rPr>
      </w:pPr>
      <w:r>
        <w:rPr>
          <w:color w:val="3680FF"/>
          <w:sz w:val="24"/>
          <w:szCs w:val="24"/>
        </w:rPr>
        <w:tab/>
      </w:r>
      <w:r w:rsidRPr="00327995">
        <w:rPr>
          <w:sz w:val="24"/>
          <w:szCs w:val="24"/>
        </w:rPr>
        <w:t>Joseph.serio@occ.ohio.gov</w:t>
      </w:r>
    </w:p>
    <w:p w:rsidR="00884BF4" w:rsidRPr="00185005" w:rsidRDefault="00884BF4" w:rsidP="00884BF4">
      <w:pPr>
        <w:ind w:left="4320"/>
        <w:rPr>
          <w:i/>
          <w:sz w:val="24"/>
          <w:szCs w:val="24"/>
        </w:rPr>
      </w:pPr>
      <w:r w:rsidRPr="00185005">
        <w:rPr>
          <w:i/>
          <w:sz w:val="24"/>
          <w:szCs w:val="24"/>
        </w:rPr>
        <w:t>(will accept service via email)</w:t>
      </w:r>
    </w:p>
    <w:p w:rsidR="00884BF4" w:rsidRPr="00C42DB2" w:rsidRDefault="00884BF4" w:rsidP="00884BF4">
      <w:pPr>
        <w:autoSpaceDE w:val="0"/>
        <w:autoSpaceDN w:val="0"/>
        <w:adjustRightInd w:val="0"/>
        <w:ind w:left="3600" w:firstLine="720"/>
        <w:rPr>
          <w:sz w:val="24"/>
          <w:szCs w:val="24"/>
        </w:rPr>
      </w:pPr>
    </w:p>
    <w:p w:rsidR="00884BF4" w:rsidRDefault="00884BF4" w:rsidP="00884BF4">
      <w:pPr>
        <w:pStyle w:val="Footer"/>
        <w:tabs>
          <w:tab w:val="clear" w:pos="8640"/>
          <w:tab w:val="left" w:pos="4320"/>
        </w:tabs>
        <w:spacing w:line="240" w:lineRule="exact"/>
        <w:jc w:val="center"/>
        <w:rPr>
          <w:color w:val="3680FF"/>
          <w:sz w:val="24"/>
          <w:szCs w:val="24"/>
        </w:rPr>
      </w:pPr>
    </w:p>
    <w:p w:rsidR="00884BF4" w:rsidRPr="00936074" w:rsidRDefault="00884BF4" w:rsidP="00884BF4">
      <w:pPr>
        <w:spacing w:line="480" w:lineRule="auto"/>
        <w:jc w:val="center"/>
        <w:rPr>
          <w:b/>
          <w:sz w:val="24"/>
          <w:szCs w:val="24"/>
          <w:u w:val="single"/>
        </w:rPr>
      </w:pPr>
      <w:r>
        <w:rPr>
          <w:b/>
          <w:bCs/>
          <w:sz w:val="24"/>
          <w:szCs w:val="24"/>
          <w:u w:val="single"/>
        </w:rPr>
        <w:br w:type="page"/>
      </w:r>
      <w:r w:rsidRPr="00936074">
        <w:rPr>
          <w:b/>
          <w:sz w:val="24"/>
          <w:szCs w:val="24"/>
          <w:u w:val="single"/>
        </w:rPr>
        <w:t>CERTIFICATE OF SERVICE</w:t>
      </w:r>
    </w:p>
    <w:p w:rsidR="00884BF4" w:rsidRPr="00936074" w:rsidRDefault="00884BF4" w:rsidP="00884BF4">
      <w:pPr>
        <w:spacing w:line="480" w:lineRule="auto"/>
        <w:rPr>
          <w:sz w:val="24"/>
          <w:szCs w:val="24"/>
        </w:rPr>
      </w:pPr>
      <w:r w:rsidRPr="00936074">
        <w:rPr>
          <w:sz w:val="24"/>
          <w:szCs w:val="24"/>
        </w:rPr>
        <w:tab/>
        <w:t xml:space="preserve">I hereby certify that a copy of the </w:t>
      </w:r>
      <w:r w:rsidR="0031299E">
        <w:rPr>
          <w:i/>
          <w:sz w:val="24"/>
          <w:szCs w:val="24"/>
        </w:rPr>
        <w:t>Memorandum Contra</w:t>
      </w:r>
      <w:r w:rsidRPr="00936074">
        <w:rPr>
          <w:sz w:val="24"/>
          <w:szCs w:val="24"/>
        </w:rPr>
        <w:t xml:space="preserve"> was provided to the persons listed below, electronically, this </w:t>
      </w:r>
      <w:r w:rsidR="001606A9">
        <w:rPr>
          <w:sz w:val="24"/>
          <w:szCs w:val="24"/>
        </w:rPr>
        <w:t>20</w:t>
      </w:r>
      <w:r w:rsidRPr="00C36B30">
        <w:rPr>
          <w:sz w:val="24"/>
          <w:szCs w:val="24"/>
          <w:vertAlign w:val="superscript"/>
        </w:rPr>
        <w:t>th</w:t>
      </w:r>
      <w:r>
        <w:rPr>
          <w:sz w:val="24"/>
          <w:szCs w:val="24"/>
        </w:rPr>
        <w:t xml:space="preserve"> </w:t>
      </w:r>
      <w:r w:rsidRPr="00936074">
        <w:rPr>
          <w:sz w:val="24"/>
          <w:szCs w:val="24"/>
        </w:rPr>
        <w:t xml:space="preserve">day of </w:t>
      </w:r>
      <w:r>
        <w:rPr>
          <w:sz w:val="24"/>
          <w:szCs w:val="24"/>
        </w:rPr>
        <w:t>July</w:t>
      </w:r>
      <w:r w:rsidRPr="00936074">
        <w:rPr>
          <w:sz w:val="24"/>
          <w:szCs w:val="24"/>
        </w:rPr>
        <w:t>, 201</w:t>
      </w:r>
      <w:r>
        <w:rPr>
          <w:sz w:val="24"/>
          <w:szCs w:val="24"/>
        </w:rPr>
        <w:t>5</w:t>
      </w:r>
      <w:r w:rsidRPr="00936074">
        <w:rPr>
          <w:sz w:val="24"/>
          <w:szCs w:val="24"/>
        </w:rPr>
        <w:t>.</w:t>
      </w:r>
    </w:p>
    <w:p w:rsidR="00884BF4" w:rsidRPr="0031299E" w:rsidRDefault="0031299E" w:rsidP="00884BF4">
      <w:pPr>
        <w:ind w:left="4320"/>
        <w:rPr>
          <w:i/>
          <w:sz w:val="24"/>
          <w:szCs w:val="24"/>
          <w:u w:val="single"/>
        </w:rPr>
      </w:pPr>
      <w:r>
        <w:rPr>
          <w:i/>
          <w:sz w:val="24"/>
          <w:szCs w:val="24"/>
          <w:u w:val="single"/>
        </w:rPr>
        <w:t>/s/ Joseph P. Serio</w:t>
      </w:r>
      <w:r>
        <w:rPr>
          <w:i/>
          <w:sz w:val="24"/>
          <w:szCs w:val="24"/>
          <w:u w:val="single"/>
        </w:rPr>
        <w:tab/>
      </w:r>
      <w:r>
        <w:rPr>
          <w:i/>
          <w:sz w:val="24"/>
          <w:szCs w:val="24"/>
          <w:u w:val="single"/>
        </w:rPr>
        <w:tab/>
      </w:r>
      <w:r>
        <w:rPr>
          <w:i/>
          <w:sz w:val="24"/>
          <w:szCs w:val="24"/>
          <w:u w:val="single"/>
        </w:rPr>
        <w:tab/>
      </w:r>
    </w:p>
    <w:p w:rsidR="00884BF4" w:rsidRPr="00936074" w:rsidRDefault="00884BF4" w:rsidP="00884BF4">
      <w:pPr>
        <w:ind w:left="4320"/>
        <w:rPr>
          <w:sz w:val="24"/>
          <w:szCs w:val="24"/>
        </w:rPr>
      </w:pPr>
      <w:r>
        <w:rPr>
          <w:sz w:val="24"/>
          <w:szCs w:val="24"/>
        </w:rPr>
        <w:t>Joseph P. Serio</w:t>
      </w:r>
    </w:p>
    <w:p w:rsidR="00884BF4" w:rsidRPr="00936074" w:rsidRDefault="00884BF4" w:rsidP="00884BF4">
      <w:pPr>
        <w:ind w:left="4320"/>
        <w:rPr>
          <w:sz w:val="24"/>
          <w:szCs w:val="24"/>
        </w:rPr>
      </w:pPr>
      <w:r w:rsidRPr="00936074">
        <w:rPr>
          <w:sz w:val="24"/>
          <w:szCs w:val="24"/>
        </w:rPr>
        <w:t>Assistant Consumers’ Counsel</w:t>
      </w:r>
    </w:p>
    <w:p w:rsidR="00884BF4" w:rsidRPr="00936074" w:rsidRDefault="00884BF4" w:rsidP="00884BF4">
      <w:pPr>
        <w:ind w:left="4320"/>
        <w:rPr>
          <w:sz w:val="24"/>
          <w:szCs w:val="24"/>
        </w:rPr>
      </w:pPr>
    </w:p>
    <w:p w:rsidR="00884BF4" w:rsidRDefault="00884BF4" w:rsidP="00884BF4">
      <w:pPr>
        <w:jc w:val="both"/>
        <w:rPr>
          <w:sz w:val="24"/>
          <w:szCs w:val="24"/>
        </w:rPr>
      </w:pPr>
    </w:p>
    <w:p w:rsidR="00884BF4" w:rsidRPr="006C1CB1" w:rsidRDefault="00884BF4" w:rsidP="00884BF4">
      <w:pPr>
        <w:keepNext/>
        <w:widowControl w:val="0"/>
        <w:autoSpaceDE w:val="0"/>
        <w:autoSpaceDN w:val="0"/>
        <w:adjustRightInd w:val="0"/>
        <w:jc w:val="center"/>
        <w:outlineLvl w:val="1"/>
        <w:rPr>
          <w:bCs/>
          <w:sz w:val="24"/>
          <w:szCs w:val="24"/>
        </w:rPr>
      </w:pPr>
      <w:r w:rsidRPr="006C1CB1">
        <w:rPr>
          <w:bCs/>
          <w:sz w:val="24"/>
          <w:szCs w:val="24"/>
        </w:rPr>
        <w:t>PARTIES OF RECORD</w:t>
      </w:r>
    </w:p>
    <w:p w:rsidR="00884BF4" w:rsidRPr="006C1CB1" w:rsidRDefault="00884BF4" w:rsidP="00884BF4"/>
    <w:tbl>
      <w:tblPr>
        <w:tblW w:w="8856" w:type="dxa"/>
        <w:tblLook w:val="04A0" w:firstRow="1" w:lastRow="0" w:firstColumn="1" w:lastColumn="0" w:noHBand="0" w:noVBand="1"/>
      </w:tblPr>
      <w:tblGrid>
        <w:gridCol w:w="4428"/>
        <w:gridCol w:w="4428"/>
      </w:tblGrid>
      <w:tr w:rsidR="00884BF4" w:rsidRPr="006C1CB1" w:rsidTr="008B379C">
        <w:tc>
          <w:tcPr>
            <w:tcW w:w="4428" w:type="dxa"/>
          </w:tcPr>
          <w:p w:rsidR="00884BF4" w:rsidRDefault="00884BF4" w:rsidP="008B379C">
            <w:pPr>
              <w:rPr>
                <w:rFonts w:eastAsia="Calibri"/>
                <w:sz w:val="24"/>
                <w:szCs w:val="24"/>
              </w:rPr>
            </w:pPr>
            <w:r w:rsidRPr="006C1CB1">
              <w:rPr>
                <w:rFonts w:eastAsia="Calibri"/>
                <w:sz w:val="24"/>
                <w:szCs w:val="24"/>
              </w:rPr>
              <w:t>Werner L. Margard III</w:t>
            </w:r>
          </w:p>
          <w:p w:rsidR="00884BF4" w:rsidRPr="006C1CB1" w:rsidRDefault="00884BF4" w:rsidP="008B379C">
            <w:pPr>
              <w:rPr>
                <w:rFonts w:eastAsia="Calibri"/>
                <w:sz w:val="24"/>
                <w:szCs w:val="24"/>
              </w:rPr>
            </w:pPr>
            <w:r w:rsidRPr="006C1CB1">
              <w:rPr>
                <w:rFonts w:eastAsia="Calibri"/>
                <w:sz w:val="24"/>
                <w:szCs w:val="24"/>
              </w:rPr>
              <w:t>Assistant Attorneys General</w:t>
            </w:r>
          </w:p>
          <w:p w:rsidR="00884BF4" w:rsidRPr="006C1CB1" w:rsidRDefault="00884BF4" w:rsidP="008B379C">
            <w:pPr>
              <w:rPr>
                <w:rFonts w:eastAsia="Calibri"/>
                <w:sz w:val="24"/>
                <w:szCs w:val="24"/>
              </w:rPr>
            </w:pPr>
            <w:r w:rsidRPr="006C1CB1">
              <w:rPr>
                <w:rFonts w:eastAsia="Calibri"/>
                <w:sz w:val="24"/>
                <w:szCs w:val="24"/>
              </w:rPr>
              <w:t>Public Utilities Section</w:t>
            </w:r>
          </w:p>
          <w:p w:rsidR="00884BF4" w:rsidRPr="006C1CB1" w:rsidRDefault="00884BF4" w:rsidP="008B379C">
            <w:pPr>
              <w:rPr>
                <w:rFonts w:eastAsia="Calibri"/>
                <w:sz w:val="24"/>
                <w:szCs w:val="24"/>
              </w:rPr>
            </w:pPr>
            <w:r w:rsidRPr="006C1CB1">
              <w:rPr>
                <w:rFonts w:eastAsia="Calibri"/>
                <w:sz w:val="24"/>
                <w:szCs w:val="24"/>
              </w:rPr>
              <w:t>180 East Broad Street, 6</w:t>
            </w:r>
            <w:r w:rsidRPr="006C1CB1">
              <w:rPr>
                <w:rFonts w:eastAsia="Calibri"/>
                <w:sz w:val="24"/>
                <w:szCs w:val="24"/>
                <w:vertAlign w:val="superscript"/>
              </w:rPr>
              <w:t>th</w:t>
            </w:r>
            <w:r w:rsidRPr="006C1CB1">
              <w:rPr>
                <w:rFonts w:eastAsia="Calibri"/>
                <w:sz w:val="24"/>
                <w:szCs w:val="24"/>
              </w:rPr>
              <w:t xml:space="preserve"> Floor</w:t>
            </w:r>
          </w:p>
          <w:p w:rsidR="00884BF4" w:rsidRPr="006C1CB1" w:rsidRDefault="00884BF4" w:rsidP="008B379C">
            <w:pPr>
              <w:rPr>
                <w:rFonts w:eastAsia="Calibri"/>
                <w:sz w:val="24"/>
                <w:szCs w:val="24"/>
              </w:rPr>
            </w:pPr>
            <w:r w:rsidRPr="006C1CB1">
              <w:rPr>
                <w:rFonts w:eastAsia="Calibri"/>
                <w:sz w:val="24"/>
                <w:szCs w:val="24"/>
              </w:rPr>
              <w:t>Columbus, Ohio  43215</w:t>
            </w:r>
          </w:p>
          <w:p w:rsidR="00884BF4" w:rsidRDefault="00884BF4" w:rsidP="008B379C">
            <w:pPr>
              <w:rPr>
                <w:rFonts w:eastAsia="Calibri"/>
                <w:sz w:val="24"/>
                <w:szCs w:val="24"/>
              </w:rPr>
            </w:pPr>
            <w:r w:rsidRPr="006C1CB1">
              <w:rPr>
                <w:rFonts w:eastAsia="Calibri"/>
                <w:color w:val="0000FF"/>
                <w:sz w:val="24"/>
                <w:szCs w:val="24"/>
                <w:u w:val="single"/>
              </w:rPr>
              <w:t>Werner.margard@puc.state.oh.us</w:t>
            </w:r>
          </w:p>
          <w:p w:rsidR="00884BF4" w:rsidRPr="006C1CB1" w:rsidRDefault="00884BF4" w:rsidP="008B379C">
            <w:pPr>
              <w:rPr>
                <w:rFonts w:eastAsia="Calibri"/>
                <w:sz w:val="24"/>
                <w:szCs w:val="24"/>
              </w:rPr>
            </w:pPr>
          </w:p>
          <w:p w:rsidR="00884BF4" w:rsidRPr="006C1CB1" w:rsidRDefault="00884BF4" w:rsidP="008B379C">
            <w:pPr>
              <w:rPr>
                <w:rFonts w:eastAsia="Calibri"/>
                <w:sz w:val="24"/>
                <w:szCs w:val="24"/>
              </w:rPr>
            </w:pPr>
          </w:p>
          <w:p w:rsidR="00884BF4" w:rsidRDefault="00884BF4" w:rsidP="00EA35D4">
            <w:pPr>
              <w:rPr>
                <w:rFonts w:eastAsia="Calibri"/>
                <w:sz w:val="24"/>
                <w:szCs w:val="24"/>
              </w:rPr>
            </w:pPr>
            <w:r>
              <w:rPr>
                <w:rFonts w:eastAsia="Calibri"/>
                <w:sz w:val="24"/>
                <w:szCs w:val="24"/>
              </w:rPr>
              <w:t xml:space="preserve">AE:  </w:t>
            </w:r>
          </w:p>
          <w:p w:rsidR="00EA35D4" w:rsidRDefault="00EA35D4" w:rsidP="00EA35D4">
            <w:pPr>
              <w:rPr>
                <w:rFonts w:eastAsia="Calibri"/>
                <w:sz w:val="24"/>
                <w:szCs w:val="24"/>
              </w:rPr>
            </w:pPr>
            <w:r w:rsidRPr="00085195">
              <w:rPr>
                <w:rFonts w:eastAsia="Calibri"/>
                <w:sz w:val="24"/>
                <w:szCs w:val="24"/>
              </w:rPr>
              <w:t>Scott.farkas@puc.state.oh.us</w:t>
            </w:r>
          </w:p>
          <w:p w:rsidR="00EA35D4" w:rsidRPr="006C1CB1" w:rsidRDefault="00EA35D4" w:rsidP="00EA35D4">
            <w:pPr>
              <w:rPr>
                <w:rFonts w:eastAsia="Calibri"/>
                <w:sz w:val="24"/>
                <w:szCs w:val="24"/>
              </w:rPr>
            </w:pPr>
          </w:p>
        </w:tc>
        <w:tc>
          <w:tcPr>
            <w:tcW w:w="4428" w:type="dxa"/>
          </w:tcPr>
          <w:p w:rsidR="00884BF4" w:rsidRPr="006C1CB1" w:rsidRDefault="00884BF4" w:rsidP="008B379C">
            <w:pPr>
              <w:rPr>
                <w:rFonts w:eastAsia="Calibri"/>
                <w:sz w:val="24"/>
                <w:szCs w:val="24"/>
              </w:rPr>
            </w:pPr>
            <w:r w:rsidRPr="006C1CB1">
              <w:rPr>
                <w:rFonts w:eastAsia="Calibri"/>
                <w:sz w:val="24"/>
                <w:szCs w:val="24"/>
              </w:rPr>
              <w:t>Mark S. Yurick</w:t>
            </w:r>
          </w:p>
          <w:p w:rsidR="00884BF4" w:rsidRPr="006C1CB1" w:rsidRDefault="00884BF4" w:rsidP="008B379C">
            <w:pPr>
              <w:rPr>
                <w:rFonts w:eastAsia="Calibri"/>
                <w:sz w:val="24"/>
                <w:szCs w:val="24"/>
              </w:rPr>
            </w:pPr>
            <w:r>
              <w:rPr>
                <w:rFonts w:eastAsia="Calibri"/>
                <w:sz w:val="24"/>
                <w:szCs w:val="24"/>
              </w:rPr>
              <w:t>Devin Pa</w:t>
            </w:r>
            <w:r w:rsidR="00EA35D4">
              <w:rPr>
                <w:rFonts w:eastAsia="Calibri"/>
                <w:sz w:val="24"/>
                <w:szCs w:val="24"/>
              </w:rPr>
              <w:t>r</w:t>
            </w:r>
            <w:r>
              <w:rPr>
                <w:rFonts w:eastAsia="Calibri"/>
                <w:sz w:val="24"/>
                <w:szCs w:val="24"/>
              </w:rPr>
              <w:t>ram</w:t>
            </w:r>
          </w:p>
          <w:p w:rsidR="00884BF4" w:rsidRPr="006C1CB1" w:rsidRDefault="00884BF4" w:rsidP="008B379C">
            <w:pPr>
              <w:rPr>
                <w:rFonts w:eastAsia="Calibri"/>
                <w:sz w:val="24"/>
                <w:szCs w:val="24"/>
              </w:rPr>
            </w:pPr>
            <w:r w:rsidRPr="006C1CB1">
              <w:rPr>
                <w:rFonts w:eastAsia="Calibri"/>
                <w:sz w:val="24"/>
                <w:szCs w:val="24"/>
              </w:rPr>
              <w:t>Taft, Stettinius &amp; Hollister LLP</w:t>
            </w:r>
          </w:p>
          <w:p w:rsidR="00884BF4" w:rsidRPr="006C1CB1" w:rsidRDefault="00884BF4" w:rsidP="008B379C">
            <w:pPr>
              <w:rPr>
                <w:rFonts w:eastAsia="Calibri"/>
                <w:sz w:val="24"/>
                <w:szCs w:val="24"/>
              </w:rPr>
            </w:pPr>
            <w:r w:rsidRPr="006C1CB1">
              <w:rPr>
                <w:rFonts w:eastAsia="Calibri"/>
                <w:sz w:val="24"/>
                <w:szCs w:val="24"/>
              </w:rPr>
              <w:t>65 East State Street, Suite 1000</w:t>
            </w:r>
          </w:p>
          <w:p w:rsidR="00884BF4" w:rsidRPr="006C1CB1" w:rsidRDefault="00884BF4" w:rsidP="008B379C">
            <w:pPr>
              <w:rPr>
                <w:rFonts w:eastAsia="Calibri"/>
                <w:sz w:val="24"/>
                <w:szCs w:val="24"/>
              </w:rPr>
            </w:pPr>
            <w:r w:rsidRPr="006C1CB1">
              <w:rPr>
                <w:rFonts w:eastAsia="Calibri"/>
                <w:sz w:val="24"/>
                <w:szCs w:val="24"/>
              </w:rPr>
              <w:t>Columbus, Ohio  43215</w:t>
            </w:r>
          </w:p>
          <w:p w:rsidR="00884BF4" w:rsidRPr="006C1CB1" w:rsidRDefault="00884BF4" w:rsidP="008B379C">
            <w:pPr>
              <w:rPr>
                <w:rFonts w:eastAsia="Calibri"/>
                <w:sz w:val="24"/>
                <w:szCs w:val="24"/>
              </w:rPr>
            </w:pPr>
            <w:r w:rsidRPr="006C1CB1">
              <w:rPr>
                <w:rFonts w:eastAsia="Calibri"/>
                <w:color w:val="0000FF"/>
                <w:sz w:val="24"/>
                <w:szCs w:val="24"/>
                <w:u w:val="single"/>
              </w:rPr>
              <w:t>myurick@cwslaw.com</w:t>
            </w:r>
          </w:p>
          <w:p w:rsidR="00884BF4" w:rsidRPr="006C1CB1" w:rsidRDefault="00EA35D4" w:rsidP="008B379C">
            <w:pPr>
              <w:rPr>
                <w:rFonts w:eastAsia="Calibri"/>
                <w:sz w:val="24"/>
                <w:szCs w:val="24"/>
              </w:rPr>
            </w:pPr>
            <w:r>
              <w:rPr>
                <w:rFonts w:eastAsia="Calibri"/>
                <w:color w:val="0000FF"/>
                <w:sz w:val="24"/>
                <w:szCs w:val="24"/>
                <w:u w:val="single"/>
              </w:rPr>
              <w:t>dparram</w:t>
            </w:r>
            <w:r w:rsidR="00884BF4" w:rsidRPr="006C1CB1">
              <w:rPr>
                <w:rFonts w:eastAsia="Calibri"/>
                <w:color w:val="0000FF"/>
                <w:sz w:val="24"/>
                <w:szCs w:val="24"/>
                <w:u w:val="single"/>
              </w:rPr>
              <w:t>@cwslaw.com</w:t>
            </w:r>
          </w:p>
          <w:p w:rsidR="00884BF4" w:rsidRPr="006C1CB1" w:rsidRDefault="00884BF4" w:rsidP="008B379C">
            <w:pPr>
              <w:rPr>
                <w:rFonts w:eastAsia="Calibri"/>
                <w:sz w:val="24"/>
                <w:szCs w:val="24"/>
              </w:rPr>
            </w:pPr>
          </w:p>
          <w:p w:rsidR="00884BF4" w:rsidRPr="006C1CB1" w:rsidRDefault="00884BF4" w:rsidP="00EA35D4">
            <w:pPr>
              <w:rPr>
                <w:rFonts w:eastAsia="Calibri"/>
                <w:sz w:val="24"/>
                <w:szCs w:val="24"/>
              </w:rPr>
            </w:pPr>
          </w:p>
        </w:tc>
      </w:tr>
    </w:tbl>
    <w:p w:rsidR="00884BF4" w:rsidRDefault="00884BF4" w:rsidP="00884BF4">
      <w:pPr>
        <w:jc w:val="center"/>
        <w:rPr>
          <w:b/>
          <w:bCs/>
          <w:sz w:val="24"/>
          <w:szCs w:val="24"/>
          <w:u w:val="single"/>
        </w:rPr>
      </w:pPr>
    </w:p>
    <w:p w:rsidR="00884BF4" w:rsidRDefault="00884BF4" w:rsidP="00884BF4">
      <w:pPr>
        <w:jc w:val="center"/>
        <w:rPr>
          <w:b/>
          <w:bCs/>
          <w:sz w:val="24"/>
          <w:szCs w:val="24"/>
          <w:u w:val="single"/>
        </w:rPr>
      </w:pPr>
    </w:p>
    <w:p w:rsidR="00884BF4" w:rsidRDefault="00884BF4" w:rsidP="00884BF4">
      <w:pPr>
        <w:jc w:val="center"/>
        <w:rPr>
          <w:b/>
          <w:bCs/>
          <w:sz w:val="24"/>
          <w:szCs w:val="24"/>
          <w:u w:val="single"/>
        </w:rPr>
      </w:pPr>
    </w:p>
    <w:p w:rsidR="00884BF4" w:rsidRDefault="00884BF4" w:rsidP="00884BF4">
      <w:pPr>
        <w:jc w:val="center"/>
        <w:rPr>
          <w:b/>
          <w:bCs/>
          <w:sz w:val="24"/>
          <w:szCs w:val="24"/>
          <w:u w:val="single"/>
        </w:rPr>
      </w:pPr>
    </w:p>
    <w:p w:rsidR="00884BF4" w:rsidRDefault="00884BF4" w:rsidP="00884BF4"/>
    <w:sectPr w:rsidR="00884BF4" w:rsidSect="0031299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862" w:rsidRDefault="00D94862" w:rsidP="00E74583">
      <w:r>
        <w:separator/>
      </w:r>
    </w:p>
  </w:endnote>
  <w:endnote w:type="continuationSeparator" w:id="0">
    <w:p w:rsidR="00D94862" w:rsidRDefault="00D94862" w:rsidP="00E7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95" w:rsidRDefault="000851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888788"/>
      <w:docPartObj>
        <w:docPartGallery w:val="Page Numbers (Bottom of Page)"/>
        <w:docPartUnique/>
      </w:docPartObj>
    </w:sdtPr>
    <w:sdtEndPr>
      <w:rPr>
        <w:noProof/>
      </w:rPr>
    </w:sdtEndPr>
    <w:sdtContent>
      <w:p w:rsidR="00BF1BF0" w:rsidRDefault="00BF1BF0">
        <w:pPr>
          <w:pStyle w:val="Footer"/>
          <w:jc w:val="center"/>
        </w:pPr>
        <w:r>
          <w:fldChar w:fldCharType="begin"/>
        </w:r>
        <w:r>
          <w:instrText xml:space="preserve"> PAGE   \* MERGEFORMAT </w:instrText>
        </w:r>
        <w:r>
          <w:fldChar w:fldCharType="separate"/>
        </w:r>
        <w:r w:rsidR="00955CD9">
          <w:rPr>
            <w:noProof/>
          </w:rPr>
          <w:t>2</w:t>
        </w:r>
        <w:r>
          <w:rPr>
            <w:noProof/>
          </w:rPr>
          <w:fldChar w:fldCharType="end"/>
        </w:r>
      </w:p>
    </w:sdtContent>
  </w:sdt>
  <w:p w:rsidR="00BF1BF0" w:rsidRDefault="00BF1B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95" w:rsidRDefault="00085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862" w:rsidRDefault="00D94862" w:rsidP="00E74583">
      <w:r>
        <w:separator/>
      </w:r>
    </w:p>
  </w:footnote>
  <w:footnote w:type="continuationSeparator" w:id="0">
    <w:p w:rsidR="00D94862" w:rsidRDefault="00D94862" w:rsidP="00E74583">
      <w:r>
        <w:continuationSeparator/>
      </w:r>
    </w:p>
  </w:footnote>
  <w:footnote w:id="1">
    <w:p w:rsidR="00615AD0" w:rsidRDefault="00615AD0" w:rsidP="00D665DD">
      <w:pPr>
        <w:pStyle w:val="FootnoteText"/>
        <w:spacing w:after="120"/>
      </w:pPr>
      <w:r>
        <w:rPr>
          <w:rStyle w:val="FootnoteReference"/>
        </w:rPr>
        <w:footnoteRef/>
      </w:r>
      <w:r>
        <w:t xml:space="preserve"> See R.C. 4905.302, Ohio Adm. Code 4901:1-14-07, and Ohio Adm. Code 4901:1-14-08(B); </w:t>
      </w:r>
      <w:r w:rsidR="009B05EE">
        <w:t>see also Entry at 2, 5 (February 13, 2014) (directing Staff to conduct GCR audits, uncollectible expenses (UEX) rider audits, and percentage of income payment plan (PIPP) rider audits)</w:t>
      </w:r>
      <w:r>
        <w:t>.</w:t>
      </w:r>
    </w:p>
  </w:footnote>
  <w:footnote w:id="2">
    <w:p w:rsidR="00615AD0" w:rsidRDefault="00615AD0" w:rsidP="00D665DD">
      <w:pPr>
        <w:pStyle w:val="FootnoteText"/>
        <w:spacing w:after="120"/>
      </w:pPr>
      <w:r>
        <w:rPr>
          <w:rStyle w:val="FootnoteReference"/>
        </w:rPr>
        <w:footnoteRef/>
      </w:r>
      <w:r>
        <w:t xml:space="preserve"> Ohio Adm. Code 4901:1-14-08(F).</w:t>
      </w:r>
    </w:p>
  </w:footnote>
  <w:footnote w:id="3">
    <w:p w:rsidR="00E74583" w:rsidRDefault="00E74583" w:rsidP="00D665DD">
      <w:pPr>
        <w:pStyle w:val="FootnoteText"/>
        <w:spacing w:after="120"/>
      </w:pPr>
      <w:r>
        <w:rPr>
          <w:rStyle w:val="FootnoteReference"/>
        </w:rPr>
        <w:footnoteRef/>
      </w:r>
      <w:r>
        <w:t xml:space="preserve"> R.C. Chapter 4911.</w:t>
      </w:r>
    </w:p>
  </w:footnote>
  <w:footnote w:id="4">
    <w:p w:rsidR="00F62274" w:rsidRDefault="00F62274" w:rsidP="00D665DD">
      <w:pPr>
        <w:pStyle w:val="FootnoteText"/>
        <w:spacing w:after="120"/>
      </w:pPr>
      <w:r>
        <w:rPr>
          <w:rStyle w:val="FootnoteReference"/>
        </w:rPr>
        <w:footnoteRef/>
      </w:r>
      <w:r>
        <w:t xml:space="preserve"> Entry at 3 (February 13, 2014).</w:t>
      </w:r>
    </w:p>
  </w:footnote>
  <w:footnote w:id="5">
    <w:p w:rsidR="00F62274" w:rsidRDefault="00F62274" w:rsidP="00D665DD">
      <w:pPr>
        <w:pStyle w:val="FootnoteText"/>
        <w:spacing w:after="120"/>
      </w:pPr>
      <w:r>
        <w:rPr>
          <w:rStyle w:val="FootnoteReference"/>
        </w:rPr>
        <w:footnoteRef/>
      </w:r>
      <w:r>
        <w:t xml:space="preserve"> Entry at 3 (November 25, 2015)(continuing the hearing until March 24, 2015); Entry at 3 (January 23, 2015)(continuing the hearing until April 7, 2015);</w:t>
      </w:r>
      <w:r w:rsidRPr="00F62274">
        <w:t xml:space="preserve"> </w:t>
      </w:r>
      <w:r>
        <w:t>Entry at 2 (March 23, 2015)(continuing the hearing until June 2, 2015).</w:t>
      </w:r>
    </w:p>
  </w:footnote>
  <w:footnote w:id="6">
    <w:p w:rsidR="00F62274" w:rsidRDefault="00F62274" w:rsidP="00D665DD">
      <w:pPr>
        <w:pStyle w:val="FootnoteText"/>
        <w:spacing w:after="120"/>
      </w:pPr>
      <w:r>
        <w:rPr>
          <w:rStyle w:val="FootnoteReference"/>
        </w:rPr>
        <w:footnoteRef/>
      </w:r>
      <w:r>
        <w:t xml:space="preserve"> Entry at 2 (May 15, 2015)(continuing the hearing until July 28, 2015).</w:t>
      </w:r>
    </w:p>
  </w:footnote>
  <w:footnote w:id="7">
    <w:p w:rsidR="00651480" w:rsidRDefault="00651480" w:rsidP="00D665DD">
      <w:pPr>
        <w:pStyle w:val="FootnoteText"/>
        <w:spacing w:after="120"/>
      </w:pPr>
      <w:r>
        <w:rPr>
          <w:rStyle w:val="FootnoteReference"/>
        </w:rPr>
        <w:footnoteRef/>
      </w:r>
      <w:r>
        <w:t xml:space="preserve"> Entry at 3 (November 25, 2015)(continuing the hearing until March 24, 2015); Entry at 2 (January 23, 2015)(continuing the hearing until April 7, 2015);</w:t>
      </w:r>
      <w:r w:rsidRPr="00F62274">
        <w:t xml:space="preserve"> </w:t>
      </w:r>
      <w:r>
        <w:t>Entry at 2 (March 23, 2015)(continuing the hearing until June 2, 2015); Entry at 2 (May 15, 2015)(continuing the hearing until July 28, 2015).</w:t>
      </w:r>
    </w:p>
  </w:footnote>
  <w:footnote w:id="8">
    <w:p w:rsidR="00651480" w:rsidRDefault="00651480" w:rsidP="00D665DD">
      <w:pPr>
        <w:pStyle w:val="FootnoteText"/>
        <w:spacing w:after="120"/>
      </w:pPr>
      <w:r>
        <w:rPr>
          <w:rStyle w:val="FootnoteReference"/>
        </w:rPr>
        <w:footnoteRef/>
      </w:r>
      <w:r>
        <w:t xml:space="preserve"> Entry at 4 (February 13, 2014).</w:t>
      </w:r>
    </w:p>
  </w:footnote>
  <w:footnote w:id="9">
    <w:p w:rsidR="00AD7E01" w:rsidRDefault="00AD7E01" w:rsidP="00D665DD">
      <w:pPr>
        <w:pStyle w:val="FootnoteText"/>
        <w:spacing w:after="120"/>
      </w:pPr>
      <w:r>
        <w:rPr>
          <w:rStyle w:val="FootnoteReference"/>
        </w:rPr>
        <w:footnoteRef/>
      </w:r>
      <w:r>
        <w:t xml:space="preserve"> Motion for Leave, Memorandum in Support at 1.</w:t>
      </w:r>
    </w:p>
  </w:footnote>
  <w:footnote w:id="10">
    <w:p w:rsidR="000A00C7" w:rsidRDefault="000A00C7" w:rsidP="00D665DD">
      <w:pPr>
        <w:pStyle w:val="FootnoteText"/>
        <w:spacing w:after="120"/>
      </w:pPr>
      <w:r>
        <w:rPr>
          <w:rStyle w:val="FootnoteReference"/>
        </w:rPr>
        <w:footnoteRef/>
      </w:r>
      <w:r>
        <w:t xml:space="preserve"> Entry at 2 (March 23, 2015).</w:t>
      </w:r>
    </w:p>
  </w:footnote>
  <w:footnote w:id="11">
    <w:p w:rsidR="00581E4A" w:rsidRDefault="00581E4A" w:rsidP="00D665DD">
      <w:pPr>
        <w:pStyle w:val="FootnoteText"/>
        <w:spacing w:after="120"/>
      </w:pPr>
      <w:r>
        <w:rPr>
          <w:rStyle w:val="FootnoteReference"/>
        </w:rPr>
        <w:footnoteRef/>
      </w:r>
      <w:r>
        <w:t xml:space="preserve"> Motion for Leave, Memorandum in Support at 1.</w:t>
      </w:r>
    </w:p>
  </w:footnote>
  <w:footnote w:id="12">
    <w:p w:rsidR="00732927" w:rsidRDefault="00732927" w:rsidP="00D665DD">
      <w:pPr>
        <w:pStyle w:val="FootnoteText"/>
        <w:spacing w:after="120"/>
      </w:pPr>
      <w:r>
        <w:rPr>
          <w:rStyle w:val="FootnoteReference"/>
        </w:rPr>
        <w:footnoteRef/>
      </w:r>
      <w:r>
        <w:t xml:space="preserve"> Supra n.7 and n.8.</w:t>
      </w:r>
    </w:p>
  </w:footnote>
  <w:footnote w:id="13">
    <w:p w:rsidR="00732927" w:rsidRDefault="00732927" w:rsidP="00D665DD">
      <w:pPr>
        <w:pStyle w:val="FootnoteText"/>
        <w:spacing w:after="120"/>
      </w:pPr>
      <w:r>
        <w:rPr>
          <w:rStyle w:val="FootnoteReference"/>
        </w:rPr>
        <w:footnoteRef/>
      </w:r>
      <w:r>
        <w:t xml:space="preserve"> Id.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95" w:rsidRDefault="000851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95" w:rsidRDefault="000851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95" w:rsidRDefault="000851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F4"/>
    <w:rsid w:val="000158C8"/>
    <w:rsid w:val="00085195"/>
    <w:rsid w:val="000A00C7"/>
    <w:rsid w:val="001606A9"/>
    <w:rsid w:val="00185005"/>
    <w:rsid w:val="0031299E"/>
    <w:rsid w:val="00327995"/>
    <w:rsid w:val="00581E4A"/>
    <w:rsid w:val="00615AD0"/>
    <w:rsid w:val="00651480"/>
    <w:rsid w:val="00732927"/>
    <w:rsid w:val="007502F9"/>
    <w:rsid w:val="00884BF4"/>
    <w:rsid w:val="00955CD9"/>
    <w:rsid w:val="009B05EE"/>
    <w:rsid w:val="00A52261"/>
    <w:rsid w:val="00A82A8A"/>
    <w:rsid w:val="00AD7E01"/>
    <w:rsid w:val="00B307D8"/>
    <w:rsid w:val="00BF1BF0"/>
    <w:rsid w:val="00C70D5F"/>
    <w:rsid w:val="00CD13D5"/>
    <w:rsid w:val="00D665DD"/>
    <w:rsid w:val="00D94862"/>
    <w:rsid w:val="00E74583"/>
    <w:rsid w:val="00EA35D4"/>
    <w:rsid w:val="00F62274"/>
    <w:rsid w:val="00F755F7"/>
    <w:rsid w:val="00F81E65"/>
    <w:rsid w:val="00FE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BF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4BF4"/>
    <w:pPr>
      <w:tabs>
        <w:tab w:val="center" w:pos="4320"/>
        <w:tab w:val="right" w:pos="8640"/>
      </w:tabs>
    </w:pPr>
  </w:style>
  <w:style w:type="character" w:customStyle="1" w:styleId="FooterChar">
    <w:name w:val="Footer Char"/>
    <w:basedOn w:val="DefaultParagraphFont"/>
    <w:link w:val="Footer"/>
    <w:uiPriority w:val="99"/>
    <w:rsid w:val="00884BF4"/>
    <w:rPr>
      <w:rFonts w:ascii="Times New Roman" w:eastAsia="Times New Roman" w:hAnsi="Times New Roman" w:cs="Times New Roman"/>
      <w:sz w:val="20"/>
      <w:szCs w:val="20"/>
    </w:rPr>
  </w:style>
  <w:style w:type="character" w:styleId="Hyperlink">
    <w:name w:val="Hyperlink"/>
    <w:rsid w:val="00884BF4"/>
    <w:rPr>
      <w:color w:val="0000FF"/>
      <w:u w:val="single"/>
    </w:rPr>
  </w:style>
  <w:style w:type="paragraph" w:styleId="BodyTextIndent3">
    <w:name w:val="Body Text Indent 3"/>
    <w:basedOn w:val="Normal"/>
    <w:link w:val="BodyTextIndent3Char"/>
    <w:rsid w:val="00884BF4"/>
    <w:pPr>
      <w:spacing w:line="480" w:lineRule="atLeast"/>
      <w:ind w:firstLine="720"/>
    </w:pPr>
    <w:rPr>
      <w:sz w:val="24"/>
    </w:rPr>
  </w:style>
  <w:style w:type="character" w:customStyle="1" w:styleId="BodyTextIndent3Char">
    <w:name w:val="Body Text Indent 3 Char"/>
    <w:basedOn w:val="DefaultParagraphFont"/>
    <w:link w:val="BodyTextIndent3"/>
    <w:rsid w:val="00884BF4"/>
    <w:rPr>
      <w:rFonts w:ascii="Times New Roman" w:eastAsia="Times New Roman" w:hAnsi="Times New Roman" w:cs="Times New Roman"/>
      <w:sz w:val="24"/>
      <w:szCs w:val="20"/>
    </w:rPr>
  </w:style>
  <w:style w:type="paragraph" w:styleId="FootnoteText">
    <w:name w:val="footnote text"/>
    <w:aliases w:val="Footnote Text Char1,Footnote Text Char Char,Footnote Text Char4 Char,Footnote Text Char Char4 Char,Footnote Text Char4 Char1 Char Char,Footnote Text Char Char4 Char1 Char Char,Footnote Text Char2"/>
    <w:basedOn w:val="Normal"/>
    <w:link w:val="FootnoteTextChar3"/>
    <w:semiHidden/>
    <w:rsid w:val="00E74583"/>
    <w:pPr>
      <w:spacing w:after="240"/>
    </w:pPr>
  </w:style>
  <w:style w:type="character" w:customStyle="1" w:styleId="FootnoteTextChar">
    <w:name w:val="Footnote Text Char"/>
    <w:basedOn w:val="DefaultParagraphFont"/>
    <w:uiPriority w:val="99"/>
    <w:semiHidden/>
    <w:rsid w:val="00E74583"/>
    <w:rPr>
      <w:rFonts w:ascii="Times New Roman" w:eastAsia="Times New Roman" w:hAnsi="Times New Roman" w:cs="Times New Roman"/>
      <w:sz w:val="20"/>
      <w:szCs w:val="20"/>
    </w:rPr>
  </w:style>
  <w:style w:type="character" w:styleId="FootnoteReference">
    <w:name w:val="footnote reference"/>
    <w:aliases w:val="o"/>
    <w:semiHidden/>
    <w:rsid w:val="00E74583"/>
    <w:rPr>
      <w:vertAlign w:val="superscript"/>
    </w:rPr>
  </w:style>
  <w:style w:type="character" w:styleId="CommentReference">
    <w:name w:val="annotation reference"/>
    <w:semiHidden/>
    <w:rsid w:val="00E74583"/>
    <w:rPr>
      <w:sz w:val="16"/>
      <w:szCs w:val="16"/>
    </w:rPr>
  </w:style>
  <w:style w:type="paragraph" w:styleId="CommentText">
    <w:name w:val="annotation text"/>
    <w:basedOn w:val="Normal"/>
    <w:link w:val="CommentTextChar"/>
    <w:semiHidden/>
    <w:rsid w:val="00E74583"/>
  </w:style>
  <w:style w:type="character" w:customStyle="1" w:styleId="CommentTextChar">
    <w:name w:val="Comment Text Char"/>
    <w:basedOn w:val="DefaultParagraphFont"/>
    <w:link w:val="CommentText"/>
    <w:semiHidden/>
    <w:rsid w:val="00E74583"/>
    <w:rPr>
      <w:rFonts w:ascii="Times New Roman" w:eastAsia="Times New Roman" w:hAnsi="Times New Roman" w:cs="Times New Roman"/>
      <w:sz w:val="20"/>
      <w:szCs w:val="20"/>
    </w:rPr>
  </w:style>
  <w:style w:type="character" w:customStyle="1" w:styleId="FootnoteTextChar3">
    <w:name w:val="Footnote Text Char3"/>
    <w:aliases w:val="Footnote Text Char1 Char,Footnote Text Char Char Char,Footnote Text Char4 Char Char,Footnote Text Char Char4 Char Char,Footnote Text Char4 Char1 Char Char Char,Footnote Text Char Char4 Char1 Char Char Char,Footnote Text Char2 Char"/>
    <w:link w:val="FootnoteText"/>
    <w:semiHidden/>
    <w:rsid w:val="00E7458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4583"/>
    <w:rPr>
      <w:rFonts w:ascii="Tahoma" w:hAnsi="Tahoma" w:cs="Tahoma"/>
      <w:sz w:val="16"/>
      <w:szCs w:val="16"/>
    </w:rPr>
  </w:style>
  <w:style w:type="character" w:customStyle="1" w:styleId="BalloonTextChar">
    <w:name w:val="Balloon Text Char"/>
    <w:basedOn w:val="DefaultParagraphFont"/>
    <w:link w:val="BalloonText"/>
    <w:uiPriority w:val="99"/>
    <w:semiHidden/>
    <w:rsid w:val="00E74583"/>
    <w:rPr>
      <w:rFonts w:ascii="Tahoma" w:eastAsia="Times New Roman" w:hAnsi="Tahoma" w:cs="Tahoma"/>
      <w:sz w:val="16"/>
      <w:szCs w:val="16"/>
    </w:rPr>
  </w:style>
  <w:style w:type="paragraph" w:styleId="Header">
    <w:name w:val="header"/>
    <w:basedOn w:val="Normal"/>
    <w:link w:val="HeaderChar"/>
    <w:uiPriority w:val="99"/>
    <w:unhideWhenUsed/>
    <w:rsid w:val="00BF1BF0"/>
    <w:pPr>
      <w:tabs>
        <w:tab w:val="center" w:pos="4680"/>
        <w:tab w:val="right" w:pos="9360"/>
      </w:tabs>
    </w:pPr>
  </w:style>
  <w:style w:type="character" w:customStyle="1" w:styleId="HeaderChar">
    <w:name w:val="Header Char"/>
    <w:basedOn w:val="DefaultParagraphFont"/>
    <w:link w:val="Header"/>
    <w:uiPriority w:val="99"/>
    <w:rsid w:val="00BF1BF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BF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4BF4"/>
    <w:pPr>
      <w:tabs>
        <w:tab w:val="center" w:pos="4320"/>
        <w:tab w:val="right" w:pos="8640"/>
      </w:tabs>
    </w:pPr>
  </w:style>
  <w:style w:type="character" w:customStyle="1" w:styleId="FooterChar">
    <w:name w:val="Footer Char"/>
    <w:basedOn w:val="DefaultParagraphFont"/>
    <w:link w:val="Footer"/>
    <w:uiPriority w:val="99"/>
    <w:rsid w:val="00884BF4"/>
    <w:rPr>
      <w:rFonts w:ascii="Times New Roman" w:eastAsia="Times New Roman" w:hAnsi="Times New Roman" w:cs="Times New Roman"/>
      <w:sz w:val="20"/>
      <w:szCs w:val="20"/>
    </w:rPr>
  </w:style>
  <w:style w:type="character" w:styleId="Hyperlink">
    <w:name w:val="Hyperlink"/>
    <w:rsid w:val="00884BF4"/>
    <w:rPr>
      <w:color w:val="0000FF"/>
      <w:u w:val="single"/>
    </w:rPr>
  </w:style>
  <w:style w:type="paragraph" w:styleId="BodyTextIndent3">
    <w:name w:val="Body Text Indent 3"/>
    <w:basedOn w:val="Normal"/>
    <w:link w:val="BodyTextIndent3Char"/>
    <w:rsid w:val="00884BF4"/>
    <w:pPr>
      <w:spacing w:line="480" w:lineRule="atLeast"/>
      <w:ind w:firstLine="720"/>
    </w:pPr>
    <w:rPr>
      <w:sz w:val="24"/>
    </w:rPr>
  </w:style>
  <w:style w:type="character" w:customStyle="1" w:styleId="BodyTextIndent3Char">
    <w:name w:val="Body Text Indent 3 Char"/>
    <w:basedOn w:val="DefaultParagraphFont"/>
    <w:link w:val="BodyTextIndent3"/>
    <w:rsid w:val="00884BF4"/>
    <w:rPr>
      <w:rFonts w:ascii="Times New Roman" w:eastAsia="Times New Roman" w:hAnsi="Times New Roman" w:cs="Times New Roman"/>
      <w:sz w:val="24"/>
      <w:szCs w:val="20"/>
    </w:rPr>
  </w:style>
  <w:style w:type="paragraph" w:styleId="FootnoteText">
    <w:name w:val="footnote text"/>
    <w:aliases w:val="Footnote Text Char1,Footnote Text Char Char,Footnote Text Char4 Char,Footnote Text Char Char4 Char,Footnote Text Char4 Char1 Char Char,Footnote Text Char Char4 Char1 Char Char,Footnote Text Char2"/>
    <w:basedOn w:val="Normal"/>
    <w:link w:val="FootnoteTextChar3"/>
    <w:semiHidden/>
    <w:rsid w:val="00E74583"/>
    <w:pPr>
      <w:spacing w:after="240"/>
    </w:pPr>
  </w:style>
  <w:style w:type="character" w:customStyle="1" w:styleId="FootnoteTextChar">
    <w:name w:val="Footnote Text Char"/>
    <w:basedOn w:val="DefaultParagraphFont"/>
    <w:uiPriority w:val="99"/>
    <w:semiHidden/>
    <w:rsid w:val="00E74583"/>
    <w:rPr>
      <w:rFonts w:ascii="Times New Roman" w:eastAsia="Times New Roman" w:hAnsi="Times New Roman" w:cs="Times New Roman"/>
      <w:sz w:val="20"/>
      <w:szCs w:val="20"/>
    </w:rPr>
  </w:style>
  <w:style w:type="character" w:styleId="FootnoteReference">
    <w:name w:val="footnote reference"/>
    <w:aliases w:val="o"/>
    <w:semiHidden/>
    <w:rsid w:val="00E74583"/>
    <w:rPr>
      <w:vertAlign w:val="superscript"/>
    </w:rPr>
  </w:style>
  <w:style w:type="character" w:styleId="CommentReference">
    <w:name w:val="annotation reference"/>
    <w:semiHidden/>
    <w:rsid w:val="00E74583"/>
    <w:rPr>
      <w:sz w:val="16"/>
      <w:szCs w:val="16"/>
    </w:rPr>
  </w:style>
  <w:style w:type="paragraph" w:styleId="CommentText">
    <w:name w:val="annotation text"/>
    <w:basedOn w:val="Normal"/>
    <w:link w:val="CommentTextChar"/>
    <w:semiHidden/>
    <w:rsid w:val="00E74583"/>
  </w:style>
  <w:style w:type="character" w:customStyle="1" w:styleId="CommentTextChar">
    <w:name w:val="Comment Text Char"/>
    <w:basedOn w:val="DefaultParagraphFont"/>
    <w:link w:val="CommentText"/>
    <w:semiHidden/>
    <w:rsid w:val="00E74583"/>
    <w:rPr>
      <w:rFonts w:ascii="Times New Roman" w:eastAsia="Times New Roman" w:hAnsi="Times New Roman" w:cs="Times New Roman"/>
      <w:sz w:val="20"/>
      <w:szCs w:val="20"/>
    </w:rPr>
  </w:style>
  <w:style w:type="character" w:customStyle="1" w:styleId="FootnoteTextChar3">
    <w:name w:val="Footnote Text Char3"/>
    <w:aliases w:val="Footnote Text Char1 Char,Footnote Text Char Char Char,Footnote Text Char4 Char Char,Footnote Text Char Char4 Char Char,Footnote Text Char4 Char1 Char Char Char,Footnote Text Char Char4 Char1 Char Char Char,Footnote Text Char2 Char"/>
    <w:link w:val="FootnoteText"/>
    <w:semiHidden/>
    <w:rsid w:val="00E7458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4583"/>
    <w:rPr>
      <w:rFonts w:ascii="Tahoma" w:hAnsi="Tahoma" w:cs="Tahoma"/>
      <w:sz w:val="16"/>
      <w:szCs w:val="16"/>
    </w:rPr>
  </w:style>
  <w:style w:type="character" w:customStyle="1" w:styleId="BalloonTextChar">
    <w:name w:val="Balloon Text Char"/>
    <w:basedOn w:val="DefaultParagraphFont"/>
    <w:link w:val="BalloonText"/>
    <w:uiPriority w:val="99"/>
    <w:semiHidden/>
    <w:rsid w:val="00E74583"/>
    <w:rPr>
      <w:rFonts w:ascii="Tahoma" w:eastAsia="Times New Roman" w:hAnsi="Tahoma" w:cs="Tahoma"/>
      <w:sz w:val="16"/>
      <w:szCs w:val="16"/>
    </w:rPr>
  </w:style>
  <w:style w:type="paragraph" w:styleId="Header">
    <w:name w:val="header"/>
    <w:basedOn w:val="Normal"/>
    <w:link w:val="HeaderChar"/>
    <w:uiPriority w:val="99"/>
    <w:unhideWhenUsed/>
    <w:rsid w:val="00BF1BF0"/>
    <w:pPr>
      <w:tabs>
        <w:tab w:val="center" w:pos="4680"/>
        <w:tab w:val="right" w:pos="9360"/>
      </w:tabs>
    </w:pPr>
  </w:style>
  <w:style w:type="character" w:customStyle="1" w:styleId="HeaderChar">
    <w:name w:val="Header Char"/>
    <w:basedOn w:val="DefaultParagraphFont"/>
    <w:link w:val="Header"/>
    <w:uiPriority w:val="99"/>
    <w:rsid w:val="00BF1BF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5572</Characters>
  <Application>Microsoft Office Word</Application>
  <DocSecurity>0</DocSecurity>
  <PresentationFormat/>
  <Lines>149</Lines>
  <Paragraphs>57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2015-07-17T21:18:00Z</cp:lastPrinted>
  <dcterms:created xsi:type="dcterms:W3CDTF">2015-07-20T13:19:00Z</dcterms:created>
  <dcterms:modified xsi:type="dcterms:W3CDTF">2015-07-20T13:19:00Z</dcterms:modified>
  <cp:category> </cp:category>
  <cp:contentStatus> </cp:contentStatus>
</cp:coreProperties>
</file>