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3.xml" ContentType="application/vnd.ms-office.classificationlabels+xml"/>
  <Override PartName="/docMetadata/LabelInfo1.xml" ContentType="application/vnd.ms-office.classificationlabels+xml"/>
  <Override PartName="/docMetadata/LabelInfo.xml" ContentType="application/vnd.ms-office.classificationlabels+xml"/>
  <Override PartName="/docMetadata/LabelInfo0.xml" ContentType="application/vnd.ms-office.classificationlabels+xml"/>
  <Override PartName="/docMetadata/LabelInfo2.xml" ContentType="application/vnd.ms-office.classificationlabels+xml"/>
  <Override PartName="/docMetadata/LabelInfo4.xml" ContentType="application/vnd.ms-office.classificationlabels+xml"/>
  <Override PartName="/docMetadata/LabelInfo5.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3.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2.xml"/><Relationship Id="rId10" Type="http://schemas.microsoft.com/office/2020/02/relationships/classificationlabels" Target="docMetadata/LabelInfo4.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FE4DF" w14:textId="7EA65DC5" w:rsidR="00CF3858" w:rsidRPr="00D22DC6" w:rsidRDefault="00CF3858" w:rsidP="006D710D">
      <w:pPr>
        <w:jc w:val="center"/>
        <w:rPr>
          <w:rFonts w:eastAsia="Arial" w:cs="Arial"/>
          <w:b/>
          <w:szCs w:val="24"/>
          <w:u w:val="single"/>
        </w:rPr>
      </w:pPr>
      <w:r w:rsidRPr="00D22DC6">
        <w:rPr>
          <w:rFonts w:cs="Arial"/>
          <w:b/>
          <w:szCs w:val="24"/>
        </w:rPr>
        <w:t>BEFORE</w:t>
      </w:r>
    </w:p>
    <w:p w14:paraId="078C0539" w14:textId="40CF432A" w:rsidR="00CF3858" w:rsidRPr="00D22DC6" w:rsidRDefault="00CF3858" w:rsidP="006D710D">
      <w:pPr>
        <w:widowControl w:val="0"/>
        <w:jc w:val="center"/>
        <w:rPr>
          <w:rFonts w:cs="Arial"/>
          <w:b/>
          <w:szCs w:val="24"/>
        </w:rPr>
      </w:pPr>
      <w:r w:rsidRPr="00D22DC6">
        <w:rPr>
          <w:rFonts w:cs="Arial"/>
          <w:b/>
          <w:szCs w:val="24"/>
        </w:rPr>
        <w:t>THE PUBLIC UTILITIES COMMISSION OF OHIO</w:t>
      </w:r>
    </w:p>
    <w:p w14:paraId="6A507F04" w14:textId="77777777" w:rsidR="00100F07" w:rsidRPr="00D22DC6" w:rsidRDefault="00100F07" w:rsidP="00D22DC6">
      <w:pPr>
        <w:widowControl w:val="0"/>
        <w:jc w:val="both"/>
        <w:rPr>
          <w:rFonts w:cs="Arial"/>
          <w:b/>
          <w:szCs w:val="24"/>
        </w:rPr>
      </w:pPr>
    </w:p>
    <w:tbl>
      <w:tblPr>
        <w:tblStyle w:val="TableGrid"/>
        <w:tblW w:w="95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1440"/>
        <w:gridCol w:w="3993"/>
      </w:tblGrid>
      <w:tr w:rsidR="00CF3858" w:rsidRPr="00D22DC6" w14:paraId="66B7ED11" w14:textId="77777777" w:rsidTr="00A261AF">
        <w:trPr>
          <w:trHeight w:val="828"/>
        </w:trPr>
        <w:tc>
          <w:tcPr>
            <w:tcW w:w="4145" w:type="dxa"/>
          </w:tcPr>
          <w:p w14:paraId="21B116C1" w14:textId="2717BFD5" w:rsidR="00CF3858" w:rsidRPr="00D22DC6" w:rsidRDefault="00CF3858" w:rsidP="00D22DC6">
            <w:pPr>
              <w:widowControl w:val="0"/>
              <w:jc w:val="both"/>
              <w:rPr>
                <w:rFonts w:cs="Arial"/>
                <w:szCs w:val="24"/>
              </w:rPr>
            </w:pPr>
            <w:r w:rsidRPr="00D22DC6">
              <w:rPr>
                <w:rFonts w:cs="Arial"/>
                <w:szCs w:val="24"/>
              </w:rPr>
              <w:t>In the Matter of the Application of Ohio Power Company for Approval of a Change in Bill Format</w:t>
            </w:r>
            <w:r w:rsidR="00100F07" w:rsidRPr="00D22DC6">
              <w:rPr>
                <w:rFonts w:cs="Arial"/>
                <w:szCs w:val="24"/>
              </w:rPr>
              <w:t>.</w:t>
            </w:r>
          </w:p>
        </w:tc>
        <w:tc>
          <w:tcPr>
            <w:tcW w:w="1440" w:type="dxa"/>
            <w:vAlign w:val="center"/>
          </w:tcPr>
          <w:p w14:paraId="21C2A2B0" w14:textId="77777777" w:rsidR="00CF3858" w:rsidRPr="00D22DC6" w:rsidRDefault="00CF3858" w:rsidP="007904FE">
            <w:pPr>
              <w:widowControl w:val="0"/>
              <w:jc w:val="center"/>
              <w:rPr>
                <w:rFonts w:cs="Arial"/>
                <w:szCs w:val="24"/>
              </w:rPr>
            </w:pPr>
            <w:r w:rsidRPr="00D22DC6">
              <w:rPr>
                <w:rFonts w:cs="Arial"/>
                <w:szCs w:val="24"/>
              </w:rPr>
              <w:t>)</w:t>
            </w:r>
          </w:p>
          <w:p w14:paraId="42E7F2BC" w14:textId="77777777" w:rsidR="00CF3858" w:rsidRPr="00D22DC6" w:rsidRDefault="00CF3858" w:rsidP="007904FE">
            <w:pPr>
              <w:widowControl w:val="0"/>
              <w:jc w:val="center"/>
              <w:rPr>
                <w:rFonts w:cs="Arial"/>
                <w:szCs w:val="24"/>
              </w:rPr>
            </w:pPr>
            <w:r w:rsidRPr="00D22DC6">
              <w:rPr>
                <w:rFonts w:cs="Arial"/>
                <w:szCs w:val="24"/>
              </w:rPr>
              <w:t>)</w:t>
            </w:r>
          </w:p>
          <w:p w14:paraId="5757E3FF" w14:textId="77777777" w:rsidR="00CF3858" w:rsidRPr="00D22DC6" w:rsidRDefault="00CF3858" w:rsidP="007904FE">
            <w:pPr>
              <w:widowControl w:val="0"/>
              <w:jc w:val="center"/>
              <w:rPr>
                <w:rFonts w:cs="Arial"/>
                <w:szCs w:val="24"/>
              </w:rPr>
            </w:pPr>
            <w:r w:rsidRPr="00D22DC6">
              <w:rPr>
                <w:rFonts w:cs="Arial"/>
                <w:szCs w:val="24"/>
              </w:rPr>
              <w:t>)</w:t>
            </w:r>
          </w:p>
        </w:tc>
        <w:tc>
          <w:tcPr>
            <w:tcW w:w="3993" w:type="dxa"/>
            <w:vAlign w:val="center"/>
          </w:tcPr>
          <w:p w14:paraId="61D29556" w14:textId="77777777" w:rsidR="00CF3858" w:rsidRPr="00D22DC6" w:rsidRDefault="00CF3858" w:rsidP="00D22DC6">
            <w:pPr>
              <w:widowControl w:val="0"/>
              <w:jc w:val="both"/>
              <w:rPr>
                <w:rFonts w:cs="Arial"/>
                <w:szCs w:val="24"/>
              </w:rPr>
            </w:pPr>
            <w:r w:rsidRPr="00D22DC6">
              <w:rPr>
                <w:rFonts w:cs="Arial"/>
                <w:szCs w:val="24"/>
              </w:rPr>
              <w:t>Case No. 20-1408-EL-UNC</w:t>
            </w:r>
          </w:p>
        </w:tc>
      </w:tr>
    </w:tbl>
    <w:p w14:paraId="53D63FBC" w14:textId="77777777" w:rsidR="00CF3858" w:rsidRPr="00D22DC6" w:rsidRDefault="00CF3858" w:rsidP="00D22DC6">
      <w:pPr>
        <w:widowControl w:val="0"/>
        <w:pBdr>
          <w:bottom w:val="single" w:sz="12" w:space="0" w:color="auto"/>
        </w:pBdr>
        <w:jc w:val="both"/>
        <w:rPr>
          <w:rFonts w:cs="Arial"/>
          <w:szCs w:val="24"/>
        </w:rPr>
      </w:pPr>
    </w:p>
    <w:p w14:paraId="5D57E730" w14:textId="77777777" w:rsidR="00CF3858" w:rsidRPr="00D22DC6" w:rsidRDefault="00CF3858" w:rsidP="00D22DC6">
      <w:pPr>
        <w:widowControl w:val="0"/>
        <w:jc w:val="both"/>
        <w:rPr>
          <w:rFonts w:cs="Arial"/>
          <w:b/>
          <w:bCs/>
          <w:caps/>
          <w:szCs w:val="24"/>
        </w:rPr>
      </w:pPr>
    </w:p>
    <w:p w14:paraId="104CF8C1" w14:textId="7109C304" w:rsidR="00CF3858" w:rsidRPr="00D22DC6" w:rsidRDefault="00A261AF" w:rsidP="00A261AF">
      <w:pPr>
        <w:widowControl w:val="0"/>
        <w:jc w:val="center"/>
        <w:rPr>
          <w:rFonts w:cs="Arial"/>
          <w:b/>
          <w:bCs/>
          <w:caps/>
          <w:szCs w:val="24"/>
        </w:rPr>
      </w:pPr>
      <w:r>
        <w:rPr>
          <w:rFonts w:cs="Arial"/>
          <w:b/>
          <w:bCs/>
          <w:caps/>
          <w:szCs w:val="24"/>
        </w:rPr>
        <w:t xml:space="preserve">Initial Comments </w:t>
      </w:r>
      <w:r w:rsidR="00CF3858" w:rsidRPr="00D22DC6">
        <w:rPr>
          <w:rFonts w:cs="Arial"/>
          <w:b/>
          <w:bCs/>
          <w:caps/>
          <w:szCs w:val="24"/>
        </w:rPr>
        <w:t>OF INTERSTATE GAS SUPPLY, INC.</w:t>
      </w:r>
    </w:p>
    <w:p w14:paraId="73EFAF32" w14:textId="77777777" w:rsidR="00CF3858" w:rsidRPr="00D22DC6" w:rsidRDefault="00CF3858" w:rsidP="00D22DC6">
      <w:pPr>
        <w:widowControl w:val="0"/>
        <w:pBdr>
          <w:bottom w:val="single" w:sz="12" w:space="1" w:color="auto"/>
        </w:pBdr>
        <w:tabs>
          <w:tab w:val="left" w:pos="6461"/>
        </w:tabs>
        <w:jc w:val="both"/>
        <w:rPr>
          <w:rFonts w:cs="Arial"/>
          <w:szCs w:val="24"/>
        </w:rPr>
      </w:pPr>
    </w:p>
    <w:p w14:paraId="4D20FC03" w14:textId="77777777" w:rsidR="00CF3858" w:rsidRPr="00D22DC6" w:rsidRDefault="00CF3858" w:rsidP="00D22DC6">
      <w:pPr>
        <w:tabs>
          <w:tab w:val="left" w:pos="360"/>
        </w:tabs>
        <w:ind w:left="360" w:hanging="360"/>
        <w:jc w:val="both"/>
        <w:rPr>
          <w:rFonts w:cs="Arial"/>
          <w:szCs w:val="24"/>
        </w:rPr>
      </w:pPr>
    </w:p>
    <w:p w14:paraId="0570D9D5" w14:textId="456D06ED" w:rsidR="00CF3858" w:rsidRPr="00D22DC6" w:rsidRDefault="00181E93" w:rsidP="00A71958">
      <w:pPr>
        <w:pStyle w:val="ListParagraph"/>
        <w:numPr>
          <w:ilvl w:val="0"/>
          <w:numId w:val="1"/>
        </w:numPr>
        <w:spacing w:after="240"/>
        <w:jc w:val="both"/>
        <w:rPr>
          <w:rFonts w:cs="Arial"/>
          <w:b/>
          <w:szCs w:val="24"/>
        </w:rPr>
      </w:pPr>
      <w:r w:rsidRPr="00D22DC6">
        <w:rPr>
          <w:rFonts w:cs="Arial"/>
          <w:b/>
          <w:szCs w:val="24"/>
        </w:rPr>
        <w:t>INTRODUCTION</w:t>
      </w:r>
    </w:p>
    <w:p w14:paraId="22F4B708" w14:textId="1B305575" w:rsidR="00275281" w:rsidRPr="00DF67EC" w:rsidRDefault="00F54119" w:rsidP="00894B7E">
      <w:pPr>
        <w:autoSpaceDE w:val="0"/>
        <w:autoSpaceDN w:val="0"/>
        <w:adjustRightInd w:val="0"/>
        <w:spacing w:line="480" w:lineRule="auto"/>
        <w:ind w:firstLine="720"/>
        <w:jc w:val="both"/>
        <w:rPr>
          <w:rFonts w:cs="Arial"/>
        </w:rPr>
      </w:pPr>
      <w:r>
        <w:rPr>
          <w:rFonts w:cs="Arial"/>
        </w:rPr>
        <w:t xml:space="preserve">Although </w:t>
      </w:r>
      <w:r w:rsidR="00AA2A43">
        <w:rPr>
          <w:rFonts w:cs="Arial"/>
        </w:rPr>
        <w:t>the Public Utilities Commission of Ohio (“Commission”)</w:t>
      </w:r>
      <w:r>
        <w:rPr>
          <w:rFonts w:cs="Arial"/>
        </w:rPr>
        <w:t xml:space="preserve"> recently completed a five-year rule review regarding, among other things, the price to compare</w:t>
      </w:r>
      <w:r w:rsidR="00AF6257">
        <w:rPr>
          <w:rFonts w:cs="Arial"/>
        </w:rPr>
        <w:t>,</w:t>
      </w:r>
      <w:r w:rsidR="009F1220" w:rsidRPr="6B41FBF3">
        <w:rPr>
          <w:rFonts w:cs="Arial"/>
        </w:rPr>
        <w:t xml:space="preserve"> </w:t>
      </w:r>
      <w:r w:rsidR="001C159D" w:rsidRPr="6B41FBF3">
        <w:rPr>
          <w:rFonts w:cs="Arial"/>
        </w:rPr>
        <w:t>Ohio Power Company (“AEP Ohio”)</w:t>
      </w:r>
      <w:r w:rsidR="009F1220" w:rsidRPr="6B41FBF3">
        <w:rPr>
          <w:rFonts w:cs="Arial"/>
        </w:rPr>
        <w:t xml:space="preserve"> </w:t>
      </w:r>
      <w:r w:rsidR="00A733BA" w:rsidRPr="6B41FBF3">
        <w:rPr>
          <w:rFonts w:cs="Arial"/>
        </w:rPr>
        <w:t xml:space="preserve">proposes to add </w:t>
      </w:r>
      <w:r w:rsidR="00D07A7E" w:rsidRPr="6B41FBF3">
        <w:rPr>
          <w:rFonts w:cs="Arial"/>
        </w:rPr>
        <w:t>a second</w:t>
      </w:r>
      <w:r w:rsidR="00DF67EC" w:rsidRPr="6B41FBF3">
        <w:rPr>
          <w:rFonts w:cs="Arial"/>
        </w:rPr>
        <w:t xml:space="preserve"> </w:t>
      </w:r>
      <w:r w:rsidR="00D63D36" w:rsidRPr="6B41FBF3">
        <w:rPr>
          <w:rFonts w:cs="Arial"/>
        </w:rPr>
        <w:t>Price-to-Compare (“PTC”) statement</w:t>
      </w:r>
      <w:r w:rsidR="00AF6257">
        <w:rPr>
          <w:rFonts w:cs="Arial"/>
        </w:rPr>
        <w:t>—that deviates from the Commission’s rules</w:t>
      </w:r>
      <w:r w:rsidR="002B11F6">
        <w:rPr>
          <w:rFonts w:cs="Arial"/>
        </w:rPr>
        <w:t>—</w:t>
      </w:r>
      <w:r w:rsidR="00D63D36" w:rsidRPr="6B41FBF3">
        <w:rPr>
          <w:rFonts w:cs="Arial"/>
        </w:rPr>
        <w:t>at the top of the consolidated bills sent to shopping customers.</w:t>
      </w:r>
      <w:r w:rsidR="00D63D36" w:rsidRPr="6B41FBF3">
        <w:rPr>
          <w:rStyle w:val="FootnoteReference"/>
          <w:rFonts w:cs="Arial"/>
        </w:rPr>
        <w:footnoteReference w:id="2"/>
      </w:r>
      <w:r w:rsidR="00D63D36" w:rsidRPr="6B41FBF3">
        <w:rPr>
          <w:rFonts w:cs="Arial"/>
        </w:rPr>
        <w:t xml:space="preserve"> </w:t>
      </w:r>
      <w:r w:rsidR="004515EF" w:rsidRPr="6B41FBF3">
        <w:rPr>
          <w:rFonts w:cs="Arial"/>
        </w:rPr>
        <w:t>Because</w:t>
      </w:r>
      <w:r w:rsidR="002F2B1F" w:rsidRPr="6B41FBF3">
        <w:rPr>
          <w:rFonts w:cs="Arial"/>
        </w:rPr>
        <w:t xml:space="preserve"> AEP Ohio believes that</w:t>
      </w:r>
      <w:r w:rsidR="00F83D31">
        <w:rPr>
          <w:rFonts w:cs="Arial"/>
        </w:rPr>
        <w:t xml:space="preserve"> some</w:t>
      </w:r>
      <w:r w:rsidR="002F2B1F" w:rsidRPr="6B41FBF3">
        <w:rPr>
          <w:rFonts w:cs="Arial"/>
        </w:rPr>
        <w:t xml:space="preserve"> residential customers are overpaying for generation service, </w:t>
      </w:r>
      <w:r w:rsidR="00275281" w:rsidRPr="6B41FBF3">
        <w:rPr>
          <w:rFonts w:cs="Arial"/>
        </w:rPr>
        <w:t>AEP Ohio states that it “</w:t>
      </w:r>
      <w:r w:rsidR="00275281">
        <w:t>would like to do more to help inform customers about their shopping rights and educate them on how to make the best decision for them given the opportunities available.”</w:t>
      </w:r>
      <w:r w:rsidR="00275281">
        <w:rPr>
          <w:rStyle w:val="FootnoteReference"/>
        </w:rPr>
        <w:footnoteReference w:id="3"/>
      </w:r>
      <w:r w:rsidR="00275281">
        <w:t xml:space="preserve"> </w:t>
      </w:r>
      <w:r w:rsidR="001F36C9">
        <w:t xml:space="preserve">AEP Ohio believes a second PTC statement will </w:t>
      </w:r>
      <w:r w:rsidR="00885C3D">
        <w:t xml:space="preserve">“help </w:t>
      </w:r>
      <w:r w:rsidR="001F36C9">
        <w:t xml:space="preserve">ensure </w:t>
      </w:r>
      <w:r w:rsidR="00321562">
        <w:t>residential customers see and understand their options for shopping or not shopping.</w:t>
      </w:r>
      <w:r w:rsidR="00885C3D">
        <w:t>”</w:t>
      </w:r>
      <w:r w:rsidR="00885C3D">
        <w:rPr>
          <w:rStyle w:val="FootnoteReference"/>
        </w:rPr>
        <w:footnoteReference w:id="4"/>
      </w:r>
      <w:r w:rsidR="00D87273">
        <w:t xml:space="preserve"> </w:t>
      </w:r>
    </w:p>
    <w:p w14:paraId="125F30E4" w14:textId="15205F8F" w:rsidR="0040235C" w:rsidRPr="00D22DC6" w:rsidRDefault="00AA03E8" w:rsidP="003A6F14">
      <w:pPr>
        <w:spacing w:line="480" w:lineRule="auto"/>
        <w:ind w:firstLine="720"/>
        <w:jc w:val="both"/>
        <w:rPr>
          <w:rFonts w:cs="Arial"/>
          <w:szCs w:val="24"/>
        </w:rPr>
      </w:pPr>
      <w:r>
        <w:rPr>
          <w:rFonts w:cs="Arial"/>
          <w:szCs w:val="24"/>
        </w:rPr>
        <w:t>Interstate Gas Supply, Inc. (“</w:t>
      </w:r>
      <w:r w:rsidR="00DF67EC">
        <w:rPr>
          <w:rFonts w:cs="Arial"/>
          <w:szCs w:val="24"/>
        </w:rPr>
        <w:t>IGS</w:t>
      </w:r>
      <w:r>
        <w:rPr>
          <w:rFonts w:cs="Arial"/>
          <w:szCs w:val="24"/>
        </w:rPr>
        <w:t>”)</w:t>
      </w:r>
      <w:r w:rsidR="00DF67EC">
        <w:rPr>
          <w:rFonts w:cs="Arial"/>
          <w:szCs w:val="24"/>
        </w:rPr>
        <w:t xml:space="preserve"> </w:t>
      </w:r>
      <w:r w:rsidR="00E06B06">
        <w:rPr>
          <w:rFonts w:cs="Arial"/>
          <w:szCs w:val="24"/>
        </w:rPr>
        <w:t xml:space="preserve">expresses its sincere concern for the </w:t>
      </w:r>
      <w:r w:rsidR="004E59D8">
        <w:rPr>
          <w:rFonts w:cs="Arial"/>
          <w:szCs w:val="24"/>
        </w:rPr>
        <w:t>approval of this Application</w:t>
      </w:r>
      <w:r w:rsidR="00C92F70">
        <w:rPr>
          <w:rFonts w:cs="Arial"/>
          <w:szCs w:val="24"/>
        </w:rPr>
        <w:t xml:space="preserve">. </w:t>
      </w:r>
      <w:r w:rsidR="000F0DB0">
        <w:rPr>
          <w:rFonts w:cs="Arial"/>
          <w:szCs w:val="24"/>
        </w:rPr>
        <w:t>AEP Ohio</w:t>
      </w:r>
      <w:r w:rsidR="00FF73BD">
        <w:rPr>
          <w:rFonts w:cs="Arial"/>
          <w:szCs w:val="24"/>
        </w:rPr>
        <w:t xml:space="preserve"> </w:t>
      </w:r>
      <w:r w:rsidR="00FF6ABF">
        <w:rPr>
          <w:rFonts w:cs="Arial"/>
          <w:szCs w:val="24"/>
        </w:rPr>
        <w:t>is</w:t>
      </w:r>
      <w:r w:rsidR="00FF73BD">
        <w:rPr>
          <w:rFonts w:cs="Arial"/>
          <w:szCs w:val="24"/>
        </w:rPr>
        <w:t xml:space="preserve"> not simply request</w:t>
      </w:r>
      <w:r w:rsidR="003B1C31">
        <w:rPr>
          <w:rFonts w:cs="Arial"/>
          <w:szCs w:val="24"/>
        </w:rPr>
        <w:t>ing</w:t>
      </w:r>
      <w:r w:rsidR="00FF73BD">
        <w:rPr>
          <w:rFonts w:cs="Arial"/>
          <w:szCs w:val="24"/>
        </w:rPr>
        <w:t xml:space="preserve"> approval of</w:t>
      </w:r>
      <w:r w:rsidR="00DF67EC">
        <w:rPr>
          <w:rFonts w:cs="Arial"/>
          <w:szCs w:val="24"/>
        </w:rPr>
        <w:t xml:space="preserve"> a new bill message – it</w:t>
      </w:r>
      <w:r w:rsidR="00C255A8">
        <w:rPr>
          <w:rFonts w:cs="Arial"/>
          <w:szCs w:val="24"/>
        </w:rPr>
        <w:t xml:space="preserve"> is</w:t>
      </w:r>
      <w:r w:rsidR="00DF67EC">
        <w:rPr>
          <w:rFonts w:cs="Arial"/>
          <w:szCs w:val="24"/>
        </w:rPr>
        <w:t xml:space="preserve"> </w:t>
      </w:r>
      <w:r w:rsidR="00FF73BD">
        <w:rPr>
          <w:rFonts w:cs="Arial"/>
          <w:szCs w:val="24"/>
        </w:rPr>
        <w:t>request</w:t>
      </w:r>
      <w:r w:rsidR="00C255A8">
        <w:rPr>
          <w:rFonts w:cs="Arial"/>
          <w:szCs w:val="24"/>
        </w:rPr>
        <w:t>ing</w:t>
      </w:r>
      <w:r w:rsidR="00B10F3C">
        <w:rPr>
          <w:rFonts w:cs="Arial"/>
          <w:szCs w:val="24"/>
        </w:rPr>
        <w:t xml:space="preserve"> </w:t>
      </w:r>
      <w:r w:rsidR="00FF73BD">
        <w:rPr>
          <w:rFonts w:cs="Arial"/>
          <w:szCs w:val="24"/>
        </w:rPr>
        <w:t>an</w:t>
      </w:r>
      <w:r w:rsidR="00EF56F1">
        <w:rPr>
          <w:rFonts w:cs="Arial"/>
          <w:szCs w:val="24"/>
        </w:rPr>
        <w:t xml:space="preserve"> </w:t>
      </w:r>
      <w:r w:rsidR="000F2AF1">
        <w:rPr>
          <w:rFonts w:cs="Arial"/>
          <w:szCs w:val="24"/>
        </w:rPr>
        <w:t xml:space="preserve">improper </w:t>
      </w:r>
      <w:r w:rsidR="00EF56F1">
        <w:rPr>
          <w:rFonts w:cs="Arial"/>
          <w:szCs w:val="24"/>
        </w:rPr>
        <w:t xml:space="preserve">expansion </w:t>
      </w:r>
      <w:r w:rsidR="002E11C6">
        <w:rPr>
          <w:rFonts w:cs="Arial"/>
          <w:szCs w:val="24"/>
        </w:rPr>
        <w:t>of the role of an EDU</w:t>
      </w:r>
      <w:r w:rsidR="000F2AF1">
        <w:rPr>
          <w:rFonts w:cs="Arial"/>
          <w:szCs w:val="24"/>
        </w:rPr>
        <w:t>.</w:t>
      </w:r>
      <w:r w:rsidR="002E11C6">
        <w:rPr>
          <w:rFonts w:cs="Arial"/>
          <w:szCs w:val="24"/>
        </w:rPr>
        <w:t xml:space="preserve"> </w:t>
      </w:r>
      <w:r w:rsidR="00A0167E">
        <w:rPr>
          <w:rFonts w:cs="Arial"/>
          <w:szCs w:val="24"/>
        </w:rPr>
        <w:t xml:space="preserve">Instead of educating a </w:t>
      </w:r>
      <w:r w:rsidR="00A0167E">
        <w:rPr>
          <w:rFonts w:cs="Arial"/>
          <w:szCs w:val="24"/>
        </w:rPr>
        <w:lastRenderedPageBreak/>
        <w:t>customer of their ability to choose, AEP Ohio seeks to advise the customer on what to choose</w:t>
      </w:r>
      <w:r w:rsidR="00C62E03">
        <w:rPr>
          <w:rFonts w:cs="Arial"/>
          <w:szCs w:val="24"/>
        </w:rPr>
        <w:t xml:space="preserve"> based upon its own </w:t>
      </w:r>
      <w:r w:rsidR="009B5E7F">
        <w:rPr>
          <w:rFonts w:cs="Arial"/>
          <w:szCs w:val="24"/>
        </w:rPr>
        <w:t xml:space="preserve">incomplete and incorrect </w:t>
      </w:r>
      <w:r w:rsidR="000237BA">
        <w:rPr>
          <w:rFonts w:cs="Arial"/>
          <w:szCs w:val="24"/>
        </w:rPr>
        <w:t xml:space="preserve">definition of “value.” </w:t>
      </w:r>
      <w:r w:rsidR="009B5E7F">
        <w:rPr>
          <w:rFonts w:cs="Arial"/>
          <w:szCs w:val="24"/>
        </w:rPr>
        <w:t>Further</w:t>
      </w:r>
      <w:r w:rsidR="008963A6">
        <w:rPr>
          <w:rFonts w:cs="Arial"/>
          <w:szCs w:val="24"/>
        </w:rPr>
        <w:t xml:space="preserve">, </w:t>
      </w:r>
      <w:r w:rsidR="00B77F06">
        <w:rPr>
          <w:rFonts w:cs="Arial"/>
          <w:szCs w:val="24"/>
        </w:rPr>
        <w:t>the second PTC statement</w:t>
      </w:r>
      <w:r w:rsidR="008015FC">
        <w:rPr>
          <w:rFonts w:cs="Arial"/>
          <w:szCs w:val="24"/>
        </w:rPr>
        <w:t xml:space="preserve"> is </w:t>
      </w:r>
      <w:r w:rsidR="00F533CD">
        <w:rPr>
          <w:rFonts w:cs="Arial"/>
          <w:szCs w:val="24"/>
        </w:rPr>
        <w:t>improper,</w:t>
      </w:r>
      <w:r w:rsidR="008015FC">
        <w:rPr>
          <w:rFonts w:cs="Arial"/>
          <w:szCs w:val="24"/>
        </w:rPr>
        <w:t xml:space="preserve"> unnecessary</w:t>
      </w:r>
      <w:r w:rsidR="00F533CD">
        <w:rPr>
          <w:rFonts w:cs="Arial"/>
          <w:szCs w:val="24"/>
        </w:rPr>
        <w:t>,</w:t>
      </w:r>
      <w:r w:rsidR="008015FC">
        <w:rPr>
          <w:rFonts w:cs="Arial"/>
          <w:szCs w:val="24"/>
        </w:rPr>
        <w:t xml:space="preserve"> and unhelpful</w:t>
      </w:r>
      <w:r w:rsidR="002E11C6">
        <w:rPr>
          <w:rFonts w:cs="Arial"/>
          <w:szCs w:val="24"/>
        </w:rPr>
        <w:t xml:space="preserve">, especially as </w:t>
      </w:r>
      <w:r w:rsidR="00862A74">
        <w:rPr>
          <w:rFonts w:cs="Arial"/>
          <w:szCs w:val="24"/>
        </w:rPr>
        <w:t xml:space="preserve">customers </w:t>
      </w:r>
      <w:r w:rsidR="00F54119">
        <w:rPr>
          <w:rFonts w:cs="Arial"/>
          <w:szCs w:val="24"/>
        </w:rPr>
        <w:t>have</w:t>
      </w:r>
      <w:r w:rsidR="00862A74">
        <w:rPr>
          <w:rFonts w:cs="Arial"/>
          <w:szCs w:val="24"/>
        </w:rPr>
        <w:t xml:space="preserve"> </w:t>
      </w:r>
      <w:r w:rsidR="00F54119">
        <w:rPr>
          <w:rFonts w:cs="Arial"/>
          <w:szCs w:val="24"/>
        </w:rPr>
        <w:t>access</w:t>
      </w:r>
      <w:r w:rsidR="00862A74">
        <w:rPr>
          <w:rFonts w:cs="Arial"/>
          <w:szCs w:val="24"/>
        </w:rPr>
        <w:t xml:space="preserve"> to more innovative offerings in the competitive retail electric services (“CRES”) market</w:t>
      </w:r>
      <w:r w:rsidR="008015FC">
        <w:rPr>
          <w:rFonts w:cs="Arial"/>
          <w:szCs w:val="24"/>
        </w:rPr>
        <w:t xml:space="preserve">. </w:t>
      </w:r>
      <w:r w:rsidR="0007132A">
        <w:rPr>
          <w:rFonts w:cs="Arial"/>
          <w:szCs w:val="24"/>
        </w:rPr>
        <w:t xml:space="preserve">Therefore, IGS urges the Commission to deny AEP Ohio’s Application. </w:t>
      </w:r>
    </w:p>
    <w:p w14:paraId="2AB891AF" w14:textId="3CDF42D6" w:rsidR="004206EA" w:rsidRPr="00D22DC6" w:rsidRDefault="00ED4039" w:rsidP="00D22DC6">
      <w:pPr>
        <w:pStyle w:val="ListParagraph"/>
        <w:numPr>
          <w:ilvl w:val="0"/>
          <w:numId w:val="1"/>
        </w:numPr>
        <w:jc w:val="both"/>
        <w:rPr>
          <w:rFonts w:eastAsia="Arial" w:cs="Arial"/>
          <w:b/>
          <w:szCs w:val="24"/>
        </w:rPr>
      </w:pPr>
      <w:r w:rsidRPr="00D22DC6">
        <w:rPr>
          <w:rFonts w:eastAsia="Arial" w:cs="Arial"/>
          <w:b/>
          <w:szCs w:val="24"/>
        </w:rPr>
        <w:t>ARGUMENT</w:t>
      </w:r>
    </w:p>
    <w:p w14:paraId="3C160AFA" w14:textId="77777777" w:rsidR="009A115F" w:rsidRPr="00D22DC6" w:rsidRDefault="009A115F" w:rsidP="009A115F">
      <w:pPr>
        <w:ind w:left="720"/>
        <w:jc w:val="both"/>
        <w:rPr>
          <w:rFonts w:eastAsia="Arial" w:cs="Arial"/>
          <w:b/>
          <w:szCs w:val="24"/>
        </w:rPr>
      </w:pPr>
    </w:p>
    <w:p w14:paraId="34AFDCEE" w14:textId="57738169" w:rsidR="009A115F" w:rsidRDefault="00691356" w:rsidP="00D26225">
      <w:pPr>
        <w:pStyle w:val="ListParagraph"/>
        <w:numPr>
          <w:ilvl w:val="1"/>
          <w:numId w:val="1"/>
        </w:numPr>
        <w:spacing w:after="240"/>
        <w:jc w:val="both"/>
        <w:rPr>
          <w:rFonts w:eastAsia="Arial" w:cs="Arial"/>
          <w:b/>
          <w:szCs w:val="24"/>
        </w:rPr>
      </w:pPr>
      <w:r>
        <w:rPr>
          <w:rFonts w:eastAsia="Arial" w:cs="Arial"/>
          <w:b/>
          <w:szCs w:val="24"/>
        </w:rPr>
        <w:t xml:space="preserve">It is not the role of the EDU to </w:t>
      </w:r>
      <w:r w:rsidR="00C6276F">
        <w:rPr>
          <w:rFonts w:eastAsia="Arial" w:cs="Arial"/>
          <w:b/>
          <w:szCs w:val="24"/>
        </w:rPr>
        <w:t xml:space="preserve">advise customers </w:t>
      </w:r>
      <w:r w:rsidR="00164738">
        <w:rPr>
          <w:rFonts w:eastAsia="Arial" w:cs="Arial"/>
          <w:b/>
          <w:szCs w:val="24"/>
        </w:rPr>
        <w:t>on</w:t>
      </w:r>
      <w:r w:rsidR="00D26225">
        <w:rPr>
          <w:rFonts w:eastAsia="Arial" w:cs="Arial"/>
          <w:b/>
          <w:szCs w:val="24"/>
        </w:rPr>
        <w:t xml:space="preserve"> selecting a generation supplier. </w:t>
      </w:r>
      <w:r w:rsidR="002B23AC">
        <w:rPr>
          <w:rFonts w:eastAsia="Arial" w:cs="Arial"/>
          <w:b/>
          <w:szCs w:val="24"/>
        </w:rPr>
        <w:t xml:space="preserve"> </w:t>
      </w:r>
    </w:p>
    <w:p w14:paraId="5D1B9B81" w14:textId="15FEB403" w:rsidR="00E85A07" w:rsidRDefault="00A80A2E" w:rsidP="009D49C0">
      <w:pPr>
        <w:spacing w:line="480" w:lineRule="auto"/>
        <w:ind w:firstLine="720"/>
        <w:jc w:val="both"/>
        <w:rPr>
          <w:rFonts w:eastAsia="Arial" w:cs="Arial"/>
          <w:szCs w:val="24"/>
        </w:rPr>
      </w:pPr>
      <w:r w:rsidRPr="00A80A2E">
        <w:rPr>
          <w:rFonts w:eastAsia="Arial" w:cs="Arial"/>
          <w:szCs w:val="24"/>
        </w:rPr>
        <w:t xml:space="preserve">Nowhere in the Ohio Revised Code does it obligate or even encourage </w:t>
      </w:r>
      <w:r w:rsidR="00D94BB8">
        <w:rPr>
          <w:rFonts w:eastAsia="Arial" w:cs="Arial"/>
          <w:szCs w:val="24"/>
        </w:rPr>
        <w:t>an</w:t>
      </w:r>
      <w:r w:rsidRPr="00A80A2E">
        <w:rPr>
          <w:rFonts w:eastAsia="Arial" w:cs="Arial"/>
          <w:szCs w:val="24"/>
        </w:rPr>
        <w:t xml:space="preserve"> EDU to </w:t>
      </w:r>
      <w:r w:rsidR="00467ECA">
        <w:rPr>
          <w:rFonts w:eastAsia="Arial" w:cs="Arial"/>
          <w:szCs w:val="24"/>
        </w:rPr>
        <w:t xml:space="preserve">educate </w:t>
      </w:r>
      <w:r w:rsidR="00AB6D34">
        <w:rPr>
          <w:rFonts w:eastAsia="Arial" w:cs="Arial"/>
          <w:szCs w:val="24"/>
        </w:rPr>
        <w:t xml:space="preserve">customers “on how to make the best decision for them given the opportunities available,” </w:t>
      </w:r>
      <w:r w:rsidR="0006059C">
        <w:rPr>
          <w:rFonts w:eastAsia="Arial" w:cs="Arial"/>
          <w:szCs w:val="24"/>
        </w:rPr>
        <w:t xml:space="preserve">or </w:t>
      </w:r>
      <w:r w:rsidR="004D3524">
        <w:rPr>
          <w:rFonts w:eastAsia="Arial" w:cs="Arial"/>
          <w:szCs w:val="24"/>
        </w:rPr>
        <w:t xml:space="preserve">to </w:t>
      </w:r>
      <w:r w:rsidRPr="00A80A2E">
        <w:rPr>
          <w:rFonts w:eastAsia="Arial" w:cs="Arial"/>
          <w:szCs w:val="24"/>
        </w:rPr>
        <w:t xml:space="preserve">insert themselves into the relationship between a customer and their supplier. In fact, </w:t>
      </w:r>
      <w:r w:rsidR="0006059C">
        <w:rPr>
          <w:rFonts w:eastAsia="Arial" w:cs="Arial"/>
          <w:szCs w:val="24"/>
        </w:rPr>
        <w:t xml:space="preserve">Ohio’s regulatory structure </w:t>
      </w:r>
      <w:r w:rsidR="00A97F07">
        <w:rPr>
          <w:rFonts w:eastAsia="Arial" w:cs="Arial"/>
          <w:szCs w:val="24"/>
        </w:rPr>
        <w:t xml:space="preserve">provides quite the opposite with </w:t>
      </w:r>
      <w:r w:rsidR="00C73293">
        <w:rPr>
          <w:rFonts w:eastAsia="Arial" w:cs="Arial"/>
          <w:szCs w:val="24"/>
        </w:rPr>
        <w:t>a</w:t>
      </w:r>
      <w:r w:rsidR="00A97F07">
        <w:rPr>
          <w:rFonts w:eastAsia="Arial" w:cs="Arial"/>
          <w:szCs w:val="24"/>
        </w:rPr>
        <w:t xml:space="preserve"> distinct separation of </w:t>
      </w:r>
      <w:r w:rsidR="006C042C">
        <w:rPr>
          <w:rFonts w:eastAsia="Arial" w:cs="Arial"/>
          <w:szCs w:val="24"/>
        </w:rPr>
        <w:t>competitive and noncompetitive retail electric services.</w:t>
      </w:r>
      <w:r w:rsidR="006C042C">
        <w:rPr>
          <w:rStyle w:val="FootnoteReference"/>
          <w:rFonts w:eastAsia="Arial" w:cs="Arial"/>
          <w:szCs w:val="24"/>
        </w:rPr>
        <w:footnoteReference w:id="5"/>
      </w:r>
      <w:r w:rsidR="006C042C">
        <w:rPr>
          <w:rFonts w:eastAsia="Arial" w:cs="Arial"/>
          <w:szCs w:val="24"/>
        </w:rPr>
        <w:t xml:space="preserve"> </w:t>
      </w:r>
      <w:r w:rsidR="00534757">
        <w:rPr>
          <w:rFonts w:eastAsia="Arial" w:cs="Arial"/>
          <w:szCs w:val="24"/>
        </w:rPr>
        <w:t xml:space="preserve">IGS submits that allowing an EDU </w:t>
      </w:r>
      <w:r w:rsidR="00B3339F">
        <w:rPr>
          <w:rFonts w:eastAsia="Arial" w:cs="Arial"/>
          <w:szCs w:val="24"/>
        </w:rPr>
        <w:t>“to do more,” such as</w:t>
      </w:r>
      <w:r w:rsidR="00534757">
        <w:rPr>
          <w:rFonts w:eastAsia="Arial" w:cs="Arial"/>
          <w:szCs w:val="24"/>
        </w:rPr>
        <w:t xml:space="preserve"> opin</w:t>
      </w:r>
      <w:r w:rsidR="00B3339F">
        <w:rPr>
          <w:rFonts w:eastAsia="Arial" w:cs="Arial"/>
          <w:szCs w:val="24"/>
        </w:rPr>
        <w:t>ing</w:t>
      </w:r>
      <w:r w:rsidR="00534757">
        <w:rPr>
          <w:rFonts w:eastAsia="Arial" w:cs="Arial"/>
          <w:szCs w:val="24"/>
        </w:rPr>
        <w:t xml:space="preserve"> on </w:t>
      </w:r>
      <w:r w:rsidR="001B4385">
        <w:rPr>
          <w:rFonts w:eastAsia="Arial" w:cs="Arial"/>
          <w:szCs w:val="24"/>
        </w:rPr>
        <w:t>the o</w:t>
      </w:r>
      <w:r w:rsidR="00C701D6">
        <w:rPr>
          <w:rFonts w:eastAsia="Arial" w:cs="Arial"/>
          <w:szCs w:val="24"/>
        </w:rPr>
        <w:t xml:space="preserve">fferings in the retail market </w:t>
      </w:r>
      <w:r w:rsidR="00FB69B8">
        <w:rPr>
          <w:rFonts w:eastAsia="Arial" w:cs="Arial"/>
          <w:szCs w:val="24"/>
        </w:rPr>
        <w:t xml:space="preserve">is </w:t>
      </w:r>
      <w:r w:rsidR="00203FE8">
        <w:rPr>
          <w:rFonts w:eastAsia="Arial" w:cs="Arial"/>
          <w:szCs w:val="24"/>
        </w:rPr>
        <w:t xml:space="preserve">inappropriate and harmful </w:t>
      </w:r>
      <w:r w:rsidR="00A03DFC">
        <w:rPr>
          <w:rFonts w:eastAsia="Arial" w:cs="Arial"/>
          <w:szCs w:val="24"/>
        </w:rPr>
        <w:t xml:space="preserve">for </w:t>
      </w:r>
      <w:r w:rsidR="00B3339F">
        <w:rPr>
          <w:rFonts w:eastAsia="Arial" w:cs="Arial"/>
          <w:szCs w:val="24"/>
        </w:rPr>
        <w:t>multiple</w:t>
      </w:r>
      <w:r w:rsidR="00A03DFC">
        <w:rPr>
          <w:rFonts w:eastAsia="Arial" w:cs="Arial"/>
          <w:szCs w:val="24"/>
        </w:rPr>
        <w:t xml:space="preserve"> reasons.</w:t>
      </w:r>
    </w:p>
    <w:p w14:paraId="5E40EEA1" w14:textId="0BA1E134" w:rsidR="00E85A07" w:rsidRPr="00A80A2E" w:rsidRDefault="00E85A07" w:rsidP="009D49C0">
      <w:pPr>
        <w:spacing w:line="480" w:lineRule="auto"/>
        <w:jc w:val="both"/>
        <w:rPr>
          <w:rFonts w:eastAsia="Arial" w:cs="Arial"/>
          <w:szCs w:val="24"/>
        </w:rPr>
      </w:pPr>
      <w:r>
        <w:rPr>
          <w:rFonts w:eastAsia="Arial" w:cs="Arial"/>
          <w:szCs w:val="24"/>
        </w:rPr>
        <w:tab/>
      </w:r>
      <w:r w:rsidR="004B671C">
        <w:rPr>
          <w:rFonts w:eastAsia="Arial" w:cs="Arial"/>
          <w:szCs w:val="24"/>
        </w:rPr>
        <w:t>First</w:t>
      </w:r>
      <w:r>
        <w:rPr>
          <w:rFonts w:eastAsia="Arial" w:cs="Arial"/>
          <w:szCs w:val="24"/>
        </w:rPr>
        <w:t>, it is</w:t>
      </w:r>
      <w:r w:rsidR="00D521C8">
        <w:rPr>
          <w:rFonts w:eastAsia="Arial" w:cs="Arial"/>
          <w:szCs w:val="24"/>
        </w:rPr>
        <w:t xml:space="preserve"> abundantly</w:t>
      </w:r>
      <w:r>
        <w:rPr>
          <w:rFonts w:eastAsia="Arial" w:cs="Arial"/>
          <w:szCs w:val="24"/>
        </w:rPr>
        <w:t xml:space="preserve"> clear from AEP Ohio’s Application that it believes price</w:t>
      </w:r>
      <w:r w:rsidR="00E64E6F">
        <w:rPr>
          <w:rFonts w:eastAsia="Arial" w:cs="Arial"/>
          <w:szCs w:val="24"/>
        </w:rPr>
        <w:t>—and</w:t>
      </w:r>
      <w:r w:rsidR="004A6F20">
        <w:rPr>
          <w:rFonts w:eastAsia="Arial" w:cs="Arial"/>
          <w:szCs w:val="24"/>
        </w:rPr>
        <w:t xml:space="preserve">, </w:t>
      </w:r>
      <w:r w:rsidR="00E64E6F">
        <w:rPr>
          <w:rFonts w:eastAsia="Arial" w:cs="Arial"/>
          <w:szCs w:val="24"/>
        </w:rPr>
        <w:t>particularly, how a product compares to its</w:t>
      </w:r>
      <w:r w:rsidR="00D45530">
        <w:rPr>
          <w:rFonts w:eastAsia="Arial" w:cs="Arial"/>
          <w:szCs w:val="24"/>
        </w:rPr>
        <w:t xml:space="preserve"> stan</w:t>
      </w:r>
      <w:r w:rsidR="00B92035">
        <w:rPr>
          <w:rFonts w:eastAsia="Arial" w:cs="Arial"/>
          <w:szCs w:val="24"/>
        </w:rPr>
        <w:t>d</w:t>
      </w:r>
      <w:r w:rsidR="00D45530">
        <w:rPr>
          <w:rFonts w:eastAsia="Arial" w:cs="Arial"/>
          <w:szCs w:val="24"/>
        </w:rPr>
        <w:t>ard</w:t>
      </w:r>
      <w:r w:rsidR="00E64E6F">
        <w:rPr>
          <w:rFonts w:eastAsia="Arial" w:cs="Arial"/>
          <w:szCs w:val="24"/>
        </w:rPr>
        <w:t xml:space="preserve"> price—</w:t>
      </w:r>
      <w:r>
        <w:rPr>
          <w:rFonts w:eastAsia="Arial" w:cs="Arial"/>
          <w:szCs w:val="24"/>
        </w:rPr>
        <w:t xml:space="preserve">is the only factor in </w:t>
      </w:r>
      <w:r w:rsidR="00700368">
        <w:rPr>
          <w:rFonts w:eastAsia="Arial" w:cs="Arial"/>
          <w:szCs w:val="24"/>
        </w:rPr>
        <w:t xml:space="preserve">determining </w:t>
      </w:r>
      <w:r w:rsidR="00FF396A">
        <w:rPr>
          <w:rFonts w:eastAsia="Arial" w:cs="Arial"/>
          <w:szCs w:val="24"/>
        </w:rPr>
        <w:t xml:space="preserve">“value” for electricity. AEP Ohio states, “based on the information the Company has,” </w:t>
      </w:r>
      <w:r w:rsidR="007463B3">
        <w:rPr>
          <w:rFonts w:eastAsia="Arial" w:cs="Arial"/>
          <w:szCs w:val="24"/>
        </w:rPr>
        <w:t>t</w:t>
      </w:r>
      <w:r w:rsidR="00662210">
        <w:rPr>
          <w:rFonts w:eastAsia="Arial" w:cs="Arial"/>
          <w:szCs w:val="24"/>
        </w:rPr>
        <w:t>hat residential customers appear to be overpaying for generation service.</w:t>
      </w:r>
      <w:r w:rsidR="00945CCF">
        <w:rPr>
          <w:rStyle w:val="FootnoteReference"/>
          <w:rFonts w:eastAsia="Arial" w:cs="Arial"/>
          <w:szCs w:val="24"/>
        </w:rPr>
        <w:footnoteReference w:id="6"/>
      </w:r>
      <w:r w:rsidR="00662210">
        <w:rPr>
          <w:rFonts w:eastAsia="Arial" w:cs="Arial"/>
          <w:szCs w:val="24"/>
        </w:rPr>
        <w:t xml:space="preserve"> </w:t>
      </w:r>
      <w:r w:rsidR="0054658F">
        <w:rPr>
          <w:rFonts w:eastAsia="Arial" w:cs="Arial"/>
          <w:szCs w:val="24"/>
        </w:rPr>
        <w:t xml:space="preserve">Notably, the only information that AEP Ohio has </w:t>
      </w:r>
      <w:r w:rsidR="00280B93">
        <w:rPr>
          <w:rFonts w:eastAsia="Arial" w:cs="Arial"/>
          <w:szCs w:val="24"/>
        </w:rPr>
        <w:t>is</w:t>
      </w:r>
      <w:r w:rsidR="008D1E7A">
        <w:rPr>
          <w:rFonts w:eastAsia="Arial" w:cs="Arial"/>
          <w:szCs w:val="24"/>
        </w:rPr>
        <w:t xml:space="preserve"> the charges</w:t>
      </w:r>
      <w:r w:rsidR="00234A9C">
        <w:rPr>
          <w:rFonts w:eastAsia="Arial" w:cs="Arial"/>
          <w:szCs w:val="24"/>
        </w:rPr>
        <w:t xml:space="preserve"> f</w:t>
      </w:r>
      <w:r w:rsidR="00495803">
        <w:rPr>
          <w:rFonts w:eastAsia="Arial" w:cs="Arial"/>
          <w:szCs w:val="24"/>
        </w:rPr>
        <w:t>rom the CRES provider</w:t>
      </w:r>
      <w:r w:rsidR="0054658F">
        <w:rPr>
          <w:rFonts w:eastAsia="Arial" w:cs="Arial"/>
          <w:szCs w:val="24"/>
        </w:rPr>
        <w:t xml:space="preserve">. AEP Ohio has no insight into the </w:t>
      </w:r>
      <w:r w:rsidR="00C50A1E">
        <w:rPr>
          <w:rFonts w:eastAsia="Arial" w:cs="Arial"/>
          <w:szCs w:val="24"/>
        </w:rPr>
        <w:t>contract itself</w:t>
      </w:r>
      <w:r w:rsidR="002E60B5">
        <w:rPr>
          <w:rFonts w:eastAsia="Arial" w:cs="Arial"/>
          <w:szCs w:val="24"/>
        </w:rPr>
        <w:t>, including its terms</w:t>
      </w:r>
      <w:r w:rsidR="009E2798">
        <w:rPr>
          <w:rFonts w:eastAsia="Arial" w:cs="Arial"/>
          <w:szCs w:val="24"/>
        </w:rPr>
        <w:t xml:space="preserve"> and</w:t>
      </w:r>
      <w:r w:rsidR="002E60B5">
        <w:rPr>
          <w:rFonts w:eastAsia="Arial" w:cs="Arial"/>
          <w:szCs w:val="24"/>
        </w:rPr>
        <w:t xml:space="preserve"> </w:t>
      </w:r>
      <w:r w:rsidR="002E60B5">
        <w:rPr>
          <w:rFonts w:eastAsia="Arial" w:cs="Arial"/>
          <w:szCs w:val="24"/>
        </w:rPr>
        <w:lastRenderedPageBreak/>
        <w:t>conditions</w:t>
      </w:r>
      <w:r w:rsidR="00F54FE6">
        <w:rPr>
          <w:rFonts w:eastAsia="Arial" w:cs="Arial"/>
          <w:szCs w:val="24"/>
        </w:rPr>
        <w:t xml:space="preserve">, </w:t>
      </w:r>
      <w:r w:rsidR="00495803">
        <w:rPr>
          <w:rFonts w:eastAsia="Arial" w:cs="Arial"/>
          <w:szCs w:val="24"/>
        </w:rPr>
        <w:t>or</w:t>
      </w:r>
      <w:r w:rsidR="009E2798">
        <w:rPr>
          <w:rFonts w:eastAsia="Arial" w:cs="Arial"/>
          <w:szCs w:val="24"/>
        </w:rPr>
        <w:t xml:space="preserve"> the additional</w:t>
      </w:r>
      <w:r w:rsidR="00A0328C">
        <w:rPr>
          <w:rFonts w:eastAsia="Arial" w:cs="Arial"/>
          <w:szCs w:val="24"/>
        </w:rPr>
        <w:t xml:space="preserve"> benefits</w:t>
      </w:r>
      <w:r w:rsidR="009E2798">
        <w:rPr>
          <w:rFonts w:eastAsia="Arial" w:cs="Arial"/>
          <w:szCs w:val="24"/>
        </w:rPr>
        <w:t xml:space="preserve"> provided within that </w:t>
      </w:r>
      <w:r w:rsidR="002E086D">
        <w:rPr>
          <w:rFonts w:eastAsia="Arial" w:cs="Arial"/>
          <w:szCs w:val="24"/>
        </w:rPr>
        <w:t>rate</w:t>
      </w:r>
      <w:r w:rsidR="00531546">
        <w:rPr>
          <w:rFonts w:eastAsia="Arial" w:cs="Arial"/>
          <w:szCs w:val="24"/>
        </w:rPr>
        <w:t>, such as</w:t>
      </w:r>
      <w:r w:rsidR="009475B8">
        <w:rPr>
          <w:rFonts w:eastAsia="Arial" w:cs="Arial"/>
          <w:szCs w:val="24"/>
        </w:rPr>
        <w:t xml:space="preserve"> the stability of</w:t>
      </w:r>
      <w:r w:rsidR="00531546">
        <w:rPr>
          <w:rFonts w:eastAsia="Arial" w:cs="Arial"/>
          <w:szCs w:val="24"/>
        </w:rPr>
        <w:t xml:space="preserve"> a fixed rate, renewable qualities, or </w:t>
      </w:r>
      <w:r w:rsidR="002330D2">
        <w:rPr>
          <w:rFonts w:eastAsia="Arial" w:cs="Arial"/>
          <w:szCs w:val="24"/>
        </w:rPr>
        <w:t>extended contract length</w:t>
      </w:r>
      <w:r w:rsidR="002E086D">
        <w:rPr>
          <w:rFonts w:eastAsia="Arial" w:cs="Arial"/>
          <w:szCs w:val="24"/>
        </w:rPr>
        <w:t xml:space="preserve">. </w:t>
      </w:r>
      <w:r w:rsidR="00623707">
        <w:rPr>
          <w:rFonts w:eastAsia="Arial" w:cs="Arial"/>
          <w:szCs w:val="24"/>
        </w:rPr>
        <w:t>Therefore, AEP Ohio is making its claims based upon price alone</w:t>
      </w:r>
      <w:r w:rsidR="00662C1D">
        <w:rPr>
          <w:rFonts w:eastAsia="Arial" w:cs="Arial"/>
          <w:szCs w:val="24"/>
        </w:rPr>
        <w:t xml:space="preserve">, which is </w:t>
      </w:r>
      <w:r w:rsidR="00CA6179">
        <w:rPr>
          <w:rFonts w:eastAsia="Arial" w:cs="Arial"/>
          <w:szCs w:val="24"/>
        </w:rPr>
        <w:t>a</w:t>
      </w:r>
      <w:r w:rsidR="000438DC">
        <w:rPr>
          <w:rFonts w:eastAsia="Arial" w:cs="Arial"/>
          <w:szCs w:val="24"/>
        </w:rPr>
        <w:t xml:space="preserve">n </w:t>
      </w:r>
      <w:r w:rsidR="00733D66">
        <w:rPr>
          <w:rFonts w:eastAsia="Arial" w:cs="Arial"/>
          <w:szCs w:val="24"/>
        </w:rPr>
        <w:t xml:space="preserve">unreasonable and incorrect </w:t>
      </w:r>
      <w:r w:rsidR="002275DD">
        <w:rPr>
          <w:rFonts w:eastAsia="Arial" w:cs="Arial"/>
          <w:szCs w:val="24"/>
        </w:rPr>
        <w:t xml:space="preserve">principle </w:t>
      </w:r>
      <w:r w:rsidR="00F72259">
        <w:rPr>
          <w:rFonts w:eastAsia="Arial" w:cs="Arial"/>
          <w:szCs w:val="24"/>
        </w:rPr>
        <w:t>for customer education</w:t>
      </w:r>
      <w:r w:rsidR="000D7519">
        <w:rPr>
          <w:rFonts w:eastAsia="Arial" w:cs="Arial"/>
          <w:szCs w:val="24"/>
        </w:rPr>
        <w:t xml:space="preserve">, as well as inconsistent </w:t>
      </w:r>
      <w:r w:rsidR="009152E8">
        <w:rPr>
          <w:rFonts w:eastAsia="Arial" w:cs="Arial"/>
          <w:szCs w:val="24"/>
        </w:rPr>
        <w:t>with</w:t>
      </w:r>
      <w:r w:rsidR="000D7519">
        <w:rPr>
          <w:rFonts w:eastAsia="Arial" w:cs="Arial"/>
          <w:szCs w:val="24"/>
        </w:rPr>
        <w:t xml:space="preserve"> state policy as discussed below</w:t>
      </w:r>
      <w:r w:rsidR="00F72259">
        <w:rPr>
          <w:rFonts w:eastAsia="Arial" w:cs="Arial"/>
          <w:szCs w:val="24"/>
        </w:rPr>
        <w:t>.</w:t>
      </w:r>
    </w:p>
    <w:p w14:paraId="558D5ECB" w14:textId="5C492C74" w:rsidR="00A80A2E" w:rsidRDefault="00E7269C" w:rsidP="009D49C0">
      <w:pPr>
        <w:spacing w:line="480" w:lineRule="auto"/>
        <w:ind w:firstLine="720"/>
        <w:jc w:val="both"/>
        <w:rPr>
          <w:rFonts w:eastAsia="Arial" w:cs="Arial"/>
          <w:szCs w:val="24"/>
        </w:rPr>
      </w:pPr>
      <w:r>
        <w:rPr>
          <w:rFonts w:eastAsia="Arial" w:cs="Arial"/>
          <w:szCs w:val="24"/>
        </w:rPr>
        <w:t>Secon</w:t>
      </w:r>
      <w:r w:rsidR="00B30F9F">
        <w:rPr>
          <w:rFonts w:eastAsia="Arial" w:cs="Arial"/>
          <w:szCs w:val="24"/>
        </w:rPr>
        <w:t>d</w:t>
      </w:r>
      <w:r w:rsidR="000174D4">
        <w:rPr>
          <w:rFonts w:eastAsia="Arial" w:cs="Arial"/>
          <w:szCs w:val="24"/>
        </w:rPr>
        <w:t xml:space="preserve">, some of “the opportunities available” </w:t>
      </w:r>
      <w:proofErr w:type="gramStart"/>
      <w:r w:rsidR="000174D4">
        <w:rPr>
          <w:rFonts w:eastAsia="Arial" w:cs="Arial"/>
          <w:szCs w:val="24"/>
        </w:rPr>
        <w:t>actually come</w:t>
      </w:r>
      <w:proofErr w:type="gramEnd"/>
      <w:r w:rsidR="000174D4">
        <w:rPr>
          <w:rFonts w:eastAsia="Arial" w:cs="Arial"/>
          <w:szCs w:val="24"/>
        </w:rPr>
        <w:t xml:space="preserve"> from AEP Ohio’s affiliate, AEP Energy. </w:t>
      </w:r>
      <w:r w:rsidR="0000501F">
        <w:rPr>
          <w:rFonts w:eastAsia="Arial" w:cs="Arial"/>
          <w:szCs w:val="24"/>
        </w:rPr>
        <w:t>In order to prevent</w:t>
      </w:r>
      <w:r w:rsidR="00A76903">
        <w:rPr>
          <w:rFonts w:eastAsia="Arial" w:cs="Arial"/>
          <w:szCs w:val="24"/>
        </w:rPr>
        <w:t xml:space="preserve"> </w:t>
      </w:r>
      <w:r w:rsidR="00097433">
        <w:rPr>
          <w:rFonts w:eastAsia="Arial" w:cs="Arial"/>
          <w:szCs w:val="24"/>
        </w:rPr>
        <w:t>the potential for an</w:t>
      </w:r>
      <w:r w:rsidR="006039A6">
        <w:rPr>
          <w:rFonts w:eastAsia="Arial" w:cs="Arial"/>
          <w:szCs w:val="24"/>
        </w:rPr>
        <w:t xml:space="preserve"> unlawful</w:t>
      </w:r>
      <w:r w:rsidR="009B5B80">
        <w:rPr>
          <w:rFonts w:eastAsia="Arial" w:cs="Arial"/>
          <w:szCs w:val="24"/>
        </w:rPr>
        <w:t xml:space="preserve"> undue preference or advantage</w:t>
      </w:r>
      <w:r w:rsidR="00F5074F">
        <w:rPr>
          <w:rFonts w:eastAsia="Arial" w:cs="Arial"/>
          <w:szCs w:val="24"/>
        </w:rPr>
        <w:t xml:space="preserve"> to its competitive affiliate</w:t>
      </w:r>
      <w:r w:rsidR="00D549F1">
        <w:rPr>
          <w:rFonts w:eastAsia="Arial" w:cs="Arial"/>
          <w:szCs w:val="24"/>
        </w:rPr>
        <w:t xml:space="preserve">, AEP Ohio should not be </w:t>
      </w:r>
      <w:r w:rsidR="00190E56">
        <w:rPr>
          <w:rFonts w:eastAsia="Arial" w:cs="Arial"/>
          <w:szCs w:val="24"/>
        </w:rPr>
        <w:t>opining on offerings in the competitive market.</w:t>
      </w:r>
      <w:r w:rsidR="00FF41B2">
        <w:rPr>
          <w:rStyle w:val="FootnoteReference"/>
          <w:rFonts w:eastAsia="Arial" w:cs="Arial"/>
          <w:szCs w:val="24"/>
        </w:rPr>
        <w:footnoteReference w:id="7"/>
      </w:r>
      <w:r w:rsidR="00190E56">
        <w:rPr>
          <w:rFonts w:eastAsia="Arial" w:cs="Arial"/>
          <w:szCs w:val="24"/>
        </w:rPr>
        <w:t xml:space="preserve"> </w:t>
      </w:r>
      <w:r w:rsidR="00E97BBB">
        <w:rPr>
          <w:rFonts w:eastAsia="Arial" w:cs="Arial"/>
          <w:szCs w:val="24"/>
        </w:rPr>
        <w:t xml:space="preserve">In addition, </w:t>
      </w:r>
      <w:r w:rsidR="006E4171">
        <w:rPr>
          <w:rFonts w:eastAsia="Arial" w:cs="Arial"/>
          <w:szCs w:val="24"/>
        </w:rPr>
        <w:t>AEP Ohio</w:t>
      </w:r>
      <w:r w:rsidR="005F0095">
        <w:rPr>
          <w:rFonts w:eastAsia="Arial" w:cs="Arial"/>
          <w:szCs w:val="24"/>
        </w:rPr>
        <w:t xml:space="preserve">’s pending application to offer a </w:t>
      </w:r>
      <w:r w:rsidR="00B64054">
        <w:rPr>
          <w:rFonts w:eastAsia="Arial" w:cs="Arial"/>
          <w:szCs w:val="24"/>
        </w:rPr>
        <w:t>Green Tariff to its SSO customers</w:t>
      </w:r>
      <w:r w:rsidR="00BA3FCA">
        <w:rPr>
          <w:rFonts w:eastAsia="Arial" w:cs="Arial"/>
          <w:szCs w:val="24"/>
        </w:rPr>
        <w:t xml:space="preserve"> will only further complicate things</w:t>
      </w:r>
      <w:r w:rsidR="00B64054">
        <w:rPr>
          <w:rFonts w:eastAsia="Arial" w:cs="Arial"/>
          <w:szCs w:val="24"/>
        </w:rPr>
        <w:t>.</w:t>
      </w:r>
      <w:r w:rsidR="00B64054">
        <w:rPr>
          <w:rStyle w:val="FootnoteReference"/>
          <w:rFonts w:eastAsia="Arial" w:cs="Arial"/>
          <w:szCs w:val="24"/>
        </w:rPr>
        <w:footnoteReference w:id="8"/>
      </w:r>
      <w:r w:rsidR="00B64054">
        <w:rPr>
          <w:rFonts w:eastAsia="Arial" w:cs="Arial"/>
          <w:szCs w:val="24"/>
        </w:rPr>
        <w:t xml:space="preserve"> </w:t>
      </w:r>
    </w:p>
    <w:p w14:paraId="153AA0A2" w14:textId="408E13B0" w:rsidR="006E05AA" w:rsidRDefault="00793560" w:rsidP="009D49C0">
      <w:pPr>
        <w:spacing w:line="480" w:lineRule="auto"/>
        <w:ind w:firstLine="720"/>
        <w:jc w:val="both"/>
      </w:pPr>
      <w:r w:rsidRPr="00793560">
        <w:rPr>
          <w:rFonts w:cs="Arial"/>
          <w:szCs w:val="24"/>
        </w:rPr>
        <w:t>F</w:t>
      </w:r>
      <w:r w:rsidR="006121F6">
        <w:rPr>
          <w:rFonts w:cs="Arial"/>
          <w:szCs w:val="24"/>
        </w:rPr>
        <w:t>inally</w:t>
      </w:r>
      <w:r w:rsidRPr="00793560">
        <w:rPr>
          <w:rFonts w:cs="Arial"/>
          <w:szCs w:val="24"/>
        </w:rPr>
        <w:t xml:space="preserve">, IGS notes </w:t>
      </w:r>
      <w:r w:rsidR="009B4329">
        <w:rPr>
          <w:rFonts w:cs="Arial"/>
          <w:szCs w:val="24"/>
        </w:rPr>
        <w:t xml:space="preserve">the already </w:t>
      </w:r>
      <w:r w:rsidRPr="00793560">
        <w:rPr>
          <w:rFonts w:cs="Arial"/>
          <w:szCs w:val="24"/>
        </w:rPr>
        <w:t>prejudicial approach to AEP Ohio’s “education.” This message will only appear on the bills of shopping customers. Although AEP Ohio claims that “</w:t>
      </w:r>
      <w:r>
        <w:t xml:space="preserve">the Company endeavors to help its residential customers (and small commercial customers) get a better value for electricity,” it proposes no education for those customers on the SSO that could be getting a better </w:t>
      </w:r>
      <w:r w:rsidR="004D43C2">
        <w:t>“</w:t>
      </w:r>
      <w:r>
        <w:t>value</w:t>
      </w:r>
      <w:r w:rsidR="004D43C2">
        <w:t>”</w:t>
      </w:r>
      <w:r>
        <w:t xml:space="preserve"> for electricity in the competitive market. </w:t>
      </w:r>
    </w:p>
    <w:p w14:paraId="78C4C56E" w14:textId="7E3B508D" w:rsidR="002B23AC" w:rsidRPr="002B23AC" w:rsidRDefault="00984091" w:rsidP="009D49C0">
      <w:pPr>
        <w:spacing w:line="480" w:lineRule="auto"/>
        <w:ind w:firstLine="720"/>
        <w:jc w:val="both"/>
        <w:rPr>
          <w:rFonts w:eastAsia="Arial" w:cs="Arial"/>
        </w:rPr>
      </w:pPr>
      <w:r>
        <w:t xml:space="preserve">Any customer </w:t>
      </w:r>
      <w:r w:rsidR="0099288D">
        <w:t xml:space="preserve">education should </w:t>
      </w:r>
      <w:r w:rsidR="004B671C">
        <w:t xml:space="preserve">come </w:t>
      </w:r>
      <w:r w:rsidR="00E30409">
        <w:t xml:space="preserve">from </w:t>
      </w:r>
      <w:r w:rsidR="003C15E1">
        <w:t xml:space="preserve">an </w:t>
      </w:r>
      <w:r w:rsidR="00760C92">
        <w:t xml:space="preserve">entity </w:t>
      </w:r>
      <w:r w:rsidR="00F64F14">
        <w:t>able to present a competitively-neutral</w:t>
      </w:r>
      <w:r w:rsidR="003C15E1">
        <w:t xml:space="preserve">, complete </w:t>
      </w:r>
      <w:r w:rsidR="00DE3C90">
        <w:t>view of Ohio’s retail electric market</w:t>
      </w:r>
      <w:r w:rsidR="00DD4A0B">
        <w:t>, such as</w:t>
      </w:r>
      <w:r w:rsidR="00F64F14">
        <w:t xml:space="preserve"> the Commission. </w:t>
      </w:r>
      <w:r w:rsidR="00B70D06">
        <w:t xml:space="preserve">Not only does the Commission </w:t>
      </w:r>
      <w:r w:rsidR="007F1C9D">
        <w:t>maintain</w:t>
      </w:r>
      <w:r w:rsidR="00B70D06">
        <w:t xml:space="preserve"> a call center </w:t>
      </w:r>
      <w:r w:rsidR="00DE3C90">
        <w:t>to field any</w:t>
      </w:r>
      <w:r w:rsidR="00CA3675">
        <w:t xml:space="preserve"> questions</w:t>
      </w:r>
      <w:r w:rsidR="00DE3C90">
        <w:t xml:space="preserve"> from Ohioans</w:t>
      </w:r>
      <w:r w:rsidR="00CA3675">
        <w:t xml:space="preserve">, it also employs the </w:t>
      </w:r>
      <w:r w:rsidR="0050369F">
        <w:rPr>
          <w:rFonts w:eastAsia="Arial" w:cs="Arial"/>
        </w:rPr>
        <w:t xml:space="preserve">Office of Retail Competition, which has “the foremost goal of educating Ohio's ratepayers as to how they can fully exercise their right of choice </w:t>
      </w:r>
      <w:r w:rsidR="0050369F">
        <w:rPr>
          <w:rFonts w:eastAsia="Arial" w:cs="Arial"/>
        </w:rPr>
        <w:lastRenderedPageBreak/>
        <w:t>within Ohio's competitive retail electric and natural gas markets.”</w:t>
      </w:r>
      <w:r w:rsidR="0050369F">
        <w:rPr>
          <w:rStyle w:val="FootnoteReference"/>
          <w:rFonts w:eastAsia="Arial"/>
        </w:rPr>
        <w:footnoteReference w:id="9"/>
      </w:r>
      <w:r w:rsidR="0050369F">
        <w:rPr>
          <w:rFonts w:eastAsia="Arial" w:cs="Arial"/>
        </w:rPr>
        <w:t xml:space="preserve">  </w:t>
      </w:r>
      <w:r w:rsidR="009D49C0">
        <w:rPr>
          <w:rFonts w:eastAsia="Arial" w:cs="Arial"/>
        </w:rPr>
        <w:t>Therefore, the Commission should reject AEP Ohio’s Application.</w:t>
      </w:r>
    </w:p>
    <w:p w14:paraId="17411B09" w14:textId="73282717" w:rsidR="003F32CE" w:rsidRDefault="00A42CC5" w:rsidP="00B3126B">
      <w:pPr>
        <w:pStyle w:val="ListParagraph"/>
        <w:numPr>
          <w:ilvl w:val="1"/>
          <w:numId w:val="1"/>
        </w:numPr>
        <w:spacing w:after="240"/>
        <w:jc w:val="both"/>
        <w:rPr>
          <w:rFonts w:eastAsia="Arial" w:cs="Arial"/>
          <w:b/>
          <w:szCs w:val="24"/>
        </w:rPr>
      </w:pPr>
      <w:r>
        <w:rPr>
          <w:rFonts w:eastAsia="Arial" w:cs="Arial"/>
          <w:b/>
          <w:szCs w:val="24"/>
        </w:rPr>
        <w:t xml:space="preserve">Consistent with </w:t>
      </w:r>
      <w:r w:rsidR="00656A83">
        <w:rPr>
          <w:rFonts w:eastAsia="Arial" w:cs="Arial"/>
          <w:b/>
          <w:szCs w:val="24"/>
        </w:rPr>
        <w:t xml:space="preserve">a recent rulemaking, </w:t>
      </w:r>
      <w:r w:rsidR="003F32CE">
        <w:rPr>
          <w:rFonts w:eastAsia="Arial" w:cs="Arial"/>
          <w:b/>
          <w:szCs w:val="24"/>
        </w:rPr>
        <w:t xml:space="preserve">AEP Ohio’s </w:t>
      </w:r>
      <w:r w:rsidR="00574B92">
        <w:rPr>
          <w:rFonts w:eastAsia="Arial" w:cs="Arial"/>
          <w:b/>
          <w:szCs w:val="24"/>
        </w:rPr>
        <w:t>proposed bill formatting change is</w:t>
      </w:r>
      <w:r w:rsidR="003F32CE">
        <w:rPr>
          <w:rFonts w:eastAsia="Arial" w:cs="Arial"/>
          <w:b/>
          <w:szCs w:val="24"/>
        </w:rPr>
        <w:t xml:space="preserve"> </w:t>
      </w:r>
      <w:r w:rsidR="002D0FB6">
        <w:rPr>
          <w:rFonts w:eastAsia="Arial" w:cs="Arial"/>
          <w:b/>
          <w:szCs w:val="24"/>
        </w:rPr>
        <w:t>improper and</w:t>
      </w:r>
      <w:r w:rsidR="003F32CE">
        <w:rPr>
          <w:rFonts w:eastAsia="Arial" w:cs="Arial"/>
          <w:b/>
          <w:szCs w:val="24"/>
        </w:rPr>
        <w:t xml:space="preserve"> unnecessary</w:t>
      </w:r>
      <w:r w:rsidR="00436ADE">
        <w:rPr>
          <w:rFonts w:eastAsia="Arial" w:cs="Arial"/>
          <w:b/>
          <w:szCs w:val="24"/>
        </w:rPr>
        <w:t xml:space="preserve">. </w:t>
      </w:r>
    </w:p>
    <w:p w14:paraId="06FE5887" w14:textId="50368FA8" w:rsidR="00656A83" w:rsidRDefault="0008591A" w:rsidP="00B3126B">
      <w:pPr>
        <w:spacing w:line="480" w:lineRule="auto"/>
        <w:ind w:firstLine="720"/>
        <w:jc w:val="both"/>
      </w:pPr>
      <w:r>
        <w:rPr>
          <w:rFonts w:eastAsia="Arial" w:cs="Arial"/>
          <w:szCs w:val="24"/>
        </w:rPr>
        <w:t xml:space="preserve">At the center of AEP Ohio’s proposal is its concern that it is not possible for AEP Ohio to determine the supplier’s effective per kWh charge for </w:t>
      </w:r>
      <w:r w:rsidR="0002486D">
        <w:rPr>
          <w:rFonts w:eastAsia="Arial" w:cs="Arial"/>
          <w:szCs w:val="24"/>
        </w:rPr>
        <w:t>supply</w:t>
      </w:r>
      <w:r w:rsidR="00E7127F">
        <w:rPr>
          <w:rFonts w:eastAsia="Arial" w:cs="Arial"/>
          <w:szCs w:val="24"/>
        </w:rPr>
        <w:t>, which</w:t>
      </w:r>
      <w:r w:rsidR="00A55CCF">
        <w:rPr>
          <w:rFonts w:eastAsia="Arial" w:cs="Arial"/>
          <w:szCs w:val="24"/>
        </w:rPr>
        <w:t xml:space="preserve"> it believes</w:t>
      </w:r>
      <w:r w:rsidR="00E7127F">
        <w:rPr>
          <w:rFonts w:eastAsia="Arial" w:cs="Arial"/>
          <w:szCs w:val="24"/>
        </w:rPr>
        <w:t xml:space="preserve"> </w:t>
      </w:r>
      <w:r w:rsidR="009934CC">
        <w:rPr>
          <w:rFonts w:eastAsia="Arial" w:cs="Arial"/>
          <w:szCs w:val="24"/>
        </w:rPr>
        <w:t xml:space="preserve">must </w:t>
      </w:r>
      <w:r w:rsidR="00E7127F">
        <w:rPr>
          <w:rFonts w:eastAsia="Arial" w:cs="Arial"/>
          <w:szCs w:val="24"/>
        </w:rPr>
        <w:t xml:space="preserve">mean </w:t>
      </w:r>
      <w:r w:rsidR="00E17C07">
        <w:rPr>
          <w:rFonts w:eastAsia="Arial" w:cs="Arial"/>
          <w:szCs w:val="24"/>
        </w:rPr>
        <w:t xml:space="preserve">that </w:t>
      </w:r>
      <w:r w:rsidR="005B6B30">
        <w:rPr>
          <w:rFonts w:eastAsia="Arial" w:cs="Arial"/>
          <w:szCs w:val="24"/>
        </w:rPr>
        <w:t xml:space="preserve">customers also </w:t>
      </w:r>
      <w:r w:rsidR="00FC2D9C">
        <w:rPr>
          <w:rFonts w:eastAsia="Arial" w:cs="Arial"/>
          <w:szCs w:val="24"/>
        </w:rPr>
        <w:t xml:space="preserve">cannot determine </w:t>
      </w:r>
      <w:r w:rsidR="004F5247">
        <w:rPr>
          <w:rFonts w:eastAsia="Arial" w:cs="Arial"/>
          <w:szCs w:val="24"/>
        </w:rPr>
        <w:t>this</w:t>
      </w:r>
      <w:r w:rsidR="00FC2D9C">
        <w:rPr>
          <w:rFonts w:eastAsia="Arial" w:cs="Arial"/>
          <w:szCs w:val="24"/>
        </w:rPr>
        <w:t xml:space="preserve"> information</w:t>
      </w:r>
      <w:r w:rsidR="0002486D">
        <w:t>.</w:t>
      </w:r>
      <w:r w:rsidR="0002486D">
        <w:rPr>
          <w:rStyle w:val="FootnoteReference"/>
        </w:rPr>
        <w:footnoteReference w:id="10"/>
      </w:r>
      <w:r w:rsidR="00057260">
        <w:t xml:space="preserve"> </w:t>
      </w:r>
      <w:r w:rsidR="00DE191A">
        <w:t xml:space="preserve">AEP Ohio states that </w:t>
      </w:r>
      <w:r w:rsidR="00712D9F">
        <w:rPr>
          <w:rFonts w:eastAsia="Arial" w:cs="Arial"/>
          <w:szCs w:val="24"/>
        </w:rPr>
        <w:t>“</w:t>
      </w:r>
      <w:r w:rsidR="00DE191A">
        <w:t>un</w:t>
      </w:r>
      <w:r w:rsidR="00712D9F">
        <w:t>til such time that the Commission clarifies such matters through regulatory requirements imposed on CRES providers (which AEP Ohio would encourage), the Company lacks the ability to provide additional help to residential customers in this regard.”</w:t>
      </w:r>
      <w:r w:rsidR="00712D9F">
        <w:rPr>
          <w:rStyle w:val="FootnoteReference"/>
        </w:rPr>
        <w:footnoteReference w:id="11"/>
      </w:r>
      <w:r w:rsidR="00E4313E">
        <w:t xml:space="preserve"> </w:t>
      </w:r>
      <w:r w:rsidR="00B838D0">
        <w:t>Despite this lack of information,</w:t>
      </w:r>
      <w:r w:rsidR="007552FE">
        <w:t xml:space="preserve"> AEP Ohio believes repeating the price to compare </w:t>
      </w:r>
      <w:r w:rsidR="00315275">
        <w:t xml:space="preserve">will be useful. </w:t>
      </w:r>
      <w:r w:rsidR="005874F4">
        <w:t>This is incorrect.</w:t>
      </w:r>
    </w:p>
    <w:p w14:paraId="65C7DA44" w14:textId="08970A9F" w:rsidR="002A5A8F" w:rsidRDefault="00F65D79" w:rsidP="00B3126B">
      <w:pPr>
        <w:spacing w:line="480" w:lineRule="auto"/>
        <w:ind w:firstLine="720"/>
        <w:jc w:val="both"/>
      </w:pPr>
      <w:r>
        <w:t>A</w:t>
      </w:r>
      <w:r w:rsidR="00224366">
        <w:t xml:space="preserve">EP Ohio’s argument is based upon the incorrect </w:t>
      </w:r>
      <w:r w:rsidR="00BD0ED6">
        <w:t>assumption</w:t>
      </w:r>
      <w:r w:rsidR="00CC3406">
        <w:t xml:space="preserve"> that the effective per kWh rate on a customer’s bill would provide an </w:t>
      </w:r>
      <w:r w:rsidR="00682D3D">
        <w:t>“apples-to-apples” comparison with the PTC.</w:t>
      </w:r>
      <w:r w:rsidR="00682D3D">
        <w:rPr>
          <w:rStyle w:val="FootnoteReference"/>
        </w:rPr>
        <w:footnoteReference w:id="12"/>
      </w:r>
      <w:r w:rsidR="00BD0ED6">
        <w:t xml:space="preserve"> </w:t>
      </w:r>
      <w:r w:rsidR="0084179B">
        <w:t>It</w:t>
      </w:r>
      <w:r w:rsidR="00BD0ED6">
        <w:t xml:space="preserve"> </w:t>
      </w:r>
      <w:r w:rsidR="0084179B">
        <w:t>simply</w:t>
      </w:r>
      <w:r w:rsidR="00BD0ED6">
        <w:t xml:space="preserve"> </w:t>
      </w:r>
      <w:r w:rsidR="00792CAC">
        <w:t xml:space="preserve">does not. </w:t>
      </w:r>
      <w:r w:rsidR="00DB7937">
        <w:t xml:space="preserve">A CRES offering </w:t>
      </w:r>
      <w:r w:rsidR="005A2FFF">
        <w:t xml:space="preserve">could include a multitude of additional benefits </w:t>
      </w:r>
      <w:r w:rsidR="00484BDA">
        <w:t>to the customer</w:t>
      </w:r>
      <w:r w:rsidR="00B75E55">
        <w:t xml:space="preserve">, which makes it </w:t>
      </w:r>
      <w:r w:rsidR="00DF4096">
        <w:t xml:space="preserve">unfair and unreasonable </w:t>
      </w:r>
      <w:r w:rsidR="00AB0DA4">
        <w:t xml:space="preserve">for AEP Ohio to </w:t>
      </w:r>
      <w:r w:rsidR="0065351B">
        <w:t xml:space="preserve">present </w:t>
      </w:r>
      <w:r w:rsidR="00C879DA">
        <w:t xml:space="preserve">this information to customers </w:t>
      </w:r>
      <w:r w:rsidR="00B3578B">
        <w:t xml:space="preserve">as a direct comparison to </w:t>
      </w:r>
      <w:r w:rsidR="009165D1">
        <w:t>SSO</w:t>
      </w:r>
      <w:r w:rsidR="00B3578B">
        <w:t>.</w:t>
      </w:r>
      <w:r w:rsidR="009B096D">
        <w:t xml:space="preserve"> </w:t>
      </w:r>
    </w:p>
    <w:p w14:paraId="68BD01B3" w14:textId="4A887765" w:rsidR="003B7BB5" w:rsidRPr="006730D2" w:rsidRDefault="00BC4C81" w:rsidP="00B3126B">
      <w:pPr>
        <w:spacing w:line="480" w:lineRule="auto"/>
        <w:ind w:firstLine="720"/>
        <w:jc w:val="both"/>
      </w:pPr>
      <w:r>
        <w:rPr>
          <w:rFonts w:eastAsia="Arial" w:cs="Arial"/>
          <w:szCs w:val="24"/>
        </w:rPr>
        <w:t>In</w:t>
      </w:r>
      <w:r w:rsidR="00A10087">
        <w:rPr>
          <w:rFonts w:eastAsia="Arial" w:cs="Arial"/>
          <w:szCs w:val="24"/>
        </w:rPr>
        <w:t>deed</w:t>
      </w:r>
      <w:r w:rsidR="00A554A8">
        <w:rPr>
          <w:rFonts w:eastAsia="Arial" w:cs="Arial"/>
          <w:szCs w:val="24"/>
        </w:rPr>
        <w:t xml:space="preserve">, </w:t>
      </w:r>
      <w:r w:rsidR="003B7BB5">
        <w:t xml:space="preserve">AEP Ohio </w:t>
      </w:r>
      <w:r w:rsidR="00F04CB3">
        <w:t xml:space="preserve">previously </w:t>
      </w:r>
      <w:r w:rsidR="00935853">
        <w:t>requested that</w:t>
      </w:r>
      <w:r w:rsidR="003B7BB5">
        <w:t xml:space="preserve"> the Commission to </w:t>
      </w:r>
      <w:r w:rsidR="009825A8">
        <w:t>require CRES providers to include a</w:t>
      </w:r>
      <w:r w:rsidR="00F61108">
        <w:t>n effective kWh rate</w:t>
      </w:r>
      <w:r w:rsidR="003B7BB5">
        <w:t>, and the Commission declined t</w:t>
      </w:r>
      <w:r w:rsidR="00D66EA6">
        <w:t>his proposal</w:t>
      </w:r>
      <w:r w:rsidR="00826867">
        <w:t xml:space="preserve"> </w:t>
      </w:r>
      <w:r w:rsidR="00826867">
        <w:lastRenderedPageBreak/>
        <w:t>earlier this year</w:t>
      </w:r>
      <w:r w:rsidR="003B7BB5">
        <w:t xml:space="preserve">. </w:t>
      </w:r>
      <w:r w:rsidR="00FC5EFE">
        <w:t>In</w:t>
      </w:r>
      <w:r w:rsidR="003B7BB5">
        <w:t xml:space="preserve"> the recent rule review of Ohio </w:t>
      </w:r>
      <w:proofErr w:type="spellStart"/>
      <w:r w:rsidR="003B7BB5">
        <w:t>Adm.Code</w:t>
      </w:r>
      <w:proofErr w:type="spellEnd"/>
      <w:r w:rsidR="003B7BB5">
        <w:t xml:space="preserve"> Chapter 4901:1-10</w:t>
      </w:r>
      <w:r w:rsidR="0010737C">
        <w:t xml:space="preserve"> (“</w:t>
      </w:r>
      <w:r w:rsidR="0010737C" w:rsidRPr="0010737C">
        <w:rPr>
          <w:i/>
        </w:rPr>
        <w:t>ESSS Rule Review</w:t>
      </w:r>
      <w:r w:rsidR="0010737C">
        <w:t>”)</w:t>
      </w:r>
      <w:r w:rsidR="003B7BB5">
        <w:t xml:space="preserve">, in its Initial and Reply Comments, </w:t>
      </w:r>
      <w:r w:rsidR="003B7BB5">
        <w:rPr>
          <w:rFonts w:eastAsia="Arial" w:cs="Arial"/>
          <w:szCs w:val="24"/>
        </w:rPr>
        <w:t>AEP Ohio recommended an addition to the billing standards that would require CRES providers charges on a utility consolidated bill to “</w:t>
      </w:r>
      <w:r w:rsidR="003B7BB5">
        <w:t>be totaled, summarized in one price per kWh presentation such that the customer can readily compare the competitive service costs with the price-to-compare.”</w:t>
      </w:r>
      <w:r w:rsidR="003B7BB5">
        <w:rPr>
          <w:rStyle w:val="FootnoteReference"/>
        </w:rPr>
        <w:footnoteReference w:id="13"/>
      </w:r>
      <w:r w:rsidR="003B7BB5">
        <w:rPr>
          <w:rFonts w:eastAsia="Arial" w:cs="Arial"/>
          <w:szCs w:val="24"/>
        </w:rPr>
        <w:t xml:space="preserve"> </w:t>
      </w:r>
      <w:r w:rsidR="00A711FB">
        <w:rPr>
          <w:rFonts w:eastAsia="Arial" w:cs="Arial"/>
          <w:szCs w:val="24"/>
        </w:rPr>
        <w:t xml:space="preserve">Because the </w:t>
      </w:r>
      <w:r w:rsidR="003B7BB5">
        <w:rPr>
          <w:rFonts w:eastAsia="Arial" w:cs="Arial"/>
          <w:szCs w:val="24"/>
        </w:rPr>
        <w:t>Commission declined to adopt this provision</w:t>
      </w:r>
      <w:r w:rsidR="00A711FB">
        <w:rPr>
          <w:rFonts w:eastAsia="Arial" w:cs="Arial"/>
          <w:szCs w:val="24"/>
        </w:rPr>
        <w:t xml:space="preserve">, it must have </w:t>
      </w:r>
      <w:r w:rsidR="00F3163A">
        <w:rPr>
          <w:rFonts w:eastAsia="Arial" w:cs="Arial"/>
          <w:szCs w:val="24"/>
        </w:rPr>
        <w:t xml:space="preserve">also </w:t>
      </w:r>
      <w:r w:rsidR="003E2004">
        <w:rPr>
          <w:rFonts w:eastAsia="Arial" w:cs="Arial"/>
          <w:szCs w:val="24"/>
        </w:rPr>
        <w:t xml:space="preserve">failed to see </w:t>
      </w:r>
      <w:r w:rsidR="00A711FB">
        <w:rPr>
          <w:rFonts w:eastAsia="Arial" w:cs="Arial"/>
          <w:szCs w:val="24"/>
        </w:rPr>
        <w:t xml:space="preserve">the </w:t>
      </w:r>
      <w:r w:rsidR="003E2004">
        <w:rPr>
          <w:rFonts w:eastAsia="Arial" w:cs="Arial"/>
          <w:szCs w:val="24"/>
        </w:rPr>
        <w:t>value in this information.</w:t>
      </w:r>
      <w:r w:rsidR="003B7BB5">
        <w:rPr>
          <w:rStyle w:val="FootnoteReference"/>
          <w:rFonts w:eastAsia="Arial" w:cs="Arial"/>
          <w:szCs w:val="24"/>
        </w:rPr>
        <w:footnoteReference w:id="14"/>
      </w:r>
      <w:r w:rsidR="002472AD">
        <w:rPr>
          <w:rFonts w:eastAsia="Arial" w:cs="Arial"/>
          <w:szCs w:val="24"/>
        </w:rPr>
        <w:t xml:space="preserve">  AEP Ohio’s attempt to push the issue here is effectively an untimely application for rehearing.</w:t>
      </w:r>
      <w:r w:rsidR="00F30559">
        <w:rPr>
          <w:rFonts w:eastAsia="Arial" w:cs="Arial"/>
          <w:szCs w:val="24"/>
        </w:rPr>
        <w:t xml:space="preserve"> </w:t>
      </w:r>
    </w:p>
    <w:p w14:paraId="35F7206C" w14:textId="77D7C779" w:rsidR="003B7BB5" w:rsidRPr="00D22DC6" w:rsidRDefault="00B54191" w:rsidP="00B3126B">
      <w:pPr>
        <w:spacing w:line="480" w:lineRule="auto"/>
        <w:ind w:firstLine="720"/>
        <w:jc w:val="both"/>
        <w:rPr>
          <w:rFonts w:eastAsia="Arial" w:cs="Arial"/>
          <w:szCs w:val="24"/>
        </w:rPr>
      </w:pPr>
      <w:r>
        <w:rPr>
          <w:rFonts w:eastAsia="Arial" w:cs="Arial"/>
          <w:szCs w:val="24"/>
        </w:rPr>
        <w:t>In fact</w:t>
      </w:r>
      <w:r w:rsidR="00204B7F">
        <w:rPr>
          <w:rFonts w:eastAsia="Arial" w:cs="Arial"/>
          <w:szCs w:val="24"/>
        </w:rPr>
        <w:t>, e</w:t>
      </w:r>
      <w:r w:rsidR="003B7BB5" w:rsidRPr="00D22DC6">
        <w:rPr>
          <w:rFonts w:eastAsia="Arial" w:cs="Arial"/>
          <w:szCs w:val="24"/>
        </w:rPr>
        <w:t>levating a strict price comparison between the SSO rate and a shopping customer’s rate has been repeatedly rejected by the Commission.</w:t>
      </w:r>
      <w:r w:rsidR="003B7BB5" w:rsidRPr="00D22DC6">
        <w:rPr>
          <w:rStyle w:val="FootnoteReference"/>
          <w:rFonts w:eastAsia="Arial" w:cs="Arial"/>
          <w:szCs w:val="24"/>
        </w:rPr>
        <w:footnoteReference w:id="15"/>
      </w:r>
      <w:r w:rsidR="003B7BB5" w:rsidRPr="00D22DC6">
        <w:rPr>
          <w:rFonts w:eastAsia="Arial" w:cs="Arial"/>
          <w:szCs w:val="24"/>
        </w:rPr>
        <w:t xml:space="preserve"> Most recently, </w:t>
      </w:r>
      <w:r w:rsidR="0010737C">
        <w:rPr>
          <w:rFonts w:eastAsia="Arial" w:cs="Arial"/>
          <w:szCs w:val="24"/>
        </w:rPr>
        <w:t xml:space="preserve">also </w:t>
      </w:r>
      <w:r w:rsidR="003B7BB5" w:rsidRPr="00D22DC6">
        <w:rPr>
          <w:rFonts w:eastAsia="Arial" w:cs="Arial"/>
          <w:szCs w:val="24"/>
        </w:rPr>
        <w:t xml:space="preserve">in the </w:t>
      </w:r>
      <w:r w:rsidR="0010737C" w:rsidRPr="0010737C">
        <w:rPr>
          <w:rFonts w:eastAsia="Arial" w:cs="Arial"/>
          <w:i/>
          <w:szCs w:val="24"/>
        </w:rPr>
        <w:t>ESSS Rule Review</w:t>
      </w:r>
      <w:r w:rsidR="003B7BB5" w:rsidRPr="00D22DC6">
        <w:rPr>
          <w:rFonts w:eastAsia="Arial" w:cs="Arial"/>
          <w:szCs w:val="24"/>
        </w:rPr>
        <w:t xml:space="preserve"> proceeding, </w:t>
      </w:r>
      <w:r w:rsidR="003B7BB5">
        <w:rPr>
          <w:rFonts w:eastAsia="Arial" w:cs="Arial"/>
          <w:szCs w:val="24"/>
        </w:rPr>
        <w:t xml:space="preserve">the Commission rejected the Ohio Consumers’ Counsel’s </w:t>
      </w:r>
      <w:r w:rsidR="003B7BB5" w:rsidRPr="00D22DC6">
        <w:rPr>
          <w:rFonts w:eastAsia="Arial" w:cs="Arial"/>
          <w:szCs w:val="24"/>
        </w:rPr>
        <w:t>proposal</w:t>
      </w:r>
      <w:r w:rsidR="003B7BB5">
        <w:rPr>
          <w:rFonts w:eastAsia="Arial" w:cs="Arial"/>
          <w:szCs w:val="24"/>
        </w:rPr>
        <w:t>s</w:t>
      </w:r>
      <w:r w:rsidR="003B7BB5" w:rsidRPr="00D22DC6">
        <w:rPr>
          <w:rFonts w:eastAsia="Arial" w:cs="Arial"/>
          <w:szCs w:val="24"/>
        </w:rPr>
        <w:t xml:space="preserve"> to require shadow billing on utility bills.</w:t>
      </w:r>
      <w:r w:rsidR="003B7BB5" w:rsidRPr="00D22DC6">
        <w:rPr>
          <w:rStyle w:val="FootnoteReference"/>
          <w:rFonts w:eastAsia="Arial" w:cs="Arial"/>
          <w:szCs w:val="24"/>
        </w:rPr>
        <w:footnoteReference w:id="16"/>
      </w:r>
      <w:r w:rsidR="003B7BB5" w:rsidRPr="00D22DC6">
        <w:rPr>
          <w:rFonts w:eastAsia="Arial" w:cs="Arial"/>
          <w:szCs w:val="24"/>
        </w:rPr>
        <w:t xml:space="preserve"> In doing so, the Commission recognized that the PTC is already on the customer’s bill, which allows the customer to calculate the total savings or spending themselves.</w:t>
      </w:r>
      <w:r w:rsidR="003B7BB5" w:rsidRPr="00D22DC6">
        <w:rPr>
          <w:rStyle w:val="FootnoteReference"/>
          <w:rFonts w:eastAsia="Arial" w:cs="Arial"/>
          <w:szCs w:val="24"/>
        </w:rPr>
        <w:footnoteReference w:id="17"/>
      </w:r>
      <w:r w:rsidR="003B7BB5" w:rsidRPr="00D22DC6">
        <w:rPr>
          <w:rFonts w:eastAsia="Arial" w:cs="Arial"/>
          <w:szCs w:val="24"/>
        </w:rPr>
        <w:t xml:space="preserve"> </w:t>
      </w:r>
    </w:p>
    <w:p w14:paraId="25DA51DE" w14:textId="1F3B70DE" w:rsidR="003B7BB5" w:rsidRPr="00CC0A00" w:rsidRDefault="003B7BB5" w:rsidP="00EC6CD2">
      <w:pPr>
        <w:spacing w:line="480" w:lineRule="auto"/>
        <w:ind w:firstLine="720"/>
        <w:jc w:val="both"/>
        <w:rPr>
          <w:rFonts w:eastAsia="Arial" w:cs="Arial"/>
          <w:szCs w:val="24"/>
        </w:rPr>
      </w:pPr>
      <w:r w:rsidRPr="00D22DC6">
        <w:rPr>
          <w:rFonts w:eastAsia="Arial" w:cs="Arial"/>
          <w:szCs w:val="24"/>
        </w:rPr>
        <w:lastRenderedPageBreak/>
        <w:t>This exact reasoning can be applied to AEP Ohio’s proposed bill message. The PTC is already on the customer’s bill</w:t>
      </w:r>
      <w:r>
        <w:rPr>
          <w:rFonts w:eastAsia="Arial" w:cs="Arial"/>
          <w:szCs w:val="24"/>
        </w:rPr>
        <w:t>, and it remains</w:t>
      </w:r>
      <w:r w:rsidRPr="00D22DC6">
        <w:rPr>
          <w:rFonts w:eastAsia="Arial" w:cs="Arial"/>
          <w:szCs w:val="24"/>
        </w:rPr>
        <w:t xml:space="preserve"> unclear </w:t>
      </w:r>
      <w:r>
        <w:rPr>
          <w:rFonts w:eastAsia="Arial" w:cs="Arial"/>
          <w:szCs w:val="24"/>
        </w:rPr>
        <w:t>how this proposed bill message will provide any additional benefit</w:t>
      </w:r>
      <w:r w:rsidR="00D43B1A">
        <w:rPr>
          <w:rFonts w:eastAsia="Arial" w:cs="Arial"/>
          <w:szCs w:val="24"/>
        </w:rPr>
        <w:t xml:space="preserve"> to</w:t>
      </w:r>
      <w:r>
        <w:rPr>
          <w:rFonts w:eastAsia="Arial" w:cs="Arial"/>
          <w:szCs w:val="24"/>
        </w:rPr>
        <w:t xml:space="preserve"> customers because, as AEP Ohio admits, the current PTC </w:t>
      </w:r>
      <w:r w:rsidR="00BA5719">
        <w:rPr>
          <w:rFonts w:eastAsia="Arial" w:cs="Arial"/>
          <w:szCs w:val="24"/>
        </w:rPr>
        <w:t xml:space="preserve">displays </w:t>
      </w:r>
      <w:r>
        <w:rPr>
          <w:rFonts w:eastAsia="Arial" w:cs="Arial"/>
          <w:szCs w:val="24"/>
        </w:rPr>
        <w:t>more information.</w:t>
      </w:r>
      <w:r>
        <w:rPr>
          <w:rStyle w:val="FootnoteReference"/>
          <w:rFonts w:eastAsia="Arial" w:cs="Arial"/>
          <w:szCs w:val="24"/>
        </w:rPr>
        <w:footnoteReference w:id="18"/>
      </w:r>
      <w:r w:rsidR="00F37D76">
        <w:rPr>
          <w:rFonts w:eastAsia="Arial" w:cs="Arial"/>
          <w:szCs w:val="24"/>
        </w:rPr>
        <w:t xml:space="preserve"> </w:t>
      </w:r>
      <w:r w:rsidR="00BC4D24">
        <w:rPr>
          <w:rFonts w:eastAsia="Arial" w:cs="Arial"/>
          <w:szCs w:val="24"/>
        </w:rPr>
        <w:t xml:space="preserve">It will only be used </w:t>
      </w:r>
      <w:r w:rsidR="00F755DD">
        <w:rPr>
          <w:rFonts w:eastAsia="Arial" w:cs="Arial"/>
          <w:szCs w:val="24"/>
        </w:rPr>
        <w:t xml:space="preserve">to </w:t>
      </w:r>
      <w:r w:rsidR="00274F17">
        <w:rPr>
          <w:rFonts w:eastAsia="Arial" w:cs="Arial"/>
          <w:szCs w:val="24"/>
        </w:rPr>
        <w:t xml:space="preserve">further </w:t>
      </w:r>
      <w:r w:rsidR="00CA204F">
        <w:rPr>
          <w:rFonts w:eastAsia="Arial" w:cs="Arial"/>
          <w:szCs w:val="24"/>
        </w:rPr>
        <w:t xml:space="preserve">emphasize the </w:t>
      </w:r>
      <w:r w:rsidR="0046039E">
        <w:rPr>
          <w:rFonts w:eastAsia="Arial" w:cs="Arial"/>
          <w:szCs w:val="24"/>
        </w:rPr>
        <w:t>PT</w:t>
      </w:r>
      <w:r w:rsidR="00274F17">
        <w:rPr>
          <w:rFonts w:eastAsia="Arial" w:cs="Arial"/>
          <w:szCs w:val="24"/>
        </w:rPr>
        <w:t>C</w:t>
      </w:r>
      <w:r w:rsidR="00561A0D">
        <w:rPr>
          <w:rFonts w:eastAsia="Arial" w:cs="Arial"/>
          <w:szCs w:val="24"/>
        </w:rPr>
        <w:t xml:space="preserve"> and </w:t>
      </w:r>
      <w:r w:rsidR="00DB0E0B">
        <w:rPr>
          <w:rFonts w:eastAsia="Arial" w:cs="Arial"/>
          <w:szCs w:val="24"/>
        </w:rPr>
        <w:t xml:space="preserve">encourage </w:t>
      </w:r>
      <w:r w:rsidR="00755D43">
        <w:rPr>
          <w:rFonts w:eastAsia="Arial" w:cs="Arial"/>
          <w:szCs w:val="24"/>
        </w:rPr>
        <w:t xml:space="preserve">AEP Ohio’s </w:t>
      </w:r>
      <w:r w:rsidR="00D62B5C">
        <w:rPr>
          <w:rFonts w:eastAsia="Arial" w:cs="Arial"/>
          <w:szCs w:val="24"/>
        </w:rPr>
        <w:t>misleading comparisons</w:t>
      </w:r>
      <w:r w:rsidR="004009F4">
        <w:rPr>
          <w:rFonts w:eastAsia="Arial" w:cs="Arial"/>
          <w:szCs w:val="24"/>
        </w:rPr>
        <w:t xml:space="preserve"> with CRES offerings.</w:t>
      </w:r>
      <w:r w:rsidR="00015193">
        <w:rPr>
          <w:rFonts w:eastAsia="Arial" w:cs="Arial"/>
          <w:szCs w:val="24"/>
        </w:rPr>
        <w:t xml:space="preserve"> </w:t>
      </w:r>
      <w:r w:rsidR="00F37D76">
        <w:rPr>
          <w:rFonts w:eastAsia="Arial" w:cs="Arial"/>
          <w:szCs w:val="24"/>
        </w:rPr>
        <w:t xml:space="preserve">Therefore, the </w:t>
      </w:r>
      <w:r w:rsidR="009F6A55">
        <w:rPr>
          <w:rFonts w:eastAsia="Arial" w:cs="Arial"/>
          <w:szCs w:val="24"/>
        </w:rPr>
        <w:t xml:space="preserve">second proposed PTC message is unnecessary and should be rejected. </w:t>
      </w:r>
    </w:p>
    <w:p w14:paraId="31083A83" w14:textId="70593B93" w:rsidR="00DD4C62" w:rsidRPr="00E07EC9" w:rsidRDefault="00EF0804" w:rsidP="00D8141C">
      <w:pPr>
        <w:pStyle w:val="ListParagraph"/>
        <w:numPr>
          <w:ilvl w:val="1"/>
          <w:numId w:val="1"/>
        </w:numPr>
        <w:spacing w:after="240"/>
        <w:jc w:val="both"/>
        <w:rPr>
          <w:rFonts w:eastAsia="Arial" w:cs="Arial"/>
          <w:b/>
          <w:szCs w:val="24"/>
        </w:rPr>
      </w:pPr>
      <w:r w:rsidRPr="00E07EC9">
        <w:rPr>
          <w:rFonts w:eastAsia="Arial" w:cs="Arial"/>
          <w:b/>
          <w:szCs w:val="24"/>
        </w:rPr>
        <w:t>Advanced rate</w:t>
      </w:r>
      <w:r w:rsidR="009D265B">
        <w:rPr>
          <w:rFonts w:eastAsia="Arial" w:cs="Arial"/>
          <w:b/>
          <w:szCs w:val="24"/>
        </w:rPr>
        <w:t xml:space="preserve"> offerings </w:t>
      </w:r>
      <w:r w:rsidRPr="00E07EC9">
        <w:rPr>
          <w:rFonts w:eastAsia="Arial" w:cs="Arial"/>
          <w:b/>
          <w:szCs w:val="24"/>
        </w:rPr>
        <w:t xml:space="preserve">will </w:t>
      </w:r>
      <w:r w:rsidR="009D265B">
        <w:rPr>
          <w:rFonts w:eastAsia="Arial" w:cs="Arial"/>
          <w:b/>
          <w:szCs w:val="24"/>
        </w:rPr>
        <w:t xml:space="preserve">only </w:t>
      </w:r>
      <w:r w:rsidR="0004157C">
        <w:rPr>
          <w:rFonts w:eastAsia="Arial" w:cs="Arial"/>
          <w:b/>
          <w:szCs w:val="24"/>
        </w:rPr>
        <w:t xml:space="preserve">continue to </w:t>
      </w:r>
      <w:r w:rsidR="00F9585B">
        <w:rPr>
          <w:rFonts w:eastAsia="Arial" w:cs="Arial"/>
          <w:b/>
          <w:szCs w:val="24"/>
        </w:rPr>
        <w:t>minimalize the importance of the PTC.</w:t>
      </w:r>
    </w:p>
    <w:p w14:paraId="78F2D7A8" w14:textId="448E3F70" w:rsidR="00BF056F" w:rsidRPr="00BF056F" w:rsidRDefault="00F9585B" w:rsidP="009E6BD4">
      <w:pPr>
        <w:spacing w:line="480" w:lineRule="auto"/>
        <w:ind w:firstLine="720"/>
        <w:jc w:val="both"/>
        <w:rPr>
          <w:rFonts w:eastAsia="Arial" w:cs="Arial"/>
          <w:szCs w:val="24"/>
        </w:rPr>
      </w:pPr>
      <w:r>
        <w:rPr>
          <w:rFonts w:eastAsia="Arial" w:cs="Arial"/>
          <w:szCs w:val="24"/>
        </w:rPr>
        <w:t>As noted above,</w:t>
      </w:r>
      <w:r w:rsidR="00A31DD8">
        <w:rPr>
          <w:rFonts w:eastAsia="Arial" w:cs="Arial"/>
          <w:szCs w:val="24"/>
        </w:rPr>
        <w:t xml:space="preserve"> a</w:t>
      </w:r>
      <w:r w:rsidR="00BF056F" w:rsidRPr="00BF056F">
        <w:rPr>
          <w:rFonts w:eastAsia="Arial" w:cs="Arial"/>
          <w:szCs w:val="24"/>
        </w:rPr>
        <w:t>doption of AEP Ohio’s suggestion would further its mistaken belief that the only benefit customers receive from competition is</w:t>
      </w:r>
      <w:r w:rsidR="00615C52">
        <w:rPr>
          <w:rFonts w:eastAsia="Arial" w:cs="Arial"/>
          <w:szCs w:val="24"/>
        </w:rPr>
        <w:t xml:space="preserve"> a lower </w:t>
      </w:r>
      <w:r w:rsidR="00101330">
        <w:rPr>
          <w:rFonts w:eastAsia="Arial" w:cs="Arial"/>
          <w:szCs w:val="24"/>
        </w:rPr>
        <w:t>per kWh rate</w:t>
      </w:r>
      <w:r w:rsidR="00BF056F" w:rsidRPr="00BF056F">
        <w:rPr>
          <w:rFonts w:eastAsia="Arial" w:cs="Arial"/>
          <w:szCs w:val="24"/>
        </w:rPr>
        <w:t>. This narrow view of electric choice is inconsistent with the state policy provided in R.C. 4928.02. The General Assembly clearly envisioned a more dynamic retail electric market when requiring the Commission to ensure diversity of suppliers and supplies and “encourage innovation and market access for cost-effective supply- and demand-side retail electric service...”</w:t>
      </w:r>
      <w:r w:rsidR="00734D06">
        <w:rPr>
          <w:rStyle w:val="FootnoteReference"/>
          <w:rFonts w:eastAsia="Arial" w:cs="Arial"/>
          <w:szCs w:val="24"/>
        </w:rPr>
        <w:footnoteReference w:id="19"/>
      </w:r>
      <w:r w:rsidR="00BF056F" w:rsidRPr="00BF056F">
        <w:rPr>
          <w:rFonts w:eastAsia="Arial" w:cs="Arial"/>
          <w:szCs w:val="24"/>
        </w:rPr>
        <w:t xml:space="preserve"> Further, retail electric service should “provide consumers with the supplier, price, terms, conditions, and quality options they elect to meet their respective needs.”</w:t>
      </w:r>
      <w:r w:rsidR="00734D06">
        <w:rPr>
          <w:rStyle w:val="FootnoteReference"/>
          <w:rFonts w:eastAsia="Arial" w:cs="Arial"/>
          <w:szCs w:val="24"/>
        </w:rPr>
        <w:footnoteReference w:id="20"/>
      </w:r>
      <w:r w:rsidR="00BF056F" w:rsidRPr="00BF056F">
        <w:rPr>
          <w:rFonts w:eastAsia="Arial" w:cs="Arial"/>
          <w:szCs w:val="24"/>
        </w:rPr>
        <w:t xml:space="preserve">  Reducing the benefits of the retail electric market to a simple price comparison unreasonably raises the importance of one benefit above the rest. </w:t>
      </w:r>
    </w:p>
    <w:p w14:paraId="3952E488" w14:textId="127E7C35" w:rsidR="009A115F" w:rsidRPr="009E6BD4" w:rsidRDefault="00590082" w:rsidP="009E6BD4">
      <w:pPr>
        <w:spacing w:line="480" w:lineRule="auto"/>
        <w:ind w:firstLine="720"/>
        <w:jc w:val="both"/>
        <w:rPr>
          <w:rFonts w:eastAsia="Arial" w:cs="Arial"/>
          <w:szCs w:val="24"/>
        </w:rPr>
      </w:pPr>
      <w:r>
        <w:rPr>
          <w:rFonts w:eastAsia="Arial" w:cs="Arial"/>
          <w:szCs w:val="24"/>
        </w:rPr>
        <w:t>However,</w:t>
      </w:r>
      <w:r w:rsidR="00BF056F" w:rsidRPr="00BF056F">
        <w:rPr>
          <w:rFonts w:eastAsia="Arial" w:cs="Arial"/>
          <w:szCs w:val="24"/>
        </w:rPr>
        <w:t xml:space="preserve"> this approach to viewing customer benefits will become even more troublesome as the distribution grid continues to advance. Customers will</w:t>
      </w:r>
      <w:r w:rsidR="00121202">
        <w:rPr>
          <w:rFonts w:eastAsia="Arial" w:cs="Arial"/>
          <w:szCs w:val="24"/>
        </w:rPr>
        <w:t xml:space="preserve"> have access</w:t>
      </w:r>
      <w:r w:rsidR="00BF056F" w:rsidRPr="00BF056F">
        <w:rPr>
          <w:rFonts w:eastAsia="Arial" w:cs="Arial"/>
          <w:szCs w:val="24"/>
        </w:rPr>
        <w:t xml:space="preserve"> to </w:t>
      </w:r>
      <w:r w:rsidR="00BF056F" w:rsidRPr="00BF056F">
        <w:rPr>
          <w:rFonts w:eastAsia="Arial" w:cs="Arial"/>
          <w:szCs w:val="24"/>
        </w:rPr>
        <w:lastRenderedPageBreak/>
        <w:t xml:space="preserve">more offerings for time-of-use rates, prepaid electric service, and on-site generation, which do not neatly fall into AEP Ohio’s price-based comparison. For example, if the customer is currently on a rate that reflects its individual capacity contribution, the </w:t>
      </w:r>
      <w:r w:rsidR="00D67E94">
        <w:rPr>
          <w:rFonts w:eastAsia="Arial" w:cs="Arial"/>
          <w:szCs w:val="24"/>
        </w:rPr>
        <w:t xml:space="preserve">PTC </w:t>
      </w:r>
      <w:r w:rsidR="00BF056F" w:rsidRPr="00BF056F">
        <w:rPr>
          <w:rFonts w:eastAsia="Arial" w:cs="Arial"/>
          <w:szCs w:val="24"/>
        </w:rPr>
        <w:t xml:space="preserve">could mislead the customer into higher prices for generation because of the class-based capacity allocation. </w:t>
      </w:r>
      <w:r w:rsidR="00D67E94">
        <w:rPr>
          <w:rFonts w:eastAsia="Arial" w:cs="Arial"/>
          <w:szCs w:val="24"/>
        </w:rPr>
        <w:t>The continued emphasi</w:t>
      </w:r>
      <w:r w:rsidR="008C5FA3">
        <w:rPr>
          <w:rFonts w:eastAsia="Arial" w:cs="Arial"/>
          <w:szCs w:val="24"/>
        </w:rPr>
        <w:t>s</w:t>
      </w:r>
      <w:r w:rsidR="00D67E94">
        <w:rPr>
          <w:rFonts w:eastAsia="Arial" w:cs="Arial"/>
          <w:szCs w:val="24"/>
        </w:rPr>
        <w:t xml:space="preserve"> </w:t>
      </w:r>
      <w:r w:rsidR="002E7BEC">
        <w:rPr>
          <w:rFonts w:eastAsia="Arial" w:cs="Arial"/>
          <w:szCs w:val="24"/>
        </w:rPr>
        <w:t xml:space="preserve">and elevation </w:t>
      </w:r>
      <w:r w:rsidR="00D67E94">
        <w:rPr>
          <w:rFonts w:eastAsia="Arial" w:cs="Arial"/>
          <w:szCs w:val="24"/>
        </w:rPr>
        <w:t>o</w:t>
      </w:r>
      <w:r w:rsidR="008C5FA3">
        <w:rPr>
          <w:rFonts w:eastAsia="Arial" w:cs="Arial"/>
          <w:szCs w:val="24"/>
        </w:rPr>
        <w:t>f</w:t>
      </w:r>
      <w:r w:rsidR="00D67E94">
        <w:rPr>
          <w:rFonts w:eastAsia="Arial" w:cs="Arial"/>
          <w:szCs w:val="24"/>
        </w:rPr>
        <w:t xml:space="preserve"> the PTC </w:t>
      </w:r>
      <w:r w:rsidR="004E3942">
        <w:rPr>
          <w:rFonts w:eastAsia="Arial" w:cs="Arial"/>
          <w:szCs w:val="24"/>
        </w:rPr>
        <w:t xml:space="preserve">will only </w:t>
      </w:r>
      <w:r w:rsidR="00864A48">
        <w:rPr>
          <w:rFonts w:eastAsia="Arial" w:cs="Arial"/>
          <w:szCs w:val="24"/>
        </w:rPr>
        <w:t xml:space="preserve">create </w:t>
      </w:r>
      <w:r w:rsidR="005416FC">
        <w:rPr>
          <w:rFonts w:eastAsia="Arial" w:cs="Arial"/>
          <w:szCs w:val="24"/>
        </w:rPr>
        <w:t xml:space="preserve">confusion. </w:t>
      </w:r>
      <w:r w:rsidR="00BF056F" w:rsidRPr="00BF056F">
        <w:rPr>
          <w:rFonts w:eastAsia="Arial" w:cs="Arial"/>
          <w:szCs w:val="24"/>
        </w:rPr>
        <w:t xml:space="preserve">Thus, AEP Ohio’s </w:t>
      </w:r>
      <w:r w:rsidR="00FF3BDA">
        <w:rPr>
          <w:rFonts w:eastAsia="Arial" w:cs="Arial"/>
          <w:szCs w:val="24"/>
        </w:rPr>
        <w:t>Application is</w:t>
      </w:r>
      <w:r w:rsidR="00BF056F" w:rsidRPr="00BF056F">
        <w:rPr>
          <w:rFonts w:eastAsia="Arial" w:cs="Arial"/>
          <w:szCs w:val="24"/>
        </w:rPr>
        <w:t xml:space="preserve"> misleading</w:t>
      </w:r>
      <w:r w:rsidR="005C55CA">
        <w:rPr>
          <w:rFonts w:eastAsia="Arial" w:cs="Arial"/>
          <w:szCs w:val="24"/>
        </w:rPr>
        <w:t xml:space="preserve"> </w:t>
      </w:r>
      <w:r w:rsidR="00BF056F" w:rsidRPr="00BF056F">
        <w:rPr>
          <w:rFonts w:eastAsia="Arial" w:cs="Arial"/>
          <w:szCs w:val="24"/>
        </w:rPr>
        <w:t>and unreasonable and should be rejected.</w:t>
      </w:r>
    </w:p>
    <w:p w14:paraId="574C069A" w14:textId="3C29C6BA" w:rsidR="00C274B8" w:rsidRPr="00D22DC6" w:rsidRDefault="00C274B8" w:rsidP="00D22DC6">
      <w:pPr>
        <w:pStyle w:val="ListParagraph"/>
        <w:numPr>
          <w:ilvl w:val="0"/>
          <w:numId w:val="1"/>
        </w:numPr>
        <w:spacing w:after="160" w:line="259" w:lineRule="auto"/>
        <w:jc w:val="both"/>
        <w:rPr>
          <w:rFonts w:eastAsia="Arial" w:cs="Arial"/>
          <w:b/>
          <w:szCs w:val="24"/>
        </w:rPr>
      </w:pPr>
      <w:r w:rsidRPr="00D22DC6">
        <w:rPr>
          <w:rFonts w:eastAsia="Arial" w:cs="Arial"/>
          <w:b/>
          <w:szCs w:val="24"/>
        </w:rPr>
        <w:t>CONCLUSION</w:t>
      </w:r>
    </w:p>
    <w:p w14:paraId="3B8FE9E8" w14:textId="77777777" w:rsidR="00891BFA" w:rsidRDefault="00D00BB0" w:rsidP="00D00BB0">
      <w:pPr>
        <w:spacing w:after="160" w:line="480" w:lineRule="auto"/>
        <w:ind w:firstLine="720"/>
        <w:jc w:val="both"/>
        <w:rPr>
          <w:rFonts w:eastAsia="Arial" w:cs="Arial"/>
          <w:szCs w:val="24"/>
        </w:rPr>
      </w:pPr>
      <w:r w:rsidRPr="00D00BB0">
        <w:rPr>
          <w:rFonts w:eastAsia="Arial" w:cs="Arial"/>
          <w:szCs w:val="24"/>
        </w:rPr>
        <w:t>Therefore, consistent with the arguments set forth above, IGS respectfully requests that the Commission deny AEP Ohio’s Application.</w:t>
      </w:r>
    </w:p>
    <w:p w14:paraId="279AE92B" w14:textId="20247C3D" w:rsidR="007C3796" w:rsidRPr="002831AF" w:rsidRDefault="007C3796" w:rsidP="00E15650">
      <w:pPr>
        <w:ind w:left="5040" w:firstLine="720"/>
        <w:rPr>
          <w:rFonts w:eastAsia="Calibri" w:cs="Arial"/>
          <w:szCs w:val="24"/>
        </w:rPr>
      </w:pPr>
      <w:r w:rsidRPr="002831AF">
        <w:rPr>
          <w:rFonts w:eastAsia="Calibri" w:cs="Arial"/>
          <w:szCs w:val="24"/>
        </w:rPr>
        <w:t>Respectfully submitted,</w:t>
      </w:r>
    </w:p>
    <w:p w14:paraId="7CEFDAF4" w14:textId="77777777" w:rsidR="007C3796" w:rsidRPr="002831AF" w:rsidRDefault="007C3796" w:rsidP="007C3796">
      <w:pPr>
        <w:rPr>
          <w:rFonts w:eastAsia="Calibri" w:cs="Arial"/>
          <w:szCs w:val="24"/>
        </w:rPr>
      </w:pPr>
    </w:p>
    <w:p w14:paraId="18AFB5A9" w14:textId="77777777" w:rsidR="007C3796" w:rsidRPr="002831AF" w:rsidRDefault="007C3796" w:rsidP="007C3796">
      <w:pPr>
        <w:ind w:left="5040"/>
        <w:rPr>
          <w:rFonts w:eastAsia="Calibri" w:cs="Arial"/>
          <w:szCs w:val="24"/>
          <w:u w:val="single"/>
        </w:rPr>
      </w:pPr>
    </w:p>
    <w:p w14:paraId="27D8C0FB" w14:textId="77777777" w:rsidR="007C3796" w:rsidRPr="002831AF" w:rsidRDefault="007C3796" w:rsidP="007C3796">
      <w:pPr>
        <w:ind w:left="5040"/>
        <w:rPr>
          <w:rFonts w:eastAsia="Calibri" w:cs="Arial"/>
          <w:szCs w:val="24"/>
          <w:u w:val="single"/>
        </w:rPr>
      </w:pPr>
      <w:r w:rsidRPr="002831AF">
        <w:rPr>
          <w:rFonts w:eastAsia="Arial" w:cs="Arial"/>
          <w:i/>
          <w:szCs w:val="24"/>
          <w:u w:val="single"/>
        </w:rPr>
        <w:t>/s/ Bethany Allen_________</w:t>
      </w:r>
    </w:p>
    <w:p w14:paraId="41701395" w14:textId="77777777" w:rsidR="007C3796" w:rsidRPr="007C3796" w:rsidRDefault="007C3796" w:rsidP="007C3796">
      <w:pPr>
        <w:ind w:left="5040"/>
        <w:rPr>
          <w:rStyle w:val="Hyperlink"/>
          <w:rFonts w:cs="Arial"/>
          <w:color w:val="auto"/>
          <w:szCs w:val="24"/>
          <w:u w:val="none"/>
        </w:rPr>
      </w:pPr>
      <w:r w:rsidRPr="007C3796">
        <w:rPr>
          <w:rStyle w:val="Hyperlink"/>
          <w:rFonts w:cs="Arial"/>
          <w:color w:val="auto"/>
          <w:szCs w:val="24"/>
          <w:u w:val="none"/>
        </w:rPr>
        <w:t>Bethany Allen (0093732)</w:t>
      </w:r>
    </w:p>
    <w:p w14:paraId="03AC1007" w14:textId="77777777" w:rsidR="007C3796" w:rsidRPr="007C3796" w:rsidRDefault="007C3796" w:rsidP="007C3796">
      <w:pPr>
        <w:ind w:left="5040"/>
        <w:rPr>
          <w:rStyle w:val="Hyperlink"/>
          <w:rFonts w:cs="Arial"/>
          <w:color w:val="auto"/>
          <w:szCs w:val="24"/>
          <w:u w:val="none"/>
        </w:rPr>
      </w:pPr>
      <w:r w:rsidRPr="007C3796">
        <w:rPr>
          <w:rStyle w:val="Hyperlink"/>
          <w:rFonts w:cs="Arial"/>
          <w:color w:val="auto"/>
          <w:szCs w:val="24"/>
          <w:u w:val="none"/>
        </w:rPr>
        <w:t>Counsel of Record</w:t>
      </w:r>
    </w:p>
    <w:p w14:paraId="7AEF884C" w14:textId="77777777" w:rsidR="007C3796" w:rsidRPr="002831AF" w:rsidRDefault="00514CC2" w:rsidP="007C3796">
      <w:pPr>
        <w:ind w:left="5040"/>
        <w:rPr>
          <w:rStyle w:val="Hyperlink"/>
          <w:rFonts w:cs="Arial"/>
          <w:szCs w:val="24"/>
        </w:rPr>
      </w:pPr>
      <w:hyperlink r:id="rId11" w:history="1">
        <w:r w:rsidR="007C3796" w:rsidRPr="002831AF">
          <w:rPr>
            <w:rStyle w:val="Hyperlink"/>
            <w:rFonts w:cs="Arial"/>
            <w:szCs w:val="24"/>
          </w:rPr>
          <w:t>bethany.allen@igs.com</w:t>
        </w:r>
      </w:hyperlink>
    </w:p>
    <w:p w14:paraId="524CCECF" w14:textId="77777777" w:rsidR="007C3796" w:rsidRPr="002831AF" w:rsidRDefault="007C3796" w:rsidP="007C3796">
      <w:pPr>
        <w:ind w:left="4320" w:firstLine="720"/>
        <w:rPr>
          <w:rFonts w:cs="Arial"/>
          <w:szCs w:val="24"/>
        </w:rPr>
      </w:pPr>
      <w:r w:rsidRPr="002831AF">
        <w:rPr>
          <w:rFonts w:cs="Arial"/>
          <w:szCs w:val="24"/>
        </w:rPr>
        <w:t>Joseph Oliker (0086088)</w:t>
      </w:r>
    </w:p>
    <w:p w14:paraId="67A6B722" w14:textId="77777777" w:rsidR="007C3796" w:rsidRPr="002831AF" w:rsidRDefault="00514CC2" w:rsidP="007C3796">
      <w:pPr>
        <w:ind w:left="5040"/>
        <w:rPr>
          <w:rFonts w:cs="Arial"/>
          <w:szCs w:val="24"/>
        </w:rPr>
      </w:pPr>
      <w:hyperlink r:id="rId12" w:history="1">
        <w:r w:rsidR="007C3796" w:rsidRPr="002831AF">
          <w:rPr>
            <w:rStyle w:val="Hyperlink"/>
            <w:rFonts w:cs="Arial"/>
            <w:szCs w:val="24"/>
          </w:rPr>
          <w:t>joe.oliker@igs.com</w:t>
        </w:r>
      </w:hyperlink>
    </w:p>
    <w:p w14:paraId="01CC8EB0" w14:textId="77777777" w:rsidR="007C3796" w:rsidRPr="002831AF" w:rsidRDefault="007C3796" w:rsidP="007C3796">
      <w:pPr>
        <w:ind w:left="4320" w:firstLine="720"/>
        <w:rPr>
          <w:rFonts w:cs="Arial"/>
          <w:szCs w:val="24"/>
        </w:rPr>
      </w:pPr>
      <w:r w:rsidRPr="002831AF">
        <w:rPr>
          <w:rFonts w:cs="Arial"/>
          <w:szCs w:val="24"/>
        </w:rPr>
        <w:t>Michael Nugent (0090408)</w:t>
      </w:r>
    </w:p>
    <w:p w14:paraId="1F8AA8AB" w14:textId="77777777" w:rsidR="007C3796" w:rsidRPr="002831AF" w:rsidRDefault="00514CC2" w:rsidP="007C3796">
      <w:pPr>
        <w:ind w:left="5040"/>
        <w:rPr>
          <w:rStyle w:val="Hyperlink"/>
          <w:rFonts w:cs="Arial"/>
          <w:szCs w:val="24"/>
        </w:rPr>
      </w:pPr>
      <w:hyperlink r:id="rId13" w:history="1">
        <w:r w:rsidR="007C3796" w:rsidRPr="002831AF">
          <w:rPr>
            <w:rStyle w:val="Hyperlink"/>
            <w:rFonts w:cs="Arial"/>
            <w:szCs w:val="24"/>
          </w:rPr>
          <w:t>michael.nugent@igs.com</w:t>
        </w:r>
      </w:hyperlink>
    </w:p>
    <w:p w14:paraId="25755A7A" w14:textId="77777777" w:rsidR="007C3796" w:rsidRPr="002831AF" w:rsidRDefault="007C3796" w:rsidP="007C3796">
      <w:pPr>
        <w:ind w:left="4320" w:firstLine="720"/>
        <w:rPr>
          <w:rFonts w:cs="Arial"/>
          <w:szCs w:val="24"/>
        </w:rPr>
      </w:pPr>
      <w:r w:rsidRPr="002831AF">
        <w:rPr>
          <w:rFonts w:cs="Arial"/>
          <w:szCs w:val="24"/>
        </w:rPr>
        <w:t>IGS Energy</w:t>
      </w:r>
    </w:p>
    <w:p w14:paraId="221CC733" w14:textId="77777777" w:rsidR="007C3796" w:rsidRPr="002831AF" w:rsidRDefault="007C3796" w:rsidP="007C3796">
      <w:pPr>
        <w:ind w:left="5040"/>
        <w:rPr>
          <w:rFonts w:cs="Arial"/>
          <w:szCs w:val="24"/>
        </w:rPr>
      </w:pPr>
      <w:r w:rsidRPr="002831AF">
        <w:rPr>
          <w:rFonts w:cs="Arial"/>
          <w:szCs w:val="24"/>
        </w:rPr>
        <w:t>6100 Emerald Parkway</w:t>
      </w:r>
    </w:p>
    <w:p w14:paraId="4512B0F1" w14:textId="77777777" w:rsidR="007C3796" w:rsidRPr="002831AF" w:rsidRDefault="007C3796" w:rsidP="007C3796">
      <w:pPr>
        <w:ind w:left="5040"/>
        <w:rPr>
          <w:rFonts w:cs="Arial"/>
          <w:szCs w:val="24"/>
        </w:rPr>
      </w:pPr>
      <w:r w:rsidRPr="002831AF">
        <w:rPr>
          <w:rFonts w:cs="Arial"/>
          <w:szCs w:val="24"/>
        </w:rPr>
        <w:t>Dublin, Ohio 43016</w:t>
      </w:r>
    </w:p>
    <w:p w14:paraId="791AD6FA" w14:textId="77777777" w:rsidR="007C3796" w:rsidRDefault="007C3796" w:rsidP="007C3796">
      <w:pPr>
        <w:ind w:left="5040"/>
        <w:rPr>
          <w:rFonts w:cs="Arial"/>
          <w:szCs w:val="24"/>
        </w:rPr>
      </w:pPr>
      <w:r w:rsidRPr="002831AF">
        <w:rPr>
          <w:rFonts w:cs="Arial"/>
          <w:szCs w:val="24"/>
        </w:rPr>
        <w:t>Telephone:</w:t>
      </w:r>
      <w:r w:rsidRPr="002831AF">
        <w:rPr>
          <w:rFonts w:cs="Arial"/>
          <w:szCs w:val="24"/>
        </w:rPr>
        <w:tab/>
        <w:t>(614) 659-5000</w:t>
      </w:r>
    </w:p>
    <w:p w14:paraId="0A28786A" w14:textId="77777777" w:rsidR="007C3796" w:rsidRPr="002831AF" w:rsidRDefault="007C3796" w:rsidP="007C3796">
      <w:pPr>
        <w:rPr>
          <w:rFonts w:cs="Arial"/>
          <w:szCs w:val="24"/>
        </w:rPr>
      </w:pPr>
    </w:p>
    <w:p w14:paraId="4DA02405" w14:textId="77777777" w:rsidR="007C3796" w:rsidRPr="002831AF" w:rsidRDefault="007C3796" w:rsidP="007C3796">
      <w:pPr>
        <w:ind w:left="5040"/>
        <w:rPr>
          <w:rFonts w:cs="Arial"/>
          <w:szCs w:val="24"/>
        </w:rPr>
      </w:pPr>
    </w:p>
    <w:p w14:paraId="13929F6C" w14:textId="7C95B4B0" w:rsidR="007C3796" w:rsidRPr="002831AF" w:rsidRDefault="007C3796" w:rsidP="007C3796">
      <w:pPr>
        <w:ind w:left="5040"/>
        <w:rPr>
          <w:rFonts w:cs="Arial"/>
          <w:b/>
          <w:i/>
          <w:szCs w:val="24"/>
        </w:rPr>
      </w:pPr>
      <w:r w:rsidRPr="002831AF">
        <w:rPr>
          <w:rFonts w:cs="Arial"/>
          <w:b/>
          <w:i/>
          <w:szCs w:val="24"/>
        </w:rPr>
        <w:t>Attorneys for</w:t>
      </w:r>
      <w:r>
        <w:rPr>
          <w:rFonts w:cs="Arial"/>
          <w:b/>
          <w:i/>
          <w:szCs w:val="24"/>
        </w:rPr>
        <w:t xml:space="preserve"> </w:t>
      </w:r>
      <w:r w:rsidRPr="002831AF">
        <w:rPr>
          <w:rFonts w:cs="Arial"/>
          <w:b/>
          <w:i/>
          <w:szCs w:val="24"/>
        </w:rPr>
        <w:t>IGS</w:t>
      </w:r>
      <w:r>
        <w:rPr>
          <w:rFonts w:cs="Arial"/>
          <w:b/>
          <w:i/>
          <w:szCs w:val="24"/>
        </w:rPr>
        <w:t xml:space="preserve"> </w:t>
      </w:r>
    </w:p>
    <w:p w14:paraId="7AFAB046" w14:textId="77777777" w:rsidR="007C3796" w:rsidRPr="002459A7" w:rsidRDefault="007C3796" w:rsidP="007C3796">
      <w:pPr>
        <w:rPr>
          <w:rFonts w:cs="Arial"/>
          <w:i/>
          <w:szCs w:val="24"/>
        </w:rPr>
      </w:pP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sidRPr="003C1948">
        <w:rPr>
          <w:rFonts w:cs="Arial"/>
          <w:i/>
          <w:szCs w:val="24"/>
        </w:rPr>
        <w:t>(willing to accept service via email)</w:t>
      </w:r>
    </w:p>
    <w:p w14:paraId="1E95B3AA" w14:textId="5623EEE0" w:rsidR="002C6842" w:rsidRPr="00D00BB0" w:rsidRDefault="002C6842" w:rsidP="00D00BB0">
      <w:pPr>
        <w:spacing w:after="160" w:line="480" w:lineRule="auto"/>
        <w:ind w:firstLine="720"/>
        <w:jc w:val="both"/>
        <w:rPr>
          <w:rFonts w:eastAsia="Arial" w:cs="Arial"/>
          <w:szCs w:val="24"/>
        </w:rPr>
      </w:pPr>
    </w:p>
    <w:p w14:paraId="3581879E" w14:textId="77777777" w:rsidR="005C55CA" w:rsidRDefault="005C55CA">
      <w:pPr>
        <w:spacing w:after="160" w:line="259" w:lineRule="auto"/>
        <w:rPr>
          <w:rFonts w:eastAsia="Arial" w:cs="Arial"/>
          <w:b/>
          <w:szCs w:val="24"/>
          <w:u w:val="single"/>
        </w:rPr>
      </w:pPr>
      <w:r>
        <w:rPr>
          <w:rFonts w:eastAsia="Arial" w:cs="Arial"/>
          <w:b/>
          <w:szCs w:val="24"/>
          <w:u w:val="single"/>
        </w:rPr>
        <w:br w:type="page"/>
      </w:r>
    </w:p>
    <w:p w14:paraId="1CC10835" w14:textId="145C56FB" w:rsidR="003A57A9" w:rsidRPr="00D22DC6" w:rsidRDefault="003A57A9" w:rsidP="00A730E4">
      <w:pPr>
        <w:jc w:val="center"/>
        <w:rPr>
          <w:rFonts w:eastAsia="Arial" w:cs="Arial"/>
          <w:b/>
          <w:szCs w:val="24"/>
          <w:u w:val="single"/>
        </w:rPr>
      </w:pPr>
      <w:r w:rsidRPr="00D22DC6">
        <w:rPr>
          <w:rFonts w:eastAsia="Arial" w:cs="Arial"/>
          <w:b/>
          <w:szCs w:val="24"/>
          <w:u w:val="single"/>
        </w:rPr>
        <w:lastRenderedPageBreak/>
        <w:t>CERTIFICATE OF SERVICE</w:t>
      </w:r>
    </w:p>
    <w:p w14:paraId="3464A515" w14:textId="77777777" w:rsidR="003A57A9" w:rsidRPr="00D22DC6" w:rsidRDefault="003A57A9" w:rsidP="00D22DC6">
      <w:pPr>
        <w:jc w:val="both"/>
        <w:rPr>
          <w:rFonts w:eastAsia="Arial" w:cs="Arial"/>
          <w:b/>
          <w:szCs w:val="24"/>
          <w:u w:val="single"/>
        </w:rPr>
      </w:pPr>
    </w:p>
    <w:p w14:paraId="141DE994" w14:textId="6048EDDD" w:rsidR="003A57A9" w:rsidRPr="00D22DC6" w:rsidRDefault="003A57A9" w:rsidP="00D22DC6">
      <w:pPr>
        <w:jc w:val="both"/>
        <w:rPr>
          <w:rFonts w:eastAsia="Calibri" w:cs="Arial"/>
          <w:szCs w:val="24"/>
        </w:rPr>
      </w:pPr>
      <w:r w:rsidRPr="00D22DC6">
        <w:rPr>
          <w:rFonts w:eastAsia="Arial" w:cs="Arial"/>
          <w:szCs w:val="24"/>
        </w:rPr>
        <w:tab/>
      </w:r>
      <w:r w:rsidRPr="00D22DC6">
        <w:rPr>
          <w:rFonts w:eastAsia="Calibri" w:cs="Arial"/>
          <w:szCs w:val="24"/>
        </w:rPr>
        <w:t>I certify that th</w:t>
      </w:r>
      <w:r w:rsidR="00A730E4">
        <w:rPr>
          <w:rFonts w:eastAsia="Calibri" w:cs="Arial"/>
          <w:szCs w:val="24"/>
        </w:rPr>
        <w:t xml:space="preserve">is Initial Comments </w:t>
      </w:r>
      <w:r w:rsidRPr="00A730E4">
        <w:rPr>
          <w:rFonts w:eastAsia="Calibri" w:cs="Arial"/>
          <w:i/>
          <w:szCs w:val="24"/>
        </w:rPr>
        <w:t>of</w:t>
      </w:r>
      <w:r w:rsidRPr="00A730E4">
        <w:rPr>
          <w:rFonts w:eastAsia="Calibri" w:cs="Arial"/>
          <w:szCs w:val="24"/>
        </w:rPr>
        <w:t xml:space="preserve"> </w:t>
      </w:r>
      <w:r w:rsidRPr="00A730E4">
        <w:rPr>
          <w:rFonts w:eastAsia="Calibri" w:cs="Arial"/>
          <w:i/>
          <w:szCs w:val="24"/>
        </w:rPr>
        <w:t>Interstate Gas Supply, Inc.</w:t>
      </w:r>
      <w:r w:rsidRPr="00D22DC6">
        <w:rPr>
          <w:rFonts w:eastAsia="Calibri" w:cs="Arial"/>
          <w:i/>
          <w:szCs w:val="24"/>
        </w:rPr>
        <w:t xml:space="preserve"> </w:t>
      </w:r>
      <w:r w:rsidRPr="00D22DC6">
        <w:rPr>
          <w:rFonts w:eastAsia="Calibri" w:cs="Arial"/>
          <w:szCs w:val="24"/>
        </w:rPr>
        <w:t xml:space="preserve">was filed electronically through the Docketing Information System of the Public Utilities Commission of Ohio </w:t>
      </w:r>
      <w:r w:rsidR="00A730E4">
        <w:rPr>
          <w:rFonts w:eastAsia="Calibri" w:cs="Arial"/>
          <w:szCs w:val="24"/>
        </w:rPr>
        <w:t>on November 2</w:t>
      </w:r>
      <w:r w:rsidRPr="00D22DC6">
        <w:rPr>
          <w:rFonts w:eastAsia="Calibri" w:cs="Arial"/>
          <w:szCs w:val="24"/>
        </w:rPr>
        <w:t>, 2020. The PUCO’s e-filing system will electronically serve notice of the filing of this document on the parties subscribed to these proceedings. Additionally, notice was provided to the parties listed below.</w:t>
      </w:r>
    </w:p>
    <w:p w14:paraId="5A96892A" w14:textId="77777777" w:rsidR="003A57A9" w:rsidRPr="00D22DC6" w:rsidRDefault="003A57A9" w:rsidP="00D22DC6">
      <w:pPr>
        <w:jc w:val="both"/>
        <w:rPr>
          <w:rFonts w:eastAsia="Arial" w:cs="Arial"/>
          <w:i/>
          <w:szCs w:val="24"/>
          <w:u w:val="single"/>
        </w:rPr>
      </w:pPr>
    </w:p>
    <w:p w14:paraId="5C18E526" w14:textId="77777777" w:rsidR="003A57A9" w:rsidRPr="00D22DC6" w:rsidRDefault="003A57A9" w:rsidP="00D22DC6">
      <w:pPr>
        <w:ind w:left="5040"/>
        <w:jc w:val="both"/>
        <w:rPr>
          <w:rFonts w:eastAsia="Arial" w:cs="Arial"/>
          <w:i/>
          <w:szCs w:val="24"/>
          <w:u w:val="single"/>
        </w:rPr>
      </w:pPr>
    </w:p>
    <w:p w14:paraId="421BDB4A" w14:textId="77777777" w:rsidR="003A57A9" w:rsidRPr="00D22DC6" w:rsidRDefault="003A57A9" w:rsidP="00D22DC6">
      <w:pPr>
        <w:ind w:left="5040"/>
        <w:jc w:val="both"/>
        <w:rPr>
          <w:rFonts w:eastAsia="Calibri" w:cs="Arial"/>
          <w:szCs w:val="24"/>
          <w:u w:val="single"/>
        </w:rPr>
      </w:pPr>
      <w:r w:rsidRPr="00D22DC6">
        <w:rPr>
          <w:rFonts w:eastAsia="Arial" w:cs="Arial"/>
          <w:i/>
          <w:szCs w:val="24"/>
          <w:u w:val="single"/>
        </w:rPr>
        <w:t>/s/ Bethany Allen_________</w:t>
      </w:r>
    </w:p>
    <w:p w14:paraId="41B882B8" w14:textId="77777777" w:rsidR="003A57A9" w:rsidRPr="00D22DC6" w:rsidRDefault="003A57A9" w:rsidP="00D22DC6">
      <w:pPr>
        <w:ind w:left="4320" w:firstLine="720"/>
        <w:jc w:val="both"/>
        <w:rPr>
          <w:rFonts w:cs="Arial"/>
          <w:szCs w:val="24"/>
        </w:rPr>
      </w:pPr>
      <w:r w:rsidRPr="00D22DC6">
        <w:rPr>
          <w:rFonts w:cs="Arial"/>
          <w:szCs w:val="24"/>
        </w:rPr>
        <w:t>Bethany Allen</w:t>
      </w:r>
    </w:p>
    <w:p w14:paraId="5E7BA8B4" w14:textId="77777777" w:rsidR="003A57A9" w:rsidRPr="00D22DC6" w:rsidRDefault="003A57A9" w:rsidP="00D22DC6">
      <w:pPr>
        <w:jc w:val="both"/>
        <w:rPr>
          <w:rFonts w:eastAsia="Arial" w:cs="Arial"/>
          <w:szCs w:val="24"/>
        </w:rPr>
      </w:pPr>
    </w:p>
    <w:p w14:paraId="4903F5C1" w14:textId="77777777" w:rsidR="003A57A9" w:rsidRPr="00D22DC6" w:rsidRDefault="003A57A9" w:rsidP="00D22DC6">
      <w:pPr>
        <w:jc w:val="both"/>
        <w:rPr>
          <w:rFonts w:cs="Arial"/>
          <w:b/>
          <w:szCs w:val="24"/>
        </w:rPr>
      </w:pPr>
      <w:r w:rsidRPr="00E15650">
        <w:rPr>
          <w:rFonts w:cs="Arial"/>
          <w:b/>
          <w:szCs w:val="24"/>
        </w:rPr>
        <w:t>SERVICE LIST</w:t>
      </w:r>
      <w:r w:rsidRPr="00D22DC6">
        <w:rPr>
          <w:rFonts w:cs="Arial"/>
          <w:b/>
          <w:szCs w:val="24"/>
        </w:rPr>
        <w:t xml:space="preserve"> </w:t>
      </w:r>
    </w:p>
    <w:p w14:paraId="37F7CA53" w14:textId="77777777" w:rsidR="003A57A9" w:rsidRPr="00D22DC6" w:rsidRDefault="003A57A9" w:rsidP="00D22DC6">
      <w:pPr>
        <w:jc w:val="both"/>
        <w:rPr>
          <w:rFonts w:cs="Arial"/>
          <w:b/>
          <w:szCs w:val="24"/>
        </w:rPr>
      </w:pPr>
    </w:p>
    <w:p w14:paraId="3819AA7E" w14:textId="77777777" w:rsidR="003A57A9" w:rsidRPr="00FD1194" w:rsidRDefault="003A57A9" w:rsidP="00D22DC6">
      <w:pPr>
        <w:jc w:val="both"/>
        <w:rPr>
          <w:rFonts w:eastAsia="Arial" w:cs="Arial"/>
          <w:szCs w:val="24"/>
          <w:u w:val="single"/>
        </w:rPr>
      </w:pPr>
      <w:r w:rsidRPr="00FD1194">
        <w:rPr>
          <w:rFonts w:eastAsia="Arial" w:cs="Arial"/>
          <w:szCs w:val="24"/>
          <w:u w:val="single"/>
        </w:rPr>
        <w:t xml:space="preserve">stnourse@aep.com </w:t>
      </w:r>
    </w:p>
    <w:p w14:paraId="4BAE8388" w14:textId="77777777" w:rsidR="003A57A9" w:rsidRPr="00FD1194" w:rsidRDefault="00514CC2" w:rsidP="00D22DC6">
      <w:pPr>
        <w:jc w:val="both"/>
        <w:rPr>
          <w:rFonts w:eastAsia="Arial" w:cs="Arial"/>
          <w:szCs w:val="24"/>
          <w:u w:val="single"/>
        </w:rPr>
      </w:pPr>
      <w:hyperlink r:id="rId14" w:history="1">
        <w:r w:rsidR="003A57A9" w:rsidRPr="00FD1194">
          <w:rPr>
            <w:rStyle w:val="Hyperlink"/>
            <w:rFonts w:eastAsia="Arial" w:cs="Arial"/>
            <w:color w:val="auto"/>
            <w:szCs w:val="24"/>
          </w:rPr>
          <w:t>john.jones@ohioattorneygeneral.gov</w:t>
        </w:r>
      </w:hyperlink>
    </w:p>
    <w:p w14:paraId="0F4EE7CE" w14:textId="77777777" w:rsidR="00984E2C" w:rsidRPr="00FD1194" w:rsidRDefault="00984E2C" w:rsidP="00D22DC6">
      <w:pPr>
        <w:jc w:val="both"/>
        <w:rPr>
          <w:u w:val="single"/>
        </w:rPr>
      </w:pPr>
      <w:r w:rsidRPr="00FD1194">
        <w:rPr>
          <w:u w:val="single"/>
        </w:rPr>
        <w:t xml:space="preserve">Christopher.healey@occ.ohio.gov </w:t>
      </w:r>
    </w:p>
    <w:p w14:paraId="11F46245" w14:textId="680EE79E" w:rsidR="00984E2C" w:rsidRPr="00FD1194" w:rsidRDefault="00514CC2" w:rsidP="00D22DC6">
      <w:pPr>
        <w:jc w:val="both"/>
        <w:rPr>
          <w:u w:val="single"/>
        </w:rPr>
      </w:pPr>
      <w:hyperlink r:id="rId15" w:history="1">
        <w:r w:rsidR="00984E2C" w:rsidRPr="00FD1194">
          <w:rPr>
            <w:rStyle w:val="Hyperlink"/>
            <w:color w:val="auto"/>
          </w:rPr>
          <w:t>Ambrosia.wilson@occ.ohio.gov</w:t>
        </w:r>
      </w:hyperlink>
      <w:r w:rsidR="00984E2C" w:rsidRPr="00FD1194">
        <w:rPr>
          <w:u w:val="single"/>
        </w:rPr>
        <w:t xml:space="preserve"> </w:t>
      </w:r>
    </w:p>
    <w:p w14:paraId="75B3C581" w14:textId="67392303" w:rsidR="00984E2C" w:rsidRPr="00FD1194" w:rsidRDefault="00514CC2" w:rsidP="00D22DC6">
      <w:pPr>
        <w:jc w:val="both"/>
        <w:rPr>
          <w:u w:val="single"/>
        </w:rPr>
      </w:pPr>
      <w:hyperlink r:id="rId16" w:history="1">
        <w:r w:rsidR="00984E2C" w:rsidRPr="00FD1194">
          <w:rPr>
            <w:rStyle w:val="Hyperlink"/>
            <w:color w:val="auto"/>
          </w:rPr>
          <w:t>gkrassen@bricker.com</w:t>
        </w:r>
      </w:hyperlink>
      <w:r w:rsidR="00984E2C" w:rsidRPr="00FD1194">
        <w:rPr>
          <w:u w:val="single"/>
        </w:rPr>
        <w:t xml:space="preserve"> </w:t>
      </w:r>
    </w:p>
    <w:p w14:paraId="407F0D71" w14:textId="49AA38EA" w:rsidR="00984E2C" w:rsidRPr="00FD1194" w:rsidRDefault="00514CC2" w:rsidP="00D22DC6">
      <w:pPr>
        <w:jc w:val="both"/>
        <w:rPr>
          <w:u w:val="single"/>
        </w:rPr>
      </w:pPr>
      <w:hyperlink r:id="rId17" w:history="1">
        <w:r w:rsidR="00984E2C" w:rsidRPr="00FD1194">
          <w:rPr>
            <w:rStyle w:val="Hyperlink"/>
            <w:color w:val="auto"/>
          </w:rPr>
          <w:t>dstinson@bricker.com</w:t>
        </w:r>
      </w:hyperlink>
      <w:r w:rsidR="00984E2C" w:rsidRPr="00FD1194">
        <w:rPr>
          <w:u w:val="single"/>
        </w:rPr>
        <w:t xml:space="preserve"> </w:t>
      </w:r>
    </w:p>
    <w:p w14:paraId="64EFF23D" w14:textId="3F7BDEE0" w:rsidR="00984E2C" w:rsidRPr="00FD1194" w:rsidRDefault="00514CC2" w:rsidP="00D22DC6">
      <w:pPr>
        <w:jc w:val="both"/>
        <w:rPr>
          <w:u w:val="single"/>
        </w:rPr>
      </w:pPr>
      <w:hyperlink r:id="rId18" w:history="1">
        <w:r w:rsidR="00984E2C" w:rsidRPr="00FD1194">
          <w:rPr>
            <w:rStyle w:val="Hyperlink"/>
            <w:color w:val="auto"/>
          </w:rPr>
          <w:t>dparram@bricker.com</w:t>
        </w:r>
      </w:hyperlink>
      <w:r w:rsidR="00984E2C" w:rsidRPr="00FD1194">
        <w:rPr>
          <w:u w:val="single"/>
        </w:rPr>
        <w:t xml:space="preserve"> </w:t>
      </w:r>
    </w:p>
    <w:p w14:paraId="4BE71D8F" w14:textId="7C34049E" w:rsidR="00984E2C" w:rsidRPr="00FD1194" w:rsidRDefault="00514CC2" w:rsidP="00D22DC6">
      <w:pPr>
        <w:jc w:val="both"/>
        <w:rPr>
          <w:u w:val="single"/>
        </w:rPr>
      </w:pPr>
      <w:hyperlink r:id="rId19" w:history="1">
        <w:r w:rsidR="00984E2C" w:rsidRPr="00FD1194">
          <w:rPr>
            <w:rStyle w:val="Hyperlink"/>
            <w:color w:val="auto"/>
          </w:rPr>
          <w:t>mjsettineri@vorys.com</w:t>
        </w:r>
      </w:hyperlink>
      <w:r w:rsidR="00984E2C" w:rsidRPr="00FD1194">
        <w:rPr>
          <w:u w:val="single"/>
        </w:rPr>
        <w:t xml:space="preserve"> </w:t>
      </w:r>
    </w:p>
    <w:p w14:paraId="656FC381" w14:textId="0E2210B1" w:rsidR="003A57A9" w:rsidRPr="00FD1194" w:rsidRDefault="00984E2C" w:rsidP="00D22DC6">
      <w:pPr>
        <w:jc w:val="both"/>
        <w:rPr>
          <w:rFonts w:eastAsia="Arial" w:cs="Arial"/>
          <w:szCs w:val="24"/>
          <w:u w:val="single"/>
        </w:rPr>
      </w:pPr>
      <w:r w:rsidRPr="00FD1194">
        <w:rPr>
          <w:u w:val="single"/>
        </w:rPr>
        <w:t>glpetrucci@vorys.com</w:t>
      </w:r>
    </w:p>
    <w:p w14:paraId="750444D8" w14:textId="77777777" w:rsidR="00FD1194" w:rsidRPr="00FD1194" w:rsidRDefault="00FD1194" w:rsidP="00D22DC6">
      <w:pPr>
        <w:jc w:val="both"/>
        <w:rPr>
          <w:u w:val="single"/>
        </w:rPr>
      </w:pPr>
      <w:r w:rsidRPr="00FD1194">
        <w:rPr>
          <w:u w:val="single"/>
        </w:rPr>
        <w:t xml:space="preserve">whitt@whitt-sturtevant.com </w:t>
      </w:r>
    </w:p>
    <w:p w14:paraId="0BAC17B1" w14:textId="3FD21957" w:rsidR="003A57A9" w:rsidRPr="00FD1194" w:rsidRDefault="00FD1194" w:rsidP="00D22DC6">
      <w:pPr>
        <w:jc w:val="both"/>
        <w:rPr>
          <w:rFonts w:cs="Arial"/>
          <w:szCs w:val="24"/>
          <w:u w:val="single"/>
        </w:rPr>
      </w:pPr>
      <w:r w:rsidRPr="00FD1194">
        <w:rPr>
          <w:u w:val="single"/>
        </w:rPr>
        <w:t xml:space="preserve">fykes@whitt-sturtevant.com </w:t>
      </w:r>
    </w:p>
    <w:p w14:paraId="6415887D" w14:textId="77777777" w:rsidR="003A57A9" w:rsidRPr="00D22DC6" w:rsidRDefault="003A57A9" w:rsidP="00D22DC6">
      <w:pPr>
        <w:jc w:val="both"/>
        <w:rPr>
          <w:rFonts w:eastAsia="Arial" w:cs="Arial"/>
          <w:i/>
          <w:szCs w:val="24"/>
          <w:u w:val="single"/>
        </w:rPr>
      </w:pPr>
    </w:p>
    <w:p w14:paraId="3E72A424" w14:textId="77777777" w:rsidR="003A57A9" w:rsidRPr="00D22DC6" w:rsidRDefault="003A57A9" w:rsidP="00D22DC6">
      <w:pPr>
        <w:jc w:val="both"/>
        <w:rPr>
          <w:rFonts w:cs="Arial"/>
          <w:szCs w:val="24"/>
        </w:rPr>
      </w:pPr>
      <w:bookmarkStart w:id="0" w:name="_GoBack"/>
      <w:bookmarkEnd w:id="0"/>
    </w:p>
    <w:sectPr w:rsidR="003A57A9" w:rsidRPr="00D22DC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747F2" w14:textId="77777777" w:rsidR="002B11F6" w:rsidRDefault="002B11F6" w:rsidP="00FB1BAF">
      <w:r>
        <w:separator/>
      </w:r>
    </w:p>
  </w:endnote>
  <w:endnote w:type="continuationSeparator" w:id="0">
    <w:p w14:paraId="2CDE1B83" w14:textId="77777777" w:rsidR="002B11F6" w:rsidRDefault="002B11F6" w:rsidP="00FB1BAF">
      <w:r>
        <w:continuationSeparator/>
      </w:r>
    </w:p>
  </w:endnote>
  <w:endnote w:type="continuationNotice" w:id="1">
    <w:p w14:paraId="21B1ED4F" w14:textId="77777777" w:rsidR="002B11F6" w:rsidRDefault="002B1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935711839"/>
      <w:docPartObj>
        <w:docPartGallery w:val="Page Numbers (Bottom of Page)"/>
        <w:docPartUnique/>
      </w:docPartObj>
    </w:sdtPr>
    <w:sdtEndPr>
      <w:rPr>
        <w:noProof/>
      </w:rPr>
    </w:sdtEndPr>
    <w:sdtContent>
      <w:p w14:paraId="5EC061B7" w14:textId="3EB0B37F" w:rsidR="00BA5E27" w:rsidRPr="00F80228" w:rsidRDefault="00BA5E27">
        <w:pPr>
          <w:pStyle w:val="Footer"/>
          <w:jc w:val="right"/>
          <w:rPr>
            <w:rFonts w:cs="Arial"/>
          </w:rPr>
        </w:pPr>
        <w:r w:rsidRPr="00F80228">
          <w:rPr>
            <w:rFonts w:cs="Arial"/>
          </w:rPr>
          <w:fldChar w:fldCharType="begin"/>
        </w:r>
        <w:r w:rsidRPr="00F80228">
          <w:rPr>
            <w:rFonts w:cs="Arial"/>
          </w:rPr>
          <w:instrText xml:space="preserve"> PAGE   \* MERGEFORMAT </w:instrText>
        </w:r>
        <w:r w:rsidRPr="00F80228">
          <w:rPr>
            <w:rFonts w:cs="Arial"/>
          </w:rPr>
          <w:fldChar w:fldCharType="separate"/>
        </w:r>
        <w:r w:rsidRPr="00F80228">
          <w:rPr>
            <w:rFonts w:cs="Arial"/>
            <w:noProof/>
          </w:rPr>
          <w:t>2</w:t>
        </w:r>
        <w:r w:rsidRPr="00F80228">
          <w:rPr>
            <w:rFonts w:cs="Arial"/>
            <w:noProof/>
          </w:rPr>
          <w:fldChar w:fldCharType="end"/>
        </w:r>
      </w:p>
    </w:sdtContent>
  </w:sdt>
  <w:p w14:paraId="73F809B0" w14:textId="77777777" w:rsidR="00BA5E27" w:rsidRPr="00F80228" w:rsidRDefault="00BA5E27">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E2691" w14:textId="77777777" w:rsidR="002B11F6" w:rsidRDefault="002B11F6" w:rsidP="00FB1BAF">
      <w:r>
        <w:separator/>
      </w:r>
    </w:p>
  </w:footnote>
  <w:footnote w:type="continuationSeparator" w:id="0">
    <w:p w14:paraId="5F333CEF" w14:textId="77777777" w:rsidR="002B11F6" w:rsidRDefault="002B11F6" w:rsidP="00FB1BAF">
      <w:r>
        <w:continuationSeparator/>
      </w:r>
    </w:p>
  </w:footnote>
  <w:footnote w:type="continuationNotice" w:id="1">
    <w:p w14:paraId="0FBDB995" w14:textId="77777777" w:rsidR="002B11F6" w:rsidRDefault="002B11F6"/>
  </w:footnote>
  <w:footnote w:id="2">
    <w:p w14:paraId="575477D4" w14:textId="196FCAA8" w:rsidR="00D63D36" w:rsidRDefault="00D63D36" w:rsidP="00E15650">
      <w:pPr>
        <w:pStyle w:val="FootnoteText"/>
        <w:spacing w:after="240"/>
        <w:jc w:val="both"/>
      </w:pPr>
      <w:r>
        <w:rPr>
          <w:rStyle w:val="FootnoteReference"/>
        </w:rPr>
        <w:footnoteRef/>
      </w:r>
      <w:r>
        <w:t xml:space="preserve"> </w:t>
      </w:r>
      <w:r w:rsidR="00894B7E">
        <w:t>Application at 1.</w:t>
      </w:r>
    </w:p>
  </w:footnote>
  <w:footnote w:id="3">
    <w:p w14:paraId="70686AE4" w14:textId="0F7233A1" w:rsidR="00275281" w:rsidRDefault="00275281" w:rsidP="00E15650">
      <w:pPr>
        <w:pStyle w:val="FootnoteText"/>
        <w:spacing w:after="240"/>
        <w:jc w:val="both"/>
      </w:pPr>
      <w:r>
        <w:rPr>
          <w:rStyle w:val="FootnoteReference"/>
        </w:rPr>
        <w:footnoteRef/>
      </w:r>
      <w:r>
        <w:t xml:space="preserve"> </w:t>
      </w:r>
      <w:r w:rsidR="00CD2543" w:rsidRPr="00D8141C">
        <w:rPr>
          <w:i/>
        </w:rPr>
        <w:t>Id.</w:t>
      </w:r>
      <w:r w:rsidRPr="00D8141C">
        <w:rPr>
          <w:i/>
        </w:rPr>
        <w:t xml:space="preserve"> </w:t>
      </w:r>
      <w:r>
        <w:t>at 2.</w:t>
      </w:r>
    </w:p>
  </w:footnote>
  <w:footnote w:id="4">
    <w:p w14:paraId="4FBCAAFB" w14:textId="3F25AF4F" w:rsidR="00885C3D" w:rsidRDefault="00885C3D" w:rsidP="00E15650">
      <w:pPr>
        <w:pStyle w:val="FootnoteText"/>
        <w:spacing w:after="240"/>
        <w:jc w:val="both"/>
      </w:pPr>
      <w:r>
        <w:rPr>
          <w:rStyle w:val="FootnoteReference"/>
        </w:rPr>
        <w:footnoteRef/>
      </w:r>
      <w:r>
        <w:t xml:space="preserve"> </w:t>
      </w:r>
      <w:r w:rsidR="00CD2543" w:rsidRPr="00D8141C">
        <w:rPr>
          <w:i/>
        </w:rPr>
        <w:t>Id.</w:t>
      </w:r>
      <w:r w:rsidR="00CD2543">
        <w:t xml:space="preserve"> at 1.</w:t>
      </w:r>
    </w:p>
  </w:footnote>
  <w:footnote w:id="5">
    <w:p w14:paraId="2BD156A6" w14:textId="37D2762E" w:rsidR="006C042C" w:rsidRDefault="006C042C" w:rsidP="00E15650">
      <w:pPr>
        <w:pStyle w:val="FootnoteText"/>
        <w:spacing w:after="240"/>
        <w:jc w:val="both"/>
      </w:pPr>
      <w:r>
        <w:rPr>
          <w:rStyle w:val="FootnoteReference"/>
        </w:rPr>
        <w:footnoteRef/>
      </w:r>
      <w:r>
        <w:t xml:space="preserve"> </w:t>
      </w:r>
      <w:r w:rsidR="009F277D" w:rsidRPr="00D8141C">
        <w:rPr>
          <w:i/>
        </w:rPr>
        <w:t>See</w:t>
      </w:r>
      <w:r w:rsidR="009F277D">
        <w:t xml:space="preserve"> R.C. 4928.03</w:t>
      </w:r>
      <w:r w:rsidR="00ED1770">
        <w:t>; R.C. 4928.17(A).</w:t>
      </w:r>
    </w:p>
  </w:footnote>
  <w:footnote w:id="6">
    <w:p w14:paraId="38458814" w14:textId="70BE5ADB" w:rsidR="00945CCF" w:rsidRDefault="00945CCF" w:rsidP="00E15650">
      <w:pPr>
        <w:pStyle w:val="FootnoteText"/>
        <w:spacing w:after="240"/>
        <w:jc w:val="both"/>
      </w:pPr>
      <w:r>
        <w:rPr>
          <w:rStyle w:val="FootnoteReference"/>
        </w:rPr>
        <w:footnoteRef/>
      </w:r>
      <w:r>
        <w:t xml:space="preserve"> Application at 2.</w:t>
      </w:r>
    </w:p>
  </w:footnote>
  <w:footnote w:id="7">
    <w:p w14:paraId="2883878D" w14:textId="60E3BDAB" w:rsidR="00FF41B2" w:rsidRDefault="00FF41B2" w:rsidP="00E15650">
      <w:pPr>
        <w:pStyle w:val="FootnoteText"/>
        <w:spacing w:after="240"/>
        <w:jc w:val="both"/>
      </w:pPr>
      <w:r>
        <w:rPr>
          <w:rStyle w:val="FootnoteReference"/>
        </w:rPr>
        <w:footnoteRef/>
      </w:r>
      <w:r>
        <w:t xml:space="preserve"> </w:t>
      </w:r>
      <w:r w:rsidR="00491BC7" w:rsidRPr="00D8141C">
        <w:rPr>
          <w:i/>
        </w:rPr>
        <w:t>See</w:t>
      </w:r>
      <w:r w:rsidR="00491BC7">
        <w:t xml:space="preserve"> R.C. </w:t>
      </w:r>
      <w:r w:rsidR="00CC16B0">
        <w:t>4905.</w:t>
      </w:r>
      <w:r w:rsidR="00C834E8">
        <w:t>35</w:t>
      </w:r>
      <w:r w:rsidR="00675FFD">
        <w:t xml:space="preserve">(A); </w:t>
      </w:r>
      <w:r w:rsidR="00491BC7">
        <w:t>4928.02(</w:t>
      </w:r>
      <w:r w:rsidR="00D24A27">
        <w:t>H</w:t>
      </w:r>
      <w:r w:rsidR="00491BC7">
        <w:t>); R.C. 4928.17(A)</w:t>
      </w:r>
      <w:r w:rsidR="00D24A27">
        <w:t>.</w:t>
      </w:r>
    </w:p>
  </w:footnote>
  <w:footnote w:id="8">
    <w:p w14:paraId="11737F59" w14:textId="2985A4BA" w:rsidR="00B64054" w:rsidRDefault="00B64054" w:rsidP="00E15650">
      <w:pPr>
        <w:pStyle w:val="FootnoteText"/>
        <w:spacing w:after="240"/>
        <w:jc w:val="both"/>
      </w:pPr>
      <w:r>
        <w:rPr>
          <w:rStyle w:val="FootnoteReference"/>
        </w:rPr>
        <w:footnoteRef/>
      </w:r>
      <w:r>
        <w:t xml:space="preserve"> </w:t>
      </w:r>
      <w:r w:rsidR="00F54E26" w:rsidRPr="00D8141C">
        <w:rPr>
          <w:rFonts w:cs="Arial"/>
          <w:i/>
          <w:color w:val="232323"/>
        </w:rPr>
        <w:t xml:space="preserve">In the Matter of the Application of Ohio Power Company for Approval </w:t>
      </w:r>
      <w:r w:rsidR="00EF6EA9" w:rsidRPr="00D8141C">
        <w:rPr>
          <w:rFonts w:cs="Arial"/>
          <w:i/>
          <w:color w:val="232323"/>
        </w:rPr>
        <w:t>to Amend its Tariff,</w:t>
      </w:r>
      <w:r w:rsidR="00EF6EA9">
        <w:rPr>
          <w:rFonts w:cs="Arial"/>
          <w:color w:val="232323"/>
        </w:rPr>
        <w:t xml:space="preserve"> Case No</w:t>
      </w:r>
      <w:r w:rsidR="008062F4">
        <w:rPr>
          <w:rFonts w:cs="Arial"/>
          <w:color w:val="232323"/>
        </w:rPr>
        <w:t>s</w:t>
      </w:r>
      <w:r w:rsidR="00EF6EA9">
        <w:rPr>
          <w:rFonts w:cs="Arial"/>
          <w:color w:val="232323"/>
        </w:rPr>
        <w:t>. 20-1603-EL-ATA, et al., Application (</w:t>
      </w:r>
      <w:r w:rsidR="008062F4">
        <w:rPr>
          <w:rFonts w:cs="Arial"/>
          <w:color w:val="232323"/>
        </w:rPr>
        <w:t>Oct. 16, 2020).</w:t>
      </w:r>
    </w:p>
  </w:footnote>
  <w:footnote w:id="9">
    <w:p w14:paraId="10E2424C" w14:textId="51B07CDE" w:rsidR="0050369F" w:rsidRDefault="0050369F" w:rsidP="00E15650">
      <w:pPr>
        <w:pStyle w:val="FootnoteText"/>
        <w:spacing w:after="240"/>
        <w:jc w:val="both"/>
      </w:pPr>
      <w:r>
        <w:rPr>
          <w:rStyle w:val="FootnoteReference"/>
        </w:rPr>
        <w:footnoteRef/>
      </w:r>
      <w:r>
        <w:t xml:space="preserve"> </w:t>
      </w:r>
      <w:r w:rsidR="00F32703" w:rsidRPr="00D8141C">
        <w:rPr>
          <w:i/>
        </w:rPr>
        <w:t xml:space="preserve">In the Matter </w:t>
      </w:r>
      <w:r w:rsidR="000809F6" w:rsidRPr="00D8141C">
        <w:rPr>
          <w:i/>
        </w:rPr>
        <w:t xml:space="preserve">of the Commission’s Investigation </w:t>
      </w:r>
      <w:r w:rsidR="00D77580" w:rsidRPr="00D8141C">
        <w:rPr>
          <w:i/>
        </w:rPr>
        <w:t>of Ohio’s Retail Electric Service Market</w:t>
      </w:r>
      <w:r w:rsidR="00F32703" w:rsidRPr="00D8141C">
        <w:rPr>
          <w:i/>
        </w:rPr>
        <w:t>,</w:t>
      </w:r>
      <w:r w:rsidR="00F32703">
        <w:t xml:space="preserve"> Case No. 12-3151-EL-COI</w:t>
      </w:r>
      <w:r w:rsidR="000E7367">
        <w:t xml:space="preserve">, Finding and Order (Mar. 26, 2014) at </w:t>
      </w:r>
      <w:r w:rsidR="005834BA">
        <w:t>20.</w:t>
      </w:r>
    </w:p>
  </w:footnote>
  <w:footnote w:id="10">
    <w:p w14:paraId="2ACB2697" w14:textId="7AB32D7B" w:rsidR="0002486D" w:rsidRDefault="0002486D" w:rsidP="00E15650">
      <w:pPr>
        <w:pStyle w:val="FootnoteText"/>
        <w:spacing w:after="240"/>
        <w:jc w:val="both"/>
      </w:pPr>
      <w:r>
        <w:rPr>
          <w:rStyle w:val="FootnoteReference"/>
        </w:rPr>
        <w:footnoteRef/>
      </w:r>
      <w:r>
        <w:t xml:space="preserve"> Application at 2.</w:t>
      </w:r>
    </w:p>
  </w:footnote>
  <w:footnote w:id="11">
    <w:p w14:paraId="235C1A72" w14:textId="46E4C9E9" w:rsidR="00712D9F" w:rsidRDefault="00712D9F" w:rsidP="00E15650">
      <w:pPr>
        <w:pStyle w:val="FootnoteText"/>
        <w:spacing w:after="240"/>
        <w:jc w:val="both"/>
      </w:pPr>
      <w:r>
        <w:rPr>
          <w:rStyle w:val="FootnoteReference"/>
        </w:rPr>
        <w:footnoteRef/>
      </w:r>
      <w:r>
        <w:t xml:space="preserve"> </w:t>
      </w:r>
      <w:r w:rsidR="00435FF1" w:rsidRPr="00D8141C">
        <w:rPr>
          <w:i/>
        </w:rPr>
        <w:t>Id.</w:t>
      </w:r>
    </w:p>
  </w:footnote>
  <w:footnote w:id="12">
    <w:p w14:paraId="367B1382" w14:textId="40645264" w:rsidR="00682D3D" w:rsidRDefault="00682D3D" w:rsidP="00E15650">
      <w:pPr>
        <w:pStyle w:val="FootnoteText"/>
        <w:spacing w:after="240"/>
        <w:jc w:val="both"/>
      </w:pPr>
      <w:r>
        <w:rPr>
          <w:rStyle w:val="FootnoteReference"/>
        </w:rPr>
        <w:footnoteRef/>
      </w:r>
      <w:r>
        <w:t xml:space="preserve"> </w:t>
      </w:r>
      <w:r w:rsidRPr="00D8141C">
        <w:rPr>
          <w:i/>
        </w:rPr>
        <w:t>See Id.</w:t>
      </w:r>
    </w:p>
  </w:footnote>
  <w:footnote w:id="13">
    <w:p w14:paraId="4E6A29F8" w14:textId="77777777" w:rsidR="003B7BB5" w:rsidRDefault="003B7BB5" w:rsidP="00E15650">
      <w:pPr>
        <w:pStyle w:val="FootnoteText"/>
        <w:spacing w:after="240"/>
        <w:jc w:val="both"/>
      </w:pPr>
      <w:r>
        <w:rPr>
          <w:rStyle w:val="FootnoteReference"/>
        </w:rPr>
        <w:footnoteRef/>
      </w:r>
      <w:r>
        <w:t xml:space="preserve"> </w:t>
      </w:r>
      <w:r w:rsidRPr="00644C17">
        <w:rPr>
          <w:i/>
        </w:rPr>
        <w:t xml:space="preserve">In the Matter of the Commission’s </w:t>
      </w:r>
      <w:r w:rsidRPr="00284A6F">
        <w:rPr>
          <w:i/>
        </w:rPr>
        <w:t xml:space="preserve">Review of the </w:t>
      </w:r>
      <w:r>
        <w:rPr>
          <w:i/>
        </w:rPr>
        <w:t>Electrical Safety and Service</w:t>
      </w:r>
      <w:r w:rsidRPr="00644C17">
        <w:rPr>
          <w:i/>
        </w:rPr>
        <w:t xml:space="preserve"> </w:t>
      </w:r>
      <w:r w:rsidRPr="00284A6F">
        <w:rPr>
          <w:i/>
        </w:rPr>
        <w:t>Standards</w:t>
      </w:r>
      <w:r>
        <w:rPr>
          <w:i/>
        </w:rPr>
        <w:t xml:space="preserve"> Contained</w:t>
      </w:r>
      <w:r w:rsidRPr="00284A6F">
        <w:rPr>
          <w:i/>
        </w:rPr>
        <w:t xml:space="preserve"> in Chapter 4901:1-1</w:t>
      </w:r>
      <w:r>
        <w:rPr>
          <w:i/>
        </w:rPr>
        <w:t>0</w:t>
      </w:r>
      <w:r w:rsidRPr="00284A6F">
        <w:rPr>
          <w:i/>
        </w:rPr>
        <w:t xml:space="preserve"> of</w:t>
      </w:r>
      <w:r w:rsidRPr="00644C17">
        <w:rPr>
          <w:i/>
        </w:rPr>
        <w:t xml:space="preserve"> the Ohio Administrative Code</w:t>
      </w:r>
      <w:r>
        <w:rPr>
          <w:i/>
        </w:rPr>
        <w:t xml:space="preserve"> (“ESSS Rule Review”)</w:t>
      </w:r>
      <w:r w:rsidRPr="00644C17">
        <w:t>, Case No. 1</w:t>
      </w:r>
      <w:r>
        <w:t>7-1842-EL</w:t>
      </w:r>
      <w:r w:rsidRPr="00644C17">
        <w:t>-ORD,</w:t>
      </w:r>
      <w:r>
        <w:t xml:space="preserve"> Initial Comments of Ohio Power Company (Aug. 16, 2019) at 15; Reply Comments of Ohio Power Company (Aug. 30, 2019) at 7-8; Finding and Order (Feb. 20, 2020) at ¶ 9, 161-62.</w:t>
      </w:r>
    </w:p>
  </w:footnote>
  <w:footnote w:id="14">
    <w:p w14:paraId="59D8E915" w14:textId="77777777" w:rsidR="003B7BB5" w:rsidRDefault="003B7BB5" w:rsidP="00E15650">
      <w:pPr>
        <w:pStyle w:val="FootnoteText"/>
        <w:spacing w:after="240"/>
        <w:jc w:val="both"/>
      </w:pPr>
      <w:r>
        <w:rPr>
          <w:rStyle w:val="FootnoteReference"/>
        </w:rPr>
        <w:footnoteRef/>
      </w:r>
      <w:r>
        <w:t xml:space="preserve"> </w:t>
      </w:r>
      <w:r w:rsidRPr="00126248">
        <w:rPr>
          <w:i/>
        </w:rPr>
        <w:t>Id.</w:t>
      </w:r>
      <w:r>
        <w:t xml:space="preserve"> at ¶ 9, 162.</w:t>
      </w:r>
    </w:p>
  </w:footnote>
  <w:footnote w:id="15">
    <w:p w14:paraId="7172AA3C" w14:textId="77777777" w:rsidR="003B7BB5" w:rsidRPr="007C07A3" w:rsidRDefault="003B7BB5" w:rsidP="00E15650">
      <w:pPr>
        <w:autoSpaceDE w:val="0"/>
        <w:autoSpaceDN w:val="0"/>
        <w:adjustRightInd w:val="0"/>
        <w:spacing w:after="240"/>
        <w:jc w:val="both"/>
        <w:rPr>
          <w:rFonts w:cs="Arial"/>
          <w:i/>
          <w:iCs/>
          <w:sz w:val="20"/>
          <w:szCs w:val="20"/>
        </w:rPr>
      </w:pPr>
      <w:r w:rsidRPr="007C07A3">
        <w:rPr>
          <w:rStyle w:val="FootnoteReference"/>
          <w:rFonts w:cs="Arial"/>
          <w:sz w:val="20"/>
          <w:szCs w:val="20"/>
        </w:rPr>
        <w:footnoteRef/>
      </w:r>
      <w:r w:rsidRPr="007C07A3">
        <w:rPr>
          <w:rFonts w:cs="Arial"/>
          <w:sz w:val="20"/>
          <w:szCs w:val="20"/>
        </w:rPr>
        <w:t xml:space="preserve"> </w:t>
      </w:r>
      <w:r w:rsidRPr="007C07A3">
        <w:rPr>
          <w:rFonts w:cs="Arial"/>
          <w:i/>
          <w:iCs/>
          <w:sz w:val="20"/>
          <w:szCs w:val="20"/>
        </w:rPr>
        <w:t>See In the Matter of the Application of Duke Energy Ohio, Inc. for Approval of Bill Format Changes</w:t>
      </w:r>
      <w:r w:rsidRPr="007C07A3">
        <w:rPr>
          <w:rFonts w:cs="Arial"/>
          <w:sz w:val="20"/>
          <w:szCs w:val="20"/>
        </w:rPr>
        <w:t xml:space="preserve">, Case No. 19-1593-GE-UNC, Finding and Order (December 18, 2019) at ¶ 35; </w:t>
      </w:r>
      <w:r w:rsidRPr="007C07A3">
        <w:rPr>
          <w:rFonts w:cs="Arial"/>
          <w:i/>
          <w:iCs/>
          <w:sz w:val="20"/>
          <w:szCs w:val="20"/>
        </w:rPr>
        <w:t>In the Matter of the Regulation of the Purchased Gas Adjustment Clause Contained within the Rate Schedules of Duke Energy Ohio, Inc. and Related Matters</w:t>
      </w:r>
      <w:r w:rsidRPr="007C07A3">
        <w:rPr>
          <w:rFonts w:cs="Arial"/>
          <w:sz w:val="20"/>
          <w:szCs w:val="20"/>
        </w:rPr>
        <w:t>, Case Nos. 18-218-GA-GCR et al., Opinion and Order at</w:t>
      </w:r>
      <w:r w:rsidRPr="007C07A3">
        <w:rPr>
          <w:rFonts w:cs="Arial"/>
          <w:i/>
          <w:iCs/>
          <w:sz w:val="20"/>
          <w:szCs w:val="20"/>
        </w:rPr>
        <w:t xml:space="preserve"> </w:t>
      </w:r>
      <w:r w:rsidRPr="007C07A3">
        <w:rPr>
          <w:rFonts w:cs="Arial"/>
          <w:sz w:val="20"/>
          <w:szCs w:val="20"/>
        </w:rPr>
        <w:t xml:space="preserve">¶ 57 (December 18, 2019); and </w:t>
      </w:r>
      <w:r w:rsidRPr="007C07A3">
        <w:rPr>
          <w:rFonts w:cs="Arial"/>
          <w:i/>
          <w:iCs/>
          <w:sz w:val="20"/>
          <w:szCs w:val="20"/>
        </w:rPr>
        <w:t>In the Matter of the Regulation of the Purchased Gas Adjustment Clause Contained within the Rate Schedules of Duke Energy Ohio, Inc. and Related Matters</w:t>
      </w:r>
      <w:r w:rsidRPr="007C07A3">
        <w:rPr>
          <w:rFonts w:cs="Arial"/>
          <w:sz w:val="20"/>
          <w:szCs w:val="20"/>
        </w:rPr>
        <w:t>, Case Nos. 15-218-GA-GCR et al.,</w:t>
      </w:r>
      <w:r w:rsidRPr="007C07A3">
        <w:rPr>
          <w:rFonts w:cs="Arial"/>
          <w:i/>
          <w:iCs/>
          <w:sz w:val="20"/>
          <w:szCs w:val="20"/>
        </w:rPr>
        <w:t xml:space="preserve"> </w:t>
      </w:r>
      <w:r w:rsidRPr="007C07A3">
        <w:rPr>
          <w:rFonts w:cs="Arial"/>
          <w:sz w:val="20"/>
          <w:szCs w:val="20"/>
        </w:rPr>
        <w:t>Opinion and Order at ¶ 69.</w:t>
      </w:r>
    </w:p>
  </w:footnote>
  <w:footnote w:id="16">
    <w:p w14:paraId="56F9B74E" w14:textId="1439C3D5" w:rsidR="003B7BB5" w:rsidRPr="00644C17" w:rsidRDefault="003B7BB5" w:rsidP="00E15650">
      <w:pPr>
        <w:pStyle w:val="FootnoteText"/>
        <w:spacing w:after="240"/>
        <w:jc w:val="both"/>
      </w:pPr>
      <w:r w:rsidRPr="00644C17">
        <w:rPr>
          <w:rStyle w:val="FootnoteReference"/>
        </w:rPr>
        <w:footnoteRef/>
      </w:r>
      <w:r w:rsidRPr="00644C17">
        <w:t xml:space="preserve"> </w:t>
      </w:r>
      <w:r w:rsidRPr="00D8141C">
        <w:rPr>
          <w:i/>
        </w:rPr>
        <w:t>ESSS Rule Review</w:t>
      </w:r>
      <w:r w:rsidR="00654049">
        <w:rPr>
          <w:i/>
        </w:rPr>
        <w:t xml:space="preserve">, </w:t>
      </w:r>
      <w:r w:rsidR="00654049" w:rsidRPr="00D8141C">
        <w:t>Finding and Order</w:t>
      </w:r>
      <w:r w:rsidRPr="00D8141C">
        <w:t xml:space="preserve"> </w:t>
      </w:r>
      <w:r>
        <w:t xml:space="preserve">at </w:t>
      </w:r>
      <w:r w:rsidR="00675999">
        <w:t>¶ 159, 162.</w:t>
      </w:r>
    </w:p>
  </w:footnote>
  <w:footnote w:id="17">
    <w:p w14:paraId="44FA20C0" w14:textId="201D12D9" w:rsidR="003B7BB5" w:rsidRPr="00644C17" w:rsidRDefault="003B7BB5" w:rsidP="00E15650">
      <w:pPr>
        <w:pStyle w:val="FootnoteText"/>
        <w:spacing w:after="240"/>
        <w:jc w:val="both"/>
      </w:pPr>
      <w:r w:rsidRPr="00644C17">
        <w:rPr>
          <w:rStyle w:val="FootnoteReference"/>
        </w:rPr>
        <w:footnoteRef/>
      </w:r>
      <w:r w:rsidRPr="00644C17">
        <w:t xml:space="preserve"> </w:t>
      </w:r>
      <w:r w:rsidR="00241CC7" w:rsidRPr="00D8141C">
        <w:rPr>
          <w:i/>
        </w:rPr>
        <w:t>Id.</w:t>
      </w:r>
      <w:r w:rsidR="00241CC7">
        <w:t xml:space="preserve"> at ¶ 162.</w:t>
      </w:r>
    </w:p>
  </w:footnote>
  <w:footnote w:id="18">
    <w:p w14:paraId="4AC7316D" w14:textId="5222BDCB" w:rsidR="003B7BB5" w:rsidRDefault="003B7BB5" w:rsidP="00E15650">
      <w:pPr>
        <w:pStyle w:val="FootnoteText"/>
        <w:spacing w:after="240"/>
        <w:jc w:val="both"/>
      </w:pPr>
      <w:r>
        <w:rPr>
          <w:rStyle w:val="FootnoteReference"/>
        </w:rPr>
        <w:footnoteRef/>
      </w:r>
      <w:r>
        <w:t xml:space="preserve"> Application at 1. (“The existing PTC message under the continued “Notes from AEP Ohio” section will remain unchanged as that message also includes a reference to the Commission’s Apples-to-Apples website and an additional instruction on how to use the PTC.”)</w:t>
      </w:r>
    </w:p>
  </w:footnote>
  <w:footnote w:id="19">
    <w:p w14:paraId="2FAA6BE5" w14:textId="6D655410" w:rsidR="00734D06" w:rsidRDefault="00734D06" w:rsidP="00E15650">
      <w:pPr>
        <w:pStyle w:val="FootnoteText"/>
        <w:spacing w:after="240"/>
        <w:jc w:val="both"/>
      </w:pPr>
      <w:r>
        <w:rPr>
          <w:rStyle w:val="FootnoteReference"/>
        </w:rPr>
        <w:footnoteRef/>
      </w:r>
      <w:r>
        <w:t xml:space="preserve"> </w:t>
      </w:r>
      <w:r w:rsidR="00FC1468">
        <w:t>R.C. 4928.02(</w:t>
      </w:r>
      <w:r w:rsidR="004B11F0">
        <w:t>D).</w:t>
      </w:r>
    </w:p>
  </w:footnote>
  <w:footnote w:id="20">
    <w:p w14:paraId="388FFB79" w14:textId="29B14888" w:rsidR="00734D06" w:rsidRDefault="00734D06" w:rsidP="00E15650">
      <w:pPr>
        <w:pStyle w:val="FootnoteText"/>
        <w:spacing w:after="240"/>
        <w:jc w:val="both"/>
      </w:pPr>
      <w:r>
        <w:rPr>
          <w:rStyle w:val="FootnoteReference"/>
        </w:rPr>
        <w:footnoteRef/>
      </w:r>
      <w:r>
        <w:t xml:space="preserve"> </w:t>
      </w:r>
      <w:r w:rsidR="00106C0F">
        <w:t>R.C. 4928.02(B).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C49D9"/>
    <w:multiLevelType w:val="hybridMultilevel"/>
    <w:tmpl w:val="07BAB26A"/>
    <w:lvl w:ilvl="0" w:tplc="4D2E6B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B322D5"/>
    <w:multiLevelType w:val="hybridMultilevel"/>
    <w:tmpl w:val="AFA279B0"/>
    <w:lvl w:ilvl="0" w:tplc="4D5299B6">
      <w:start w:val="1"/>
      <w:numFmt w:val="upperRoman"/>
      <w:lvlText w:val="%1."/>
      <w:lvlJc w:val="left"/>
      <w:pPr>
        <w:ind w:left="720" w:hanging="720"/>
      </w:pPr>
      <w:rPr>
        <w:rFonts w:hint="default"/>
      </w:rPr>
    </w:lvl>
    <w:lvl w:ilvl="1" w:tplc="69E6315E">
      <w:start w:val="1"/>
      <w:numFmt w:val="upperLetter"/>
      <w:lvlText w:val="%2."/>
      <w:lvlJc w:val="left"/>
      <w:pPr>
        <w:ind w:left="1080" w:hanging="360"/>
      </w:pPr>
      <w:rPr>
        <w:rFonts w:ascii="Arial" w:eastAsia="Arial" w:hAnsi="Arial" w:cs="Arial"/>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F20E4"/>
    <w:multiLevelType w:val="hybridMultilevel"/>
    <w:tmpl w:val="34646A92"/>
    <w:lvl w:ilvl="0" w:tplc="4D2E6B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F43340D"/>
    <w:multiLevelType w:val="hybridMultilevel"/>
    <w:tmpl w:val="35E27C42"/>
    <w:lvl w:ilvl="0" w:tplc="4D5299B6">
      <w:start w:val="1"/>
      <w:numFmt w:val="upperRoman"/>
      <w:lvlText w:val="%1."/>
      <w:lvlJc w:val="left"/>
      <w:pPr>
        <w:ind w:left="720" w:hanging="720"/>
      </w:pPr>
      <w:rPr>
        <w:rFonts w:hint="default"/>
      </w:rPr>
    </w:lvl>
    <w:lvl w:ilvl="1" w:tplc="0409000F">
      <w:start w:val="1"/>
      <w:numFmt w:val="decimal"/>
      <w:lvlText w:val="%2."/>
      <w:lvlJc w:val="left"/>
      <w:pPr>
        <w:ind w:left="1080" w:hanging="360"/>
      </w:pPr>
    </w:lvl>
    <w:lvl w:ilvl="2" w:tplc="04090015">
      <w:start w:val="1"/>
      <w:numFmt w:val="upp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01D80A"/>
    <w:rsid w:val="000005FD"/>
    <w:rsid w:val="00001E4A"/>
    <w:rsid w:val="00003378"/>
    <w:rsid w:val="000035AB"/>
    <w:rsid w:val="0000501F"/>
    <w:rsid w:val="0001015E"/>
    <w:rsid w:val="000118F7"/>
    <w:rsid w:val="00015193"/>
    <w:rsid w:val="00015D13"/>
    <w:rsid w:val="00015D9C"/>
    <w:rsid w:val="00016F58"/>
    <w:rsid w:val="000174D4"/>
    <w:rsid w:val="00020032"/>
    <w:rsid w:val="000231B2"/>
    <w:rsid w:val="000237BA"/>
    <w:rsid w:val="0002486D"/>
    <w:rsid w:val="0004157C"/>
    <w:rsid w:val="000438DC"/>
    <w:rsid w:val="000453ED"/>
    <w:rsid w:val="00045529"/>
    <w:rsid w:val="00045B12"/>
    <w:rsid w:val="000463DA"/>
    <w:rsid w:val="00054B5D"/>
    <w:rsid w:val="00056E52"/>
    <w:rsid w:val="00057260"/>
    <w:rsid w:val="0006059C"/>
    <w:rsid w:val="0006563E"/>
    <w:rsid w:val="0007132A"/>
    <w:rsid w:val="000809F6"/>
    <w:rsid w:val="0008131F"/>
    <w:rsid w:val="00081401"/>
    <w:rsid w:val="0008415E"/>
    <w:rsid w:val="0008591A"/>
    <w:rsid w:val="00097433"/>
    <w:rsid w:val="000A6983"/>
    <w:rsid w:val="000B7325"/>
    <w:rsid w:val="000B7922"/>
    <w:rsid w:val="000C14E4"/>
    <w:rsid w:val="000C6058"/>
    <w:rsid w:val="000C6B9E"/>
    <w:rsid w:val="000C7372"/>
    <w:rsid w:val="000D19E0"/>
    <w:rsid w:val="000D360F"/>
    <w:rsid w:val="000D6041"/>
    <w:rsid w:val="000D7519"/>
    <w:rsid w:val="000D7B6C"/>
    <w:rsid w:val="000E11BB"/>
    <w:rsid w:val="000E12CE"/>
    <w:rsid w:val="000E463C"/>
    <w:rsid w:val="000E7367"/>
    <w:rsid w:val="000F0DB0"/>
    <w:rsid w:val="000F2AF1"/>
    <w:rsid w:val="000F3001"/>
    <w:rsid w:val="000F6421"/>
    <w:rsid w:val="00100F07"/>
    <w:rsid w:val="00101330"/>
    <w:rsid w:val="00104907"/>
    <w:rsid w:val="001068DB"/>
    <w:rsid w:val="00106C0F"/>
    <w:rsid w:val="0010737C"/>
    <w:rsid w:val="00107D87"/>
    <w:rsid w:val="001100B6"/>
    <w:rsid w:val="00115C73"/>
    <w:rsid w:val="00115EC3"/>
    <w:rsid w:val="00121202"/>
    <w:rsid w:val="001216DA"/>
    <w:rsid w:val="00121F49"/>
    <w:rsid w:val="00123B8F"/>
    <w:rsid w:val="00126248"/>
    <w:rsid w:val="00126604"/>
    <w:rsid w:val="001302F1"/>
    <w:rsid w:val="00133FB7"/>
    <w:rsid w:val="00134A7E"/>
    <w:rsid w:val="00137727"/>
    <w:rsid w:val="00142A85"/>
    <w:rsid w:val="001469A6"/>
    <w:rsid w:val="00147837"/>
    <w:rsid w:val="0016216B"/>
    <w:rsid w:val="00162FB6"/>
    <w:rsid w:val="00164738"/>
    <w:rsid w:val="00165EEA"/>
    <w:rsid w:val="00175FE3"/>
    <w:rsid w:val="001808C1"/>
    <w:rsid w:val="00180EE7"/>
    <w:rsid w:val="00181E93"/>
    <w:rsid w:val="00184FF1"/>
    <w:rsid w:val="00187F5B"/>
    <w:rsid w:val="00190E56"/>
    <w:rsid w:val="001955BB"/>
    <w:rsid w:val="001A04D9"/>
    <w:rsid w:val="001A3CA8"/>
    <w:rsid w:val="001B1473"/>
    <w:rsid w:val="001B4385"/>
    <w:rsid w:val="001B52D3"/>
    <w:rsid w:val="001C159D"/>
    <w:rsid w:val="001C2CF9"/>
    <w:rsid w:val="001C5C4B"/>
    <w:rsid w:val="001D245A"/>
    <w:rsid w:val="001D2AA7"/>
    <w:rsid w:val="001E067A"/>
    <w:rsid w:val="001E6212"/>
    <w:rsid w:val="001F1ED4"/>
    <w:rsid w:val="001F3521"/>
    <w:rsid w:val="001F36C9"/>
    <w:rsid w:val="00201EDB"/>
    <w:rsid w:val="00203FE8"/>
    <w:rsid w:val="00204B7F"/>
    <w:rsid w:val="002110A0"/>
    <w:rsid w:val="002127C4"/>
    <w:rsid w:val="00214594"/>
    <w:rsid w:val="002162C1"/>
    <w:rsid w:val="002234D3"/>
    <w:rsid w:val="00224366"/>
    <w:rsid w:val="002275DD"/>
    <w:rsid w:val="002323A3"/>
    <w:rsid w:val="002330D2"/>
    <w:rsid w:val="0023479A"/>
    <w:rsid w:val="00234A9C"/>
    <w:rsid w:val="002364F3"/>
    <w:rsid w:val="00241CC7"/>
    <w:rsid w:val="002451FE"/>
    <w:rsid w:val="002472AD"/>
    <w:rsid w:val="002516F3"/>
    <w:rsid w:val="0025419B"/>
    <w:rsid w:val="00260C5A"/>
    <w:rsid w:val="00274F17"/>
    <w:rsid w:val="00275281"/>
    <w:rsid w:val="00277CFB"/>
    <w:rsid w:val="00277EC8"/>
    <w:rsid w:val="00280B93"/>
    <w:rsid w:val="00284A6F"/>
    <w:rsid w:val="0028544A"/>
    <w:rsid w:val="002936AB"/>
    <w:rsid w:val="0029456F"/>
    <w:rsid w:val="002A02F3"/>
    <w:rsid w:val="002A1F16"/>
    <w:rsid w:val="002A230B"/>
    <w:rsid w:val="002A4E27"/>
    <w:rsid w:val="002A5605"/>
    <w:rsid w:val="002A5A8F"/>
    <w:rsid w:val="002A5BE3"/>
    <w:rsid w:val="002A78FE"/>
    <w:rsid w:val="002B11D0"/>
    <w:rsid w:val="002B11F6"/>
    <w:rsid w:val="002B23AC"/>
    <w:rsid w:val="002B55C8"/>
    <w:rsid w:val="002C6842"/>
    <w:rsid w:val="002D0FB6"/>
    <w:rsid w:val="002D28A8"/>
    <w:rsid w:val="002D3263"/>
    <w:rsid w:val="002D3C49"/>
    <w:rsid w:val="002D6379"/>
    <w:rsid w:val="002D7D93"/>
    <w:rsid w:val="002E086D"/>
    <w:rsid w:val="002E11C6"/>
    <w:rsid w:val="002E1EFB"/>
    <w:rsid w:val="002E33A7"/>
    <w:rsid w:val="002E60B5"/>
    <w:rsid w:val="002E740C"/>
    <w:rsid w:val="002E7BEC"/>
    <w:rsid w:val="002F04B9"/>
    <w:rsid w:val="002F0FA3"/>
    <w:rsid w:val="002F2B1F"/>
    <w:rsid w:val="002F3D4B"/>
    <w:rsid w:val="002F484A"/>
    <w:rsid w:val="002F6AAC"/>
    <w:rsid w:val="002F7B2A"/>
    <w:rsid w:val="00301967"/>
    <w:rsid w:val="003042F1"/>
    <w:rsid w:val="00305C86"/>
    <w:rsid w:val="00315275"/>
    <w:rsid w:val="00320B50"/>
    <w:rsid w:val="00321406"/>
    <w:rsid w:val="00321562"/>
    <w:rsid w:val="00322D3D"/>
    <w:rsid w:val="00323F61"/>
    <w:rsid w:val="003247EC"/>
    <w:rsid w:val="00325946"/>
    <w:rsid w:val="003334D8"/>
    <w:rsid w:val="00336E9A"/>
    <w:rsid w:val="00337504"/>
    <w:rsid w:val="00340F6F"/>
    <w:rsid w:val="00341F9D"/>
    <w:rsid w:val="00342E5D"/>
    <w:rsid w:val="00343EA1"/>
    <w:rsid w:val="00347345"/>
    <w:rsid w:val="003508FC"/>
    <w:rsid w:val="003513C5"/>
    <w:rsid w:val="003518F0"/>
    <w:rsid w:val="00351FBD"/>
    <w:rsid w:val="0035357C"/>
    <w:rsid w:val="00363541"/>
    <w:rsid w:val="00365E8B"/>
    <w:rsid w:val="003707E6"/>
    <w:rsid w:val="00376DE9"/>
    <w:rsid w:val="0037731C"/>
    <w:rsid w:val="003A3B41"/>
    <w:rsid w:val="003A57A9"/>
    <w:rsid w:val="003A6F14"/>
    <w:rsid w:val="003B1C31"/>
    <w:rsid w:val="003B384D"/>
    <w:rsid w:val="003B7BB5"/>
    <w:rsid w:val="003C118C"/>
    <w:rsid w:val="003C15E1"/>
    <w:rsid w:val="003C18D8"/>
    <w:rsid w:val="003C306B"/>
    <w:rsid w:val="003C7F44"/>
    <w:rsid w:val="003D15DF"/>
    <w:rsid w:val="003D34FC"/>
    <w:rsid w:val="003D7AD9"/>
    <w:rsid w:val="003E0C0D"/>
    <w:rsid w:val="003E2004"/>
    <w:rsid w:val="003E3A1C"/>
    <w:rsid w:val="003F17E0"/>
    <w:rsid w:val="003F1CBC"/>
    <w:rsid w:val="003F202D"/>
    <w:rsid w:val="003F250A"/>
    <w:rsid w:val="003F32CE"/>
    <w:rsid w:val="004009F4"/>
    <w:rsid w:val="00400E57"/>
    <w:rsid w:val="0040235C"/>
    <w:rsid w:val="00403ED3"/>
    <w:rsid w:val="00411CB9"/>
    <w:rsid w:val="00412446"/>
    <w:rsid w:val="00412B0F"/>
    <w:rsid w:val="00413053"/>
    <w:rsid w:val="004158A1"/>
    <w:rsid w:val="00417851"/>
    <w:rsid w:val="004206EA"/>
    <w:rsid w:val="00422192"/>
    <w:rsid w:val="00423B3F"/>
    <w:rsid w:val="004245F0"/>
    <w:rsid w:val="00424CC0"/>
    <w:rsid w:val="00424F67"/>
    <w:rsid w:val="00425800"/>
    <w:rsid w:val="00431917"/>
    <w:rsid w:val="0043195D"/>
    <w:rsid w:val="00434571"/>
    <w:rsid w:val="004347A0"/>
    <w:rsid w:val="00435FF1"/>
    <w:rsid w:val="00436ADE"/>
    <w:rsid w:val="00437AB7"/>
    <w:rsid w:val="004406F1"/>
    <w:rsid w:val="00443B82"/>
    <w:rsid w:val="0045123B"/>
    <w:rsid w:val="004515EF"/>
    <w:rsid w:val="00457198"/>
    <w:rsid w:val="0046039E"/>
    <w:rsid w:val="00460D19"/>
    <w:rsid w:val="004636E1"/>
    <w:rsid w:val="00467ECA"/>
    <w:rsid w:val="00470A83"/>
    <w:rsid w:val="0048106D"/>
    <w:rsid w:val="00483C04"/>
    <w:rsid w:val="00484BDA"/>
    <w:rsid w:val="004879DF"/>
    <w:rsid w:val="00491A8D"/>
    <w:rsid w:val="00491BC7"/>
    <w:rsid w:val="004923BA"/>
    <w:rsid w:val="00495803"/>
    <w:rsid w:val="004A0681"/>
    <w:rsid w:val="004A06D5"/>
    <w:rsid w:val="004A2437"/>
    <w:rsid w:val="004A6F20"/>
    <w:rsid w:val="004B11F0"/>
    <w:rsid w:val="004B337F"/>
    <w:rsid w:val="004B671C"/>
    <w:rsid w:val="004B6C34"/>
    <w:rsid w:val="004B6CEA"/>
    <w:rsid w:val="004C1872"/>
    <w:rsid w:val="004C5B41"/>
    <w:rsid w:val="004C5BA7"/>
    <w:rsid w:val="004C66C0"/>
    <w:rsid w:val="004D3310"/>
    <w:rsid w:val="004D3524"/>
    <w:rsid w:val="004D35DE"/>
    <w:rsid w:val="004D4057"/>
    <w:rsid w:val="004D43C2"/>
    <w:rsid w:val="004D7BEF"/>
    <w:rsid w:val="004E22C5"/>
    <w:rsid w:val="004E3942"/>
    <w:rsid w:val="004E59D8"/>
    <w:rsid w:val="004F2328"/>
    <w:rsid w:val="004F310C"/>
    <w:rsid w:val="004F420E"/>
    <w:rsid w:val="004F5247"/>
    <w:rsid w:val="004F61D3"/>
    <w:rsid w:val="004F64B8"/>
    <w:rsid w:val="004F68F3"/>
    <w:rsid w:val="00500718"/>
    <w:rsid w:val="0050369F"/>
    <w:rsid w:val="0051239E"/>
    <w:rsid w:val="00514CC2"/>
    <w:rsid w:val="005214C3"/>
    <w:rsid w:val="00521AAE"/>
    <w:rsid w:val="00521AC7"/>
    <w:rsid w:val="005231A2"/>
    <w:rsid w:val="00524CCB"/>
    <w:rsid w:val="005250E7"/>
    <w:rsid w:val="005258DF"/>
    <w:rsid w:val="00526712"/>
    <w:rsid w:val="00526CC0"/>
    <w:rsid w:val="00531546"/>
    <w:rsid w:val="005323A8"/>
    <w:rsid w:val="00533A9D"/>
    <w:rsid w:val="00534757"/>
    <w:rsid w:val="00536AAA"/>
    <w:rsid w:val="00540934"/>
    <w:rsid w:val="005416FC"/>
    <w:rsid w:val="00544BB3"/>
    <w:rsid w:val="0054658F"/>
    <w:rsid w:val="00551F84"/>
    <w:rsid w:val="00552540"/>
    <w:rsid w:val="00555A82"/>
    <w:rsid w:val="0055682C"/>
    <w:rsid w:val="00557523"/>
    <w:rsid w:val="00561A0D"/>
    <w:rsid w:val="00562128"/>
    <w:rsid w:val="00563CBC"/>
    <w:rsid w:val="00571E5D"/>
    <w:rsid w:val="005728EE"/>
    <w:rsid w:val="00574B92"/>
    <w:rsid w:val="00576BAD"/>
    <w:rsid w:val="00577391"/>
    <w:rsid w:val="00581E9E"/>
    <w:rsid w:val="005834BA"/>
    <w:rsid w:val="0058459A"/>
    <w:rsid w:val="00585AAA"/>
    <w:rsid w:val="005874F4"/>
    <w:rsid w:val="00590082"/>
    <w:rsid w:val="00591CD0"/>
    <w:rsid w:val="00596F21"/>
    <w:rsid w:val="00597A26"/>
    <w:rsid w:val="005A2FFF"/>
    <w:rsid w:val="005A6D53"/>
    <w:rsid w:val="005B0258"/>
    <w:rsid w:val="005B50A7"/>
    <w:rsid w:val="005B6B30"/>
    <w:rsid w:val="005B7BFD"/>
    <w:rsid w:val="005C55CA"/>
    <w:rsid w:val="005D09B4"/>
    <w:rsid w:val="005D1A9D"/>
    <w:rsid w:val="005D5BDA"/>
    <w:rsid w:val="005E3A20"/>
    <w:rsid w:val="005E4FBE"/>
    <w:rsid w:val="005E59AF"/>
    <w:rsid w:val="005E6F18"/>
    <w:rsid w:val="005F0095"/>
    <w:rsid w:val="005F0736"/>
    <w:rsid w:val="005F19F5"/>
    <w:rsid w:val="005F28AC"/>
    <w:rsid w:val="005F357B"/>
    <w:rsid w:val="005F5BA4"/>
    <w:rsid w:val="00600418"/>
    <w:rsid w:val="0060378A"/>
    <w:rsid w:val="006039A6"/>
    <w:rsid w:val="00611491"/>
    <w:rsid w:val="00611B9B"/>
    <w:rsid w:val="006121F6"/>
    <w:rsid w:val="0061558E"/>
    <w:rsid w:val="00615C52"/>
    <w:rsid w:val="0061603F"/>
    <w:rsid w:val="006200A1"/>
    <w:rsid w:val="00623707"/>
    <w:rsid w:val="00623AC1"/>
    <w:rsid w:val="00624CEB"/>
    <w:rsid w:val="0062675A"/>
    <w:rsid w:val="006279DC"/>
    <w:rsid w:val="00630B46"/>
    <w:rsid w:val="00633473"/>
    <w:rsid w:val="00636E5D"/>
    <w:rsid w:val="00640057"/>
    <w:rsid w:val="00641240"/>
    <w:rsid w:val="0064208C"/>
    <w:rsid w:val="00643897"/>
    <w:rsid w:val="00644531"/>
    <w:rsid w:val="00644B5F"/>
    <w:rsid w:val="00644C17"/>
    <w:rsid w:val="0064576A"/>
    <w:rsid w:val="0064752B"/>
    <w:rsid w:val="0065351B"/>
    <w:rsid w:val="00654049"/>
    <w:rsid w:val="006547EB"/>
    <w:rsid w:val="006562CA"/>
    <w:rsid w:val="00656A83"/>
    <w:rsid w:val="00656C77"/>
    <w:rsid w:val="00660029"/>
    <w:rsid w:val="00660AB3"/>
    <w:rsid w:val="00662210"/>
    <w:rsid w:val="00662C1D"/>
    <w:rsid w:val="00666085"/>
    <w:rsid w:val="00667D2B"/>
    <w:rsid w:val="00671CA6"/>
    <w:rsid w:val="00671DEF"/>
    <w:rsid w:val="006730D2"/>
    <w:rsid w:val="00673D24"/>
    <w:rsid w:val="00675999"/>
    <w:rsid w:val="00675FFD"/>
    <w:rsid w:val="00682D3D"/>
    <w:rsid w:val="00684482"/>
    <w:rsid w:val="00690FE7"/>
    <w:rsid w:val="00691356"/>
    <w:rsid w:val="0069239B"/>
    <w:rsid w:val="00693552"/>
    <w:rsid w:val="006A0538"/>
    <w:rsid w:val="006A0FDE"/>
    <w:rsid w:val="006A38FE"/>
    <w:rsid w:val="006B0657"/>
    <w:rsid w:val="006B0A9A"/>
    <w:rsid w:val="006B7B5B"/>
    <w:rsid w:val="006C042C"/>
    <w:rsid w:val="006C1364"/>
    <w:rsid w:val="006D020D"/>
    <w:rsid w:val="006D3D10"/>
    <w:rsid w:val="006D432B"/>
    <w:rsid w:val="006D710D"/>
    <w:rsid w:val="006E0457"/>
    <w:rsid w:val="006E05AA"/>
    <w:rsid w:val="006E4171"/>
    <w:rsid w:val="006F0668"/>
    <w:rsid w:val="006F0E2D"/>
    <w:rsid w:val="006F22DB"/>
    <w:rsid w:val="006F3171"/>
    <w:rsid w:val="006F436F"/>
    <w:rsid w:val="00700368"/>
    <w:rsid w:val="007015B0"/>
    <w:rsid w:val="00705BE1"/>
    <w:rsid w:val="0071157A"/>
    <w:rsid w:val="00712016"/>
    <w:rsid w:val="00712B69"/>
    <w:rsid w:val="00712D9F"/>
    <w:rsid w:val="007160A8"/>
    <w:rsid w:val="00727722"/>
    <w:rsid w:val="00727B2A"/>
    <w:rsid w:val="007332E3"/>
    <w:rsid w:val="00733D66"/>
    <w:rsid w:val="00734D06"/>
    <w:rsid w:val="00735DCD"/>
    <w:rsid w:val="00740179"/>
    <w:rsid w:val="00742C8E"/>
    <w:rsid w:val="007463B3"/>
    <w:rsid w:val="0075041A"/>
    <w:rsid w:val="0075138C"/>
    <w:rsid w:val="00752E95"/>
    <w:rsid w:val="00754303"/>
    <w:rsid w:val="007552FE"/>
    <w:rsid w:val="00755D43"/>
    <w:rsid w:val="007567F8"/>
    <w:rsid w:val="007606C3"/>
    <w:rsid w:val="00760C92"/>
    <w:rsid w:val="0077330D"/>
    <w:rsid w:val="00773A4D"/>
    <w:rsid w:val="0077479D"/>
    <w:rsid w:val="0077677C"/>
    <w:rsid w:val="007802F7"/>
    <w:rsid w:val="00780EFD"/>
    <w:rsid w:val="007833B3"/>
    <w:rsid w:val="007833E2"/>
    <w:rsid w:val="00787AD3"/>
    <w:rsid w:val="00787CD6"/>
    <w:rsid w:val="007904FE"/>
    <w:rsid w:val="00792CAC"/>
    <w:rsid w:val="00793560"/>
    <w:rsid w:val="007935B4"/>
    <w:rsid w:val="007976C5"/>
    <w:rsid w:val="007A0A2A"/>
    <w:rsid w:val="007A2AB3"/>
    <w:rsid w:val="007A5BAA"/>
    <w:rsid w:val="007A6BB3"/>
    <w:rsid w:val="007A748C"/>
    <w:rsid w:val="007B08DB"/>
    <w:rsid w:val="007B3D23"/>
    <w:rsid w:val="007C07A3"/>
    <w:rsid w:val="007C12A3"/>
    <w:rsid w:val="007C2CBB"/>
    <w:rsid w:val="007C3796"/>
    <w:rsid w:val="007C540E"/>
    <w:rsid w:val="007D079A"/>
    <w:rsid w:val="007D2A43"/>
    <w:rsid w:val="007D50F8"/>
    <w:rsid w:val="007E301F"/>
    <w:rsid w:val="007E3B6C"/>
    <w:rsid w:val="007E6098"/>
    <w:rsid w:val="007F1C9D"/>
    <w:rsid w:val="007F3D2C"/>
    <w:rsid w:val="008015FC"/>
    <w:rsid w:val="008016EE"/>
    <w:rsid w:val="008032BB"/>
    <w:rsid w:val="008062F4"/>
    <w:rsid w:val="00815E30"/>
    <w:rsid w:val="00826867"/>
    <w:rsid w:val="00827FE2"/>
    <w:rsid w:val="00834FED"/>
    <w:rsid w:val="00837FC8"/>
    <w:rsid w:val="0084179B"/>
    <w:rsid w:val="008430EE"/>
    <w:rsid w:val="0084666A"/>
    <w:rsid w:val="00851E87"/>
    <w:rsid w:val="00854EEB"/>
    <w:rsid w:val="00861394"/>
    <w:rsid w:val="00862A74"/>
    <w:rsid w:val="00864A48"/>
    <w:rsid w:val="00864B66"/>
    <w:rsid w:val="00865456"/>
    <w:rsid w:val="0087020B"/>
    <w:rsid w:val="00872ADE"/>
    <w:rsid w:val="00881401"/>
    <w:rsid w:val="00882409"/>
    <w:rsid w:val="00885C3D"/>
    <w:rsid w:val="0088718A"/>
    <w:rsid w:val="008905D0"/>
    <w:rsid w:val="00891BFA"/>
    <w:rsid w:val="00894B7E"/>
    <w:rsid w:val="008963A6"/>
    <w:rsid w:val="008A39DD"/>
    <w:rsid w:val="008B261C"/>
    <w:rsid w:val="008B4339"/>
    <w:rsid w:val="008B5445"/>
    <w:rsid w:val="008C1B1A"/>
    <w:rsid w:val="008C2863"/>
    <w:rsid w:val="008C5FA3"/>
    <w:rsid w:val="008C6360"/>
    <w:rsid w:val="008C75CB"/>
    <w:rsid w:val="008D0F6C"/>
    <w:rsid w:val="008D1E7A"/>
    <w:rsid w:val="008D2A4D"/>
    <w:rsid w:val="008D36B0"/>
    <w:rsid w:val="008D5426"/>
    <w:rsid w:val="008D6685"/>
    <w:rsid w:val="008D7F4D"/>
    <w:rsid w:val="008E0EE6"/>
    <w:rsid w:val="008E66A7"/>
    <w:rsid w:val="008E695C"/>
    <w:rsid w:val="00900B97"/>
    <w:rsid w:val="00902D0A"/>
    <w:rsid w:val="00904F7A"/>
    <w:rsid w:val="009113A8"/>
    <w:rsid w:val="009152E8"/>
    <w:rsid w:val="00915F85"/>
    <w:rsid w:val="009165D1"/>
    <w:rsid w:val="009226AE"/>
    <w:rsid w:val="0092442B"/>
    <w:rsid w:val="00924C65"/>
    <w:rsid w:val="00926C20"/>
    <w:rsid w:val="00934C93"/>
    <w:rsid w:val="00935853"/>
    <w:rsid w:val="00943071"/>
    <w:rsid w:val="00945CCF"/>
    <w:rsid w:val="009475B8"/>
    <w:rsid w:val="00950CFC"/>
    <w:rsid w:val="00950F63"/>
    <w:rsid w:val="00955C70"/>
    <w:rsid w:val="0096200F"/>
    <w:rsid w:val="00966ADD"/>
    <w:rsid w:val="00966D97"/>
    <w:rsid w:val="00971517"/>
    <w:rsid w:val="009723D6"/>
    <w:rsid w:val="0098073B"/>
    <w:rsid w:val="009825A8"/>
    <w:rsid w:val="00984091"/>
    <w:rsid w:val="00984731"/>
    <w:rsid w:val="00984E2C"/>
    <w:rsid w:val="0098647F"/>
    <w:rsid w:val="0099043A"/>
    <w:rsid w:val="0099288D"/>
    <w:rsid w:val="009934CC"/>
    <w:rsid w:val="009A115F"/>
    <w:rsid w:val="009A7580"/>
    <w:rsid w:val="009B0226"/>
    <w:rsid w:val="009B096D"/>
    <w:rsid w:val="009B4329"/>
    <w:rsid w:val="009B4F78"/>
    <w:rsid w:val="009B5B80"/>
    <w:rsid w:val="009B5E7F"/>
    <w:rsid w:val="009B69F0"/>
    <w:rsid w:val="009C13B3"/>
    <w:rsid w:val="009D265B"/>
    <w:rsid w:val="009D411A"/>
    <w:rsid w:val="009D49C0"/>
    <w:rsid w:val="009D4C54"/>
    <w:rsid w:val="009D7D12"/>
    <w:rsid w:val="009E2798"/>
    <w:rsid w:val="009E2F81"/>
    <w:rsid w:val="009E6BD4"/>
    <w:rsid w:val="009F1220"/>
    <w:rsid w:val="009F277D"/>
    <w:rsid w:val="009F30B7"/>
    <w:rsid w:val="009F6A55"/>
    <w:rsid w:val="009F6A78"/>
    <w:rsid w:val="00A0100B"/>
    <w:rsid w:val="00A0167E"/>
    <w:rsid w:val="00A031BE"/>
    <w:rsid w:val="00A0328C"/>
    <w:rsid w:val="00A03DFC"/>
    <w:rsid w:val="00A061B9"/>
    <w:rsid w:val="00A0646B"/>
    <w:rsid w:val="00A066FA"/>
    <w:rsid w:val="00A074E2"/>
    <w:rsid w:val="00A07AB5"/>
    <w:rsid w:val="00A10087"/>
    <w:rsid w:val="00A13314"/>
    <w:rsid w:val="00A147A9"/>
    <w:rsid w:val="00A14B01"/>
    <w:rsid w:val="00A162E4"/>
    <w:rsid w:val="00A17BED"/>
    <w:rsid w:val="00A20ABC"/>
    <w:rsid w:val="00A261AF"/>
    <w:rsid w:val="00A31DD8"/>
    <w:rsid w:val="00A3505D"/>
    <w:rsid w:val="00A35343"/>
    <w:rsid w:val="00A35944"/>
    <w:rsid w:val="00A42CC5"/>
    <w:rsid w:val="00A50FFA"/>
    <w:rsid w:val="00A51EF4"/>
    <w:rsid w:val="00A554A8"/>
    <w:rsid w:val="00A55CCF"/>
    <w:rsid w:val="00A5767D"/>
    <w:rsid w:val="00A60B08"/>
    <w:rsid w:val="00A62D9C"/>
    <w:rsid w:val="00A634DC"/>
    <w:rsid w:val="00A70D2C"/>
    <w:rsid w:val="00A711FB"/>
    <w:rsid w:val="00A71958"/>
    <w:rsid w:val="00A730E4"/>
    <w:rsid w:val="00A733BA"/>
    <w:rsid w:val="00A751F4"/>
    <w:rsid w:val="00A76903"/>
    <w:rsid w:val="00A77139"/>
    <w:rsid w:val="00A80A2E"/>
    <w:rsid w:val="00A82CA5"/>
    <w:rsid w:val="00A91EFA"/>
    <w:rsid w:val="00A97F07"/>
    <w:rsid w:val="00AA03E8"/>
    <w:rsid w:val="00AA2A43"/>
    <w:rsid w:val="00AA3F87"/>
    <w:rsid w:val="00AA7482"/>
    <w:rsid w:val="00AA75D6"/>
    <w:rsid w:val="00AB0DA4"/>
    <w:rsid w:val="00AB6D34"/>
    <w:rsid w:val="00AB7DEB"/>
    <w:rsid w:val="00AC0E12"/>
    <w:rsid w:val="00AC3BDB"/>
    <w:rsid w:val="00AC49B6"/>
    <w:rsid w:val="00AC4D7B"/>
    <w:rsid w:val="00AC515F"/>
    <w:rsid w:val="00AC72C5"/>
    <w:rsid w:val="00AC7BA8"/>
    <w:rsid w:val="00AD1CA3"/>
    <w:rsid w:val="00AD24CF"/>
    <w:rsid w:val="00AD5EA5"/>
    <w:rsid w:val="00AE6E5E"/>
    <w:rsid w:val="00AF4399"/>
    <w:rsid w:val="00AF5269"/>
    <w:rsid w:val="00AF5366"/>
    <w:rsid w:val="00AF6257"/>
    <w:rsid w:val="00AF6704"/>
    <w:rsid w:val="00B013A4"/>
    <w:rsid w:val="00B070EC"/>
    <w:rsid w:val="00B10F3C"/>
    <w:rsid w:val="00B11C95"/>
    <w:rsid w:val="00B137AB"/>
    <w:rsid w:val="00B20F39"/>
    <w:rsid w:val="00B21366"/>
    <w:rsid w:val="00B24371"/>
    <w:rsid w:val="00B2790F"/>
    <w:rsid w:val="00B30F9F"/>
    <w:rsid w:val="00B3126B"/>
    <w:rsid w:val="00B32576"/>
    <w:rsid w:val="00B3339F"/>
    <w:rsid w:val="00B3578B"/>
    <w:rsid w:val="00B40450"/>
    <w:rsid w:val="00B40C6D"/>
    <w:rsid w:val="00B41131"/>
    <w:rsid w:val="00B456F7"/>
    <w:rsid w:val="00B54191"/>
    <w:rsid w:val="00B62892"/>
    <w:rsid w:val="00B64054"/>
    <w:rsid w:val="00B640C4"/>
    <w:rsid w:val="00B70D06"/>
    <w:rsid w:val="00B711E5"/>
    <w:rsid w:val="00B72F91"/>
    <w:rsid w:val="00B7330E"/>
    <w:rsid w:val="00B75E55"/>
    <w:rsid w:val="00B77F06"/>
    <w:rsid w:val="00B82D0C"/>
    <w:rsid w:val="00B838D0"/>
    <w:rsid w:val="00B92035"/>
    <w:rsid w:val="00B96B00"/>
    <w:rsid w:val="00BA3014"/>
    <w:rsid w:val="00BA32E7"/>
    <w:rsid w:val="00BA3778"/>
    <w:rsid w:val="00BA3FCA"/>
    <w:rsid w:val="00BA5719"/>
    <w:rsid w:val="00BA5E27"/>
    <w:rsid w:val="00BA7763"/>
    <w:rsid w:val="00BC4C81"/>
    <w:rsid w:val="00BC4D24"/>
    <w:rsid w:val="00BC6134"/>
    <w:rsid w:val="00BD0ED6"/>
    <w:rsid w:val="00BD251A"/>
    <w:rsid w:val="00BE1493"/>
    <w:rsid w:val="00BE1865"/>
    <w:rsid w:val="00BE6921"/>
    <w:rsid w:val="00BF056F"/>
    <w:rsid w:val="00BF4B95"/>
    <w:rsid w:val="00BF5D2E"/>
    <w:rsid w:val="00C01509"/>
    <w:rsid w:val="00C04E0E"/>
    <w:rsid w:val="00C10DC9"/>
    <w:rsid w:val="00C255A8"/>
    <w:rsid w:val="00C25BAD"/>
    <w:rsid w:val="00C25F94"/>
    <w:rsid w:val="00C267E8"/>
    <w:rsid w:val="00C274B8"/>
    <w:rsid w:val="00C33215"/>
    <w:rsid w:val="00C3546E"/>
    <w:rsid w:val="00C50A1E"/>
    <w:rsid w:val="00C5103E"/>
    <w:rsid w:val="00C53552"/>
    <w:rsid w:val="00C61078"/>
    <w:rsid w:val="00C6276F"/>
    <w:rsid w:val="00C62E03"/>
    <w:rsid w:val="00C63D84"/>
    <w:rsid w:val="00C63DF3"/>
    <w:rsid w:val="00C701D6"/>
    <w:rsid w:val="00C7206D"/>
    <w:rsid w:val="00C72520"/>
    <w:rsid w:val="00C73293"/>
    <w:rsid w:val="00C75511"/>
    <w:rsid w:val="00C83316"/>
    <w:rsid w:val="00C834E8"/>
    <w:rsid w:val="00C879DA"/>
    <w:rsid w:val="00C90A93"/>
    <w:rsid w:val="00C92CA9"/>
    <w:rsid w:val="00C92F70"/>
    <w:rsid w:val="00C9408C"/>
    <w:rsid w:val="00CA0608"/>
    <w:rsid w:val="00CA204F"/>
    <w:rsid w:val="00CA3675"/>
    <w:rsid w:val="00CA38D7"/>
    <w:rsid w:val="00CA552A"/>
    <w:rsid w:val="00CA5D3C"/>
    <w:rsid w:val="00CA6179"/>
    <w:rsid w:val="00CB0075"/>
    <w:rsid w:val="00CB0353"/>
    <w:rsid w:val="00CB0425"/>
    <w:rsid w:val="00CB25BE"/>
    <w:rsid w:val="00CB5728"/>
    <w:rsid w:val="00CB7ED7"/>
    <w:rsid w:val="00CC0A00"/>
    <w:rsid w:val="00CC16B0"/>
    <w:rsid w:val="00CC3406"/>
    <w:rsid w:val="00CD1424"/>
    <w:rsid w:val="00CD2543"/>
    <w:rsid w:val="00CE1D9F"/>
    <w:rsid w:val="00CE5329"/>
    <w:rsid w:val="00CF0957"/>
    <w:rsid w:val="00CF0DF6"/>
    <w:rsid w:val="00CF3858"/>
    <w:rsid w:val="00CF5F76"/>
    <w:rsid w:val="00D00BB0"/>
    <w:rsid w:val="00D07A7E"/>
    <w:rsid w:val="00D11206"/>
    <w:rsid w:val="00D11AC4"/>
    <w:rsid w:val="00D11D7E"/>
    <w:rsid w:val="00D177E6"/>
    <w:rsid w:val="00D209B7"/>
    <w:rsid w:val="00D20AF2"/>
    <w:rsid w:val="00D2104A"/>
    <w:rsid w:val="00D22DC6"/>
    <w:rsid w:val="00D24A27"/>
    <w:rsid w:val="00D25EC1"/>
    <w:rsid w:val="00D26225"/>
    <w:rsid w:val="00D43B1A"/>
    <w:rsid w:val="00D449F0"/>
    <w:rsid w:val="00D452F9"/>
    <w:rsid w:val="00D45530"/>
    <w:rsid w:val="00D521C8"/>
    <w:rsid w:val="00D549F1"/>
    <w:rsid w:val="00D578E6"/>
    <w:rsid w:val="00D62B5C"/>
    <w:rsid w:val="00D63D36"/>
    <w:rsid w:val="00D65AC9"/>
    <w:rsid w:val="00D66EA6"/>
    <w:rsid w:val="00D67E94"/>
    <w:rsid w:val="00D72311"/>
    <w:rsid w:val="00D741DC"/>
    <w:rsid w:val="00D758C3"/>
    <w:rsid w:val="00D75F17"/>
    <w:rsid w:val="00D77580"/>
    <w:rsid w:val="00D8141C"/>
    <w:rsid w:val="00D817C2"/>
    <w:rsid w:val="00D86958"/>
    <w:rsid w:val="00D87273"/>
    <w:rsid w:val="00D9074E"/>
    <w:rsid w:val="00D90C7F"/>
    <w:rsid w:val="00D91793"/>
    <w:rsid w:val="00D94BB8"/>
    <w:rsid w:val="00D97B26"/>
    <w:rsid w:val="00DA6105"/>
    <w:rsid w:val="00DA7419"/>
    <w:rsid w:val="00DB0E0B"/>
    <w:rsid w:val="00DB53F2"/>
    <w:rsid w:val="00DB5E85"/>
    <w:rsid w:val="00DB5FC7"/>
    <w:rsid w:val="00DB7937"/>
    <w:rsid w:val="00DC4701"/>
    <w:rsid w:val="00DC7091"/>
    <w:rsid w:val="00DC7FCC"/>
    <w:rsid w:val="00DD1FF9"/>
    <w:rsid w:val="00DD4A0B"/>
    <w:rsid w:val="00DD4C62"/>
    <w:rsid w:val="00DD7A04"/>
    <w:rsid w:val="00DE149C"/>
    <w:rsid w:val="00DE191A"/>
    <w:rsid w:val="00DE3C90"/>
    <w:rsid w:val="00DE4148"/>
    <w:rsid w:val="00DF4096"/>
    <w:rsid w:val="00DF67EC"/>
    <w:rsid w:val="00DF746A"/>
    <w:rsid w:val="00E03A1A"/>
    <w:rsid w:val="00E04B9F"/>
    <w:rsid w:val="00E064C9"/>
    <w:rsid w:val="00E06B06"/>
    <w:rsid w:val="00E06CBE"/>
    <w:rsid w:val="00E07CD2"/>
    <w:rsid w:val="00E07EC9"/>
    <w:rsid w:val="00E12BEB"/>
    <w:rsid w:val="00E15650"/>
    <w:rsid w:val="00E17999"/>
    <w:rsid w:val="00E17C07"/>
    <w:rsid w:val="00E2530E"/>
    <w:rsid w:val="00E261AA"/>
    <w:rsid w:val="00E30409"/>
    <w:rsid w:val="00E307B5"/>
    <w:rsid w:val="00E40297"/>
    <w:rsid w:val="00E41C1B"/>
    <w:rsid w:val="00E4313E"/>
    <w:rsid w:val="00E524F8"/>
    <w:rsid w:val="00E546FE"/>
    <w:rsid w:val="00E55A0A"/>
    <w:rsid w:val="00E64E6F"/>
    <w:rsid w:val="00E64E77"/>
    <w:rsid w:val="00E65B4C"/>
    <w:rsid w:val="00E7127F"/>
    <w:rsid w:val="00E71918"/>
    <w:rsid w:val="00E7269C"/>
    <w:rsid w:val="00E7601D"/>
    <w:rsid w:val="00E77BDC"/>
    <w:rsid w:val="00E82B05"/>
    <w:rsid w:val="00E85A07"/>
    <w:rsid w:val="00E96455"/>
    <w:rsid w:val="00E96F4B"/>
    <w:rsid w:val="00E97BBB"/>
    <w:rsid w:val="00EA1616"/>
    <w:rsid w:val="00EA34F5"/>
    <w:rsid w:val="00EA35C9"/>
    <w:rsid w:val="00EA39CB"/>
    <w:rsid w:val="00EA4776"/>
    <w:rsid w:val="00EA76A7"/>
    <w:rsid w:val="00EA7FCD"/>
    <w:rsid w:val="00EC1994"/>
    <w:rsid w:val="00EC6CD2"/>
    <w:rsid w:val="00ED1223"/>
    <w:rsid w:val="00ED1770"/>
    <w:rsid w:val="00ED4039"/>
    <w:rsid w:val="00ED45B3"/>
    <w:rsid w:val="00ED4E9E"/>
    <w:rsid w:val="00EE0AAB"/>
    <w:rsid w:val="00EE18A7"/>
    <w:rsid w:val="00EE7997"/>
    <w:rsid w:val="00EE79AB"/>
    <w:rsid w:val="00EF0804"/>
    <w:rsid w:val="00EF50F3"/>
    <w:rsid w:val="00EF56F1"/>
    <w:rsid w:val="00EF6EA9"/>
    <w:rsid w:val="00F02D7C"/>
    <w:rsid w:val="00F04CB3"/>
    <w:rsid w:val="00F05222"/>
    <w:rsid w:val="00F06051"/>
    <w:rsid w:val="00F07653"/>
    <w:rsid w:val="00F12DE2"/>
    <w:rsid w:val="00F13519"/>
    <w:rsid w:val="00F159D7"/>
    <w:rsid w:val="00F20ECD"/>
    <w:rsid w:val="00F24B1E"/>
    <w:rsid w:val="00F27621"/>
    <w:rsid w:val="00F30559"/>
    <w:rsid w:val="00F30E6A"/>
    <w:rsid w:val="00F3163A"/>
    <w:rsid w:val="00F31C2B"/>
    <w:rsid w:val="00F32703"/>
    <w:rsid w:val="00F34FF3"/>
    <w:rsid w:val="00F35E43"/>
    <w:rsid w:val="00F37D76"/>
    <w:rsid w:val="00F5074F"/>
    <w:rsid w:val="00F50B86"/>
    <w:rsid w:val="00F52032"/>
    <w:rsid w:val="00F533CD"/>
    <w:rsid w:val="00F54119"/>
    <w:rsid w:val="00F545C1"/>
    <w:rsid w:val="00F54E26"/>
    <w:rsid w:val="00F54F26"/>
    <w:rsid w:val="00F54FE6"/>
    <w:rsid w:val="00F56A24"/>
    <w:rsid w:val="00F61108"/>
    <w:rsid w:val="00F62074"/>
    <w:rsid w:val="00F633FE"/>
    <w:rsid w:val="00F64F14"/>
    <w:rsid w:val="00F65D79"/>
    <w:rsid w:val="00F72259"/>
    <w:rsid w:val="00F72680"/>
    <w:rsid w:val="00F7348C"/>
    <w:rsid w:val="00F755DD"/>
    <w:rsid w:val="00F80228"/>
    <w:rsid w:val="00F83D31"/>
    <w:rsid w:val="00F840B9"/>
    <w:rsid w:val="00F865AF"/>
    <w:rsid w:val="00F869D9"/>
    <w:rsid w:val="00F9585B"/>
    <w:rsid w:val="00F95F1D"/>
    <w:rsid w:val="00FA074B"/>
    <w:rsid w:val="00FA2419"/>
    <w:rsid w:val="00FA55C9"/>
    <w:rsid w:val="00FA5713"/>
    <w:rsid w:val="00FB0F64"/>
    <w:rsid w:val="00FB1BAF"/>
    <w:rsid w:val="00FB39D0"/>
    <w:rsid w:val="00FB69B8"/>
    <w:rsid w:val="00FC1468"/>
    <w:rsid w:val="00FC2077"/>
    <w:rsid w:val="00FC2D9C"/>
    <w:rsid w:val="00FC434F"/>
    <w:rsid w:val="00FC5EFE"/>
    <w:rsid w:val="00FD1194"/>
    <w:rsid w:val="00FD5DCA"/>
    <w:rsid w:val="00FE1596"/>
    <w:rsid w:val="00FE3A31"/>
    <w:rsid w:val="00FE4461"/>
    <w:rsid w:val="00FE7E8A"/>
    <w:rsid w:val="00FF396A"/>
    <w:rsid w:val="00FF3BDA"/>
    <w:rsid w:val="00FF3CAB"/>
    <w:rsid w:val="00FF41B2"/>
    <w:rsid w:val="00FF49DC"/>
    <w:rsid w:val="00FF4FB1"/>
    <w:rsid w:val="00FF6ABF"/>
    <w:rsid w:val="00FF73BD"/>
    <w:rsid w:val="5601D80A"/>
    <w:rsid w:val="6B41F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D80A"/>
  <w15:chartTrackingRefBased/>
  <w15:docId w15:val="{F87B5C63-5680-4509-BCDE-37CF6FD8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FE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6D53"/>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5A6D53"/>
    <w:rPr>
      <w:rFonts w:ascii="Times New Roman" w:eastAsia="Times New Roman" w:hAnsi="Times New Roman" w:cs="Times New Roman"/>
      <w:b/>
      <w:sz w:val="24"/>
      <w:szCs w:val="20"/>
    </w:rPr>
  </w:style>
  <w:style w:type="table" w:styleId="TableGrid">
    <w:name w:val="Table Grid"/>
    <w:basedOn w:val="TableNormal"/>
    <w:uiPriority w:val="59"/>
    <w:rsid w:val="005A6D5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3A57A9"/>
    <w:rPr>
      <w:color w:val="0000FF"/>
      <w:u w:val="single"/>
    </w:rPr>
  </w:style>
  <w:style w:type="character" w:styleId="CommentReference">
    <w:name w:val="annotation reference"/>
    <w:basedOn w:val="DefaultParagraphFont"/>
    <w:uiPriority w:val="99"/>
    <w:semiHidden/>
    <w:unhideWhenUsed/>
    <w:rsid w:val="00F56A24"/>
    <w:rPr>
      <w:sz w:val="16"/>
      <w:szCs w:val="16"/>
    </w:rPr>
  </w:style>
  <w:style w:type="paragraph" w:styleId="CommentText">
    <w:name w:val="annotation text"/>
    <w:basedOn w:val="Normal"/>
    <w:link w:val="CommentTextChar"/>
    <w:uiPriority w:val="99"/>
    <w:semiHidden/>
    <w:unhideWhenUsed/>
    <w:rsid w:val="00F56A24"/>
    <w:rPr>
      <w:sz w:val="20"/>
      <w:szCs w:val="20"/>
    </w:rPr>
  </w:style>
  <w:style w:type="character" w:customStyle="1" w:styleId="CommentTextChar">
    <w:name w:val="Comment Text Char"/>
    <w:basedOn w:val="DefaultParagraphFont"/>
    <w:link w:val="CommentText"/>
    <w:uiPriority w:val="99"/>
    <w:semiHidden/>
    <w:rsid w:val="00F56A24"/>
    <w:rPr>
      <w:sz w:val="20"/>
      <w:szCs w:val="20"/>
    </w:rPr>
  </w:style>
  <w:style w:type="paragraph" w:styleId="CommentSubject">
    <w:name w:val="annotation subject"/>
    <w:basedOn w:val="CommentText"/>
    <w:next w:val="CommentText"/>
    <w:link w:val="CommentSubjectChar"/>
    <w:uiPriority w:val="99"/>
    <w:semiHidden/>
    <w:unhideWhenUsed/>
    <w:rsid w:val="00F56A24"/>
    <w:rPr>
      <w:b/>
      <w:bCs/>
    </w:rPr>
  </w:style>
  <w:style w:type="character" w:customStyle="1" w:styleId="CommentSubjectChar">
    <w:name w:val="Comment Subject Char"/>
    <w:basedOn w:val="CommentTextChar"/>
    <w:link w:val="CommentSubject"/>
    <w:uiPriority w:val="99"/>
    <w:semiHidden/>
    <w:rsid w:val="00F56A24"/>
    <w:rPr>
      <w:b/>
      <w:bCs/>
      <w:sz w:val="20"/>
      <w:szCs w:val="20"/>
    </w:rPr>
  </w:style>
  <w:style w:type="paragraph" w:styleId="BalloonText">
    <w:name w:val="Balloon Text"/>
    <w:basedOn w:val="Normal"/>
    <w:link w:val="BalloonTextChar"/>
    <w:uiPriority w:val="99"/>
    <w:semiHidden/>
    <w:unhideWhenUsed/>
    <w:rsid w:val="00F56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A24"/>
    <w:rPr>
      <w:rFonts w:ascii="Segoe UI" w:hAnsi="Segoe UI" w:cs="Segoe UI"/>
      <w:sz w:val="18"/>
      <w:szCs w:val="18"/>
    </w:rPr>
  </w:style>
  <w:style w:type="paragraph" w:styleId="ListParagraph">
    <w:name w:val="List Paragraph"/>
    <w:basedOn w:val="Normal"/>
    <w:uiPriority w:val="34"/>
    <w:qFormat/>
    <w:rsid w:val="00181E93"/>
    <w:pPr>
      <w:ind w:left="720"/>
      <w:contextualSpacing/>
    </w:pPr>
  </w:style>
  <w:style w:type="paragraph" w:styleId="FootnoteText">
    <w:name w:val="footnote text"/>
    <w:basedOn w:val="Normal"/>
    <w:link w:val="FootnoteTextChar"/>
    <w:uiPriority w:val="99"/>
    <w:semiHidden/>
    <w:unhideWhenUsed/>
    <w:rsid w:val="00FB1BAF"/>
    <w:rPr>
      <w:sz w:val="20"/>
      <w:szCs w:val="20"/>
    </w:rPr>
  </w:style>
  <w:style w:type="character" w:customStyle="1" w:styleId="FootnoteTextChar">
    <w:name w:val="Footnote Text Char"/>
    <w:basedOn w:val="DefaultParagraphFont"/>
    <w:link w:val="FootnoteText"/>
    <w:uiPriority w:val="99"/>
    <w:semiHidden/>
    <w:rsid w:val="00FB1BAF"/>
    <w:rPr>
      <w:sz w:val="20"/>
      <w:szCs w:val="20"/>
    </w:rPr>
  </w:style>
  <w:style w:type="character" w:styleId="FootnoteReference">
    <w:name w:val="footnote reference"/>
    <w:basedOn w:val="DefaultParagraphFont"/>
    <w:uiPriority w:val="99"/>
    <w:semiHidden/>
    <w:unhideWhenUsed/>
    <w:rsid w:val="00FB1BAF"/>
    <w:rPr>
      <w:vertAlign w:val="superscript"/>
    </w:rPr>
  </w:style>
  <w:style w:type="paragraph" w:styleId="Header">
    <w:name w:val="header"/>
    <w:basedOn w:val="Normal"/>
    <w:link w:val="HeaderChar"/>
    <w:uiPriority w:val="99"/>
    <w:unhideWhenUsed/>
    <w:rsid w:val="00BA5E27"/>
    <w:pPr>
      <w:tabs>
        <w:tab w:val="center" w:pos="4680"/>
        <w:tab w:val="right" w:pos="9360"/>
      </w:tabs>
    </w:pPr>
  </w:style>
  <w:style w:type="character" w:customStyle="1" w:styleId="HeaderChar">
    <w:name w:val="Header Char"/>
    <w:basedOn w:val="DefaultParagraphFont"/>
    <w:link w:val="Header"/>
    <w:uiPriority w:val="99"/>
    <w:rsid w:val="00BA5E27"/>
  </w:style>
  <w:style w:type="paragraph" w:styleId="Footer">
    <w:name w:val="footer"/>
    <w:basedOn w:val="Normal"/>
    <w:link w:val="FooterChar"/>
    <w:uiPriority w:val="99"/>
    <w:unhideWhenUsed/>
    <w:rsid w:val="00BA5E27"/>
    <w:pPr>
      <w:tabs>
        <w:tab w:val="center" w:pos="4680"/>
        <w:tab w:val="right" w:pos="9360"/>
      </w:tabs>
    </w:pPr>
  </w:style>
  <w:style w:type="character" w:customStyle="1" w:styleId="FooterChar">
    <w:name w:val="Footer Char"/>
    <w:basedOn w:val="DefaultParagraphFont"/>
    <w:link w:val="Footer"/>
    <w:uiPriority w:val="99"/>
    <w:rsid w:val="00BA5E27"/>
  </w:style>
  <w:style w:type="paragraph" w:styleId="NormalWeb">
    <w:name w:val="Normal (Web)"/>
    <w:basedOn w:val="Normal"/>
    <w:uiPriority w:val="99"/>
    <w:semiHidden/>
    <w:unhideWhenUsed/>
    <w:rsid w:val="00E64E77"/>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984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40310">
      <w:bodyDiv w:val="1"/>
      <w:marLeft w:val="0"/>
      <w:marRight w:val="0"/>
      <w:marTop w:val="0"/>
      <w:marBottom w:val="0"/>
      <w:divBdr>
        <w:top w:val="none" w:sz="0" w:space="0" w:color="auto"/>
        <w:left w:val="none" w:sz="0" w:space="0" w:color="auto"/>
        <w:bottom w:val="none" w:sz="0" w:space="0" w:color="auto"/>
        <w:right w:val="none" w:sz="0" w:space="0" w:color="auto"/>
      </w:divBdr>
    </w:div>
    <w:div w:id="11160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nugent@igs.com" TargetMode="External"/><Relationship Id="rId18" Type="http://schemas.openxmlformats.org/officeDocument/2006/relationships/hyperlink" Target="mailto:dparram@bricke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oe.oliker@igs.com" TargetMode="External"/><Relationship Id="rId17" Type="http://schemas.openxmlformats.org/officeDocument/2006/relationships/hyperlink" Target="mailto:dstinson@bricker.com" TargetMode="External"/><Relationship Id="rId2" Type="http://schemas.openxmlformats.org/officeDocument/2006/relationships/customXml" Target="../customXml/item2.xml"/><Relationship Id="rId16" Type="http://schemas.openxmlformats.org/officeDocument/2006/relationships/hyperlink" Target="mailto:gkrassen@brick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hany.allen@igs.com" TargetMode="External"/><Relationship Id="rId5" Type="http://schemas.openxmlformats.org/officeDocument/2006/relationships/numbering" Target="numbering.xml"/><Relationship Id="rId15" Type="http://schemas.openxmlformats.org/officeDocument/2006/relationships/hyperlink" Target="mailto:Ambrosia.wilson@occ.ohio.gov" TargetMode="External"/><Relationship Id="rId10" Type="http://schemas.openxmlformats.org/officeDocument/2006/relationships/endnotes" Target="endnotes.xml"/><Relationship Id="rId19" Type="http://schemas.openxmlformats.org/officeDocument/2006/relationships/hyperlink" Target="mailto:mjsettineri@vory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hn.jones@ohioattorneygeneral.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8" ma:contentTypeDescription="Create a new document." ma:contentTypeScope="" ma:versionID="b123bb675f538c01cd1edc001d17f45a">
  <xsd:schema xmlns:xsd="http://www.w3.org/2001/XMLSchema" xmlns:xs="http://www.w3.org/2001/XMLSchema" xmlns:p="http://schemas.microsoft.com/office/2006/metadata/properties" xmlns:ns2="7b65a839-91ea-4ae8-a3e7-aa2e1fd1ecb0" xmlns:ns3="55d5c4c6-b9eb-4cda-b39a-7fef7100373c" targetNamespace="http://schemas.microsoft.com/office/2006/metadata/properties" ma:root="true" ma:fieldsID="c0175aaf1d765f7823cf700f99e3fa78" ns2:_="" ns3:_="">
    <xsd:import namespace="7b65a839-91ea-4ae8-a3e7-aa2e1fd1ecb0"/>
    <xsd:import namespace="55d5c4c6-b9eb-4cda-b39a-7fef7100373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5c4c6-b9eb-4cda-b39a-7fef710037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C7D01-569E-41F0-9D89-D39327541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55d5c4c6-b9eb-4cda-b39a-7fef71003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8659F-3A67-458F-BEC6-030D286EA05C}">
  <ds:schemaRefs>
    <ds:schemaRef ds:uri="http://schemas.microsoft.com/sharepoint/v3/contenttype/forms"/>
  </ds:schemaRefs>
</ds:datastoreItem>
</file>

<file path=customXml/itemProps3.xml><?xml version="1.0" encoding="utf-8"?>
<ds:datastoreItem xmlns:ds="http://schemas.openxmlformats.org/officeDocument/2006/customXml" ds:itemID="{BDF1782B-4F02-4C6D-AB82-2668A4E10890}">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55d5c4c6-b9eb-4cda-b39a-7fef7100373c"/>
    <ds:schemaRef ds:uri="http://purl.org/dc/terms/"/>
    <ds:schemaRef ds:uri="7b65a839-91ea-4ae8-a3e7-aa2e1fd1ecb0"/>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3BB9C8A0-0B4B-4FEB-9526-2121819A7854}">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8</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Links>
    <vt:vector size="54" baseType="variant">
      <vt:variant>
        <vt:i4>1310778</vt:i4>
      </vt:variant>
      <vt:variant>
        <vt:i4>24</vt:i4>
      </vt:variant>
      <vt:variant>
        <vt:i4>0</vt:i4>
      </vt:variant>
      <vt:variant>
        <vt:i4>5</vt:i4>
      </vt:variant>
      <vt:variant>
        <vt:lpwstr>mailto:mjsettineri@vorys.com</vt:lpwstr>
      </vt:variant>
      <vt:variant>
        <vt:lpwstr/>
      </vt:variant>
      <vt:variant>
        <vt:i4>6553692</vt:i4>
      </vt:variant>
      <vt:variant>
        <vt:i4>21</vt:i4>
      </vt:variant>
      <vt:variant>
        <vt:i4>0</vt:i4>
      </vt:variant>
      <vt:variant>
        <vt:i4>5</vt:i4>
      </vt:variant>
      <vt:variant>
        <vt:lpwstr>mailto:dparram@bricker.com</vt:lpwstr>
      </vt:variant>
      <vt:variant>
        <vt:lpwstr/>
      </vt:variant>
      <vt:variant>
        <vt:i4>393276</vt:i4>
      </vt:variant>
      <vt:variant>
        <vt:i4>18</vt:i4>
      </vt:variant>
      <vt:variant>
        <vt:i4>0</vt:i4>
      </vt:variant>
      <vt:variant>
        <vt:i4>5</vt:i4>
      </vt:variant>
      <vt:variant>
        <vt:lpwstr>mailto:dstinson@bricker.com</vt:lpwstr>
      </vt:variant>
      <vt:variant>
        <vt:lpwstr/>
      </vt:variant>
      <vt:variant>
        <vt:i4>1310764</vt:i4>
      </vt:variant>
      <vt:variant>
        <vt:i4>15</vt:i4>
      </vt:variant>
      <vt:variant>
        <vt:i4>0</vt:i4>
      </vt:variant>
      <vt:variant>
        <vt:i4>5</vt:i4>
      </vt:variant>
      <vt:variant>
        <vt:lpwstr>mailto:gkrassen@bricker.com</vt:lpwstr>
      </vt:variant>
      <vt:variant>
        <vt:lpwstr/>
      </vt:variant>
      <vt:variant>
        <vt:i4>7733342</vt:i4>
      </vt:variant>
      <vt:variant>
        <vt:i4>12</vt:i4>
      </vt:variant>
      <vt:variant>
        <vt:i4>0</vt:i4>
      </vt:variant>
      <vt:variant>
        <vt:i4>5</vt:i4>
      </vt:variant>
      <vt:variant>
        <vt:lpwstr>mailto:Ambrosia.wilson@occ.ohio.gov</vt:lpwstr>
      </vt:variant>
      <vt:variant>
        <vt:lpwstr/>
      </vt:variant>
      <vt:variant>
        <vt:i4>3080264</vt:i4>
      </vt:variant>
      <vt:variant>
        <vt:i4>9</vt:i4>
      </vt:variant>
      <vt:variant>
        <vt:i4>0</vt:i4>
      </vt:variant>
      <vt:variant>
        <vt:i4>5</vt:i4>
      </vt:variant>
      <vt:variant>
        <vt:lpwstr>mailto:john.jones@ohioattorneygeneral.gov</vt:lpwstr>
      </vt:variant>
      <vt:variant>
        <vt:lpwstr/>
      </vt:variant>
      <vt:variant>
        <vt:i4>6291485</vt:i4>
      </vt:variant>
      <vt:variant>
        <vt:i4>6</vt:i4>
      </vt:variant>
      <vt:variant>
        <vt:i4>0</vt:i4>
      </vt:variant>
      <vt:variant>
        <vt:i4>5</vt:i4>
      </vt:variant>
      <vt:variant>
        <vt:lpwstr>mailto:michael.nugent@igs.com</vt:lpwstr>
      </vt:variant>
      <vt:variant>
        <vt:lpwstr/>
      </vt:variant>
      <vt:variant>
        <vt:i4>6815751</vt:i4>
      </vt:variant>
      <vt:variant>
        <vt:i4>3</vt:i4>
      </vt:variant>
      <vt:variant>
        <vt:i4>0</vt:i4>
      </vt:variant>
      <vt:variant>
        <vt:i4>5</vt:i4>
      </vt:variant>
      <vt:variant>
        <vt:lpwstr>mailto:joe.oliker@igs.com</vt:lpwstr>
      </vt:variant>
      <vt:variant>
        <vt:lpwstr/>
      </vt:variant>
      <vt:variant>
        <vt:i4>1769576</vt:i4>
      </vt:variant>
      <vt:variant>
        <vt:i4>0</vt:i4>
      </vt:variant>
      <vt:variant>
        <vt:i4>0</vt:i4>
      </vt:variant>
      <vt:variant>
        <vt:i4>5</vt:i4>
      </vt:variant>
      <vt:variant>
        <vt:lpwstr>mailto:bethany.allen@igs.com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Allen</dc:creator>
  <cp:keywords/>
  <dc:description/>
  <cp:lastModifiedBy>Evan Betterton</cp:lastModifiedBy>
  <cp:revision>2</cp:revision>
  <dcterms:created xsi:type="dcterms:W3CDTF">2020-11-02T21:59:00Z</dcterms:created>
  <dcterms:modified xsi:type="dcterms:W3CDTF">2020-11-02T21:59:00Z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0x010100134952F9974ECA4090E456E20DC829D0</vt:lpwstr>
  </property>
</Properties>
</file>