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C22346" w:rsidRPr="003528CC" w:rsidP="00C22346">
      <w:pPr>
        <w:spacing w:after="0" w:line="240" w:lineRule="auto"/>
        <w:jc w:val="center"/>
        <w:rPr>
          <w:b/>
          <w:bCs/>
        </w:rPr>
      </w:pPr>
      <w:bookmarkStart w:id="0" w:name="_GoBack"/>
      <w:bookmarkEnd w:id="0"/>
      <w:r w:rsidRPr="003528CC">
        <w:rPr>
          <w:b/>
        </w:rPr>
        <w:t>BEFORE</w:t>
      </w:r>
    </w:p>
    <w:p w:rsidR="00C22346" w:rsidP="00C22346">
      <w:pPr>
        <w:jc w:val="center"/>
        <w:rPr>
          <w:b/>
        </w:rPr>
      </w:pPr>
      <w:r w:rsidRPr="003528CC">
        <w:rPr>
          <w:b/>
        </w:rPr>
        <w:t>THE</w:t>
      </w:r>
      <w:r w:rsidRPr="003528CC">
        <w:rPr>
          <w:b/>
          <w:spacing w:val="-10"/>
        </w:rPr>
        <w:t xml:space="preserve"> </w:t>
      </w:r>
      <w:r w:rsidRPr="003528CC">
        <w:rPr>
          <w:b/>
          <w:spacing w:val="-1"/>
        </w:rPr>
        <w:t>PUBLIC</w:t>
      </w:r>
      <w:r w:rsidRPr="003528CC">
        <w:rPr>
          <w:b/>
          <w:spacing w:val="-12"/>
        </w:rPr>
        <w:t xml:space="preserve"> </w:t>
      </w:r>
      <w:r w:rsidRPr="003528CC">
        <w:rPr>
          <w:b/>
        </w:rPr>
        <w:t>UTILITIES</w:t>
      </w:r>
      <w:r w:rsidRPr="003528CC">
        <w:rPr>
          <w:b/>
          <w:spacing w:val="-10"/>
        </w:rPr>
        <w:t xml:space="preserve"> </w:t>
      </w:r>
      <w:r w:rsidRPr="003528CC">
        <w:rPr>
          <w:b/>
          <w:spacing w:val="-1"/>
        </w:rPr>
        <w:t>COMMISSION</w:t>
      </w:r>
      <w:r w:rsidRPr="003528CC">
        <w:rPr>
          <w:b/>
          <w:spacing w:val="-11"/>
        </w:rPr>
        <w:t xml:space="preserve"> </w:t>
      </w:r>
      <w:r w:rsidRPr="003528CC">
        <w:rPr>
          <w:b/>
          <w:spacing w:val="-1"/>
        </w:rPr>
        <w:t>OF</w:t>
      </w:r>
      <w:r w:rsidRPr="003528CC">
        <w:rPr>
          <w:b/>
          <w:spacing w:val="-13"/>
        </w:rPr>
        <w:t xml:space="preserve"> O</w:t>
      </w:r>
      <w:r w:rsidRPr="003528CC">
        <w:rPr>
          <w:b/>
        </w:rPr>
        <w:t>HIO</w:t>
      </w:r>
    </w:p>
    <w:tbl>
      <w:tblPr>
        <w:tblW w:w="9092" w:type="dxa"/>
        <w:tblInd w:w="0" w:type="dxa"/>
        <w:tblCellMar>
          <w:top w:w="0" w:type="dxa"/>
          <w:left w:w="108" w:type="dxa"/>
          <w:bottom w:w="0" w:type="dxa"/>
          <w:right w:w="108" w:type="dxa"/>
        </w:tblCellMar>
        <w:tblLook w:val="01E0"/>
      </w:tblPr>
      <w:tblGrid>
        <w:gridCol w:w="4332"/>
        <w:gridCol w:w="360"/>
        <w:gridCol w:w="4400"/>
      </w:tblGrid>
      <w:tr w:rsidTr="00C22346">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C22346" w:rsidRPr="00710E80" w:rsidP="00C22346">
            <w:pPr>
              <w:autoSpaceDE w:val="0"/>
              <w:autoSpaceDN w:val="0"/>
              <w:adjustRightInd w:val="0"/>
              <w:spacing w:after="0" w:line="240" w:lineRule="auto"/>
              <w:rPr>
                <w:rStyle w:val="DefaultParagraphFont"/>
                <w:rFonts w:ascii="Times New Roman" w:hAnsi="Times New Roman" w:eastAsiaTheme="minorHAnsi" w:cstheme="minorBidi"/>
                <w:sz w:val="24"/>
                <w:szCs w:val="22"/>
                <w:lang w:val="en-US" w:eastAsia="en-US" w:bidi="ar-SA"/>
              </w:rPr>
            </w:pPr>
            <w:r w:rsidRPr="00710E80">
              <w:rPr>
                <w:rFonts w:ascii="Times New Roman" w:eastAsia="Times New Roman" w:hAnsi="Times New Roman" w:cs="Times New Roman"/>
                <w:sz w:val="24"/>
                <w:szCs w:val="20"/>
                <w:lang w:val="en-US" w:eastAsia="en-US" w:bidi="ar-SA"/>
              </w:rPr>
              <w:t xml:space="preserve">In the Matter of </w:t>
            </w:r>
            <w:r>
              <w:rPr>
                <w:rFonts w:ascii="Times New Roman" w:eastAsia="Times New Roman" w:hAnsi="Times New Roman" w:cs="Times New Roman"/>
                <w:sz w:val="24"/>
                <w:szCs w:val="20"/>
                <w:lang w:val="en-US" w:eastAsia="en-US" w:bidi="ar-SA"/>
              </w:rPr>
              <w:t>the Application of Duke Energy Ohio, Inc. for Approval of its Energy Efficiency and Peak Demand Reduction Portfolio of Programs.</w:t>
            </w:r>
          </w:p>
        </w:tc>
        <w:tc>
          <w:tcPr>
            <w:tcW w:w="360" w:type="dxa"/>
            <w:shd w:val="clear" w:color="auto" w:fill="auto"/>
          </w:tcPr>
          <w:p w:rsidR="00C22346" w:rsidRPr="00710E80" w:rsidP="00C2234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710E80">
              <w:rPr>
                <w:rFonts w:ascii="Times New Roman" w:eastAsia="Courier New" w:hAnsi="Times New Roman" w:cs="Times New Roman"/>
                <w:sz w:val="24"/>
                <w:szCs w:val="20"/>
                <w:lang w:val="en-US" w:eastAsia="en-US" w:bidi="ar-SA"/>
              </w:rPr>
              <w:t>)</w:t>
            </w:r>
          </w:p>
          <w:p w:rsidR="00C22346" w:rsidRPr="00710E80" w:rsidP="00C2234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710E80">
              <w:rPr>
                <w:rFonts w:ascii="Times New Roman" w:eastAsia="Courier New" w:hAnsi="Times New Roman" w:cs="Times New Roman"/>
                <w:sz w:val="24"/>
                <w:szCs w:val="20"/>
                <w:lang w:val="en-US" w:eastAsia="en-US" w:bidi="ar-SA"/>
              </w:rPr>
              <w:t>)</w:t>
            </w:r>
          </w:p>
          <w:p w:rsidR="00C22346" w:rsidP="00C2234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710E80">
              <w:rPr>
                <w:rFonts w:ascii="Times New Roman" w:eastAsia="Courier New" w:hAnsi="Times New Roman" w:cs="Times New Roman"/>
                <w:sz w:val="24"/>
                <w:szCs w:val="20"/>
                <w:lang w:val="en-US" w:eastAsia="en-US" w:bidi="ar-SA"/>
              </w:rPr>
              <w:t>)</w:t>
            </w:r>
          </w:p>
          <w:p w:rsidR="00C22346" w:rsidRPr="00710E80" w:rsidP="00C2234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Pr>
                <w:rFonts w:ascii="Times New Roman" w:eastAsia="Courier New" w:hAnsi="Times New Roman" w:cs="Times New Roman"/>
                <w:sz w:val="24"/>
                <w:szCs w:val="20"/>
                <w:lang w:val="en-US" w:eastAsia="en-US" w:bidi="ar-SA"/>
              </w:rPr>
              <w:t>)</w:t>
            </w:r>
          </w:p>
        </w:tc>
        <w:tc>
          <w:tcPr>
            <w:tcW w:w="4400" w:type="dxa"/>
            <w:shd w:val="clear" w:color="auto" w:fill="auto"/>
          </w:tcPr>
          <w:p w:rsidR="00C22346" w:rsidRPr="00710E80" w:rsidP="00C2234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C22346" w:rsidP="00C22346">
            <w:pPr>
              <w:spacing w:after="0" w:line="240" w:lineRule="auto"/>
              <w:rPr>
                <w:rStyle w:val="DefaultParagraphFont"/>
                <w:rFonts w:ascii="Times New Roman" w:hAnsi="Times New Roman" w:eastAsiaTheme="minorHAnsi" w:cstheme="minorBidi"/>
                <w:sz w:val="24"/>
                <w:szCs w:val="22"/>
                <w:lang w:val="en-US" w:eastAsia="en-US" w:bidi="ar-SA"/>
              </w:rPr>
            </w:pPr>
            <w:r>
              <w:rPr>
                <w:rFonts w:ascii="Times New Roman" w:eastAsia="Times New Roman" w:hAnsi="Times New Roman" w:cs="Times New Roman"/>
                <w:sz w:val="24"/>
                <w:szCs w:val="20"/>
                <w:lang w:val="en-US" w:eastAsia="en-US" w:bidi="ar-SA"/>
              </w:rPr>
              <w:t>Case No. 16-576-EL-POR</w:t>
            </w:r>
          </w:p>
          <w:p w:rsidR="00C22346" w:rsidRPr="00002580" w:rsidP="00C22346">
            <w:pPr>
              <w:spacing w:after="0" w:line="240" w:lineRule="auto"/>
              <w:rPr>
                <w:rStyle w:val="DefaultParagraphFont"/>
                <w:rFonts w:ascii="Times New Roman" w:hAnsi="Times New Roman" w:eastAsiaTheme="minorHAnsi" w:cstheme="minorBidi"/>
                <w:i/>
                <w:sz w:val="24"/>
                <w:szCs w:val="22"/>
                <w:lang w:val="en-US" w:eastAsia="en-US" w:bidi="ar-SA"/>
              </w:rPr>
            </w:pPr>
          </w:p>
        </w:tc>
      </w:tr>
    </w:tbl>
    <w:p w:rsidR="00C22346" w:rsidRPr="00B70844" w:rsidP="00C22346">
      <w:pPr>
        <w:pBdr>
          <w:bottom w:val="single" w:sz="12" w:space="1" w:color="auto"/>
        </w:pBdr>
        <w:spacing w:before="4"/>
        <w:rPr>
          <w:sz w:val="18"/>
          <w:szCs w:val="18"/>
        </w:rPr>
      </w:pPr>
    </w:p>
    <w:p w:rsidR="00C22346" w:rsidP="00C22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Pr>
          <w:rFonts w:cs="Times New Roman"/>
          <w:b/>
          <w:szCs w:val="24"/>
        </w:rPr>
        <w:t xml:space="preserve">MEMORANDUM CONTRA </w:t>
      </w:r>
    </w:p>
    <w:p w:rsidR="00C22346" w:rsidP="00C22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Pr>
          <w:rFonts w:cs="Times New Roman"/>
          <w:b/>
          <w:szCs w:val="24"/>
        </w:rPr>
        <w:t>MOTION OF DUKE ENERGY OHIO, INC., FOR A WAIVER</w:t>
      </w:r>
      <w:r w:rsidR="007D4FA1">
        <w:rPr>
          <w:rFonts w:cs="Times New Roman"/>
          <w:b/>
          <w:szCs w:val="24"/>
        </w:rPr>
        <w:t xml:space="preserve"> TO CHARGE CONSUMERS MORE FOR ENERGY EFFICIENCY</w:t>
      </w:r>
    </w:p>
    <w:p w:rsidR="00C22346" w:rsidP="00C22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Pr>
          <w:rFonts w:cs="Times New Roman"/>
          <w:b/>
          <w:szCs w:val="24"/>
        </w:rPr>
        <w:t>BY</w:t>
      </w:r>
    </w:p>
    <w:p w:rsidR="00C22346" w:rsidRPr="006849DE" w:rsidP="00C22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b/>
          <w:bCs/>
          <w:szCs w:val="24"/>
        </w:rPr>
      </w:pPr>
      <w:r>
        <w:rPr>
          <w:rFonts w:cs="Times New Roman"/>
          <w:b/>
          <w:szCs w:val="24"/>
        </w:rPr>
        <w:t>THE OFFICE OF THE OHIO CONSUMERS' COUNSEL</w:t>
      </w:r>
    </w:p>
    <w:p w:rsidR="00C22346" w:rsidRPr="006849DE" w:rsidP="00C2234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p w:rsidR="00C22346" w:rsidRPr="006849DE" w:rsidP="00C22346">
      <w:pPr>
        <w:spacing w:after="0" w:line="240" w:lineRule="auto"/>
        <w:rPr>
          <w:rFonts w:eastAsiaTheme="minorEastAsia" w:cs="Times New Roman"/>
          <w:szCs w:val="24"/>
        </w:rPr>
      </w:pPr>
    </w:p>
    <w:p w:rsidR="00F3277A" w:rsidP="00C22346">
      <w:pPr>
        <w:spacing w:after="0" w:line="480" w:lineRule="auto"/>
        <w:ind w:firstLine="720"/>
        <w:rPr>
          <w:rFonts w:cs="Times New Roman"/>
          <w:szCs w:val="24"/>
        </w:rPr>
      </w:pPr>
      <w:r>
        <w:rPr>
          <w:rFonts w:cs="Times New Roman"/>
          <w:szCs w:val="24"/>
        </w:rPr>
        <w:t xml:space="preserve">The Public Utilities Commission of Ohio ("PUCO") </w:t>
      </w:r>
      <w:r>
        <w:rPr>
          <w:rFonts w:cs="Times New Roman"/>
          <w:szCs w:val="24"/>
        </w:rPr>
        <w:t>protec</w:t>
      </w:r>
      <w:r w:rsidR="00257BD6">
        <w:rPr>
          <w:rFonts w:cs="Times New Roman"/>
          <w:szCs w:val="24"/>
        </w:rPr>
        <w:t>t</w:t>
      </w:r>
      <w:r w:rsidR="00E0026F">
        <w:rPr>
          <w:rFonts w:cs="Times New Roman"/>
          <w:szCs w:val="24"/>
        </w:rPr>
        <w:t>ed</w:t>
      </w:r>
      <w:r>
        <w:rPr>
          <w:rFonts w:cs="Times New Roman"/>
          <w:szCs w:val="24"/>
        </w:rPr>
        <w:t xml:space="preserve"> Duke's consumers from paying too much for energy efficiency by imposing a limit on what customers pay for Duke's 2017-2019 energy efficiency programs. T</w:t>
      </w:r>
      <w:r w:rsidR="00E0026F">
        <w:rPr>
          <w:rFonts w:cs="Times New Roman"/>
          <w:szCs w:val="24"/>
        </w:rPr>
        <w:t xml:space="preserve">he PUCO adopted an annual </w:t>
      </w:r>
      <w:r>
        <w:rPr>
          <w:rFonts w:cs="Times New Roman"/>
          <w:szCs w:val="24"/>
        </w:rPr>
        <w:t xml:space="preserve">cap </w:t>
      </w:r>
      <w:r w:rsidR="00E0026F">
        <w:rPr>
          <w:rFonts w:cs="Times New Roman"/>
          <w:szCs w:val="24"/>
        </w:rPr>
        <w:t xml:space="preserve">of </w:t>
      </w:r>
      <w:r>
        <w:rPr>
          <w:rFonts w:cs="Times New Roman"/>
          <w:szCs w:val="24"/>
        </w:rPr>
        <w:t>4%</w:t>
      </w:r>
      <w:r w:rsidR="001F5E48">
        <w:rPr>
          <w:rFonts w:cs="Times New Roman"/>
          <w:szCs w:val="24"/>
        </w:rPr>
        <w:t xml:space="preserve"> of Duke's total revenues</w:t>
      </w:r>
      <w:r>
        <w:rPr>
          <w:rFonts w:cs="Times New Roman"/>
          <w:szCs w:val="24"/>
        </w:rPr>
        <w:t>, or approximately $3</w:t>
      </w:r>
      <w:r w:rsidR="00B23D78">
        <w:rPr>
          <w:rFonts w:cs="Times New Roman"/>
          <w:szCs w:val="24"/>
        </w:rPr>
        <w:t>8</w:t>
      </w:r>
      <w:r w:rsidR="001F5E48">
        <w:rPr>
          <w:rFonts w:cs="Times New Roman"/>
          <w:szCs w:val="24"/>
        </w:rPr>
        <w:t>.6</w:t>
      </w:r>
      <w:r w:rsidR="00B23D78">
        <w:rPr>
          <w:rFonts w:cs="Times New Roman"/>
          <w:szCs w:val="24"/>
        </w:rPr>
        <w:t xml:space="preserve"> million per year.</w:t>
      </w:r>
      <w:r>
        <w:rPr>
          <w:rFonts w:cs="Times New Roman"/>
          <w:szCs w:val="24"/>
        </w:rPr>
        <w:t xml:space="preserve"> The PUCO </w:t>
      </w:r>
      <w:r w:rsidR="00E0026F">
        <w:rPr>
          <w:rFonts w:cs="Times New Roman"/>
          <w:szCs w:val="24"/>
        </w:rPr>
        <w:t xml:space="preserve">allowed Duke to </w:t>
      </w:r>
      <w:r>
        <w:rPr>
          <w:rFonts w:cs="Times New Roman"/>
          <w:szCs w:val="24"/>
        </w:rPr>
        <w:t xml:space="preserve">exceed </w:t>
      </w:r>
      <w:r w:rsidR="001F5E48">
        <w:rPr>
          <w:rFonts w:cs="Times New Roman"/>
          <w:szCs w:val="24"/>
        </w:rPr>
        <w:t>this</w:t>
      </w:r>
      <w:r>
        <w:rPr>
          <w:rFonts w:cs="Times New Roman"/>
          <w:szCs w:val="24"/>
        </w:rPr>
        <w:t xml:space="preserve"> annual cap </w:t>
      </w:r>
      <w:r w:rsidR="00E0026F">
        <w:rPr>
          <w:rFonts w:cs="Times New Roman"/>
          <w:szCs w:val="24"/>
        </w:rPr>
        <w:t xml:space="preserve">for 2017 but ordered </w:t>
      </w:r>
      <w:r>
        <w:rPr>
          <w:rFonts w:cs="Times New Roman"/>
          <w:szCs w:val="24"/>
        </w:rPr>
        <w:t>D</w:t>
      </w:r>
      <w:r w:rsidR="009704F0">
        <w:rPr>
          <w:rFonts w:cs="Times New Roman"/>
          <w:szCs w:val="24"/>
        </w:rPr>
        <w:t>uke to scale back its energy efficiency programs to avoid ma</w:t>
      </w:r>
      <w:r w:rsidR="00307A30">
        <w:rPr>
          <w:rFonts w:cs="Times New Roman"/>
          <w:szCs w:val="24"/>
        </w:rPr>
        <w:t xml:space="preserve">terially exceeding its </w:t>
      </w:r>
      <w:r w:rsidR="001F5E48">
        <w:rPr>
          <w:rFonts w:cs="Times New Roman"/>
          <w:szCs w:val="24"/>
        </w:rPr>
        <w:t>2017</w:t>
      </w:r>
      <w:r w:rsidR="00307A30">
        <w:rPr>
          <w:rFonts w:cs="Times New Roman"/>
          <w:szCs w:val="24"/>
        </w:rPr>
        <w:t xml:space="preserve"> budget (</w:t>
      </w:r>
      <w:r w:rsidR="009704F0">
        <w:rPr>
          <w:rFonts w:cs="Times New Roman"/>
          <w:szCs w:val="24"/>
        </w:rPr>
        <w:t>$</w:t>
      </w:r>
      <w:r w:rsidR="00CA0775">
        <w:rPr>
          <w:rFonts w:cs="Times New Roman"/>
          <w:szCs w:val="24"/>
        </w:rPr>
        <w:t>3</w:t>
      </w:r>
      <w:r w:rsidR="00D66EFD">
        <w:rPr>
          <w:rFonts w:cs="Times New Roman"/>
          <w:szCs w:val="24"/>
        </w:rPr>
        <w:t>8-3</w:t>
      </w:r>
      <w:r>
        <w:rPr>
          <w:rFonts w:cs="Times New Roman"/>
          <w:szCs w:val="24"/>
        </w:rPr>
        <w:t>9</w:t>
      </w:r>
      <w:r w:rsidR="00CA0775">
        <w:rPr>
          <w:rFonts w:cs="Times New Roman"/>
          <w:szCs w:val="24"/>
        </w:rPr>
        <w:t xml:space="preserve"> million</w:t>
      </w:r>
      <w:r>
        <w:rPr>
          <w:rStyle w:val="FootnoteReference"/>
          <w:rFonts w:cs="Times New Roman"/>
          <w:szCs w:val="24"/>
        </w:rPr>
        <w:footnoteReference w:id="2"/>
      </w:r>
      <w:r w:rsidR="00307A30">
        <w:rPr>
          <w:rFonts w:cs="Times New Roman"/>
          <w:szCs w:val="24"/>
        </w:rPr>
        <w:t xml:space="preserve">). The PUCO also ordered Duke to not exceed the </w:t>
      </w:r>
      <w:r w:rsidR="00E0026F">
        <w:rPr>
          <w:rFonts w:cs="Times New Roman"/>
          <w:szCs w:val="24"/>
        </w:rPr>
        <w:t xml:space="preserve">2017 </w:t>
      </w:r>
      <w:r w:rsidR="00307A30">
        <w:rPr>
          <w:rFonts w:cs="Times New Roman"/>
          <w:szCs w:val="24"/>
        </w:rPr>
        <w:t>budget without obtain</w:t>
      </w:r>
      <w:r w:rsidR="00E0026F">
        <w:rPr>
          <w:rFonts w:cs="Times New Roman"/>
          <w:szCs w:val="24"/>
        </w:rPr>
        <w:t xml:space="preserve">ing </w:t>
      </w:r>
      <w:r w:rsidR="00307A30">
        <w:rPr>
          <w:rFonts w:cs="Times New Roman"/>
          <w:szCs w:val="24"/>
        </w:rPr>
        <w:t>a waiver fro</w:t>
      </w:r>
      <w:r>
        <w:rPr>
          <w:rFonts w:cs="Times New Roman"/>
          <w:szCs w:val="24"/>
        </w:rPr>
        <w:t>m</w:t>
      </w:r>
      <w:r w:rsidR="00307A30">
        <w:rPr>
          <w:rFonts w:cs="Times New Roman"/>
          <w:szCs w:val="24"/>
        </w:rPr>
        <w:t xml:space="preserve"> the PUCO. </w:t>
      </w:r>
      <w:r w:rsidR="009704F0">
        <w:rPr>
          <w:rFonts w:cs="Times New Roman"/>
          <w:szCs w:val="24"/>
        </w:rPr>
        <w:t xml:space="preserve"> </w:t>
      </w:r>
    </w:p>
    <w:p w:rsidR="00FE2D22" w:rsidP="00C22346">
      <w:pPr>
        <w:spacing w:after="0" w:line="480" w:lineRule="auto"/>
        <w:ind w:firstLine="720"/>
        <w:rPr>
          <w:rFonts w:cs="Times New Roman"/>
          <w:szCs w:val="24"/>
        </w:rPr>
        <w:sectPr w:rsidSect="00D656CD">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2"/>
          <w:cols w:space="720"/>
          <w:docGrid w:linePitch="360"/>
        </w:sectPr>
      </w:pPr>
      <w:r>
        <w:rPr>
          <w:rFonts w:cs="Times New Roman"/>
          <w:szCs w:val="24"/>
        </w:rPr>
        <w:t xml:space="preserve">But two weeks after the PUCO ruling, Duke filed for a waiver </w:t>
      </w:r>
      <w:r w:rsidR="00E0026F">
        <w:rPr>
          <w:rFonts w:cs="Times New Roman"/>
          <w:szCs w:val="24"/>
        </w:rPr>
        <w:t xml:space="preserve">to </w:t>
      </w:r>
      <w:r>
        <w:rPr>
          <w:rFonts w:cs="Times New Roman"/>
          <w:szCs w:val="24"/>
        </w:rPr>
        <w:t xml:space="preserve">charge customers </w:t>
      </w:r>
      <w:r w:rsidR="00BD2CAB">
        <w:rPr>
          <w:rFonts w:cs="Times New Roman"/>
          <w:szCs w:val="24"/>
        </w:rPr>
        <w:t>the</w:t>
      </w:r>
      <w:r w:rsidR="00754B8E">
        <w:rPr>
          <w:rFonts w:cs="Times New Roman"/>
          <w:szCs w:val="24"/>
        </w:rPr>
        <w:t xml:space="preserve"> "actual costs</w:t>
      </w:r>
      <w:r w:rsidR="00B23D78">
        <w:rPr>
          <w:rFonts w:cs="Times New Roman"/>
          <w:szCs w:val="24"/>
        </w:rPr>
        <w:t>"</w:t>
      </w:r>
      <w:r w:rsidR="00257BD6">
        <w:rPr>
          <w:rFonts w:cs="Times New Roman"/>
          <w:szCs w:val="24"/>
        </w:rPr>
        <w:t xml:space="preserve"> for its </w:t>
      </w:r>
      <w:r w:rsidR="00E772D8">
        <w:rPr>
          <w:rFonts w:cs="Times New Roman"/>
          <w:szCs w:val="24"/>
        </w:rPr>
        <w:t xml:space="preserve">2017 energy efficiency </w:t>
      </w:r>
      <w:r w:rsidR="00257BD6">
        <w:rPr>
          <w:rFonts w:cs="Times New Roman"/>
          <w:szCs w:val="24"/>
        </w:rPr>
        <w:t>expe</w:t>
      </w:r>
      <w:r w:rsidR="00B23D78">
        <w:rPr>
          <w:rFonts w:cs="Times New Roman"/>
          <w:szCs w:val="24"/>
        </w:rPr>
        <w:t>n</w:t>
      </w:r>
      <w:r w:rsidR="00257BD6">
        <w:rPr>
          <w:rFonts w:cs="Times New Roman"/>
          <w:szCs w:val="24"/>
        </w:rPr>
        <w:t>ditures</w:t>
      </w:r>
      <w:r w:rsidR="00BD2CAB">
        <w:rPr>
          <w:rFonts w:cs="Times New Roman"/>
          <w:szCs w:val="24"/>
        </w:rPr>
        <w:t>, with no limit</w:t>
      </w:r>
      <w:r w:rsidR="00E772D8">
        <w:rPr>
          <w:rFonts w:cs="Times New Roman"/>
          <w:szCs w:val="24"/>
        </w:rPr>
        <w:t xml:space="preserve">. </w:t>
      </w:r>
      <w:r w:rsidR="00D45CC8">
        <w:rPr>
          <w:rFonts w:cs="Times New Roman"/>
          <w:szCs w:val="24"/>
        </w:rPr>
        <w:t xml:space="preserve">Duke </w:t>
      </w:r>
      <w:r w:rsidR="00BD2CAB">
        <w:rPr>
          <w:rFonts w:cs="Times New Roman"/>
          <w:szCs w:val="24"/>
        </w:rPr>
        <w:t>"anticipates"</w:t>
      </w:r>
      <w:r w:rsidR="00D45CC8">
        <w:rPr>
          <w:rFonts w:cs="Times New Roman"/>
          <w:szCs w:val="24"/>
        </w:rPr>
        <w:t xml:space="preserve"> spend</w:t>
      </w:r>
      <w:r w:rsidR="00BD2CAB">
        <w:rPr>
          <w:rFonts w:cs="Times New Roman"/>
          <w:szCs w:val="24"/>
        </w:rPr>
        <w:t>ing</w:t>
      </w:r>
      <w:r w:rsidR="00D45CC8">
        <w:rPr>
          <w:rFonts w:cs="Times New Roman"/>
          <w:szCs w:val="24"/>
        </w:rPr>
        <w:t xml:space="preserve"> $56 million for 2017</w:t>
      </w:r>
      <w:r w:rsidR="00BD2CAB">
        <w:rPr>
          <w:rFonts w:cs="Times New Roman"/>
          <w:szCs w:val="24"/>
        </w:rPr>
        <w:t>, but does not commit to even such a limit on spending</w:t>
      </w:r>
      <w:r w:rsidR="00D45CC8">
        <w:rPr>
          <w:rFonts w:cs="Times New Roman"/>
          <w:szCs w:val="24"/>
        </w:rPr>
        <w:t>.</w:t>
      </w:r>
      <w:r w:rsidR="00E772D8">
        <w:rPr>
          <w:rFonts w:cs="Times New Roman"/>
          <w:szCs w:val="24"/>
        </w:rPr>
        <w:t xml:space="preserve"> </w:t>
      </w:r>
      <w:r w:rsidR="00754B8E">
        <w:rPr>
          <w:rFonts w:cs="Times New Roman"/>
          <w:szCs w:val="24"/>
        </w:rPr>
        <w:t>If</w:t>
      </w:r>
      <w:r w:rsidR="00257BD6">
        <w:rPr>
          <w:rFonts w:cs="Times New Roman"/>
          <w:szCs w:val="24"/>
        </w:rPr>
        <w:t xml:space="preserve"> Duke spends </w:t>
      </w:r>
      <w:r w:rsidR="00754B8E">
        <w:rPr>
          <w:rFonts w:cs="Times New Roman"/>
          <w:szCs w:val="24"/>
        </w:rPr>
        <w:t>$56 million</w:t>
      </w:r>
      <w:r w:rsidR="00257BD6">
        <w:rPr>
          <w:rFonts w:cs="Times New Roman"/>
          <w:szCs w:val="24"/>
        </w:rPr>
        <w:t xml:space="preserve"> (and no more)</w:t>
      </w:r>
      <w:r w:rsidR="00BD2CAB">
        <w:rPr>
          <w:rFonts w:cs="Times New Roman"/>
          <w:szCs w:val="24"/>
        </w:rPr>
        <w:t>,</w:t>
      </w:r>
      <w:r w:rsidR="00257BD6">
        <w:rPr>
          <w:rFonts w:cs="Times New Roman"/>
          <w:szCs w:val="24"/>
        </w:rPr>
        <w:t xml:space="preserve"> it</w:t>
      </w:r>
      <w:r w:rsidR="00754B8E">
        <w:rPr>
          <w:rFonts w:cs="Times New Roman"/>
          <w:szCs w:val="24"/>
        </w:rPr>
        <w:t xml:space="preserve"> will </w:t>
      </w:r>
      <w:r>
        <w:rPr>
          <w:rFonts w:cs="Times New Roman"/>
          <w:szCs w:val="24"/>
        </w:rPr>
        <w:t>exceed</w:t>
      </w:r>
      <w:r w:rsidR="00754B8E">
        <w:rPr>
          <w:rFonts w:cs="Times New Roman"/>
          <w:szCs w:val="24"/>
        </w:rPr>
        <w:t xml:space="preserve"> </w:t>
      </w:r>
      <w:r>
        <w:rPr>
          <w:rFonts w:cs="Times New Roman"/>
          <w:szCs w:val="24"/>
        </w:rPr>
        <w:t>it</w:t>
      </w:r>
      <w:r w:rsidR="00CA0775">
        <w:rPr>
          <w:rFonts w:cs="Times New Roman"/>
          <w:szCs w:val="24"/>
        </w:rPr>
        <w:t xml:space="preserve">s </w:t>
      </w:r>
      <w:r>
        <w:rPr>
          <w:rFonts w:cs="Times New Roman"/>
          <w:szCs w:val="24"/>
        </w:rPr>
        <w:t xml:space="preserve">2017 </w:t>
      </w:r>
    </w:p>
    <w:p w:rsidR="00F3277A" w:rsidP="00FE2D22">
      <w:pPr>
        <w:spacing w:after="0" w:line="480" w:lineRule="auto"/>
        <w:rPr>
          <w:rFonts w:cs="Times New Roman"/>
          <w:szCs w:val="24"/>
        </w:rPr>
      </w:pPr>
      <w:r>
        <w:rPr>
          <w:rFonts w:cs="Times New Roman"/>
          <w:szCs w:val="24"/>
        </w:rPr>
        <w:t xml:space="preserve">budget by </w:t>
      </w:r>
      <w:r w:rsidR="00D66EFD">
        <w:rPr>
          <w:rFonts w:cs="Times New Roman"/>
          <w:szCs w:val="24"/>
        </w:rPr>
        <w:t xml:space="preserve">at least </w:t>
      </w:r>
      <w:r>
        <w:rPr>
          <w:rFonts w:cs="Times New Roman"/>
          <w:szCs w:val="24"/>
        </w:rPr>
        <w:t>$1</w:t>
      </w:r>
      <w:r w:rsidR="00BD2CAB">
        <w:rPr>
          <w:rFonts w:cs="Times New Roman"/>
          <w:szCs w:val="24"/>
        </w:rPr>
        <w:t>7</w:t>
      </w:r>
      <w:r>
        <w:rPr>
          <w:rFonts w:cs="Times New Roman"/>
          <w:szCs w:val="24"/>
        </w:rPr>
        <w:t xml:space="preserve"> million</w:t>
      </w:r>
      <w:r w:rsidR="00B23D78">
        <w:rPr>
          <w:rFonts w:cs="Times New Roman"/>
          <w:szCs w:val="24"/>
        </w:rPr>
        <w:t xml:space="preserve"> (</w:t>
      </w:r>
      <w:r w:rsidR="00C4212A">
        <w:rPr>
          <w:rFonts w:cs="Times New Roman"/>
          <w:szCs w:val="24"/>
        </w:rPr>
        <w:t>4</w:t>
      </w:r>
      <w:r w:rsidR="00BD2CAB">
        <w:rPr>
          <w:rFonts w:cs="Times New Roman"/>
          <w:szCs w:val="24"/>
        </w:rPr>
        <w:t>3</w:t>
      </w:r>
      <w:r w:rsidR="00C4212A">
        <w:rPr>
          <w:rFonts w:cs="Times New Roman"/>
          <w:szCs w:val="24"/>
        </w:rPr>
        <w:t>%</w:t>
      </w:r>
      <w:r w:rsidR="00B23D78">
        <w:rPr>
          <w:rFonts w:cs="Times New Roman"/>
          <w:szCs w:val="24"/>
        </w:rPr>
        <w:t>)</w:t>
      </w:r>
      <w:r w:rsidR="00D66EFD">
        <w:rPr>
          <w:rFonts w:cs="Times New Roman"/>
          <w:szCs w:val="24"/>
        </w:rPr>
        <w:t>—a budget that Duke itself agreed to in the approved settlement</w:t>
      </w:r>
      <w:r>
        <w:rPr>
          <w:rStyle w:val="FootnoteReference"/>
          <w:rFonts w:cs="Times New Roman"/>
          <w:szCs w:val="24"/>
        </w:rPr>
        <w:footnoteReference w:id="3"/>
      </w:r>
      <w:r w:rsidR="00D66EFD">
        <w:rPr>
          <w:rFonts w:cs="Times New Roman"/>
          <w:szCs w:val="24"/>
        </w:rPr>
        <w:t xml:space="preserve"> in this case.</w:t>
      </w:r>
      <w:r w:rsidR="00CA0775">
        <w:rPr>
          <w:rFonts w:cs="Times New Roman"/>
          <w:szCs w:val="24"/>
        </w:rPr>
        <w:t xml:space="preserve">  </w:t>
      </w:r>
    </w:p>
    <w:p w:rsidR="00CA0775" w:rsidP="00C22346">
      <w:pPr>
        <w:spacing w:after="0" w:line="480" w:lineRule="auto"/>
        <w:ind w:firstLine="720"/>
        <w:rPr>
          <w:rFonts w:cs="Times New Roman"/>
          <w:szCs w:val="24"/>
        </w:rPr>
      </w:pPr>
      <w:r>
        <w:rPr>
          <w:rFonts w:cs="Times New Roman"/>
          <w:szCs w:val="24"/>
        </w:rPr>
        <w:t>Duke</w:t>
      </w:r>
      <w:r w:rsidR="00257BD6">
        <w:rPr>
          <w:rFonts w:cs="Times New Roman"/>
          <w:szCs w:val="24"/>
        </w:rPr>
        <w:t>'</w:t>
      </w:r>
      <w:r>
        <w:rPr>
          <w:rFonts w:cs="Times New Roman"/>
          <w:szCs w:val="24"/>
        </w:rPr>
        <w:t xml:space="preserve">s </w:t>
      </w:r>
      <w:r w:rsidR="00BD2CAB">
        <w:rPr>
          <w:rFonts w:cs="Times New Roman"/>
          <w:szCs w:val="24"/>
        </w:rPr>
        <w:t xml:space="preserve">request for a </w:t>
      </w:r>
      <w:r>
        <w:rPr>
          <w:rFonts w:cs="Times New Roman"/>
          <w:szCs w:val="24"/>
        </w:rPr>
        <w:t xml:space="preserve">waiver to collect more money </w:t>
      </w:r>
      <w:r w:rsidR="00F3277A">
        <w:rPr>
          <w:rFonts w:cs="Times New Roman"/>
          <w:szCs w:val="24"/>
        </w:rPr>
        <w:t>from custo</w:t>
      </w:r>
      <w:r>
        <w:rPr>
          <w:rFonts w:cs="Times New Roman"/>
          <w:szCs w:val="24"/>
        </w:rPr>
        <w:t>m</w:t>
      </w:r>
      <w:r w:rsidR="00F3277A">
        <w:rPr>
          <w:rFonts w:cs="Times New Roman"/>
          <w:szCs w:val="24"/>
        </w:rPr>
        <w:t>e</w:t>
      </w:r>
      <w:r>
        <w:rPr>
          <w:rFonts w:cs="Times New Roman"/>
          <w:szCs w:val="24"/>
        </w:rPr>
        <w:t xml:space="preserve">rs for energy efficiency should be denied. </w:t>
      </w:r>
      <w:r w:rsidR="00257BD6">
        <w:rPr>
          <w:rFonts w:cs="Times New Roman"/>
          <w:szCs w:val="24"/>
        </w:rPr>
        <w:t xml:space="preserve">Duke's request </w:t>
      </w:r>
      <w:r>
        <w:rPr>
          <w:rFonts w:cs="Times New Roman"/>
          <w:szCs w:val="24"/>
        </w:rPr>
        <w:t xml:space="preserve">violates </w:t>
      </w:r>
      <w:r w:rsidR="00164D1F">
        <w:rPr>
          <w:rFonts w:cs="Times New Roman"/>
          <w:szCs w:val="24"/>
        </w:rPr>
        <w:t>the PUCO's order in this case</w:t>
      </w:r>
      <w:r>
        <w:rPr>
          <w:rStyle w:val="FootnoteReference"/>
          <w:rFonts w:cs="Times New Roman"/>
          <w:szCs w:val="24"/>
        </w:rPr>
        <w:footnoteReference w:id="4"/>
      </w:r>
      <w:r w:rsidR="00F3277A">
        <w:rPr>
          <w:rFonts w:cs="Times New Roman"/>
          <w:szCs w:val="24"/>
        </w:rPr>
        <w:t xml:space="preserve"> because it asks for </w:t>
      </w:r>
      <w:r w:rsidR="00754B8E">
        <w:rPr>
          <w:rFonts w:cs="Times New Roman"/>
          <w:szCs w:val="24"/>
        </w:rPr>
        <w:t xml:space="preserve">unlimited </w:t>
      </w:r>
      <w:r w:rsidR="00F3277A">
        <w:rPr>
          <w:rFonts w:cs="Times New Roman"/>
          <w:szCs w:val="24"/>
        </w:rPr>
        <w:t xml:space="preserve">customer funding </w:t>
      </w:r>
      <w:r w:rsidR="00754B8E">
        <w:rPr>
          <w:rFonts w:cs="Times New Roman"/>
          <w:szCs w:val="24"/>
        </w:rPr>
        <w:t xml:space="preserve">("actual costs") </w:t>
      </w:r>
      <w:r w:rsidR="00F3277A">
        <w:rPr>
          <w:rFonts w:cs="Times New Roman"/>
          <w:szCs w:val="24"/>
        </w:rPr>
        <w:t>that materially exceed</w:t>
      </w:r>
      <w:r w:rsidR="00257BD6">
        <w:rPr>
          <w:rFonts w:cs="Times New Roman"/>
          <w:szCs w:val="24"/>
        </w:rPr>
        <w:t>s</w:t>
      </w:r>
      <w:r w:rsidR="00F3277A">
        <w:rPr>
          <w:rFonts w:cs="Times New Roman"/>
          <w:szCs w:val="24"/>
        </w:rPr>
        <w:t xml:space="preserve"> its </w:t>
      </w:r>
      <w:r w:rsidR="00C4212A">
        <w:rPr>
          <w:rFonts w:cs="Times New Roman"/>
          <w:szCs w:val="24"/>
        </w:rPr>
        <w:t xml:space="preserve">2017 </w:t>
      </w:r>
      <w:r w:rsidR="00F3277A">
        <w:rPr>
          <w:rFonts w:cs="Times New Roman"/>
          <w:szCs w:val="24"/>
        </w:rPr>
        <w:t>budge</w:t>
      </w:r>
      <w:r w:rsidR="00C4212A">
        <w:rPr>
          <w:rFonts w:cs="Times New Roman"/>
          <w:szCs w:val="24"/>
        </w:rPr>
        <w:t>t</w:t>
      </w:r>
      <w:r w:rsidR="00257BD6">
        <w:rPr>
          <w:rFonts w:cs="Times New Roman"/>
          <w:szCs w:val="24"/>
        </w:rPr>
        <w:t xml:space="preserve">. And Duke's ask </w:t>
      </w:r>
      <w:r w:rsidR="00F3277A">
        <w:rPr>
          <w:rFonts w:cs="Times New Roman"/>
          <w:szCs w:val="24"/>
        </w:rPr>
        <w:t xml:space="preserve">undermines the protection that customers received </w:t>
      </w:r>
      <w:r w:rsidR="00257BD6">
        <w:rPr>
          <w:rFonts w:cs="Times New Roman"/>
          <w:szCs w:val="24"/>
        </w:rPr>
        <w:t xml:space="preserve">under </w:t>
      </w:r>
      <w:r w:rsidR="00F3277A">
        <w:rPr>
          <w:rFonts w:cs="Times New Roman"/>
          <w:szCs w:val="24"/>
        </w:rPr>
        <w:t>the PUCO</w:t>
      </w:r>
      <w:r w:rsidR="00BD2CAB">
        <w:rPr>
          <w:rFonts w:cs="Times New Roman"/>
          <w:szCs w:val="24"/>
        </w:rPr>
        <w:t>-</w:t>
      </w:r>
      <w:r w:rsidR="00F3277A">
        <w:rPr>
          <w:rFonts w:cs="Times New Roman"/>
          <w:szCs w:val="24"/>
        </w:rPr>
        <w:t xml:space="preserve">imposed </w:t>
      </w:r>
      <w:r w:rsidR="00257BD6">
        <w:rPr>
          <w:rFonts w:cs="Times New Roman"/>
          <w:szCs w:val="24"/>
        </w:rPr>
        <w:t xml:space="preserve">caps on energy efficiency expenditures. </w:t>
      </w:r>
    </w:p>
    <w:p w:rsidR="00FE2D22" w:rsidP="00FE2D22">
      <w:pPr>
        <w:spacing w:after="0" w:line="240" w:lineRule="auto"/>
        <w:ind w:firstLine="720"/>
        <w:rPr>
          <w:rFonts w:cs="Times New Roman"/>
          <w:szCs w:val="24"/>
        </w:rPr>
      </w:pPr>
    </w:p>
    <w:p w:rsidR="00C22346" w:rsidRPr="00C74CEC" w:rsidP="00C22346">
      <w:pPr>
        <w:spacing w:after="0" w:line="480" w:lineRule="auto"/>
        <w:rPr>
          <w:rFonts w:cs="Times New Roman"/>
          <w:b/>
          <w:szCs w:val="24"/>
        </w:rPr>
      </w:pPr>
      <w:r>
        <w:rPr>
          <w:rFonts w:cs="Times New Roman"/>
          <w:b/>
          <w:szCs w:val="24"/>
        </w:rPr>
        <w:t>I.</w:t>
      </w:r>
      <w:r>
        <w:rPr>
          <w:rFonts w:cs="Times New Roman"/>
          <w:b/>
          <w:szCs w:val="24"/>
        </w:rPr>
        <w:tab/>
        <w:t>BACKGROUND</w:t>
      </w:r>
    </w:p>
    <w:p w:rsidR="00C22346" w:rsidP="00C22346">
      <w:pPr>
        <w:spacing w:after="0" w:line="480" w:lineRule="auto"/>
        <w:ind w:firstLine="720"/>
        <w:rPr>
          <w:rFonts w:cs="Times New Roman"/>
          <w:szCs w:val="24"/>
        </w:rPr>
      </w:pPr>
      <w:r>
        <w:rPr>
          <w:rFonts w:cs="Times New Roman"/>
          <w:szCs w:val="24"/>
        </w:rPr>
        <w:t>In this energy efficiency portfolio case, Duke filed an application that proposed program spending of about $38 million for 2017</w:t>
      </w:r>
      <w:r w:rsidR="00BD2CAB">
        <w:rPr>
          <w:rFonts w:cs="Times New Roman"/>
          <w:szCs w:val="24"/>
        </w:rPr>
        <w:t xml:space="preserve"> (and similar budgets for 2018 and 2019)</w:t>
      </w:r>
      <w:r>
        <w:rPr>
          <w:rFonts w:cs="Times New Roman"/>
          <w:szCs w:val="24"/>
        </w:rPr>
        <w:t>.</w:t>
      </w:r>
      <w:r>
        <w:rPr>
          <w:rStyle w:val="FootnoteReference"/>
          <w:rFonts w:cs="Times New Roman"/>
          <w:szCs w:val="24"/>
        </w:rPr>
        <w:footnoteReference w:id="5"/>
      </w:r>
      <w:r>
        <w:rPr>
          <w:rFonts w:cs="Times New Roman"/>
          <w:szCs w:val="24"/>
        </w:rPr>
        <w:t xml:space="preserve"> Duke also projected about $8.6 million, before taxes, in utility profits (shared savings) for 2017, meaning that total program costs and shared savings would have been around $46.6 million if the application had been approved as filed.</w:t>
      </w:r>
      <w:r>
        <w:rPr>
          <w:rStyle w:val="FootnoteReference"/>
          <w:rFonts w:cs="Times New Roman"/>
          <w:szCs w:val="24"/>
        </w:rPr>
        <w:footnoteReference w:id="6"/>
      </w:r>
    </w:p>
    <w:p w:rsidR="002B39CF" w:rsidP="00C22346">
      <w:pPr>
        <w:spacing w:after="0" w:line="480" w:lineRule="auto"/>
        <w:ind w:firstLine="720"/>
        <w:rPr>
          <w:rFonts w:cs="Times New Roman"/>
          <w:szCs w:val="24"/>
        </w:rPr>
      </w:pPr>
      <w:r>
        <w:rPr>
          <w:rFonts w:cs="Times New Roman"/>
          <w:szCs w:val="24"/>
        </w:rPr>
        <w:t>Subsequently, Duke filed a settlement.</w:t>
      </w:r>
      <w:r>
        <w:rPr>
          <w:rStyle w:val="FootnoteReference"/>
          <w:rFonts w:cs="Times New Roman"/>
          <w:szCs w:val="24"/>
        </w:rPr>
        <w:footnoteReference w:id="7"/>
      </w:r>
      <w:r>
        <w:rPr>
          <w:rFonts w:cs="Times New Roman"/>
          <w:szCs w:val="24"/>
        </w:rPr>
        <w:t xml:space="preserve"> Under this Settlement, Duke agreed to make some minor modifications to its programs, but the proposed </w:t>
      </w:r>
      <w:r w:rsidR="00ED7A84">
        <w:rPr>
          <w:rFonts w:cs="Times New Roman"/>
          <w:szCs w:val="24"/>
        </w:rPr>
        <w:t xml:space="preserve">2017 </w:t>
      </w:r>
      <w:r>
        <w:rPr>
          <w:rFonts w:cs="Times New Roman"/>
          <w:szCs w:val="24"/>
        </w:rPr>
        <w:t>budget remained around $38 million.</w:t>
      </w:r>
      <w:r>
        <w:rPr>
          <w:rStyle w:val="FootnoteReference"/>
          <w:rFonts w:cs="Times New Roman"/>
          <w:szCs w:val="24"/>
        </w:rPr>
        <w:footnoteReference w:id="8"/>
      </w:r>
      <w:r>
        <w:rPr>
          <w:rFonts w:cs="Times New Roman"/>
          <w:szCs w:val="24"/>
        </w:rPr>
        <w:t xml:space="preserve"> The Settlement also provided that Duke could charge customers around $12.5 million per year in utility profits ($8.0 million plus tax gross-up),</w:t>
      </w:r>
      <w:r>
        <w:rPr>
          <w:rStyle w:val="FootnoteReference"/>
          <w:rFonts w:cs="Times New Roman"/>
          <w:szCs w:val="24"/>
        </w:rPr>
        <w:footnoteReference w:id="9"/>
      </w:r>
      <w:r>
        <w:rPr>
          <w:rFonts w:cs="Times New Roman"/>
          <w:szCs w:val="24"/>
        </w:rPr>
        <w:t xml:space="preserve"> meaning that total program costs and shared savings under the Settlement would be about $50.5 million</w:t>
      </w:r>
      <w:r w:rsidR="00ED7A84">
        <w:rPr>
          <w:rFonts w:cs="Times New Roman"/>
          <w:szCs w:val="24"/>
        </w:rPr>
        <w:t xml:space="preserve"> per year for each of the three years covered</w:t>
      </w:r>
      <w:r w:rsidR="00A00B54">
        <w:rPr>
          <w:rFonts w:cs="Times New Roman"/>
          <w:szCs w:val="24"/>
        </w:rPr>
        <w:t>.</w:t>
      </w:r>
      <w:r>
        <w:rPr>
          <w:rFonts w:cs="Times New Roman"/>
          <w:szCs w:val="24"/>
        </w:rPr>
        <w:t xml:space="preserve"> </w:t>
      </w:r>
      <w:r w:rsidR="000D7629">
        <w:rPr>
          <w:rFonts w:cs="Times New Roman"/>
          <w:szCs w:val="24"/>
        </w:rPr>
        <w:t>The parties to the Set</w:t>
      </w:r>
      <w:r>
        <w:rPr>
          <w:rFonts w:cs="Times New Roman"/>
          <w:szCs w:val="24"/>
        </w:rPr>
        <w:t xml:space="preserve">tlement </w:t>
      </w:r>
      <w:r w:rsidR="000D7629">
        <w:rPr>
          <w:rFonts w:cs="Times New Roman"/>
          <w:szCs w:val="24"/>
        </w:rPr>
        <w:t xml:space="preserve">agreed that the </w:t>
      </w:r>
      <w:r w:rsidR="00A00B54">
        <w:rPr>
          <w:rFonts w:cs="Times New Roman"/>
          <w:szCs w:val="24"/>
        </w:rPr>
        <w:t xml:space="preserve">recommended </w:t>
      </w:r>
      <w:r w:rsidR="000D7629">
        <w:rPr>
          <w:rFonts w:cs="Times New Roman"/>
          <w:szCs w:val="24"/>
        </w:rPr>
        <w:t>portfolio would allow Duke to compl</w:t>
      </w:r>
      <w:r w:rsidR="00D66EFD">
        <w:rPr>
          <w:rFonts w:cs="Times New Roman"/>
          <w:szCs w:val="24"/>
        </w:rPr>
        <w:t>y</w:t>
      </w:r>
      <w:r w:rsidR="000D7629">
        <w:rPr>
          <w:rFonts w:cs="Times New Roman"/>
          <w:szCs w:val="24"/>
        </w:rPr>
        <w:t xml:space="preserve"> with the energy efficiency benchmarks and to </w:t>
      </w:r>
      <w:r w:rsidR="00D66EFD">
        <w:rPr>
          <w:rFonts w:cs="Times New Roman"/>
          <w:szCs w:val="24"/>
        </w:rPr>
        <w:t>implement</w:t>
      </w:r>
      <w:r w:rsidR="000D7629">
        <w:rPr>
          <w:rFonts w:cs="Times New Roman"/>
          <w:szCs w:val="24"/>
        </w:rPr>
        <w:t xml:space="preserve"> its </w:t>
      </w:r>
      <w:r w:rsidR="00D66EFD">
        <w:rPr>
          <w:rFonts w:cs="Times New Roman"/>
          <w:szCs w:val="24"/>
        </w:rPr>
        <w:t>proposed</w:t>
      </w:r>
      <w:r w:rsidR="000D7629">
        <w:rPr>
          <w:rFonts w:cs="Times New Roman"/>
          <w:szCs w:val="24"/>
        </w:rPr>
        <w:t xml:space="preserve"> programs.</w:t>
      </w:r>
      <w:r>
        <w:rPr>
          <w:rStyle w:val="FootnoteReference"/>
          <w:rFonts w:cs="Times New Roman"/>
          <w:szCs w:val="24"/>
        </w:rPr>
        <w:footnoteReference w:id="10"/>
      </w:r>
    </w:p>
    <w:p w:rsidR="00C22346" w:rsidRPr="00FD54E5" w:rsidP="00C22346">
      <w:pPr>
        <w:spacing w:after="0" w:line="480" w:lineRule="auto"/>
        <w:ind w:firstLine="720"/>
        <w:rPr>
          <w:rFonts w:cs="Times New Roman"/>
          <w:b/>
          <w:szCs w:val="24"/>
        </w:rPr>
      </w:pPr>
      <w:r>
        <w:rPr>
          <w:rFonts w:cs="Times New Roman"/>
          <w:szCs w:val="24"/>
        </w:rPr>
        <w:t>The PUCO Staff and the Office of the Ohio Consumers' Counsel ("OCC") opposed the Settlement and recommended that the PUCO limit the amount that Duke can charge customers for energy efficiency program costs and shared savings to about $33.8 million annually (3.5% of Duke's 2015 total revenues).</w:t>
      </w:r>
      <w:r>
        <w:rPr>
          <w:rStyle w:val="FootnoteReference"/>
          <w:rFonts w:cs="Times New Roman"/>
          <w:szCs w:val="24"/>
        </w:rPr>
        <w:footnoteReference w:id="11"/>
      </w:r>
      <w:r>
        <w:rPr>
          <w:rFonts w:cs="Times New Roman"/>
          <w:szCs w:val="24"/>
        </w:rPr>
        <w:t xml:space="preserve"> Duke opposed this recommendation but testified that if there were to be a cap, it should be about $52 million per year.</w:t>
      </w:r>
      <w:r>
        <w:rPr>
          <w:rStyle w:val="FootnoteReference"/>
          <w:rFonts w:cs="Times New Roman"/>
          <w:szCs w:val="24"/>
        </w:rPr>
        <w:footnoteReference w:id="12"/>
      </w:r>
    </w:p>
    <w:p w:rsidR="00C22346" w:rsidP="00C22346">
      <w:pPr>
        <w:spacing w:after="0" w:line="480" w:lineRule="auto"/>
        <w:ind w:firstLine="720"/>
        <w:rPr>
          <w:rFonts w:cs="Times New Roman"/>
          <w:szCs w:val="24"/>
        </w:rPr>
      </w:pPr>
      <w:r>
        <w:rPr>
          <w:rFonts w:cs="Times New Roman"/>
          <w:szCs w:val="24"/>
        </w:rPr>
        <w:t>The Settlement was approved</w:t>
      </w:r>
      <w:r w:rsidR="00ED7A84">
        <w:rPr>
          <w:rFonts w:cs="Times New Roman"/>
          <w:szCs w:val="24"/>
        </w:rPr>
        <w:t xml:space="preserve">, but with </w:t>
      </w:r>
      <w:r>
        <w:rPr>
          <w:rFonts w:cs="Times New Roman"/>
          <w:szCs w:val="24"/>
        </w:rPr>
        <w:t xml:space="preserve">modification. </w:t>
      </w:r>
      <w:r w:rsidR="00ED7A84">
        <w:rPr>
          <w:rFonts w:cs="Times New Roman"/>
          <w:szCs w:val="24"/>
        </w:rPr>
        <w:t>T</w:t>
      </w:r>
      <w:r>
        <w:rPr>
          <w:rFonts w:cs="Times New Roman"/>
          <w:szCs w:val="24"/>
        </w:rPr>
        <w:t xml:space="preserve">he PUCO </w:t>
      </w:r>
      <w:r w:rsidR="00ED7A84">
        <w:rPr>
          <w:rFonts w:cs="Times New Roman"/>
          <w:szCs w:val="24"/>
        </w:rPr>
        <w:t xml:space="preserve">ruled </w:t>
      </w:r>
      <w:r>
        <w:rPr>
          <w:rFonts w:cs="Times New Roman"/>
          <w:szCs w:val="24"/>
        </w:rPr>
        <w:t xml:space="preserve">that Duke could charge customers </w:t>
      </w:r>
      <w:r w:rsidR="00B23D78">
        <w:rPr>
          <w:rFonts w:cs="Times New Roman"/>
          <w:szCs w:val="24"/>
        </w:rPr>
        <w:t xml:space="preserve">no </w:t>
      </w:r>
      <w:r>
        <w:rPr>
          <w:rFonts w:cs="Times New Roman"/>
          <w:szCs w:val="24"/>
        </w:rPr>
        <w:t>more than about $38.6 million (4.0% of Duke's 2015 total revenues) per year in program costs and shared savings combined.</w:t>
      </w:r>
      <w:r>
        <w:rPr>
          <w:rStyle w:val="FootnoteReference"/>
          <w:rFonts w:cs="Times New Roman"/>
          <w:szCs w:val="24"/>
        </w:rPr>
        <w:footnoteReference w:id="13"/>
      </w:r>
      <w:r>
        <w:rPr>
          <w:rFonts w:cs="Times New Roman"/>
          <w:szCs w:val="24"/>
        </w:rPr>
        <w:t xml:space="preserve"> The Order stated further:</w:t>
      </w:r>
      <w:r>
        <w:rPr>
          <w:rStyle w:val="FootnoteReference"/>
          <w:rFonts w:cs="Times New Roman"/>
          <w:szCs w:val="24"/>
        </w:rPr>
        <w:footnoteReference w:id="14"/>
      </w:r>
    </w:p>
    <w:p w:rsidR="00C22346" w:rsidP="00D656CD">
      <w:pPr>
        <w:pStyle w:val="ListParagraph"/>
        <w:numPr>
          <w:ilvl w:val="0"/>
          <w:numId w:val="42"/>
        </w:numPr>
        <w:spacing w:after="240" w:line="240" w:lineRule="auto"/>
        <w:ind w:hanging="720"/>
        <w:contextualSpacing w:val="0"/>
        <w:rPr>
          <w:rFonts w:cs="Times New Roman"/>
          <w:szCs w:val="24"/>
        </w:rPr>
      </w:pPr>
      <w:r w:rsidRPr="00ED0B75">
        <w:rPr>
          <w:rFonts w:cs="Times New Roman"/>
          <w:szCs w:val="24"/>
        </w:rPr>
        <w:t>"Duke may exceed the cap in calendar year 2017</w:t>
      </w:r>
      <w:r>
        <w:rPr>
          <w:rFonts w:cs="Times New Roman"/>
          <w:szCs w:val="24"/>
        </w:rPr>
        <w:t xml:space="preserve"> to recover program costs only."</w:t>
      </w:r>
    </w:p>
    <w:p w:rsidR="00C22346" w:rsidP="00D656CD">
      <w:pPr>
        <w:pStyle w:val="ListParagraph"/>
        <w:numPr>
          <w:ilvl w:val="0"/>
          <w:numId w:val="42"/>
        </w:numPr>
        <w:spacing w:after="240" w:line="240" w:lineRule="auto"/>
        <w:ind w:hanging="720"/>
        <w:contextualSpacing w:val="0"/>
        <w:rPr>
          <w:rFonts w:cs="Times New Roman"/>
          <w:szCs w:val="24"/>
        </w:rPr>
      </w:pPr>
      <w:r w:rsidRPr="0013729B">
        <w:rPr>
          <w:rFonts w:cs="Times New Roman"/>
          <w:szCs w:val="24"/>
        </w:rPr>
        <w:t>"Duke will not be authorized to recover shared savings for 2017 to the extent such recovery would exceed the cap."</w:t>
      </w:r>
      <w:r w:rsidRPr="0013729B">
        <w:rPr>
          <w:rStyle w:val="FootnoteReference"/>
          <w:rFonts w:cs="Times New Roman"/>
          <w:szCs w:val="24"/>
        </w:rPr>
        <w:t xml:space="preserve"> </w:t>
      </w:r>
    </w:p>
    <w:p w:rsidR="00C22346" w:rsidP="00D656CD">
      <w:pPr>
        <w:pStyle w:val="ListParagraph"/>
        <w:numPr>
          <w:ilvl w:val="0"/>
          <w:numId w:val="42"/>
        </w:numPr>
        <w:spacing w:after="240" w:line="240" w:lineRule="auto"/>
        <w:ind w:hanging="720"/>
        <w:contextualSpacing w:val="0"/>
        <w:rPr>
          <w:rFonts w:cs="Times New Roman"/>
          <w:szCs w:val="24"/>
        </w:rPr>
      </w:pPr>
      <w:r w:rsidRPr="0013729B">
        <w:rPr>
          <w:rFonts w:cs="Times New Roman"/>
          <w:szCs w:val="24"/>
        </w:rPr>
        <w:t>"Duke should scale back, but not suspend, its EE-PDR programs to avoid materially exceeding its Portfolio Plan budget for 2017 as approved in this case."</w:t>
      </w:r>
    </w:p>
    <w:p w:rsidR="00C22346" w:rsidRPr="0013729B" w:rsidP="00D656CD">
      <w:pPr>
        <w:pStyle w:val="ListParagraph"/>
        <w:numPr>
          <w:ilvl w:val="0"/>
          <w:numId w:val="42"/>
        </w:numPr>
        <w:spacing w:after="240" w:line="240" w:lineRule="auto"/>
        <w:ind w:hanging="720"/>
        <w:contextualSpacing w:val="0"/>
        <w:rPr>
          <w:rFonts w:cs="Times New Roman"/>
          <w:szCs w:val="24"/>
        </w:rPr>
      </w:pPr>
      <w:r w:rsidRPr="0013729B">
        <w:rPr>
          <w:rFonts w:cs="Times New Roman"/>
          <w:szCs w:val="24"/>
        </w:rPr>
        <w:t>Duke "should not exceed the Portfolio Plan budget for programs for calendar year 2017 without having obtained a waiver from the Commission."</w:t>
      </w:r>
      <w:r w:rsidRPr="0013729B">
        <w:rPr>
          <w:rStyle w:val="FootnoteReference"/>
          <w:rFonts w:cs="Times New Roman"/>
          <w:szCs w:val="24"/>
        </w:rPr>
        <w:t xml:space="preserve"> </w:t>
      </w:r>
    </w:p>
    <w:p w:rsidR="00C22346" w:rsidP="00C22346">
      <w:pPr>
        <w:spacing w:after="0" w:line="480" w:lineRule="auto"/>
        <w:ind w:firstLine="720"/>
        <w:rPr>
          <w:rFonts w:cs="Times New Roman"/>
          <w:szCs w:val="24"/>
        </w:rPr>
      </w:pPr>
      <w:r>
        <w:rPr>
          <w:rFonts w:cs="Times New Roman"/>
          <w:szCs w:val="24"/>
        </w:rPr>
        <w:t>Duke then filed the Motion, seek</w:t>
      </w:r>
      <w:r w:rsidR="00ED7A84">
        <w:rPr>
          <w:rFonts w:cs="Times New Roman"/>
          <w:szCs w:val="24"/>
        </w:rPr>
        <w:t xml:space="preserve">ing </w:t>
      </w:r>
      <w:r>
        <w:rPr>
          <w:rFonts w:cs="Times New Roman"/>
          <w:szCs w:val="24"/>
        </w:rPr>
        <w:t>a waiver to exceed the $38.6 million cost cap</w:t>
      </w:r>
      <w:r w:rsidR="00ED7A84">
        <w:rPr>
          <w:rFonts w:cs="Times New Roman"/>
          <w:szCs w:val="24"/>
        </w:rPr>
        <w:t xml:space="preserve"> for 2017</w:t>
      </w:r>
      <w:r w:rsidR="00257BD6">
        <w:rPr>
          <w:rFonts w:cs="Times New Roman"/>
          <w:szCs w:val="24"/>
        </w:rPr>
        <w:t xml:space="preserve"> to allow it to collect </w:t>
      </w:r>
      <w:r w:rsidR="00D66EFD">
        <w:rPr>
          <w:rFonts w:cs="Times New Roman"/>
          <w:szCs w:val="24"/>
        </w:rPr>
        <w:t xml:space="preserve">its </w:t>
      </w:r>
      <w:r w:rsidR="00257BD6">
        <w:rPr>
          <w:rFonts w:cs="Times New Roman"/>
          <w:szCs w:val="24"/>
        </w:rPr>
        <w:t>"actual costs."</w:t>
      </w:r>
      <w:r>
        <w:rPr>
          <w:rFonts w:cs="Times New Roman"/>
          <w:szCs w:val="24"/>
        </w:rPr>
        <w:t xml:space="preserve"> Duke states that it expects to spend $56 million on energy efficiency program costs for 2017.</w:t>
      </w:r>
      <w:r>
        <w:rPr>
          <w:rStyle w:val="FootnoteReference"/>
          <w:rFonts w:cs="Times New Roman"/>
          <w:szCs w:val="24"/>
        </w:rPr>
        <w:footnoteReference w:id="15"/>
      </w:r>
      <w:r>
        <w:rPr>
          <w:rFonts w:cs="Times New Roman"/>
          <w:szCs w:val="24"/>
        </w:rPr>
        <w:t xml:space="preserve"> Duke asks that the PUCO grant the waiver to exceed the cost cap in 2017 and approve these charges—</w:t>
      </w:r>
      <w:r w:rsidR="00544061">
        <w:rPr>
          <w:rFonts w:cs="Times New Roman"/>
          <w:szCs w:val="24"/>
        </w:rPr>
        <w:t>potentially</w:t>
      </w:r>
      <w:r>
        <w:rPr>
          <w:rFonts w:cs="Times New Roman"/>
          <w:szCs w:val="24"/>
        </w:rPr>
        <w:t xml:space="preserve"> without further review—in its separate 2017 rider true-up proceeding.</w:t>
      </w:r>
      <w:r>
        <w:rPr>
          <w:rStyle w:val="FootnoteReference"/>
          <w:rFonts w:cs="Times New Roman"/>
          <w:szCs w:val="24"/>
        </w:rPr>
        <w:footnoteReference w:id="16"/>
      </w:r>
    </w:p>
    <w:p w:rsidR="00FE2D22" w:rsidP="00FE2D22">
      <w:pPr>
        <w:spacing w:after="0" w:line="240" w:lineRule="auto"/>
        <w:ind w:firstLine="720"/>
        <w:rPr>
          <w:rFonts w:cs="Times New Roman"/>
          <w:szCs w:val="24"/>
        </w:rPr>
      </w:pPr>
    </w:p>
    <w:p w:rsidR="00C22346" w:rsidRPr="00806B9B" w:rsidP="00C22346">
      <w:pPr>
        <w:spacing w:after="0" w:line="480" w:lineRule="auto"/>
        <w:rPr>
          <w:rFonts w:cs="Times New Roman"/>
          <w:b/>
          <w:szCs w:val="24"/>
        </w:rPr>
      </w:pPr>
      <w:r>
        <w:rPr>
          <w:rFonts w:cs="Times New Roman"/>
          <w:b/>
          <w:szCs w:val="24"/>
        </w:rPr>
        <w:t>II.</w:t>
      </w:r>
      <w:r>
        <w:rPr>
          <w:rFonts w:cs="Times New Roman"/>
          <w:b/>
          <w:szCs w:val="24"/>
        </w:rPr>
        <w:tab/>
        <w:t>ARGUMENT</w:t>
      </w:r>
    </w:p>
    <w:p w:rsidR="00C22346" w:rsidP="00FE2D22">
      <w:pPr>
        <w:spacing w:after="240" w:line="240" w:lineRule="auto"/>
        <w:ind w:left="1440" w:right="720" w:hanging="720"/>
        <w:rPr>
          <w:rFonts w:cs="Times New Roman"/>
          <w:b/>
          <w:szCs w:val="24"/>
        </w:rPr>
      </w:pPr>
      <w:r w:rsidRPr="00806B9B">
        <w:rPr>
          <w:rFonts w:cs="Times New Roman"/>
          <w:b/>
          <w:szCs w:val="24"/>
        </w:rPr>
        <w:t>A.</w:t>
      </w:r>
      <w:r w:rsidRPr="00806B9B">
        <w:rPr>
          <w:rFonts w:cs="Times New Roman"/>
          <w:b/>
          <w:szCs w:val="24"/>
        </w:rPr>
        <w:tab/>
      </w:r>
      <w:r>
        <w:rPr>
          <w:rFonts w:cs="Times New Roman"/>
          <w:b/>
          <w:szCs w:val="24"/>
        </w:rPr>
        <w:t xml:space="preserve">The PUCO ordered Duke not to materially exceed the $38.6 million cost cap. Duke </w:t>
      </w:r>
      <w:r w:rsidRPr="00544061">
        <w:rPr>
          <w:rFonts w:cs="Times New Roman"/>
          <w:b/>
          <w:szCs w:val="24"/>
        </w:rPr>
        <w:t xml:space="preserve">has </w:t>
      </w:r>
      <w:r w:rsidR="007D4FA1">
        <w:rPr>
          <w:rFonts w:cs="Times New Roman"/>
          <w:b/>
          <w:szCs w:val="24"/>
        </w:rPr>
        <w:t>substantially exceeded</w:t>
      </w:r>
      <w:r w:rsidRPr="00544061" w:rsidR="007D4FA1">
        <w:rPr>
          <w:rFonts w:cs="Times New Roman"/>
          <w:b/>
          <w:szCs w:val="24"/>
        </w:rPr>
        <w:t xml:space="preserve"> </w:t>
      </w:r>
      <w:r w:rsidRPr="00544061">
        <w:rPr>
          <w:rFonts w:cs="Times New Roman"/>
          <w:b/>
          <w:szCs w:val="24"/>
        </w:rPr>
        <w:t>that cap by</w:t>
      </w:r>
      <w:r>
        <w:rPr>
          <w:rFonts w:cs="Times New Roman"/>
          <w:b/>
          <w:szCs w:val="24"/>
        </w:rPr>
        <w:t xml:space="preserve"> </w:t>
      </w:r>
      <w:r w:rsidR="00973B2D">
        <w:rPr>
          <w:rFonts w:cs="Times New Roman"/>
          <w:b/>
          <w:szCs w:val="24"/>
        </w:rPr>
        <w:t xml:space="preserve">asking </w:t>
      </w:r>
      <w:r>
        <w:rPr>
          <w:rFonts w:cs="Times New Roman"/>
          <w:b/>
          <w:szCs w:val="24"/>
        </w:rPr>
        <w:t>to charge customers $56 million</w:t>
      </w:r>
      <w:r w:rsidR="00A00B54">
        <w:rPr>
          <w:rFonts w:cs="Times New Roman"/>
          <w:b/>
          <w:szCs w:val="24"/>
        </w:rPr>
        <w:t xml:space="preserve"> or more</w:t>
      </w:r>
      <w:r>
        <w:rPr>
          <w:rFonts w:cs="Times New Roman"/>
          <w:b/>
          <w:szCs w:val="24"/>
        </w:rPr>
        <w:t>.</w:t>
      </w:r>
      <w:r w:rsidR="00D45CC8">
        <w:rPr>
          <w:rFonts w:cs="Times New Roman"/>
          <w:b/>
          <w:szCs w:val="24"/>
        </w:rPr>
        <w:t xml:space="preserve"> Duke's proposal is unjust and unreasonable. </w:t>
      </w:r>
    </w:p>
    <w:p w:rsidR="004852AE" w:rsidP="00C22346">
      <w:pPr>
        <w:spacing w:after="0" w:line="480" w:lineRule="auto"/>
        <w:ind w:firstLine="720"/>
        <w:rPr>
          <w:rFonts w:cs="Times New Roman"/>
          <w:szCs w:val="24"/>
        </w:rPr>
      </w:pPr>
      <w:r>
        <w:rPr>
          <w:rFonts w:cs="Times New Roman"/>
          <w:szCs w:val="24"/>
        </w:rPr>
        <w:t xml:space="preserve">The PUCO ordered Duke not to charge customers more than $38.6 million per year in 2018 and 2019. </w:t>
      </w:r>
      <w:r w:rsidR="00327DB8">
        <w:rPr>
          <w:rFonts w:cs="Times New Roman"/>
          <w:szCs w:val="24"/>
        </w:rPr>
        <w:t xml:space="preserve">This was a </w:t>
      </w:r>
      <w:r w:rsidR="00A00B54">
        <w:rPr>
          <w:rFonts w:cs="Times New Roman"/>
          <w:szCs w:val="24"/>
        </w:rPr>
        <w:t xml:space="preserve">welcome </w:t>
      </w:r>
      <w:r w:rsidR="00327DB8">
        <w:rPr>
          <w:rFonts w:cs="Times New Roman"/>
          <w:szCs w:val="24"/>
        </w:rPr>
        <w:t>consumer protection.</w:t>
      </w:r>
      <w:r w:rsidR="00A00B54">
        <w:rPr>
          <w:rStyle w:val="FootnoteReference"/>
          <w:rFonts w:cs="Times New Roman"/>
          <w:szCs w:val="24"/>
        </w:rPr>
        <w:t xml:space="preserve"> </w:t>
      </w:r>
      <w:r w:rsidR="00327DB8">
        <w:rPr>
          <w:rFonts w:cs="Times New Roman"/>
          <w:szCs w:val="24"/>
        </w:rPr>
        <w:t xml:space="preserve"> </w:t>
      </w:r>
      <w:r>
        <w:rPr>
          <w:rFonts w:cs="Times New Roman"/>
          <w:szCs w:val="24"/>
        </w:rPr>
        <w:t xml:space="preserve">For 2017, the PUCO made an exception allowing Duke to exceed the $38.6 million cost cap for program costs only. </w:t>
      </w:r>
      <w:r w:rsidR="007D4FA1">
        <w:rPr>
          <w:rFonts w:cs="Times New Roman"/>
          <w:szCs w:val="24"/>
        </w:rPr>
        <w:t>I</w:t>
      </w:r>
      <w:r w:rsidR="00327DB8">
        <w:rPr>
          <w:rFonts w:cs="Times New Roman"/>
          <w:szCs w:val="24"/>
        </w:rPr>
        <w:t xml:space="preserve">n making the exception, it ordered </w:t>
      </w:r>
      <w:r>
        <w:rPr>
          <w:rFonts w:cs="Times New Roman"/>
          <w:szCs w:val="24"/>
        </w:rPr>
        <w:t xml:space="preserve"> Duke </w:t>
      </w:r>
      <w:r w:rsidR="00327DB8">
        <w:rPr>
          <w:rFonts w:cs="Times New Roman"/>
          <w:szCs w:val="24"/>
        </w:rPr>
        <w:t xml:space="preserve">to </w:t>
      </w:r>
      <w:r>
        <w:rPr>
          <w:rFonts w:cs="Times New Roman"/>
          <w:szCs w:val="24"/>
        </w:rPr>
        <w:t xml:space="preserve">scale back its programs "to avoid materially exceeding" </w:t>
      </w:r>
      <w:r w:rsidR="00A00B54">
        <w:rPr>
          <w:rFonts w:cs="Times New Roman"/>
          <w:szCs w:val="24"/>
        </w:rPr>
        <w:t>its 2017 budget of around $3</w:t>
      </w:r>
      <w:r w:rsidR="00D66EFD">
        <w:rPr>
          <w:rFonts w:cs="Times New Roman"/>
          <w:szCs w:val="24"/>
        </w:rPr>
        <w:t>8-3</w:t>
      </w:r>
      <w:r w:rsidR="00A00B54">
        <w:rPr>
          <w:rFonts w:cs="Times New Roman"/>
          <w:szCs w:val="24"/>
        </w:rPr>
        <w:t>9 million</w:t>
      </w:r>
      <w:r>
        <w:rPr>
          <w:rFonts w:cs="Times New Roman"/>
          <w:szCs w:val="24"/>
        </w:rPr>
        <w:t>. But now, Duke asks the PUCO to allow it to charge customers</w:t>
      </w:r>
      <w:r w:rsidR="00327DB8">
        <w:rPr>
          <w:rFonts w:cs="Times New Roman"/>
          <w:szCs w:val="24"/>
        </w:rPr>
        <w:t xml:space="preserve"> </w:t>
      </w:r>
      <w:r w:rsidR="00A00B54">
        <w:rPr>
          <w:rFonts w:cs="Times New Roman"/>
          <w:szCs w:val="24"/>
        </w:rPr>
        <w:t xml:space="preserve">its </w:t>
      </w:r>
      <w:r w:rsidR="00327DB8">
        <w:rPr>
          <w:rFonts w:cs="Times New Roman"/>
          <w:szCs w:val="24"/>
        </w:rPr>
        <w:t>"actual costs</w:t>
      </w:r>
      <w:r w:rsidR="00A00B54">
        <w:rPr>
          <w:rFonts w:cs="Times New Roman"/>
          <w:szCs w:val="24"/>
        </w:rPr>
        <w:t>,</w:t>
      </w:r>
      <w:r w:rsidR="00327DB8">
        <w:rPr>
          <w:rFonts w:cs="Times New Roman"/>
          <w:szCs w:val="24"/>
        </w:rPr>
        <w:t>" expected to be</w:t>
      </w:r>
      <w:r>
        <w:rPr>
          <w:rFonts w:cs="Times New Roman"/>
          <w:szCs w:val="24"/>
        </w:rPr>
        <w:t xml:space="preserve"> </w:t>
      </w:r>
      <w:r w:rsidRPr="00E43394">
        <w:rPr>
          <w:rFonts w:cs="Times New Roman"/>
          <w:b/>
          <w:szCs w:val="24"/>
          <w:u w:val="single"/>
        </w:rPr>
        <w:t>$56 million</w:t>
      </w:r>
      <w:r>
        <w:rPr>
          <w:rFonts w:cs="Times New Roman"/>
          <w:szCs w:val="24"/>
        </w:rPr>
        <w:t xml:space="preserve"> for 2017.</w:t>
      </w:r>
      <w:r>
        <w:rPr>
          <w:rStyle w:val="FootnoteReference"/>
          <w:rFonts w:cs="Times New Roman"/>
          <w:szCs w:val="24"/>
        </w:rPr>
        <w:footnoteReference w:id="17"/>
      </w:r>
      <w:r>
        <w:rPr>
          <w:rFonts w:cs="Times New Roman"/>
          <w:szCs w:val="24"/>
        </w:rPr>
        <w:t xml:space="preserve"> On its face, this "materially exceeds" </w:t>
      </w:r>
      <w:r w:rsidR="00A00B54">
        <w:rPr>
          <w:rFonts w:cs="Times New Roman"/>
          <w:szCs w:val="24"/>
        </w:rPr>
        <w:t>Duke's $3</w:t>
      </w:r>
      <w:r w:rsidR="00D66EFD">
        <w:rPr>
          <w:rFonts w:cs="Times New Roman"/>
          <w:szCs w:val="24"/>
        </w:rPr>
        <w:t>8-3</w:t>
      </w:r>
      <w:r w:rsidR="00A00B54">
        <w:rPr>
          <w:rFonts w:cs="Times New Roman"/>
          <w:szCs w:val="24"/>
        </w:rPr>
        <w:t xml:space="preserve">9 million budget for 2017 as well as </w:t>
      </w:r>
      <w:r>
        <w:rPr>
          <w:rFonts w:cs="Times New Roman"/>
          <w:szCs w:val="24"/>
        </w:rPr>
        <w:t>the $38.6 million cost cap. It violates the Order</w:t>
      </w:r>
      <w:r>
        <w:rPr>
          <w:rFonts w:cs="Times New Roman"/>
          <w:szCs w:val="24"/>
        </w:rPr>
        <w:t>. It would also result in charges to consumers that are neither just nor reasonable. Duke's waiver request</w:t>
      </w:r>
      <w:r>
        <w:rPr>
          <w:rFonts w:cs="Times New Roman"/>
          <w:szCs w:val="24"/>
        </w:rPr>
        <w:t xml:space="preserve"> should not be approved.</w:t>
      </w:r>
      <w:r>
        <w:rPr>
          <w:rStyle w:val="FootnoteReference"/>
          <w:rFonts w:cs="Times New Roman"/>
          <w:szCs w:val="24"/>
        </w:rPr>
        <w:footnoteReference w:id="18"/>
      </w:r>
    </w:p>
    <w:p w:rsidR="00C22346" w:rsidRPr="00C20242" w:rsidP="00D656CD">
      <w:pPr>
        <w:spacing w:after="240" w:line="240" w:lineRule="auto"/>
        <w:ind w:left="1440" w:right="720" w:hanging="720"/>
        <w:rPr>
          <w:rFonts w:cs="Times New Roman"/>
          <w:b/>
          <w:szCs w:val="24"/>
        </w:rPr>
      </w:pPr>
      <w:r>
        <w:rPr>
          <w:rFonts w:cs="Times New Roman"/>
          <w:b/>
          <w:szCs w:val="24"/>
        </w:rPr>
        <w:t>B.</w:t>
      </w:r>
      <w:r>
        <w:rPr>
          <w:rFonts w:cs="Times New Roman"/>
          <w:b/>
          <w:szCs w:val="24"/>
        </w:rPr>
        <w:tab/>
        <w:t xml:space="preserve">Duke has not scaled back its programs, as the PUCO ordered it to do. </w:t>
      </w:r>
    </w:p>
    <w:p w:rsidR="004852AE" w:rsidP="00C22346">
      <w:pPr>
        <w:spacing w:after="0" w:line="480" w:lineRule="auto"/>
        <w:ind w:firstLine="720"/>
        <w:rPr>
          <w:rFonts w:cs="Times New Roman"/>
          <w:szCs w:val="24"/>
        </w:rPr>
      </w:pPr>
      <w:r>
        <w:rPr>
          <w:rFonts w:cs="Times New Roman"/>
          <w:szCs w:val="24"/>
        </w:rPr>
        <w:t xml:space="preserve">The PUCO ordered Duke to scale back its programs to avoid materially exceeding </w:t>
      </w:r>
      <w:r>
        <w:rPr>
          <w:rFonts w:cs="Times New Roman"/>
          <w:szCs w:val="24"/>
        </w:rPr>
        <w:t>its $3</w:t>
      </w:r>
      <w:r w:rsidR="00D66EFD">
        <w:rPr>
          <w:rFonts w:cs="Times New Roman"/>
          <w:szCs w:val="24"/>
        </w:rPr>
        <w:t>8-3</w:t>
      </w:r>
      <w:r>
        <w:rPr>
          <w:rFonts w:cs="Times New Roman"/>
          <w:szCs w:val="24"/>
        </w:rPr>
        <w:t>9</w:t>
      </w:r>
      <w:r>
        <w:rPr>
          <w:rFonts w:cs="Times New Roman"/>
          <w:szCs w:val="24"/>
        </w:rPr>
        <w:t xml:space="preserve"> million </w:t>
      </w:r>
      <w:r>
        <w:rPr>
          <w:rFonts w:cs="Times New Roman"/>
          <w:szCs w:val="24"/>
        </w:rPr>
        <w:t>budget</w:t>
      </w:r>
      <w:r>
        <w:rPr>
          <w:rFonts w:cs="Times New Roman"/>
          <w:szCs w:val="24"/>
        </w:rPr>
        <w:t xml:space="preserve"> for 2017.</w:t>
      </w:r>
      <w:r>
        <w:rPr>
          <w:rStyle w:val="FootnoteReference"/>
          <w:rFonts w:cs="Times New Roman"/>
          <w:szCs w:val="24"/>
        </w:rPr>
        <w:footnoteReference w:id="19"/>
      </w:r>
      <w:r>
        <w:rPr>
          <w:rFonts w:cs="Times New Roman"/>
          <w:szCs w:val="24"/>
        </w:rPr>
        <w:t xml:space="preserve"> In the Motion, Duke admits that it has the done the opposite. According to Duke</w:t>
      </w:r>
      <w:r>
        <w:rPr>
          <w:rFonts w:cs="Times New Roman"/>
          <w:szCs w:val="24"/>
        </w:rPr>
        <w:t xml:space="preserve"> (though without any evidentiary support or documentation)</w:t>
      </w:r>
      <w:r>
        <w:rPr>
          <w:rFonts w:cs="Times New Roman"/>
          <w:szCs w:val="24"/>
        </w:rPr>
        <w:t>, it is running programs with participation that has "surpassed historical levels."</w:t>
      </w:r>
      <w:r>
        <w:rPr>
          <w:rStyle w:val="FootnoteReference"/>
          <w:rFonts w:cs="Times New Roman"/>
          <w:szCs w:val="24"/>
        </w:rPr>
        <w:footnoteReference w:id="20"/>
      </w:r>
      <w:r>
        <w:rPr>
          <w:rFonts w:cs="Times New Roman"/>
          <w:szCs w:val="24"/>
        </w:rPr>
        <w:t xml:space="preserve"> Duke also </w:t>
      </w:r>
      <w:r>
        <w:rPr>
          <w:rFonts w:cs="Times New Roman"/>
          <w:szCs w:val="24"/>
        </w:rPr>
        <w:t xml:space="preserve">states that it is </w:t>
      </w:r>
      <w:r>
        <w:rPr>
          <w:rFonts w:cs="Times New Roman"/>
          <w:szCs w:val="24"/>
        </w:rPr>
        <w:t>exceeding, rather than meeting, its statutory energy savings mandates.</w:t>
      </w:r>
      <w:r>
        <w:rPr>
          <w:rStyle w:val="FootnoteReference"/>
          <w:rFonts w:cs="Times New Roman"/>
          <w:szCs w:val="24"/>
        </w:rPr>
        <w:footnoteReference w:id="21"/>
      </w:r>
      <w:r>
        <w:rPr>
          <w:rFonts w:cs="Times New Roman"/>
          <w:szCs w:val="24"/>
        </w:rPr>
        <w:t xml:space="preserve"> </w:t>
      </w:r>
    </w:p>
    <w:p w:rsidR="00C22346" w:rsidP="00C22346">
      <w:pPr>
        <w:spacing w:after="0" w:line="480" w:lineRule="auto"/>
        <w:ind w:firstLine="720"/>
        <w:rPr>
          <w:rFonts w:cs="Times New Roman"/>
          <w:szCs w:val="24"/>
        </w:rPr>
      </w:pPr>
      <w:r>
        <w:rPr>
          <w:rFonts w:cs="Times New Roman"/>
          <w:szCs w:val="24"/>
        </w:rPr>
        <w:t xml:space="preserve">Gone is the expectation that Duke had of more </w:t>
      </w:r>
      <w:r w:rsidR="004852AE">
        <w:rPr>
          <w:rFonts w:cs="Times New Roman"/>
          <w:szCs w:val="24"/>
        </w:rPr>
        <w:t>modest</w:t>
      </w:r>
      <w:r>
        <w:rPr>
          <w:rFonts w:cs="Times New Roman"/>
          <w:szCs w:val="24"/>
        </w:rPr>
        <w:t xml:space="preserve"> expenditures of $3</w:t>
      </w:r>
      <w:r w:rsidR="00F0746C">
        <w:rPr>
          <w:rFonts w:cs="Times New Roman"/>
          <w:szCs w:val="24"/>
        </w:rPr>
        <w:t>8-39</w:t>
      </w:r>
      <w:r>
        <w:rPr>
          <w:rFonts w:cs="Times New Roman"/>
          <w:szCs w:val="24"/>
        </w:rPr>
        <w:t xml:space="preserve"> million</w:t>
      </w:r>
      <w:r w:rsidR="00D45CC8">
        <w:rPr>
          <w:rFonts w:cs="Times New Roman"/>
          <w:szCs w:val="24"/>
        </w:rPr>
        <w:t xml:space="preserve"> for 2017</w:t>
      </w:r>
      <w:r w:rsidR="002465AD">
        <w:rPr>
          <w:rFonts w:cs="Times New Roman"/>
          <w:szCs w:val="24"/>
        </w:rPr>
        <w:t>—</w:t>
      </w:r>
      <w:r>
        <w:rPr>
          <w:rFonts w:cs="Times New Roman"/>
          <w:szCs w:val="24"/>
        </w:rPr>
        <w:t xml:space="preserve">an expectation </w:t>
      </w:r>
      <w:r w:rsidR="00D45CC8">
        <w:rPr>
          <w:rFonts w:cs="Times New Roman"/>
          <w:szCs w:val="24"/>
        </w:rPr>
        <w:t>embodied in the Settlement</w:t>
      </w:r>
      <w:r w:rsidR="004852AE">
        <w:rPr>
          <w:rFonts w:cs="Times New Roman"/>
          <w:szCs w:val="24"/>
        </w:rPr>
        <w:t>.</w:t>
      </w:r>
      <w:r w:rsidR="00D45CC8">
        <w:rPr>
          <w:rFonts w:cs="Times New Roman"/>
          <w:szCs w:val="24"/>
        </w:rPr>
        <w:t xml:space="preserve"> </w:t>
      </w:r>
      <w:r w:rsidR="00164D1F">
        <w:rPr>
          <w:rFonts w:cs="Times New Roman"/>
          <w:szCs w:val="24"/>
        </w:rPr>
        <w:t xml:space="preserve">Duke </w:t>
      </w:r>
      <w:r>
        <w:rPr>
          <w:rFonts w:cs="Times New Roman"/>
          <w:szCs w:val="24"/>
        </w:rPr>
        <w:t xml:space="preserve">now </w:t>
      </w:r>
      <w:r w:rsidR="00164D1F">
        <w:rPr>
          <w:rFonts w:cs="Times New Roman"/>
          <w:szCs w:val="24"/>
        </w:rPr>
        <w:t>expect</w:t>
      </w:r>
      <w:r w:rsidR="00D45CC8">
        <w:rPr>
          <w:rFonts w:cs="Times New Roman"/>
          <w:szCs w:val="24"/>
        </w:rPr>
        <w:t>s</w:t>
      </w:r>
      <w:r w:rsidR="00164D1F">
        <w:rPr>
          <w:rFonts w:cs="Times New Roman"/>
          <w:szCs w:val="24"/>
        </w:rPr>
        <w:t xml:space="preserve"> to spend $56 million on programs when it</w:t>
      </w:r>
      <w:r>
        <w:rPr>
          <w:rFonts w:cs="Times New Roman"/>
          <w:szCs w:val="24"/>
        </w:rPr>
        <w:t xml:space="preserve"> agreed to a</w:t>
      </w:r>
      <w:r w:rsidR="00164D1F">
        <w:rPr>
          <w:rFonts w:cs="Times New Roman"/>
          <w:szCs w:val="24"/>
        </w:rPr>
        <w:t xml:space="preserve"> projected budget under the Settlement </w:t>
      </w:r>
      <w:r>
        <w:rPr>
          <w:rFonts w:cs="Times New Roman"/>
          <w:szCs w:val="24"/>
        </w:rPr>
        <w:t xml:space="preserve">of approximately </w:t>
      </w:r>
      <w:r w:rsidR="00164D1F">
        <w:rPr>
          <w:rFonts w:cs="Times New Roman"/>
          <w:szCs w:val="24"/>
        </w:rPr>
        <w:t>$38</w:t>
      </w:r>
      <w:r w:rsidR="00F0746C">
        <w:rPr>
          <w:rFonts w:cs="Times New Roman"/>
          <w:szCs w:val="24"/>
        </w:rPr>
        <w:t>-3</w:t>
      </w:r>
      <w:r w:rsidR="004852AE">
        <w:rPr>
          <w:rFonts w:cs="Times New Roman"/>
          <w:szCs w:val="24"/>
        </w:rPr>
        <w:t>9</w:t>
      </w:r>
      <w:r w:rsidR="00164D1F">
        <w:rPr>
          <w:rFonts w:cs="Times New Roman"/>
          <w:szCs w:val="24"/>
        </w:rPr>
        <w:t xml:space="preserve"> million</w:t>
      </w:r>
      <w:r w:rsidR="002465AD">
        <w:rPr>
          <w:rFonts w:cs="Times New Roman"/>
          <w:szCs w:val="24"/>
        </w:rPr>
        <w:t xml:space="preserve">. </w:t>
      </w:r>
      <w:r w:rsidR="00164D1F">
        <w:rPr>
          <w:rFonts w:cs="Times New Roman"/>
          <w:szCs w:val="24"/>
        </w:rPr>
        <w:t xml:space="preserve">Duke </w:t>
      </w:r>
      <w:r w:rsidR="004852AE">
        <w:rPr>
          <w:rFonts w:cs="Times New Roman"/>
          <w:szCs w:val="24"/>
        </w:rPr>
        <w:t>is attempting</w:t>
      </w:r>
      <w:r w:rsidR="00D45CC8">
        <w:rPr>
          <w:rFonts w:cs="Times New Roman"/>
          <w:szCs w:val="24"/>
        </w:rPr>
        <w:t xml:space="preserve"> to work around the PUCO</w:t>
      </w:r>
      <w:r w:rsidR="002465AD">
        <w:rPr>
          <w:rFonts w:cs="Times New Roman"/>
          <w:szCs w:val="24"/>
        </w:rPr>
        <w:t>-</w:t>
      </w:r>
      <w:r w:rsidR="00D45CC8">
        <w:rPr>
          <w:rFonts w:cs="Times New Roman"/>
          <w:szCs w:val="24"/>
        </w:rPr>
        <w:t xml:space="preserve">imposed caps </w:t>
      </w:r>
      <w:r w:rsidR="004852AE">
        <w:rPr>
          <w:rFonts w:cs="Times New Roman"/>
          <w:szCs w:val="24"/>
        </w:rPr>
        <w:t>by using</w:t>
      </w:r>
      <w:r w:rsidR="00D45CC8">
        <w:rPr>
          <w:rFonts w:cs="Times New Roman"/>
          <w:szCs w:val="24"/>
        </w:rPr>
        <w:t xml:space="preserve"> the PUCO provision allowing </w:t>
      </w:r>
      <w:r w:rsidR="00B23D78">
        <w:rPr>
          <w:rFonts w:cs="Times New Roman"/>
          <w:szCs w:val="24"/>
        </w:rPr>
        <w:t>it</w:t>
      </w:r>
      <w:r w:rsidR="00D45CC8">
        <w:rPr>
          <w:rFonts w:cs="Times New Roman"/>
          <w:szCs w:val="24"/>
        </w:rPr>
        <w:t xml:space="preserve"> to seek a waiver for its 2017 spending.</w:t>
      </w:r>
      <w:r w:rsidR="00973B2D">
        <w:rPr>
          <w:rFonts w:cs="Times New Roman"/>
          <w:szCs w:val="24"/>
        </w:rPr>
        <w:t xml:space="preserve"> </w:t>
      </w:r>
      <w:r w:rsidR="007F7DB9">
        <w:rPr>
          <w:rFonts w:cs="Times New Roman"/>
          <w:szCs w:val="24"/>
        </w:rPr>
        <w:t xml:space="preserve">Customers should not be penalized and </w:t>
      </w:r>
      <w:r w:rsidR="00973B2D">
        <w:rPr>
          <w:rFonts w:cs="Times New Roman"/>
          <w:szCs w:val="24"/>
        </w:rPr>
        <w:t xml:space="preserve">Duke should not be rewarded for </w:t>
      </w:r>
      <w:r w:rsidR="00D45CC8">
        <w:rPr>
          <w:rFonts w:cs="Times New Roman"/>
          <w:szCs w:val="24"/>
        </w:rPr>
        <w:t>contravening the PUCO's protections for consumers.</w:t>
      </w:r>
      <w:r w:rsidR="00B23D78">
        <w:rPr>
          <w:rFonts w:cs="Times New Roman"/>
          <w:szCs w:val="24"/>
        </w:rPr>
        <w:t xml:space="preserve"> </w:t>
      </w:r>
      <w:r w:rsidR="00327DB8">
        <w:rPr>
          <w:rFonts w:cs="Times New Roman"/>
          <w:szCs w:val="24"/>
        </w:rPr>
        <w:t xml:space="preserve">The waiver should be denied.  </w:t>
      </w:r>
    </w:p>
    <w:p w:rsidR="00C22346" w:rsidRPr="00C20242" w:rsidP="00D656CD">
      <w:pPr>
        <w:keepNext/>
        <w:keepLines/>
        <w:spacing w:after="240" w:line="240" w:lineRule="auto"/>
        <w:ind w:left="1440" w:right="720" w:hanging="720"/>
        <w:rPr>
          <w:rFonts w:cs="Times New Roman"/>
          <w:b/>
          <w:szCs w:val="24"/>
        </w:rPr>
      </w:pPr>
      <w:r>
        <w:rPr>
          <w:rFonts w:cs="Times New Roman"/>
          <w:b/>
          <w:szCs w:val="24"/>
        </w:rPr>
        <w:t>C.</w:t>
      </w:r>
      <w:r>
        <w:rPr>
          <w:rFonts w:cs="Times New Roman"/>
          <w:b/>
          <w:szCs w:val="24"/>
        </w:rPr>
        <w:tab/>
      </w:r>
      <w:r w:rsidRPr="00806B9B">
        <w:rPr>
          <w:rFonts w:cs="Times New Roman"/>
          <w:b/>
          <w:szCs w:val="24"/>
        </w:rPr>
        <w:t xml:space="preserve">Duke's proposal to charge customers $56 million </w:t>
      </w:r>
      <w:r w:rsidR="00D45CC8">
        <w:rPr>
          <w:rFonts w:cs="Times New Roman"/>
          <w:b/>
          <w:szCs w:val="24"/>
        </w:rPr>
        <w:t xml:space="preserve">or more </w:t>
      </w:r>
      <w:r w:rsidRPr="00806B9B">
        <w:rPr>
          <w:rFonts w:cs="Times New Roman"/>
          <w:b/>
          <w:szCs w:val="24"/>
        </w:rPr>
        <w:t xml:space="preserve">for energy efficiency </w:t>
      </w:r>
      <w:r w:rsidRPr="00544061">
        <w:rPr>
          <w:rFonts w:cs="Times New Roman"/>
          <w:b/>
          <w:szCs w:val="24"/>
        </w:rPr>
        <w:t xml:space="preserve">programs </w:t>
      </w:r>
      <w:r w:rsidR="00D45CC8">
        <w:rPr>
          <w:rFonts w:cs="Times New Roman"/>
          <w:b/>
          <w:szCs w:val="24"/>
        </w:rPr>
        <w:t>defies the PUCO's Order and will harm customers by unreasonably adding to the costs they pay for energy efficiency.</w:t>
      </w:r>
    </w:p>
    <w:p w:rsidR="00C22346" w:rsidRPr="00FD54E5" w:rsidP="00C22346">
      <w:pPr>
        <w:spacing w:after="0" w:line="480" w:lineRule="auto"/>
        <w:ind w:firstLine="720"/>
        <w:rPr>
          <w:rFonts w:cs="Times New Roman"/>
          <w:i/>
          <w:szCs w:val="24"/>
        </w:rPr>
      </w:pPr>
      <w:r>
        <w:rPr>
          <w:rFonts w:cs="Times New Roman"/>
          <w:szCs w:val="24"/>
        </w:rPr>
        <w:t xml:space="preserve">Duke's proposal to spend $56 million on programs in 2017 </w:t>
      </w:r>
      <w:r w:rsidR="007D4FA1">
        <w:rPr>
          <w:rFonts w:cs="Times New Roman"/>
          <w:szCs w:val="24"/>
        </w:rPr>
        <w:t>is contrary to</w:t>
      </w:r>
      <w:r>
        <w:rPr>
          <w:rFonts w:cs="Times New Roman"/>
          <w:szCs w:val="24"/>
        </w:rPr>
        <w:t xml:space="preserve"> the clear intent (and as described above, the plain language) of the Order. In the Settlement, Duke proposed to charge customers around $50.5 million per year in energy efficiency program costs and shared savings combined.</w:t>
      </w:r>
      <w:r>
        <w:rPr>
          <w:rStyle w:val="FootnoteReference"/>
          <w:rFonts w:cs="Times New Roman"/>
          <w:szCs w:val="24"/>
        </w:rPr>
        <w:footnoteReference w:id="22"/>
      </w:r>
      <w:r>
        <w:rPr>
          <w:rFonts w:cs="Times New Roman"/>
          <w:szCs w:val="24"/>
        </w:rPr>
        <w:t xml:space="preserve"> The PUCO, however, found that charges of this magnitude would not benefit customers or the public interest and modified the Settlement to </w:t>
      </w:r>
      <w:r w:rsidRPr="0015736D">
        <w:rPr>
          <w:rFonts w:cs="Times New Roman"/>
          <w:szCs w:val="24"/>
        </w:rPr>
        <w:t>reduce</w:t>
      </w:r>
      <w:r>
        <w:rPr>
          <w:rFonts w:cs="Times New Roman"/>
          <w:szCs w:val="24"/>
        </w:rPr>
        <w:t xml:space="preserve"> the amount that customers will pay for energy efficiency to about $38.6 million per year.</w:t>
      </w:r>
      <w:r>
        <w:rPr>
          <w:rStyle w:val="FootnoteReference"/>
          <w:rFonts w:cs="Times New Roman"/>
          <w:szCs w:val="24"/>
        </w:rPr>
        <w:footnoteReference w:id="23"/>
      </w:r>
      <w:r>
        <w:rPr>
          <w:rFonts w:cs="Times New Roman"/>
          <w:szCs w:val="24"/>
        </w:rPr>
        <w:t xml:space="preserve"> Now, Duke seeks a waiver, not only to exceed the PUCO's ordered cost cap, but to charge customers even more than Duke proposed to charge them in the Settlement, even more than Duke proposed to charge them when it filed its application in this case, and even more than the cost cap that Duke proposed in litigation. The PUCO should not approve a result that allows Duke to charge customers </w:t>
      </w:r>
      <w:r w:rsidRPr="005F35E0">
        <w:rPr>
          <w:rFonts w:cs="Times New Roman"/>
          <w:i/>
          <w:szCs w:val="24"/>
        </w:rPr>
        <w:t>more</w:t>
      </w:r>
      <w:r>
        <w:rPr>
          <w:rFonts w:cs="Times New Roman"/>
          <w:szCs w:val="24"/>
        </w:rPr>
        <w:t xml:space="preserve"> for energy efficiency in response to an Order that explicitly instructed Duke to charge customers </w:t>
      </w:r>
      <w:r w:rsidRPr="005F35E0">
        <w:rPr>
          <w:rFonts w:cs="Times New Roman"/>
          <w:i/>
          <w:szCs w:val="24"/>
        </w:rPr>
        <w:t>less</w:t>
      </w:r>
      <w:r>
        <w:rPr>
          <w:rFonts w:cs="Times New Roman"/>
          <w:szCs w:val="24"/>
        </w:rPr>
        <w:t>.</w:t>
      </w:r>
    </w:p>
    <w:p w:rsidR="00C22346" w:rsidRPr="0015736D" w:rsidP="00D656CD">
      <w:pPr>
        <w:keepNext/>
        <w:keepLines/>
        <w:spacing w:after="240" w:line="240" w:lineRule="auto"/>
        <w:ind w:left="1440" w:right="720" w:hanging="720"/>
        <w:rPr>
          <w:rFonts w:cs="Times New Roman"/>
          <w:b/>
          <w:szCs w:val="24"/>
        </w:rPr>
      </w:pPr>
      <w:r>
        <w:rPr>
          <w:rFonts w:cs="Times New Roman"/>
          <w:b/>
          <w:szCs w:val="24"/>
        </w:rPr>
        <w:t>D.</w:t>
      </w:r>
      <w:r>
        <w:rPr>
          <w:rFonts w:cs="Times New Roman"/>
          <w:b/>
          <w:szCs w:val="24"/>
        </w:rPr>
        <w:tab/>
        <w:t>Duke's 2017 energy efficiency charges should remain subject to further prudence review and adjustment through Duke's annual rider true-up filing.</w:t>
      </w:r>
    </w:p>
    <w:p w:rsidR="00544061" w:rsidP="00C22346">
      <w:pPr>
        <w:spacing w:after="0" w:line="480" w:lineRule="auto"/>
        <w:ind w:firstLine="720"/>
        <w:rPr>
          <w:rFonts w:cs="Times New Roman"/>
          <w:szCs w:val="24"/>
        </w:rPr>
      </w:pPr>
      <w:r>
        <w:rPr>
          <w:rFonts w:cs="Times New Roman"/>
          <w:szCs w:val="24"/>
        </w:rPr>
        <w:t>If any waiver is granted, the PUCO should clarify that all costs remain subject to further review for prudency. On page two of the Motion, Duke appears to contemplate this by requesting a waiver "with reconciliation and recovery of such costs to be determined in a subsequent proceeding." But later, on page three, Duke "respectfully requests that the Commission permit recovery of these actual costs in the 2017 true-up rider proceeding and grant a waiver for this purpose in order to permit the Company to recover all program costs for 2017."</w:t>
      </w:r>
    </w:p>
    <w:p w:rsidR="00762415" w:rsidP="00C22346">
      <w:pPr>
        <w:spacing w:after="0" w:line="480" w:lineRule="auto"/>
        <w:ind w:firstLine="720"/>
        <w:rPr>
          <w:rFonts w:cs="Times New Roman"/>
          <w:szCs w:val="24"/>
        </w:rPr>
      </w:pPr>
      <w:r>
        <w:rPr>
          <w:rFonts w:cs="Times New Roman"/>
          <w:szCs w:val="24"/>
        </w:rPr>
        <w:t xml:space="preserve">The latter quote seems to suggest that </w:t>
      </w:r>
      <w:r w:rsidR="00164D1F">
        <w:rPr>
          <w:rFonts w:cs="Times New Roman"/>
          <w:szCs w:val="24"/>
        </w:rPr>
        <w:t xml:space="preserve">Duke </w:t>
      </w:r>
      <w:r>
        <w:rPr>
          <w:rFonts w:cs="Times New Roman"/>
          <w:szCs w:val="24"/>
        </w:rPr>
        <w:t>is</w:t>
      </w:r>
      <w:r w:rsidR="00164D1F">
        <w:rPr>
          <w:rFonts w:cs="Times New Roman"/>
          <w:szCs w:val="24"/>
        </w:rPr>
        <w:t xml:space="preserve"> ask</w:t>
      </w:r>
      <w:r>
        <w:rPr>
          <w:rFonts w:cs="Times New Roman"/>
          <w:szCs w:val="24"/>
        </w:rPr>
        <w:t>ing</w:t>
      </w:r>
      <w:r w:rsidR="00164D1F">
        <w:rPr>
          <w:rFonts w:cs="Times New Roman"/>
          <w:szCs w:val="24"/>
        </w:rPr>
        <w:t xml:space="preserve"> the PUCO to approve the $56 million </w:t>
      </w:r>
      <w:r w:rsidR="00B23D78">
        <w:rPr>
          <w:rFonts w:cs="Times New Roman"/>
          <w:szCs w:val="24"/>
        </w:rPr>
        <w:t xml:space="preserve">(or more) </w:t>
      </w:r>
      <w:r w:rsidR="00164D1F">
        <w:rPr>
          <w:rFonts w:cs="Times New Roman"/>
          <w:szCs w:val="24"/>
        </w:rPr>
        <w:t>in charges without any further review of (i) how Duke is spending this money, (ii) what programs it is being spent on, (iii) how much of this excessive spending is on residential vs. nonresidential programs, or (iv) any other information about these charges.</w:t>
      </w:r>
      <w:r>
        <w:rPr>
          <w:rStyle w:val="FootnoteReference"/>
          <w:rFonts w:cs="Times New Roman"/>
          <w:szCs w:val="24"/>
        </w:rPr>
        <w:footnoteReference w:id="24"/>
      </w:r>
      <w:r w:rsidR="00164D1F">
        <w:rPr>
          <w:rFonts w:cs="Times New Roman"/>
          <w:szCs w:val="24"/>
        </w:rPr>
        <w:t xml:space="preserve"> </w:t>
      </w:r>
      <w:r>
        <w:rPr>
          <w:rFonts w:cs="Times New Roman"/>
          <w:szCs w:val="24"/>
        </w:rPr>
        <w:t>Indeed, although Duke makes various claims throughout the Motion (that it expects to incur $56 million in program costs, that its "program participation has surpassed historical level," that it will "exceed the energy mandates," that its spending is "leading to accelerated customer participation and technological advances"</w:t>
      </w:r>
      <w:r>
        <w:rPr>
          <w:rStyle w:val="FootnoteReference"/>
          <w:rFonts w:cs="Times New Roman"/>
          <w:szCs w:val="24"/>
        </w:rPr>
        <w:footnoteReference w:id="25"/>
      </w:r>
      <w:r>
        <w:rPr>
          <w:rFonts w:cs="Times New Roman"/>
          <w:szCs w:val="24"/>
        </w:rPr>
        <w:t>), none of this information is in the record, and Duke provided no documentation of these claims with the Motion. They are wholly unsupported and cannot form the basis of a PUCO order guaranteeing Duke recovery of all actual energy efficiency costs for 2017.</w:t>
      </w:r>
    </w:p>
    <w:p w:rsidR="00C22346" w:rsidP="00C22346">
      <w:pPr>
        <w:spacing w:after="0" w:line="480" w:lineRule="auto"/>
        <w:ind w:firstLine="720"/>
        <w:rPr>
          <w:rFonts w:cs="Times New Roman"/>
          <w:szCs w:val="24"/>
        </w:rPr>
      </w:pPr>
      <w:r>
        <w:rPr>
          <w:rFonts w:cs="Times New Roman"/>
          <w:szCs w:val="24"/>
        </w:rPr>
        <w:t>And r</w:t>
      </w:r>
      <w:r w:rsidR="00164D1F">
        <w:rPr>
          <w:rFonts w:cs="Times New Roman"/>
          <w:szCs w:val="24"/>
        </w:rPr>
        <w:t xml:space="preserve">egardless of how much Duke spends on its programs in 2017, those costs should remain subject to further review by the PUCO (and parties) through Duke's annual true-up filings. This review </w:t>
      </w:r>
      <w:r w:rsidR="007F7DB9">
        <w:rPr>
          <w:rFonts w:cs="Times New Roman"/>
          <w:szCs w:val="24"/>
        </w:rPr>
        <w:t>sh</w:t>
      </w:r>
      <w:r w:rsidR="00164D1F">
        <w:rPr>
          <w:rFonts w:cs="Times New Roman"/>
          <w:szCs w:val="24"/>
        </w:rPr>
        <w:t>ould include, but  not be limited to, a PUCO Staff prudence review, a third-party audit of Duke's spending, and standard evaluation, measurement, and verification processes. Thus, whether the PUCO grants a waiver</w:t>
      </w:r>
      <w:r>
        <w:rPr>
          <w:rFonts w:cs="Times New Roman"/>
          <w:szCs w:val="24"/>
        </w:rPr>
        <w:t xml:space="preserve"> or not</w:t>
      </w:r>
      <w:r w:rsidR="00164D1F">
        <w:rPr>
          <w:rFonts w:cs="Times New Roman"/>
          <w:szCs w:val="24"/>
        </w:rPr>
        <w:t>, such waiver should not be deemed to be final approval of any specific charges, and parties should retain the right to challenge the prudence of such charges through Duke's rider filings</w:t>
      </w:r>
      <w:r w:rsidR="00202351">
        <w:rPr>
          <w:rFonts w:cs="Times New Roman"/>
          <w:szCs w:val="24"/>
        </w:rPr>
        <w:t>,</w:t>
      </w:r>
      <w:r w:rsidR="00164D1F">
        <w:rPr>
          <w:rFonts w:cs="Times New Roman"/>
          <w:szCs w:val="24"/>
        </w:rPr>
        <w:t xml:space="preserve"> energy efficiency annual reports</w:t>
      </w:r>
      <w:r w:rsidR="00202351">
        <w:rPr>
          <w:rFonts w:cs="Times New Roman"/>
          <w:szCs w:val="24"/>
        </w:rPr>
        <w:t>, or other applicable proceedings</w:t>
      </w:r>
      <w:r w:rsidR="00164D1F">
        <w:rPr>
          <w:rFonts w:cs="Times New Roman"/>
          <w:szCs w:val="24"/>
        </w:rPr>
        <w:t>. Given Duke's already excessive spending in this case, the need for a detailed review of Duke's proposed charges to customers is evident.</w:t>
      </w:r>
    </w:p>
    <w:p w:rsidR="004B078A" w:rsidP="004B078A">
      <w:pPr>
        <w:spacing w:after="240" w:line="240" w:lineRule="auto"/>
        <w:ind w:left="1440" w:hanging="720"/>
        <w:rPr>
          <w:rFonts w:cs="Times New Roman"/>
          <w:szCs w:val="24"/>
        </w:rPr>
      </w:pPr>
      <w:r>
        <w:rPr>
          <w:rFonts w:cs="Times New Roman"/>
          <w:b/>
          <w:szCs w:val="24"/>
        </w:rPr>
        <w:t>E.</w:t>
      </w:r>
      <w:r>
        <w:rPr>
          <w:rFonts w:cs="Times New Roman"/>
          <w:b/>
          <w:szCs w:val="24"/>
        </w:rPr>
        <w:tab/>
        <w:t>Duke's request to charge customers $56 million or more for 2017 program costs is effectively a request to modify the Order, and thus, it must be made through an application for rehearing, not through the Motion.</w:t>
      </w:r>
    </w:p>
    <w:p w:rsidR="00C22346" w:rsidP="00C22346">
      <w:pPr>
        <w:spacing w:after="0" w:line="480" w:lineRule="auto"/>
        <w:ind w:firstLine="720"/>
        <w:rPr>
          <w:rFonts w:cs="Times New Roman"/>
          <w:szCs w:val="24"/>
        </w:rPr>
      </w:pPr>
      <w:r>
        <w:rPr>
          <w:rFonts w:cs="Times New Roman"/>
          <w:szCs w:val="24"/>
        </w:rPr>
        <w:t>Although the Order contemplates Duke's filing a request for a waiver to exceed the 2017 cost cap, it plainly states that Duke must scale back its programs "to avoid materially exceeding its Portfolio Plan budget for 2017 as approved in this case."</w:t>
      </w:r>
      <w:r>
        <w:rPr>
          <w:rStyle w:val="FootnoteReference"/>
          <w:rFonts w:cs="Times New Roman"/>
          <w:szCs w:val="24"/>
        </w:rPr>
        <w:footnoteReference w:id="26"/>
      </w:r>
      <w:r>
        <w:rPr>
          <w:rFonts w:cs="Times New Roman"/>
          <w:szCs w:val="24"/>
        </w:rPr>
        <w:t xml:space="preserve"> In the Motion, Duke seeks to charge customers $56 million or more,</w:t>
      </w:r>
      <w:r>
        <w:rPr>
          <w:rStyle w:val="FootnoteReference"/>
          <w:rFonts w:cs="Times New Roman"/>
          <w:szCs w:val="24"/>
        </w:rPr>
        <w:footnoteReference w:id="27"/>
      </w:r>
      <w:r>
        <w:rPr>
          <w:rFonts w:cs="Times New Roman"/>
          <w:szCs w:val="24"/>
        </w:rPr>
        <w:t xml:space="preserve"> even though the approved budget in this case was only $38 to $39 million.</w:t>
      </w:r>
      <w:r>
        <w:rPr>
          <w:rStyle w:val="FootnoteReference"/>
          <w:rFonts w:cs="Times New Roman"/>
          <w:szCs w:val="24"/>
        </w:rPr>
        <w:footnoteReference w:id="28"/>
      </w:r>
    </w:p>
    <w:p w:rsidR="004B078A">
      <w:pPr>
        <w:spacing w:after="0" w:line="480" w:lineRule="auto"/>
        <w:ind w:firstLine="720"/>
        <w:rPr>
          <w:rFonts w:cs="Times New Roman"/>
          <w:szCs w:val="24"/>
        </w:rPr>
      </w:pPr>
      <w:r>
        <w:rPr>
          <w:rFonts w:cs="Times New Roman"/>
          <w:szCs w:val="24"/>
        </w:rPr>
        <w:t xml:space="preserve">Duke has not stated any intent to scale back its programs, and on its face, $56 million for 2017 materially exceeds the approved budget. In substance, therefore, Duke is not asking merely for a waiver to exceed the 2017 cost cap—it is seeking to </w:t>
      </w:r>
      <w:r w:rsidR="005016DC">
        <w:rPr>
          <w:rFonts w:cs="Times New Roman"/>
          <w:szCs w:val="24"/>
        </w:rPr>
        <w:t xml:space="preserve">modify the Order to allow </w:t>
      </w:r>
      <w:r>
        <w:rPr>
          <w:rFonts w:cs="Times New Roman"/>
          <w:szCs w:val="24"/>
        </w:rPr>
        <w:t xml:space="preserve">Duke to exceed the 2017 cost cap by any amount that </w:t>
      </w:r>
      <w:r w:rsidR="005016DC">
        <w:rPr>
          <w:rFonts w:cs="Times New Roman"/>
          <w:szCs w:val="24"/>
        </w:rPr>
        <w:t>it</w:t>
      </w:r>
      <w:r>
        <w:rPr>
          <w:rFonts w:cs="Times New Roman"/>
          <w:szCs w:val="24"/>
        </w:rPr>
        <w:t xml:space="preserve"> wants.</w:t>
      </w:r>
    </w:p>
    <w:p w:rsidR="00C22346" w:rsidP="00C22346">
      <w:pPr>
        <w:spacing w:after="0" w:line="480" w:lineRule="auto"/>
        <w:ind w:firstLine="720"/>
        <w:rPr>
          <w:rFonts w:cs="Times New Roman"/>
          <w:szCs w:val="24"/>
        </w:rPr>
      </w:pPr>
      <w:r>
        <w:rPr>
          <w:rFonts w:cs="Times New Roman"/>
          <w:szCs w:val="24"/>
        </w:rPr>
        <w:t>T</w:t>
      </w:r>
      <w:r>
        <w:rPr>
          <w:rFonts w:cs="Times New Roman"/>
          <w:szCs w:val="24"/>
        </w:rPr>
        <w:t xml:space="preserve">he proper place to request such a modification to the Order is in an application for rehearing. </w:t>
      </w:r>
      <w:r>
        <w:rPr>
          <w:rFonts w:cs="Times New Roman"/>
          <w:szCs w:val="24"/>
        </w:rPr>
        <w:t>Under the law, the PUCO may modify an order if, upon rehearing, it determines that any part of the order was unjust or unwarranted.</w:t>
      </w:r>
      <w:r>
        <w:rPr>
          <w:rStyle w:val="FootnoteReference"/>
          <w:rFonts w:cs="Times New Roman"/>
          <w:szCs w:val="24"/>
        </w:rPr>
        <w:footnoteReference w:id="29"/>
      </w:r>
      <w:r>
        <w:rPr>
          <w:rFonts w:cs="Times New Roman"/>
          <w:szCs w:val="24"/>
        </w:rPr>
        <w:t xml:space="preserve"> The PUCO's rules similarly require a party to file an application for rehearing setting forth the specific grounds on which </w:t>
      </w:r>
      <w:r w:rsidR="0013216F">
        <w:rPr>
          <w:rFonts w:cs="Times New Roman"/>
          <w:szCs w:val="24"/>
        </w:rPr>
        <w:t>the party believes the order to be unreasonable or unlawful.</w:t>
      </w:r>
      <w:r>
        <w:rPr>
          <w:rStyle w:val="FootnoteReference"/>
          <w:rFonts w:cs="Times New Roman"/>
          <w:szCs w:val="24"/>
        </w:rPr>
        <w:footnoteReference w:id="30"/>
      </w:r>
      <w:r w:rsidR="0013216F">
        <w:rPr>
          <w:rFonts w:cs="Times New Roman"/>
          <w:szCs w:val="24"/>
        </w:rPr>
        <w:t xml:space="preserve"> </w:t>
      </w:r>
      <w:r w:rsidR="00264DCD">
        <w:rPr>
          <w:rFonts w:cs="Times New Roman"/>
          <w:szCs w:val="24"/>
        </w:rPr>
        <w:t>And the PUCO does not permit parties to collaterally attack its orders outside of the application for rehearing process.</w:t>
      </w:r>
      <w:r>
        <w:rPr>
          <w:rStyle w:val="FootnoteReference"/>
          <w:rFonts w:cs="Times New Roman"/>
          <w:szCs w:val="24"/>
        </w:rPr>
        <w:footnoteReference w:id="31"/>
      </w:r>
    </w:p>
    <w:p w:rsidR="00264DCD" w:rsidP="00C22346">
      <w:pPr>
        <w:spacing w:after="0" w:line="480" w:lineRule="auto"/>
        <w:ind w:firstLine="720"/>
        <w:rPr>
          <w:rFonts w:cs="Times New Roman"/>
          <w:szCs w:val="24"/>
        </w:rPr>
      </w:pPr>
      <w:r>
        <w:rPr>
          <w:rFonts w:cs="Times New Roman"/>
          <w:szCs w:val="24"/>
        </w:rPr>
        <w:t>Duke is not asking for a waiver to exceed the 2017 cost cap by an immaterial amount. Duke is asking the PUCO to effectively modify the Order to allow Duke to substantially exceed the cost cap without Duke scaling back its programs. Thus, Duke</w:t>
      </w:r>
      <w:r w:rsidR="009967E3">
        <w:rPr>
          <w:rFonts w:cs="Times New Roman"/>
          <w:szCs w:val="24"/>
        </w:rPr>
        <w:t xml:space="preserve"> has filed the wrong document to achieve its unjust and unreasonable ends. The PUCO should deny its motion. </w:t>
      </w:r>
    </w:p>
    <w:p w:rsidR="00FE2D22" w:rsidP="00FE2D22">
      <w:pPr>
        <w:spacing w:after="0" w:line="240" w:lineRule="auto"/>
        <w:ind w:firstLine="720"/>
        <w:rPr>
          <w:rFonts w:cs="Times New Roman"/>
          <w:szCs w:val="24"/>
        </w:rPr>
      </w:pPr>
    </w:p>
    <w:p w:rsidR="00C22346" w:rsidRPr="00890275" w:rsidP="00C22346">
      <w:pPr>
        <w:spacing w:after="0" w:line="480" w:lineRule="auto"/>
        <w:rPr>
          <w:rFonts w:cs="Times New Roman"/>
          <w:b/>
          <w:szCs w:val="24"/>
        </w:rPr>
      </w:pPr>
      <w:r>
        <w:rPr>
          <w:rFonts w:cs="Times New Roman"/>
          <w:b/>
          <w:szCs w:val="24"/>
        </w:rPr>
        <w:t>III.</w:t>
      </w:r>
      <w:r>
        <w:rPr>
          <w:rFonts w:cs="Times New Roman"/>
          <w:b/>
          <w:szCs w:val="24"/>
        </w:rPr>
        <w:tab/>
        <w:t>CONCLUSION</w:t>
      </w:r>
    </w:p>
    <w:p w:rsidR="00F0746C" w:rsidP="00C22346">
      <w:pPr>
        <w:spacing w:after="0" w:line="480" w:lineRule="auto"/>
        <w:ind w:firstLine="720"/>
        <w:rPr>
          <w:rFonts w:cs="Times New Roman"/>
          <w:szCs w:val="24"/>
        </w:rPr>
      </w:pPr>
      <w:r>
        <w:rPr>
          <w:rFonts w:cs="Times New Roman"/>
          <w:szCs w:val="24"/>
        </w:rPr>
        <w:t xml:space="preserve">When Duke filed its application in this case, it proposed charging customers around </w:t>
      </w:r>
      <w:r w:rsidRPr="00F0746C">
        <w:rPr>
          <w:rFonts w:cs="Times New Roman"/>
          <w:b/>
          <w:szCs w:val="24"/>
          <w:u w:val="single"/>
        </w:rPr>
        <w:t>$38 million</w:t>
      </w:r>
      <w:r>
        <w:rPr>
          <w:rFonts w:cs="Times New Roman"/>
          <w:szCs w:val="24"/>
        </w:rPr>
        <w:t xml:space="preserve"> on programs in 2017. </w:t>
      </w:r>
    </w:p>
    <w:p w:rsidR="00F0746C" w:rsidP="00C22346">
      <w:pPr>
        <w:spacing w:after="0" w:line="480" w:lineRule="auto"/>
        <w:ind w:firstLine="720"/>
        <w:rPr>
          <w:rFonts w:cs="Times New Roman"/>
          <w:szCs w:val="24"/>
        </w:rPr>
      </w:pPr>
      <w:r>
        <w:rPr>
          <w:rFonts w:cs="Times New Roman"/>
          <w:szCs w:val="24"/>
        </w:rPr>
        <w:t xml:space="preserve">When Duke filed the Settlement in this case, it proposed charging customers around </w:t>
      </w:r>
      <w:r w:rsidRPr="00F0746C">
        <w:rPr>
          <w:rFonts w:cs="Times New Roman"/>
          <w:b/>
          <w:szCs w:val="24"/>
          <w:u w:val="single"/>
        </w:rPr>
        <w:t>$38 million</w:t>
      </w:r>
      <w:r>
        <w:rPr>
          <w:rFonts w:cs="Times New Roman"/>
          <w:szCs w:val="24"/>
        </w:rPr>
        <w:t xml:space="preserve"> on programs in 2017. </w:t>
      </w:r>
    </w:p>
    <w:p w:rsidR="00F0746C" w:rsidP="00C22346">
      <w:pPr>
        <w:spacing w:after="0" w:line="480" w:lineRule="auto"/>
        <w:ind w:firstLine="720"/>
        <w:rPr>
          <w:rFonts w:cs="Times New Roman"/>
          <w:szCs w:val="24"/>
        </w:rPr>
      </w:pPr>
      <w:r>
        <w:rPr>
          <w:rFonts w:cs="Times New Roman"/>
          <w:szCs w:val="24"/>
        </w:rPr>
        <w:t xml:space="preserve">When Duke filed a request to update its 2017 energy efficiency rider, it estimated customer charges of around </w:t>
      </w:r>
      <w:r w:rsidRPr="00F0746C">
        <w:rPr>
          <w:rFonts w:cs="Times New Roman"/>
          <w:b/>
          <w:szCs w:val="24"/>
          <w:u w:val="single"/>
        </w:rPr>
        <w:t>$39 million</w:t>
      </w:r>
      <w:r>
        <w:rPr>
          <w:rFonts w:cs="Times New Roman"/>
          <w:szCs w:val="24"/>
        </w:rPr>
        <w:t xml:space="preserve"> for 2017 programs. </w:t>
      </w:r>
    </w:p>
    <w:p w:rsidR="00F0746C" w:rsidP="00C22346">
      <w:pPr>
        <w:spacing w:after="0" w:line="480" w:lineRule="auto"/>
        <w:ind w:firstLine="720"/>
        <w:rPr>
          <w:rFonts w:cs="Times New Roman"/>
          <w:szCs w:val="24"/>
        </w:rPr>
      </w:pPr>
      <w:r>
        <w:rPr>
          <w:rFonts w:cs="Times New Roman"/>
          <w:szCs w:val="24"/>
        </w:rPr>
        <w:t xml:space="preserve">When the PUCO entered the Order in this case, it capped annual charges to customers at </w:t>
      </w:r>
      <w:r>
        <w:rPr>
          <w:rFonts w:cs="Times New Roman"/>
          <w:b/>
          <w:szCs w:val="24"/>
          <w:u w:val="single"/>
        </w:rPr>
        <w:t>$38.6 million</w:t>
      </w:r>
      <w:r>
        <w:rPr>
          <w:rFonts w:cs="Times New Roman"/>
          <w:szCs w:val="24"/>
        </w:rPr>
        <w:t>.</w:t>
      </w:r>
    </w:p>
    <w:p w:rsidR="00F0746C" w:rsidP="00F0746C">
      <w:pPr>
        <w:spacing w:after="0" w:line="480" w:lineRule="auto"/>
        <w:ind w:firstLine="720"/>
        <w:rPr>
          <w:rFonts w:cs="Times New Roman"/>
          <w:szCs w:val="24"/>
        </w:rPr>
      </w:pPr>
      <w:r>
        <w:rPr>
          <w:rFonts w:cs="Times New Roman"/>
          <w:szCs w:val="24"/>
        </w:rPr>
        <w:t xml:space="preserve">But now, Duke wants to charge customers </w:t>
      </w:r>
      <w:r>
        <w:rPr>
          <w:rFonts w:cs="Times New Roman"/>
          <w:b/>
          <w:szCs w:val="24"/>
          <w:u w:val="single"/>
        </w:rPr>
        <w:t>$56 million</w:t>
      </w:r>
      <w:r>
        <w:rPr>
          <w:rFonts w:cs="Times New Roman"/>
          <w:szCs w:val="24"/>
        </w:rPr>
        <w:t xml:space="preserve"> or more for 2017 programs. </w:t>
      </w:r>
    </w:p>
    <w:p w:rsidR="00D656CD" w:rsidP="00F0746C">
      <w:pPr>
        <w:spacing w:after="0" w:line="480" w:lineRule="auto"/>
        <w:ind w:firstLine="720"/>
        <w:rPr>
          <w:rFonts w:cs="Times New Roman"/>
          <w:szCs w:val="24"/>
        </w:rPr>
      </w:pPr>
      <w:r>
        <w:rPr>
          <w:rFonts w:cs="Times New Roman"/>
          <w:szCs w:val="24"/>
        </w:rPr>
        <w:t xml:space="preserve">This </w:t>
      </w:r>
      <w:r w:rsidR="00164D1F">
        <w:rPr>
          <w:rFonts w:cs="Times New Roman"/>
          <w:szCs w:val="24"/>
        </w:rPr>
        <w:t>is unjust, unreasonable, and violates the PUCO's Order. The PUCO should deny the Motion and order Duke to limit 2017 energy efficiency charges to $38.6 million (4.0% of its 2015 rev</w:t>
      </w:r>
      <w:r w:rsidR="00544061">
        <w:rPr>
          <w:rFonts w:cs="Times New Roman"/>
          <w:szCs w:val="24"/>
        </w:rPr>
        <w:t>enues).</w:t>
      </w:r>
    </w:p>
    <w:p w:rsidR="00C22346" w:rsidRPr="00A4515D" w:rsidP="00C22346">
      <w:pPr>
        <w:ind w:firstLine="4320"/>
        <w:rPr>
          <w:rFonts w:eastAsia="Times New Roman" w:cs="Times New Roman"/>
          <w:szCs w:val="24"/>
        </w:rPr>
      </w:pPr>
      <w:r w:rsidRPr="00A4515D">
        <w:rPr>
          <w:rFonts w:eastAsia="Times New Roman" w:cs="Times New Roman"/>
          <w:szCs w:val="24"/>
        </w:rPr>
        <w:t>Respectfully submitted,</w:t>
      </w:r>
    </w:p>
    <w:p w:rsidR="00C22346" w:rsidRPr="00DD3C2C" w:rsidP="00C22346">
      <w:pPr>
        <w:spacing w:after="0" w:line="240" w:lineRule="auto"/>
        <w:ind w:firstLine="4320"/>
        <w:rPr>
          <w:szCs w:val="24"/>
        </w:rPr>
      </w:pPr>
      <w:r w:rsidRPr="00DD3C2C">
        <w:rPr>
          <w:szCs w:val="24"/>
        </w:rPr>
        <w:t>BRUCE WESTON (0016973)</w:t>
      </w:r>
    </w:p>
    <w:p w:rsidR="00C22346" w:rsidRPr="00DD3C2C" w:rsidP="00C22346">
      <w:pPr>
        <w:tabs>
          <w:tab w:val="left" w:pos="4320"/>
        </w:tabs>
        <w:spacing w:after="0" w:line="240" w:lineRule="auto"/>
        <w:ind w:left="4320"/>
        <w:rPr>
          <w:szCs w:val="24"/>
        </w:rPr>
      </w:pPr>
      <w:r w:rsidRPr="00DD3C2C">
        <w:rPr>
          <w:szCs w:val="24"/>
        </w:rPr>
        <w:t>OHIO CONSUMERS' COUNSEL</w:t>
      </w:r>
    </w:p>
    <w:p w:rsidR="00C22346" w:rsidRPr="00DD3C2C" w:rsidP="00C22346">
      <w:pPr>
        <w:tabs>
          <w:tab w:val="left" w:pos="4320"/>
        </w:tabs>
        <w:spacing w:after="0" w:line="240" w:lineRule="auto"/>
        <w:ind w:left="4320"/>
        <w:rPr>
          <w:szCs w:val="24"/>
        </w:rPr>
      </w:pPr>
    </w:p>
    <w:p w:rsidR="00C22346" w:rsidRPr="00F222B8" w:rsidP="00C22346">
      <w:pPr>
        <w:autoSpaceDE w:val="0"/>
        <w:autoSpaceDN w:val="0"/>
        <w:adjustRightInd w:val="0"/>
        <w:spacing w:after="0" w:line="240" w:lineRule="auto"/>
        <w:ind w:left="4320"/>
        <w:rPr>
          <w:szCs w:val="24"/>
          <w:u w:val="single"/>
        </w:rPr>
      </w:pPr>
      <w:r>
        <w:rPr>
          <w:szCs w:val="24"/>
          <w:u w:val="single"/>
        </w:rPr>
        <w:t xml:space="preserve">/s/ </w:t>
      </w:r>
      <w:r>
        <w:rPr>
          <w:i/>
          <w:szCs w:val="24"/>
          <w:u w:val="single"/>
        </w:rPr>
        <w:t>Christopher Healey</w:t>
      </w:r>
      <w:r>
        <w:rPr>
          <w:szCs w:val="24"/>
          <w:u w:val="single"/>
        </w:rPr>
        <w:tab/>
      </w:r>
      <w:r>
        <w:rPr>
          <w:szCs w:val="24"/>
          <w:u w:val="single"/>
        </w:rPr>
        <w:tab/>
      </w:r>
      <w:r>
        <w:rPr>
          <w:szCs w:val="24"/>
          <w:u w:val="single"/>
        </w:rPr>
        <w:tab/>
      </w:r>
    </w:p>
    <w:p w:rsidR="00C22346" w:rsidRPr="00DD3C2C" w:rsidP="00C22346">
      <w:pPr>
        <w:autoSpaceDE w:val="0"/>
        <w:autoSpaceDN w:val="0"/>
        <w:adjustRightInd w:val="0"/>
        <w:spacing w:after="0" w:line="240" w:lineRule="auto"/>
        <w:ind w:left="4320"/>
        <w:rPr>
          <w:szCs w:val="24"/>
        </w:rPr>
      </w:pPr>
      <w:r>
        <w:rPr>
          <w:szCs w:val="24"/>
        </w:rPr>
        <w:t>Christo</w:t>
      </w:r>
      <w:r w:rsidRPr="00DD3C2C">
        <w:rPr>
          <w:szCs w:val="24"/>
        </w:rPr>
        <w:t>pher Healey (0086027)</w:t>
      </w:r>
      <w:r w:rsidRPr="00DD3C2C">
        <w:rPr>
          <w:szCs w:val="24"/>
        </w:rPr>
        <w:br/>
        <w:t>Counsel of Record</w:t>
      </w:r>
    </w:p>
    <w:p w:rsidR="00C22346" w:rsidRPr="00DD3C2C" w:rsidP="00C22346">
      <w:pPr>
        <w:tabs>
          <w:tab w:val="left" w:pos="4320"/>
        </w:tabs>
        <w:spacing w:after="0" w:line="240" w:lineRule="auto"/>
        <w:ind w:left="4320"/>
        <w:rPr>
          <w:szCs w:val="24"/>
        </w:rPr>
      </w:pPr>
    </w:p>
    <w:p w:rsidR="00C22346" w:rsidRPr="00DD3C2C" w:rsidP="00C22346">
      <w:pPr>
        <w:spacing w:after="0" w:line="240" w:lineRule="auto"/>
        <w:ind w:left="4320"/>
        <w:rPr>
          <w:b/>
          <w:szCs w:val="24"/>
        </w:rPr>
      </w:pPr>
      <w:r w:rsidRPr="00DD3C2C">
        <w:rPr>
          <w:b/>
          <w:szCs w:val="24"/>
        </w:rPr>
        <w:t>Office of the Ohio Consumers' Counsel</w:t>
      </w:r>
    </w:p>
    <w:p w:rsidR="00C22346" w:rsidRPr="00DD3C2C" w:rsidP="00C22346">
      <w:pPr>
        <w:spacing w:after="0" w:line="240" w:lineRule="auto"/>
        <w:ind w:left="4320"/>
        <w:rPr>
          <w:szCs w:val="24"/>
        </w:rPr>
      </w:pPr>
      <w:r w:rsidRPr="00DD3C2C">
        <w:rPr>
          <w:szCs w:val="24"/>
        </w:rPr>
        <w:t>10 West Broad Street, Suite 1800</w:t>
      </w:r>
    </w:p>
    <w:p w:rsidR="00C22346" w:rsidRPr="00DD3C2C" w:rsidP="00C22346">
      <w:pPr>
        <w:spacing w:after="0" w:line="240" w:lineRule="auto"/>
        <w:ind w:left="4320"/>
        <w:rPr>
          <w:szCs w:val="24"/>
        </w:rPr>
      </w:pPr>
      <w:r w:rsidRPr="00DD3C2C">
        <w:rPr>
          <w:szCs w:val="24"/>
        </w:rPr>
        <w:t>Columbus, Ohio 43215-3485</w:t>
      </w:r>
    </w:p>
    <w:p w:rsidR="00C22346" w:rsidRPr="00DD3C2C" w:rsidP="00C22346">
      <w:pPr>
        <w:autoSpaceDE w:val="0"/>
        <w:autoSpaceDN w:val="0"/>
        <w:adjustRightInd w:val="0"/>
        <w:spacing w:after="0" w:line="240" w:lineRule="auto"/>
        <w:ind w:left="3600" w:firstLine="720"/>
        <w:rPr>
          <w:szCs w:val="24"/>
        </w:rPr>
      </w:pPr>
      <w:r>
        <w:rPr>
          <w:szCs w:val="24"/>
        </w:rPr>
        <w:t>Telephone: (614) 466-9571</w:t>
      </w:r>
    </w:p>
    <w:p w:rsidR="00C22346" w:rsidRPr="00DD3C2C" w:rsidP="00C22346">
      <w:pPr>
        <w:spacing w:after="0" w:line="240" w:lineRule="auto"/>
        <w:ind w:left="4320"/>
        <w:rPr>
          <w:szCs w:val="24"/>
        </w:rPr>
      </w:pPr>
      <w:r>
        <w:fldChar w:fldCharType="begin"/>
      </w:r>
      <w:r>
        <w:instrText xml:space="preserve"> HYPERLINK "mailto:christopher.healey@occ.ohio.gov" </w:instrText>
      </w:r>
      <w:r>
        <w:fldChar w:fldCharType="separate"/>
      </w:r>
      <w:r w:rsidRPr="00DD3C2C" w:rsidR="00164D1F">
        <w:rPr>
          <w:rStyle w:val="Hyperlink"/>
          <w:szCs w:val="24"/>
        </w:rPr>
        <w:t>christopher.healey@occ.ohio.gov</w:t>
      </w:r>
      <w:r>
        <w:fldChar w:fldCharType="end"/>
      </w:r>
    </w:p>
    <w:p w:rsidR="00C22346" w:rsidRPr="00DD3C2C" w:rsidP="00C22346">
      <w:pPr>
        <w:spacing w:after="0" w:line="240" w:lineRule="auto"/>
        <w:ind w:left="4320"/>
        <w:rPr>
          <w:szCs w:val="24"/>
        </w:rPr>
      </w:pPr>
      <w:r>
        <w:rPr>
          <w:szCs w:val="24"/>
        </w:rPr>
        <w:t>(willing to accept service by e-mail)</w:t>
      </w:r>
    </w:p>
    <w:p w:rsidR="00C22346" w:rsidRPr="00DD3C2C" w:rsidP="00C22346">
      <w:pPr>
        <w:spacing w:after="0" w:line="240" w:lineRule="auto"/>
        <w:ind w:left="4320"/>
        <w:rPr>
          <w:szCs w:val="24"/>
        </w:rPr>
      </w:pPr>
    </w:p>
    <w:p w:rsidR="00C22346" w:rsidRPr="00DD3C2C" w:rsidP="00C22346">
      <w:pPr>
        <w:spacing w:after="0" w:line="240" w:lineRule="auto"/>
        <w:ind w:left="4320"/>
        <w:rPr>
          <w:szCs w:val="24"/>
        </w:rPr>
      </w:pPr>
      <w:r w:rsidRPr="00DD3C2C">
        <w:rPr>
          <w:szCs w:val="24"/>
        </w:rPr>
        <w:t>Dane Stinson (0019101)</w:t>
      </w:r>
    </w:p>
    <w:p w:rsidR="00C22346" w:rsidRPr="00DD3C2C" w:rsidP="00C22346">
      <w:pPr>
        <w:spacing w:after="0" w:line="240" w:lineRule="auto"/>
        <w:ind w:left="4320"/>
        <w:rPr>
          <w:szCs w:val="24"/>
        </w:rPr>
      </w:pPr>
      <w:r w:rsidRPr="00DD3C2C">
        <w:rPr>
          <w:szCs w:val="24"/>
        </w:rPr>
        <w:t>Bricker &amp; Eckler LLP</w:t>
      </w:r>
    </w:p>
    <w:p w:rsidR="00C22346" w:rsidRPr="00DD3C2C" w:rsidP="00C22346">
      <w:pPr>
        <w:spacing w:after="0" w:line="240" w:lineRule="auto"/>
        <w:ind w:left="4320"/>
        <w:rPr>
          <w:szCs w:val="24"/>
        </w:rPr>
      </w:pPr>
      <w:r w:rsidRPr="00DD3C2C">
        <w:rPr>
          <w:szCs w:val="24"/>
        </w:rPr>
        <w:t>100 South Third Street</w:t>
      </w:r>
    </w:p>
    <w:p w:rsidR="00C22346" w:rsidRPr="00DD3C2C" w:rsidP="00C22346">
      <w:pPr>
        <w:spacing w:after="0" w:line="240" w:lineRule="auto"/>
        <w:ind w:left="4320"/>
        <w:rPr>
          <w:szCs w:val="24"/>
        </w:rPr>
      </w:pPr>
      <w:r w:rsidRPr="00DD3C2C">
        <w:rPr>
          <w:szCs w:val="24"/>
        </w:rPr>
        <w:t>Columbus, Ohio 43215</w:t>
      </w:r>
    </w:p>
    <w:p w:rsidR="00C22346" w:rsidP="00C22346">
      <w:pPr>
        <w:spacing w:after="0" w:line="240" w:lineRule="auto"/>
        <w:ind w:left="4320"/>
        <w:rPr>
          <w:szCs w:val="24"/>
        </w:rPr>
      </w:pPr>
      <w:r w:rsidRPr="00DD3C2C">
        <w:rPr>
          <w:szCs w:val="24"/>
        </w:rPr>
        <w:t>Telephone: (614) 227-4854</w:t>
      </w:r>
    </w:p>
    <w:p w:rsidR="00C22346" w:rsidP="00C22346">
      <w:pPr>
        <w:spacing w:after="0" w:line="240" w:lineRule="auto"/>
        <w:ind w:left="4320"/>
        <w:rPr>
          <w:szCs w:val="24"/>
        </w:rPr>
      </w:pPr>
      <w:r>
        <w:fldChar w:fldCharType="begin"/>
      </w:r>
      <w:r>
        <w:instrText xml:space="preserve"> HYPERLINK "mailto:dstinson@bricker.com" </w:instrText>
      </w:r>
      <w:r>
        <w:fldChar w:fldCharType="separate"/>
      </w:r>
      <w:r w:rsidRPr="00DD3C2C" w:rsidR="00164D1F">
        <w:rPr>
          <w:rStyle w:val="Hyperlink"/>
          <w:szCs w:val="24"/>
        </w:rPr>
        <w:t>dstinson@bricker.com</w:t>
      </w:r>
      <w:r>
        <w:fldChar w:fldCharType="end"/>
      </w:r>
      <w:r w:rsidRPr="00DD3C2C" w:rsidR="00164D1F">
        <w:rPr>
          <w:szCs w:val="24"/>
        </w:rPr>
        <w:t xml:space="preserve"> </w:t>
      </w:r>
    </w:p>
    <w:p w:rsidR="00C22346" w:rsidP="00C22346">
      <w:pPr>
        <w:spacing w:after="0" w:line="240" w:lineRule="auto"/>
        <w:ind w:left="4320"/>
        <w:rPr>
          <w:szCs w:val="24"/>
        </w:rPr>
      </w:pPr>
      <w:r>
        <w:rPr>
          <w:szCs w:val="24"/>
        </w:rPr>
        <w:t>(willing to accept service by e-mail)</w:t>
      </w:r>
    </w:p>
    <w:p w:rsidR="00C22346" w:rsidP="00C22346">
      <w:pPr>
        <w:spacing w:after="0" w:line="240" w:lineRule="auto"/>
        <w:ind w:left="4320"/>
        <w:rPr>
          <w:szCs w:val="24"/>
        </w:rPr>
      </w:pPr>
    </w:p>
    <w:p w:rsidR="00C22346" w:rsidP="00C22346">
      <w:pPr>
        <w:spacing w:after="0" w:line="240" w:lineRule="auto"/>
        <w:ind w:left="4320"/>
        <w:rPr>
          <w:szCs w:val="24"/>
        </w:rPr>
      </w:pPr>
      <w:r>
        <w:rPr>
          <w:szCs w:val="24"/>
        </w:rPr>
        <w:t>Outside Counsel for the Office of the Ohio Consumers’ Counsel</w:t>
      </w:r>
    </w:p>
    <w:p w:rsidR="00C22346" w:rsidP="00C22346">
      <w:pPr>
        <w:spacing w:after="0" w:line="240" w:lineRule="auto"/>
        <w:ind w:left="4320"/>
        <w:rPr>
          <w:szCs w:val="24"/>
        </w:rPr>
      </w:pPr>
    </w:p>
    <w:p w:rsidR="00C22346" w:rsidP="00C22346">
      <w:pPr>
        <w:spacing w:after="0" w:line="240" w:lineRule="auto"/>
        <w:ind w:left="4320"/>
        <w:rPr>
          <w:szCs w:val="24"/>
        </w:rPr>
      </w:pPr>
    </w:p>
    <w:p w:rsidR="00C22346" w:rsidRPr="0069751B" w:rsidP="00C22346">
      <w:pPr>
        <w:spacing w:after="0" w:line="240" w:lineRule="auto"/>
        <w:ind w:left="4320"/>
        <w:sectPr w:rsidSect="00D656CD">
          <w:headerReference w:type="default" r:id="rId11"/>
          <w:footerReference w:type="default" r:id="rId12"/>
          <w:pgSz w:w="12240" w:h="15840"/>
          <w:pgMar w:top="1440" w:right="1800" w:bottom="1440" w:left="1800" w:header="720" w:footer="720" w:gutter="0"/>
          <w:pgNumType w:start="2"/>
          <w:cols w:space="720"/>
          <w:docGrid w:linePitch="360"/>
        </w:sectPr>
      </w:pPr>
    </w:p>
    <w:p w:rsidR="00C22346" w:rsidP="00C22346">
      <w:pPr>
        <w:spacing w:after="0" w:line="240" w:lineRule="auto"/>
        <w:jc w:val="center"/>
        <w:rPr>
          <w:rFonts w:eastAsiaTheme="minorEastAsia" w:cs="Times New Roman"/>
          <w:b/>
          <w:szCs w:val="24"/>
          <w:u w:val="single"/>
        </w:rPr>
      </w:pPr>
      <w:r w:rsidRPr="006849DE">
        <w:rPr>
          <w:rFonts w:eastAsiaTheme="minorEastAsia" w:cs="Times New Roman"/>
          <w:b/>
          <w:szCs w:val="24"/>
          <w:u w:val="single"/>
        </w:rPr>
        <w:t>CERTIFICATE OF SERVICE</w:t>
      </w:r>
    </w:p>
    <w:p w:rsidR="00C22346" w:rsidRPr="006849DE" w:rsidP="00C22346">
      <w:pPr>
        <w:spacing w:after="0" w:line="240" w:lineRule="auto"/>
        <w:jc w:val="center"/>
        <w:rPr>
          <w:rFonts w:eastAsiaTheme="minorEastAsia" w:cs="Times New Roman"/>
          <w:b/>
          <w:szCs w:val="24"/>
          <w:u w:val="single"/>
        </w:rPr>
      </w:pPr>
    </w:p>
    <w:p w:rsidR="00C22346" w:rsidP="00C22346">
      <w:pPr>
        <w:spacing w:after="0" w:line="360" w:lineRule="auto"/>
        <w:ind w:firstLine="720"/>
        <w:rPr>
          <w:rFonts w:eastAsiaTheme="minorEastAsia" w:cs="Times New Roman"/>
          <w:szCs w:val="24"/>
        </w:rPr>
      </w:pPr>
      <w:r w:rsidRPr="006849DE">
        <w:rPr>
          <w:rFonts w:eastAsiaTheme="minorEastAsia" w:cs="Times New Roman"/>
          <w:szCs w:val="24"/>
        </w:rPr>
        <w:t xml:space="preserve">I hereby certify that a copy of the foregoing </w:t>
      </w:r>
      <w:r>
        <w:rPr>
          <w:rFonts w:eastAsiaTheme="minorEastAsia" w:cs="Times New Roman"/>
          <w:szCs w:val="24"/>
        </w:rPr>
        <w:t>Memorandum Contra</w:t>
      </w:r>
      <w:r w:rsidRPr="006849DE">
        <w:rPr>
          <w:rFonts w:eastAsiaTheme="minorEastAsia" w:cs="Times New Roman"/>
          <w:szCs w:val="24"/>
        </w:rPr>
        <w:t xml:space="preserve"> was served on the persons stated below via electronic transmission, this </w:t>
      </w:r>
      <w:r w:rsidR="00D656CD">
        <w:rPr>
          <w:rFonts w:eastAsiaTheme="minorEastAsia" w:cs="Times New Roman"/>
          <w:szCs w:val="24"/>
        </w:rPr>
        <w:t>27th</w:t>
      </w:r>
      <w:r w:rsidRPr="006849DE">
        <w:rPr>
          <w:rFonts w:eastAsiaTheme="minorEastAsia" w:cs="Times New Roman"/>
          <w:szCs w:val="24"/>
        </w:rPr>
        <w:t xml:space="preserve"> day of</w:t>
      </w:r>
      <w:r>
        <w:rPr>
          <w:rFonts w:eastAsiaTheme="minorEastAsia" w:cs="Times New Roman"/>
          <w:szCs w:val="24"/>
        </w:rPr>
        <w:t xml:space="preserve"> October 2017</w:t>
      </w:r>
      <w:r w:rsidRPr="006849DE">
        <w:rPr>
          <w:rFonts w:eastAsiaTheme="minorEastAsia" w:cs="Times New Roman"/>
          <w:szCs w:val="24"/>
        </w:rPr>
        <w:t>.</w:t>
      </w:r>
    </w:p>
    <w:p w:rsidR="00C22346" w:rsidRPr="006849DE" w:rsidP="00C22346">
      <w:pPr>
        <w:spacing w:after="0" w:line="360" w:lineRule="auto"/>
        <w:ind w:firstLine="720"/>
        <w:rPr>
          <w:rFonts w:eastAsiaTheme="minorEastAsia" w:cs="Times New Roman"/>
          <w:szCs w:val="24"/>
        </w:rPr>
      </w:pPr>
    </w:p>
    <w:p w:rsidR="00C22346" w:rsidRPr="006849DE" w:rsidP="00C22346">
      <w:pPr>
        <w:spacing w:after="0" w:line="240" w:lineRule="auto"/>
        <w:ind w:firstLine="720"/>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u w:val="single"/>
        </w:rPr>
        <w:t xml:space="preserve">/s/ </w:t>
      </w:r>
      <w:r>
        <w:rPr>
          <w:rFonts w:eastAsiaTheme="minorEastAsia" w:cs="Times New Roman"/>
          <w:i/>
          <w:szCs w:val="24"/>
          <w:u w:val="single"/>
        </w:rPr>
        <w:t>Christopher Healey</w:t>
      </w:r>
      <w:r w:rsidRPr="006849DE">
        <w:rPr>
          <w:rFonts w:eastAsiaTheme="minorEastAsia" w:cs="Times New Roman"/>
          <w:szCs w:val="24"/>
        </w:rPr>
        <w:t>_______</w:t>
      </w:r>
    </w:p>
    <w:p w:rsidR="00C22346" w:rsidRPr="006849DE" w:rsidP="00C22346">
      <w:pPr>
        <w:spacing w:after="0" w:line="240" w:lineRule="auto"/>
        <w:ind w:firstLine="720"/>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Pr>
          <w:rFonts w:eastAsiaTheme="minorEastAsia" w:cs="Times New Roman"/>
          <w:szCs w:val="24"/>
        </w:rPr>
        <w:t>Christopher Healey</w:t>
      </w:r>
    </w:p>
    <w:p w:rsidR="00C22346" w:rsidP="00C22346">
      <w:pPr>
        <w:spacing w:after="0" w:line="240" w:lineRule="auto"/>
        <w:ind w:firstLine="720"/>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Assistant Consumers</w:t>
      </w:r>
      <w:r>
        <w:rPr>
          <w:rFonts w:eastAsiaTheme="minorEastAsia" w:cs="Times New Roman"/>
          <w:szCs w:val="24"/>
        </w:rPr>
        <w:t>'</w:t>
      </w:r>
      <w:r w:rsidRPr="006849DE">
        <w:rPr>
          <w:rFonts w:eastAsiaTheme="minorEastAsia" w:cs="Times New Roman"/>
          <w:szCs w:val="24"/>
        </w:rPr>
        <w:t xml:space="preserve"> Counsel</w:t>
      </w:r>
    </w:p>
    <w:p w:rsidR="00C22346" w:rsidP="00C22346">
      <w:pPr>
        <w:jc w:val="center"/>
        <w:rPr>
          <w:b/>
          <w:u w:val="single"/>
        </w:rPr>
      </w:pPr>
    </w:p>
    <w:p w:rsidR="00D656CD" w:rsidRPr="002F09B1" w:rsidP="00D656CD">
      <w:pPr>
        <w:tabs>
          <w:tab w:val="left" w:pos="4320"/>
        </w:tabs>
        <w:jc w:val="center"/>
      </w:pPr>
      <w:r w:rsidRPr="002F09B1">
        <w:rPr>
          <w:b/>
        </w:rPr>
        <w:t>SERVICE LIST</w:t>
      </w:r>
    </w:p>
    <w:tbl>
      <w:tblPr>
        <w:tblStyle w:val="TableGrid2"/>
        <w:tblW w:w="0" w:type="auto"/>
        <w:tblInd w:w="0" w:type="dxa"/>
        <w:tblBorders>
          <w:top w:val="nil"/>
          <w:left w:val="nil"/>
          <w:bottom w:val="nil"/>
          <w:right w:val="nil"/>
          <w:insideH w:val="nil"/>
          <w:insideV w:val="nil"/>
        </w:tblBorders>
        <w:tblCellMar>
          <w:top w:w="0" w:type="dxa"/>
          <w:left w:w="108" w:type="dxa"/>
          <w:bottom w:w="0" w:type="dxa"/>
          <w:right w:w="108" w:type="dxa"/>
        </w:tblCellMar>
        <w:tblLook w:val="04A0"/>
      </w:tblPr>
      <w:tblGrid>
        <w:gridCol w:w="4428"/>
        <w:gridCol w:w="247"/>
        <w:gridCol w:w="4181"/>
      </w:tblGrid>
      <w:tr w:rsidTr="00C22346">
        <w:tblPrEx>
          <w:tblW w:w="0" w:type="auto"/>
          <w:tblInd w:w="0" w:type="dxa"/>
          <w:tblBorders>
            <w:top w:val="nil"/>
            <w:left w:val="nil"/>
            <w:bottom w:val="nil"/>
            <w:right w:val="nil"/>
            <w:insideH w:val="nil"/>
            <w:insideV w:val="nil"/>
          </w:tblBorders>
          <w:tblCellMar>
            <w:top w:w="0" w:type="dxa"/>
            <w:left w:w="108" w:type="dxa"/>
            <w:bottom w:w="0" w:type="dxa"/>
            <w:right w:w="108" w:type="dxa"/>
          </w:tblCellMar>
          <w:tblLook w:val="04A0"/>
        </w:tblPrEx>
        <w:trPr>
          <w:trHeight w:val="73"/>
        </w:trPr>
        <w:tc>
          <w:tcPr>
            <w:tcW w:w="4675" w:type="dxa"/>
            <w:gridSpan w:val="2"/>
          </w:tcPr>
          <w:p w:rsidR="00D656CD" w:rsidRPr="002F09B1" w:rsidP="00C22346">
            <w:pPr>
              <w:autoSpaceDE w:val="0"/>
              <w:autoSpaceDN w:val="0"/>
              <w:adjustRightInd w:val="0"/>
              <w:spacing w:after="0" w:line="240" w:lineRule="auto"/>
              <w:ind w:left="3410" w:right="-18"/>
              <w:jc w:val="both"/>
              <w:rPr>
                <w:rStyle w:val="DefaultParagraphFont"/>
                <w:rFonts w:ascii="Times New Roman" w:hAnsi="Times New Roman" w:eastAsiaTheme="minorHAnsi" w:cstheme="minorBidi"/>
                <w:bCs/>
                <w:sz w:val="22"/>
                <w:szCs w:val="22"/>
                <w:lang w:val="en-US" w:eastAsia="en-US" w:bidi="ar-SA"/>
              </w:rPr>
            </w:pPr>
          </w:p>
        </w:tc>
        <w:tc>
          <w:tcPr>
            <w:tcW w:w="4181" w:type="dxa"/>
          </w:tcPr>
          <w:p w:rsidR="00D656CD" w:rsidRPr="002F09B1" w:rsidP="00C22346">
            <w:pPr>
              <w:tabs>
                <w:tab w:val="left" w:pos="-720"/>
              </w:tabs>
              <w:suppressAutoHyphens/>
              <w:spacing w:after="0" w:line="240" w:lineRule="auto"/>
              <w:jc w:val="both"/>
              <w:rPr>
                <w:rStyle w:val="DefaultParagraphFont"/>
                <w:rFonts w:ascii="Times New Roman" w:hAnsi="Times New Roman" w:eastAsiaTheme="minorHAnsi" w:cstheme="minorBidi"/>
                <w:sz w:val="22"/>
                <w:szCs w:val="22"/>
                <w:lang w:val="en-US" w:eastAsia="en-US" w:bidi="ar-SA"/>
              </w:rPr>
            </w:pPr>
          </w:p>
        </w:tc>
      </w:tr>
      <w:tr w:rsidTr="00C22346">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4428" w:type="dxa"/>
            <w:tcBorders>
              <w:top w:val="nil"/>
              <w:left w:val="nil"/>
              <w:bottom w:val="nil"/>
              <w:right w:val="nil"/>
            </w:tcBorders>
          </w:tcPr>
          <w:p w:rsidR="00D656CD" w:rsidRPr="002F09B1" w:rsidP="00C22346">
            <w:pPr>
              <w:autoSpaceDE w:val="0"/>
              <w:autoSpaceDN w:val="0"/>
              <w:adjustRightInd w:val="0"/>
              <w:spacing w:after="0" w:line="240" w:lineRule="auto"/>
              <w:rPr>
                <w:rStyle w:val="DefaultParagraphFont"/>
                <w:rFonts w:ascii="Times New Roman" w:hAnsi="Times New Roman" w:eastAsiaTheme="minorHAnsi" w:cstheme="minorBidi"/>
                <w:sz w:val="22"/>
                <w:szCs w:val="22"/>
                <w:lang w:val="en-US" w:eastAsia="en-US" w:bidi="ar-SA"/>
              </w:rPr>
            </w:pPr>
            <w:r>
              <w:fldChar w:fldCharType="begin"/>
            </w:r>
            <w:r>
              <w:rPr>
                <w:rFonts w:ascii="Times New Roman" w:hAnsi="Times New Roman" w:eastAsiaTheme="minorHAnsi" w:cstheme="minorBidi"/>
                <w:sz w:val="22"/>
                <w:szCs w:val="22"/>
                <w:lang w:val="en-US" w:eastAsia="en-US" w:bidi="ar-SA"/>
              </w:rPr>
              <w:instrText xml:space="preserve"> HYPERLINK "mailto:Bojko@carpenterlipps.com" </w:instrText>
            </w:r>
            <w:r>
              <w:fldChar w:fldCharType="separate"/>
            </w:r>
            <w:r w:rsidRPr="002F09B1">
              <w:rPr>
                <w:rFonts w:ascii="Times New Roman" w:hAnsi="Times New Roman" w:eastAsiaTheme="minorHAnsi" w:cstheme="minorBidi"/>
                <w:color w:val="0000FF"/>
                <w:sz w:val="22"/>
                <w:szCs w:val="22"/>
                <w:u w:val="single"/>
                <w:lang w:val="en-US" w:eastAsia="en-US" w:bidi="ar-SA"/>
              </w:rPr>
              <w:t>Bojko@carpenterlipps.com</w:t>
            </w:r>
            <w:r>
              <w:fldChar w:fldCharType="end"/>
            </w:r>
          </w:p>
          <w:p w:rsidR="00D656CD" w:rsidP="00C22346">
            <w:pPr>
              <w:autoSpaceDE w:val="0"/>
              <w:autoSpaceDN w:val="0"/>
              <w:adjustRightInd w:val="0"/>
              <w:spacing w:after="0" w:line="240" w:lineRule="auto"/>
              <w:rPr>
                <w:rStyle w:val="DefaultParagraphFont"/>
                <w:rFonts w:ascii="Times New Roman" w:hAnsi="Times New Roman" w:eastAsiaTheme="minorHAnsi" w:cstheme="minorBidi"/>
                <w:color w:val="0000FF"/>
                <w:sz w:val="22"/>
                <w:szCs w:val="22"/>
                <w:u w:val="single"/>
                <w:lang w:val="en-US" w:eastAsia="en-US" w:bidi="ar-SA"/>
              </w:rPr>
            </w:pPr>
            <w:r>
              <w:fldChar w:fldCharType="begin"/>
            </w:r>
            <w:r>
              <w:rPr>
                <w:rFonts w:ascii="Times New Roman" w:hAnsi="Times New Roman" w:eastAsiaTheme="minorHAnsi" w:cstheme="minorBidi"/>
                <w:sz w:val="22"/>
                <w:szCs w:val="22"/>
                <w:lang w:val="en-US" w:eastAsia="en-US" w:bidi="ar-SA"/>
              </w:rPr>
              <w:instrText xml:space="preserve"> HYPERLINK "mailto:Ghiloni@carpenterlipps.com" </w:instrText>
            </w:r>
            <w:r>
              <w:fldChar w:fldCharType="separate"/>
            </w:r>
            <w:r w:rsidRPr="002F09B1">
              <w:rPr>
                <w:rFonts w:ascii="Times New Roman" w:hAnsi="Times New Roman" w:eastAsiaTheme="minorHAnsi" w:cstheme="minorBidi"/>
                <w:color w:val="0000FF"/>
                <w:sz w:val="22"/>
                <w:szCs w:val="22"/>
                <w:u w:val="single"/>
                <w:lang w:val="en-US" w:eastAsia="en-US" w:bidi="ar-SA"/>
              </w:rPr>
              <w:t>Ghiloni@carpenterlipps.com</w:t>
            </w:r>
            <w:r>
              <w:fldChar w:fldCharType="end"/>
            </w:r>
          </w:p>
          <w:p w:rsidR="00D656CD" w:rsidRPr="002F09B1" w:rsidP="00C22346">
            <w:pPr>
              <w:autoSpaceDE w:val="0"/>
              <w:autoSpaceDN w:val="0"/>
              <w:adjustRightInd w:val="0"/>
              <w:spacing w:after="0" w:line="240" w:lineRule="auto"/>
              <w:rPr>
                <w:rStyle w:val="DefaultParagraphFont"/>
                <w:rFonts w:ascii="Times New Roman" w:hAnsi="Times New Roman" w:eastAsiaTheme="minorHAnsi" w:cstheme="minorBidi"/>
                <w:color w:val="0000FF"/>
                <w:sz w:val="22"/>
                <w:szCs w:val="22"/>
                <w:u w:val="single"/>
                <w:lang w:val="en-US" w:eastAsia="en-US" w:bidi="ar-SA"/>
              </w:rPr>
            </w:pPr>
            <w:r>
              <w:rPr>
                <w:rFonts w:ascii="Times New Roman" w:hAnsi="Times New Roman" w:eastAsiaTheme="minorHAnsi" w:cstheme="minorBidi"/>
                <w:color w:val="0000FF"/>
                <w:sz w:val="22"/>
                <w:szCs w:val="22"/>
                <w:u w:val="single"/>
                <w:lang w:val="en-US" w:eastAsia="en-US" w:bidi="ar-SA"/>
              </w:rPr>
              <w:t>perko@carpenterlipps.com</w:t>
            </w:r>
          </w:p>
          <w:p w:rsidR="00D656CD" w:rsidRPr="002F09B1" w:rsidP="00C22346">
            <w:pPr>
              <w:autoSpaceDE w:val="0"/>
              <w:autoSpaceDN w:val="0"/>
              <w:adjustRightInd w:val="0"/>
              <w:spacing w:after="0" w:line="240" w:lineRule="auto"/>
              <w:rPr>
                <w:rStyle w:val="DefaultParagraphFont"/>
                <w:rFonts w:ascii="Times New Roman" w:hAnsi="Times New Roman" w:eastAsiaTheme="minorHAnsi" w:cstheme="minorBidi"/>
                <w:color w:val="0000FF"/>
                <w:sz w:val="22"/>
                <w:szCs w:val="22"/>
                <w:u w:val="single"/>
                <w:lang w:val="en-US" w:eastAsia="en-US" w:bidi="ar-SA"/>
              </w:rPr>
            </w:pPr>
            <w:r>
              <w:fldChar w:fldCharType="begin"/>
            </w:r>
            <w:r>
              <w:rPr>
                <w:rFonts w:ascii="Times New Roman" w:hAnsi="Times New Roman" w:eastAsiaTheme="minorHAnsi" w:cstheme="minorBidi"/>
                <w:sz w:val="22"/>
                <w:szCs w:val="22"/>
                <w:lang w:val="en-US" w:eastAsia="en-US" w:bidi="ar-SA"/>
              </w:rPr>
              <w:instrText xml:space="preserve"> HYPERLINK "mailto:paul@carpenterlipps.com" </w:instrText>
            </w:r>
            <w:r>
              <w:fldChar w:fldCharType="separate"/>
            </w:r>
            <w:r w:rsidRPr="002F09B1">
              <w:rPr>
                <w:rFonts w:ascii="Times New Roman" w:hAnsi="Times New Roman" w:eastAsiaTheme="minorHAnsi" w:cstheme="minorBidi"/>
                <w:color w:val="0000FF"/>
                <w:sz w:val="22"/>
                <w:szCs w:val="22"/>
                <w:u w:val="single"/>
                <w:lang w:val="en-US" w:eastAsia="en-US" w:bidi="ar-SA"/>
              </w:rPr>
              <w:t>paul@carpenterlipps.com</w:t>
            </w:r>
            <w:r>
              <w:fldChar w:fldCharType="end"/>
            </w:r>
          </w:p>
          <w:p w:rsidR="00D656CD" w:rsidRPr="002F09B1" w:rsidP="00C22346">
            <w:pPr>
              <w:autoSpaceDE w:val="0"/>
              <w:autoSpaceDN w:val="0"/>
              <w:adjustRightInd w:val="0"/>
              <w:spacing w:after="0" w:line="240" w:lineRule="auto"/>
              <w:rPr>
                <w:rStyle w:val="DefaultParagraphFont"/>
                <w:rFonts w:ascii="Times New Roman" w:hAnsi="Times New Roman" w:eastAsiaTheme="minorHAnsi" w:cstheme="minorBidi"/>
                <w:color w:val="0000FF"/>
                <w:sz w:val="22"/>
                <w:szCs w:val="22"/>
                <w:lang w:val="en-US" w:eastAsia="en-US" w:bidi="ar-SA"/>
              </w:rPr>
            </w:pPr>
            <w:r>
              <w:fldChar w:fldCharType="begin"/>
            </w:r>
            <w:r>
              <w:rPr>
                <w:rFonts w:ascii="Times New Roman" w:hAnsi="Times New Roman" w:eastAsiaTheme="minorHAnsi" w:cstheme="minorBidi"/>
                <w:sz w:val="22"/>
                <w:szCs w:val="22"/>
                <w:lang w:val="en-US" w:eastAsia="en-US" w:bidi="ar-SA"/>
              </w:rPr>
              <w:instrText xml:space="preserve"> HYPERLINK "mailto:mfleisher@elpc.org" </w:instrText>
            </w:r>
            <w:r>
              <w:fldChar w:fldCharType="separate"/>
            </w:r>
            <w:r w:rsidRPr="002F09B1">
              <w:rPr>
                <w:rFonts w:ascii="Times New Roman" w:hAnsi="Times New Roman" w:eastAsiaTheme="minorHAnsi" w:cstheme="minorBidi"/>
                <w:color w:val="0000FF"/>
                <w:sz w:val="22"/>
                <w:szCs w:val="22"/>
                <w:u w:val="single"/>
                <w:lang w:val="en-US" w:eastAsia="en-US" w:bidi="ar-SA"/>
              </w:rPr>
              <w:t>mfleisher@elpc.org</w:t>
            </w:r>
            <w:r>
              <w:fldChar w:fldCharType="end"/>
            </w:r>
          </w:p>
          <w:p w:rsidR="00D656CD" w:rsidRPr="002F09B1" w:rsidP="00C22346">
            <w:pPr>
              <w:autoSpaceDE w:val="0"/>
              <w:autoSpaceDN w:val="0"/>
              <w:adjustRightInd w:val="0"/>
              <w:spacing w:after="0" w:line="240" w:lineRule="auto"/>
              <w:rPr>
                <w:rStyle w:val="DefaultParagraphFont"/>
                <w:rFonts w:ascii="Times New Roman" w:hAnsi="Times New Roman" w:eastAsiaTheme="minorHAnsi" w:cstheme="minorBidi"/>
                <w:sz w:val="22"/>
                <w:szCs w:val="22"/>
                <w:lang w:val="en-US" w:eastAsia="en-US" w:bidi="ar-SA"/>
              </w:rPr>
            </w:pPr>
            <w:r>
              <w:fldChar w:fldCharType="begin"/>
            </w:r>
            <w:r>
              <w:rPr>
                <w:rFonts w:ascii="Times New Roman" w:hAnsi="Times New Roman" w:eastAsiaTheme="minorHAnsi" w:cstheme="minorBidi"/>
                <w:sz w:val="22"/>
                <w:szCs w:val="22"/>
                <w:lang w:val="en-US" w:eastAsia="en-US" w:bidi="ar-SA"/>
              </w:rPr>
              <w:instrText xml:space="preserve"> HYPERLINK "mailto:fdarr@mwncmh.com" </w:instrText>
            </w:r>
            <w:r>
              <w:fldChar w:fldCharType="separate"/>
            </w:r>
            <w:r w:rsidRPr="002F09B1">
              <w:rPr>
                <w:rFonts w:ascii="Times New Roman" w:hAnsi="Times New Roman" w:eastAsiaTheme="minorHAnsi" w:cstheme="minorBidi"/>
                <w:color w:val="0000FF"/>
                <w:sz w:val="22"/>
                <w:szCs w:val="22"/>
                <w:u w:val="single"/>
                <w:lang w:val="en-US" w:eastAsia="en-US" w:bidi="ar-SA"/>
              </w:rPr>
              <w:t>fdarr@mwncmh.com</w:t>
            </w:r>
            <w:r>
              <w:fldChar w:fldCharType="end"/>
            </w:r>
          </w:p>
          <w:p w:rsidR="00D656CD" w:rsidRPr="002F09B1" w:rsidP="00C22346">
            <w:pPr>
              <w:autoSpaceDE w:val="0"/>
              <w:autoSpaceDN w:val="0"/>
              <w:adjustRightInd w:val="0"/>
              <w:spacing w:after="0" w:line="240" w:lineRule="auto"/>
              <w:rPr>
                <w:rStyle w:val="DefaultParagraphFont"/>
                <w:rFonts w:ascii="Times New Roman" w:hAnsi="Times New Roman" w:eastAsiaTheme="minorHAnsi" w:cstheme="minorBidi"/>
                <w:color w:val="0000FF"/>
                <w:sz w:val="22"/>
                <w:szCs w:val="22"/>
                <w:u w:val="single"/>
                <w:lang w:val="en-US" w:eastAsia="en-US" w:bidi="ar-SA"/>
              </w:rPr>
            </w:pPr>
            <w:r>
              <w:fldChar w:fldCharType="begin"/>
            </w:r>
            <w:r>
              <w:rPr>
                <w:rFonts w:ascii="Times New Roman" w:hAnsi="Times New Roman" w:eastAsiaTheme="minorHAnsi" w:cstheme="minorBidi"/>
                <w:sz w:val="22"/>
                <w:szCs w:val="22"/>
                <w:lang w:val="en-US" w:eastAsia="en-US" w:bidi="ar-SA"/>
              </w:rPr>
              <w:instrText xml:space="preserve"> HYPERLINK "mailto:mpritchard@mwncmh.com" </w:instrText>
            </w:r>
            <w:r>
              <w:fldChar w:fldCharType="separate"/>
            </w:r>
            <w:r w:rsidRPr="002F09B1">
              <w:rPr>
                <w:rFonts w:ascii="Times New Roman" w:hAnsi="Times New Roman" w:eastAsiaTheme="minorHAnsi" w:cstheme="minorBidi"/>
                <w:color w:val="0000FF"/>
                <w:sz w:val="22"/>
                <w:szCs w:val="22"/>
                <w:u w:val="single"/>
                <w:lang w:val="en-US" w:eastAsia="en-US" w:bidi="ar-SA"/>
              </w:rPr>
              <w:t>mpritchard@mwncmh.com</w:t>
            </w:r>
            <w:r>
              <w:fldChar w:fldCharType="end"/>
            </w:r>
          </w:p>
          <w:p w:rsidR="00D656CD" w:rsidRPr="002F09B1" w:rsidP="00C22346">
            <w:pPr>
              <w:autoSpaceDE w:val="0"/>
              <w:autoSpaceDN w:val="0"/>
              <w:adjustRightInd w:val="0"/>
              <w:spacing w:after="0" w:line="240" w:lineRule="auto"/>
              <w:rPr>
                <w:rStyle w:val="DefaultParagraphFont"/>
                <w:rFonts w:ascii="Times New Roman" w:hAnsi="Times New Roman" w:eastAsiaTheme="minorHAnsi" w:cstheme="minorBidi"/>
                <w:color w:val="0000FF"/>
                <w:sz w:val="22"/>
                <w:szCs w:val="22"/>
                <w:u w:val="single"/>
                <w:lang w:val="en-US" w:eastAsia="en-US" w:bidi="ar-SA"/>
              </w:rPr>
            </w:pPr>
            <w:r>
              <w:fldChar w:fldCharType="begin"/>
            </w:r>
            <w:r>
              <w:rPr>
                <w:rFonts w:ascii="Times New Roman" w:hAnsi="Times New Roman" w:eastAsiaTheme="minorHAnsi" w:cstheme="minorBidi"/>
                <w:sz w:val="22"/>
                <w:szCs w:val="22"/>
                <w:lang w:val="en-US" w:eastAsia="en-US" w:bidi="ar-SA"/>
              </w:rPr>
              <w:instrText xml:space="preserve"> HYPERLINK "mailto:joliker@igsenergy.com" </w:instrText>
            </w:r>
            <w:r>
              <w:fldChar w:fldCharType="separate"/>
            </w:r>
            <w:r w:rsidRPr="002F09B1">
              <w:rPr>
                <w:rFonts w:ascii="Times New Roman" w:hAnsi="Times New Roman" w:eastAsiaTheme="minorHAnsi" w:cstheme="minorBidi"/>
                <w:color w:val="0000FF"/>
                <w:sz w:val="22"/>
                <w:szCs w:val="22"/>
                <w:u w:val="single"/>
                <w:lang w:val="en-US" w:eastAsia="en-US" w:bidi="ar-SA"/>
              </w:rPr>
              <w:t>joliker@igsenergy.com</w:t>
            </w:r>
            <w:r>
              <w:fldChar w:fldCharType="end"/>
            </w:r>
          </w:p>
          <w:p w:rsidR="00D656CD" w:rsidRPr="002F09B1" w:rsidP="00C22346">
            <w:pPr>
              <w:autoSpaceDE w:val="0"/>
              <w:autoSpaceDN w:val="0"/>
              <w:adjustRightInd w:val="0"/>
              <w:spacing w:after="0" w:line="240" w:lineRule="auto"/>
              <w:rPr>
                <w:rStyle w:val="DefaultParagraphFont"/>
                <w:rFonts w:ascii="Times New Roman" w:hAnsi="Times New Roman" w:eastAsiaTheme="minorHAnsi" w:cstheme="minorBidi"/>
                <w:color w:val="0000FF"/>
                <w:sz w:val="22"/>
                <w:szCs w:val="22"/>
                <w:u w:val="single"/>
                <w:lang w:val="en-US" w:eastAsia="en-US" w:bidi="ar-SA"/>
              </w:rPr>
            </w:pPr>
            <w:r>
              <w:fldChar w:fldCharType="begin"/>
            </w:r>
            <w:r>
              <w:rPr>
                <w:rFonts w:ascii="Times New Roman" w:hAnsi="Times New Roman" w:eastAsiaTheme="minorHAnsi" w:cstheme="minorBidi"/>
                <w:sz w:val="22"/>
                <w:szCs w:val="22"/>
                <w:lang w:val="en-US" w:eastAsia="en-US" w:bidi="ar-SA"/>
              </w:rPr>
              <w:instrText xml:space="preserve"> HYPERLINK "mailto:John.jones@ohioattorneygeneral.gov" </w:instrText>
            </w:r>
            <w:r>
              <w:fldChar w:fldCharType="separate"/>
            </w:r>
            <w:r w:rsidRPr="002F09B1">
              <w:rPr>
                <w:rFonts w:ascii="Times New Roman" w:hAnsi="Times New Roman" w:eastAsiaTheme="minorHAnsi" w:cstheme="minorBidi"/>
                <w:color w:val="0000FF"/>
                <w:sz w:val="22"/>
                <w:szCs w:val="22"/>
                <w:u w:val="single"/>
                <w:lang w:val="en-US" w:eastAsia="en-US" w:bidi="ar-SA"/>
              </w:rPr>
              <w:t>John.jones@ohioattorneygeneral.gov</w:t>
            </w:r>
            <w:r>
              <w:fldChar w:fldCharType="end"/>
            </w:r>
          </w:p>
          <w:p w:rsidR="00D656CD" w:rsidRPr="002F09B1" w:rsidP="00C22346">
            <w:pPr>
              <w:spacing w:after="0" w:line="240" w:lineRule="auto"/>
              <w:jc w:val="center"/>
              <w:rPr>
                <w:rStyle w:val="DefaultParagraphFont"/>
                <w:rFonts w:ascii="Times New Roman" w:hAnsi="Times New Roman" w:eastAsiaTheme="minorHAnsi" w:cstheme="minorBidi"/>
                <w:b/>
                <w:bCs/>
                <w:sz w:val="22"/>
                <w:szCs w:val="22"/>
                <w:u w:val="single"/>
                <w:lang w:val="en-US" w:eastAsia="en-US" w:bidi="ar-SA"/>
              </w:rPr>
            </w:pPr>
          </w:p>
        </w:tc>
        <w:tc>
          <w:tcPr>
            <w:tcW w:w="4428" w:type="dxa"/>
            <w:gridSpan w:val="2"/>
            <w:tcBorders>
              <w:top w:val="nil"/>
              <w:left w:val="nil"/>
              <w:bottom w:val="nil"/>
              <w:right w:val="nil"/>
            </w:tcBorders>
          </w:tcPr>
          <w:p w:rsidR="00D656CD" w:rsidRPr="002F09B1" w:rsidP="00C22346">
            <w:pPr>
              <w:tabs>
                <w:tab w:val="left" w:pos="-720"/>
              </w:tabs>
              <w:suppressAutoHyphens/>
              <w:spacing w:after="0" w:line="240" w:lineRule="auto"/>
              <w:ind w:left="407"/>
              <w:rPr>
                <w:rStyle w:val="DefaultParagraphFont"/>
                <w:rFonts w:ascii="Times New Roman" w:hAnsi="Times New Roman" w:eastAsiaTheme="minorHAnsi" w:cstheme="minorBidi"/>
                <w:sz w:val="22"/>
                <w:szCs w:val="22"/>
                <w:lang w:val="en-US" w:eastAsia="en-US" w:bidi="ar-SA"/>
              </w:rPr>
            </w:pPr>
            <w:r>
              <w:fldChar w:fldCharType="begin"/>
            </w:r>
            <w:r>
              <w:rPr>
                <w:rFonts w:ascii="Times New Roman" w:hAnsi="Times New Roman" w:eastAsiaTheme="minorHAnsi" w:cstheme="minorBidi"/>
                <w:sz w:val="22"/>
                <w:szCs w:val="22"/>
                <w:lang w:val="en-US" w:eastAsia="en-US" w:bidi="ar-SA"/>
              </w:rPr>
              <w:instrText xml:space="preserve"> HYPERLINK "mailto:Amy.spiller@duke-energy.com" </w:instrText>
            </w:r>
            <w:r>
              <w:fldChar w:fldCharType="separate"/>
            </w:r>
            <w:r w:rsidRPr="002F09B1">
              <w:rPr>
                <w:rFonts w:ascii="Times New Roman" w:hAnsi="Times New Roman" w:eastAsiaTheme="minorHAnsi" w:cstheme="minorBidi"/>
                <w:color w:val="0000FF"/>
                <w:sz w:val="22"/>
                <w:szCs w:val="22"/>
                <w:u w:val="single"/>
                <w:lang w:val="en-US" w:eastAsia="en-US" w:bidi="ar-SA"/>
              </w:rPr>
              <w:t>Amy.spiller@duke-energy.com</w:t>
            </w:r>
            <w:r>
              <w:fldChar w:fldCharType="end"/>
            </w:r>
          </w:p>
          <w:p w:rsidR="00D656CD" w:rsidRPr="002F09B1" w:rsidP="00C22346">
            <w:pPr>
              <w:tabs>
                <w:tab w:val="left" w:pos="-720"/>
              </w:tabs>
              <w:suppressAutoHyphens/>
              <w:spacing w:after="0" w:line="240" w:lineRule="auto"/>
              <w:ind w:left="407"/>
              <w:rPr>
                <w:rStyle w:val="DefaultParagraphFont"/>
                <w:rFonts w:ascii="Times New Roman" w:hAnsi="Times New Roman" w:eastAsiaTheme="minorHAnsi" w:cstheme="minorBidi"/>
                <w:sz w:val="22"/>
                <w:szCs w:val="22"/>
                <w:lang w:val="en-US" w:eastAsia="en-US" w:bidi="ar-SA"/>
              </w:rPr>
            </w:pPr>
            <w:r>
              <w:fldChar w:fldCharType="begin"/>
            </w:r>
            <w:r>
              <w:rPr>
                <w:rFonts w:ascii="Times New Roman" w:hAnsi="Times New Roman" w:eastAsiaTheme="minorHAnsi" w:cstheme="minorBidi"/>
                <w:sz w:val="22"/>
                <w:szCs w:val="22"/>
                <w:lang w:val="en-US" w:eastAsia="en-US" w:bidi="ar-SA"/>
              </w:rPr>
              <w:instrText xml:space="preserve"> HYPERLINK "mailto:Elizabeth.watts@duke-energy.com" </w:instrText>
            </w:r>
            <w:r>
              <w:fldChar w:fldCharType="separate"/>
            </w:r>
            <w:r w:rsidRPr="002F09B1">
              <w:rPr>
                <w:rFonts w:ascii="Times New Roman" w:hAnsi="Times New Roman" w:eastAsiaTheme="minorHAnsi" w:cstheme="minorBidi"/>
                <w:color w:val="0000FF"/>
                <w:sz w:val="22"/>
                <w:szCs w:val="22"/>
                <w:u w:val="single"/>
                <w:lang w:val="en-US" w:eastAsia="en-US" w:bidi="ar-SA"/>
              </w:rPr>
              <w:t>Elizabeth.watts@duke-energy.com</w:t>
            </w:r>
            <w:r>
              <w:fldChar w:fldCharType="end"/>
            </w:r>
          </w:p>
          <w:p w:rsidR="00D656CD" w:rsidRPr="002F09B1" w:rsidP="00C22346">
            <w:pPr>
              <w:tabs>
                <w:tab w:val="left" w:pos="-720"/>
              </w:tabs>
              <w:suppressAutoHyphens/>
              <w:spacing w:after="0" w:line="240" w:lineRule="auto"/>
              <w:ind w:left="407"/>
              <w:rPr>
                <w:rStyle w:val="DefaultParagraphFont"/>
                <w:rFonts w:ascii="Times New Roman" w:hAnsi="Times New Roman" w:eastAsiaTheme="minorHAnsi" w:cstheme="minorBidi"/>
                <w:color w:val="0000FF"/>
                <w:sz w:val="22"/>
                <w:szCs w:val="22"/>
                <w:u w:val="single"/>
                <w:lang w:val="en-US" w:eastAsia="en-US" w:bidi="ar-SA"/>
              </w:rPr>
            </w:pPr>
            <w:r>
              <w:fldChar w:fldCharType="begin"/>
            </w:r>
            <w:r>
              <w:rPr>
                <w:rFonts w:ascii="Times New Roman" w:hAnsi="Times New Roman" w:eastAsiaTheme="minorHAnsi" w:cstheme="minorBidi"/>
                <w:sz w:val="22"/>
                <w:szCs w:val="22"/>
                <w:lang w:val="en-US" w:eastAsia="en-US" w:bidi="ar-SA"/>
              </w:rPr>
              <w:instrText xml:space="preserve"> HYPERLINK "mailto:cmooney@ohiopartners.org" </w:instrText>
            </w:r>
            <w:r>
              <w:fldChar w:fldCharType="separate"/>
            </w:r>
            <w:r w:rsidRPr="002F09B1">
              <w:rPr>
                <w:rFonts w:ascii="Times New Roman" w:hAnsi="Times New Roman" w:eastAsiaTheme="minorHAnsi" w:cstheme="minorBidi"/>
                <w:color w:val="0000FF"/>
                <w:sz w:val="22"/>
                <w:szCs w:val="22"/>
                <w:u w:val="single"/>
                <w:lang w:val="en-US" w:eastAsia="en-US" w:bidi="ar-SA"/>
              </w:rPr>
              <w:t>cmooney@ohiopartners.org</w:t>
            </w:r>
            <w:r>
              <w:fldChar w:fldCharType="end"/>
            </w:r>
          </w:p>
          <w:p w:rsidR="00D656CD" w:rsidRPr="002F09B1" w:rsidP="00C22346">
            <w:pPr>
              <w:tabs>
                <w:tab w:val="left" w:pos="-720"/>
              </w:tabs>
              <w:suppressAutoHyphens/>
              <w:spacing w:after="0" w:line="240" w:lineRule="auto"/>
              <w:ind w:left="407"/>
              <w:rPr>
                <w:rStyle w:val="DefaultParagraphFont"/>
                <w:rFonts w:ascii="Times New Roman" w:hAnsi="Times New Roman" w:eastAsiaTheme="minorHAnsi" w:cstheme="minorBidi"/>
                <w:color w:val="0000FF"/>
                <w:sz w:val="22"/>
                <w:szCs w:val="22"/>
                <w:lang w:val="en-US" w:eastAsia="en-US" w:bidi="ar-SA"/>
              </w:rPr>
            </w:pPr>
            <w:r>
              <w:fldChar w:fldCharType="begin"/>
            </w:r>
            <w:r>
              <w:rPr>
                <w:rFonts w:ascii="Times New Roman" w:hAnsi="Times New Roman" w:eastAsiaTheme="minorHAnsi" w:cstheme="minorBidi"/>
                <w:sz w:val="22"/>
                <w:szCs w:val="22"/>
                <w:lang w:val="en-US" w:eastAsia="en-US" w:bidi="ar-SA"/>
              </w:rPr>
              <w:instrText xml:space="preserve"> HYPERLINK "mailto:tdougherty@theOEC.org" </w:instrText>
            </w:r>
            <w:r>
              <w:fldChar w:fldCharType="separate"/>
            </w:r>
            <w:r w:rsidRPr="002F09B1">
              <w:rPr>
                <w:rFonts w:ascii="Times New Roman" w:hAnsi="Times New Roman" w:eastAsiaTheme="minorHAnsi" w:cstheme="minorBidi"/>
                <w:color w:val="0000FF"/>
                <w:sz w:val="22"/>
                <w:szCs w:val="22"/>
                <w:u w:val="single"/>
                <w:lang w:val="en-US" w:eastAsia="en-US" w:bidi="ar-SA"/>
              </w:rPr>
              <w:t>tdougherty@theOEC.org</w:t>
            </w:r>
            <w:r>
              <w:fldChar w:fldCharType="end"/>
            </w:r>
          </w:p>
          <w:p w:rsidR="00D656CD" w:rsidRPr="002F09B1" w:rsidP="00C22346">
            <w:pPr>
              <w:tabs>
                <w:tab w:val="left" w:pos="-720"/>
              </w:tabs>
              <w:suppressAutoHyphens/>
              <w:spacing w:after="0" w:line="240" w:lineRule="auto"/>
              <w:ind w:left="407"/>
              <w:rPr>
                <w:rStyle w:val="DefaultParagraphFont"/>
                <w:rFonts w:ascii="Times New Roman" w:hAnsi="Times New Roman" w:eastAsiaTheme="minorHAnsi" w:cstheme="minorBidi"/>
                <w:color w:val="1155CD"/>
                <w:sz w:val="22"/>
                <w:szCs w:val="22"/>
                <w:lang w:val="en-US" w:eastAsia="en-US" w:bidi="ar-SA"/>
              </w:rPr>
            </w:pPr>
            <w:r>
              <w:fldChar w:fldCharType="begin"/>
            </w:r>
            <w:r>
              <w:rPr>
                <w:rFonts w:ascii="Times New Roman" w:hAnsi="Times New Roman" w:eastAsiaTheme="minorHAnsi" w:cstheme="minorBidi"/>
                <w:sz w:val="22"/>
                <w:szCs w:val="22"/>
                <w:lang w:val="en-US" w:eastAsia="en-US" w:bidi="ar-SA"/>
              </w:rPr>
              <w:instrText xml:space="preserve"> HYPERLINK "mailto:jfinnigan@edf.org" </w:instrText>
            </w:r>
            <w:r>
              <w:fldChar w:fldCharType="separate"/>
            </w:r>
            <w:r w:rsidRPr="002F09B1">
              <w:rPr>
                <w:rFonts w:ascii="Times New Roman" w:hAnsi="Times New Roman" w:eastAsiaTheme="minorHAnsi" w:cstheme="minorBidi"/>
                <w:color w:val="0000FF"/>
                <w:sz w:val="22"/>
                <w:szCs w:val="22"/>
                <w:u w:val="single"/>
                <w:lang w:val="en-US" w:eastAsia="en-US" w:bidi="ar-SA"/>
              </w:rPr>
              <w:t>jfinnigan@edf.org</w:t>
            </w:r>
            <w:r>
              <w:fldChar w:fldCharType="end"/>
            </w:r>
          </w:p>
          <w:p w:rsidR="00D656CD" w:rsidRPr="002F09B1" w:rsidP="00C22346">
            <w:pPr>
              <w:spacing w:after="0" w:line="240" w:lineRule="auto"/>
              <w:ind w:left="407"/>
              <w:rPr>
                <w:rStyle w:val="DefaultParagraphFont"/>
                <w:rFonts w:ascii="Times New Roman" w:hAnsi="Times New Roman" w:eastAsiaTheme="minorHAnsi" w:cstheme="minorBidi"/>
                <w:color w:val="0000FF"/>
                <w:sz w:val="22"/>
                <w:szCs w:val="22"/>
                <w:u w:val="single"/>
                <w:lang w:val="en-US" w:eastAsia="en-US" w:bidi="ar-SA"/>
              </w:rPr>
            </w:pPr>
            <w:r>
              <w:fldChar w:fldCharType="begin"/>
            </w:r>
            <w:r>
              <w:rPr>
                <w:rFonts w:ascii="Times New Roman" w:hAnsi="Times New Roman" w:eastAsiaTheme="minorHAnsi" w:cstheme="minorBidi"/>
                <w:sz w:val="22"/>
                <w:szCs w:val="22"/>
                <w:lang w:val="en-US" w:eastAsia="en-US" w:bidi="ar-SA"/>
              </w:rPr>
              <w:instrText xml:space="preserve"> HYPERLINK "mailto:rdove@attorneydove.com" </w:instrText>
            </w:r>
            <w:r>
              <w:fldChar w:fldCharType="separate"/>
            </w:r>
            <w:r w:rsidRPr="002F09B1">
              <w:rPr>
                <w:rFonts w:ascii="Times New Roman" w:hAnsi="Times New Roman" w:eastAsiaTheme="minorHAnsi" w:cstheme="minorBidi"/>
                <w:color w:val="0000FF"/>
                <w:sz w:val="22"/>
                <w:szCs w:val="22"/>
                <w:u w:val="single"/>
                <w:lang w:val="en-US" w:eastAsia="en-US" w:bidi="ar-SA"/>
              </w:rPr>
              <w:t>rdove@attorneydove.com</w:t>
            </w:r>
            <w:r>
              <w:fldChar w:fldCharType="end"/>
            </w:r>
          </w:p>
          <w:p w:rsidR="00D656CD" w:rsidRPr="002F09B1" w:rsidP="00C22346">
            <w:pPr>
              <w:spacing w:after="0" w:line="240" w:lineRule="auto"/>
              <w:ind w:left="407"/>
              <w:rPr>
                <w:rStyle w:val="DefaultParagraphFont"/>
                <w:rFonts w:ascii="Times New Roman" w:hAnsi="Times New Roman" w:eastAsiaTheme="minorHAnsi" w:cstheme="minorBidi"/>
                <w:color w:val="0000FF"/>
                <w:sz w:val="22"/>
                <w:szCs w:val="22"/>
                <w:lang w:val="en-US" w:eastAsia="en-US" w:bidi="ar-SA"/>
              </w:rPr>
            </w:pPr>
            <w:r>
              <w:fldChar w:fldCharType="begin"/>
            </w:r>
            <w:r>
              <w:rPr>
                <w:rFonts w:ascii="Times New Roman" w:hAnsi="Times New Roman" w:eastAsiaTheme="minorHAnsi" w:cstheme="minorBidi"/>
                <w:sz w:val="22"/>
                <w:szCs w:val="22"/>
                <w:lang w:val="en-US" w:eastAsia="en-US" w:bidi="ar-SA"/>
              </w:rPr>
              <w:instrText xml:space="preserve"> HYPERLINK "mailto:rick.sites@ohiohospitals.org" </w:instrText>
            </w:r>
            <w:r>
              <w:fldChar w:fldCharType="separate"/>
            </w:r>
            <w:r w:rsidRPr="002F09B1">
              <w:rPr>
                <w:rFonts w:ascii="Times New Roman" w:hAnsi="Times New Roman" w:eastAsiaTheme="minorHAnsi" w:cstheme="minorBidi"/>
                <w:color w:val="0000FF"/>
                <w:sz w:val="22"/>
                <w:szCs w:val="22"/>
                <w:u w:val="single"/>
                <w:lang w:val="en-US" w:eastAsia="en-US" w:bidi="ar-SA"/>
              </w:rPr>
              <w:t>rick.sites@ohiohospitals.org</w:t>
            </w:r>
            <w:r>
              <w:fldChar w:fldCharType="end"/>
            </w:r>
          </w:p>
          <w:p w:rsidR="00D656CD" w:rsidP="00C22346">
            <w:pPr>
              <w:autoSpaceDE w:val="0"/>
              <w:autoSpaceDN w:val="0"/>
              <w:adjustRightInd w:val="0"/>
              <w:spacing w:after="0" w:line="240" w:lineRule="auto"/>
              <w:ind w:left="407"/>
              <w:rPr>
                <w:rStyle w:val="DefaultParagraphFont"/>
                <w:rFonts w:ascii="Times New Roman" w:hAnsi="Times New Roman" w:eastAsiaTheme="minorHAnsi" w:cstheme="minorBidi"/>
                <w:color w:val="0000FF"/>
                <w:sz w:val="22"/>
                <w:szCs w:val="22"/>
                <w:lang w:val="en-US" w:eastAsia="en-US" w:bidi="ar-SA"/>
              </w:rPr>
            </w:pPr>
            <w:r>
              <w:fldChar w:fldCharType="begin"/>
            </w:r>
            <w:r>
              <w:rPr>
                <w:rFonts w:ascii="Times New Roman" w:hAnsi="Times New Roman" w:eastAsiaTheme="minorHAnsi" w:cstheme="minorBidi"/>
                <w:sz w:val="22"/>
                <w:szCs w:val="22"/>
                <w:lang w:val="en-US" w:eastAsia="en-US" w:bidi="ar-SA"/>
              </w:rPr>
              <w:instrText xml:space="preserve"> HYPERLINK "mailto:mwarnock@bricker.com" </w:instrText>
            </w:r>
            <w:r>
              <w:fldChar w:fldCharType="separate"/>
            </w:r>
            <w:r w:rsidRPr="001A35BF">
              <w:rPr>
                <w:rStyle w:val="Hyperlink"/>
                <w:rFonts w:ascii="Times New Roman" w:hAnsi="Times New Roman" w:eastAsiaTheme="minorHAnsi" w:cstheme="minorBidi"/>
                <w:color w:val="0000FF"/>
                <w:sz w:val="22"/>
                <w:szCs w:val="22"/>
                <w:u w:val="single"/>
                <w:lang w:val="en-US" w:eastAsia="en-US" w:bidi="ar-SA"/>
              </w:rPr>
              <w:t>mwarnock@bricker.com</w:t>
            </w:r>
            <w:r>
              <w:fldChar w:fldCharType="end"/>
            </w:r>
          </w:p>
          <w:p w:rsidR="00D656CD" w:rsidRPr="002F09B1" w:rsidP="00C22346">
            <w:pPr>
              <w:spacing w:after="0" w:line="240" w:lineRule="auto"/>
              <w:rPr>
                <w:rStyle w:val="DefaultParagraphFont"/>
                <w:rFonts w:ascii="Times New Roman" w:hAnsi="Times New Roman" w:eastAsiaTheme="minorHAnsi" w:cstheme="minorBidi"/>
                <w:b/>
                <w:bCs/>
                <w:sz w:val="22"/>
                <w:szCs w:val="22"/>
                <w:u w:val="single"/>
                <w:lang w:val="en-US" w:eastAsia="en-US" w:bidi="ar-SA"/>
              </w:rPr>
            </w:pPr>
            <w:r w:rsidRPr="002F09B1">
              <w:rPr>
                <w:rFonts w:ascii="Times New Roman" w:hAnsi="Times New Roman" w:eastAsiaTheme="minorHAnsi" w:cstheme="minorBidi"/>
                <w:sz w:val="22"/>
                <w:szCs w:val="22"/>
                <w:lang w:val="en-US" w:eastAsia="en-US" w:bidi="ar-SA"/>
              </w:rPr>
              <w:t xml:space="preserve">      </w:t>
            </w:r>
            <w:r w:rsidR="00FE2D22">
              <w:rPr>
                <w:rFonts w:ascii="Times New Roman" w:hAnsi="Times New Roman" w:eastAsiaTheme="minorHAnsi" w:cstheme="minorBidi"/>
                <w:sz w:val="22"/>
                <w:szCs w:val="22"/>
                <w:lang w:val="en-US" w:eastAsia="en-US" w:bidi="ar-SA"/>
              </w:rPr>
              <w:t xml:space="preserve"> </w:t>
            </w:r>
            <w:r>
              <w:fldChar w:fldCharType="begin"/>
            </w:r>
            <w:r>
              <w:rPr>
                <w:rFonts w:ascii="Times New Roman" w:hAnsi="Times New Roman" w:eastAsiaTheme="minorHAnsi" w:cstheme="minorBidi"/>
                <w:sz w:val="22"/>
                <w:szCs w:val="22"/>
                <w:lang w:val="en-US" w:eastAsia="en-US" w:bidi="ar-SA"/>
              </w:rPr>
              <w:instrText xml:space="preserve"> HYPERLINK "mailto:dborchers@bricker.com" </w:instrText>
            </w:r>
            <w:r>
              <w:fldChar w:fldCharType="separate"/>
            </w:r>
            <w:r w:rsidRPr="002F09B1">
              <w:rPr>
                <w:rFonts w:ascii="Times New Roman" w:hAnsi="Times New Roman" w:eastAsiaTheme="minorHAnsi" w:cstheme="minorBidi"/>
                <w:color w:val="0000FF"/>
                <w:sz w:val="22"/>
                <w:szCs w:val="22"/>
                <w:u w:val="single"/>
                <w:lang w:val="en-US" w:eastAsia="en-US" w:bidi="ar-SA"/>
              </w:rPr>
              <w:t>dborchers@bricker.com</w:t>
            </w:r>
            <w:r>
              <w:fldChar w:fldCharType="end"/>
            </w:r>
          </w:p>
        </w:tc>
      </w:tr>
    </w:tbl>
    <w:p w:rsidR="00D656CD" w:rsidP="00D656CD">
      <w:r>
        <w:t xml:space="preserve"> Attorney Examiner:</w:t>
      </w:r>
    </w:p>
    <w:p w:rsidR="00D656CD" w:rsidP="00D656CD">
      <w:r>
        <w:t xml:space="preserve">  </w:t>
      </w:r>
      <w:r>
        <w:fldChar w:fldCharType="begin"/>
      </w:r>
      <w:r>
        <w:instrText xml:space="preserve"> HYPERLINK "mailto:Richard.bulgrin@puc.state.oh.us" </w:instrText>
      </w:r>
      <w:r>
        <w:fldChar w:fldCharType="separate"/>
      </w:r>
      <w:r w:rsidRPr="009264AA">
        <w:rPr>
          <w:rStyle w:val="Hyperlink"/>
        </w:rPr>
        <w:t>Richard.bulgrin@puc.state.oh.us</w:t>
      </w:r>
      <w:r>
        <w:fldChar w:fldCharType="end"/>
      </w:r>
    </w:p>
    <w:p w:rsidR="00D656CD" w:rsidRPr="00DE0B7B" w:rsidP="00D656CD"/>
    <w:sectPr w:rsidSect="00C22346">
      <w:footerReference w:type="default" r:id="rId13"/>
      <w:pgSz w:w="12240" w:h="15840"/>
      <w:pgMar w:top="1440" w:right="1800" w:bottom="1440"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1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2D22">
    <w:pPr>
      <w:pStyle w:val="Footer"/>
      <w:jc w:val="center"/>
    </w:pPr>
  </w:p>
  <w:p w:rsidR="00C223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1A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31701361"/>
      <w:docPartObj>
        <w:docPartGallery w:val="Page Numbers (Bottom of Page)"/>
        <w:docPartUnique/>
      </w:docPartObj>
    </w:sdtPr>
    <w:sdtEndPr>
      <w:rPr>
        <w:noProof/>
      </w:rPr>
    </w:sdtEndPr>
    <w:sdtContent>
      <w:p w:rsidR="00FE2D22">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FE2D2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346" w:rsidRPr="007F241E">
    <w:pPr>
      <w:pStyle w:val="Footer"/>
      <w:jc w:val="center"/>
    </w:pPr>
  </w:p>
  <w:p w:rsidR="00C22346" w:rsidRPr="007F2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656A" w:rsidP="00C22346">
      <w:pPr>
        <w:spacing w:after="0" w:line="240" w:lineRule="auto"/>
        <w:rPr>
          <w:noProof/>
        </w:rPr>
      </w:pPr>
      <w:r>
        <w:rPr>
          <w:noProof/>
        </w:rPr>
        <w:separator/>
      </w:r>
    </w:p>
  </w:footnote>
  <w:footnote w:type="continuationSeparator" w:id="1">
    <w:p w:rsidR="00F0656A" w:rsidP="00C22346">
      <w:pPr>
        <w:spacing w:after="0" w:line="240" w:lineRule="auto"/>
      </w:pPr>
      <w:r>
        <w:continuationSeparator/>
      </w:r>
    </w:p>
  </w:footnote>
  <w:footnote w:id="2">
    <w:p w:rsidR="00C22346">
      <w:pPr>
        <w:pStyle w:val="FootnoteText"/>
      </w:pPr>
      <w:r>
        <w:rPr>
          <w:rStyle w:val="FootnoteReference"/>
        </w:rPr>
        <w:footnoteRef/>
      </w:r>
      <w:r>
        <w:t xml:space="preserve"> </w:t>
      </w:r>
      <w:r>
        <w:rPr>
          <w:i/>
        </w:rPr>
        <w:t>See</w:t>
      </w:r>
      <w:r>
        <w:t xml:space="preserve"> Tr. at 42:13-25 (Duff cross examination); Motion</w:t>
      </w:r>
      <w:r w:rsidR="00371295">
        <w:t xml:space="preserve"> of Duke Energy Ohio, Inc. for a Waiver (the "Motion") at </w:t>
      </w:r>
      <w:r>
        <w:t>2 (projected 2017 budget of around $39.1 million in Duke's 2017 rider true-up filing).</w:t>
      </w:r>
    </w:p>
  </w:footnote>
  <w:footnote w:id="3">
    <w:p w:rsidR="00C22346">
      <w:pPr>
        <w:pStyle w:val="FootnoteText"/>
      </w:pPr>
      <w:r>
        <w:rPr>
          <w:rStyle w:val="FootnoteReference"/>
        </w:rPr>
        <w:footnoteRef/>
      </w:r>
      <w:r>
        <w:t xml:space="preserve"> Amended Stipulation &amp; Recommendation (Jan. 27, 2017).</w:t>
      </w:r>
    </w:p>
  </w:footnote>
  <w:footnote w:id="4">
    <w:p w:rsidR="00C22346">
      <w:pPr>
        <w:pStyle w:val="FootnoteText"/>
      </w:pPr>
      <w:r>
        <w:rPr>
          <w:rStyle w:val="FootnoteReference"/>
        </w:rPr>
        <w:footnoteRef/>
      </w:r>
      <w:r>
        <w:t xml:space="preserve"> Opinion &amp; Order (Sept. 27, 2017) (the "Order").</w:t>
      </w:r>
    </w:p>
  </w:footnote>
  <w:footnote w:id="5">
    <w:p w:rsidR="00C22346" w:rsidRPr="008B4671">
      <w:pPr>
        <w:pStyle w:val="FootnoteText"/>
      </w:pPr>
      <w:r>
        <w:rPr>
          <w:rStyle w:val="FootnoteReference"/>
        </w:rPr>
        <w:footnoteRef/>
      </w:r>
      <w:r>
        <w:t xml:space="preserve"> </w:t>
      </w:r>
      <w:r>
        <w:rPr>
          <w:i/>
        </w:rPr>
        <w:t>See</w:t>
      </w:r>
      <w:r>
        <w:t xml:space="preserve"> Supplemental Testimony of Trisha A. Haemmerle on Behalf of Duke Energy Ohio, Inc. at Supplemental Attachment JEZ-1, page 1 (Oct. 14, 2016) ($36,401,147 in program costs and overhead plus $1,654,393 in M&amp;V costs). </w:t>
      </w:r>
      <w:r>
        <w:rPr>
          <w:i/>
        </w:rPr>
        <w:t>See also</w:t>
      </w:r>
      <w:r>
        <w:t xml:space="preserve"> Motion at 2 (noting forecasted budget for 2017 of $38.8 million based on Duke's rider filing).</w:t>
      </w:r>
    </w:p>
  </w:footnote>
  <w:footnote w:id="6">
    <w:p w:rsidR="00C22346" w:rsidRPr="00DE5E28">
      <w:pPr>
        <w:pStyle w:val="FootnoteText"/>
      </w:pPr>
      <w:r>
        <w:rPr>
          <w:rStyle w:val="FootnoteReference"/>
        </w:rPr>
        <w:footnoteRef/>
      </w:r>
      <w:r>
        <w:t xml:space="preserve"> </w:t>
      </w:r>
      <w:r>
        <w:rPr>
          <w:i/>
        </w:rPr>
        <w:t>Id.</w:t>
      </w:r>
    </w:p>
  </w:footnote>
  <w:footnote w:id="7">
    <w:p w:rsidR="00C22346">
      <w:pPr>
        <w:pStyle w:val="FootnoteText"/>
      </w:pPr>
      <w:r>
        <w:rPr>
          <w:rStyle w:val="FootnoteReference"/>
        </w:rPr>
        <w:footnoteRef/>
      </w:r>
      <w:r>
        <w:t xml:space="preserve"> Amended Stipulation &amp; Recommendation (Jan. 27, 2017) (the "Settlement").</w:t>
      </w:r>
    </w:p>
  </w:footnote>
  <w:footnote w:id="8">
    <w:p w:rsidR="00C22346" w:rsidRPr="008B4671">
      <w:pPr>
        <w:pStyle w:val="FootnoteText"/>
      </w:pPr>
      <w:r>
        <w:rPr>
          <w:rStyle w:val="FootnoteReference"/>
        </w:rPr>
        <w:footnoteRef/>
      </w:r>
      <w:r>
        <w:t xml:space="preserve"> </w:t>
      </w:r>
      <w:r>
        <w:rPr>
          <w:i/>
        </w:rPr>
        <w:t>See</w:t>
      </w:r>
      <w:r>
        <w:t xml:space="preserve"> Tr. at 42:13-25 (Duff cross examination) (acknowledging that budget was about $38 million, plus some adjustments for program changes in the Settlement). Subsequently, Duke filed a request to update its energy efficiency rider, where it projected a 2017 budget of around $39.1 million. </w:t>
      </w:r>
      <w:r>
        <w:rPr>
          <w:i/>
        </w:rPr>
        <w:t>See</w:t>
      </w:r>
      <w:r>
        <w:t xml:space="preserve"> Motion at 2 (projected 2017 budget of around $39.1 million in Duke's 2017 rider true-up filing).</w:t>
      </w:r>
    </w:p>
  </w:footnote>
  <w:footnote w:id="9">
    <w:p w:rsidR="00C22346">
      <w:pPr>
        <w:pStyle w:val="FootnoteText"/>
      </w:pPr>
      <w:r>
        <w:rPr>
          <w:rStyle w:val="FootnoteReference"/>
        </w:rPr>
        <w:footnoteRef/>
      </w:r>
      <w:r>
        <w:t xml:space="preserve"> Settlement at 5; Tr. at 42:3-6 (Duff cross examination).</w:t>
      </w:r>
    </w:p>
  </w:footnote>
  <w:footnote w:id="10">
    <w:p w:rsidR="00C22346">
      <w:pPr>
        <w:pStyle w:val="FootnoteText"/>
      </w:pPr>
      <w:r>
        <w:rPr>
          <w:rStyle w:val="FootnoteReference"/>
        </w:rPr>
        <w:footnoteRef/>
      </w:r>
      <w:r>
        <w:t xml:space="preserve"> Settlement at 4 (recommending approval of Duke's application as filed, subject to modifications set forth in the Settlement); Application at 13 (portfolio designed to meet or exceed statutory energy efficiency benchmarks).  </w:t>
      </w:r>
    </w:p>
  </w:footnote>
  <w:footnote w:id="11">
    <w:p w:rsidR="00C22346">
      <w:pPr>
        <w:pStyle w:val="FootnoteText"/>
      </w:pPr>
      <w:r>
        <w:rPr>
          <w:rStyle w:val="FootnoteReference"/>
        </w:rPr>
        <w:footnoteRef/>
      </w:r>
      <w:r>
        <w:t xml:space="preserve"> Prefiled Direct Testimony of Patrick Donlon at 4:60-63 (Feb. 6, 2017); Tr. at 100:1-2 (Shutrump cross examination, supporting the PUCO's recommended 3.5% cost cap).</w:t>
      </w:r>
    </w:p>
  </w:footnote>
  <w:footnote w:id="12">
    <w:p w:rsidR="00C22346">
      <w:pPr>
        <w:pStyle w:val="FootnoteText"/>
      </w:pPr>
      <w:r>
        <w:rPr>
          <w:rStyle w:val="FootnoteReference"/>
        </w:rPr>
        <w:footnoteRef/>
      </w:r>
      <w:r>
        <w:t xml:space="preserve"> Rebuttal Testimony of Timothy J. Duff on Behalf of Duke Energy Ohio, Inc. at 8:4-7 (Mar. 7, 2017).</w:t>
      </w:r>
    </w:p>
  </w:footnote>
  <w:footnote w:id="13">
    <w:p w:rsidR="00C22346">
      <w:pPr>
        <w:pStyle w:val="FootnoteText"/>
      </w:pPr>
      <w:r>
        <w:rPr>
          <w:rStyle w:val="FootnoteReference"/>
        </w:rPr>
        <w:footnoteRef/>
      </w:r>
      <w:r>
        <w:t xml:space="preserve"> Order ¶¶ 46-47.</w:t>
      </w:r>
    </w:p>
  </w:footnote>
  <w:footnote w:id="14">
    <w:p w:rsidR="00C22346" w:rsidP="00C22346">
      <w:pPr>
        <w:pStyle w:val="FootnoteText"/>
      </w:pPr>
      <w:r>
        <w:rPr>
          <w:rStyle w:val="FootnoteReference"/>
        </w:rPr>
        <w:footnoteRef/>
      </w:r>
      <w:r>
        <w:t xml:space="preserve"> </w:t>
      </w:r>
      <w:r>
        <w:rPr>
          <w:i/>
        </w:rPr>
        <w:t>Id.</w:t>
      </w:r>
      <w:r>
        <w:t xml:space="preserve"> </w:t>
      </w:r>
    </w:p>
  </w:footnote>
  <w:footnote w:id="15">
    <w:p w:rsidR="00C22346">
      <w:pPr>
        <w:pStyle w:val="FootnoteText"/>
      </w:pPr>
      <w:r>
        <w:rPr>
          <w:rStyle w:val="FootnoteReference"/>
        </w:rPr>
        <w:footnoteRef/>
      </w:r>
      <w:r>
        <w:t xml:space="preserve"> Motion at 3.</w:t>
      </w:r>
    </w:p>
  </w:footnote>
  <w:footnote w:id="16">
    <w:p w:rsidR="00C22346" w:rsidRPr="00846A83">
      <w:pPr>
        <w:pStyle w:val="FootnoteText"/>
      </w:pPr>
      <w:r>
        <w:rPr>
          <w:rStyle w:val="FootnoteReference"/>
        </w:rPr>
        <w:footnoteRef/>
      </w:r>
      <w:r>
        <w:t xml:space="preserve"> It is not clear what Duke's intent is in filing the Motion. On page 2, Duke states that it requests waiver "with reconciliation and recovery of such costs to be determined in a subsequent proceeding." But on page 3 of the Motion, Duke states that it "respectfully requests that the Commission permit recovery of these actual costs in the 2017 true-up rider proceeding and grant a waiver for this purpose in order to permit the Company to recover all program costs for 2017." The latter language seems to suggest that there may not be any further review of  these costs. Duke's 2017 rider true-up proceeding is Case No. 17-781-EL-RDR.</w:t>
      </w:r>
    </w:p>
  </w:footnote>
  <w:footnote w:id="17">
    <w:p w:rsidR="00C22346" w:rsidP="00C22346">
      <w:pPr>
        <w:pStyle w:val="FootnoteText"/>
      </w:pPr>
      <w:r>
        <w:rPr>
          <w:rStyle w:val="FootnoteReference"/>
        </w:rPr>
        <w:footnoteRef/>
      </w:r>
      <w:r>
        <w:t xml:space="preserve"> Motion at 2.</w:t>
      </w:r>
    </w:p>
  </w:footnote>
  <w:footnote w:id="18">
    <w:p w:rsidR="00C22346" w:rsidRPr="00330EA3">
      <w:pPr>
        <w:pStyle w:val="FootnoteText"/>
      </w:pPr>
      <w:r>
        <w:rPr>
          <w:rStyle w:val="FootnoteReference"/>
        </w:rPr>
        <w:footnoteRef/>
      </w:r>
      <w:r>
        <w:t xml:space="preserve"> This is not an isolated incident for Duke. In one of its prior energy efficiency cases, the PUCO found that Duke demonstrated a "continued refusal to comply with the dictates of the [PUCO's] rules" and that the PUCO would "no longer tolerate Duke's unwillingness to follow our directives ...." </w:t>
      </w:r>
      <w:r>
        <w:rPr>
          <w:i/>
        </w:rPr>
        <w:t>In re Application of Duke Energy Ohio, Inc. for an Energy Efficiency Cost Recovery Mechanism &amp; for Approval of Additional Programs for Inclusion in its Existing Portfolio</w:t>
      </w:r>
      <w:r>
        <w:t>, Case No. 11-4393-EL-RDR, Entry ¶ 7 (May 9, 2012).</w:t>
      </w:r>
    </w:p>
  </w:footnote>
  <w:footnote w:id="19">
    <w:p w:rsidR="00C22346">
      <w:pPr>
        <w:pStyle w:val="FootnoteText"/>
      </w:pPr>
      <w:r>
        <w:rPr>
          <w:rStyle w:val="FootnoteReference"/>
        </w:rPr>
        <w:footnoteRef/>
      </w:r>
      <w:r>
        <w:t xml:space="preserve"> Order ¶ 47.</w:t>
      </w:r>
    </w:p>
  </w:footnote>
  <w:footnote w:id="20">
    <w:p w:rsidR="00C22346">
      <w:pPr>
        <w:pStyle w:val="FootnoteText"/>
      </w:pPr>
      <w:r>
        <w:rPr>
          <w:rStyle w:val="FootnoteReference"/>
        </w:rPr>
        <w:footnoteRef/>
      </w:r>
      <w:r>
        <w:t xml:space="preserve"> Motion at 2.</w:t>
      </w:r>
    </w:p>
  </w:footnote>
  <w:footnote w:id="21">
    <w:p w:rsidR="00C22346" w:rsidRPr="0027371B">
      <w:pPr>
        <w:pStyle w:val="FootnoteText"/>
      </w:pPr>
      <w:r>
        <w:rPr>
          <w:rStyle w:val="FootnoteReference"/>
        </w:rPr>
        <w:footnoteRef/>
      </w:r>
      <w:r>
        <w:t xml:space="preserve"> </w:t>
      </w:r>
      <w:r>
        <w:rPr>
          <w:i/>
        </w:rPr>
        <w:t>Id.</w:t>
      </w:r>
    </w:p>
  </w:footnote>
  <w:footnote w:id="22">
    <w:p w:rsidR="00C22346" w:rsidRPr="00FD54E5">
      <w:pPr>
        <w:pStyle w:val="FootnoteText"/>
      </w:pPr>
      <w:r>
        <w:rPr>
          <w:rStyle w:val="FootnoteReference"/>
        </w:rPr>
        <w:footnoteRef/>
      </w:r>
      <w:r>
        <w:t xml:space="preserve"> </w:t>
      </w:r>
      <w:r>
        <w:rPr>
          <w:i/>
        </w:rPr>
        <w:t>See supra</w:t>
      </w:r>
      <w:r>
        <w:t xml:space="preserve"> § I.</w:t>
      </w:r>
    </w:p>
  </w:footnote>
  <w:footnote w:id="23">
    <w:p w:rsidR="00C22346">
      <w:pPr>
        <w:pStyle w:val="FootnoteText"/>
      </w:pPr>
      <w:r>
        <w:rPr>
          <w:rStyle w:val="FootnoteReference"/>
        </w:rPr>
        <w:footnoteRef/>
      </w:r>
      <w:r>
        <w:t xml:space="preserve"> Order ¶ 47. </w:t>
      </w:r>
    </w:p>
  </w:footnote>
  <w:footnote w:id="24">
    <w:p w:rsidR="00C22346" w:rsidRPr="005F35E0">
      <w:pPr>
        <w:pStyle w:val="FootnoteText"/>
      </w:pPr>
      <w:r>
        <w:rPr>
          <w:rStyle w:val="FootnoteReference"/>
        </w:rPr>
        <w:footnoteRef/>
      </w:r>
      <w:r>
        <w:t xml:space="preserve"> </w:t>
      </w:r>
      <w:r>
        <w:rPr>
          <w:i/>
        </w:rPr>
        <w:t>See</w:t>
      </w:r>
      <w:r>
        <w:t xml:space="preserve"> Motion at 3 (Duke "respectfully requests that the Commission permit recovery of these actual costs in the 2017 true-up rider proceeding and grant a waiver for this purpose in order to permit the Company to recover all program costs for 2017").</w:t>
      </w:r>
    </w:p>
  </w:footnote>
  <w:footnote w:id="25">
    <w:p w:rsidR="00C22346">
      <w:pPr>
        <w:pStyle w:val="FootnoteText"/>
      </w:pPr>
      <w:r>
        <w:rPr>
          <w:rStyle w:val="FootnoteReference"/>
        </w:rPr>
        <w:footnoteRef/>
      </w:r>
      <w:r>
        <w:t xml:space="preserve"> Motion at 2-3.</w:t>
      </w:r>
    </w:p>
  </w:footnote>
  <w:footnote w:id="26">
    <w:p w:rsidR="00C22346">
      <w:pPr>
        <w:pStyle w:val="FootnoteText"/>
      </w:pPr>
      <w:r>
        <w:rPr>
          <w:rStyle w:val="FootnoteReference"/>
        </w:rPr>
        <w:footnoteRef/>
      </w:r>
      <w:r>
        <w:t xml:space="preserve"> Order ¶ 47.</w:t>
      </w:r>
    </w:p>
  </w:footnote>
  <w:footnote w:id="27">
    <w:p w:rsidR="00C22346">
      <w:pPr>
        <w:pStyle w:val="FootnoteText"/>
      </w:pPr>
      <w:r>
        <w:rPr>
          <w:rStyle w:val="FootnoteReference"/>
        </w:rPr>
        <w:footnoteRef/>
      </w:r>
      <w:r>
        <w:t xml:space="preserve"> Motion at 2.</w:t>
      </w:r>
    </w:p>
  </w:footnote>
  <w:footnote w:id="28">
    <w:p w:rsidR="00C22346" w:rsidRPr="00C22346">
      <w:pPr>
        <w:pStyle w:val="FootnoteText"/>
      </w:pPr>
      <w:r>
        <w:rPr>
          <w:rStyle w:val="FootnoteReference"/>
        </w:rPr>
        <w:footnoteRef/>
      </w:r>
      <w:r>
        <w:t xml:space="preserve"> </w:t>
      </w:r>
      <w:r>
        <w:rPr>
          <w:i/>
        </w:rPr>
        <w:t xml:space="preserve">See </w:t>
      </w:r>
      <w:r>
        <w:t>section I above.</w:t>
      </w:r>
      <w:r>
        <w:rPr>
          <w:i/>
        </w:rPr>
        <w:t xml:space="preserve"> </w:t>
      </w:r>
    </w:p>
  </w:footnote>
  <w:footnote w:id="29">
    <w:p w:rsidR="005016DC">
      <w:pPr>
        <w:pStyle w:val="FootnoteText"/>
      </w:pPr>
      <w:r>
        <w:rPr>
          <w:rStyle w:val="FootnoteReference"/>
        </w:rPr>
        <w:footnoteRef/>
      </w:r>
      <w:r>
        <w:t xml:space="preserve"> R.C. 4903.10(B).</w:t>
      </w:r>
    </w:p>
  </w:footnote>
  <w:footnote w:id="30">
    <w:p w:rsidR="0013216F">
      <w:pPr>
        <w:pStyle w:val="FootnoteText"/>
      </w:pPr>
      <w:r>
        <w:rPr>
          <w:rStyle w:val="FootnoteReference"/>
        </w:rPr>
        <w:footnoteRef/>
      </w:r>
      <w:r>
        <w:t xml:space="preserve"> Ohio Adm. Code 4901-1-35(A).</w:t>
      </w:r>
    </w:p>
  </w:footnote>
  <w:footnote w:id="31">
    <w:p w:rsidR="00264DCD" w:rsidRPr="00DF1087">
      <w:pPr>
        <w:pStyle w:val="FootnoteText"/>
      </w:pPr>
      <w:r>
        <w:rPr>
          <w:rStyle w:val="FootnoteReference"/>
        </w:rPr>
        <w:footnoteRef/>
      </w:r>
      <w:r>
        <w:t xml:space="preserve"> </w:t>
      </w:r>
      <w:r>
        <w:rPr>
          <w:i/>
        </w:rPr>
        <w:t xml:space="preserve">See, e.g., </w:t>
      </w:r>
      <w:r w:rsidR="00DF1087">
        <w:rPr>
          <w:i/>
        </w:rPr>
        <w:t>In re Application of the E. Ohio Gas Co. d/b/a/ Dominion E. for Authority to Increase Rates for its Gas Distrib. Serv.</w:t>
      </w:r>
      <w:r w:rsidR="00DF1087">
        <w:t xml:space="preserve">, Case No. 07-829-GA-AIR, Entry (Sept. 23, 2009) (denying utility's motion to reopen case and for a waiver request on the grounds that it was an untimely application for rehearing); </w:t>
      </w:r>
      <w:r>
        <w:rPr>
          <w:i/>
        </w:rPr>
        <w:t>In re Application of Ohio Power Co. to Adopt a Final Implementation Plan for the Retail Stability Rider</w:t>
      </w:r>
      <w:r>
        <w:t xml:space="preserve">, Case No. 14-1186-EL-RDR, Finding &amp; Order ¶ 33 (Apr. 2, 2015) (rejecting parties' arguments as a collateral attack on prior PUCO orders); </w:t>
      </w:r>
      <w:r w:rsidR="00DF1087">
        <w:rPr>
          <w:i/>
        </w:rPr>
        <w:t>In re Application of Duke Energy Ohio, Inc. for the Establishment of a Charge Pursuant to Section 4909.18 Revised Code</w:t>
      </w:r>
      <w:r w:rsidR="00DF1087">
        <w:t>, Case No. 12-2400-EL-UNC, Opinion &amp; Order (Feb. 13, 2014) (dismissing utilities' application because the issues raised should have been raised in an application for rehearing).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1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1A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1A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2D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0"/>
    <w:multiLevelType w:val="singleLevel"/>
    <w:tmpl w:val="491E5E78"/>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4A4CD72C"/>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7CF2DED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9754E0F4"/>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A4EA3BE0"/>
    <w:lvl w:ilvl="0">
      <w:start w:val="1"/>
      <w:numFmt w:val="bullet"/>
      <w:lvlText w:val=""/>
      <w:lvlJc w:val="left"/>
      <w:pPr>
        <w:tabs>
          <w:tab w:val="num" w:pos="360"/>
        </w:tabs>
        <w:ind w:left="360" w:hanging="360"/>
      </w:pPr>
      <w:rPr>
        <w:rFonts w:ascii="Symbol" w:hAnsi="Symbol" w:hint="default"/>
      </w:rPr>
    </w:lvl>
  </w:abstractNum>
  <w:abstractNum w:abstractNumId="5">
    <w:nsid w:val="00322334"/>
    <w:multiLevelType w:val="hybridMultilevel"/>
    <w:tmpl w:val="C4A6C6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5E55674"/>
    <w:multiLevelType w:val="hybridMultilevel"/>
    <w:tmpl w:val="9C4EEEAE"/>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0B393111"/>
    <w:multiLevelType w:val="hybridMultilevel"/>
    <w:tmpl w:val="245885E8"/>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0C0D12AF"/>
    <w:multiLevelType w:val="hybridMultilevel"/>
    <w:tmpl w:val="16729C92"/>
    <w:lvl w:ilvl="0">
      <w:start w:val="1"/>
      <w:numFmt w:val="decimal"/>
      <w:lvlText w:val="%1."/>
      <w:lvlJc w:val="left"/>
      <w:pPr>
        <w:ind w:left="778" w:hanging="360"/>
      </w:pPr>
      <w:rPr>
        <w:b/>
      </w:rPr>
    </w:lvl>
    <w:lvl w:ilvl="1" w:tentative="1">
      <w:start w:val="1"/>
      <w:numFmt w:val="lowerLetter"/>
      <w:lvlText w:val="%2."/>
      <w:lvlJc w:val="left"/>
      <w:pPr>
        <w:ind w:left="1498" w:hanging="360"/>
      </w:pPr>
    </w:lvl>
    <w:lvl w:ilvl="2" w:tentative="1">
      <w:start w:val="1"/>
      <w:numFmt w:val="lowerRoman"/>
      <w:lvlText w:val="%3."/>
      <w:lvlJc w:val="right"/>
      <w:pPr>
        <w:ind w:left="2218" w:hanging="180"/>
      </w:pPr>
    </w:lvl>
    <w:lvl w:ilvl="3" w:tentative="1">
      <w:start w:val="1"/>
      <w:numFmt w:val="decimal"/>
      <w:lvlText w:val="%4."/>
      <w:lvlJc w:val="left"/>
      <w:pPr>
        <w:ind w:left="2938" w:hanging="360"/>
      </w:pPr>
    </w:lvl>
    <w:lvl w:ilvl="4" w:tentative="1">
      <w:start w:val="1"/>
      <w:numFmt w:val="lowerLetter"/>
      <w:lvlText w:val="%5."/>
      <w:lvlJc w:val="left"/>
      <w:pPr>
        <w:ind w:left="3658" w:hanging="360"/>
      </w:pPr>
    </w:lvl>
    <w:lvl w:ilvl="5" w:tentative="1">
      <w:start w:val="1"/>
      <w:numFmt w:val="lowerRoman"/>
      <w:lvlText w:val="%6."/>
      <w:lvlJc w:val="right"/>
      <w:pPr>
        <w:ind w:left="4378" w:hanging="180"/>
      </w:pPr>
    </w:lvl>
    <w:lvl w:ilvl="6" w:tentative="1">
      <w:start w:val="1"/>
      <w:numFmt w:val="decimal"/>
      <w:lvlText w:val="%7."/>
      <w:lvlJc w:val="left"/>
      <w:pPr>
        <w:ind w:left="5098" w:hanging="360"/>
      </w:pPr>
    </w:lvl>
    <w:lvl w:ilvl="7" w:tentative="1">
      <w:start w:val="1"/>
      <w:numFmt w:val="lowerLetter"/>
      <w:lvlText w:val="%8."/>
      <w:lvlJc w:val="left"/>
      <w:pPr>
        <w:ind w:left="5818" w:hanging="360"/>
      </w:pPr>
    </w:lvl>
    <w:lvl w:ilvl="8" w:tentative="1">
      <w:start w:val="1"/>
      <w:numFmt w:val="lowerRoman"/>
      <w:lvlText w:val="%9."/>
      <w:lvlJc w:val="right"/>
      <w:pPr>
        <w:ind w:left="6538" w:hanging="180"/>
      </w:pPr>
    </w:lvl>
  </w:abstractNum>
  <w:abstractNum w:abstractNumId="9">
    <w:nsid w:val="0C45766B"/>
    <w:multiLevelType w:val="hybridMultilevel"/>
    <w:tmpl w:val="A5C03746"/>
    <w:lvl w:ilvl="0">
      <w:start w:val="1"/>
      <w:numFmt w:val="upperLetter"/>
      <w:lvlText w:val="%1."/>
      <w:lvlJc w:val="left"/>
      <w:pPr>
        <w:ind w:left="324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specVanish w:val="0"/>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0">
    <w:nsid w:val="0EC67D1C"/>
    <w:multiLevelType w:val="hybridMultilevel"/>
    <w:tmpl w:val="EF505188"/>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0FAD25BD"/>
    <w:multiLevelType w:val="hybridMultilevel"/>
    <w:tmpl w:val="AFE0CF3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10C87F8C"/>
    <w:multiLevelType w:val="hybridMultilevel"/>
    <w:tmpl w:val="D8DE3F8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10E8414B"/>
    <w:multiLevelType w:val="hybridMultilevel"/>
    <w:tmpl w:val="33F0F474"/>
    <w:lvl w:ilvl="0">
      <w:start w:val="1"/>
      <w:numFmt w:val="upp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16A56791"/>
    <w:multiLevelType w:val="hybridMultilevel"/>
    <w:tmpl w:val="20E2044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7A66774"/>
    <w:multiLevelType w:val="hybridMultilevel"/>
    <w:tmpl w:val="839EADB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1A961368"/>
    <w:multiLevelType w:val="hybridMultilevel"/>
    <w:tmpl w:val="8EE2E24E"/>
    <w:lvl w:ilvl="0">
      <w:start w:val="1"/>
      <w:numFmt w:val="decimal"/>
      <w:pStyle w:val="Heading3"/>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7">
    <w:nsid w:val="1D086487"/>
    <w:multiLevelType w:val="hybridMultilevel"/>
    <w:tmpl w:val="B8A28E2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2043176"/>
    <w:multiLevelType w:val="hybridMultilevel"/>
    <w:tmpl w:val="EF507CAC"/>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22E4477C"/>
    <w:multiLevelType w:val="hybridMultilevel"/>
    <w:tmpl w:val="52D2A1A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295B5242"/>
    <w:multiLevelType w:val="hybridMultilevel"/>
    <w:tmpl w:val="F0BCEF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F440CF7"/>
    <w:multiLevelType w:val="hybridMultilevel"/>
    <w:tmpl w:val="571A092A"/>
    <w:lvl w:ilvl="0">
      <w:start w:val="1"/>
      <w:numFmt w:val="decimal"/>
      <w:pStyle w:val="Heading4"/>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2">
    <w:nsid w:val="317B7CE6"/>
    <w:multiLevelType w:val="hybridMultilevel"/>
    <w:tmpl w:val="DF3CC68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3DBE7556"/>
    <w:multiLevelType w:val="hybridMultilevel"/>
    <w:tmpl w:val="56904B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3F8A44A5"/>
    <w:multiLevelType w:val="hybridMultilevel"/>
    <w:tmpl w:val="6E7625C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1FB707D"/>
    <w:multiLevelType w:val="hybridMultilevel"/>
    <w:tmpl w:val="519C5DC8"/>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45260755"/>
    <w:multiLevelType w:val="hybridMultilevel"/>
    <w:tmpl w:val="6F4E7C9A"/>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4743258A"/>
    <w:multiLevelType w:val="hybridMultilevel"/>
    <w:tmpl w:val="B33445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4C2F5E2B"/>
    <w:multiLevelType w:val="hybridMultilevel"/>
    <w:tmpl w:val="6568A10E"/>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4DAB6C42"/>
    <w:multiLevelType w:val="hybridMultilevel"/>
    <w:tmpl w:val="247AE7DE"/>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1502BAB"/>
    <w:multiLevelType w:val="hybridMultilevel"/>
    <w:tmpl w:val="F72605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19D3C25"/>
    <w:multiLevelType w:val="hybridMultilevel"/>
    <w:tmpl w:val="26363B8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53286F4C"/>
    <w:multiLevelType w:val="hybridMultilevel"/>
    <w:tmpl w:val="F348B506"/>
    <w:lvl w:ilvl="0">
      <w:start w:val="2"/>
      <w:numFmt w:val="upp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A31614A"/>
    <w:multiLevelType w:val="hybridMultilevel"/>
    <w:tmpl w:val="628A9D56"/>
    <w:lvl w:ilvl="0">
      <w:start w:val="1"/>
      <w:numFmt w:val="upperRoman"/>
      <w:pStyle w:val="Heading1"/>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F0518BC"/>
    <w:multiLevelType w:val="hybridMultilevel"/>
    <w:tmpl w:val="73644D5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68DA3CDD"/>
    <w:multiLevelType w:val="hybridMultilevel"/>
    <w:tmpl w:val="574460A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6">
    <w:nsid w:val="6FB419F2"/>
    <w:multiLevelType w:val="hybridMultilevel"/>
    <w:tmpl w:val="157EDF2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77E157A2"/>
    <w:multiLevelType w:val="hybridMultilevel"/>
    <w:tmpl w:val="03146A3E"/>
    <w:lvl w:ilvl="0">
      <w:start w:val="1"/>
      <w:numFmt w:val="decimal"/>
      <w:lvlText w:val="%1."/>
      <w:lvlJc w:val="left"/>
      <w:pPr>
        <w:ind w:left="778" w:hanging="360"/>
      </w:pPr>
      <w:rPr>
        <w:b/>
        <w:i w:val="0"/>
      </w:rPr>
    </w:lvl>
    <w:lvl w:ilvl="1" w:tentative="1">
      <w:start w:val="1"/>
      <w:numFmt w:val="lowerLetter"/>
      <w:lvlText w:val="%2."/>
      <w:lvlJc w:val="left"/>
      <w:pPr>
        <w:ind w:left="1498" w:hanging="360"/>
      </w:pPr>
    </w:lvl>
    <w:lvl w:ilvl="2" w:tentative="1">
      <w:start w:val="1"/>
      <w:numFmt w:val="lowerRoman"/>
      <w:lvlText w:val="%3."/>
      <w:lvlJc w:val="right"/>
      <w:pPr>
        <w:ind w:left="2218" w:hanging="180"/>
      </w:pPr>
    </w:lvl>
    <w:lvl w:ilvl="3" w:tentative="1">
      <w:start w:val="1"/>
      <w:numFmt w:val="decimal"/>
      <w:lvlText w:val="%4."/>
      <w:lvlJc w:val="left"/>
      <w:pPr>
        <w:ind w:left="2938" w:hanging="360"/>
      </w:pPr>
    </w:lvl>
    <w:lvl w:ilvl="4" w:tentative="1">
      <w:start w:val="1"/>
      <w:numFmt w:val="lowerLetter"/>
      <w:lvlText w:val="%5."/>
      <w:lvlJc w:val="left"/>
      <w:pPr>
        <w:ind w:left="3658" w:hanging="360"/>
      </w:pPr>
    </w:lvl>
    <w:lvl w:ilvl="5" w:tentative="1">
      <w:start w:val="1"/>
      <w:numFmt w:val="lowerRoman"/>
      <w:lvlText w:val="%6."/>
      <w:lvlJc w:val="right"/>
      <w:pPr>
        <w:ind w:left="4378" w:hanging="180"/>
      </w:pPr>
    </w:lvl>
    <w:lvl w:ilvl="6" w:tentative="1">
      <w:start w:val="1"/>
      <w:numFmt w:val="decimal"/>
      <w:lvlText w:val="%7."/>
      <w:lvlJc w:val="left"/>
      <w:pPr>
        <w:ind w:left="5098" w:hanging="360"/>
      </w:pPr>
    </w:lvl>
    <w:lvl w:ilvl="7" w:tentative="1">
      <w:start w:val="1"/>
      <w:numFmt w:val="lowerLetter"/>
      <w:lvlText w:val="%8."/>
      <w:lvlJc w:val="left"/>
      <w:pPr>
        <w:ind w:left="5818" w:hanging="360"/>
      </w:pPr>
    </w:lvl>
    <w:lvl w:ilvl="8" w:tentative="1">
      <w:start w:val="1"/>
      <w:numFmt w:val="lowerRoman"/>
      <w:lvlText w:val="%9."/>
      <w:lvlJc w:val="right"/>
      <w:pPr>
        <w:ind w:left="6538" w:hanging="180"/>
      </w:pPr>
    </w:lvl>
  </w:abstractNum>
  <w:abstractNum w:abstractNumId="38">
    <w:nsid w:val="79D82F71"/>
    <w:multiLevelType w:val="hybridMultilevel"/>
    <w:tmpl w:val="45FEB34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7B66497B"/>
    <w:multiLevelType w:val="hybridMultilevel"/>
    <w:tmpl w:val="94343A5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38"/>
  </w:num>
  <w:num w:numId="2">
    <w:abstractNumId w:val="17"/>
  </w:num>
  <w:num w:numId="3">
    <w:abstractNumId w:val="33"/>
  </w:num>
  <w:num w:numId="4">
    <w:abstractNumId w:val="6"/>
  </w:num>
  <w:num w:numId="5">
    <w:abstractNumId w:val="26"/>
  </w:num>
  <w:num w:numId="6">
    <w:abstractNumId w:val="25"/>
  </w:num>
  <w:num w:numId="7">
    <w:abstractNumId w:val="13"/>
  </w:num>
  <w:num w:numId="8">
    <w:abstractNumId w:val="32"/>
  </w:num>
  <w:num w:numId="9">
    <w:abstractNumId w:val="19"/>
  </w:num>
  <w:num w:numId="10">
    <w:abstractNumId w:val="29"/>
  </w:num>
  <w:num w:numId="11">
    <w:abstractNumId w:val="20"/>
  </w:num>
  <w:num w:numId="12">
    <w:abstractNumId w:val="28"/>
  </w:num>
  <w:num w:numId="13">
    <w:abstractNumId w:val="22"/>
  </w:num>
  <w:num w:numId="14">
    <w:abstractNumId w:val="14"/>
  </w:num>
  <w:num w:numId="15">
    <w:abstractNumId w:val="7"/>
  </w:num>
  <w:num w:numId="16">
    <w:abstractNumId w:val="10"/>
  </w:num>
  <w:num w:numId="17">
    <w:abstractNumId w:val="30"/>
  </w:num>
  <w:num w:numId="18">
    <w:abstractNumId w:val="8"/>
  </w:num>
  <w:num w:numId="19">
    <w:abstractNumId w:val="37"/>
  </w:num>
  <w:num w:numId="20">
    <w:abstractNumId w:val="35"/>
  </w:num>
  <w:num w:numId="21">
    <w:abstractNumId w:val="5"/>
  </w:num>
  <w:num w:numId="22">
    <w:abstractNumId w:val="16"/>
  </w:num>
  <w:num w:numId="23">
    <w:abstractNumId w:val="36"/>
  </w:num>
  <w:num w:numId="24">
    <w:abstractNumId w:val="39"/>
  </w:num>
  <w:num w:numId="25">
    <w:abstractNumId w:val="15"/>
  </w:num>
  <w:num w:numId="26">
    <w:abstractNumId w:val="9"/>
  </w:num>
  <w:num w:numId="27">
    <w:abstractNumId w:val="9"/>
    <w:lvlOverride w:ilvl="0">
      <w:startOverride w:val="1"/>
    </w:lvlOverride>
  </w:num>
  <w:num w:numId="28">
    <w:abstractNumId w:val="9"/>
    <w:lvlOverride w:ilvl="0">
      <w:startOverride w:val="1"/>
    </w:lvlOverride>
  </w:num>
  <w:num w:numId="29">
    <w:abstractNumId w:val="4"/>
  </w:num>
  <w:num w:numId="30">
    <w:abstractNumId w:val="3"/>
  </w:num>
  <w:num w:numId="31">
    <w:abstractNumId w:val="2"/>
  </w:num>
  <w:num w:numId="32">
    <w:abstractNumId w:val="1"/>
  </w:num>
  <w:num w:numId="33">
    <w:abstractNumId w:val="0"/>
  </w:num>
  <w:num w:numId="34">
    <w:abstractNumId w:val="34"/>
  </w:num>
  <w:num w:numId="35">
    <w:abstractNumId w:val="18"/>
  </w:num>
  <w:num w:numId="36">
    <w:abstractNumId w:val="21"/>
  </w:num>
  <w:num w:numId="37">
    <w:abstractNumId w:val="11"/>
  </w:num>
  <w:num w:numId="38">
    <w:abstractNumId w:val="31"/>
  </w:num>
  <w:num w:numId="39">
    <w:abstractNumId w:val="24"/>
  </w:num>
  <w:num w:numId="40">
    <w:abstractNumId w:val="23"/>
  </w:num>
  <w:num w:numId="41">
    <w:abstractNumId w:val="2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46"/>
    <w:rPr>
      <w:rFonts w:ascii="Times New Roman" w:hAnsi="Times New Roman"/>
      <w:sz w:val="24"/>
    </w:rPr>
  </w:style>
  <w:style w:type="paragraph" w:styleId="Heading1">
    <w:name w:val="heading 1"/>
    <w:basedOn w:val="Normal"/>
    <w:next w:val="Normal"/>
    <w:link w:val="Heading1Char"/>
    <w:autoRedefine/>
    <w:uiPriority w:val="9"/>
    <w:qFormat/>
    <w:rsid w:val="00365CB9"/>
    <w:pPr>
      <w:keepNext/>
      <w:keepLines/>
      <w:numPr>
        <w:numId w:val="3"/>
      </w:numPr>
      <w:spacing w:after="240" w:line="240" w:lineRule="auto"/>
      <w:ind w:hanging="720"/>
      <w:outlineLvl w:val="0"/>
    </w:pPr>
    <w:rPr>
      <w:rFonts w:ascii="Times New Roman Bold" w:hAnsi="Times New Roman Bold" w:eastAsiaTheme="minorEastAsia" w:cstheme="majorBidi"/>
      <w:b/>
      <w:bCs/>
      <w:caps/>
      <w:szCs w:val="28"/>
    </w:rPr>
  </w:style>
  <w:style w:type="paragraph" w:styleId="Heading2">
    <w:name w:val="heading 2"/>
    <w:basedOn w:val="Normal"/>
    <w:next w:val="Normal"/>
    <w:link w:val="Heading2Char"/>
    <w:autoRedefine/>
    <w:uiPriority w:val="9"/>
    <w:unhideWhenUsed/>
    <w:qFormat/>
    <w:rsid w:val="0026022F"/>
    <w:pPr>
      <w:keepNext/>
      <w:keepLines/>
      <w:spacing w:after="240" w:line="240" w:lineRule="auto"/>
      <w:ind w:left="2880" w:hanging="2880"/>
      <w:outlineLvl w:val="1"/>
    </w:pPr>
    <w:rPr>
      <w:rFonts w:ascii="Times New Roman Bold" w:hAnsi="Times New Roman Bold" w:eastAsiaTheme="minorEastAsia" w:cs="Times New Roman"/>
      <w:b/>
      <w:bCs/>
      <w:szCs w:val="24"/>
    </w:rPr>
  </w:style>
  <w:style w:type="paragraph" w:styleId="Heading3">
    <w:name w:val="heading 3"/>
    <w:basedOn w:val="Normal"/>
    <w:next w:val="Normal"/>
    <w:link w:val="Heading3Char"/>
    <w:autoRedefine/>
    <w:uiPriority w:val="9"/>
    <w:unhideWhenUsed/>
    <w:qFormat/>
    <w:rsid w:val="00365CB9"/>
    <w:pPr>
      <w:keepNext/>
      <w:keepLines/>
      <w:numPr>
        <w:numId w:val="22"/>
      </w:numPr>
      <w:spacing w:after="240" w:line="240" w:lineRule="auto"/>
      <w:ind w:left="1440" w:right="144" w:hanging="720"/>
      <w:outlineLvl w:val="2"/>
    </w:pPr>
    <w:rPr>
      <w:rFonts w:eastAsiaTheme="majorEastAsia" w:cs="Times New Roman"/>
      <w:b/>
      <w:bCs/>
      <w:szCs w:val="24"/>
    </w:rPr>
  </w:style>
  <w:style w:type="paragraph" w:styleId="Heading4">
    <w:name w:val="heading 4"/>
    <w:basedOn w:val="Normal"/>
    <w:next w:val="Normal"/>
    <w:link w:val="Heading4Char"/>
    <w:autoRedefine/>
    <w:uiPriority w:val="9"/>
    <w:unhideWhenUsed/>
    <w:qFormat/>
    <w:rsid w:val="00E90D37"/>
    <w:pPr>
      <w:keepNext/>
      <w:keepLines/>
      <w:numPr>
        <w:numId w:val="36"/>
      </w:numPr>
      <w:spacing w:after="240" w:line="240" w:lineRule="auto"/>
      <w:ind w:left="2880" w:right="72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3527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022F"/>
    <w:rPr>
      <w:rFonts w:ascii="Times New Roman Bold" w:hAnsi="Times New Roman Bold" w:eastAsiaTheme="minorEastAsia" w:cs="Times New Roman"/>
      <w:b/>
      <w:bCs/>
      <w:sz w:val="24"/>
      <w:szCs w:val="24"/>
    </w:rPr>
  </w:style>
  <w:style w:type="character" w:customStyle="1" w:styleId="Heading3Char">
    <w:name w:val="Heading 3 Char"/>
    <w:basedOn w:val="DefaultParagraphFont"/>
    <w:link w:val="Heading3"/>
    <w:uiPriority w:val="9"/>
    <w:rsid w:val="00365CB9"/>
    <w:rPr>
      <w:rFonts w:ascii="Times New Roman" w:hAnsi="Times New Roman" w:eastAsiaTheme="majorEastAsia" w:cs="Times New Roman"/>
      <w:b/>
      <w:bCs/>
      <w:sz w:val="24"/>
      <w:szCs w:val="24"/>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1"/>
    <w:basedOn w:val="DefaultParagraphFont"/>
    <w:link w:val="FootnoteText"/>
    <w:uiPriority w:val="99"/>
    <w:locked/>
    <w:rsid w:val="00CF1095"/>
    <w:rPr>
      <w:rFonts w:ascii="Times New Roman" w:eastAsia="Times New Roman" w:hAnsi="Times New Roman" w:cs="Times New Roman"/>
      <w:spacing w:val="-5"/>
      <w:sz w:val="20"/>
      <w:szCs w:val="20"/>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unhideWhenUsed/>
    <w:qFormat/>
    <w:rsid w:val="00CF1095"/>
    <w:pPr>
      <w:spacing w:after="120" w:line="240" w:lineRule="auto"/>
    </w:pPr>
    <w:rPr>
      <w:rFonts w:eastAsia="Times New Roman" w:cs="Times New Roman"/>
      <w:spacing w:val="-5"/>
      <w:sz w:val="20"/>
      <w:szCs w:val="20"/>
    </w:rPr>
  </w:style>
  <w:style w:type="character" w:customStyle="1" w:styleId="FootnoteTextChar1">
    <w:name w:val="Footnote Text Char1"/>
    <w:aliases w:val="Footnote Text Char Char,Footnote Text Char Char Char Char,Footnote Text Char Char4 Char Char Char Char,Footnote Text Char1 Char Char,Footnote Text Char4 Char Char Char Char,Footnote Text Char4 Char1 Char Char Char Char Char"/>
    <w:basedOn w:val="DefaultParagraphFont"/>
    <w:uiPriority w:val="99"/>
    <w:rsid w:val="00921526"/>
    <w:rPr>
      <w:rFonts w:ascii="Times New Roman" w:hAnsi="Times New Roman"/>
      <w:sz w:val="20"/>
      <w:szCs w:val="20"/>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uiPriority w:val="99"/>
    <w:unhideWhenUsed/>
    <w:qFormat/>
    <w:rsid w:val="00921526"/>
    <w:rPr>
      <w:vertAlign w:val="superscript"/>
    </w:rPr>
  </w:style>
  <w:style w:type="character" w:styleId="Hyperlink">
    <w:name w:val="Hyperlink"/>
    <w:basedOn w:val="DefaultParagraphFont"/>
    <w:unhideWhenUsed/>
    <w:rsid w:val="00921526"/>
    <w:rPr>
      <w:color w:val="0000FF"/>
      <w:u w:val="single"/>
    </w:rPr>
  </w:style>
  <w:style w:type="character" w:customStyle="1" w:styleId="Heading1Char">
    <w:name w:val="Heading 1 Char"/>
    <w:basedOn w:val="DefaultParagraphFont"/>
    <w:link w:val="Heading1"/>
    <w:uiPriority w:val="9"/>
    <w:rsid w:val="00365CB9"/>
    <w:rPr>
      <w:rFonts w:ascii="Times New Roman Bold" w:hAnsi="Times New Roman Bold" w:eastAsiaTheme="minorEastAsia" w:cstheme="majorBidi"/>
      <w:b/>
      <w:bCs/>
      <w:caps/>
      <w:sz w:val="24"/>
      <w:szCs w:val="28"/>
    </w:rPr>
  </w:style>
  <w:style w:type="table" w:styleId="TableGrid">
    <w:name w:val="Table Grid"/>
    <w:basedOn w:val="TableNormal"/>
    <w:uiPriority w:val="59"/>
    <w:rsid w:val="00E37F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C57"/>
    <w:rPr>
      <w:rFonts w:ascii="Times New Roman" w:hAnsi="Times New Roman"/>
      <w:sz w:val="24"/>
    </w:rPr>
  </w:style>
  <w:style w:type="paragraph" w:styleId="Footer">
    <w:name w:val="footer"/>
    <w:basedOn w:val="Normal"/>
    <w:link w:val="FooterChar"/>
    <w:uiPriority w:val="99"/>
    <w:unhideWhenUsed/>
    <w:rsid w:val="00490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C57"/>
    <w:rPr>
      <w:rFonts w:ascii="Times New Roman" w:hAnsi="Times New Roman"/>
      <w:sz w:val="24"/>
    </w:rPr>
  </w:style>
  <w:style w:type="paragraph" w:styleId="BalloonText">
    <w:name w:val="Balloon Text"/>
    <w:basedOn w:val="Normal"/>
    <w:link w:val="BalloonTextChar"/>
    <w:uiPriority w:val="99"/>
    <w:semiHidden/>
    <w:unhideWhenUsed/>
    <w:rsid w:val="00897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944"/>
    <w:rPr>
      <w:rFonts w:ascii="Tahoma" w:hAnsi="Tahoma" w:cs="Tahoma"/>
      <w:sz w:val="16"/>
      <w:szCs w:val="16"/>
    </w:rPr>
  </w:style>
  <w:style w:type="character" w:styleId="CommentReference">
    <w:name w:val="annotation reference"/>
    <w:basedOn w:val="DefaultParagraphFont"/>
    <w:uiPriority w:val="99"/>
    <w:semiHidden/>
    <w:unhideWhenUsed/>
    <w:rsid w:val="00F91D6B"/>
    <w:rPr>
      <w:sz w:val="16"/>
      <w:szCs w:val="16"/>
    </w:rPr>
  </w:style>
  <w:style w:type="paragraph" w:styleId="CommentText">
    <w:name w:val="annotation text"/>
    <w:basedOn w:val="Normal"/>
    <w:link w:val="CommentTextChar"/>
    <w:uiPriority w:val="99"/>
    <w:semiHidden/>
    <w:unhideWhenUsed/>
    <w:rsid w:val="00F91D6B"/>
    <w:pPr>
      <w:spacing w:line="240" w:lineRule="auto"/>
    </w:pPr>
    <w:rPr>
      <w:sz w:val="20"/>
      <w:szCs w:val="20"/>
    </w:rPr>
  </w:style>
  <w:style w:type="character" w:customStyle="1" w:styleId="CommentTextChar">
    <w:name w:val="Comment Text Char"/>
    <w:basedOn w:val="DefaultParagraphFont"/>
    <w:link w:val="CommentText"/>
    <w:uiPriority w:val="99"/>
    <w:semiHidden/>
    <w:rsid w:val="00F91D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1D6B"/>
    <w:rPr>
      <w:b/>
      <w:bCs/>
    </w:rPr>
  </w:style>
  <w:style w:type="character" w:customStyle="1" w:styleId="CommentSubjectChar">
    <w:name w:val="Comment Subject Char"/>
    <w:basedOn w:val="CommentTextChar"/>
    <w:link w:val="CommentSubject"/>
    <w:uiPriority w:val="99"/>
    <w:semiHidden/>
    <w:rsid w:val="00F91D6B"/>
    <w:rPr>
      <w:rFonts w:ascii="Times New Roman" w:hAnsi="Times New Roman"/>
      <w:b/>
      <w:bCs/>
      <w:sz w:val="20"/>
      <w:szCs w:val="20"/>
    </w:rPr>
  </w:style>
  <w:style w:type="paragraph" w:styleId="ListParagraph">
    <w:name w:val="List Paragraph"/>
    <w:basedOn w:val="Normal"/>
    <w:uiPriority w:val="34"/>
    <w:qFormat/>
    <w:rsid w:val="00F91D6B"/>
    <w:pPr>
      <w:ind w:left="720"/>
      <w:contextualSpacing/>
    </w:pPr>
  </w:style>
  <w:style w:type="paragraph" w:styleId="BodyText">
    <w:name w:val="Body Text"/>
    <w:basedOn w:val="Normal"/>
    <w:link w:val="BodyTextChar"/>
    <w:rsid w:val="00475BCD"/>
    <w:pPr>
      <w:widowControl w:val="0"/>
      <w:overflowPunct w:val="0"/>
      <w:adjustRightInd w:val="0"/>
      <w:spacing w:after="120" w:line="240" w:lineRule="auto"/>
    </w:pPr>
    <w:rPr>
      <w:rFonts w:eastAsia="Times New Roman" w:cs="Times New Roman"/>
      <w:kern w:val="28"/>
      <w:szCs w:val="24"/>
    </w:rPr>
  </w:style>
  <w:style w:type="character" w:customStyle="1" w:styleId="BodyTextChar">
    <w:name w:val="Body Text Char"/>
    <w:basedOn w:val="DefaultParagraphFont"/>
    <w:link w:val="BodyText"/>
    <w:rsid w:val="00475BCD"/>
    <w:rPr>
      <w:rFonts w:ascii="Times New Roman" w:eastAsia="Times New Roman" w:hAnsi="Times New Roman" w:cs="Times New Roman"/>
      <w:kern w:val="28"/>
      <w:sz w:val="24"/>
      <w:szCs w:val="24"/>
    </w:rPr>
  </w:style>
  <w:style w:type="character" w:customStyle="1" w:styleId="apple-converted-space">
    <w:name w:val="apple-converted-space"/>
    <w:basedOn w:val="DefaultParagraphFont"/>
    <w:rsid w:val="00AE0D6F"/>
  </w:style>
  <w:style w:type="paragraph" w:styleId="TOC1">
    <w:name w:val="toc 1"/>
    <w:basedOn w:val="Normal"/>
    <w:next w:val="Normal"/>
    <w:autoRedefine/>
    <w:uiPriority w:val="39"/>
    <w:unhideWhenUsed/>
    <w:qFormat/>
    <w:rsid w:val="00D13515"/>
    <w:pPr>
      <w:tabs>
        <w:tab w:val="decimal" w:leader="dot" w:pos="8640"/>
      </w:tabs>
      <w:spacing w:after="240" w:line="240" w:lineRule="auto"/>
      <w:ind w:left="720" w:hanging="720"/>
    </w:pPr>
    <w:rPr>
      <w:caps/>
    </w:rPr>
  </w:style>
  <w:style w:type="paragraph" w:styleId="TOC2">
    <w:name w:val="toc 2"/>
    <w:basedOn w:val="Normal"/>
    <w:next w:val="Normal"/>
    <w:autoRedefine/>
    <w:uiPriority w:val="39"/>
    <w:unhideWhenUsed/>
    <w:qFormat/>
    <w:rsid w:val="00E90D37"/>
    <w:pPr>
      <w:tabs>
        <w:tab w:val="decimal" w:leader="dot" w:pos="8640"/>
      </w:tabs>
      <w:spacing w:after="240" w:line="240" w:lineRule="auto"/>
      <w:outlineLvl w:val="1"/>
    </w:pPr>
    <w:rPr>
      <w:rFonts w:cs="Times New Roman"/>
      <w:bCs/>
      <w:noProof/>
    </w:rPr>
  </w:style>
  <w:style w:type="paragraph" w:styleId="TOC3">
    <w:name w:val="toc 3"/>
    <w:basedOn w:val="Normal"/>
    <w:next w:val="Normal"/>
    <w:autoRedefine/>
    <w:uiPriority w:val="39"/>
    <w:unhideWhenUsed/>
    <w:qFormat/>
    <w:rsid w:val="00365CB9"/>
    <w:pPr>
      <w:tabs>
        <w:tab w:val="left" w:pos="2160"/>
        <w:tab w:val="decimal" w:leader="dot" w:pos="8640"/>
      </w:tabs>
      <w:spacing w:after="240" w:line="240" w:lineRule="auto"/>
      <w:ind w:left="2160" w:hanging="720"/>
    </w:pPr>
  </w:style>
  <w:style w:type="character" w:customStyle="1" w:styleId="Heading4Char">
    <w:name w:val="Heading 4 Char"/>
    <w:basedOn w:val="DefaultParagraphFont"/>
    <w:link w:val="Heading4"/>
    <w:uiPriority w:val="9"/>
    <w:rsid w:val="00E90D37"/>
    <w:rPr>
      <w:rFonts w:ascii="Times New Roman Bold" w:hAnsi="Times New Roman Bold" w:eastAsiaTheme="majorEastAsia" w:cstheme="majorBidi"/>
      <w:b/>
      <w:bCs/>
      <w:iCs/>
      <w:sz w:val="24"/>
    </w:rPr>
  </w:style>
  <w:style w:type="character" w:customStyle="1" w:styleId="FootnoteTextChar3">
    <w:name w:val="Footnote Text Char3"/>
    <w:aliases w:val="Footnote Text Char Char Char,Footnote Text Char Char Char Char Char,Footnote Text Char1 Char,Footnote Text Char1 Char Char1 Char,Footnote Text Char1 Char Char1 Char Char Char Char,Footnote Text Char2 Char Char Char Char1 Char,fn Char"/>
    <w:semiHidden/>
    <w:locked/>
    <w:rsid w:val="00FF46FF"/>
    <w:rPr>
      <w:lang w:val="en-US" w:eastAsia="en-US" w:bidi="ar-SA"/>
    </w:rPr>
  </w:style>
  <w:style w:type="paragraph" w:styleId="TOC4">
    <w:name w:val="toc 4"/>
    <w:basedOn w:val="Normal"/>
    <w:next w:val="Normal"/>
    <w:autoRedefine/>
    <w:uiPriority w:val="39"/>
    <w:unhideWhenUsed/>
    <w:qFormat/>
    <w:rsid w:val="00E90D37"/>
    <w:pPr>
      <w:tabs>
        <w:tab w:val="decimal" w:leader="dot" w:pos="8640"/>
      </w:tabs>
      <w:spacing w:after="240" w:line="240" w:lineRule="auto"/>
      <w:ind w:left="2880" w:hanging="720"/>
    </w:pPr>
  </w:style>
  <w:style w:type="paragraph" w:styleId="TOC5">
    <w:name w:val="toc 5"/>
    <w:basedOn w:val="Normal"/>
    <w:next w:val="Normal"/>
    <w:autoRedefine/>
    <w:uiPriority w:val="39"/>
    <w:semiHidden/>
    <w:unhideWhenUsed/>
    <w:rsid w:val="003F5D42"/>
    <w:pPr>
      <w:tabs>
        <w:tab w:val="left" w:pos="720"/>
        <w:tab w:val="left" w:pos="1440"/>
        <w:tab w:val="left" w:pos="2160"/>
        <w:tab w:val="decimal" w:leader="dot" w:pos="8640"/>
      </w:tabs>
      <w:spacing w:after="240" w:line="240" w:lineRule="auto"/>
      <w:ind w:left="3600" w:hanging="720"/>
    </w:pPr>
  </w:style>
  <w:style w:type="character" w:customStyle="1" w:styleId="Heading5Char">
    <w:name w:val="Heading 5 Char"/>
    <w:basedOn w:val="DefaultParagraphFont"/>
    <w:link w:val="Heading5"/>
    <w:uiPriority w:val="9"/>
    <w:rsid w:val="00352742"/>
    <w:rPr>
      <w:rFonts w:asciiTheme="majorHAnsi" w:eastAsiaTheme="majorEastAsia" w:hAnsiTheme="majorHAnsi" w:cstheme="majorBidi"/>
      <w:color w:val="243F60" w:themeColor="accent1" w:themeShade="7F"/>
      <w:sz w:val="24"/>
    </w:rPr>
  </w:style>
  <w:style w:type="character" w:customStyle="1" w:styleId="sssh">
    <w:name w:val="ss_sh"/>
    <w:basedOn w:val="DefaultParagraphFont"/>
    <w:rsid w:val="004D5C08"/>
  </w:style>
  <w:style w:type="character" w:customStyle="1" w:styleId="ssrptrline">
    <w:name w:val="ss_rptrline"/>
    <w:rsid w:val="00D44B24"/>
  </w:style>
  <w:style w:type="character" w:customStyle="1" w:styleId="ssnonpaginatedrptr">
    <w:name w:val="ss_nonpaginatedrptr"/>
    <w:rsid w:val="00D44B24"/>
  </w:style>
  <w:style w:type="paragraph" w:styleId="HTMLPreformatted">
    <w:name w:val="HTML Preformatted"/>
    <w:basedOn w:val="Normal"/>
    <w:link w:val="HTMLPreformattedChar"/>
    <w:rsid w:val="00A45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A4515D"/>
    <w:rPr>
      <w:rFonts w:ascii="Courier New" w:eastAsia="Courier New" w:hAnsi="Courier New" w:cs="Courier New"/>
      <w:sz w:val="20"/>
      <w:szCs w:val="20"/>
    </w:rPr>
  </w:style>
  <w:style w:type="paragraph" w:styleId="BodyTextIndent3">
    <w:name w:val="Body Text Indent 3"/>
    <w:basedOn w:val="Normal"/>
    <w:link w:val="BodyTextIndent3Char"/>
    <w:uiPriority w:val="99"/>
    <w:semiHidden/>
    <w:unhideWhenUsed/>
    <w:rsid w:val="00A4515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4515D"/>
    <w:rPr>
      <w:rFonts w:ascii="Times New Roman" w:hAnsi="Times New Roman"/>
      <w:sz w:val="16"/>
      <w:szCs w:val="16"/>
    </w:rPr>
  </w:style>
  <w:style w:type="paragraph" w:styleId="Revision">
    <w:name w:val="Revision"/>
    <w:hidden/>
    <w:uiPriority w:val="99"/>
    <w:semiHidden/>
    <w:rsid w:val="009E65EE"/>
    <w:pPr>
      <w:spacing w:after="0" w:line="240" w:lineRule="auto"/>
    </w:pPr>
    <w:rPr>
      <w:rFonts w:ascii="Times New Roman" w:hAnsi="Times New Roman"/>
      <w:sz w:val="24"/>
    </w:rPr>
  </w:style>
  <w:style w:type="paragraph" w:customStyle="1" w:styleId="p1">
    <w:name w:val="p1"/>
    <w:basedOn w:val="Normal"/>
    <w:rsid w:val="00D90472"/>
    <w:pPr>
      <w:spacing w:after="0" w:line="240" w:lineRule="auto"/>
    </w:pPr>
    <w:rPr>
      <w:rFonts w:ascii="Verdana" w:hAnsi="Verdana" w:cs="Times New Roman"/>
      <w:sz w:val="19"/>
      <w:szCs w:val="19"/>
    </w:rPr>
  </w:style>
  <w:style w:type="character" w:customStyle="1" w:styleId="s1">
    <w:name w:val="s1"/>
    <w:basedOn w:val="DefaultParagraphFont"/>
    <w:rsid w:val="00D90472"/>
  </w:style>
  <w:style w:type="table" w:customStyle="1" w:styleId="TableGrid2">
    <w:name w:val="Table Grid2"/>
    <w:basedOn w:val="TableNormal"/>
    <w:next w:val="TableGrid"/>
    <w:rsid w:val="00D65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2265</Words>
  <Characters>12914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Duke 16-576 - Memo Contra Duke Motion for Waiver  (00048585.DOCX;3)</vt:lpstr>
    </vt:vector>
  </TitlesOfParts>
  <Company/>
  <LinksUpToDate>false</LinksUpToDate>
  <CharactersWithSpaces>15149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2017-10-27T17:22:21Z</dcterms:created>
  <dcterms:modified xsi:type="dcterms:W3CDTF">2017-10-27T17:22:21Z</dcterms:modified>
</cp:coreProperties>
</file>