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89E" w:rsidRPr="00C1289E" w:rsidRDefault="00C1289E" w:rsidP="00C1289E">
      <w:pPr>
        <w:tabs>
          <w:tab w:val="center" w:pos="4770"/>
          <w:tab w:val="right" w:pos="9360"/>
        </w:tabs>
        <w:jc w:val="center"/>
        <w:rPr>
          <w:rFonts w:ascii="Arial" w:hAnsi="Arial" w:cs="Arial"/>
          <w:b/>
          <w:sz w:val="20"/>
        </w:rPr>
      </w:pPr>
      <w:bookmarkStart w:id="0" w:name="_GoBack"/>
      <w:r w:rsidRPr="00C1289E">
        <w:rPr>
          <w:rFonts w:ascii="Arial" w:hAnsi="Arial" w:cs="Arial"/>
          <w:b/>
          <w:sz w:val="20"/>
        </w:rPr>
        <w:t>EXHIBIT A</w:t>
      </w:r>
    </w:p>
    <w:bookmarkEnd w:id="0"/>
    <w:p w:rsidR="008869C3" w:rsidRPr="00A6473F" w:rsidRDefault="008869C3" w:rsidP="008869C3">
      <w:pPr>
        <w:tabs>
          <w:tab w:val="center" w:pos="4770"/>
          <w:tab w:val="right" w:pos="9360"/>
        </w:tabs>
        <w:rPr>
          <w:rFonts w:ascii="Arial" w:hAnsi="Arial" w:cs="Arial"/>
          <w:sz w:val="20"/>
        </w:rPr>
      </w:pPr>
      <w:r w:rsidRPr="00A6473F">
        <w:rPr>
          <w:rFonts w:ascii="Arial" w:hAnsi="Arial" w:cs="Arial"/>
          <w:sz w:val="20"/>
        </w:rPr>
        <w:t>United Telephone Company of Ohio</w:t>
      </w:r>
      <w:r w:rsidRPr="00A6473F">
        <w:rPr>
          <w:rFonts w:ascii="Arial" w:hAnsi="Arial" w:cs="Arial"/>
          <w:sz w:val="20"/>
        </w:rPr>
        <w:tab/>
      </w:r>
      <w:r w:rsidRPr="00A6473F">
        <w:rPr>
          <w:rFonts w:ascii="Arial" w:hAnsi="Arial" w:cs="Arial"/>
          <w:sz w:val="20"/>
        </w:rPr>
        <w:tab/>
        <w:t>Section 1</w:t>
      </w:r>
    </w:p>
    <w:p w:rsidR="008869C3" w:rsidRPr="00A6473F" w:rsidRDefault="008869C3" w:rsidP="008869C3">
      <w:pPr>
        <w:tabs>
          <w:tab w:val="center" w:pos="4770"/>
          <w:tab w:val="right" w:pos="9360"/>
        </w:tabs>
        <w:rPr>
          <w:rFonts w:ascii="Arial" w:hAnsi="Arial" w:cs="Arial"/>
          <w:sz w:val="20"/>
        </w:rPr>
      </w:pPr>
      <w:r w:rsidRPr="00A6473F">
        <w:rPr>
          <w:rFonts w:ascii="Arial" w:hAnsi="Arial" w:cs="Arial"/>
          <w:sz w:val="20"/>
        </w:rPr>
        <w:t>d/b/a CenturyLink</w:t>
      </w:r>
      <w:r w:rsidRPr="00A6473F">
        <w:rPr>
          <w:rFonts w:ascii="Arial" w:hAnsi="Arial" w:cs="Arial"/>
          <w:sz w:val="20"/>
        </w:rPr>
        <w:tab/>
        <w:t>P.U.C.O. NO. 5</w:t>
      </w:r>
      <w:r w:rsidRPr="00A6473F">
        <w:rPr>
          <w:rFonts w:ascii="Arial" w:hAnsi="Arial" w:cs="Arial"/>
          <w:sz w:val="20"/>
        </w:rPr>
        <w:tab/>
      </w:r>
    </w:p>
    <w:p w:rsidR="008869C3" w:rsidRPr="00A6473F" w:rsidRDefault="008869C3" w:rsidP="008869C3">
      <w:pPr>
        <w:tabs>
          <w:tab w:val="center" w:pos="4770"/>
          <w:tab w:val="right" w:pos="9360"/>
          <w:tab w:val="right" w:pos="10080"/>
        </w:tabs>
        <w:rPr>
          <w:rFonts w:ascii="Arial" w:hAnsi="Arial" w:cs="Arial"/>
          <w:sz w:val="20"/>
        </w:rPr>
      </w:pPr>
      <w:r w:rsidRPr="00A6473F">
        <w:rPr>
          <w:rFonts w:ascii="Arial" w:hAnsi="Arial" w:cs="Arial"/>
          <w:sz w:val="20"/>
        </w:rPr>
        <w:tab/>
        <w:t>GENERAL EXCHANGE TARIFF</w:t>
      </w:r>
      <w:r w:rsidRPr="00A6473F">
        <w:rPr>
          <w:rFonts w:ascii="Arial" w:hAnsi="Arial" w:cs="Arial"/>
          <w:sz w:val="20"/>
        </w:rPr>
        <w:tab/>
      </w:r>
      <w:r w:rsidRPr="00A6473F">
        <w:rPr>
          <w:rFonts w:ascii="Arial" w:hAnsi="Arial" w:cs="Arial"/>
          <w:sz w:val="20"/>
        </w:rPr>
        <w:tab/>
      </w:r>
    </w:p>
    <w:p w:rsidR="008869C3" w:rsidRPr="00A6473F" w:rsidRDefault="008869C3" w:rsidP="008869C3">
      <w:pPr>
        <w:pStyle w:val="OmniPage2"/>
        <w:tabs>
          <w:tab w:val="clear" w:pos="1179"/>
          <w:tab w:val="clear" w:pos="5564"/>
          <w:tab w:val="right" w:pos="9360"/>
        </w:tabs>
        <w:rPr>
          <w:rFonts w:ascii="Arial" w:hAnsi="Arial" w:cs="Arial"/>
        </w:rPr>
      </w:pPr>
      <w:r w:rsidRPr="00A6473F">
        <w:tab/>
      </w:r>
      <w:r w:rsidRPr="00A6473F">
        <w:tab/>
      </w:r>
      <w:r w:rsidRPr="00A6473F">
        <w:tab/>
      </w:r>
      <w:r w:rsidRPr="00A6473F">
        <w:tab/>
      </w:r>
      <w:r w:rsidRPr="00A6473F">
        <w:rPr>
          <w:rFonts w:ascii="Arial" w:hAnsi="Arial" w:cs="Arial"/>
        </w:rPr>
        <w:t>Original Sheet 14</w:t>
      </w:r>
    </w:p>
    <w:p w:rsidR="008869C3" w:rsidRPr="00A6473F" w:rsidRDefault="008869C3" w:rsidP="008869C3">
      <w:pPr>
        <w:tabs>
          <w:tab w:val="left" w:pos="720"/>
          <w:tab w:val="left" w:pos="3780"/>
          <w:tab w:val="left" w:pos="5040"/>
          <w:tab w:val="right" w:pos="9720"/>
        </w:tabs>
        <w:rPr>
          <w:rFonts w:ascii="Arial" w:hAnsi="Arial" w:cs="Arial"/>
          <w:sz w:val="20"/>
        </w:rPr>
      </w:pPr>
    </w:p>
    <w:tbl>
      <w:tblPr>
        <w:tblW w:w="10668" w:type="dxa"/>
        <w:tblLayout w:type="fixed"/>
        <w:tblLook w:val="0000" w:firstRow="0" w:lastRow="0" w:firstColumn="0" w:lastColumn="0" w:noHBand="0" w:noVBand="0"/>
      </w:tblPr>
      <w:tblGrid>
        <w:gridCol w:w="9504"/>
        <w:gridCol w:w="1152"/>
        <w:gridCol w:w="12"/>
      </w:tblGrid>
      <w:tr w:rsidR="008869C3" w:rsidRPr="00A6473F" w:rsidTr="008A1B7A">
        <w:tc>
          <w:tcPr>
            <w:tcW w:w="9504" w:type="dxa"/>
          </w:tcPr>
          <w:p w:rsidR="008869C3" w:rsidRPr="00A6473F" w:rsidRDefault="008869C3" w:rsidP="008A1B7A">
            <w:pPr>
              <w:jc w:val="center"/>
              <w:rPr>
                <w:rFonts w:ascii="Arial" w:hAnsi="Arial" w:cs="Arial"/>
                <w:sz w:val="20"/>
              </w:rPr>
            </w:pPr>
            <w:r w:rsidRPr="00A6473F">
              <w:rPr>
                <w:rFonts w:ascii="Arial" w:hAnsi="Arial" w:cs="Arial"/>
                <w:sz w:val="20"/>
              </w:rPr>
              <w:t>GENERAL REGULATIONS</w:t>
            </w:r>
          </w:p>
        </w:tc>
        <w:tc>
          <w:tcPr>
            <w:tcW w:w="1164" w:type="dxa"/>
            <w:gridSpan w:val="2"/>
            <w:vMerge w:val="restart"/>
          </w:tcPr>
          <w:p w:rsidR="008869C3" w:rsidRPr="00A6473F" w:rsidRDefault="008869C3" w:rsidP="008A1B7A">
            <w:pPr>
              <w:tabs>
                <w:tab w:val="left" w:pos="456"/>
              </w:tabs>
              <w:rPr>
                <w:rFonts w:ascii="Arial" w:hAnsi="Arial" w:cs="Arial"/>
                <w:sz w:val="20"/>
              </w:rPr>
            </w:pPr>
          </w:p>
        </w:tc>
      </w:tr>
      <w:tr w:rsidR="008869C3" w:rsidRPr="00A6473F" w:rsidTr="008A1B7A">
        <w:tc>
          <w:tcPr>
            <w:tcW w:w="9504" w:type="dxa"/>
          </w:tcPr>
          <w:p w:rsidR="008869C3" w:rsidRPr="00A6473F" w:rsidRDefault="008869C3" w:rsidP="008A1B7A">
            <w:pPr>
              <w:jc w:val="both"/>
              <w:rPr>
                <w:rFonts w:ascii="Arial" w:hAnsi="Arial" w:cs="Arial"/>
                <w:sz w:val="20"/>
              </w:rPr>
            </w:pPr>
          </w:p>
        </w:tc>
        <w:tc>
          <w:tcPr>
            <w:tcW w:w="1164" w:type="dxa"/>
            <w:gridSpan w:val="2"/>
            <w:vMerge/>
          </w:tcPr>
          <w:p w:rsidR="008869C3" w:rsidRPr="00A6473F" w:rsidRDefault="008869C3" w:rsidP="008A1B7A">
            <w:pPr>
              <w:jc w:val="center"/>
              <w:rPr>
                <w:rFonts w:ascii="Arial" w:hAnsi="Arial" w:cs="Arial"/>
                <w:sz w:val="20"/>
              </w:rPr>
            </w:pPr>
          </w:p>
        </w:tc>
      </w:tr>
      <w:tr w:rsidR="008869C3" w:rsidRPr="00A6473F" w:rsidTr="008A1B7A">
        <w:tc>
          <w:tcPr>
            <w:tcW w:w="9504" w:type="dxa"/>
          </w:tcPr>
          <w:p w:rsidR="008869C3" w:rsidRPr="00A6473F" w:rsidRDefault="008869C3" w:rsidP="008A1B7A">
            <w:pPr>
              <w:jc w:val="both"/>
              <w:rPr>
                <w:rFonts w:ascii="Arial" w:hAnsi="Arial" w:cs="Arial"/>
                <w:sz w:val="20"/>
              </w:rPr>
            </w:pPr>
          </w:p>
        </w:tc>
        <w:tc>
          <w:tcPr>
            <w:tcW w:w="1164" w:type="dxa"/>
            <w:gridSpan w:val="2"/>
            <w:vMerge/>
          </w:tcPr>
          <w:p w:rsidR="008869C3" w:rsidRPr="00A6473F" w:rsidRDefault="008869C3" w:rsidP="008A1B7A">
            <w:pPr>
              <w:jc w:val="center"/>
              <w:rPr>
                <w:rFonts w:ascii="Arial" w:hAnsi="Arial" w:cs="Arial"/>
                <w:sz w:val="20"/>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r w:rsidRPr="00A6473F">
              <w:rPr>
                <w:rFonts w:ascii="Arial" w:hAnsi="Arial" w:cs="Arial"/>
              </w:rPr>
              <w:t>XX.</w:t>
            </w:r>
            <w:r w:rsidRPr="00A6473F">
              <w:rPr>
                <w:rFonts w:ascii="Arial" w:hAnsi="Arial" w:cs="Arial"/>
              </w:rPr>
              <w:tab/>
              <w:t>TELECOMMUNICATIONS SERVICE PRIORITY (</w:t>
            </w:r>
            <w:smartTag w:uri="urn:schemas-microsoft-com:office:smarttags" w:element="stockticker">
              <w:r w:rsidRPr="00A6473F">
                <w:rPr>
                  <w:rFonts w:ascii="Arial" w:hAnsi="Arial" w:cs="Arial"/>
                </w:rPr>
                <w:t>TSP</w:t>
              </w:r>
            </w:smartTag>
            <w:r w:rsidRPr="00A6473F">
              <w:rPr>
                <w:rFonts w:ascii="Arial" w:hAnsi="Arial" w:cs="Arial"/>
              </w:rPr>
              <w:t>) SYSTEM</w:t>
            </w: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r w:rsidRPr="00A6473F">
              <w:rPr>
                <w:rFonts w:ascii="Arial" w:hAnsi="Arial" w:cs="Arial"/>
              </w:rPr>
              <w:tab/>
              <w:t>A.</w:t>
            </w:r>
            <w:r w:rsidRPr="00A6473F">
              <w:rPr>
                <w:rFonts w:ascii="Arial" w:hAnsi="Arial" w:cs="Arial"/>
              </w:rPr>
              <w:tab/>
              <w:t xml:space="preserve">The </w:t>
            </w:r>
            <w:smartTag w:uri="urn:schemas-microsoft-com:office:smarttags" w:element="stockticker">
              <w:r w:rsidRPr="00A6473F">
                <w:rPr>
                  <w:rFonts w:ascii="Arial" w:hAnsi="Arial" w:cs="Arial"/>
                </w:rPr>
                <w:t>TSP</w:t>
              </w:r>
            </w:smartTag>
            <w:r w:rsidRPr="00A6473F">
              <w:rPr>
                <w:rFonts w:ascii="Arial" w:hAnsi="Arial" w:cs="Arial"/>
              </w:rPr>
              <w:t xml:space="preserve"> System is a service, developed to meet the requirements of the Federal Government, which provides the regulatory, administrative and operational framework for the priority installation and/or restoration of National Security Emergency Preparedness (NSEP) telecommunications services.  Priority installation and/or restoration of NSEP telecommunications services shall be provided in accordance with part 64.401, Appendix A, of the Federal Communications Commissions' (FCC's) Rules and Regulations.</w:t>
            </w: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r w:rsidRPr="00A6473F">
              <w:rPr>
                <w:rFonts w:ascii="Arial" w:hAnsi="Arial" w:cs="Arial"/>
              </w:rPr>
              <w:tab/>
              <w:t>B.</w:t>
            </w:r>
            <w:r w:rsidRPr="00A6473F">
              <w:rPr>
                <w:rFonts w:ascii="Arial" w:hAnsi="Arial" w:cs="Arial"/>
              </w:rPr>
              <w:tab/>
              <w:t>Regulations, rates and charges are specified in CenturyLink’s Operating Companies FCC No. 1, Access Service Tariff, Section 13.</w:t>
            </w: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r w:rsidRPr="00A6473F">
              <w:rPr>
                <w:rFonts w:ascii="Arial" w:hAnsi="Arial" w:cs="Arial"/>
              </w:rPr>
              <w:t>XXI.</w:t>
            </w:r>
            <w:r w:rsidRPr="00A6473F">
              <w:rPr>
                <w:rFonts w:ascii="Arial" w:hAnsi="Arial" w:cs="Arial"/>
              </w:rPr>
              <w:tab/>
              <w:t xml:space="preserve">SCHOOL </w:t>
            </w:r>
            <w:smartTag w:uri="urn:schemas-microsoft-com:office:smarttags" w:element="stockticker">
              <w:r w:rsidRPr="00A6473F">
                <w:rPr>
                  <w:rFonts w:ascii="Arial" w:hAnsi="Arial" w:cs="Arial"/>
                </w:rPr>
                <w:t>AND</w:t>
              </w:r>
            </w:smartTag>
            <w:r w:rsidRPr="00A6473F">
              <w:rPr>
                <w:rFonts w:ascii="Arial" w:hAnsi="Arial" w:cs="Arial"/>
              </w:rPr>
              <w:t xml:space="preserve"> LIBRARY DISCOUNTS</w:t>
            </w: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r w:rsidRPr="00A6473F">
              <w:rPr>
                <w:rFonts w:ascii="Arial" w:hAnsi="Arial" w:cs="Arial"/>
              </w:rPr>
              <w:tab/>
              <w:t>A.</w:t>
            </w:r>
            <w:r w:rsidRPr="00A6473F">
              <w:rPr>
                <w:rFonts w:ascii="Arial" w:hAnsi="Arial" w:cs="Arial"/>
              </w:rPr>
              <w:tab/>
              <w:t>Pursuant to Case No. 97-632-TP-COI and to FCC Docket No. 96-45, FCC 97</w:t>
            </w:r>
            <w:r w:rsidRPr="00A6473F">
              <w:rPr>
                <w:rFonts w:ascii="Arial" w:hAnsi="Arial" w:cs="Arial"/>
              </w:rPr>
              <w:noBreakHyphen/>
              <w:t>157 (Universal Service Order), schools and libraries may be eligible for reduced rates funded by the federal universal service fund.</w:t>
            </w: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r w:rsidRPr="00A6473F">
              <w:rPr>
                <w:rFonts w:ascii="Arial" w:hAnsi="Arial" w:cs="Arial"/>
              </w:rPr>
              <w:t>XXII.</w:t>
            </w:r>
            <w:r w:rsidRPr="00A6473F">
              <w:rPr>
                <w:rFonts w:ascii="Arial" w:hAnsi="Arial" w:cs="Arial"/>
              </w:rPr>
              <w:tab/>
              <w:t>TELECOMMUNICATION RELAY SERVICES</w:t>
            </w: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720" w:hanging="720"/>
              <w:rPr>
                <w:rFonts w:ascii="Arial" w:hAnsi="Arial" w:cs="Arial"/>
              </w:rPr>
            </w:pPr>
            <w:r w:rsidRPr="00A6473F">
              <w:rPr>
                <w:rFonts w:ascii="Arial" w:hAnsi="Arial" w:cs="Arial"/>
              </w:rPr>
              <w:tab/>
              <w:t>Customers will be assessed a monthly per line charge to fund the Telecommunications Relay Services for the State of Ohio in accordance with section 4905.84 of the Revised Code.  This charge shall in no event exceed the per end user line (or equivalent) assessment of the Public Utilities Commission of Ohio levied upon the Company.</w:t>
            </w: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bl>
    <w:p w:rsidR="008869C3" w:rsidRPr="00A6473F" w:rsidRDefault="008869C3" w:rsidP="008869C3">
      <w:pPr>
        <w:tabs>
          <w:tab w:val="right" w:pos="9360"/>
        </w:tabs>
        <w:rPr>
          <w:rFonts w:ascii="Arial" w:hAnsi="Arial" w:cs="Arial"/>
          <w:sz w:val="20"/>
        </w:rPr>
      </w:pPr>
    </w:p>
    <w:p w:rsidR="008869C3" w:rsidRPr="00A6473F" w:rsidRDefault="008869C3" w:rsidP="008869C3">
      <w:pPr>
        <w:tabs>
          <w:tab w:val="right" w:pos="9360"/>
        </w:tabs>
        <w:ind w:right="-270"/>
        <w:rPr>
          <w:rFonts w:ascii="Arial" w:hAnsi="Arial" w:cs="Arial"/>
          <w:sz w:val="20"/>
        </w:rPr>
      </w:pPr>
      <w:r w:rsidRPr="00A6473F">
        <w:rPr>
          <w:rFonts w:ascii="Arial" w:hAnsi="Arial" w:cs="Arial"/>
          <w:sz w:val="20"/>
        </w:rPr>
        <w:t xml:space="preserve">Issued:  </w:t>
      </w:r>
      <w:smartTag w:uri="urn:schemas-microsoft-com:office:smarttags" w:element="date">
        <w:smartTagPr>
          <w:attr w:name="Month" w:val="4"/>
          <w:attr w:name="Day" w:val="29"/>
          <w:attr w:name="Year" w:val="2011"/>
        </w:smartTagPr>
        <w:r w:rsidRPr="00A6473F">
          <w:rPr>
            <w:rFonts w:ascii="Arial" w:hAnsi="Arial" w:cs="Arial"/>
            <w:sz w:val="20"/>
          </w:rPr>
          <w:t>April 29, 2011</w:t>
        </w:r>
      </w:smartTag>
      <w:r w:rsidRPr="00A6473F">
        <w:rPr>
          <w:rFonts w:ascii="Arial" w:hAnsi="Arial" w:cs="Arial"/>
          <w:sz w:val="20"/>
        </w:rPr>
        <w:tab/>
        <w:t xml:space="preserve">Effective:  </w:t>
      </w:r>
      <w:smartTag w:uri="urn:schemas-microsoft-com:office:smarttags" w:element="date">
        <w:smartTagPr>
          <w:attr w:name="Month" w:val="5"/>
          <w:attr w:name="Day" w:val="1"/>
          <w:attr w:name="Year" w:val="2011"/>
        </w:smartTagPr>
        <w:r w:rsidRPr="00A6473F">
          <w:rPr>
            <w:rFonts w:ascii="Arial" w:hAnsi="Arial" w:cs="Arial"/>
            <w:sz w:val="20"/>
          </w:rPr>
          <w:t>May 1, 2011</w:t>
        </w:r>
      </w:smartTag>
    </w:p>
    <w:p w:rsidR="008869C3" w:rsidRPr="00A6473F" w:rsidRDefault="008869C3" w:rsidP="008869C3">
      <w:pPr>
        <w:tabs>
          <w:tab w:val="right" w:pos="9360"/>
        </w:tabs>
        <w:ind w:right="-270"/>
        <w:rPr>
          <w:rFonts w:ascii="Arial" w:hAnsi="Arial" w:cs="Arial"/>
          <w:sz w:val="20"/>
        </w:rPr>
      </w:pPr>
    </w:p>
    <w:p w:rsidR="008869C3" w:rsidRPr="00A6473F" w:rsidRDefault="008869C3" w:rsidP="008869C3">
      <w:pPr>
        <w:tabs>
          <w:tab w:val="right" w:pos="9360"/>
        </w:tabs>
        <w:ind w:right="-270"/>
        <w:rPr>
          <w:rFonts w:ascii="Arial" w:hAnsi="Arial" w:cs="Arial"/>
          <w:sz w:val="20"/>
        </w:rPr>
      </w:pPr>
      <w:r w:rsidRPr="00A6473F">
        <w:rPr>
          <w:rFonts w:ascii="Arial" w:hAnsi="Arial" w:cs="Arial"/>
          <w:sz w:val="20"/>
        </w:rPr>
        <w:t xml:space="preserve">United Telephone Company </w:t>
      </w:r>
      <w:proofErr w:type="gramStart"/>
      <w:r w:rsidRPr="00A6473F">
        <w:rPr>
          <w:rFonts w:ascii="Arial" w:hAnsi="Arial" w:cs="Arial"/>
          <w:sz w:val="20"/>
        </w:rPr>
        <w:t>Of</w:t>
      </w:r>
      <w:proofErr w:type="gramEnd"/>
      <w:r w:rsidRPr="00A6473F">
        <w:rPr>
          <w:rFonts w:ascii="Arial" w:hAnsi="Arial" w:cs="Arial"/>
          <w:sz w:val="20"/>
        </w:rPr>
        <w:t xml:space="preserve"> </w:t>
      </w:r>
      <w:smartTag w:uri="urn:schemas-microsoft-com:office:smarttags" w:element="State">
        <w:smartTag w:uri="urn:schemas-microsoft-com:office:smarttags" w:element="place">
          <w:r w:rsidRPr="00A6473F">
            <w:rPr>
              <w:rFonts w:ascii="Arial" w:hAnsi="Arial" w:cs="Arial"/>
              <w:sz w:val="20"/>
            </w:rPr>
            <w:t>Ohio</w:t>
          </w:r>
        </w:smartTag>
      </w:smartTag>
      <w:r w:rsidRPr="00A6473F">
        <w:rPr>
          <w:rFonts w:ascii="Arial" w:hAnsi="Arial" w:cs="Arial"/>
          <w:sz w:val="20"/>
        </w:rPr>
        <w:tab/>
        <w:t>In accordance with Case No.: 90-5041-TP-TRF</w:t>
      </w:r>
    </w:p>
    <w:p w:rsidR="008869C3" w:rsidRPr="00A6473F" w:rsidRDefault="008869C3" w:rsidP="008869C3">
      <w:pPr>
        <w:tabs>
          <w:tab w:val="right" w:pos="9360"/>
        </w:tabs>
        <w:ind w:right="-270"/>
        <w:rPr>
          <w:rFonts w:ascii="Arial" w:hAnsi="Arial" w:cs="Arial"/>
          <w:sz w:val="20"/>
        </w:rPr>
      </w:pPr>
      <w:r w:rsidRPr="00A6473F">
        <w:rPr>
          <w:rFonts w:ascii="Arial" w:hAnsi="Arial" w:cs="Arial"/>
          <w:sz w:val="20"/>
        </w:rPr>
        <w:t>By Duane Ring, Vice President</w:t>
      </w:r>
      <w:r w:rsidRPr="00A6473F">
        <w:rPr>
          <w:rFonts w:ascii="Arial" w:hAnsi="Arial" w:cs="Arial"/>
          <w:sz w:val="20"/>
        </w:rPr>
        <w:tab/>
        <w:t xml:space="preserve">Issued by the Public Utilities Commission of </w:t>
      </w:r>
      <w:smartTag w:uri="urn:schemas-microsoft-com:office:smarttags" w:element="State">
        <w:smartTag w:uri="urn:schemas-microsoft-com:office:smarttags" w:element="place">
          <w:r w:rsidRPr="00A6473F">
            <w:rPr>
              <w:rFonts w:ascii="Arial" w:hAnsi="Arial" w:cs="Arial"/>
              <w:sz w:val="20"/>
            </w:rPr>
            <w:t>Ohio</w:t>
          </w:r>
        </w:smartTag>
      </w:smartTag>
    </w:p>
    <w:p w:rsidR="008869C3" w:rsidRPr="00A6473F" w:rsidRDefault="008869C3" w:rsidP="008869C3">
      <w:pPr>
        <w:tabs>
          <w:tab w:val="right" w:pos="9360"/>
        </w:tabs>
        <w:ind w:right="-270"/>
        <w:rPr>
          <w:rFonts w:ascii="Arial" w:hAnsi="Arial" w:cs="Arial"/>
          <w:sz w:val="20"/>
        </w:rPr>
      </w:pPr>
      <w:proofErr w:type="spellStart"/>
      <w:r w:rsidRPr="00A6473F">
        <w:rPr>
          <w:rFonts w:ascii="Arial" w:hAnsi="Arial" w:cs="Arial"/>
          <w:sz w:val="20"/>
        </w:rPr>
        <w:t>LaCrosse</w:t>
      </w:r>
      <w:proofErr w:type="spellEnd"/>
      <w:r w:rsidRPr="00A6473F">
        <w:rPr>
          <w:rFonts w:ascii="Arial" w:hAnsi="Arial" w:cs="Arial"/>
          <w:sz w:val="20"/>
        </w:rPr>
        <w:t xml:space="preserve">, </w:t>
      </w:r>
      <w:smartTag w:uri="urn:schemas-microsoft-com:office:smarttags" w:element="State">
        <w:smartTag w:uri="urn:schemas-microsoft-com:office:smarttags" w:element="place">
          <w:r w:rsidRPr="00A6473F">
            <w:rPr>
              <w:rFonts w:ascii="Arial" w:hAnsi="Arial" w:cs="Arial"/>
              <w:sz w:val="20"/>
            </w:rPr>
            <w:t>Wisconsin</w:t>
          </w:r>
        </w:smartTag>
      </w:smartTag>
    </w:p>
    <w:p w:rsidR="00DA384C" w:rsidRDefault="008869C3" w:rsidP="008869C3">
      <w:r>
        <w:rPr>
          <w:rFonts w:ascii="Arial" w:hAnsi="Arial" w:cs="Arial"/>
          <w:color w:val="BFBFBF" w:themeColor="background1" w:themeShade="BF"/>
          <w:sz w:val="20"/>
        </w:rPr>
        <w:t>OH 11-01</w:t>
      </w:r>
    </w:p>
    <w:sectPr w:rsidR="00DA384C" w:rsidSect="008869C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801 SWM">
    <w:altName w:val="Cambr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69C3"/>
    <w:rsid w:val="00096DD4"/>
    <w:rsid w:val="00841736"/>
    <w:rsid w:val="008869C3"/>
    <w:rsid w:val="009B3045"/>
    <w:rsid w:val="00A3568F"/>
    <w:rsid w:val="00C1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053623ED"/>
  <w15:chartTrackingRefBased/>
  <w15:docId w15:val="{BDDEF315-0C1C-42F2-B57B-7E2F598C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9C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
    <w:name w:val="OmniPage #2"/>
    <w:uiPriority w:val="99"/>
    <w:rsid w:val="008869C3"/>
    <w:pPr>
      <w:tabs>
        <w:tab w:val="left" w:pos="6"/>
        <w:tab w:val="left" w:pos="56"/>
        <w:tab w:val="left" w:pos="371"/>
        <w:tab w:val="left" w:pos="1179"/>
        <w:tab w:val="left" w:pos="5564"/>
        <w:tab w:val="center" w:pos="9985"/>
        <w:tab w:val="right" w:pos="11234"/>
      </w:tabs>
      <w:spacing w:after="0" w:line="240" w:lineRule="auto"/>
    </w:pPr>
    <w:rPr>
      <w:rFonts w:ascii="Dutch801 SWM" w:eastAsia="Times New Roman" w:hAnsi="Dutch801 SWM" w:cs="Times New Roman"/>
      <w:sz w:val="20"/>
      <w:szCs w:val="20"/>
    </w:rPr>
  </w:style>
  <w:style w:type="paragraph" w:customStyle="1" w:styleId="Tarifftabs">
    <w:name w:val="Tariff tabs"/>
    <w:basedOn w:val="Normal"/>
    <w:uiPriority w:val="99"/>
    <w:rsid w:val="008869C3"/>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Debra A</dc:creator>
  <cp:keywords/>
  <dc:description/>
  <cp:lastModifiedBy>Levy, Debra A</cp:lastModifiedBy>
  <cp:revision>3</cp:revision>
  <dcterms:created xsi:type="dcterms:W3CDTF">2019-08-16T14:44:00Z</dcterms:created>
  <dcterms:modified xsi:type="dcterms:W3CDTF">2019-10-08T22:08:00Z</dcterms:modified>
</cp:coreProperties>
</file>