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DC" w:rsidRDefault="007F08DC" w:rsidP="007F08DC">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Before the</w:t>
      </w:r>
    </w:p>
    <w:p w:rsidR="007F08DC" w:rsidRDefault="007F08DC" w:rsidP="007F08D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Federal Communications Commission</w:t>
      </w:r>
    </w:p>
    <w:p w:rsidR="007F08DC" w:rsidRDefault="007F08DC" w:rsidP="007F08D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Washington, D.C.  20554</w:t>
      </w:r>
    </w:p>
    <w:p w:rsidR="007F08DC" w:rsidRDefault="007F08DC" w:rsidP="007F08DC">
      <w:pPr>
        <w:spacing w:after="0" w:line="240" w:lineRule="auto"/>
        <w:rPr>
          <w:rFonts w:ascii="Times New Roman" w:hAnsi="Times New Roman" w:cs="Times New Roman"/>
          <w:b/>
          <w:sz w:val="26"/>
          <w:szCs w:val="26"/>
        </w:rPr>
      </w:pPr>
    </w:p>
    <w:p w:rsidR="007F08DC" w:rsidRDefault="007F08DC" w:rsidP="007F08DC">
      <w:pPr>
        <w:spacing w:after="0" w:line="240" w:lineRule="auto"/>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289"/>
        <w:gridCol w:w="4508"/>
      </w:tblGrid>
      <w:tr w:rsidR="007F08DC" w:rsidTr="007F08DC">
        <w:tc>
          <w:tcPr>
            <w:tcW w:w="4788" w:type="dxa"/>
          </w:tcPr>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In the Matter of</w:t>
            </w:r>
          </w:p>
          <w:p w:rsidR="007F08DC" w:rsidRDefault="007F08DC" w:rsidP="007F08DC">
            <w:pPr>
              <w:rPr>
                <w:rFonts w:ascii="Times New Roman" w:hAnsi="Times New Roman" w:cs="Times New Roman"/>
                <w:sz w:val="26"/>
                <w:szCs w:val="26"/>
              </w:rPr>
            </w:pPr>
          </w:p>
          <w:p w:rsidR="00524471" w:rsidRDefault="00524471" w:rsidP="007F08DC">
            <w:pPr>
              <w:rPr>
                <w:rFonts w:ascii="Times New Roman" w:hAnsi="Times New Roman" w:cs="Times New Roman"/>
                <w:sz w:val="26"/>
                <w:szCs w:val="26"/>
              </w:rPr>
            </w:pPr>
            <w:r>
              <w:rPr>
                <w:rFonts w:ascii="Times New Roman" w:hAnsi="Times New Roman" w:cs="Times New Roman"/>
                <w:sz w:val="26"/>
                <w:szCs w:val="26"/>
              </w:rPr>
              <w:t>Connect America Fund</w:t>
            </w:r>
          </w:p>
          <w:p w:rsidR="00524471" w:rsidRDefault="00524471"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 xml:space="preserve"> A National Broadband Plan for Our Future</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Establishing Just and Reasonable Rates</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for Local Exchange Carriers</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 xml:space="preserve">High-Cost </w:t>
            </w:r>
            <w:r w:rsidR="00696EA5">
              <w:rPr>
                <w:rFonts w:ascii="Times New Roman" w:hAnsi="Times New Roman" w:cs="Times New Roman"/>
                <w:sz w:val="26"/>
                <w:szCs w:val="26"/>
              </w:rPr>
              <w:t>U</w:t>
            </w:r>
            <w:r>
              <w:rPr>
                <w:rFonts w:ascii="Times New Roman" w:hAnsi="Times New Roman" w:cs="Times New Roman"/>
                <w:sz w:val="26"/>
                <w:szCs w:val="26"/>
              </w:rPr>
              <w:t>niversal Service Support</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Developing a Unified Intercarrier</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Compensation Regime</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Federal-State Joint Board on Universal</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Service</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Lifeline and Link-Up</w:t>
            </w:r>
          </w:p>
        </w:tc>
        <w:tc>
          <w:tcPr>
            <w:tcW w:w="270" w:type="dxa"/>
          </w:tcPr>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t>
            </w:r>
          </w:p>
          <w:p w:rsidR="00604C09" w:rsidRDefault="00604C09" w:rsidP="007F08DC">
            <w:pPr>
              <w:rPr>
                <w:rFonts w:ascii="Times New Roman" w:hAnsi="Times New Roman" w:cs="Times New Roman"/>
                <w:sz w:val="26"/>
                <w:szCs w:val="26"/>
              </w:rPr>
            </w:pPr>
            <w:r>
              <w:rPr>
                <w:rFonts w:ascii="Times New Roman" w:hAnsi="Times New Roman" w:cs="Times New Roman"/>
                <w:sz w:val="26"/>
                <w:szCs w:val="26"/>
              </w:rPr>
              <w:t>:</w:t>
            </w:r>
          </w:p>
          <w:p w:rsidR="007F08DC" w:rsidRDefault="007F08DC" w:rsidP="007F08DC">
            <w:pPr>
              <w:rPr>
                <w:rFonts w:ascii="Times New Roman" w:hAnsi="Times New Roman" w:cs="Times New Roman"/>
                <w:sz w:val="26"/>
                <w:szCs w:val="26"/>
              </w:rPr>
            </w:pPr>
          </w:p>
        </w:tc>
        <w:tc>
          <w:tcPr>
            <w:tcW w:w="4518" w:type="dxa"/>
          </w:tcPr>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WC Docket No. 10-90</w:t>
            </w:r>
          </w:p>
          <w:p w:rsidR="00524471" w:rsidRDefault="00524471"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GN Docket No. 09-51</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WC Docket No. 07-135</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WC Docket No. 05-337</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CC Docket No. 01-92</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CC Docket No. 96-45</w:t>
            </w: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p>
          <w:p w:rsidR="007F08DC" w:rsidRDefault="007F08DC" w:rsidP="007F08DC">
            <w:pPr>
              <w:rPr>
                <w:rFonts w:ascii="Times New Roman" w:hAnsi="Times New Roman" w:cs="Times New Roman"/>
                <w:sz w:val="26"/>
                <w:szCs w:val="26"/>
              </w:rPr>
            </w:pPr>
            <w:r>
              <w:rPr>
                <w:rFonts w:ascii="Times New Roman" w:hAnsi="Times New Roman" w:cs="Times New Roman"/>
                <w:sz w:val="26"/>
                <w:szCs w:val="26"/>
              </w:rPr>
              <w:t>WC Docket No. 03-109</w:t>
            </w:r>
          </w:p>
          <w:p w:rsidR="007F08DC" w:rsidRDefault="007F08DC" w:rsidP="007F08DC">
            <w:pPr>
              <w:rPr>
                <w:rFonts w:ascii="Times New Roman" w:hAnsi="Times New Roman" w:cs="Times New Roman"/>
                <w:sz w:val="26"/>
                <w:szCs w:val="26"/>
              </w:rPr>
            </w:pPr>
          </w:p>
        </w:tc>
      </w:tr>
    </w:tbl>
    <w:p w:rsidR="007F08DC" w:rsidRDefault="007F08DC" w:rsidP="007F08DC">
      <w:pPr>
        <w:tabs>
          <w:tab w:val="left" w:pos="4770"/>
        </w:tabs>
        <w:spacing w:after="0" w:line="240" w:lineRule="auto"/>
        <w:rPr>
          <w:rFonts w:ascii="Times New Roman" w:hAnsi="Times New Roman" w:cs="Times New Roman"/>
          <w:sz w:val="26"/>
          <w:szCs w:val="26"/>
        </w:rPr>
      </w:pPr>
    </w:p>
    <w:p w:rsidR="007F08DC" w:rsidRDefault="007F08DC" w:rsidP="007F08DC">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7F08DC" w:rsidRDefault="007F08DC" w:rsidP="007F08DC">
      <w:pPr>
        <w:tabs>
          <w:tab w:val="left" w:pos="4770"/>
          <w:tab w:val="left" w:pos="8640"/>
        </w:tabs>
        <w:spacing w:after="0" w:line="240" w:lineRule="auto"/>
        <w:ind w:left="720" w:hanging="720"/>
        <w:jc w:val="center"/>
        <w:rPr>
          <w:rFonts w:ascii="Times New Roman" w:hAnsi="Times New Roman" w:cs="Times New Roman"/>
          <w:b/>
          <w:sz w:val="32"/>
          <w:szCs w:val="32"/>
        </w:rPr>
      </w:pPr>
      <w:r>
        <w:rPr>
          <w:rFonts w:ascii="Times New Roman" w:hAnsi="Times New Roman" w:cs="Times New Roman"/>
          <w:b/>
          <w:sz w:val="32"/>
          <w:szCs w:val="32"/>
        </w:rPr>
        <w:t xml:space="preserve">COMMENTS </w:t>
      </w:r>
    </w:p>
    <w:p w:rsidR="007F08DC" w:rsidRDefault="007F08DC" w:rsidP="007F08DC">
      <w:pPr>
        <w:tabs>
          <w:tab w:val="left" w:pos="4770"/>
          <w:tab w:val="left" w:pos="8640"/>
        </w:tabs>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SUBMITTED ON BEHALF OF</w:t>
      </w:r>
    </w:p>
    <w:p w:rsidR="007F08DC" w:rsidRDefault="007F08DC" w:rsidP="007F08DC">
      <w:pPr>
        <w:tabs>
          <w:tab w:val="left" w:pos="4770"/>
          <w:tab w:val="left" w:pos="8640"/>
        </w:tabs>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THE PUBLIC UTILITIES COMMISSION OF OHIO</w:t>
      </w:r>
    </w:p>
    <w:p w:rsidR="007F08DC" w:rsidRDefault="007F08DC" w:rsidP="007F08DC">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E57D1B" w:rsidRDefault="00E57D1B"/>
    <w:p w:rsidR="00830C85" w:rsidRDefault="00830C85"/>
    <w:p w:rsidR="00830C85" w:rsidRDefault="00830C85"/>
    <w:p w:rsidR="00830C85" w:rsidRDefault="00830C85"/>
    <w:p w:rsidR="00830C85" w:rsidRDefault="00830C85"/>
    <w:p w:rsidR="00830C85" w:rsidRDefault="00830C85" w:rsidP="00830C85">
      <w:pPr>
        <w:jc w:val="center"/>
        <w:rPr>
          <w:rFonts w:ascii="Times New Roman" w:hAnsi="Times New Roman" w:cs="Times New Roman"/>
          <w:sz w:val="24"/>
          <w:szCs w:val="24"/>
        </w:rPr>
      </w:pPr>
      <w:r w:rsidRPr="00830C85">
        <w:rPr>
          <w:rFonts w:ascii="Times New Roman" w:hAnsi="Times New Roman" w:cs="Times New Roman"/>
          <w:sz w:val="24"/>
          <w:szCs w:val="24"/>
        </w:rPr>
        <w:t>August 24, 2011</w:t>
      </w:r>
    </w:p>
    <w:p w:rsidR="00A94A78" w:rsidRDefault="00A94A78" w:rsidP="00830C85">
      <w:pPr>
        <w:jc w:val="center"/>
        <w:rPr>
          <w:rFonts w:ascii="Times New Roman" w:hAnsi="Times New Roman" w:cs="Times New Roman"/>
          <w:sz w:val="24"/>
          <w:szCs w:val="24"/>
        </w:rPr>
        <w:sectPr w:rsidR="00A94A78" w:rsidSect="00A94A78">
          <w:headerReference w:type="default"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4920B3" w:rsidRDefault="00E70FB4">
      <w:pPr>
        <w:pStyle w:val="TOC1"/>
        <w:rPr>
          <w:rFonts w:asciiTheme="minorHAnsi" w:hAnsiTheme="minorHAnsi"/>
          <w:noProof/>
          <w:sz w:val="22"/>
        </w:rPr>
      </w:pPr>
      <w:r>
        <w:rPr>
          <w:rFonts w:cs="Times New Roman"/>
          <w:sz w:val="24"/>
          <w:szCs w:val="24"/>
        </w:rPr>
        <w:lastRenderedPageBreak/>
        <w:fldChar w:fldCharType="begin"/>
      </w:r>
      <w:r w:rsidR="008F4D51">
        <w:rPr>
          <w:rFonts w:cs="Times New Roman"/>
          <w:sz w:val="24"/>
          <w:szCs w:val="24"/>
        </w:rPr>
        <w:instrText xml:space="preserve"> TOC \o "1-5" \u </w:instrText>
      </w:r>
      <w:r>
        <w:rPr>
          <w:rFonts w:cs="Times New Roman"/>
          <w:sz w:val="24"/>
          <w:szCs w:val="24"/>
        </w:rPr>
        <w:fldChar w:fldCharType="separate"/>
      </w:r>
      <w:r w:rsidR="004920B3">
        <w:rPr>
          <w:noProof/>
        </w:rPr>
        <w:t>INTRODUCTION AND SUMMARY</w:t>
      </w:r>
      <w:r w:rsidR="004920B3">
        <w:rPr>
          <w:noProof/>
        </w:rPr>
        <w:tab/>
      </w:r>
      <w:r>
        <w:rPr>
          <w:noProof/>
        </w:rPr>
        <w:fldChar w:fldCharType="begin"/>
      </w:r>
      <w:r w:rsidR="004920B3">
        <w:rPr>
          <w:noProof/>
        </w:rPr>
        <w:instrText xml:space="preserve"> PAGEREF _Toc301769103 \h </w:instrText>
      </w:r>
      <w:r>
        <w:rPr>
          <w:noProof/>
        </w:rPr>
      </w:r>
      <w:r>
        <w:rPr>
          <w:noProof/>
        </w:rPr>
        <w:fldChar w:fldCharType="separate"/>
      </w:r>
      <w:r w:rsidR="00A81257">
        <w:rPr>
          <w:noProof/>
        </w:rPr>
        <w:t>1</w:t>
      </w:r>
      <w:r>
        <w:rPr>
          <w:noProof/>
        </w:rPr>
        <w:fldChar w:fldCharType="end"/>
      </w:r>
    </w:p>
    <w:p w:rsidR="004920B3" w:rsidRDefault="004920B3">
      <w:pPr>
        <w:pStyle w:val="TOC1"/>
        <w:rPr>
          <w:rFonts w:asciiTheme="minorHAnsi" w:hAnsiTheme="minorHAnsi"/>
          <w:noProof/>
          <w:sz w:val="22"/>
        </w:rPr>
      </w:pPr>
      <w:r>
        <w:rPr>
          <w:noProof/>
        </w:rPr>
        <w:t>DISCUSSION</w:t>
      </w:r>
      <w:r>
        <w:rPr>
          <w:noProof/>
        </w:rPr>
        <w:tab/>
      </w:r>
      <w:r w:rsidR="00046653">
        <w:rPr>
          <w:noProof/>
        </w:rPr>
        <w:t>3</w:t>
      </w:r>
    </w:p>
    <w:p w:rsidR="004920B3" w:rsidRDefault="004920B3">
      <w:pPr>
        <w:pStyle w:val="TOC2"/>
        <w:tabs>
          <w:tab w:val="left" w:pos="1382"/>
        </w:tabs>
        <w:rPr>
          <w:rFonts w:asciiTheme="minorHAnsi" w:hAnsiTheme="minorHAnsi"/>
          <w:noProof/>
          <w:sz w:val="22"/>
        </w:rPr>
      </w:pPr>
      <w:r>
        <w:rPr>
          <w:noProof/>
        </w:rPr>
        <w:t>A.</w:t>
      </w:r>
      <w:r>
        <w:rPr>
          <w:rFonts w:asciiTheme="minorHAnsi" w:hAnsiTheme="minorHAnsi"/>
          <w:noProof/>
          <w:sz w:val="22"/>
        </w:rPr>
        <w:tab/>
      </w:r>
      <w:r>
        <w:rPr>
          <w:noProof/>
        </w:rPr>
        <w:t>Section 251(b)(5)</w:t>
      </w:r>
      <w:r>
        <w:rPr>
          <w:noProof/>
        </w:rPr>
        <w:tab/>
      </w:r>
      <w:r w:rsidR="00046653">
        <w:rPr>
          <w:noProof/>
        </w:rPr>
        <w:t>3</w:t>
      </w:r>
    </w:p>
    <w:p w:rsidR="004920B3" w:rsidRDefault="004920B3">
      <w:pPr>
        <w:pStyle w:val="TOC2"/>
        <w:tabs>
          <w:tab w:val="left" w:pos="1382"/>
        </w:tabs>
        <w:rPr>
          <w:rFonts w:asciiTheme="minorHAnsi" w:hAnsiTheme="minorHAnsi"/>
          <w:noProof/>
          <w:sz w:val="22"/>
        </w:rPr>
      </w:pPr>
      <w:r>
        <w:rPr>
          <w:noProof/>
        </w:rPr>
        <w:t>B.</w:t>
      </w:r>
      <w:r>
        <w:rPr>
          <w:rFonts w:asciiTheme="minorHAnsi" w:hAnsiTheme="minorHAnsi"/>
          <w:noProof/>
          <w:sz w:val="22"/>
        </w:rPr>
        <w:tab/>
      </w:r>
      <w:r>
        <w:rPr>
          <w:noProof/>
        </w:rPr>
        <w:t>Doctrine of “Inseverability”</w:t>
      </w:r>
      <w:r>
        <w:rPr>
          <w:noProof/>
        </w:rPr>
        <w:tab/>
      </w:r>
      <w:r w:rsidR="00046653">
        <w:rPr>
          <w:noProof/>
        </w:rPr>
        <w:t>7</w:t>
      </w:r>
    </w:p>
    <w:p w:rsidR="004920B3" w:rsidRDefault="004920B3">
      <w:pPr>
        <w:pStyle w:val="TOC2"/>
        <w:tabs>
          <w:tab w:val="left" w:pos="1382"/>
        </w:tabs>
        <w:rPr>
          <w:rFonts w:asciiTheme="minorHAnsi" w:hAnsiTheme="minorHAnsi"/>
          <w:noProof/>
          <w:sz w:val="22"/>
        </w:rPr>
      </w:pPr>
      <w:r>
        <w:rPr>
          <w:noProof/>
        </w:rPr>
        <w:t>C.</w:t>
      </w:r>
      <w:r>
        <w:rPr>
          <w:rFonts w:asciiTheme="minorHAnsi" w:hAnsiTheme="minorHAnsi"/>
          <w:noProof/>
          <w:sz w:val="22"/>
        </w:rPr>
        <w:tab/>
      </w:r>
      <w:r>
        <w:rPr>
          <w:noProof/>
        </w:rPr>
        <w:t>Conflict Preemption</w:t>
      </w:r>
      <w:r>
        <w:rPr>
          <w:noProof/>
        </w:rPr>
        <w:tab/>
      </w:r>
      <w:r w:rsidR="00046653">
        <w:rPr>
          <w:noProof/>
        </w:rPr>
        <w:t>8</w:t>
      </w:r>
    </w:p>
    <w:p w:rsidR="004920B3" w:rsidRDefault="004920B3">
      <w:pPr>
        <w:pStyle w:val="TOC2"/>
        <w:tabs>
          <w:tab w:val="left" w:pos="1382"/>
        </w:tabs>
        <w:rPr>
          <w:rFonts w:asciiTheme="minorHAnsi" w:hAnsiTheme="minorHAnsi"/>
          <w:noProof/>
          <w:sz w:val="22"/>
        </w:rPr>
      </w:pPr>
      <w:r>
        <w:rPr>
          <w:noProof/>
        </w:rPr>
        <w:t>D.</w:t>
      </w:r>
      <w:r>
        <w:rPr>
          <w:rFonts w:asciiTheme="minorHAnsi" w:hAnsiTheme="minorHAnsi"/>
          <w:noProof/>
          <w:sz w:val="22"/>
        </w:rPr>
        <w:tab/>
      </w:r>
      <w:r>
        <w:rPr>
          <w:noProof/>
        </w:rPr>
        <w:t>COLR/State Legacy Service Obligations Preemption</w:t>
      </w:r>
      <w:r>
        <w:rPr>
          <w:noProof/>
        </w:rPr>
        <w:tab/>
      </w:r>
      <w:r w:rsidR="00046653">
        <w:rPr>
          <w:noProof/>
        </w:rPr>
        <w:t>10</w:t>
      </w:r>
    </w:p>
    <w:p w:rsidR="004920B3" w:rsidRDefault="004920B3">
      <w:pPr>
        <w:pStyle w:val="TOC2"/>
        <w:tabs>
          <w:tab w:val="left" w:pos="1382"/>
        </w:tabs>
        <w:rPr>
          <w:rFonts w:asciiTheme="minorHAnsi" w:hAnsiTheme="minorHAnsi"/>
          <w:noProof/>
          <w:sz w:val="22"/>
        </w:rPr>
      </w:pPr>
      <w:r>
        <w:rPr>
          <w:noProof/>
        </w:rPr>
        <w:t>E.</w:t>
      </w:r>
      <w:r>
        <w:rPr>
          <w:rFonts w:asciiTheme="minorHAnsi" w:hAnsiTheme="minorHAnsi"/>
          <w:noProof/>
          <w:sz w:val="22"/>
        </w:rPr>
        <w:tab/>
      </w:r>
      <w:r>
        <w:rPr>
          <w:noProof/>
        </w:rPr>
        <w:t>State Access Reform</w:t>
      </w:r>
      <w:r>
        <w:rPr>
          <w:noProof/>
        </w:rPr>
        <w:tab/>
      </w:r>
      <w:r w:rsidR="00046653">
        <w:rPr>
          <w:noProof/>
        </w:rPr>
        <w:t>13</w:t>
      </w:r>
    </w:p>
    <w:p w:rsidR="004920B3" w:rsidRDefault="004920B3">
      <w:pPr>
        <w:pStyle w:val="TOC1"/>
        <w:rPr>
          <w:rFonts w:asciiTheme="minorHAnsi" w:hAnsiTheme="minorHAnsi"/>
          <w:noProof/>
          <w:sz w:val="22"/>
        </w:rPr>
      </w:pPr>
      <w:r>
        <w:rPr>
          <w:noProof/>
        </w:rPr>
        <w:t>CONCLUSION</w:t>
      </w:r>
      <w:r>
        <w:rPr>
          <w:noProof/>
        </w:rPr>
        <w:tab/>
      </w:r>
      <w:r w:rsidR="00046653">
        <w:rPr>
          <w:noProof/>
        </w:rPr>
        <w:t>14</w:t>
      </w:r>
    </w:p>
    <w:p w:rsidR="00A94A78" w:rsidRDefault="00E70FB4" w:rsidP="00A94A78">
      <w:pPr>
        <w:rPr>
          <w:rFonts w:ascii="Times New Roman" w:hAnsi="Times New Roman" w:cs="Times New Roman"/>
          <w:sz w:val="24"/>
          <w:szCs w:val="24"/>
        </w:rPr>
      </w:pPr>
      <w:r>
        <w:rPr>
          <w:rFonts w:ascii="Times New Roman" w:hAnsi="Times New Roman" w:cs="Times New Roman"/>
          <w:sz w:val="24"/>
          <w:szCs w:val="24"/>
        </w:rPr>
        <w:fldChar w:fldCharType="end"/>
      </w:r>
    </w:p>
    <w:p w:rsidR="00D1752C" w:rsidRDefault="00D1752C" w:rsidP="00604FE5">
      <w:pPr>
        <w:spacing w:after="0" w:line="240" w:lineRule="auto"/>
        <w:jc w:val="center"/>
        <w:rPr>
          <w:rFonts w:ascii="Times New Roman" w:hAnsi="Times New Roman" w:cs="Times New Roman"/>
          <w:b/>
          <w:sz w:val="26"/>
          <w:szCs w:val="26"/>
        </w:rPr>
        <w:sectPr w:rsidR="00D1752C" w:rsidSect="00D1752C">
          <w:headerReference w:type="default" r:id="rId12"/>
          <w:footerReference w:type="default" r:id="rId13"/>
          <w:footerReference w:type="first" r:id="rId14"/>
          <w:pgSz w:w="12240" w:h="15840"/>
          <w:pgMar w:top="1440" w:right="1440" w:bottom="1440" w:left="1440" w:header="720" w:footer="720" w:gutter="0"/>
          <w:pgNumType w:fmt="lowerRoman" w:start="1"/>
          <w:cols w:space="720"/>
          <w:docGrid w:linePitch="360"/>
        </w:sectPr>
      </w:pPr>
    </w:p>
    <w:p w:rsidR="00604FE5" w:rsidRDefault="00604FE5" w:rsidP="00604FE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Before the</w:t>
      </w:r>
    </w:p>
    <w:p w:rsidR="00604FE5" w:rsidRDefault="00604FE5" w:rsidP="00604FE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Federal Communications Commission</w:t>
      </w:r>
    </w:p>
    <w:p w:rsidR="00604FE5" w:rsidRDefault="00604FE5" w:rsidP="00604FE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Washington, D.C.  20554</w:t>
      </w:r>
    </w:p>
    <w:p w:rsidR="00604FE5" w:rsidRDefault="00604FE5" w:rsidP="00604FE5">
      <w:pPr>
        <w:spacing w:after="0" w:line="240" w:lineRule="auto"/>
        <w:rPr>
          <w:rFonts w:ascii="Times New Roman" w:hAnsi="Times New Roman" w:cs="Times New Roman"/>
          <w:b/>
          <w:sz w:val="26"/>
          <w:szCs w:val="26"/>
        </w:rPr>
      </w:pPr>
    </w:p>
    <w:p w:rsidR="00604FE5" w:rsidRDefault="00604FE5" w:rsidP="00604FE5">
      <w:pPr>
        <w:spacing w:after="0" w:line="240" w:lineRule="auto"/>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289"/>
        <w:gridCol w:w="4508"/>
      </w:tblGrid>
      <w:tr w:rsidR="00604FE5" w:rsidTr="00604FE5">
        <w:tc>
          <w:tcPr>
            <w:tcW w:w="4788" w:type="dxa"/>
          </w:tcPr>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In the Matter of</w:t>
            </w:r>
          </w:p>
          <w:p w:rsidR="00604FE5" w:rsidRDefault="00604FE5" w:rsidP="00604FE5">
            <w:pPr>
              <w:rPr>
                <w:rFonts w:ascii="Times New Roman" w:hAnsi="Times New Roman" w:cs="Times New Roman"/>
                <w:sz w:val="26"/>
                <w:szCs w:val="26"/>
              </w:rPr>
            </w:pPr>
          </w:p>
          <w:p w:rsidR="00F4340F" w:rsidRDefault="00604FE5" w:rsidP="00604FE5">
            <w:pPr>
              <w:rPr>
                <w:rFonts w:ascii="Times New Roman" w:hAnsi="Times New Roman" w:cs="Times New Roman"/>
                <w:sz w:val="26"/>
                <w:szCs w:val="26"/>
              </w:rPr>
            </w:pPr>
            <w:r>
              <w:rPr>
                <w:rFonts w:ascii="Times New Roman" w:hAnsi="Times New Roman" w:cs="Times New Roman"/>
                <w:sz w:val="26"/>
                <w:szCs w:val="26"/>
              </w:rPr>
              <w:t>Connect America Fund</w:t>
            </w:r>
          </w:p>
          <w:p w:rsidR="00F4340F" w:rsidRDefault="00F4340F"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A National Broadband Plan for Our Future</w:t>
            </w: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Establishing Just and Reasonable Rates</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for Local Exchange Carriers</w:t>
            </w: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 xml:space="preserve">High-Cost </w:t>
            </w:r>
            <w:r w:rsidR="00696EA5">
              <w:rPr>
                <w:rFonts w:ascii="Times New Roman" w:hAnsi="Times New Roman" w:cs="Times New Roman"/>
                <w:sz w:val="26"/>
                <w:szCs w:val="26"/>
              </w:rPr>
              <w:t>U</w:t>
            </w:r>
            <w:r>
              <w:rPr>
                <w:rFonts w:ascii="Times New Roman" w:hAnsi="Times New Roman" w:cs="Times New Roman"/>
                <w:sz w:val="26"/>
                <w:szCs w:val="26"/>
              </w:rPr>
              <w:t>niversal Service Support</w:t>
            </w: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Developing a Unified Intercarrier</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Compensation Regime</w:t>
            </w: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Federal-State Joint Board on Universal</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Service</w:t>
            </w: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Lifeline and Link-Up</w:t>
            </w:r>
          </w:p>
        </w:tc>
        <w:tc>
          <w:tcPr>
            <w:tcW w:w="270" w:type="dxa"/>
          </w:tcPr>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t>
            </w:r>
          </w:p>
          <w:p w:rsidR="00604FE5" w:rsidRDefault="00F4340F" w:rsidP="00604FE5">
            <w:pPr>
              <w:rPr>
                <w:rFonts w:ascii="Times New Roman" w:hAnsi="Times New Roman" w:cs="Times New Roman"/>
                <w:sz w:val="26"/>
                <w:szCs w:val="26"/>
              </w:rPr>
            </w:pPr>
            <w:r>
              <w:rPr>
                <w:rFonts w:ascii="Times New Roman" w:hAnsi="Times New Roman" w:cs="Times New Roman"/>
                <w:sz w:val="26"/>
                <w:szCs w:val="26"/>
              </w:rPr>
              <w:t>:</w:t>
            </w:r>
          </w:p>
        </w:tc>
        <w:tc>
          <w:tcPr>
            <w:tcW w:w="4518" w:type="dxa"/>
          </w:tcPr>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WC Docket No. 10-90</w:t>
            </w:r>
          </w:p>
          <w:p w:rsidR="00F4340F" w:rsidRDefault="00F4340F" w:rsidP="00596FC8">
            <w:pPr>
              <w:rPr>
                <w:rFonts w:ascii="Times New Roman" w:hAnsi="Times New Roman" w:cs="Times New Roman"/>
                <w:sz w:val="26"/>
                <w:szCs w:val="26"/>
              </w:rPr>
            </w:pPr>
          </w:p>
          <w:p w:rsidR="00596FC8" w:rsidRDefault="00596FC8" w:rsidP="00596FC8">
            <w:pPr>
              <w:rPr>
                <w:rFonts w:ascii="Times New Roman" w:hAnsi="Times New Roman" w:cs="Times New Roman"/>
                <w:sz w:val="26"/>
                <w:szCs w:val="26"/>
              </w:rPr>
            </w:pPr>
            <w:r>
              <w:rPr>
                <w:rFonts w:ascii="Times New Roman" w:hAnsi="Times New Roman" w:cs="Times New Roman"/>
                <w:sz w:val="26"/>
                <w:szCs w:val="26"/>
              </w:rPr>
              <w:t>GN Docket No. 09-51</w:t>
            </w:r>
          </w:p>
          <w:p w:rsidR="00596FC8" w:rsidRDefault="00596FC8"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WC Docket No. 07-135</w:t>
            </w:r>
          </w:p>
          <w:p w:rsidR="00604FE5" w:rsidRDefault="00604FE5" w:rsidP="00604FE5">
            <w:pPr>
              <w:rPr>
                <w:rFonts w:ascii="Times New Roman" w:hAnsi="Times New Roman" w:cs="Times New Roman"/>
                <w:sz w:val="26"/>
                <w:szCs w:val="26"/>
              </w:rPr>
            </w:pPr>
          </w:p>
          <w:p w:rsidR="00596FC8" w:rsidRDefault="00596FC8"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WC Docket No. 05-337</w:t>
            </w: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r>
              <w:rPr>
                <w:rFonts w:ascii="Times New Roman" w:hAnsi="Times New Roman" w:cs="Times New Roman"/>
                <w:sz w:val="26"/>
                <w:szCs w:val="26"/>
              </w:rPr>
              <w:t>CC Docket No. 01-92</w:t>
            </w:r>
          </w:p>
          <w:p w:rsidR="00604FE5" w:rsidRDefault="00604FE5" w:rsidP="00604FE5">
            <w:pPr>
              <w:rPr>
                <w:rFonts w:ascii="Times New Roman" w:hAnsi="Times New Roman" w:cs="Times New Roman"/>
                <w:sz w:val="26"/>
                <w:szCs w:val="26"/>
              </w:rPr>
            </w:pPr>
          </w:p>
          <w:p w:rsidR="00604FE5" w:rsidRDefault="00604FE5" w:rsidP="00604FE5">
            <w:pPr>
              <w:rPr>
                <w:rFonts w:ascii="Times New Roman" w:hAnsi="Times New Roman" w:cs="Times New Roman"/>
                <w:sz w:val="26"/>
                <w:szCs w:val="26"/>
              </w:rPr>
            </w:pPr>
          </w:p>
          <w:p w:rsidR="00596FC8" w:rsidRDefault="00596FC8" w:rsidP="00596FC8">
            <w:pPr>
              <w:rPr>
                <w:rFonts w:ascii="Times New Roman" w:hAnsi="Times New Roman" w:cs="Times New Roman"/>
                <w:sz w:val="26"/>
                <w:szCs w:val="26"/>
              </w:rPr>
            </w:pPr>
            <w:r>
              <w:rPr>
                <w:rFonts w:ascii="Times New Roman" w:hAnsi="Times New Roman" w:cs="Times New Roman"/>
                <w:sz w:val="26"/>
                <w:szCs w:val="26"/>
              </w:rPr>
              <w:t>CC Docket No. 96-45</w:t>
            </w:r>
          </w:p>
          <w:p w:rsidR="00596FC8" w:rsidRDefault="00596FC8" w:rsidP="00604FE5">
            <w:pPr>
              <w:rPr>
                <w:rFonts w:ascii="Times New Roman" w:hAnsi="Times New Roman" w:cs="Times New Roman"/>
                <w:sz w:val="26"/>
                <w:szCs w:val="26"/>
              </w:rPr>
            </w:pPr>
          </w:p>
          <w:p w:rsidR="007F08DC" w:rsidRDefault="007F08DC" w:rsidP="00596FC8">
            <w:pPr>
              <w:rPr>
                <w:rFonts w:ascii="Times New Roman" w:hAnsi="Times New Roman" w:cs="Times New Roman"/>
                <w:sz w:val="26"/>
                <w:szCs w:val="26"/>
              </w:rPr>
            </w:pPr>
          </w:p>
          <w:p w:rsidR="00604FE5" w:rsidRDefault="00596FC8" w:rsidP="00604FE5">
            <w:pPr>
              <w:rPr>
                <w:rFonts w:ascii="Times New Roman" w:hAnsi="Times New Roman" w:cs="Times New Roman"/>
                <w:sz w:val="26"/>
                <w:szCs w:val="26"/>
              </w:rPr>
            </w:pPr>
            <w:r>
              <w:rPr>
                <w:rFonts w:ascii="Times New Roman" w:hAnsi="Times New Roman" w:cs="Times New Roman"/>
                <w:sz w:val="26"/>
                <w:szCs w:val="26"/>
              </w:rPr>
              <w:t>WC Docket No. 03-109</w:t>
            </w:r>
          </w:p>
          <w:p w:rsidR="00604FE5" w:rsidRDefault="00604FE5" w:rsidP="007F08DC">
            <w:pPr>
              <w:rPr>
                <w:rFonts w:ascii="Times New Roman" w:hAnsi="Times New Roman" w:cs="Times New Roman"/>
                <w:sz w:val="26"/>
                <w:szCs w:val="26"/>
              </w:rPr>
            </w:pPr>
          </w:p>
        </w:tc>
      </w:tr>
    </w:tbl>
    <w:p w:rsidR="00604FE5" w:rsidRDefault="00604FE5" w:rsidP="00604FE5">
      <w:pPr>
        <w:tabs>
          <w:tab w:val="left" w:pos="4770"/>
        </w:tabs>
        <w:spacing w:after="0" w:line="240" w:lineRule="auto"/>
        <w:rPr>
          <w:rFonts w:ascii="Times New Roman" w:hAnsi="Times New Roman" w:cs="Times New Roman"/>
          <w:sz w:val="26"/>
          <w:szCs w:val="26"/>
        </w:rPr>
      </w:pPr>
    </w:p>
    <w:p w:rsidR="00604FE5" w:rsidRDefault="00604FE5" w:rsidP="00604FE5">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604FE5" w:rsidRDefault="00604FE5" w:rsidP="00604FE5">
      <w:pPr>
        <w:tabs>
          <w:tab w:val="left" w:pos="4770"/>
          <w:tab w:val="left" w:pos="8640"/>
        </w:tabs>
        <w:spacing w:after="0" w:line="240" w:lineRule="auto"/>
        <w:ind w:left="720" w:hanging="720"/>
        <w:jc w:val="center"/>
        <w:rPr>
          <w:rFonts w:ascii="Times New Roman" w:hAnsi="Times New Roman" w:cs="Times New Roman"/>
          <w:b/>
          <w:sz w:val="32"/>
          <w:szCs w:val="32"/>
        </w:rPr>
      </w:pPr>
      <w:r>
        <w:rPr>
          <w:rFonts w:ascii="Times New Roman" w:hAnsi="Times New Roman" w:cs="Times New Roman"/>
          <w:b/>
          <w:sz w:val="32"/>
          <w:szCs w:val="32"/>
        </w:rPr>
        <w:t xml:space="preserve">COMMENTS </w:t>
      </w:r>
    </w:p>
    <w:p w:rsidR="00604FE5" w:rsidRDefault="00604FE5" w:rsidP="00604FE5">
      <w:pPr>
        <w:tabs>
          <w:tab w:val="left" w:pos="4770"/>
          <w:tab w:val="left" w:pos="8640"/>
        </w:tabs>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SUBMITTED ON BEHALF OF</w:t>
      </w:r>
    </w:p>
    <w:p w:rsidR="00604FE5" w:rsidRDefault="00604FE5" w:rsidP="00604FE5">
      <w:pPr>
        <w:tabs>
          <w:tab w:val="left" w:pos="4770"/>
          <w:tab w:val="left" w:pos="8640"/>
        </w:tabs>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THE PUBLIC UTILITIES COMMISSION OF OHIO</w:t>
      </w:r>
    </w:p>
    <w:p w:rsidR="00604FE5" w:rsidRDefault="00604FE5" w:rsidP="00604FE5">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604FE5" w:rsidRDefault="00604FE5" w:rsidP="001C1743">
      <w:pPr>
        <w:pStyle w:val="Heading1"/>
      </w:pPr>
      <w:bookmarkStart w:id="1" w:name="_Toc301769103"/>
      <w:r>
        <w:t>INTR</w:t>
      </w:r>
      <w:r w:rsidR="0029298D">
        <w:t>O</w:t>
      </w:r>
      <w:r>
        <w:t>DUCTION AND SUMMARY</w:t>
      </w:r>
      <w:bookmarkEnd w:id="1"/>
    </w:p>
    <w:p w:rsidR="00A8388B" w:rsidRPr="001C1743" w:rsidRDefault="00604FE5" w:rsidP="001C1743">
      <w:pPr>
        <w:pStyle w:val="Textstyle"/>
      </w:pPr>
      <w:r w:rsidRPr="001C1743">
        <w:tab/>
        <w:t>On July 29, 2011, six large telecommunications carriers – AT&amp;T, CenturyLink, FairPoint, Frontier, V</w:t>
      </w:r>
      <w:r w:rsidR="00DB4132" w:rsidRPr="001C1743">
        <w:t xml:space="preserve">erizon, </w:t>
      </w:r>
      <w:r w:rsidR="00421B1E">
        <w:t xml:space="preserve">and </w:t>
      </w:r>
      <w:r w:rsidR="00DB4132" w:rsidRPr="001C1743">
        <w:t xml:space="preserve">Windstream (Companies) </w:t>
      </w:r>
      <w:r w:rsidRPr="001C1743">
        <w:t xml:space="preserve">– </w:t>
      </w:r>
      <w:r w:rsidR="00736CB3">
        <w:t>made</w:t>
      </w:r>
      <w:r w:rsidR="00736CB3" w:rsidRPr="001C1743">
        <w:t xml:space="preserve"> </w:t>
      </w:r>
      <w:r w:rsidRPr="001C1743">
        <w:t xml:space="preserve">an </w:t>
      </w:r>
      <w:r w:rsidR="00DC401D" w:rsidRPr="00DC401D">
        <w:rPr>
          <w:i/>
        </w:rPr>
        <w:t>ex parte</w:t>
      </w:r>
      <w:r w:rsidRPr="001C1743">
        <w:t xml:space="preserve"> </w:t>
      </w:r>
      <w:r w:rsidR="00736CB3">
        <w:t>filing</w:t>
      </w:r>
      <w:r w:rsidR="00154D96">
        <w:t xml:space="preserve"> </w:t>
      </w:r>
      <w:r w:rsidRPr="001C1743">
        <w:t>with the Federal Communications Commission (FCC) that includ</w:t>
      </w:r>
      <w:r w:rsidR="00DF1665" w:rsidRPr="001C1743">
        <w:t>ed</w:t>
      </w:r>
      <w:r w:rsidRPr="001C1743">
        <w:t xml:space="preserve"> their proposal</w:t>
      </w:r>
      <w:r w:rsidR="00736CB3">
        <w:t xml:space="preserve"> </w:t>
      </w:r>
      <w:r w:rsidRPr="001C1743">
        <w:t>to compre</w:t>
      </w:r>
      <w:r w:rsidR="00604C09">
        <w:softHyphen/>
      </w:r>
      <w:r w:rsidRPr="001C1743">
        <w:t xml:space="preserve">hensively reform the universal service </w:t>
      </w:r>
      <w:r w:rsidR="00696EA5">
        <w:t xml:space="preserve">fund </w:t>
      </w:r>
      <w:r w:rsidR="00030870" w:rsidRPr="001C1743">
        <w:t xml:space="preserve">(USF) </w:t>
      </w:r>
      <w:r w:rsidRPr="001C1743">
        <w:t>and intercar</w:t>
      </w:r>
      <w:r w:rsidR="009A4E49">
        <w:softHyphen/>
      </w:r>
      <w:r w:rsidRPr="001C1743">
        <w:t>rier compensation</w:t>
      </w:r>
      <w:r w:rsidR="00030870" w:rsidRPr="001C1743">
        <w:t xml:space="preserve"> (ICC)</w:t>
      </w:r>
      <w:r w:rsidRPr="001C1743">
        <w:t xml:space="preserve"> systems to facilitate </w:t>
      </w:r>
      <w:r w:rsidR="00154D96">
        <w:t>more</w:t>
      </w:r>
      <w:r w:rsidR="00154D96" w:rsidRPr="001C1743">
        <w:t xml:space="preserve"> </w:t>
      </w:r>
      <w:r w:rsidRPr="001C1743">
        <w:t>efficient deploy</w:t>
      </w:r>
      <w:r w:rsidR="009A4E49">
        <w:softHyphen/>
      </w:r>
      <w:r w:rsidRPr="001C1743">
        <w:t xml:space="preserve">ment, operation and enhancement of broadband </w:t>
      </w:r>
      <w:r w:rsidRPr="001C1743">
        <w:lastRenderedPageBreak/>
        <w:t>networks in high-cost areas.</w:t>
      </w:r>
      <w:r w:rsidR="004D73FC" w:rsidRPr="001C1743">
        <w:rPr>
          <w:rStyle w:val="FootnoteReference"/>
        </w:rPr>
        <w:footnoteReference w:id="1"/>
      </w:r>
      <w:r w:rsidR="004D73FC" w:rsidRPr="001C1743">
        <w:t xml:space="preserve">  The pro</w:t>
      </w:r>
      <w:r w:rsidR="009A4E49">
        <w:softHyphen/>
      </w:r>
      <w:r w:rsidR="004D73FC" w:rsidRPr="001C1743">
        <w:t>posal, known as America’s Broadband Connectiv</w:t>
      </w:r>
      <w:r w:rsidR="00604C09">
        <w:softHyphen/>
      </w:r>
      <w:r w:rsidR="004D73FC" w:rsidRPr="001C1743">
        <w:t>ity Plan (ABC Plan</w:t>
      </w:r>
      <w:r w:rsidR="004D0B3D" w:rsidRPr="001C1743">
        <w:t xml:space="preserve"> or Plan</w:t>
      </w:r>
      <w:r w:rsidR="004D73FC" w:rsidRPr="001C1743">
        <w:t xml:space="preserve">), </w:t>
      </w:r>
      <w:r w:rsidR="000902F8" w:rsidRPr="001C1743">
        <w:t xml:space="preserve">represents the Companies’ </w:t>
      </w:r>
      <w:r w:rsidR="00154D96">
        <w:t xml:space="preserve">collective </w:t>
      </w:r>
      <w:r w:rsidR="000902F8" w:rsidRPr="001C1743">
        <w:t xml:space="preserve">answer to the FCC’s </w:t>
      </w:r>
      <w:r w:rsidR="00E33DD3">
        <w:t>ICC/USF reform proposal released on February 9, 2011</w:t>
      </w:r>
      <w:r w:rsidR="00DB4132" w:rsidRPr="001C1743">
        <w:t>.</w:t>
      </w:r>
      <w:r w:rsidR="00B82305">
        <w:rPr>
          <w:rStyle w:val="FootnoteReference"/>
        </w:rPr>
        <w:footnoteReference w:id="2"/>
      </w:r>
      <w:r w:rsidR="00DB4132" w:rsidRPr="001C1743">
        <w:t xml:space="preserve">  On August 3, 2011, the FCC released a public notice entitled </w:t>
      </w:r>
      <w:r w:rsidR="00DB4132" w:rsidRPr="001C1743">
        <w:rPr>
          <w:i/>
        </w:rPr>
        <w:t>Further Notice into Certain Issues in the Universal Service – Intercarrier Compensation Transformation Proceeding</w:t>
      </w:r>
      <w:r w:rsidR="007512D7" w:rsidRPr="001C1743">
        <w:rPr>
          <w:i/>
        </w:rPr>
        <w:t xml:space="preserve"> </w:t>
      </w:r>
      <w:r w:rsidR="007512D7" w:rsidRPr="001C1743">
        <w:t>(Notice),</w:t>
      </w:r>
      <w:r w:rsidR="007512D7" w:rsidRPr="001C1743">
        <w:rPr>
          <w:i/>
        </w:rPr>
        <w:t xml:space="preserve"> </w:t>
      </w:r>
      <w:r w:rsidR="006B6C32" w:rsidRPr="001C1743">
        <w:t>seeking com</w:t>
      </w:r>
      <w:r w:rsidR="00604C09">
        <w:softHyphen/>
      </w:r>
      <w:r w:rsidR="006B6C32" w:rsidRPr="001C1743">
        <w:t xml:space="preserve">ment on the numerous aspects of and issues raised in the ABC Plan.  </w:t>
      </w:r>
      <w:r w:rsidR="00154D96">
        <w:t>Given the magni</w:t>
      </w:r>
      <w:r w:rsidR="00604C09">
        <w:softHyphen/>
      </w:r>
      <w:r w:rsidR="00154D96">
        <w:t>tude of the Plan, t</w:t>
      </w:r>
      <w:r w:rsidR="00154D96" w:rsidRPr="001C1743">
        <w:t xml:space="preserve">he </w:t>
      </w:r>
      <w:r w:rsidR="006B6C32" w:rsidRPr="001C1743">
        <w:t xml:space="preserve">FCC has established a </w:t>
      </w:r>
      <w:r w:rsidR="00154D96">
        <w:t>truncated</w:t>
      </w:r>
      <w:r w:rsidR="006B6C32" w:rsidRPr="001C1743">
        <w:t xml:space="preserve"> comment period with initial com</w:t>
      </w:r>
      <w:r w:rsidR="00604C09">
        <w:softHyphen/>
      </w:r>
      <w:r w:rsidR="006B6C32" w:rsidRPr="001C1743">
        <w:t xml:space="preserve">ments due </w:t>
      </w:r>
      <w:r w:rsidR="00154D96">
        <w:t>on</w:t>
      </w:r>
      <w:r w:rsidR="00154D96" w:rsidRPr="001C1743">
        <w:t xml:space="preserve"> </w:t>
      </w:r>
      <w:r w:rsidR="006B6C32" w:rsidRPr="001C1743">
        <w:t xml:space="preserve">August 24, 2011, and reply comments due </w:t>
      </w:r>
      <w:r w:rsidR="00154D96">
        <w:t>on</w:t>
      </w:r>
      <w:r w:rsidR="00154D96" w:rsidRPr="001C1743">
        <w:t xml:space="preserve"> </w:t>
      </w:r>
      <w:r w:rsidR="006B6C32" w:rsidRPr="001C1743">
        <w:t xml:space="preserve">August 31, 2011. </w:t>
      </w:r>
      <w:r w:rsidR="00DE6987" w:rsidRPr="001C1743">
        <w:t xml:space="preserve"> </w:t>
      </w:r>
      <w:r w:rsidR="00154D96">
        <w:t>These ini</w:t>
      </w:r>
      <w:r w:rsidR="00604C09">
        <w:softHyphen/>
      </w:r>
      <w:r w:rsidR="00154D96">
        <w:t>tial comments are timely submitted by the Public Utilities Commis</w:t>
      </w:r>
      <w:r w:rsidR="009A4E49">
        <w:softHyphen/>
      </w:r>
      <w:r w:rsidR="00154D96">
        <w:t>sion of Ohio (Ohio Com</w:t>
      </w:r>
      <w:r w:rsidR="00604C09">
        <w:softHyphen/>
      </w:r>
      <w:r w:rsidR="00154D96">
        <w:t>mission).</w:t>
      </w:r>
      <w:r w:rsidR="00DE6987" w:rsidRPr="001C1743">
        <w:t xml:space="preserve"> </w:t>
      </w:r>
    </w:p>
    <w:p w:rsidR="00604C09" w:rsidRDefault="00604C09" w:rsidP="001C1743">
      <w:pPr>
        <w:pStyle w:val="Textstyle"/>
      </w:pPr>
      <w:r>
        <w:br w:type="page"/>
      </w:r>
    </w:p>
    <w:p w:rsidR="00604FE5" w:rsidRDefault="00A8388B" w:rsidP="001C1743">
      <w:pPr>
        <w:pStyle w:val="Textstyle"/>
      </w:pPr>
      <w:r>
        <w:lastRenderedPageBreak/>
        <w:tab/>
      </w:r>
      <w:r w:rsidR="007E024E">
        <w:t>Over the past several years, t</w:t>
      </w:r>
      <w:r w:rsidR="00154D96">
        <w:t xml:space="preserve">he </w:t>
      </w:r>
      <w:r w:rsidR="00DE6987">
        <w:t>Ohio Commission</w:t>
      </w:r>
      <w:r w:rsidR="00154D96">
        <w:t xml:space="preserve"> has actively participated</w:t>
      </w:r>
      <w:r w:rsidR="00DE6987">
        <w:t xml:space="preserve"> in the numerous dockets captioned above</w:t>
      </w:r>
      <w:r w:rsidR="00DE6987">
        <w:rPr>
          <w:rStyle w:val="FootnoteReference"/>
          <w:sz w:val="24"/>
          <w:szCs w:val="24"/>
        </w:rPr>
        <w:footnoteReference w:id="3"/>
      </w:r>
      <w:r w:rsidR="00DE6987">
        <w:t xml:space="preserve"> and has always appreciated the opportunity to </w:t>
      </w:r>
      <w:r w:rsidR="00596FC8">
        <w:t>pro</w:t>
      </w:r>
      <w:r w:rsidR="00604C09">
        <w:softHyphen/>
      </w:r>
      <w:r w:rsidR="00596FC8">
        <w:t>vide</w:t>
      </w:r>
      <w:r w:rsidR="00B44E63">
        <w:t xml:space="preserve"> its thoughts and recommendations for the FCC’s consideration</w:t>
      </w:r>
      <w:r w:rsidR="007E024E">
        <w:t xml:space="preserve">. </w:t>
      </w:r>
      <w:r w:rsidR="00154D96">
        <w:t xml:space="preserve"> </w:t>
      </w:r>
      <w:r w:rsidR="007E024E">
        <w:t>T</w:t>
      </w:r>
      <w:r w:rsidR="00154D96">
        <w:t>he time allotted for</w:t>
      </w:r>
      <w:r w:rsidR="00B44E63">
        <w:t xml:space="preserve"> comment </w:t>
      </w:r>
      <w:r w:rsidR="007E024E">
        <w:t xml:space="preserve">on the ABC Plan, however, </w:t>
      </w:r>
      <w:r w:rsidR="006B6C32">
        <w:t xml:space="preserve">simply does not permit the Ohio Commission, with </w:t>
      </w:r>
      <w:r w:rsidR="00736CB3">
        <w:t xml:space="preserve">its </w:t>
      </w:r>
      <w:r w:rsidR="006B6C32">
        <w:t xml:space="preserve">limited staff and resources, to </w:t>
      </w:r>
      <w:r w:rsidR="009A4E49">
        <w:softHyphen/>
      </w:r>
      <w:r w:rsidR="00154D96">
        <w:t>discuss the Plan as comprehensively as it would like.  Nonetheless</w:t>
      </w:r>
      <w:r w:rsidR="00B44E63">
        <w:t xml:space="preserve">, </w:t>
      </w:r>
      <w:r w:rsidR="003B3505">
        <w:t>the Ohio Commission</w:t>
      </w:r>
      <w:r w:rsidR="00B44E63">
        <w:t xml:space="preserve"> </w:t>
      </w:r>
      <w:r w:rsidR="00154D96">
        <w:t>will</w:t>
      </w:r>
      <w:r w:rsidR="003B3505">
        <w:t xml:space="preserve"> address the issue of preemp</w:t>
      </w:r>
      <w:r w:rsidR="009A4E49">
        <w:softHyphen/>
      </w:r>
      <w:r w:rsidR="003B3505">
        <w:t xml:space="preserve">tion, which is of primary importance to </w:t>
      </w:r>
      <w:r w:rsidR="00154D96">
        <w:t>Ohio</w:t>
      </w:r>
      <w:r w:rsidR="003B3505">
        <w:t xml:space="preserve">.  </w:t>
      </w:r>
      <w:r w:rsidR="00154D96">
        <w:t>Again, we appreci</w:t>
      </w:r>
      <w:r w:rsidR="009A4E49">
        <w:softHyphen/>
      </w:r>
      <w:r w:rsidR="00154D96">
        <w:t>ate the comment opportunity</w:t>
      </w:r>
      <w:r w:rsidR="003B3505">
        <w:t xml:space="preserve">.  </w:t>
      </w:r>
    </w:p>
    <w:p w:rsidR="00604C09" w:rsidRDefault="00604C09" w:rsidP="001C1743">
      <w:pPr>
        <w:pStyle w:val="Heading1"/>
      </w:pPr>
      <w:bookmarkStart w:id="2" w:name="_Toc301769104"/>
      <w:r>
        <w:br w:type="page"/>
      </w:r>
    </w:p>
    <w:p w:rsidR="00BD519A" w:rsidRDefault="00A8388B" w:rsidP="001C1743">
      <w:pPr>
        <w:pStyle w:val="Heading1"/>
      </w:pPr>
      <w:r w:rsidRPr="00A8388B">
        <w:lastRenderedPageBreak/>
        <w:t>DISCUSSION</w:t>
      </w:r>
      <w:bookmarkEnd w:id="2"/>
    </w:p>
    <w:p w:rsidR="00BD519A" w:rsidRPr="00BD519A" w:rsidRDefault="001C1743" w:rsidP="001C1743">
      <w:pPr>
        <w:pStyle w:val="Heading2"/>
      </w:pPr>
      <w:bookmarkStart w:id="3" w:name="_Toc301769105"/>
      <w:r>
        <w:t>A.</w:t>
      </w:r>
      <w:r>
        <w:tab/>
      </w:r>
      <w:r w:rsidR="00BD519A">
        <w:t>Section 251(b)(5)</w:t>
      </w:r>
      <w:bookmarkEnd w:id="3"/>
    </w:p>
    <w:p w:rsidR="00873E5F" w:rsidRDefault="00780C4E" w:rsidP="001C1743">
      <w:pPr>
        <w:pStyle w:val="Textstyle"/>
      </w:pPr>
      <w:r>
        <w:rPr>
          <w:b/>
        </w:rPr>
        <w:tab/>
      </w:r>
      <w:r w:rsidR="006150A8">
        <w:t xml:space="preserve">The success of the ABC Plan’s proposals to reform the ICC system hinges upon the preemption of state authority over intrastate access rates.  </w:t>
      </w:r>
      <w:r w:rsidR="00154D96">
        <w:t xml:space="preserve">However, under the </w:t>
      </w:r>
      <w:r w:rsidR="009A4E49">
        <w:t>Telecom</w:t>
      </w:r>
      <w:r w:rsidR="00604C09">
        <w:softHyphen/>
      </w:r>
      <w:r w:rsidR="009A4E49">
        <w:t>munications</w:t>
      </w:r>
      <w:r w:rsidR="00154D96">
        <w:t xml:space="preserve"> Act of 1996 (Act),</w:t>
      </w:r>
      <w:r w:rsidR="00873E5F">
        <w:t xml:space="preserve"> </w:t>
      </w:r>
      <w:r w:rsidR="006150A8">
        <w:t>author</w:t>
      </w:r>
      <w:r w:rsidR="009A4E49">
        <w:softHyphen/>
      </w:r>
      <w:r w:rsidR="006150A8">
        <w:t>ity over intrastate access rates res</w:t>
      </w:r>
      <w:r w:rsidR="00873E5F">
        <w:t>ts with the states</w:t>
      </w:r>
      <w:r w:rsidR="006150A8">
        <w:t>.</w:t>
      </w:r>
    </w:p>
    <w:p w:rsidR="00780C4E" w:rsidRDefault="00873E5F" w:rsidP="001C1743">
      <w:pPr>
        <w:pStyle w:val="Textstyle"/>
      </w:pPr>
      <w:r>
        <w:tab/>
      </w:r>
      <w:r w:rsidR="00780C4E">
        <w:t xml:space="preserve">Section 152(b) </w:t>
      </w:r>
      <w:r w:rsidR="00154D96">
        <w:t xml:space="preserve">of the Act </w:t>
      </w:r>
      <w:r w:rsidR="00780C4E">
        <w:t>reserves state jurisdiction over intrastate communica</w:t>
      </w:r>
      <w:r w:rsidR="009A4E49">
        <w:softHyphen/>
      </w:r>
      <w:r w:rsidR="00780C4E">
        <w:t>tions service</w:t>
      </w:r>
      <w:r w:rsidR="006150A8">
        <w:t xml:space="preserve"> including intrastate access service.</w:t>
      </w:r>
      <w:r w:rsidR="006150A8">
        <w:rPr>
          <w:rStyle w:val="FootnoteReference"/>
          <w:sz w:val="24"/>
          <w:szCs w:val="24"/>
        </w:rPr>
        <w:footnoteReference w:id="4"/>
      </w:r>
      <w:r w:rsidR="00780C4E">
        <w:t xml:space="preserve"> </w:t>
      </w:r>
      <w:r>
        <w:t xml:space="preserve"> </w:t>
      </w:r>
      <w:r w:rsidR="004F4751">
        <w:t>T</w:t>
      </w:r>
      <w:r w:rsidR="00673B9F">
        <w:t xml:space="preserve">he D.C. Circuit Court </w:t>
      </w:r>
      <w:r w:rsidR="00154D96">
        <w:t xml:space="preserve">has </w:t>
      </w:r>
      <w:r w:rsidR="00673B9F">
        <w:t>suc</w:t>
      </w:r>
      <w:r w:rsidR="009A4E49">
        <w:softHyphen/>
      </w:r>
      <w:r w:rsidR="00673B9F">
        <w:t xml:space="preserve">cinctly </w:t>
      </w:r>
      <w:r>
        <w:t>explained the</w:t>
      </w:r>
      <w:r w:rsidR="00A31744">
        <w:t xml:space="preserve"> threshold that must be met to deny state jurisdiction under </w:t>
      </w:r>
      <w:r w:rsidR="00E332A0">
        <w:t>this sec</w:t>
      </w:r>
      <w:r w:rsidR="009A4E49">
        <w:softHyphen/>
      </w:r>
      <w:r w:rsidR="00E332A0">
        <w:t>tion stat</w:t>
      </w:r>
      <w:r w:rsidR="00604C09">
        <w:softHyphen/>
      </w:r>
      <w:r w:rsidR="00E332A0">
        <w:t>ing</w:t>
      </w:r>
      <w:r w:rsidR="00154D96">
        <w:t>:</w:t>
      </w:r>
    </w:p>
    <w:p w:rsidR="00604C09" w:rsidRDefault="00A31744" w:rsidP="001C1743">
      <w:pPr>
        <w:pStyle w:val="Blockquote"/>
      </w:pPr>
      <w:r>
        <w:tab/>
        <w:t>[w]hile the apportionment of regulatory power in this dual system is, of course, subject to revision, whether the [FCC] may preempt state regulation of intrastate telephone service depends as in “any pre-emption analysis,” on “whether Con</w:t>
      </w:r>
      <w:r w:rsidR="009A4E49">
        <w:softHyphen/>
      </w:r>
      <w:r>
        <w:t>gress intended the federal regulation supersede state law.”  The “best way” to answer that question, the Supreme Court has instructed, “is to examine the nature and scope of the author</w:t>
      </w:r>
      <w:r w:rsidR="009A4E49">
        <w:softHyphen/>
      </w:r>
      <w:r>
        <w:t>ity granted by Congress to the agency.”  In cases involv</w:t>
      </w:r>
      <w:r w:rsidR="009A4E49">
        <w:softHyphen/>
      </w:r>
      <w:r>
        <w:t xml:space="preserve">ing the Communications Act, that inquiry is guided by the language of section 152(b), which the Supreme Court has interpreted as “not only a substantive jurisdictional limitation </w:t>
      </w:r>
    </w:p>
    <w:p w:rsidR="00A31744" w:rsidRDefault="00A31744" w:rsidP="001C1743">
      <w:pPr>
        <w:pStyle w:val="Blockquote"/>
      </w:pPr>
      <w:r>
        <w:lastRenderedPageBreak/>
        <w:t>on the FCC’s power, but also a rule of statutory construc</w:t>
      </w:r>
      <w:r w:rsidR="009A4E49">
        <w:softHyphen/>
      </w:r>
      <w:r>
        <w:t>tion.”</w:t>
      </w:r>
      <w:r>
        <w:rPr>
          <w:rStyle w:val="FootnoteReference"/>
          <w:sz w:val="24"/>
        </w:rPr>
        <w:footnoteReference w:id="5"/>
      </w:r>
    </w:p>
    <w:p w:rsidR="00A31744" w:rsidRDefault="00E332A0" w:rsidP="001C1743">
      <w:pPr>
        <w:pStyle w:val="Textstyle"/>
      </w:pPr>
      <w:r>
        <w:t>In the case of intrastate access service, the scope of state authority is set forth in section 152(b)</w:t>
      </w:r>
      <w:r w:rsidR="00673B9F">
        <w:t xml:space="preserve">.  The statutory authority for </w:t>
      </w:r>
      <w:r w:rsidR="00154D96">
        <w:t xml:space="preserve">preempting </w:t>
      </w:r>
      <w:r w:rsidR="00673B9F">
        <w:t>this state authority must be “so unambigu</w:t>
      </w:r>
      <w:r w:rsidR="00604C09">
        <w:softHyphen/>
      </w:r>
      <w:r w:rsidR="00673B9F">
        <w:t>ous or straightforward so as to override the command of section 152(b).”</w:t>
      </w:r>
      <w:r w:rsidR="00673B9F">
        <w:rPr>
          <w:rStyle w:val="FootnoteReference"/>
          <w:sz w:val="24"/>
          <w:szCs w:val="24"/>
        </w:rPr>
        <w:footnoteReference w:id="6"/>
      </w:r>
      <w:r w:rsidR="00154D96">
        <w:t xml:space="preserve">  In other words, state authority to act, rather than preemption of state authority, is favored.</w:t>
      </w:r>
    </w:p>
    <w:p w:rsidR="00332395" w:rsidRDefault="00332395" w:rsidP="001C1743">
      <w:pPr>
        <w:pStyle w:val="Textstyle"/>
      </w:pPr>
      <w:r>
        <w:tab/>
      </w:r>
      <w:r w:rsidR="00154D96">
        <w:t>In an effort to overcome this hurdle</w:t>
      </w:r>
      <w:r w:rsidR="00673B9F">
        <w:t>, t</w:t>
      </w:r>
      <w:r w:rsidR="00EE02C9">
        <w:t xml:space="preserve">he proponents of the ABC Plan </w:t>
      </w:r>
      <w:r w:rsidR="00154D96">
        <w:t>argue</w:t>
      </w:r>
      <w:r w:rsidR="00EE02C9">
        <w:t xml:space="preserve"> the FCC’s author</w:t>
      </w:r>
      <w:r w:rsidR="009A4E49">
        <w:softHyphen/>
      </w:r>
      <w:r w:rsidR="00EE02C9">
        <w:t xml:space="preserve">ity to preempt </w:t>
      </w:r>
      <w:r w:rsidR="00673B9F">
        <w:t>state authority over intrastate access rates</w:t>
      </w:r>
      <w:r w:rsidR="00387672">
        <w:t xml:space="preserve"> </w:t>
      </w:r>
      <w:r w:rsidR="00154D96">
        <w:t xml:space="preserve">based upon </w:t>
      </w:r>
      <w:r w:rsidR="00387672">
        <w:t xml:space="preserve">their </w:t>
      </w:r>
      <w:r w:rsidR="00DC401D" w:rsidRPr="00DC401D">
        <w:rPr>
          <w:i/>
        </w:rPr>
        <w:t>interpreta</w:t>
      </w:r>
      <w:r w:rsidR="009A4E49">
        <w:rPr>
          <w:i/>
        </w:rPr>
        <w:softHyphen/>
      </w:r>
      <w:r w:rsidR="00DC401D" w:rsidRPr="00DC401D">
        <w:rPr>
          <w:i/>
        </w:rPr>
        <w:t>tions</w:t>
      </w:r>
      <w:r w:rsidR="00387672">
        <w:t xml:space="preserve"> of s</w:t>
      </w:r>
      <w:r w:rsidR="00351BBD">
        <w:t>ection</w:t>
      </w:r>
      <w:r w:rsidR="00EE02C9">
        <w:t xml:space="preserve"> 251</w:t>
      </w:r>
      <w:r w:rsidR="00351BBD">
        <w:t xml:space="preserve">(b)(5) </w:t>
      </w:r>
      <w:r w:rsidR="00EE02C9">
        <w:t>of the Telecommunications Act (Act).</w:t>
      </w:r>
      <w:r w:rsidR="00EE02C9">
        <w:rPr>
          <w:rStyle w:val="FootnoteReference"/>
          <w:sz w:val="24"/>
          <w:szCs w:val="24"/>
        </w:rPr>
        <w:footnoteReference w:id="7"/>
      </w:r>
      <w:r w:rsidR="00EE02C9">
        <w:t xml:space="preserve">  </w:t>
      </w:r>
      <w:r w:rsidR="00A059AC">
        <w:t>Relying on the FCC’s broad interpretation of “telecommunications,”</w:t>
      </w:r>
      <w:r w:rsidR="00A059AC">
        <w:rPr>
          <w:rStyle w:val="FootnoteReference"/>
          <w:sz w:val="24"/>
          <w:szCs w:val="24"/>
        </w:rPr>
        <w:footnoteReference w:id="8"/>
      </w:r>
      <w:r w:rsidR="00A059AC">
        <w:t xml:space="preserve"> the Plan’s supporters assert that section 251(b)(5), which requires all local exchange carriers (LECs) “to establish recipro</w:t>
      </w:r>
      <w:r w:rsidR="009A4E49">
        <w:softHyphen/>
      </w:r>
      <w:r w:rsidR="00A059AC">
        <w:t>cal compensation arrangements for the transport and termination of telecommunication,”</w:t>
      </w:r>
      <w:r w:rsidR="00A059AC">
        <w:rPr>
          <w:rStyle w:val="FootnoteReference"/>
          <w:sz w:val="24"/>
          <w:szCs w:val="24"/>
        </w:rPr>
        <w:footnoteReference w:id="9"/>
      </w:r>
      <w:r w:rsidR="00A059AC">
        <w:t xml:space="preserve"> applies to all traffic subject to existing, disparate ICC regimes, including the reciprocal </w:t>
      </w:r>
      <w:r w:rsidR="00A059AC">
        <w:lastRenderedPageBreak/>
        <w:t>compensation</w:t>
      </w:r>
      <w:r w:rsidR="00EE125D">
        <w:t xml:space="preserve"> for local traffic</w:t>
      </w:r>
      <w:r w:rsidR="00A059AC">
        <w:t xml:space="preserve"> regime and the intrastate access regime.</w:t>
      </w:r>
      <w:r w:rsidR="00A059AC">
        <w:rPr>
          <w:rStyle w:val="FootnoteReference"/>
          <w:sz w:val="24"/>
          <w:szCs w:val="24"/>
        </w:rPr>
        <w:footnoteReference w:id="10"/>
      </w:r>
      <w:r w:rsidR="00A059AC">
        <w:t xml:space="preserve">  </w:t>
      </w:r>
      <w:r w:rsidR="00CB220B">
        <w:t xml:space="preserve">Section 251(g) of the Act, they </w:t>
      </w:r>
      <w:r w:rsidR="00B039CA">
        <w:t>allege</w:t>
      </w:r>
      <w:r w:rsidR="00CB220B">
        <w:t>, provides additional support for this interpretation.</w:t>
      </w:r>
      <w:r w:rsidR="00CB220B">
        <w:rPr>
          <w:rStyle w:val="FootnoteReference"/>
          <w:sz w:val="24"/>
          <w:szCs w:val="24"/>
        </w:rPr>
        <w:footnoteReference w:id="11"/>
      </w:r>
      <w:r w:rsidR="00CB220B">
        <w:t xml:space="preserve">  The Ohio Commis</w:t>
      </w:r>
      <w:r w:rsidR="00604C09">
        <w:softHyphen/>
      </w:r>
      <w:r w:rsidR="00CB220B">
        <w:t>sion respectfully disagrees.</w:t>
      </w:r>
    </w:p>
    <w:p w:rsidR="00DA1AE7" w:rsidRDefault="00A059AC" w:rsidP="00777DC5">
      <w:pPr>
        <w:pStyle w:val="Textstyle"/>
      </w:pPr>
      <w:r>
        <w:tab/>
      </w:r>
      <w:r w:rsidR="00664B5F">
        <w:t>A</w:t>
      </w:r>
      <w:r w:rsidR="00856EF6">
        <w:t xml:space="preserve">s the </w:t>
      </w:r>
      <w:r>
        <w:t>ABC Plan note</w:t>
      </w:r>
      <w:r w:rsidR="00856EF6">
        <w:t>s,</w:t>
      </w:r>
      <w:r>
        <w:t xml:space="preserve"> sect</w:t>
      </w:r>
      <w:r w:rsidR="00577293">
        <w:t>ion 251(g) temporarily preserves</w:t>
      </w:r>
      <w:r>
        <w:t xml:space="preserve"> the regulatory status quo for all traffic within that section’s scope until such time </w:t>
      </w:r>
      <w:r w:rsidR="00696EA5">
        <w:t xml:space="preserve">as it </w:t>
      </w:r>
      <w:r w:rsidR="00EE125D">
        <w:t xml:space="preserve">is </w:t>
      </w:r>
      <w:r>
        <w:t>explicitly superseded</w:t>
      </w:r>
      <w:r w:rsidR="00EE125D">
        <w:t xml:space="preserve"> by regulations prescribed</w:t>
      </w:r>
      <w:r>
        <w:t xml:space="preserve"> by the FCC.  It does not</w:t>
      </w:r>
      <w:r w:rsidR="00577293">
        <w:t>, however,</w:t>
      </w:r>
      <w:r>
        <w:t xml:space="preserve"> empower the FCC to preempt the authority of the states to </w:t>
      </w:r>
      <w:r w:rsidR="00DF1665">
        <w:t xml:space="preserve">restructure and set the rates for </w:t>
      </w:r>
      <w:r w:rsidR="00EE125D">
        <w:t>local traffic compensa</w:t>
      </w:r>
      <w:r w:rsidR="00604C09">
        <w:softHyphen/>
      </w:r>
      <w:r w:rsidR="00EE125D">
        <w:t xml:space="preserve">tion and </w:t>
      </w:r>
      <w:r w:rsidR="00DF1665">
        <w:t xml:space="preserve">intrastate access service or to </w:t>
      </w:r>
      <w:r>
        <w:t>establish a recovery mechanism for lost intrastate revenue, so long as that mechanism is consistent with the requirements of sec</w:t>
      </w:r>
      <w:r w:rsidR="00604C09">
        <w:softHyphen/>
      </w:r>
      <w:r>
        <w:t>tion 251 and does not substantially prevent the implementa</w:t>
      </w:r>
      <w:r w:rsidR="009A4E49">
        <w:softHyphen/>
      </w:r>
      <w:r>
        <w:t>tion of that section.</w:t>
      </w:r>
      <w:r w:rsidR="001C1743">
        <w:t xml:space="preserve"> </w:t>
      </w:r>
      <w:r w:rsidR="00577293">
        <w:t xml:space="preserve"> Section 251(d)(3), specifi</w:t>
      </w:r>
      <w:r w:rsidR="009A4E49">
        <w:softHyphen/>
      </w:r>
      <w:r w:rsidR="00577293">
        <w:t>cally preserves state access regulation</w:t>
      </w:r>
      <w:r w:rsidR="00B039CA">
        <w:t>, a matter that the ABC Plan fails to address</w:t>
      </w:r>
      <w:r w:rsidR="00577293">
        <w:t>.</w:t>
      </w:r>
      <w:r w:rsidR="00577293">
        <w:rPr>
          <w:rStyle w:val="FootnoteReference"/>
          <w:sz w:val="24"/>
          <w:szCs w:val="24"/>
        </w:rPr>
        <w:footnoteReference w:id="12"/>
      </w:r>
      <w:r>
        <w:t xml:space="preserve"> </w:t>
      </w:r>
      <w:r w:rsidR="00DA1AE7">
        <w:t>The FCC does, in fact, have the authority to bring intrastate access traffic under the section 251(b)(5) framework</w:t>
      </w:r>
      <w:r w:rsidR="00B039CA">
        <w:t xml:space="preserve"> to establish the parameters and criteria for </w:t>
      </w:r>
      <w:r w:rsidR="00604C09">
        <w:br/>
      </w:r>
      <w:r w:rsidR="00604C09">
        <w:br/>
      </w:r>
      <w:r w:rsidR="00B039CA">
        <w:lastRenderedPageBreak/>
        <w:t>establishing rates</w:t>
      </w:r>
      <w:r w:rsidR="00DA1AE7">
        <w:t>.</w:t>
      </w:r>
      <w:r w:rsidR="00DA1AE7">
        <w:rPr>
          <w:rStyle w:val="FootnoteReference"/>
          <w:sz w:val="24"/>
          <w:szCs w:val="24"/>
        </w:rPr>
        <w:footnoteReference w:id="13"/>
      </w:r>
      <w:r w:rsidR="00DA1AE7">
        <w:t xml:space="preserve">  </w:t>
      </w:r>
      <w:r w:rsidR="009A4E49">
        <w:softHyphen/>
      </w:r>
      <w:r w:rsidR="00DA1AE7">
        <w:t>Authority for establishing the actual rates, however, remains reserved to the states under section 252.</w:t>
      </w:r>
      <w:r w:rsidR="00DA1AE7">
        <w:rPr>
          <w:rStyle w:val="FootnoteReference"/>
          <w:sz w:val="24"/>
          <w:szCs w:val="24"/>
        </w:rPr>
        <w:footnoteReference w:id="14"/>
      </w:r>
      <w:r w:rsidR="00DA1AE7">
        <w:t xml:space="preserve">  </w:t>
      </w:r>
      <w:r w:rsidR="00777DC5">
        <w:t>I</w:t>
      </w:r>
      <w:r w:rsidR="00DA1AE7">
        <w:t xml:space="preserve">f the  FCC ultimately relies on section 251(b)(5) for the legal authority to require specific ICC charges for intrastate access traffic, the </w:t>
      </w:r>
      <w:r w:rsidR="00B039CA">
        <w:t xml:space="preserve">Act requires that the </w:t>
      </w:r>
      <w:r w:rsidR="00DA1AE7">
        <w:t xml:space="preserve">actual setting of these rates be left to the states.  </w:t>
      </w:r>
    </w:p>
    <w:p w:rsidR="00B861BE" w:rsidRDefault="00B039CA" w:rsidP="002E570A">
      <w:pPr>
        <w:pStyle w:val="Textstyle"/>
      </w:pPr>
      <w:r>
        <w:t>T</w:t>
      </w:r>
      <w:r w:rsidR="00B861BE">
        <w:t xml:space="preserve">he FCC </w:t>
      </w:r>
      <w:r>
        <w:t xml:space="preserve">should </w:t>
      </w:r>
      <w:r w:rsidR="00B861BE">
        <w:t>follow the process established in sections 251 and 252 of the</w:t>
      </w:r>
      <w:r w:rsidR="000215ED">
        <w:t xml:space="preserve"> Act</w:t>
      </w:r>
      <w:r w:rsidR="00B861BE">
        <w:t xml:space="preserve"> for deter</w:t>
      </w:r>
      <w:r w:rsidR="00604C09">
        <w:softHyphen/>
      </w:r>
      <w:r w:rsidR="00B861BE">
        <w:t>mining rates for the termination and transport of telecommunications traffic.</w:t>
      </w:r>
    </w:p>
    <w:p w:rsidR="00BD519A" w:rsidRPr="00096A03" w:rsidRDefault="002E570A" w:rsidP="002E570A">
      <w:pPr>
        <w:pStyle w:val="Heading2"/>
      </w:pPr>
      <w:bookmarkStart w:id="4" w:name="_Toc301769106"/>
      <w:r>
        <w:t>B.</w:t>
      </w:r>
      <w:r>
        <w:tab/>
      </w:r>
      <w:r w:rsidR="00096A03" w:rsidRPr="00096A03">
        <w:t>Doctrine of “Inseverability”</w:t>
      </w:r>
      <w:bookmarkEnd w:id="4"/>
    </w:p>
    <w:p w:rsidR="00A059AC" w:rsidRDefault="0078167F" w:rsidP="002E570A">
      <w:pPr>
        <w:pStyle w:val="Textstyle"/>
      </w:pPr>
      <w:r>
        <w:tab/>
        <w:t xml:space="preserve">In addition to relying on section 251(b)(5), the proponents of the ABC Plan cite the “impossibility” or “inseverability” doctrine </w:t>
      </w:r>
      <w:r w:rsidR="00B039CA">
        <w:t xml:space="preserve">as a means </w:t>
      </w:r>
      <w:r>
        <w:t>to preempt state jurisdiction over intrastate access rates by extending the uniform default rate to jurisdictionally intra</w:t>
      </w:r>
      <w:r w:rsidR="009A4E49">
        <w:softHyphen/>
      </w:r>
      <w:r>
        <w:lastRenderedPageBreak/>
        <w:t>state traffic</w:t>
      </w:r>
      <w:r w:rsidR="00E969DD">
        <w:t>.</w:t>
      </w:r>
      <w:r w:rsidR="00E969DD">
        <w:rPr>
          <w:rStyle w:val="FootnoteReference"/>
          <w:sz w:val="24"/>
          <w:szCs w:val="24"/>
        </w:rPr>
        <w:footnoteReference w:id="15"/>
      </w:r>
      <w:r w:rsidR="00E969DD">
        <w:t xml:space="preserve">  </w:t>
      </w:r>
      <w:r w:rsidR="006B4487">
        <w:t>The Plan’s supporters further assert that technological and marketplace changes have rendered all traffic inseverable.</w:t>
      </w:r>
      <w:r w:rsidR="006B4487">
        <w:rPr>
          <w:rStyle w:val="FootnoteReference"/>
          <w:sz w:val="24"/>
          <w:szCs w:val="24"/>
        </w:rPr>
        <w:footnoteReference w:id="16"/>
      </w:r>
    </w:p>
    <w:p w:rsidR="00A059AC" w:rsidRDefault="006B4487" w:rsidP="002E570A">
      <w:pPr>
        <w:pStyle w:val="Textstyle"/>
      </w:pPr>
      <w:r>
        <w:tab/>
      </w:r>
      <w:r w:rsidR="009A4E49">
        <w:softHyphen/>
      </w:r>
      <w:r w:rsidR="00B039CA">
        <w:t>P</w:t>
      </w:r>
      <w:r>
        <w:t xml:space="preserve">reemption on this basis is </w:t>
      </w:r>
      <w:r w:rsidR="009A4E49">
        <w:t>permissible</w:t>
      </w:r>
      <w:r w:rsidR="00B039CA">
        <w:t xml:space="preserve"> only where</w:t>
      </w:r>
      <w:r>
        <w:t xml:space="preserve"> a single service </w:t>
      </w:r>
      <w:r w:rsidR="00B039CA">
        <w:t>has both inter- and intrastate aspects that</w:t>
      </w:r>
      <w:r>
        <w:t xml:space="preserve"> cannot be separated</w:t>
      </w:r>
      <w:r w:rsidR="00D41342">
        <w:t>.</w:t>
      </w:r>
      <w:r w:rsidR="00D41342" w:rsidRPr="00D41342">
        <w:rPr>
          <w:rStyle w:val="FootnoteReference"/>
          <w:sz w:val="24"/>
          <w:szCs w:val="24"/>
        </w:rPr>
        <w:t xml:space="preserve"> </w:t>
      </w:r>
      <w:r w:rsidR="00D41342">
        <w:rPr>
          <w:rStyle w:val="FootnoteReference"/>
          <w:sz w:val="24"/>
          <w:szCs w:val="24"/>
        </w:rPr>
        <w:footnoteReference w:id="17"/>
      </w:r>
      <w:r w:rsidR="00D41342">
        <w:t xml:space="preserve">  </w:t>
      </w:r>
      <w:r w:rsidR="009A4E49">
        <w:softHyphen/>
      </w:r>
      <w:r w:rsidR="00B039CA">
        <w:t>I</w:t>
      </w:r>
      <w:r w:rsidR="00D41342">
        <w:t xml:space="preserve">t cannot be reasonably concluded </w:t>
      </w:r>
      <w:r w:rsidR="00B039CA">
        <w:t xml:space="preserve">that, </w:t>
      </w:r>
      <w:r w:rsidR="00D41342">
        <w:t>after decades of separation</w:t>
      </w:r>
      <w:r w:rsidR="00B039CA">
        <w:t>,</w:t>
      </w:r>
      <w:r w:rsidR="00D41342">
        <w:t xml:space="preserve"> interstate and intrastate access services have suddenly become inseparable.</w:t>
      </w:r>
      <w:r w:rsidR="00D41342">
        <w:rPr>
          <w:rStyle w:val="FootnoteReference"/>
          <w:sz w:val="24"/>
          <w:szCs w:val="24"/>
        </w:rPr>
        <w:footnoteReference w:id="18"/>
      </w:r>
      <w:r w:rsidR="00D41342">
        <w:t xml:space="preserve">  Further, the Ohio Commis</w:t>
      </w:r>
      <w:r w:rsidR="009A4E49">
        <w:softHyphen/>
      </w:r>
      <w:r w:rsidR="00D41342">
        <w:t xml:space="preserve">sion does not accept that technological and marketplace changes have rendered it impractical to separate interstate access traffic from intrastate access traffic.  </w:t>
      </w:r>
      <w:r w:rsidR="00B06123">
        <w:t xml:space="preserve">Clearly, the most significant changes in technology and the marketplace involve the migration away from the traditional wireline network (PSTN) to wireless and IP-based networks.  </w:t>
      </w:r>
      <w:r w:rsidR="003C4F36">
        <w:t>While perhaps IP-based and wireless traffic present more separations challenges than traditional wireline traffic</w:t>
      </w:r>
      <w:r w:rsidR="00B06123">
        <w:t xml:space="preserve">, a significant portion of all telecommunications traffic is still carried over the PSTN.  For this traffic, separations </w:t>
      </w:r>
      <w:r w:rsidR="0003144D">
        <w:t>are</w:t>
      </w:r>
      <w:r w:rsidR="00B06123">
        <w:t xml:space="preserve"> no more impractical today than 10 years ago.  </w:t>
      </w:r>
      <w:r w:rsidR="003C4F36">
        <w:t>The Ohio Commission submits that the d</w:t>
      </w:r>
      <w:r w:rsidR="00BD519A">
        <w:t>evel</w:t>
      </w:r>
      <w:r w:rsidR="00604C09">
        <w:softHyphen/>
      </w:r>
      <w:r w:rsidR="00BD519A">
        <w:t>opment of competing technolo</w:t>
      </w:r>
      <w:r w:rsidR="009A4E49">
        <w:softHyphen/>
      </w:r>
      <w:r w:rsidR="00BD519A">
        <w:t xml:space="preserve">gies and markets </w:t>
      </w:r>
      <w:r w:rsidR="00B039CA">
        <w:t>makes this no less so</w:t>
      </w:r>
      <w:r w:rsidR="00BD519A">
        <w:t>.</w:t>
      </w:r>
    </w:p>
    <w:p w:rsidR="008A74EE" w:rsidRPr="008A74EE" w:rsidRDefault="002E570A" w:rsidP="002E570A">
      <w:pPr>
        <w:pStyle w:val="Heading2"/>
      </w:pPr>
      <w:bookmarkStart w:id="5" w:name="_Toc301769107"/>
      <w:r>
        <w:lastRenderedPageBreak/>
        <w:t>C.</w:t>
      </w:r>
      <w:r>
        <w:tab/>
      </w:r>
      <w:r w:rsidR="008A74EE" w:rsidRPr="008A74EE">
        <w:t>Conflict Preemption</w:t>
      </w:r>
      <w:bookmarkEnd w:id="5"/>
    </w:p>
    <w:p w:rsidR="00BD519A" w:rsidRDefault="00BD519A" w:rsidP="002E570A">
      <w:pPr>
        <w:pStyle w:val="Textstyle"/>
      </w:pPr>
      <w:r>
        <w:tab/>
      </w:r>
      <w:r w:rsidR="009A4E49">
        <w:softHyphen/>
      </w:r>
      <w:r w:rsidR="00B039CA">
        <w:t>Additionally</w:t>
      </w:r>
      <w:r>
        <w:t xml:space="preserve">, the proponents of the ABC Plan argue that continued </w:t>
      </w:r>
      <w:r w:rsidR="00B039CA">
        <w:t xml:space="preserve">state </w:t>
      </w:r>
      <w:r>
        <w:t>regulation of intrastate access rates pose</w:t>
      </w:r>
      <w:r w:rsidR="00B039CA">
        <w:t>s</w:t>
      </w:r>
      <w:r>
        <w:t xml:space="preserve"> a direct obstacle to the FCC achieving its longstanding pol</w:t>
      </w:r>
      <w:r w:rsidR="00604C09">
        <w:softHyphen/>
      </w:r>
      <w:r>
        <w:t>icy goals</w:t>
      </w:r>
      <w:r w:rsidR="00B039CA">
        <w:t>, creating conflict pre</w:t>
      </w:r>
      <w:r w:rsidR="009A4E49">
        <w:softHyphen/>
      </w:r>
      <w:r w:rsidR="00B039CA">
        <w:t>emption</w:t>
      </w:r>
      <w:r>
        <w:t>.</w:t>
      </w:r>
      <w:r>
        <w:rPr>
          <w:rStyle w:val="FootnoteReference"/>
          <w:sz w:val="24"/>
          <w:szCs w:val="24"/>
        </w:rPr>
        <w:footnoteReference w:id="19"/>
      </w:r>
      <w:r>
        <w:t xml:space="preserve"> </w:t>
      </w:r>
      <w:r w:rsidR="00521793">
        <w:t xml:space="preserve"> </w:t>
      </w:r>
      <w:r w:rsidR="009A4E49">
        <w:softHyphen/>
      </w:r>
      <w:r w:rsidR="00B039CA">
        <w:t>Plan proponents are incorrect as</w:t>
      </w:r>
      <w:r w:rsidR="00923252">
        <w:t xml:space="preserve"> there simply is no conflict between state and federal law with regard to intrastate access regula</w:t>
      </w:r>
      <w:r w:rsidR="009A4E49">
        <w:softHyphen/>
      </w:r>
      <w:r w:rsidR="00923252">
        <w:t>tion.</w:t>
      </w:r>
    </w:p>
    <w:p w:rsidR="00046653" w:rsidRDefault="00F84527" w:rsidP="002E570A">
      <w:pPr>
        <w:pStyle w:val="Textstyle"/>
      </w:pPr>
      <w:r>
        <w:tab/>
        <w:t>Conflict preemption occurs “when compliance with both state and federal law is impossible, or when the state law ‘stands as an obstacle to the accomplishment and execu</w:t>
      </w:r>
      <w:r w:rsidR="009A4E49">
        <w:softHyphen/>
      </w:r>
      <w:r>
        <w:t>tion of the full purpose and objective of Congress.</w:t>
      </w:r>
      <w:r w:rsidR="00696EA5">
        <w:t>’</w:t>
      </w:r>
      <w:r>
        <w:t>”</w:t>
      </w:r>
      <w:r>
        <w:rPr>
          <w:rStyle w:val="FootnoteReference"/>
          <w:sz w:val="24"/>
          <w:szCs w:val="24"/>
        </w:rPr>
        <w:footnoteReference w:id="20"/>
      </w:r>
      <w:r>
        <w:t xml:space="preserve">  Further, a federal agency may</w:t>
      </w:r>
      <w:r w:rsidR="00B0671D">
        <w:t>,</w:t>
      </w:r>
      <w:r>
        <w:t xml:space="preserve"> acting within the scope of its delegated authority</w:t>
      </w:r>
      <w:r w:rsidR="00B0671D">
        <w:t>,</w:t>
      </w:r>
      <w:r>
        <w:t xml:space="preserve"> preempt a state regulation that is inconsistent with federal law.</w:t>
      </w:r>
      <w:r>
        <w:rPr>
          <w:rStyle w:val="FootnoteReference"/>
          <w:sz w:val="24"/>
          <w:szCs w:val="24"/>
        </w:rPr>
        <w:footnoteReference w:id="21"/>
      </w:r>
      <w:r>
        <w:t xml:space="preserve">  That is not the case, however, with regard to state access regulation.  Congress</w:t>
      </w:r>
      <w:r w:rsidR="00B0671D">
        <w:t xml:space="preserve"> has</w:t>
      </w:r>
      <w:r>
        <w:t xml:space="preserve"> expressly provided</w:t>
      </w:r>
      <w:r w:rsidR="00916D2B">
        <w:t xml:space="preserve"> </w:t>
      </w:r>
      <w:r>
        <w:t xml:space="preserve">for the preservation of state access </w:t>
      </w:r>
      <w:r w:rsidR="00603C06">
        <w:t>regula</w:t>
      </w:r>
      <w:r w:rsidR="00604C09">
        <w:softHyphen/>
      </w:r>
      <w:r w:rsidR="00603C06">
        <w:t xml:space="preserve">tion in section 251(d)(3) </w:t>
      </w:r>
      <w:r w:rsidR="00B0671D">
        <w:t>for</w:t>
      </w:r>
      <w:r w:rsidR="00603C06">
        <w:t xml:space="preserve"> regulation </w:t>
      </w:r>
      <w:r w:rsidR="00B0671D">
        <w:t xml:space="preserve">that </w:t>
      </w:r>
      <w:r w:rsidR="00603C06">
        <w:t>is con</w:t>
      </w:r>
      <w:r w:rsidR="009A4E49">
        <w:softHyphen/>
      </w:r>
      <w:r w:rsidR="00603C06">
        <w:t>sistent with section 251 and</w:t>
      </w:r>
      <w:r w:rsidR="00B0671D">
        <w:t xml:space="preserve"> which</w:t>
      </w:r>
      <w:r w:rsidR="00603C06">
        <w:t xml:space="preserve"> does not substantially </w:t>
      </w:r>
      <w:r w:rsidR="007A6A19">
        <w:t>prevent</w:t>
      </w:r>
      <w:r w:rsidR="00603C06">
        <w:t xml:space="preserve"> the implementation of th</w:t>
      </w:r>
      <w:r w:rsidR="00236542">
        <w:t xml:space="preserve">e requirements </w:t>
      </w:r>
      <w:r w:rsidR="007A6A19">
        <w:t xml:space="preserve">of </w:t>
      </w:r>
      <w:r w:rsidR="00236542">
        <w:t>section 251 and P</w:t>
      </w:r>
      <w:r w:rsidR="00603C06">
        <w:t xml:space="preserve">art II of </w:t>
      </w:r>
      <w:r w:rsidR="00236542">
        <w:t xml:space="preserve">Title II of </w:t>
      </w:r>
      <w:r w:rsidR="00603C06">
        <w:t>the Act.</w:t>
      </w:r>
      <w:r w:rsidR="007A6A19">
        <w:rPr>
          <w:rStyle w:val="FootnoteReference"/>
          <w:sz w:val="24"/>
          <w:szCs w:val="24"/>
        </w:rPr>
        <w:footnoteReference w:id="22"/>
      </w:r>
      <w:r w:rsidR="00603C06">
        <w:t xml:space="preserve"> </w:t>
      </w:r>
      <w:r w:rsidR="007A6A19">
        <w:t xml:space="preserve"> </w:t>
      </w:r>
      <w:r w:rsidR="009A4E49">
        <w:t>The</w:t>
      </w:r>
      <w:r w:rsidR="00B0671D">
        <w:t xml:space="preserve"> Ohio Commis</w:t>
      </w:r>
      <w:r w:rsidR="009A4E49">
        <w:softHyphen/>
      </w:r>
      <w:r w:rsidR="00B0671D">
        <w:t xml:space="preserve">sion submits that state </w:t>
      </w:r>
      <w:r w:rsidR="007A6A19">
        <w:t xml:space="preserve">access regulation </w:t>
      </w:r>
      <w:r w:rsidR="009A4E49">
        <w:softHyphen/>
      </w:r>
      <w:r w:rsidR="00B0671D">
        <w:t>meets the requirements of the Congressional savings clause</w:t>
      </w:r>
      <w:r w:rsidR="007A6A19">
        <w:t>.</w:t>
      </w:r>
      <w:r w:rsidR="003C4F36">
        <w:t xml:space="preserve">  </w:t>
      </w:r>
    </w:p>
    <w:p w:rsidR="00604C09" w:rsidRDefault="00604C09" w:rsidP="002E570A">
      <w:pPr>
        <w:pStyle w:val="Textstyle"/>
      </w:pPr>
      <w:r>
        <w:br w:type="page"/>
      </w:r>
    </w:p>
    <w:p w:rsidR="007A6A19" w:rsidRDefault="007A6A19" w:rsidP="002E570A">
      <w:pPr>
        <w:pStyle w:val="Textstyle"/>
      </w:pPr>
      <w:r>
        <w:lastRenderedPageBreak/>
        <w:tab/>
        <w:t>Section 251(</w:t>
      </w:r>
      <w:r w:rsidR="00295EED">
        <w:t>b</w:t>
      </w:r>
      <w:r>
        <w:t>)(</w:t>
      </w:r>
      <w:r w:rsidR="00295EED">
        <w:t>5</w:t>
      </w:r>
      <w:r>
        <w:t xml:space="preserve">) sets forth the </w:t>
      </w:r>
      <w:r w:rsidR="00295EED">
        <w:t xml:space="preserve">duty of </w:t>
      </w:r>
      <w:r w:rsidR="00C6718F">
        <w:t xml:space="preserve">local exchange carriers </w:t>
      </w:r>
      <w:r w:rsidR="00295EED">
        <w:t>to establish recipro</w:t>
      </w:r>
      <w:r w:rsidR="009A4E49">
        <w:softHyphen/>
      </w:r>
      <w:r w:rsidR="00295EED">
        <w:t xml:space="preserve">cal compensation for the transport and termination of telecommunications traffic.  </w:t>
      </w:r>
      <w:r>
        <w:t>Section 252(d)(</w:t>
      </w:r>
      <w:r w:rsidR="00295EED">
        <w:t>2</w:t>
      </w:r>
      <w:r>
        <w:t>)</w:t>
      </w:r>
      <w:r w:rsidR="00295EED">
        <w:t>(A)</w:t>
      </w:r>
      <w:r>
        <w:t xml:space="preserve"> authorizes the </w:t>
      </w:r>
      <w:r w:rsidRPr="00B0671D">
        <w:rPr>
          <w:i/>
        </w:rPr>
        <w:t>states</w:t>
      </w:r>
      <w:r>
        <w:t xml:space="preserve"> to determine the just and reason</w:t>
      </w:r>
      <w:r w:rsidR="009A4E49">
        <w:softHyphen/>
      </w:r>
      <w:r>
        <w:t>able rates for purposes of section 251(</w:t>
      </w:r>
      <w:r w:rsidR="00295EED">
        <w:t>b</w:t>
      </w:r>
      <w:r>
        <w:t>)(</w:t>
      </w:r>
      <w:r w:rsidR="00295EED">
        <w:t>5</w:t>
      </w:r>
      <w:r>
        <w:t>).</w:t>
      </w:r>
      <w:r>
        <w:rPr>
          <w:rStyle w:val="FootnoteReference"/>
          <w:sz w:val="24"/>
          <w:szCs w:val="24"/>
        </w:rPr>
        <w:footnoteReference w:id="23"/>
      </w:r>
      <w:r w:rsidR="00CA2D12">
        <w:t xml:space="preserve">  Such determination is to be made on a cost basis and be non-discriminatory.</w:t>
      </w:r>
      <w:r w:rsidR="00CA2D12">
        <w:rPr>
          <w:rStyle w:val="FootnoteReference"/>
          <w:sz w:val="24"/>
          <w:szCs w:val="24"/>
        </w:rPr>
        <w:footnoteReference w:id="24"/>
      </w:r>
      <w:r w:rsidR="00CA2D12">
        <w:t xml:space="preserve">  Accordingly, the intent of Congress</w:t>
      </w:r>
      <w:r w:rsidR="00B0671D">
        <w:t>,</w:t>
      </w:r>
      <w:r w:rsidR="00CA2D12">
        <w:t xml:space="preserve"> as expressed in section 251 and Part II of Title II of the Act</w:t>
      </w:r>
      <w:r w:rsidR="00B0671D">
        <w:t>,</w:t>
      </w:r>
      <w:r w:rsidR="00CA2D12">
        <w:t xml:space="preserve"> is for the states to establish rates necessary for </w:t>
      </w:r>
      <w:r w:rsidR="00230AA4">
        <w:t>transport and termination of telecommunications traffic.</w:t>
      </w:r>
      <w:r w:rsidR="00CA2D12">
        <w:t xml:space="preserve">  Such an interpretation is con</w:t>
      </w:r>
      <w:r w:rsidR="009A4E49">
        <w:softHyphen/>
      </w:r>
      <w:r w:rsidR="00CA2D12">
        <w:t xml:space="preserve">sistent with section 152(b), which authorizes the states to establish </w:t>
      </w:r>
      <w:r w:rsidR="00916D2B">
        <w:t>charges for or in connection to intra</w:t>
      </w:r>
      <w:r w:rsidR="00604C09">
        <w:softHyphen/>
      </w:r>
      <w:r w:rsidR="00916D2B">
        <w:t>state telecommunications service.</w:t>
      </w:r>
      <w:r w:rsidR="00916D2B">
        <w:rPr>
          <w:rStyle w:val="FootnoteReference"/>
          <w:sz w:val="24"/>
          <w:szCs w:val="24"/>
        </w:rPr>
        <w:footnoteReference w:id="25"/>
      </w:r>
      <w:r w:rsidR="00916D2B">
        <w:t xml:space="preserve"> While </w:t>
      </w:r>
      <w:r w:rsidR="0070386F">
        <w:t>“[[</w:t>
      </w:r>
      <w:r w:rsidR="00916D2B">
        <w:t>t</w:t>
      </w:r>
      <w:r w:rsidR="0070386F">
        <w:t>]</w:t>
      </w:r>
      <w:r w:rsidR="00916D2B">
        <w:t>he Supreme</w:t>
      </w:r>
      <w:r w:rsidR="0070386F">
        <w:t>] Court has repeatedly declined to give broad effect to saving clauses where doing so would upset the careful regulatory scheme established by federal law,”</w:t>
      </w:r>
      <w:r w:rsidR="0070386F">
        <w:rPr>
          <w:rStyle w:val="FootnoteReference"/>
          <w:sz w:val="24"/>
          <w:szCs w:val="24"/>
        </w:rPr>
        <w:footnoteReference w:id="26"/>
      </w:r>
      <w:r w:rsidR="0070386F">
        <w:t xml:space="preserve"> state access regulation does </w:t>
      </w:r>
      <w:r w:rsidR="00B0671D">
        <w:t>no violence whatsoever to</w:t>
      </w:r>
      <w:r w:rsidR="0070386F">
        <w:t xml:space="preserve"> the “careful regulatory scheme” </w:t>
      </w:r>
      <w:r w:rsidR="0070386F" w:rsidRPr="008A74EE">
        <w:t>established by the Act</w:t>
      </w:r>
      <w:r w:rsidR="00B0671D">
        <w:t xml:space="preserve">.  Indeed, </w:t>
      </w:r>
      <w:r w:rsidR="003C4F36">
        <w:t xml:space="preserve">when states exercise their authority under section 251, they, in fact, </w:t>
      </w:r>
      <w:r w:rsidR="0070386F" w:rsidRPr="008A74EE">
        <w:rPr>
          <w:i/>
        </w:rPr>
        <w:t>follow</w:t>
      </w:r>
      <w:r w:rsidR="0070386F" w:rsidRPr="008A74EE">
        <w:t xml:space="preserve"> the dual regulatory </w:t>
      </w:r>
      <w:r w:rsidR="0070386F" w:rsidRPr="008A74EE">
        <w:lastRenderedPageBreak/>
        <w:t>scheme intended by Congress</w:t>
      </w:r>
      <w:r w:rsidR="00B0671D">
        <w:t>.</w:t>
      </w:r>
      <w:r w:rsidR="003C4F36">
        <w:t xml:space="preserve">  </w:t>
      </w:r>
      <w:r w:rsidR="00B0671D">
        <w:t>T</w:t>
      </w:r>
      <w:r w:rsidR="008A74EE" w:rsidRPr="008A74EE">
        <w:t>he FCC has the authority to bring intrastate access traf</w:t>
      </w:r>
      <w:r w:rsidR="00604C09">
        <w:softHyphen/>
      </w:r>
      <w:r w:rsidR="008A74EE" w:rsidRPr="008A74EE">
        <w:t xml:space="preserve">fic under the section 251(b)(5) framework; however, authority for establishing the actual rates is still reserved to the states under </w:t>
      </w:r>
      <w:r w:rsidR="008A74EE">
        <w:t>the dual regulatory scheme established by Con</w:t>
      </w:r>
      <w:r w:rsidR="00604C09">
        <w:softHyphen/>
      </w:r>
      <w:r w:rsidR="008A74EE">
        <w:t xml:space="preserve">gress in the </w:t>
      </w:r>
      <w:r w:rsidR="008A74EE" w:rsidRPr="008A74EE">
        <w:t xml:space="preserve"> Act.</w:t>
      </w:r>
      <w:r w:rsidR="008A74EE" w:rsidRPr="008A74EE">
        <w:rPr>
          <w:rStyle w:val="FootnoteReference"/>
          <w:rFonts w:eastAsiaTheme="majorEastAsia"/>
          <w:sz w:val="24"/>
          <w:szCs w:val="24"/>
        </w:rPr>
        <w:footnoteReference w:id="27"/>
      </w:r>
    </w:p>
    <w:p w:rsidR="008B7053" w:rsidRDefault="002E570A" w:rsidP="002E570A">
      <w:pPr>
        <w:pStyle w:val="Heading2"/>
      </w:pPr>
      <w:bookmarkStart w:id="6" w:name="_Toc301769108"/>
      <w:r>
        <w:t>D.</w:t>
      </w:r>
      <w:r>
        <w:tab/>
      </w:r>
      <w:r w:rsidR="008B7053" w:rsidRPr="008B7053">
        <w:t>COLR/State Legacy Service Obligations Preemption</w:t>
      </w:r>
      <w:bookmarkEnd w:id="6"/>
    </w:p>
    <w:p w:rsidR="008B7053" w:rsidRDefault="002E570A" w:rsidP="002E570A">
      <w:pPr>
        <w:pStyle w:val="Textstyle"/>
      </w:pPr>
      <w:r>
        <w:tab/>
      </w:r>
      <w:r w:rsidR="008B7053">
        <w:t xml:space="preserve">The ABC plan proponents assert that failing to eliminate </w:t>
      </w:r>
      <w:r w:rsidR="00D80131">
        <w:t>state legacy service</w:t>
      </w:r>
      <w:r w:rsidR="008B7053">
        <w:t xml:space="preserve"> </w:t>
      </w:r>
      <w:r w:rsidR="00D80131">
        <w:t xml:space="preserve">and carrier of last resort (COLR) obligations </w:t>
      </w:r>
      <w:r w:rsidR="008B7053">
        <w:t>undermines universal service by deter</w:t>
      </w:r>
      <w:r w:rsidR="009A4E49">
        <w:softHyphen/>
      </w:r>
      <w:r w:rsidR="008B7053">
        <w:t>ring carri</w:t>
      </w:r>
      <w:r w:rsidR="00604C09">
        <w:softHyphen/>
      </w:r>
      <w:r w:rsidR="008B7053">
        <w:t>ers from deploying broadband and IP-enabled services.</w:t>
      </w:r>
      <w:r w:rsidR="008B7053">
        <w:rPr>
          <w:rStyle w:val="FootnoteReference"/>
          <w:sz w:val="24"/>
          <w:szCs w:val="24"/>
        </w:rPr>
        <w:footnoteReference w:id="28"/>
      </w:r>
      <w:r w:rsidR="008B7053">
        <w:t xml:space="preserve">  </w:t>
      </w:r>
      <w:r w:rsidR="009A4E49">
        <w:softHyphen/>
      </w:r>
      <w:r w:rsidR="00B0671D">
        <w:t>The proponents’ filing shows that the opposite is the case.  As</w:t>
      </w:r>
      <w:r w:rsidR="00353CCC">
        <w:t xml:space="preserve"> of December 2010, there were </w:t>
      </w:r>
      <w:r w:rsidR="008B7053">
        <w:t>nearly 24 million cable voice subscribers – who gen</w:t>
      </w:r>
      <w:r w:rsidR="00A72386">
        <w:t>erally receive VoIP ser</w:t>
      </w:r>
      <w:r w:rsidR="009A4E49">
        <w:softHyphen/>
      </w:r>
      <w:r w:rsidR="00A72386">
        <w:t xml:space="preserve">vice – </w:t>
      </w:r>
      <w:r w:rsidR="008B7053">
        <w:t>a</w:t>
      </w:r>
      <w:r w:rsidR="00A72386">
        <w:t xml:space="preserve"> </w:t>
      </w:r>
      <w:r w:rsidR="008B7053">
        <w:t>22</w:t>
      </w:r>
      <w:r w:rsidR="00353CCC">
        <w:t xml:space="preserve"> percent increase since 2008, and a more-than-fourfold increased since 2005.</w:t>
      </w:r>
      <w:r w:rsidR="00353CCC">
        <w:rPr>
          <w:rStyle w:val="FootnoteReference"/>
          <w:sz w:val="24"/>
          <w:szCs w:val="24"/>
        </w:rPr>
        <w:footnoteReference w:id="29"/>
      </w:r>
      <w:r w:rsidR="008B7053">
        <w:t xml:space="preserve"> </w:t>
      </w:r>
      <w:r w:rsidR="00353CCC">
        <w:t xml:space="preserve"> </w:t>
      </w:r>
      <w:r w:rsidR="00B0671D">
        <w:t>F</w:t>
      </w:r>
      <w:r w:rsidR="00353CCC">
        <w:t>urther</w:t>
      </w:r>
      <w:r w:rsidR="00B0671D">
        <w:t>,</w:t>
      </w:r>
      <w:r w:rsidR="00353CCC">
        <w:t xml:space="preserve"> “[i]incumbent LECs, too, are broadly deploying innova</w:t>
      </w:r>
      <w:r w:rsidR="009A4E49">
        <w:softHyphen/>
      </w:r>
      <w:r w:rsidR="00353CCC">
        <w:t>tive new VoIP services” and “[t]hese services also offer integrated packages of features and capabilities, allowing customers to perform multiple communica</w:t>
      </w:r>
      <w:r w:rsidR="009A4E49">
        <w:softHyphen/>
      </w:r>
      <w:r w:rsidR="00353CCC">
        <w:t>tions simultaneously while also access information on the Internet.”</w:t>
      </w:r>
      <w:r w:rsidR="00353CCC">
        <w:rPr>
          <w:rStyle w:val="FootnoteReference"/>
          <w:sz w:val="24"/>
          <w:szCs w:val="24"/>
        </w:rPr>
        <w:footnoteReference w:id="30"/>
      </w:r>
      <w:r w:rsidR="00353CCC">
        <w:t xml:space="preserve"> </w:t>
      </w:r>
      <w:r w:rsidR="00C05EDE">
        <w:t>T</w:t>
      </w:r>
      <w:r w:rsidR="007B5459">
        <w:t>he Plan’s proponents note that</w:t>
      </w:r>
      <w:r w:rsidR="00C05EDE">
        <w:t>, as a result of this growth in intermodal services,</w:t>
      </w:r>
      <w:r w:rsidR="007B5459">
        <w:t xml:space="preserve"> </w:t>
      </w:r>
      <w:r w:rsidR="00B0671D">
        <w:t xml:space="preserve">there has </w:t>
      </w:r>
      <w:r w:rsidR="00B0671D">
        <w:lastRenderedPageBreak/>
        <w:t>been</w:t>
      </w:r>
      <w:r w:rsidR="00353CCC">
        <w:t xml:space="preserve"> a “large decline in tradi</w:t>
      </w:r>
      <w:r w:rsidR="009A4E49">
        <w:softHyphen/>
      </w:r>
      <w:r w:rsidR="00353CCC">
        <w:t>tional wireline service.”</w:t>
      </w:r>
      <w:r w:rsidR="007B5459">
        <w:rPr>
          <w:rStyle w:val="FootnoteReference"/>
        </w:rPr>
        <w:footnoteReference w:id="31"/>
      </w:r>
      <w:r w:rsidR="00353CCC">
        <w:t xml:space="preserve">  Clearly, the deployment of broad</w:t>
      </w:r>
      <w:r w:rsidR="00604C09">
        <w:softHyphen/>
      </w:r>
      <w:r w:rsidR="00353CCC">
        <w:t xml:space="preserve">band and IP-enabled services has been and continues to be very robust.  </w:t>
      </w:r>
    </w:p>
    <w:p w:rsidR="000C33D8" w:rsidRDefault="002E570A" w:rsidP="002E570A">
      <w:pPr>
        <w:pStyle w:val="Textstyle"/>
      </w:pPr>
      <w:r>
        <w:tab/>
      </w:r>
      <w:r w:rsidR="002A3A73">
        <w:t>In Ohio, broadband deployment is</w:t>
      </w:r>
      <w:r w:rsidR="00B3045B">
        <w:t xml:space="preserve"> 98.26 </w:t>
      </w:r>
      <w:r w:rsidR="002A3A73">
        <w:t>percent</w:t>
      </w:r>
      <w:r w:rsidR="00B3045B">
        <w:t xml:space="preserve"> as of April 2011</w:t>
      </w:r>
      <w:r w:rsidR="00B0671D">
        <w:t>,</w:t>
      </w:r>
      <w:r w:rsidR="002A3A73">
        <w:rPr>
          <w:rStyle w:val="FootnoteReference"/>
          <w:sz w:val="24"/>
          <w:szCs w:val="24"/>
        </w:rPr>
        <w:footnoteReference w:id="32"/>
      </w:r>
      <w:r w:rsidR="002A3A73">
        <w:t xml:space="preserve"> up </w:t>
      </w:r>
      <w:r w:rsidR="00B3045B">
        <w:t xml:space="preserve">38 </w:t>
      </w:r>
      <w:r w:rsidR="002A3A73">
        <w:t xml:space="preserve">percent </w:t>
      </w:r>
      <w:r w:rsidR="00B3045B">
        <w:t>from April 2010</w:t>
      </w:r>
      <w:r w:rsidR="002A3A73">
        <w:t>.</w:t>
      </w:r>
      <w:r w:rsidR="007F03E6">
        <w:rPr>
          <w:rStyle w:val="FootnoteReference"/>
          <w:sz w:val="24"/>
          <w:szCs w:val="24"/>
        </w:rPr>
        <w:footnoteReference w:id="33"/>
      </w:r>
      <w:r w:rsidR="002A3A73">
        <w:t xml:space="preserve">  Nationally, broadband service deployment is </w:t>
      </w:r>
      <w:r w:rsidR="007F03E6">
        <w:t xml:space="preserve">90.5 </w:t>
      </w:r>
      <w:r w:rsidR="002A3A73">
        <w:t>percent.</w:t>
      </w:r>
      <w:r w:rsidR="00C14F7E">
        <w:rPr>
          <w:rStyle w:val="FootnoteReference"/>
          <w:sz w:val="24"/>
          <w:szCs w:val="24"/>
        </w:rPr>
        <w:footnoteReference w:id="34"/>
      </w:r>
      <w:r w:rsidR="002A3A73">
        <w:t xml:space="preserve">  This </w:t>
      </w:r>
      <w:r w:rsidR="00A72386">
        <w:t>level of broadband deployment has been achieved</w:t>
      </w:r>
      <w:r w:rsidR="002A3A73">
        <w:t xml:space="preserve">  coincident with COLR obliga</w:t>
      </w:r>
      <w:r w:rsidR="009A4E49">
        <w:softHyphen/>
      </w:r>
      <w:r w:rsidR="002A3A73">
        <w:t xml:space="preserve">tions.  </w:t>
      </w:r>
      <w:r w:rsidR="00C6217F">
        <w:t>The Ohio Commission submits that t</w:t>
      </w:r>
      <w:r w:rsidR="00B0671D">
        <w:t>his actual experience tends to belie</w:t>
      </w:r>
      <w:r w:rsidR="002A3A73">
        <w:t xml:space="preserve"> the assertions of the Plan’s supporters.  </w:t>
      </w:r>
      <w:r w:rsidR="00C6217F">
        <w:t>Accordingly, t</w:t>
      </w:r>
      <w:r w:rsidR="002A3A73">
        <w:t xml:space="preserve">he Ohio Commission encourages the FCC to </w:t>
      </w:r>
      <w:r w:rsidR="00B0671D">
        <w:t>reject Plan proponents’ arguments</w:t>
      </w:r>
      <w:r w:rsidR="002A3A73">
        <w:t xml:space="preserve"> to avoid their COLR obliga</w:t>
      </w:r>
      <w:r w:rsidR="009A4E49">
        <w:softHyphen/>
      </w:r>
      <w:r w:rsidR="002A3A73">
        <w:t>tions.</w:t>
      </w:r>
    </w:p>
    <w:p w:rsidR="002F3387" w:rsidRDefault="002E570A" w:rsidP="002E570A">
      <w:pPr>
        <w:pStyle w:val="Textstyle"/>
      </w:pPr>
      <w:r>
        <w:tab/>
      </w:r>
      <w:r w:rsidR="0031250F">
        <w:t>The FCC can preempt state legacy service obligations, including COLR obliga</w:t>
      </w:r>
      <w:r w:rsidR="00604C09">
        <w:softHyphen/>
      </w:r>
      <w:r w:rsidR="0031250F">
        <w:t>tions, that are inconsistent with the FCC’s rules, that burden federal univ</w:t>
      </w:r>
      <w:r w:rsidR="007B43AA">
        <w:t>ersal support mecha</w:t>
      </w:r>
      <w:r w:rsidR="00604C09">
        <w:softHyphen/>
      </w:r>
      <w:r w:rsidR="007B43AA">
        <w:t>nism</w:t>
      </w:r>
      <w:r w:rsidR="009A4E49">
        <w:t>s</w:t>
      </w:r>
      <w:r w:rsidR="007B43AA">
        <w:t xml:space="preserve"> or that </w:t>
      </w:r>
      <w:r w:rsidR="0031250F">
        <w:t>are not equitable or non-discrimina</w:t>
      </w:r>
      <w:r w:rsidR="009A4E49">
        <w:softHyphen/>
      </w:r>
      <w:r w:rsidR="0031250F">
        <w:t>tory pursuant to section 254(f).</w:t>
      </w:r>
      <w:r w:rsidR="0031250F">
        <w:rPr>
          <w:rStyle w:val="FootnoteReference"/>
          <w:sz w:val="24"/>
          <w:szCs w:val="24"/>
        </w:rPr>
        <w:footnoteReference w:id="35"/>
      </w:r>
      <w:r w:rsidR="0031250F">
        <w:t xml:space="preserve">  </w:t>
      </w:r>
      <w:r w:rsidR="00310CC9" w:rsidRPr="006F1C13">
        <w:t xml:space="preserve">Legacy service obligations required in Ohio </w:t>
      </w:r>
      <w:r w:rsidR="006F1C13" w:rsidRPr="006F1C13">
        <w:t xml:space="preserve">do not </w:t>
      </w:r>
      <w:r w:rsidR="00310CC9" w:rsidRPr="006F1C13">
        <w:t xml:space="preserve">meet </w:t>
      </w:r>
      <w:r w:rsidR="006F1C13" w:rsidRPr="006F1C13">
        <w:t>any of these three criteria</w:t>
      </w:r>
      <w:r w:rsidR="006F1C13">
        <w:t xml:space="preserve"> for preemption</w:t>
      </w:r>
      <w:r w:rsidR="00310CC9" w:rsidRPr="006F1C13">
        <w:t>.</w:t>
      </w:r>
      <w:r w:rsidR="007B43AA">
        <w:t xml:space="preserve">  </w:t>
      </w:r>
      <w:r w:rsidR="009A4E49">
        <w:softHyphen/>
      </w:r>
      <w:r w:rsidR="007B43AA">
        <w:t xml:space="preserve">First, as pointed out above, </w:t>
      </w:r>
      <w:r w:rsidR="00B0671D">
        <w:t xml:space="preserve">Ohio’s </w:t>
      </w:r>
      <w:r w:rsidR="007B43AA">
        <w:t xml:space="preserve">legacy service and COLR obligations </w:t>
      </w:r>
      <w:r w:rsidR="00B0671D">
        <w:t xml:space="preserve">are </w:t>
      </w:r>
      <w:r w:rsidR="007B43AA">
        <w:t>consistent with the FCC’s efforts to achieve ubiquitous broad</w:t>
      </w:r>
      <w:r w:rsidR="009A4E49">
        <w:softHyphen/>
      </w:r>
      <w:r w:rsidR="007B43AA">
        <w:t xml:space="preserve">band deployment.  </w:t>
      </w:r>
      <w:r w:rsidR="00B0671D">
        <w:t xml:space="preserve">In Ohio </w:t>
      </w:r>
      <w:r w:rsidR="00B0671D">
        <w:lastRenderedPageBreak/>
        <w:t>at least, the deployment is in fact occurring.  B</w:t>
      </w:r>
      <w:r w:rsidR="007B43AA">
        <w:t xml:space="preserve">roadband deployment will </w:t>
      </w:r>
      <w:r w:rsidR="00B0671D">
        <w:t xml:space="preserve">occur for sound business reasons, whether these </w:t>
      </w:r>
      <w:r w:rsidR="009A4E49">
        <w:t>obligations</w:t>
      </w:r>
      <w:r w:rsidR="00B0671D">
        <w:t xml:space="preserve"> exist or not</w:t>
      </w:r>
      <w:r w:rsidR="007B43AA">
        <w:t xml:space="preserve">.  In those areas where business </w:t>
      </w:r>
      <w:r w:rsidR="00B0671D">
        <w:t>considerations limit deploy</w:t>
      </w:r>
      <w:r w:rsidR="009A4E49">
        <w:softHyphen/>
      </w:r>
      <w:r w:rsidR="00B0671D">
        <w:t>ment of</w:t>
      </w:r>
      <w:r w:rsidR="00C6244E">
        <w:t xml:space="preserve"> broadband service, removing the COLR obligation will not </w:t>
      </w:r>
      <w:r w:rsidR="009A4E49">
        <w:softHyphen/>
      </w:r>
      <w:r w:rsidR="00C301DA">
        <w:t>change this result</w:t>
      </w:r>
      <w:r w:rsidR="00C6244E">
        <w:t xml:space="preserve">.  </w:t>
      </w:r>
      <w:r w:rsidR="00C301DA">
        <w:t>Nor do</w:t>
      </w:r>
      <w:r w:rsidR="00C6244E">
        <w:t xml:space="preserve"> legacy and COLR obligations bur</w:t>
      </w:r>
      <w:r w:rsidR="009A4E49">
        <w:softHyphen/>
      </w:r>
      <w:r w:rsidR="00C6244E">
        <w:t>den federal univer</w:t>
      </w:r>
      <w:r w:rsidR="00604C09">
        <w:softHyphen/>
      </w:r>
      <w:r w:rsidR="00C6244E">
        <w:t xml:space="preserve">sal support mechanisms.  To the contrary, </w:t>
      </w:r>
      <w:r w:rsidR="00FC5644">
        <w:t xml:space="preserve">some </w:t>
      </w:r>
      <w:r w:rsidR="00C6244E">
        <w:t>carriers receiving univer</w:t>
      </w:r>
      <w:r w:rsidR="009A4E49">
        <w:softHyphen/>
      </w:r>
      <w:r w:rsidR="00C6244E">
        <w:t>sal service sup</w:t>
      </w:r>
      <w:r w:rsidR="00604C09">
        <w:softHyphen/>
      </w:r>
      <w:r w:rsidR="00C6244E">
        <w:t>port have used this support to deploy broadband.</w:t>
      </w:r>
      <w:r w:rsidR="00C6244E">
        <w:rPr>
          <w:rStyle w:val="FootnoteReference"/>
          <w:sz w:val="24"/>
          <w:szCs w:val="24"/>
        </w:rPr>
        <w:footnoteReference w:id="36"/>
      </w:r>
      <w:r w:rsidR="00C6244E">
        <w:t xml:space="preserve">  </w:t>
      </w:r>
      <w:r w:rsidR="00851A45">
        <w:t>In doing so, these carriers have used universal service support in such a manner to meet the FCC’s broadband deployment objec</w:t>
      </w:r>
      <w:r w:rsidR="00604C09">
        <w:softHyphen/>
      </w:r>
      <w:r w:rsidR="00851A45">
        <w:t xml:space="preserve">tives and, in turn, </w:t>
      </w:r>
      <w:r w:rsidR="00EC2870">
        <w:t xml:space="preserve">to </w:t>
      </w:r>
      <w:r w:rsidR="00C6244E">
        <w:t xml:space="preserve">promote the FCC’s policy of universal </w:t>
      </w:r>
      <w:r w:rsidR="00C05EDE">
        <w:t xml:space="preserve">broadband </w:t>
      </w:r>
      <w:r w:rsidR="00C6244E">
        <w:t>service.  Finally, the argument that COLR obligations are not an “equitable and non-discrimina</w:t>
      </w:r>
      <w:r w:rsidR="009A4E49">
        <w:softHyphen/>
      </w:r>
      <w:r w:rsidR="00C6244E">
        <w:t xml:space="preserve">tory” form of promoting universal service is a </w:t>
      </w:r>
      <w:r w:rsidR="00C6244E" w:rsidRPr="00C6244E">
        <w:rPr>
          <w:i/>
        </w:rPr>
        <w:t>non sequitur</w:t>
      </w:r>
      <w:r w:rsidR="00C6217F">
        <w:rPr>
          <w:i/>
        </w:rPr>
        <w:t xml:space="preserve">.  </w:t>
      </w:r>
      <w:r w:rsidR="00C6217F">
        <w:t>As the beneficiaries of dec</w:t>
      </w:r>
      <w:r w:rsidR="00604C09">
        <w:softHyphen/>
      </w:r>
      <w:r w:rsidR="00C6217F">
        <w:t>ades of monopoly regulation, ILECs have been afforded many advantages that competi</w:t>
      </w:r>
      <w:r w:rsidR="00604C09">
        <w:softHyphen/>
      </w:r>
      <w:r w:rsidR="00C6217F">
        <w:t xml:space="preserve">tive carriers have not.  Consequently, </w:t>
      </w:r>
      <w:r w:rsidR="00C6244E">
        <w:t>Congress, through the Act, and the FCC, through its rules, have imposed burdens on the ILECs that have not been imposed on competitive carriers.</w:t>
      </w:r>
      <w:r w:rsidR="00D80131">
        <w:rPr>
          <w:rStyle w:val="FootnoteReference"/>
          <w:sz w:val="24"/>
          <w:szCs w:val="24"/>
        </w:rPr>
        <w:footnoteReference w:id="37"/>
      </w:r>
      <w:r w:rsidR="00D80131">
        <w:t xml:space="preserve">  Accordingly, the Ohio Commission urges the FCC to reject the arguments of the Plan’s supporters and maintain state legacy service and COLR obligations.</w:t>
      </w:r>
    </w:p>
    <w:p w:rsidR="004C730F" w:rsidRPr="004C730F" w:rsidRDefault="00C301DA" w:rsidP="00C301DA">
      <w:pPr>
        <w:pStyle w:val="Heading2"/>
      </w:pPr>
      <w:bookmarkStart w:id="7" w:name="_Toc301769109"/>
      <w:r>
        <w:t>E.</w:t>
      </w:r>
      <w:r>
        <w:tab/>
      </w:r>
      <w:r w:rsidR="004C730F" w:rsidRPr="004C730F">
        <w:t>State Access Reform</w:t>
      </w:r>
      <w:bookmarkEnd w:id="7"/>
    </w:p>
    <w:p w:rsidR="005F45F7" w:rsidRDefault="008A74EE" w:rsidP="002E570A">
      <w:pPr>
        <w:pStyle w:val="Textstyle"/>
      </w:pPr>
      <w:r>
        <w:tab/>
      </w:r>
      <w:r w:rsidR="00851A45">
        <w:t>The</w:t>
      </w:r>
      <w:r>
        <w:t xml:space="preserve"> Ohio Commission strongly believes that intrastate access regulation falls within authority granted to the states under the Act</w:t>
      </w:r>
      <w:r w:rsidR="00851A45">
        <w:t>.  I</w:t>
      </w:r>
      <w:r>
        <w:t xml:space="preserve">t also </w:t>
      </w:r>
      <w:r w:rsidR="00851A45">
        <w:t xml:space="preserve">recognizes </w:t>
      </w:r>
      <w:r>
        <w:t xml:space="preserve">that ICC reform is </w:t>
      </w:r>
      <w:r>
        <w:lastRenderedPageBreak/>
        <w:t>long overdue.  Accordingly, the Ohio Commission has opened its own intrastate access reform proceeding.</w:t>
      </w:r>
      <w:r>
        <w:rPr>
          <w:rStyle w:val="FootnoteReference"/>
          <w:sz w:val="24"/>
          <w:szCs w:val="24"/>
        </w:rPr>
        <w:footnoteReference w:id="38"/>
      </w:r>
      <w:r>
        <w:t xml:space="preserve">  </w:t>
      </w:r>
      <w:r w:rsidR="00851A45">
        <w:t>I</w:t>
      </w:r>
      <w:r w:rsidR="004C730F">
        <w:t>mplementation of the ABC Plan would</w:t>
      </w:r>
      <w:r w:rsidR="00652D5A">
        <w:t xml:space="preserve"> detrimentally affect the states’ ability to guarantee that all carriers recover their costs associated with intrastate access.  </w:t>
      </w:r>
      <w:r w:rsidR="007715A2">
        <w:t xml:space="preserve">Like the ABC Plan, </w:t>
      </w:r>
      <w:r w:rsidR="00652D5A">
        <w:t xml:space="preserve">the access reform plan proposed by </w:t>
      </w:r>
      <w:r w:rsidR="00C301DA">
        <w:t xml:space="preserve">the </w:t>
      </w:r>
      <w:r w:rsidR="00652D5A">
        <w:t>Ohio Commission staff</w:t>
      </w:r>
      <w:r w:rsidR="007715A2">
        <w:t xml:space="preserve"> includes a unified rate with</w:t>
      </w:r>
      <w:r w:rsidR="00652D5A">
        <w:t xml:space="preserve"> intrastate access rates mirror</w:t>
      </w:r>
      <w:r w:rsidR="007715A2">
        <w:t>ing</w:t>
      </w:r>
      <w:r w:rsidR="00652D5A">
        <w:t xml:space="preserve"> interstate rates.</w:t>
      </w:r>
      <w:r w:rsidR="00652D5A">
        <w:rPr>
          <w:rStyle w:val="FootnoteReference"/>
          <w:sz w:val="24"/>
          <w:szCs w:val="24"/>
        </w:rPr>
        <w:footnoteReference w:id="39"/>
      </w:r>
      <w:r w:rsidR="00652D5A">
        <w:t xml:space="preserve">  The Ohio Commission suspects that most, if not all, states that have undertaken access reform have done likewise.  Nonetheless, this is a voluntary approach that the states have adopt</w:t>
      </w:r>
      <w:r w:rsidR="000418DA">
        <w:t>ed.  FCC preempt</w:t>
      </w:r>
      <w:r w:rsidR="00C301DA">
        <w:t>ion of</w:t>
      </w:r>
      <w:r w:rsidR="000418DA">
        <w:t xml:space="preserve"> state</w:t>
      </w:r>
      <w:r w:rsidR="00652D5A">
        <w:t xml:space="preserve"> authority to set intrastate access rates,</w:t>
      </w:r>
      <w:r w:rsidR="007715A2">
        <w:t xml:space="preserve"> would </w:t>
      </w:r>
      <w:r w:rsidR="00C301DA">
        <w:t>jeopard</w:t>
      </w:r>
      <w:r w:rsidR="00604C09">
        <w:softHyphen/>
      </w:r>
      <w:r w:rsidR="00C301DA">
        <w:t>iz</w:t>
      </w:r>
      <w:r w:rsidR="007715A2">
        <w:t>e</w:t>
      </w:r>
      <w:r w:rsidR="00652D5A">
        <w:t xml:space="preserve"> carriers’ </w:t>
      </w:r>
      <w:r w:rsidR="009A4E49">
        <w:t xml:space="preserve">abilities to recover their costs </w:t>
      </w:r>
      <w:r w:rsidR="00C301DA">
        <w:t>of providing such service</w:t>
      </w:r>
      <w:r w:rsidR="007715A2">
        <w:t xml:space="preserve"> </w:t>
      </w:r>
      <w:r w:rsidR="00C301DA">
        <w:t>s</w:t>
      </w:r>
      <w:r w:rsidR="007715A2">
        <w:t>hould the intrastate rate proposed by the Plan prove to be insufficient</w:t>
      </w:r>
      <w:r w:rsidR="00652D5A">
        <w:t xml:space="preserve">.  This, in turn, could lead to </w:t>
      </w:r>
      <w:r w:rsidR="00C301DA">
        <w:t xml:space="preserve">uneven results – </w:t>
      </w:r>
      <w:r w:rsidR="00652D5A">
        <w:t xml:space="preserve">windfalls for some carriers and shortfalls for others.  </w:t>
      </w:r>
      <w:r w:rsidR="000418DA">
        <w:t xml:space="preserve">The Ohio Commission urges the FCC to </w:t>
      </w:r>
      <w:r w:rsidR="00C301DA">
        <w:t>consider this</w:t>
      </w:r>
      <w:r w:rsidR="000418DA">
        <w:t xml:space="preserve"> possibil</w:t>
      </w:r>
      <w:r w:rsidR="009A4E49">
        <w:softHyphen/>
      </w:r>
      <w:r w:rsidR="000418DA">
        <w:t xml:space="preserve">ity </w:t>
      </w:r>
      <w:r w:rsidR="00C301DA">
        <w:t>and to recognize</w:t>
      </w:r>
      <w:r w:rsidR="000418DA">
        <w:t xml:space="preserve"> the authority conferred </w:t>
      </w:r>
      <w:r w:rsidR="00C301DA">
        <w:t xml:space="preserve">upon </w:t>
      </w:r>
      <w:r w:rsidR="000418DA">
        <w:t>the states</w:t>
      </w:r>
      <w:r w:rsidR="00C301DA">
        <w:t>,</w:t>
      </w:r>
      <w:r w:rsidR="000418DA">
        <w:t xml:space="preserve"> by the Act</w:t>
      </w:r>
      <w:r w:rsidR="00C301DA">
        <w:t>,</w:t>
      </w:r>
      <w:r w:rsidR="000418DA">
        <w:t xml:space="preserve"> to regulate intrastate access.</w:t>
      </w:r>
      <w:r w:rsidR="007715A2">
        <w:rPr>
          <w:rStyle w:val="FootnoteReference"/>
        </w:rPr>
        <w:footnoteReference w:id="40"/>
      </w:r>
    </w:p>
    <w:p w:rsidR="002A3A73" w:rsidRPr="002A3A73" w:rsidRDefault="002A3A73" w:rsidP="002E570A">
      <w:pPr>
        <w:pStyle w:val="Heading1"/>
      </w:pPr>
      <w:bookmarkStart w:id="8" w:name="_Toc301769110"/>
      <w:r w:rsidRPr="002A3A73">
        <w:lastRenderedPageBreak/>
        <w:t>CONCLUSION</w:t>
      </w:r>
      <w:bookmarkEnd w:id="8"/>
    </w:p>
    <w:p w:rsidR="000418DA" w:rsidRDefault="00B3045B" w:rsidP="002E570A">
      <w:pPr>
        <w:pStyle w:val="Textstyle"/>
      </w:pPr>
      <w:r>
        <w:tab/>
        <w:t>Ohio has long held that the states have delegated authority under the Act to estab</w:t>
      </w:r>
      <w:r w:rsidR="009A4E49">
        <w:softHyphen/>
      </w:r>
      <w:r>
        <w:t xml:space="preserve">lish intrastate access rates and, as such, may not be preempted </w:t>
      </w:r>
      <w:r w:rsidR="001E0F52">
        <w:t>from exercising this author</w:t>
      </w:r>
      <w:r w:rsidR="009A4E49">
        <w:softHyphen/>
      </w:r>
      <w:r w:rsidR="001E0F52">
        <w:t>ity under any access reform proposal.  These comments further articulate the Ohio Commission’s position in this regard.  Nonetheless, due to the short time granted to com</w:t>
      </w:r>
      <w:r w:rsidR="009A4E49">
        <w:softHyphen/>
      </w:r>
      <w:r w:rsidR="001E0F52">
        <w:t xml:space="preserve">ment on the ABC Plan, the Ohio Commission </w:t>
      </w:r>
      <w:r w:rsidR="00696EA5">
        <w:t xml:space="preserve">is </w:t>
      </w:r>
      <w:r w:rsidR="00C301DA">
        <w:t>unable</w:t>
      </w:r>
      <w:r w:rsidR="001E0F52">
        <w:t xml:space="preserve"> to provide comment on each legal argument that the Plan’s proponents have made in support of preemption.  Accord</w:t>
      </w:r>
      <w:r w:rsidR="009A4E49">
        <w:softHyphen/>
      </w:r>
      <w:r w:rsidR="001E0F52">
        <w:t>ingly, the silence of the Ohio Commission with regard to any argument or justifica</w:t>
      </w:r>
      <w:r w:rsidR="009A4E49">
        <w:softHyphen/>
      </w:r>
      <w:r w:rsidR="001E0F52">
        <w:t>tion for preemp</w:t>
      </w:r>
      <w:r w:rsidR="00604C09">
        <w:softHyphen/>
      </w:r>
      <w:r w:rsidR="001E0F52">
        <w:t xml:space="preserve">tion not addressed in these comments should not be construed as agreement with or acceptance by the Ohio Commission.  </w:t>
      </w:r>
      <w:r w:rsidR="00C301DA">
        <w:t>T</w:t>
      </w:r>
      <w:r w:rsidR="001E0F52">
        <w:t xml:space="preserve">he Ohio Commission </w:t>
      </w:r>
      <w:r w:rsidR="00C301DA">
        <w:t xml:space="preserve">respectfully requests that the FCC give its studied consideration to these comments </w:t>
      </w:r>
      <w:r w:rsidR="00EC2870">
        <w:t xml:space="preserve">and it </w:t>
      </w:r>
      <w:r w:rsidR="007F03E6">
        <w:t>appreciates the oppor</w:t>
      </w:r>
      <w:r w:rsidR="00604C09">
        <w:softHyphen/>
      </w:r>
      <w:r w:rsidR="007F03E6">
        <w:t xml:space="preserve">tunity to </w:t>
      </w:r>
      <w:r w:rsidR="007E11FF">
        <w:t>provide its thoughts and recommendations for consideration</w:t>
      </w:r>
      <w:r w:rsidR="007F03E6">
        <w:t>.</w:t>
      </w:r>
    </w:p>
    <w:p w:rsidR="00046653" w:rsidRDefault="00046653" w:rsidP="000C0416">
      <w:pPr>
        <w:tabs>
          <w:tab w:val="left" w:pos="9360"/>
        </w:tabs>
        <w:spacing w:after="0" w:line="240" w:lineRule="auto"/>
        <w:ind w:left="4320"/>
        <w:rPr>
          <w:rFonts w:ascii="Times New Roman" w:hAnsi="Times New Roman"/>
          <w:sz w:val="26"/>
          <w:szCs w:val="26"/>
        </w:rPr>
      </w:pPr>
    </w:p>
    <w:p w:rsidR="00046653" w:rsidRDefault="00046653" w:rsidP="000C0416">
      <w:pPr>
        <w:tabs>
          <w:tab w:val="left" w:pos="9360"/>
        </w:tabs>
        <w:spacing w:after="0" w:line="240" w:lineRule="auto"/>
        <w:ind w:left="4320"/>
        <w:rPr>
          <w:rFonts w:ascii="Times New Roman" w:hAnsi="Times New Roman"/>
          <w:sz w:val="26"/>
          <w:szCs w:val="26"/>
        </w:rPr>
      </w:pPr>
    </w:p>
    <w:p w:rsidR="000C0416" w:rsidRPr="007A78D7" w:rsidRDefault="000C0416" w:rsidP="000C0416">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Respectfully submitted,</w:t>
      </w:r>
    </w:p>
    <w:p w:rsidR="000C0416" w:rsidRPr="007A78D7" w:rsidRDefault="000C0416" w:rsidP="000C0416">
      <w:pPr>
        <w:tabs>
          <w:tab w:val="left" w:pos="9360"/>
        </w:tabs>
        <w:spacing w:after="0" w:line="240" w:lineRule="auto"/>
        <w:ind w:left="4320"/>
        <w:rPr>
          <w:rFonts w:ascii="Times New Roman" w:hAnsi="Times New Roman"/>
          <w:sz w:val="26"/>
          <w:szCs w:val="26"/>
        </w:rPr>
      </w:pPr>
    </w:p>
    <w:p w:rsidR="000C0416" w:rsidRPr="007A78D7" w:rsidRDefault="00604C09" w:rsidP="000C0416">
      <w:pPr>
        <w:tabs>
          <w:tab w:val="left" w:pos="9360"/>
        </w:tabs>
        <w:spacing w:after="0" w:line="240" w:lineRule="auto"/>
        <w:ind w:left="4320"/>
        <w:rPr>
          <w:rFonts w:ascii="Brush Script MT" w:hAnsi="Brush Script MT"/>
          <w:sz w:val="36"/>
          <w:szCs w:val="36"/>
          <w:u w:val="single"/>
        </w:rPr>
      </w:pPr>
      <w:r>
        <w:rPr>
          <w:rFonts w:ascii="Brush Script MT" w:hAnsi="Brush Script MT"/>
          <w:sz w:val="36"/>
          <w:szCs w:val="36"/>
          <w:u w:val="single"/>
        </w:rPr>
        <w:t>/s/ William L. Wright</w:t>
      </w:r>
      <w:r w:rsidR="000C0416" w:rsidRPr="007A78D7">
        <w:rPr>
          <w:rFonts w:ascii="Brush Script MT" w:hAnsi="Brush Script MT"/>
          <w:sz w:val="36"/>
          <w:szCs w:val="36"/>
          <w:u w:val="single"/>
        </w:rPr>
        <w:tab/>
      </w:r>
    </w:p>
    <w:p w:rsidR="000C0416" w:rsidRPr="007A78D7" w:rsidRDefault="000C0416" w:rsidP="000C0416">
      <w:pPr>
        <w:tabs>
          <w:tab w:val="left" w:pos="9360"/>
        </w:tabs>
        <w:spacing w:after="0" w:line="240" w:lineRule="auto"/>
        <w:ind w:left="4320"/>
        <w:rPr>
          <w:rFonts w:ascii="Times New Roman" w:hAnsi="Times New Roman"/>
          <w:b/>
          <w:sz w:val="26"/>
          <w:szCs w:val="26"/>
        </w:rPr>
      </w:pPr>
      <w:r>
        <w:rPr>
          <w:rFonts w:ascii="Times New Roman" w:hAnsi="Times New Roman"/>
          <w:b/>
          <w:sz w:val="26"/>
          <w:szCs w:val="26"/>
        </w:rPr>
        <w:t>William L. Wright</w:t>
      </w:r>
    </w:p>
    <w:p w:rsidR="000C0416" w:rsidRPr="007A78D7" w:rsidRDefault="000C0416" w:rsidP="000C0416">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180 East Broad Street, 6</w:t>
      </w:r>
      <w:r w:rsidRPr="007A78D7">
        <w:rPr>
          <w:rFonts w:ascii="Times New Roman" w:hAnsi="Times New Roman"/>
          <w:sz w:val="26"/>
          <w:szCs w:val="26"/>
          <w:vertAlign w:val="superscript"/>
        </w:rPr>
        <w:t>th</w:t>
      </w:r>
      <w:r w:rsidRPr="007A78D7">
        <w:rPr>
          <w:rFonts w:ascii="Times New Roman" w:hAnsi="Times New Roman"/>
          <w:sz w:val="26"/>
          <w:szCs w:val="26"/>
        </w:rPr>
        <w:t xml:space="preserve"> Floor</w:t>
      </w:r>
    </w:p>
    <w:p w:rsidR="000C0416" w:rsidRPr="007A78D7" w:rsidRDefault="000C0416" w:rsidP="000C0416">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Columbus, OH  43215-3793</w:t>
      </w:r>
    </w:p>
    <w:p w:rsidR="000C0416" w:rsidRPr="007A78D7" w:rsidRDefault="000C0416" w:rsidP="000C0416">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614.466.4397 (telephone)</w:t>
      </w:r>
    </w:p>
    <w:p w:rsidR="000C0416" w:rsidRPr="007A78D7" w:rsidRDefault="000C0416" w:rsidP="000C0416">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614.644.8764 (fax)</w:t>
      </w:r>
    </w:p>
    <w:p w:rsidR="000C0416" w:rsidRPr="007A78D7" w:rsidRDefault="00A81257" w:rsidP="000C0416">
      <w:pPr>
        <w:tabs>
          <w:tab w:val="left" w:pos="9360"/>
        </w:tabs>
        <w:spacing w:after="0" w:line="240" w:lineRule="auto"/>
        <w:ind w:left="4320"/>
        <w:rPr>
          <w:rFonts w:ascii="Times New Roman" w:hAnsi="Times New Roman"/>
          <w:sz w:val="26"/>
          <w:szCs w:val="26"/>
        </w:rPr>
      </w:pPr>
      <w:hyperlink r:id="rId15" w:history="1">
        <w:r w:rsidR="000C0416" w:rsidRPr="00B12E3C">
          <w:rPr>
            <w:rStyle w:val="Hyperlink"/>
            <w:rFonts w:ascii="Times New Roman" w:hAnsi="Times New Roman"/>
            <w:sz w:val="26"/>
            <w:szCs w:val="26"/>
          </w:rPr>
          <w:t>william.wright@puc.state.oh.us</w:t>
        </w:r>
      </w:hyperlink>
    </w:p>
    <w:p w:rsidR="000C0416" w:rsidRPr="00D6028D" w:rsidRDefault="000C0416" w:rsidP="000C0416">
      <w:pPr>
        <w:tabs>
          <w:tab w:val="left" w:pos="9360"/>
        </w:tabs>
        <w:spacing w:after="0" w:line="240" w:lineRule="auto"/>
        <w:ind w:left="4320"/>
        <w:rPr>
          <w:rFonts w:ascii="Times New Roman" w:hAnsi="Times New Roman"/>
          <w:sz w:val="16"/>
          <w:szCs w:val="16"/>
        </w:rPr>
      </w:pPr>
    </w:p>
    <w:p w:rsidR="000C0416" w:rsidRPr="007A78D7" w:rsidRDefault="000C0416" w:rsidP="000C0416">
      <w:pPr>
        <w:tabs>
          <w:tab w:val="left" w:pos="9360"/>
        </w:tabs>
        <w:spacing w:after="0" w:line="240" w:lineRule="auto"/>
        <w:ind w:left="4320"/>
        <w:rPr>
          <w:rFonts w:ascii="Times New Roman" w:hAnsi="Times New Roman"/>
          <w:sz w:val="26"/>
          <w:szCs w:val="26"/>
        </w:rPr>
      </w:pPr>
      <w:r>
        <w:rPr>
          <w:rFonts w:ascii="Times New Roman" w:hAnsi="Times New Roman"/>
          <w:sz w:val="26"/>
          <w:szCs w:val="26"/>
        </w:rPr>
        <w:t>Attorney</w:t>
      </w:r>
      <w:r w:rsidRPr="007A78D7">
        <w:rPr>
          <w:rFonts w:ascii="Times New Roman" w:hAnsi="Times New Roman"/>
          <w:sz w:val="26"/>
          <w:szCs w:val="26"/>
        </w:rPr>
        <w:t xml:space="preserve"> for </w:t>
      </w:r>
    </w:p>
    <w:p w:rsidR="00D6028D" w:rsidRDefault="000C0416" w:rsidP="00D6028D">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The Public Utilities Commission of Ohio</w:t>
      </w:r>
    </w:p>
    <w:p w:rsidR="000C0416" w:rsidRPr="00D6028D" w:rsidRDefault="000C0416" w:rsidP="00D6028D">
      <w:pPr>
        <w:tabs>
          <w:tab w:val="left" w:pos="9360"/>
        </w:tabs>
        <w:spacing w:after="0" w:line="240" w:lineRule="auto"/>
        <w:rPr>
          <w:rFonts w:ascii="Times New Roman" w:hAnsi="Times New Roman" w:cs="Times New Roman"/>
          <w:sz w:val="26"/>
          <w:szCs w:val="26"/>
        </w:rPr>
      </w:pPr>
      <w:r w:rsidRPr="00D6028D">
        <w:rPr>
          <w:rFonts w:ascii="Times New Roman" w:hAnsi="Times New Roman" w:cs="Times New Roman"/>
          <w:sz w:val="26"/>
          <w:szCs w:val="26"/>
        </w:rPr>
        <w:t>Dated:  August 24, 2011</w:t>
      </w:r>
    </w:p>
    <w:sectPr w:rsidR="000C0416" w:rsidRPr="00D6028D" w:rsidSect="00D1752C">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C4" w:rsidRDefault="00226AC4" w:rsidP="004D73FC">
      <w:pPr>
        <w:spacing w:after="0" w:line="240" w:lineRule="auto"/>
      </w:pPr>
      <w:r>
        <w:separator/>
      </w:r>
    </w:p>
  </w:endnote>
  <w:endnote w:type="continuationSeparator" w:id="0">
    <w:p w:rsidR="00226AC4" w:rsidRDefault="00226AC4" w:rsidP="004D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Default="00226AC4">
    <w:pPr>
      <w:pStyle w:val="Footer"/>
      <w:jc w:val="center"/>
    </w:pPr>
  </w:p>
  <w:p w:rsidR="00226AC4" w:rsidRDefault="00226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Default="00226AC4">
    <w:pPr>
      <w:pStyle w:val="Footer"/>
      <w:jc w:val="center"/>
    </w:pPr>
  </w:p>
  <w:p w:rsidR="00226AC4" w:rsidRDefault="00226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4658519"/>
      <w:docPartObj>
        <w:docPartGallery w:val="Page Numbers (Bottom of Page)"/>
        <w:docPartUnique/>
      </w:docPartObj>
    </w:sdtPr>
    <w:sdtEndPr/>
    <w:sdtContent>
      <w:p w:rsidR="00226AC4" w:rsidRPr="008F4D51" w:rsidRDefault="00226AC4" w:rsidP="008F4D51">
        <w:pPr>
          <w:pStyle w:val="Footer"/>
          <w:jc w:val="center"/>
          <w:rPr>
            <w:rFonts w:ascii="Times New Roman" w:hAnsi="Times New Roman" w:cs="Times New Roman"/>
            <w:sz w:val="24"/>
            <w:szCs w:val="24"/>
          </w:rPr>
        </w:pPr>
        <w:r w:rsidRPr="008F4D51">
          <w:rPr>
            <w:rFonts w:ascii="Times New Roman" w:hAnsi="Times New Roman" w:cs="Times New Roman"/>
            <w:sz w:val="24"/>
            <w:szCs w:val="24"/>
          </w:rPr>
          <w:fldChar w:fldCharType="begin"/>
        </w:r>
        <w:r w:rsidRPr="008F4D51">
          <w:rPr>
            <w:rFonts w:ascii="Times New Roman" w:hAnsi="Times New Roman" w:cs="Times New Roman"/>
            <w:sz w:val="24"/>
            <w:szCs w:val="24"/>
          </w:rPr>
          <w:instrText xml:space="preserve"> PAGE   \* MERGEFORMAT </w:instrText>
        </w:r>
        <w:r w:rsidRPr="008F4D51">
          <w:rPr>
            <w:rFonts w:ascii="Times New Roman" w:hAnsi="Times New Roman" w:cs="Times New Roman"/>
            <w:sz w:val="24"/>
            <w:szCs w:val="24"/>
          </w:rPr>
          <w:fldChar w:fldCharType="separate"/>
        </w:r>
        <w:r w:rsidR="00A81257">
          <w:rPr>
            <w:rFonts w:ascii="Times New Roman" w:hAnsi="Times New Roman" w:cs="Times New Roman"/>
            <w:noProof/>
            <w:sz w:val="24"/>
            <w:szCs w:val="24"/>
          </w:rPr>
          <w:t>i</w:t>
        </w:r>
        <w:r w:rsidRPr="008F4D51">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Default="00226AC4">
    <w:pPr>
      <w:pStyle w:val="Footer"/>
      <w:jc w:val="center"/>
    </w:pPr>
  </w:p>
  <w:p w:rsidR="00226AC4" w:rsidRDefault="00226A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4658510"/>
      <w:docPartObj>
        <w:docPartGallery w:val="Page Numbers (Bottom of Page)"/>
        <w:docPartUnique/>
      </w:docPartObj>
    </w:sdtPr>
    <w:sdtEndPr/>
    <w:sdtContent>
      <w:p w:rsidR="00226AC4" w:rsidRPr="008F4D51" w:rsidRDefault="00226AC4" w:rsidP="008F4D51">
        <w:pPr>
          <w:pStyle w:val="Footer"/>
          <w:jc w:val="center"/>
          <w:rPr>
            <w:rFonts w:ascii="Times New Roman" w:hAnsi="Times New Roman" w:cs="Times New Roman"/>
            <w:sz w:val="24"/>
            <w:szCs w:val="24"/>
          </w:rPr>
        </w:pPr>
        <w:r w:rsidRPr="008F4D51">
          <w:rPr>
            <w:rFonts w:ascii="Times New Roman" w:hAnsi="Times New Roman" w:cs="Times New Roman"/>
            <w:sz w:val="24"/>
            <w:szCs w:val="24"/>
          </w:rPr>
          <w:fldChar w:fldCharType="begin"/>
        </w:r>
        <w:r w:rsidRPr="008F4D51">
          <w:rPr>
            <w:rFonts w:ascii="Times New Roman" w:hAnsi="Times New Roman" w:cs="Times New Roman"/>
            <w:sz w:val="24"/>
            <w:szCs w:val="24"/>
          </w:rPr>
          <w:instrText xml:space="preserve"> PAGE   \* MERGEFORMAT </w:instrText>
        </w:r>
        <w:r w:rsidRPr="008F4D51">
          <w:rPr>
            <w:rFonts w:ascii="Times New Roman" w:hAnsi="Times New Roman" w:cs="Times New Roman"/>
            <w:sz w:val="24"/>
            <w:szCs w:val="24"/>
          </w:rPr>
          <w:fldChar w:fldCharType="separate"/>
        </w:r>
        <w:r w:rsidR="00A81257">
          <w:rPr>
            <w:rFonts w:ascii="Times New Roman" w:hAnsi="Times New Roman" w:cs="Times New Roman"/>
            <w:noProof/>
            <w:sz w:val="24"/>
            <w:szCs w:val="24"/>
          </w:rPr>
          <w:t>15</w:t>
        </w:r>
        <w:r w:rsidRPr="008F4D51">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Default="00226AC4">
    <w:pPr>
      <w:pStyle w:val="Footer"/>
      <w:jc w:val="center"/>
    </w:pPr>
  </w:p>
  <w:p w:rsidR="00226AC4" w:rsidRDefault="00226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C4" w:rsidRDefault="00226AC4" w:rsidP="004D73FC">
      <w:pPr>
        <w:spacing w:after="0" w:line="240" w:lineRule="auto"/>
      </w:pPr>
      <w:r>
        <w:separator/>
      </w:r>
    </w:p>
  </w:footnote>
  <w:footnote w:type="continuationSeparator" w:id="0">
    <w:p w:rsidR="00226AC4" w:rsidRDefault="00226AC4" w:rsidP="004D73FC">
      <w:pPr>
        <w:spacing w:after="0" w:line="240" w:lineRule="auto"/>
      </w:pPr>
      <w:r>
        <w:continuationSeparator/>
      </w:r>
    </w:p>
  </w:footnote>
  <w:footnote w:id="1">
    <w:p w:rsidR="00226AC4" w:rsidRDefault="00226AC4" w:rsidP="001C1743">
      <w:pPr>
        <w:pStyle w:val="FootnoteText"/>
      </w:pPr>
      <w:r>
        <w:rPr>
          <w:rStyle w:val="FootnoteReference"/>
        </w:rPr>
        <w:footnoteRef/>
      </w:r>
      <w:r>
        <w:tab/>
      </w:r>
      <w:r>
        <w:tab/>
        <w:t xml:space="preserve">Letter from Robert W. Quinn, Jr., AT&amp;T, Steve Davis, CenturyLink, Michael T. Skrivan, FairPoint, Kathleen Q. Abernathy, Frontier, Kathleen Grillo, Verizon, and Michael D. Rhoda, Windstream, to Marlene H. Dortch, FCC, WC Docket No. 10-90, </w:t>
      </w:r>
      <w:r w:rsidRPr="001C1743">
        <w:rPr>
          <w:i/>
        </w:rPr>
        <w:t>et al.</w:t>
      </w:r>
      <w:r>
        <w:t xml:space="preserve"> (filed July 29, 2011) (ABC Plan).</w:t>
      </w:r>
    </w:p>
  </w:footnote>
  <w:footnote w:id="2">
    <w:p w:rsidR="00226AC4" w:rsidRDefault="00226AC4">
      <w:pPr>
        <w:pStyle w:val="FootnoteText"/>
      </w:pPr>
      <w:r>
        <w:rPr>
          <w:rStyle w:val="FootnoteReference"/>
        </w:rPr>
        <w:footnoteRef/>
      </w:r>
      <w:r>
        <w:t xml:space="preserve"> </w:t>
      </w:r>
      <w:r>
        <w:tab/>
      </w:r>
      <w:r>
        <w:tab/>
        <w:t>Notice of Proposed Rulemaking and Further Notice of Proposed Rulemaking, 26 FCC Rcd 4554 (Rel. February 9, 2011) (NPRM/FNPRM).</w:t>
      </w:r>
    </w:p>
  </w:footnote>
  <w:footnote w:id="3">
    <w:p w:rsidR="00226AC4" w:rsidRDefault="00226AC4" w:rsidP="001C1743">
      <w:pPr>
        <w:pStyle w:val="FootnoteText"/>
      </w:pPr>
      <w:r>
        <w:rPr>
          <w:rStyle w:val="FootnoteReference"/>
        </w:rPr>
        <w:footnoteRef/>
      </w:r>
      <w:r>
        <w:t xml:space="preserve"> </w:t>
      </w:r>
      <w:r>
        <w:tab/>
      </w:r>
      <w:r>
        <w:tab/>
      </w:r>
      <w:r w:rsidRPr="001C1743">
        <w:rPr>
          <w:i/>
        </w:rPr>
        <w:t>See, e.g., In the Matter of Developing a Unified Intercarrier Compensation Regime</w:t>
      </w:r>
      <w:r>
        <w:t xml:space="preserve">, CC Docket No. 01-92 (Comments of the Public Utilities Commission of Ohio) (Filed May 24, 2005) (Missoula Plan Comments);  </w:t>
      </w:r>
      <w:r w:rsidRPr="001C1743">
        <w:rPr>
          <w:i/>
        </w:rPr>
        <w:t xml:space="preserve">High-Cost Universal Service Support, Federal-State Joint Board on Universal Service, Lifeline and </w:t>
      </w:r>
      <w:r>
        <w:rPr>
          <w:i/>
        </w:rPr>
        <w:t>L</w:t>
      </w:r>
      <w:r w:rsidRPr="001C1743">
        <w:rPr>
          <w:i/>
        </w:rPr>
        <w:t>ink Up, Universal Service Con</w:t>
      </w:r>
      <w:r>
        <w:rPr>
          <w:i/>
        </w:rPr>
        <w:softHyphen/>
      </w:r>
      <w:r w:rsidRPr="001C1743">
        <w:rPr>
          <w:i/>
        </w:rPr>
        <w:t>tribution Methodology, Numbering Resource Optimization, Implementation of Local Competition Provisions in the Telecommunications Act of 1996, Developing a Unified Intercar</w:t>
      </w:r>
      <w:r>
        <w:rPr>
          <w:i/>
        </w:rPr>
        <w:softHyphen/>
      </w:r>
      <w:r w:rsidRPr="001C1743">
        <w:rPr>
          <w:i/>
        </w:rPr>
        <w:t xml:space="preserve">rier Compensation Regime, Intercarrier Compensation for ISP-Bound Traffic, IP-Enabled </w:t>
      </w:r>
      <w:r w:rsidRPr="006F19C4">
        <w:rPr>
          <w:i/>
        </w:rPr>
        <w:t>Service,</w:t>
      </w:r>
      <w:r>
        <w:t xml:space="preserve"> WC Docket No. 05-337, CC Docket No. 96-45, WC Docket No. 03-109, WC Docket No. 06-122, CC Docket No. 99-200, CC Docket No. 96-98, CC Docket No. 01-92, CC Docket No. 96-, WC Docket No. 04-36, (Comments Submitted on Behalf of the Public Utilities Commission of Ohio) (Filed Nov. 26, 2008); </w:t>
      </w:r>
      <w:r w:rsidRPr="001C1743">
        <w:rPr>
          <w:i/>
        </w:rPr>
        <w:t>Connect America Fund, A National Broadband Plan for Our Future, Establishing Just and Reasonable Rates for Local Exchange Carriers, High-Cost Universal Support, Developing a Unified Inter</w:t>
      </w:r>
      <w:r>
        <w:rPr>
          <w:i/>
        </w:rPr>
        <w:softHyphen/>
      </w:r>
      <w:r w:rsidRPr="001C1743">
        <w:rPr>
          <w:i/>
        </w:rPr>
        <w:t>carrier Compensation Regime, Federal-State Joint Board on Universal Service, Life</w:t>
      </w:r>
      <w:r>
        <w:rPr>
          <w:i/>
        </w:rPr>
        <w:softHyphen/>
      </w:r>
      <w:r w:rsidRPr="001C1743">
        <w:rPr>
          <w:i/>
        </w:rPr>
        <w:t>line and Link Up</w:t>
      </w:r>
      <w:r>
        <w:t>, WC Docket No. 10-90, GN Docket No. 09-51, WC Docket No. 07-135, WC Docket No. 05-337, CC Docket No. 01-92, CC Docket No. 96-45, WC Docket No. 03-109, (Comments Submitted on Behalf of the Public Utilities Commission of Ohio) (Filed April 18, 2011) (ICC/USF Reform Comments).</w:t>
      </w:r>
    </w:p>
  </w:footnote>
  <w:footnote w:id="4">
    <w:p w:rsidR="00226AC4" w:rsidRDefault="00226AC4" w:rsidP="001C1743">
      <w:pPr>
        <w:pStyle w:val="FootnoteText"/>
      </w:pPr>
      <w:r>
        <w:rPr>
          <w:rStyle w:val="FootnoteReference"/>
        </w:rPr>
        <w:footnoteRef/>
      </w:r>
      <w:r>
        <w:t xml:space="preserve"> </w:t>
      </w:r>
      <w:r>
        <w:tab/>
      </w:r>
      <w:r>
        <w:tab/>
      </w:r>
      <w:r w:rsidRPr="00856EF6">
        <w:rPr>
          <w:i/>
        </w:rPr>
        <w:t>See</w:t>
      </w:r>
      <w:r>
        <w:t xml:space="preserve"> 47 U.S.C. § 152(b) (2011).  “Except as provided in sections 223 through 227 of this title, inclusive, and section 332 of this title, and subject to the provisions of section 301 of this title and subchapter V-A of this chapter, </w:t>
      </w:r>
      <w:r w:rsidRPr="007E11FF">
        <w:rPr>
          <w:i/>
        </w:rPr>
        <w:t>nothing</w:t>
      </w:r>
      <w:r>
        <w:t xml:space="preserve"> in this chapter shall be construed to apply or give the [FCC] jurisdiction with respect to…</w:t>
      </w:r>
      <w:r w:rsidRPr="007E11FF">
        <w:rPr>
          <w:i/>
        </w:rPr>
        <w:t>charges, classifications, practices, services, facilities, or regulations for or in connection with intrastate communications service by wire or radio of any carrier</w:t>
      </w:r>
      <w:r>
        <w:t>…”  [Emphasis added].</w:t>
      </w:r>
    </w:p>
  </w:footnote>
  <w:footnote w:id="5">
    <w:p w:rsidR="00226AC4" w:rsidRDefault="00226AC4" w:rsidP="001C1743">
      <w:pPr>
        <w:pStyle w:val="FootnoteText"/>
      </w:pPr>
      <w:r>
        <w:rPr>
          <w:rStyle w:val="FootnoteReference"/>
        </w:rPr>
        <w:footnoteRef/>
      </w:r>
      <w:r>
        <w:t xml:space="preserve"> </w:t>
      </w:r>
      <w:r>
        <w:tab/>
      </w:r>
      <w:r>
        <w:tab/>
      </w:r>
      <w:r w:rsidRPr="00A31744">
        <w:rPr>
          <w:i/>
        </w:rPr>
        <w:t>New England Pub. Comm. Council v. F</w:t>
      </w:r>
      <w:r>
        <w:rPr>
          <w:i/>
        </w:rPr>
        <w:t>.</w:t>
      </w:r>
      <w:r w:rsidRPr="00A31744">
        <w:rPr>
          <w:i/>
        </w:rPr>
        <w:t>C</w:t>
      </w:r>
      <w:r>
        <w:rPr>
          <w:i/>
        </w:rPr>
        <w:t>.</w:t>
      </w:r>
      <w:r w:rsidRPr="00A31744">
        <w:rPr>
          <w:i/>
        </w:rPr>
        <w:t>C</w:t>
      </w:r>
      <w:r>
        <w:rPr>
          <w:i/>
        </w:rPr>
        <w:t>.</w:t>
      </w:r>
      <w:r>
        <w:t>, 334 F3d 69, 75 (D.C. Cir. 2003) (citations omitted).</w:t>
      </w:r>
    </w:p>
  </w:footnote>
  <w:footnote w:id="6">
    <w:p w:rsidR="00226AC4" w:rsidRPr="00856EF6" w:rsidRDefault="00226AC4" w:rsidP="001C1743">
      <w:pPr>
        <w:pStyle w:val="FootnoteText"/>
      </w:pPr>
      <w:r w:rsidRPr="00856EF6">
        <w:rPr>
          <w:rStyle w:val="FootnoteReference"/>
          <w:rFonts w:cs="Times New Roman"/>
        </w:rPr>
        <w:footnoteRef/>
      </w:r>
      <w:r w:rsidRPr="00856EF6">
        <w:t xml:space="preserve"> </w:t>
      </w:r>
      <w:r>
        <w:tab/>
      </w:r>
      <w:r>
        <w:tab/>
      </w:r>
      <w:r w:rsidRPr="00856EF6">
        <w:rPr>
          <w:i/>
        </w:rPr>
        <w:t>Illinois Pub. Telecomm. Ass’n., v. F.C.C</w:t>
      </w:r>
      <w:r w:rsidRPr="00856EF6">
        <w:t>., 117 F3d 555, 561 (D.C. Cir. 1997)</w:t>
      </w:r>
      <w:r>
        <w:t xml:space="preserve"> quoting </w:t>
      </w:r>
      <w:r w:rsidRPr="001B1AE6">
        <w:rPr>
          <w:i/>
        </w:rPr>
        <w:t>Louisiana Pub. Service. Comm. v. FCC</w:t>
      </w:r>
      <w:r>
        <w:t>, 476 U.S. 355, 377 (1986).</w:t>
      </w:r>
    </w:p>
  </w:footnote>
  <w:footnote w:id="7">
    <w:p w:rsidR="00226AC4" w:rsidRPr="00856EF6" w:rsidRDefault="00226AC4" w:rsidP="001C1743">
      <w:pPr>
        <w:pStyle w:val="FootnoteText"/>
      </w:pPr>
      <w:r w:rsidRPr="00856EF6">
        <w:rPr>
          <w:rStyle w:val="FootnoteReference"/>
          <w:rFonts w:cs="Times New Roman"/>
        </w:rPr>
        <w:footnoteRef/>
      </w:r>
      <w:r w:rsidRPr="00856EF6">
        <w:t xml:space="preserve"> </w:t>
      </w:r>
      <w:r>
        <w:tab/>
      </w:r>
      <w:r>
        <w:tab/>
      </w:r>
      <w:r w:rsidRPr="00856EF6">
        <w:rPr>
          <w:i/>
        </w:rPr>
        <w:t>See</w:t>
      </w:r>
      <w:r w:rsidRPr="00856EF6">
        <w:t xml:space="preserve"> ABC Plan, Attachment 5</w:t>
      </w:r>
      <w:r>
        <w:t xml:space="preserve">: </w:t>
      </w:r>
      <w:r w:rsidRPr="00856EF6">
        <w:t>Legal Authority White Paper</w:t>
      </w:r>
      <w:r>
        <w:t xml:space="preserve"> (Attachment 5) at 9-17</w:t>
      </w:r>
      <w:r w:rsidRPr="00856EF6">
        <w:t>; 47 U.S.C. §§</w:t>
      </w:r>
      <w:r>
        <w:t> </w:t>
      </w:r>
      <w:r w:rsidRPr="00856EF6">
        <w:t>251, 252 (2011).</w:t>
      </w:r>
    </w:p>
  </w:footnote>
  <w:footnote w:id="8">
    <w:p w:rsidR="00226AC4" w:rsidRPr="00856EF6" w:rsidRDefault="00226AC4" w:rsidP="001C1743">
      <w:pPr>
        <w:pStyle w:val="FootnoteText"/>
      </w:pPr>
      <w:r w:rsidRPr="00856EF6">
        <w:rPr>
          <w:rStyle w:val="FootnoteReference"/>
          <w:rFonts w:cs="Times New Roman"/>
        </w:rPr>
        <w:footnoteRef/>
      </w:r>
      <w:r w:rsidRPr="00856EF6">
        <w:t xml:space="preserve"> </w:t>
      </w:r>
      <w:r>
        <w:tab/>
      </w:r>
      <w:r>
        <w:tab/>
      </w:r>
      <w:r w:rsidRPr="00856EF6">
        <w:t xml:space="preserve">47 U.S.C. § 153(43) </w:t>
      </w:r>
      <w:r>
        <w:t>(</w:t>
      </w:r>
      <w:r w:rsidRPr="00856EF6">
        <w:t xml:space="preserve">2011).  </w:t>
      </w:r>
      <w:r>
        <w:t>“</w:t>
      </w:r>
      <w:r w:rsidRPr="00856EF6">
        <w:t xml:space="preserve">The term </w:t>
      </w:r>
      <w:r>
        <w:t>‘</w:t>
      </w:r>
      <w:r w:rsidRPr="00856EF6">
        <w:t>telecommunications</w:t>
      </w:r>
      <w:r>
        <w:t>’</w:t>
      </w:r>
      <w:r w:rsidRPr="00856EF6">
        <w:t xml:space="preserve"> means the transmis</w:t>
      </w:r>
      <w:r>
        <w:softHyphen/>
      </w:r>
      <w:r w:rsidRPr="00856EF6">
        <w:t>sion, between or among points specified by the user, of information of the user’s choos</w:t>
      </w:r>
      <w:r>
        <w:softHyphen/>
      </w:r>
      <w:r w:rsidRPr="00856EF6">
        <w:t>ing, without change in the form or content of the information as sent and received.</w:t>
      </w:r>
      <w:r>
        <w:t>”</w:t>
      </w:r>
    </w:p>
    <w:p w:rsidR="00226AC4" w:rsidRPr="00856EF6" w:rsidRDefault="00226AC4" w:rsidP="001C1743">
      <w:pPr>
        <w:pStyle w:val="FootnoteText"/>
      </w:pPr>
      <w:r w:rsidRPr="00856EF6">
        <w:rPr>
          <w:rStyle w:val="FootnoteReference"/>
          <w:rFonts w:cs="Times New Roman"/>
        </w:rPr>
        <w:footnoteRef/>
      </w:r>
      <w:r w:rsidRPr="00856EF6">
        <w:t xml:space="preserve"> </w:t>
      </w:r>
      <w:r>
        <w:tab/>
      </w:r>
      <w:r>
        <w:tab/>
      </w:r>
      <w:r w:rsidRPr="00856EF6">
        <w:rPr>
          <w:i/>
        </w:rPr>
        <w:t>See</w:t>
      </w:r>
      <w:r w:rsidRPr="00856EF6">
        <w:t xml:space="preserve"> </w:t>
      </w:r>
      <w:r>
        <w:t xml:space="preserve"> NPRM/FNPRM at </w:t>
      </w:r>
      <w:r w:rsidRPr="00856EF6">
        <w:t>¶ 513.</w:t>
      </w:r>
    </w:p>
  </w:footnote>
  <w:footnote w:id="9">
    <w:p w:rsidR="00226AC4" w:rsidRPr="00856EF6" w:rsidRDefault="00226AC4" w:rsidP="001C1743">
      <w:pPr>
        <w:pStyle w:val="FootnoteText"/>
      </w:pPr>
      <w:r w:rsidRPr="00856EF6">
        <w:rPr>
          <w:rStyle w:val="FootnoteReference"/>
          <w:rFonts w:cs="Times New Roman"/>
        </w:rPr>
        <w:footnoteRef/>
      </w:r>
      <w:r w:rsidRPr="00856EF6">
        <w:t xml:space="preserve"> </w:t>
      </w:r>
      <w:r>
        <w:tab/>
      </w:r>
      <w:r>
        <w:tab/>
      </w:r>
      <w:r w:rsidRPr="00856EF6">
        <w:t>47 U.S.C. § 251(b)(5) (2011).</w:t>
      </w:r>
    </w:p>
  </w:footnote>
  <w:footnote w:id="10">
    <w:p w:rsidR="00226AC4" w:rsidRPr="00856EF6" w:rsidRDefault="00226AC4" w:rsidP="001C1743">
      <w:pPr>
        <w:pStyle w:val="FootnoteText"/>
      </w:pPr>
      <w:r w:rsidRPr="00856EF6">
        <w:rPr>
          <w:rStyle w:val="FootnoteReference"/>
          <w:rFonts w:cs="Times New Roman"/>
        </w:rPr>
        <w:footnoteRef/>
      </w:r>
      <w:r w:rsidRPr="00856EF6">
        <w:t xml:space="preserve"> </w:t>
      </w:r>
      <w:r>
        <w:tab/>
      </w:r>
      <w:r>
        <w:tab/>
      </w:r>
      <w:r w:rsidRPr="00856EF6">
        <w:rPr>
          <w:i/>
        </w:rPr>
        <w:t>See</w:t>
      </w:r>
      <w:r w:rsidRPr="00856EF6">
        <w:t xml:space="preserve"> </w:t>
      </w:r>
      <w:r>
        <w:t>Attachment 5</w:t>
      </w:r>
      <w:r w:rsidRPr="00856EF6">
        <w:t xml:space="preserve"> at 11.</w:t>
      </w:r>
    </w:p>
  </w:footnote>
  <w:footnote w:id="11">
    <w:p w:rsidR="00226AC4" w:rsidRDefault="00226AC4" w:rsidP="001C1743">
      <w:pPr>
        <w:pStyle w:val="FootnoteText"/>
      </w:pPr>
      <w:r w:rsidRPr="00856EF6">
        <w:rPr>
          <w:rStyle w:val="FootnoteReference"/>
          <w:rFonts w:cs="Times New Roman"/>
        </w:rPr>
        <w:footnoteRef/>
      </w:r>
      <w:r w:rsidRPr="00856EF6">
        <w:t xml:space="preserve"> </w:t>
      </w:r>
      <w:r>
        <w:tab/>
      </w:r>
      <w:r>
        <w:tab/>
      </w:r>
      <w:r w:rsidRPr="00856EF6">
        <w:rPr>
          <w:i/>
        </w:rPr>
        <w:t>Id</w:t>
      </w:r>
      <w:r w:rsidRPr="00856EF6">
        <w:t>.</w:t>
      </w:r>
    </w:p>
  </w:footnote>
  <w:footnote w:id="12">
    <w:p w:rsidR="00226AC4" w:rsidRPr="00856EF6" w:rsidRDefault="00226AC4" w:rsidP="001C1743">
      <w:pPr>
        <w:pStyle w:val="FootnoteText"/>
      </w:pPr>
      <w:r w:rsidRPr="00856EF6">
        <w:rPr>
          <w:rStyle w:val="FootnoteReference"/>
          <w:sz w:val="20"/>
        </w:rPr>
        <w:footnoteRef/>
      </w:r>
      <w:r w:rsidRPr="00856EF6">
        <w:t xml:space="preserve"> </w:t>
      </w:r>
      <w:r>
        <w:tab/>
      </w:r>
      <w:r>
        <w:tab/>
      </w:r>
      <w:r w:rsidRPr="00856EF6">
        <w:rPr>
          <w:i/>
        </w:rPr>
        <w:t>See</w:t>
      </w:r>
      <w:r w:rsidRPr="00856EF6">
        <w:t xml:space="preserve"> 47 U.S.C. § 251(d)(3) (2011).  </w:t>
      </w:r>
      <w:r>
        <w:t>“</w:t>
      </w:r>
      <w:r w:rsidRPr="00856EF6">
        <w:t>Preservation of state access regulations.  In prescribing and enforcing regulations to implement the requirements of this section, the Com</w:t>
      </w:r>
      <w:r>
        <w:softHyphen/>
      </w:r>
      <w:r w:rsidRPr="00856EF6">
        <w:t>mission shall not preclude the enforcement of any regulation, order, or policy of a State commission that (A) establishes access and interconnection obligati</w:t>
      </w:r>
      <w:r>
        <w:t>ons of local exchange carriers;</w:t>
      </w:r>
      <w:r w:rsidRPr="00856EF6">
        <w:t xml:space="preserve"> (B) is consistent with the requirements of this </w:t>
      </w:r>
      <w:r>
        <w:t xml:space="preserve">section; and </w:t>
      </w:r>
      <w:r w:rsidRPr="00856EF6">
        <w:t>(C) does not substantially prevent implementation of the requirements of this section and the pur</w:t>
      </w:r>
      <w:r>
        <w:softHyphen/>
      </w:r>
      <w:r w:rsidRPr="00856EF6">
        <w:t>poses of this part.</w:t>
      </w:r>
      <w:r>
        <w:t>”</w:t>
      </w:r>
    </w:p>
  </w:footnote>
  <w:footnote w:id="13">
    <w:p w:rsidR="00226AC4" w:rsidRPr="00856EF6" w:rsidRDefault="00226AC4" w:rsidP="001C1743">
      <w:pPr>
        <w:pStyle w:val="FootnoteText"/>
      </w:pPr>
      <w:r w:rsidRPr="00856EF6">
        <w:rPr>
          <w:rStyle w:val="FootnoteReference"/>
          <w:rFonts w:cs="Times New Roman"/>
        </w:rPr>
        <w:footnoteRef/>
      </w:r>
      <w:r>
        <w:rPr>
          <w:rFonts w:cs="Times New Roman"/>
        </w:rPr>
        <w:tab/>
      </w:r>
      <w:r>
        <w:rPr>
          <w:rFonts w:cs="Times New Roman"/>
        </w:rPr>
        <w:tab/>
      </w:r>
      <w:r w:rsidRPr="001C1743">
        <w:rPr>
          <w:rFonts w:cs="Times New Roman"/>
          <w:i/>
        </w:rPr>
        <w:t xml:space="preserve">See </w:t>
      </w:r>
      <w:r w:rsidRPr="001C1743">
        <w:rPr>
          <w:i/>
        </w:rPr>
        <w:t>Connect America Fund, A National Broadband Plan for Our Future, Establish</w:t>
      </w:r>
      <w:r>
        <w:rPr>
          <w:i/>
        </w:rPr>
        <w:softHyphen/>
      </w:r>
      <w:r w:rsidRPr="001C1743">
        <w:rPr>
          <w:i/>
        </w:rPr>
        <w:t xml:space="preserve">ing Just and </w:t>
      </w:r>
      <w:r w:rsidRPr="001C1743">
        <w:rPr>
          <w:i/>
        </w:rPr>
        <w:tab/>
        <w:t>Reasonable Rates for Local Exchange Carriers, High-Cost Univer</w:t>
      </w:r>
      <w:r>
        <w:rPr>
          <w:i/>
        </w:rPr>
        <w:softHyphen/>
      </w:r>
      <w:r w:rsidRPr="001C1743">
        <w:rPr>
          <w:i/>
        </w:rPr>
        <w:t xml:space="preserve">sal Support, Developing a Unified </w:t>
      </w:r>
      <w:r w:rsidRPr="006F19C4">
        <w:rPr>
          <w:i/>
        </w:rPr>
        <w:t>Intercarrier Compensation Regime</w:t>
      </w:r>
      <w:r w:rsidRPr="002E570A">
        <w:rPr>
          <w:i/>
        </w:rPr>
        <w:t>, Federal-State Joint Board on Universal Service, Lifeline and Link Up</w:t>
      </w:r>
      <w:r>
        <w:t>, WC Docket No. 10-90, GN Docket No. 09-51, WC Docket No. 07-135, WC Docket No. 05-337, CC Docket No. 01-92, CC Docket No. 96-45, WC Docket No. 03-109, (Comments Submitted on Behalf of the Public Utilities Commission of Ohio at 8-9) (Filed March 31, 2011) (Section XV Com</w:t>
      </w:r>
      <w:r>
        <w:softHyphen/>
        <w:t>ments); ICC/USF Reform Comments at 51-53.</w:t>
      </w:r>
    </w:p>
  </w:footnote>
  <w:footnote w:id="14">
    <w:p w:rsidR="00226AC4" w:rsidRPr="00856EF6" w:rsidRDefault="00226AC4" w:rsidP="001C1743">
      <w:pPr>
        <w:pStyle w:val="FootnoteText"/>
      </w:pPr>
      <w:r w:rsidRPr="00856EF6">
        <w:rPr>
          <w:rStyle w:val="FootnoteReference"/>
          <w:rFonts w:cs="Times New Roman"/>
        </w:rPr>
        <w:footnoteRef/>
      </w:r>
      <w:r w:rsidRPr="00856EF6">
        <w:t xml:space="preserve"> </w:t>
      </w:r>
      <w:r>
        <w:tab/>
      </w:r>
      <w:r>
        <w:tab/>
      </w:r>
      <w:r w:rsidRPr="00856EF6">
        <w:rPr>
          <w:i/>
        </w:rPr>
        <w:t>See</w:t>
      </w:r>
      <w:r w:rsidRPr="00856EF6">
        <w:t xml:space="preserve"> 47 U.S.C. § 252 (2011).</w:t>
      </w:r>
      <w:r>
        <w:t xml:space="preserve"> In recent comments, the Ohio Commission recommended that the FCC follow the same process established in sections 251 and 252 of the Act for determining rates for transport and termination of VoIP traffic.  Using this process, the FCC would establish the parameters, criteria and methodology for the gradual transition of ICC traffic as well as the parameters for a long-term ICC regime, but leave the details of implementation to the states.  Such an approach would preserve and promote the established authority of the states to determine the appropriate mechanism(s) to recover intrastate revenue lost during he transition phase as well as the ultimate unified ICC rates, so long as such rates are consistent with sections 251 requirements and the FCC’s parameters.  </w:t>
      </w:r>
      <w:r w:rsidRPr="009039B2">
        <w:rPr>
          <w:i/>
        </w:rPr>
        <w:t>See</w:t>
      </w:r>
      <w:r>
        <w:t xml:space="preserve"> Section XV comments at 8 – 9.</w:t>
      </w:r>
    </w:p>
  </w:footnote>
  <w:footnote w:id="15">
    <w:p w:rsidR="00226AC4" w:rsidRDefault="00226AC4" w:rsidP="001C1743">
      <w:pPr>
        <w:pStyle w:val="FootnoteText"/>
      </w:pPr>
      <w:r>
        <w:rPr>
          <w:rStyle w:val="FootnoteReference"/>
        </w:rPr>
        <w:footnoteRef/>
      </w:r>
      <w:r>
        <w:tab/>
      </w:r>
      <w:r>
        <w:tab/>
        <w:t xml:space="preserve"> </w:t>
      </w:r>
      <w:r w:rsidRPr="00D41342">
        <w:rPr>
          <w:i/>
        </w:rPr>
        <w:t>See</w:t>
      </w:r>
      <w:r>
        <w:t xml:space="preserve"> </w:t>
      </w:r>
      <w:r w:rsidRPr="00D77FEC">
        <w:t>Attachment 5</w:t>
      </w:r>
      <w:r>
        <w:t xml:space="preserve"> at 18.</w:t>
      </w:r>
    </w:p>
  </w:footnote>
  <w:footnote w:id="16">
    <w:p w:rsidR="00226AC4" w:rsidRDefault="00226AC4" w:rsidP="001C1743">
      <w:pPr>
        <w:pStyle w:val="FootnoteText"/>
      </w:pPr>
      <w:r>
        <w:rPr>
          <w:rStyle w:val="FootnoteReference"/>
        </w:rPr>
        <w:footnoteRef/>
      </w:r>
      <w:r>
        <w:t xml:space="preserve"> </w:t>
      </w:r>
      <w:r>
        <w:tab/>
      </w:r>
      <w:r>
        <w:tab/>
      </w:r>
      <w:r w:rsidRPr="00D77FEC">
        <w:rPr>
          <w:i/>
        </w:rPr>
        <w:t>Id</w:t>
      </w:r>
      <w:r>
        <w:t>. at 21.</w:t>
      </w:r>
    </w:p>
  </w:footnote>
  <w:footnote w:id="17">
    <w:p w:rsidR="00226AC4" w:rsidRDefault="00226AC4" w:rsidP="001C1743">
      <w:pPr>
        <w:pStyle w:val="FootnoteText"/>
      </w:pPr>
      <w:r>
        <w:rPr>
          <w:rStyle w:val="FootnoteReference"/>
        </w:rPr>
        <w:footnoteRef/>
      </w:r>
      <w:r>
        <w:t xml:space="preserve"> </w:t>
      </w:r>
      <w:r>
        <w:tab/>
      </w:r>
      <w:r>
        <w:tab/>
      </w:r>
      <w:r w:rsidRPr="006B4487">
        <w:rPr>
          <w:i/>
        </w:rPr>
        <w:t xml:space="preserve">See </w:t>
      </w:r>
      <w:r w:rsidRPr="008B3B96">
        <w:t>Missoula Plan Comments at 4</w:t>
      </w:r>
      <w:r>
        <w:t xml:space="preserve"> citing </w:t>
      </w:r>
      <w:r w:rsidRPr="00C05EDE">
        <w:rPr>
          <w:i/>
        </w:rPr>
        <w:t>Public Service Comm.</w:t>
      </w:r>
      <w:r>
        <w:rPr>
          <w:i/>
        </w:rPr>
        <w:t>v</w:t>
      </w:r>
      <w:r w:rsidRPr="00C05EDE">
        <w:rPr>
          <w:i/>
        </w:rPr>
        <w:t>. FCC</w:t>
      </w:r>
      <w:r>
        <w:t>,  909 F2d 1510 (D.C. Cir. 1990).  In its comments, the Ohio Commission referred to the “inseverability” doctrine as the “mixed-use” doctrine.</w:t>
      </w:r>
    </w:p>
  </w:footnote>
  <w:footnote w:id="18">
    <w:p w:rsidR="00226AC4" w:rsidRDefault="00226AC4" w:rsidP="001C1743">
      <w:pPr>
        <w:pStyle w:val="FootnoteText"/>
      </w:pPr>
      <w:r>
        <w:rPr>
          <w:rStyle w:val="FootnoteReference"/>
        </w:rPr>
        <w:footnoteRef/>
      </w:r>
      <w:r>
        <w:t xml:space="preserve"> </w:t>
      </w:r>
      <w:r>
        <w:tab/>
      </w:r>
      <w:r>
        <w:tab/>
      </w:r>
      <w:r w:rsidRPr="00D41342">
        <w:rPr>
          <w:i/>
        </w:rPr>
        <w:t>Id</w:t>
      </w:r>
      <w:r>
        <w:t>. at 4-5.</w:t>
      </w:r>
    </w:p>
  </w:footnote>
  <w:footnote w:id="19">
    <w:p w:rsidR="00226AC4" w:rsidRDefault="00226AC4" w:rsidP="001C1743">
      <w:pPr>
        <w:pStyle w:val="FootnoteText"/>
      </w:pPr>
      <w:r>
        <w:rPr>
          <w:rStyle w:val="FootnoteReference"/>
        </w:rPr>
        <w:footnoteRef/>
      </w:r>
      <w:r>
        <w:t xml:space="preserve"> </w:t>
      </w:r>
      <w:r>
        <w:tab/>
      </w:r>
      <w:r>
        <w:tab/>
        <w:t>Attachment 5 at 26.</w:t>
      </w:r>
    </w:p>
  </w:footnote>
  <w:footnote w:id="20">
    <w:p w:rsidR="00226AC4" w:rsidRDefault="00226AC4" w:rsidP="001C1743">
      <w:pPr>
        <w:pStyle w:val="FootnoteText"/>
      </w:pPr>
      <w:r>
        <w:rPr>
          <w:rStyle w:val="FootnoteReference"/>
        </w:rPr>
        <w:footnoteRef/>
      </w:r>
      <w:r>
        <w:t xml:space="preserve"> </w:t>
      </w:r>
      <w:r>
        <w:tab/>
      </w:r>
      <w:r>
        <w:tab/>
      </w:r>
      <w:r w:rsidRPr="00F84527">
        <w:rPr>
          <w:i/>
        </w:rPr>
        <w:t>United States v. Locke</w:t>
      </w:r>
      <w:r>
        <w:t>, 529 U.S. 89, 109 (2000) (internal quotations omitted).</w:t>
      </w:r>
    </w:p>
  </w:footnote>
  <w:footnote w:id="21">
    <w:p w:rsidR="00226AC4" w:rsidRDefault="00226AC4" w:rsidP="001C1743">
      <w:pPr>
        <w:pStyle w:val="FootnoteText"/>
      </w:pPr>
      <w:r>
        <w:rPr>
          <w:rStyle w:val="FootnoteReference"/>
        </w:rPr>
        <w:footnoteRef/>
      </w:r>
      <w:r>
        <w:t xml:space="preserve"> </w:t>
      </w:r>
      <w:r>
        <w:tab/>
      </w:r>
      <w:r>
        <w:tab/>
      </w:r>
      <w:r w:rsidRPr="00F84527">
        <w:rPr>
          <w:i/>
        </w:rPr>
        <w:t>Id.</w:t>
      </w:r>
      <w:r>
        <w:t xml:space="preserve"> at 110.</w:t>
      </w:r>
    </w:p>
  </w:footnote>
  <w:footnote w:id="22">
    <w:p w:rsidR="00226AC4" w:rsidRDefault="00226AC4" w:rsidP="001C1743">
      <w:pPr>
        <w:pStyle w:val="FootnoteText"/>
      </w:pPr>
      <w:r>
        <w:rPr>
          <w:rStyle w:val="FootnoteReference"/>
        </w:rPr>
        <w:footnoteRef/>
      </w:r>
      <w:r>
        <w:t xml:space="preserve"> </w:t>
      </w:r>
      <w:r>
        <w:tab/>
      </w:r>
      <w:r>
        <w:tab/>
        <w:t>47 U.S.C. § 251(d)(3)(A)-(C) (2011).</w:t>
      </w:r>
    </w:p>
  </w:footnote>
  <w:footnote w:id="23">
    <w:p w:rsidR="00226AC4" w:rsidRDefault="00226AC4" w:rsidP="001C1743">
      <w:pPr>
        <w:pStyle w:val="FootnoteText"/>
      </w:pPr>
      <w:r>
        <w:rPr>
          <w:rStyle w:val="FootnoteReference"/>
        </w:rPr>
        <w:footnoteRef/>
      </w:r>
      <w:r>
        <w:t xml:space="preserve"> </w:t>
      </w:r>
      <w:r>
        <w:tab/>
      </w:r>
      <w:r>
        <w:tab/>
        <w:t>47 U.S.C. § 252(d)(2) (2011).  “For the purpose of compliance by an incum</w:t>
      </w:r>
      <w:r>
        <w:softHyphen/>
        <w:t>bent local exchange carrier with section 251(b)(5), a State commission shall not consider the terms of conditions for reciprocal compensation to be just and reasonable unless  i) such terms and conditions provide for the mutual and reciprocal recovery by each carrier of costs associated with the transport and termination on each carrier’s network facilities of calls that originate on the network facilities of the other carrier; and ii) such terms and con</w:t>
      </w:r>
      <w:r>
        <w:softHyphen/>
        <w:t>ditions determine such costs on the basis of a reasonable approximation of the addi</w:t>
      </w:r>
      <w:r>
        <w:softHyphen/>
        <w:t xml:space="preserve">tional costs of terminating such calls.”  Section 251(d)(2) is set forth in the negative.  The inverse of this section is that state commissions </w:t>
      </w:r>
      <w:r w:rsidRPr="002E570A">
        <w:rPr>
          <w:i/>
        </w:rPr>
        <w:t>shall</w:t>
      </w:r>
      <w:r>
        <w:t xml:space="preserve"> consider the terms and conditions of reciprocal compensation just and reasonable if they meet the requirements set forth in subsec</w:t>
      </w:r>
      <w:r>
        <w:softHyphen/>
        <w:t>tions (A)(i) and (A)(ii).</w:t>
      </w:r>
    </w:p>
  </w:footnote>
  <w:footnote w:id="24">
    <w:p w:rsidR="00226AC4" w:rsidRDefault="00226AC4" w:rsidP="001C1743">
      <w:pPr>
        <w:pStyle w:val="FootnoteText"/>
      </w:pPr>
      <w:r>
        <w:rPr>
          <w:rStyle w:val="FootnoteReference"/>
        </w:rPr>
        <w:footnoteRef/>
      </w:r>
      <w:r>
        <w:t xml:space="preserve"> </w:t>
      </w:r>
      <w:r>
        <w:tab/>
      </w:r>
      <w:r>
        <w:tab/>
        <w:t>47 U.S.C. § 252(d)(2)(A)(i)(ii) (2011).</w:t>
      </w:r>
    </w:p>
  </w:footnote>
  <w:footnote w:id="25">
    <w:p w:rsidR="00226AC4" w:rsidRDefault="00226AC4" w:rsidP="001C1743">
      <w:pPr>
        <w:pStyle w:val="FootnoteText"/>
      </w:pPr>
      <w:r>
        <w:rPr>
          <w:rStyle w:val="FootnoteReference"/>
        </w:rPr>
        <w:footnoteRef/>
      </w:r>
      <w:r>
        <w:t xml:space="preserve"> </w:t>
      </w:r>
      <w:r>
        <w:tab/>
      </w:r>
      <w:r>
        <w:tab/>
      </w:r>
      <w:r w:rsidRPr="003705C0">
        <w:rPr>
          <w:i/>
        </w:rPr>
        <w:t>See</w:t>
      </w:r>
      <w:r>
        <w:t xml:space="preserve"> 47 U.S.C. § 15</w:t>
      </w:r>
      <w:r w:rsidR="00DD7F7D">
        <w:t>2</w:t>
      </w:r>
      <w:r>
        <w:t>(b)(1) (2011).</w:t>
      </w:r>
    </w:p>
  </w:footnote>
  <w:footnote w:id="26">
    <w:p w:rsidR="00226AC4" w:rsidRPr="002E570A" w:rsidRDefault="00226AC4" w:rsidP="001C1743">
      <w:pPr>
        <w:pStyle w:val="FootnoteText"/>
        <w:rPr>
          <w:i/>
        </w:rPr>
      </w:pPr>
      <w:r>
        <w:rPr>
          <w:rStyle w:val="FootnoteReference"/>
        </w:rPr>
        <w:footnoteRef/>
      </w:r>
      <w:r>
        <w:tab/>
      </w:r>
      <w:r>
        <w:tab/>
      </w:r>
      <w:r w:rsidRPr="0070386F">
        <w:rPr>
          <w:i/>
        </w:rPr>
        <w:t>Qwest Corp. v. Arizona Corp. Com’n</w:t>
      </w:r>
      <w:r>
        <w:t>, 567 F3d 1109, 1120 (9</w:t>
      </w:r>
      <w:r w:rsidRPr="0070386F">
        <w:rPr>
          <w:vertAlign w:val="superscript"/>
        </w:rPr>
        <w:t>th</w:t>
      </w:r>
      <w:r>
        <w:t xml:space="preserve"> Cir.  2009) quot</w:t>
      </w:r>
      <w:r>
        <w:softHyphen/>
        <w:t xml:space="preserve">ing </w:t>
      </w:r>
      <w:r w:rsidRPr="0070386F">
        <w:rPr>
          <w:i/>
        </w:rPr>
        <w:t>Geier v. Am. Honda Motor Co</w:t>
      </w:r>
      <w:r>
        <w:t>., 529 U.S. 861, 870 (2000).</w:t>
      </w:r>
    </w:p>
  </w:footnote>
  <w:footnote w:id="27">
    <w:p w:rsidR="00226AC4" w:rsidRDefault="00226AC4" w:rsidP="001C1743">
      <w:pPr>
        <w:pStyle w:val="FootnoteText"/>
      </w:pPr>
      <w:r>
        <w:rPr>
          <w:rStyle w:val="FootnoteReference"/>
          <w:rFonts w:eastAsiaTheme="majorEastAsia"/>
        </w:rPr>
        <w:footnoteRef/>
      </w:r>
      <w:r>
        <w:tab/>
      </w:r>
      <w:r>
        <w:tab/>
        <w:t xml:space="preserve"> </w:t>
      </w:r>
      <w:r w:rsidRPr="00F251CC">
        <w:rPr>
          <w:i/>
        </w:rPr>
        <w:t>See</w:t>
      </w:r>
      <w:r>
        <w:t xml:space="preserve"> Section XV Comments at 8-9; ICC/USF Reform Comments at 53-54.</w:t>
      </w:r>
    </w:p>
  </w:footnote>
  <w:footnote w:id="28">
    <w:p w:rsidR="00226AC4" w:rsidRDefault="00226AC4" w:rsidP="001C1743">
      <w:pPr>
        <w:pStyle w:val="FootnoteText"/>
      </w:pPr>
      <w:r>
        <w:rPr>
          <w:rStyle w:val="FootnoteReference"/>
        </w:rPr>
        <w:footnoteRef/>
      </w:r>
      <w:r>
        <w:t xml:space="preserve"> </w:t>
      </w:r>
      <w:r>
        <w:tab/>
      </w:r>
      <w:r>
        <w:tab/>
        <w:t>Attachment 5 at 49.</w:t>
      </w:r>
    </w:p>
  </w:footnote>
  <w:footnote w:id="29">
    <w:p w:rsidR="00226AC4" w:rsidRDefault="00226AC4" w:rsidP="001C1743">
      <w:pPr>
        <w:pStyle w:val="FootnoteText"/>
      </w:pPr>
      <w:r>
        <w:rPr>
          <w:rStyle w:val="FootnoteReference"/>
        </w:rPr>
        <w:footnoteRef/>
      </w:r>
      <w:r>
        <w:t xml:space="preserve"> </w:t>
      </w:r>
      <w:r>
        <w:tab/>
      </w:r>
      <w:r>
        <w:tab/>
      </w:r>
      <w:r w:rsidRPr="008B3B96">
        <w:rPr>
          <w:i/>
        </w:rPr>
        <w:t>Id</w:t>
      </w:r>
      <w:r>
        <w:t>. at 21.</w:t>
      </w:r>
    </w:p>
  </w:footnote>
  <w:footnote w:id="30">
    <w:p w:rsidR="00226AC4" w:rsidRDefault="00226AC4" w:rsidP="001C1743">
      <w:pPr>
        <w:pStyle w:val="FootnoteText"/>
      </w:pPr>
      <w:r>
        <w:rPr>
          <w:rStyle w:val="FootnoteReference"/>
        </w:rPr>
        <w:footnoteRef/>
      </w:r>
      <w:r>
        <w:tab/>
      </w:r>
      <w:r>
        <w:tab/>
      </w:r>
      <w:r w:rsidRPr="007B5459">
        <w:rPr>
          <w:i/>
        </w:rPr>
        <w:t>Id.</w:t>
      </w:r>
      <w:r>
        <w:t xml:space="preserve"> at 22.</w:t>
      </w:r>
    </w:p>
  </w:footnote>
  <w:footnote w:id="31">
    <w:p w:rsidR="00226AC4" w:rsidRDefault="00226AC4">
      <w:pPr>
        <w:pStyle w:val="FootnoteText"/>
      </w:pPr>
      <w:r>
        <w:rPr>
          <w:rStyle w:val="FootnoteReference"/>
        </w:rPr>
        <w:footnoteRef/>
      </w:r>
      <w:r>
        <w:t xml:space="preserve"> </w:t>
      </w:r>
      <w:r>
        <w:tab/>
      </w:r>
      <w:r>
        <w:tab/>
      </w:r>
      <w:r w:rsidR="00604C09">
        <w:t xml:space="preserve">Attachment 5 </w:t>
      </w:r>
      <w:r>
        <w:t>at 23.</w:t>
      </w:r>
    </w:p>
  </w:footnote>
  <w:footnote w:id="32">
    <w:p w:rsidR="00226AC4" w:rsidRDefault="00226AC4" w:rsidP="001C1743">
      <w:pPr>
        <w:pStyle w:val="FootnoteText"/>
      </w:pPr>
      <w:r>
        <w:rPr>
          <w:rStyle w:val="FootnoteReference"/>
        </w:rPr>
        <w:footnoteRef/>
      </w:r>
      <w:r>
        <w:t xml:space="preserve"> </w:t>
      </w:r>
      <w:r>
        <w:tab/>
      </w:r>
      <w:r>
        <w:tab/>
        <w:t>Data obtained from Connected Nation. For purposes of this analysis, broadband was defined</w:t>
      </w:r>
      <w:r>
        <w:tab/>
        <w:t>as greater than 3Mbps download speed and .768 Mbps upload speed.  The 98.26 percent figure does not include wireless broadband.  When wireless broadband is included, the level of deployment increases to 99.3percent.</w:t>
      </w:r>
    </w:p>
  </w:footnote>
  <w:footnote w:id="33">
    <w:p w:rsidR="00226AC4" w:rsidRDefault="00226AC4" w:rsidP="001C1743">
      <w:pPr>
        <w:pStyle w:val="FootnoteText"/>
      </w:pPr>
      <w:r>
        <w:rPr>
          <w:rStyle w:val="FootnoteReference"/>
        </w:rPr>
        <w:footnoteRef/>
      </w:r>
      <w:r>
        <w:t xml:space="preserve"> </w:t>
      </w:r>
      <w:r>
        <w:tab/>
      </w:r>
      <w:r>
        <w:tab/>
      </w:r>
      <w:r w:rsidRPr="00C14F7E">
        <w:rPr>
          <w:i/>
        </w:rPr>
        <w:t>Id</w:t>
      </w:r>
      <w:r>
        <w:t>.</w:t>
      </w:r>
    </w:p>
  </w:footnote>
  <w:footnote w:id="34">
    <w:p w:rsidR="00226AC4" w:rsidRPr="00C14F7E" w:rsidRDefault="00226AC4" w:rsidP="001C1743">
      <w:pPr>
        <w:pStyle w:val="FootnoteText"/>
      </w:pPr>
      <w:r>
        <w:rPr>
          <w:rStyle w:val="FootnoteReference"/>
        </w:rPr>
        <w:footnoteRef/>
      </w:r>
      <w:r>
        <w:t xml:space="preserve"> </w:t>
      </w:r>
      <w:r>
        <w:tab/>
      </w:r>
      <w:r>
        <w:tab/>
      </w:r>
      <w:r w:rsidRPr="002E570A">
        <w:rPr>
          <w:i/>
        </w:rPr>
        <w:t>Id</w:t>
      </w:r>
      <w:r>
        <w:t xml:space="preserve">.  </w:t>
      </w:r>
      <w:r w:rsidRPr="002F3387">
        <w:t>Cf</w:t>
      </w:r>
      <w:r>
        <w:t xml:space="preserve">. Federal Communication Commission, </w:t>
      </w:r>
      <w:r w:rsidRPr="002E570A">
        <w:rPr>
          <w:i/>
        </w:rPr>
        <w:t>Connecting America: The National Broadband Plan</w:t>
      </w:r>
      <w:r>
        <w:t xml:space="preserve"> at 20</w:t>
      </w:r>
      <w:r w:rsidRPr="002F3387">
        <w:t xml:space="preserve"> (rel. March </w:t>
      </w:r>
      <w:r>
        <w:t>16</w:t>
      </w:r>
      <w:r w:rsidRPr="002F3387">
        <w:t xml:space="preserve">, </w:t>
      </w:r>
      <w:r>
        <w:t xml:space="preserve"> </w:t>
      </w:r>
      <w:r w:rsidRPr="002F3387">
        <w:t>2010) (NBP)</w:t>
      </w:r>
      <w:r>
        <w:t>.</w:t>
      </w:r>
      <w:r w:rsidRPr="002F3387">
        <w:t xml:space="preserve">  According to the NBP, approxi</w:t>
      </w:r>
      <w:r>
        <w:softHyphen/>
      </w:r>
      <w:r w:rsidRPr="002F3387">
        <w:t xml:space="preserve">mately 95% (roughly 290 million </w:t>
      </w:r>
      <w:r w:rsidRPr="002E570A">
        <w:t>Americans) of the U.S. population live in housing units with access to terrestrial, fixed broadband infrastructure capable of meeting the NBP’s tar</w:t>
      </w:r>
      <w:r>
        <w:softHyphen/>
      </w:r>
      <w:r w:rsidRPr="002E570A">
        <w:t>get universalization download speed of at least 4 Mbps actual download speed.</w:t>
      </w:r>
    </w:p>
  </w:footnote>
  <w:footnote w:id="35">
    <w:p w:rsidR="00226AC4" w:rsidRDefault="00226AC4" w:rsidP="001C1743">
      <w:pPr>
        <w:pStyle w:val="FootnoteText"/>
      </w:pPr>
      <w:r>
        <w:rPr>
          <w:rStyle w:val="FootnoteReference"/>
        </w:rPr>
        <w:footnoteRef/>
      </w:r>
      <w:r>
        <w:t xml:space="preserve"> </w:t>
      </w:r>
      <w:r>
        <w:tab/>
      </w:r>
      <w:r>
        <w:tab/>
        <w:t>Attachment 5 at 66.</w:t>
      </w:r>
    </w:p>
  </w:footnote>
  <w:footnote w:id="36">
    <w:p w:rsidR="00226AC4" w:rsidRDefault="00226AC4" w:rsidP="001C1743">
      <w:pPr>
        <w:pStyle w:val="FootnoteText"/>
      </w:pPr>
      <w:r>
        <w:rPr>
          <w:rStyle w:val="FootnoteReference"/>
        </w:rPr>
        <w:footnoteRef/>
      </w:r>
      <w:r>
        <w:tab/>
      </w:r>
      <w:r>
        <w:tab/>
        <w:t xml:space="preserve"> </w:t>
      </w:r>
      <w:r w:rsidRPr="002E570A">
        <w:rPr>
          <w:i/>
        </w:rPr>
        <w:t xml:space="preserve">See </w:t>
      </w:r>
      <w:r>
        <w:t>NBP at 141.</w:t>
      </w:r>
    </w:p>
  </w:footnote>
  <w:footnote w:id="37">
    <w:p w:rsidR="00226AC4" w:rsidRDefault="00226AC4" w:rsidP="001C1743">
      <w:pPr>
        <w:pStyle w:val="FootnoteText"/>
      </w:pPr>
      <w:r>
        <w:rPr>
          <w:rStyle w:val="FootnoteReference"/>
        </w:rPr>
        <w:footnoteRef/>
      </w:r>
      <w:r>
        <w:t xml:space="preserve"> </w:t>
      </w:r>
      <w:r>
        <w:tab/>
      </w:r>
      <w:r>
        <w:tab/>
        <w:t>S</w:t>
      </w:r>
      <w:r w:rsidRPr="00D80131">
        <w:rPr>
          <w:i/>
        </w:rPr>
        <w:t>ee, e.g.,</w:t>
      </w:r>
      <w:r>
        <w:t xml:space="preserve"> 47 U.S.C. § 251(c) (2011).  Section 251(c) imposes additional interconnec</w:t>
      </w:r>
      <w:r>
        <w:softHyphen/>
        <w:t>tion obligations on ILECs that are not imposed on competitive local exchange carri</w:t>
      </w:r>
      <w:r>
        <w:softHyphen/>
        <w:t>ers.</w:t>
      </w:r>
    </w:p>
  </w:footnote>
  <w:footnote w:id="38">
    <w:p w:rsidR="00226AC4" w:rsidRDefault="00226AC4" w:rsidP="001C1743">
      <w:pPr>
        <w:pStyle w:val="FootnoteText"/>
      </w:pPr>
      <w:r>
        <w:rPr>
          <w:rStyle w:val="FootnoteReference"/>
        </w:rPr>
        <w:footnoteRef/>
      </w:r>
      <w:r>
        <w:t xml:space="preserve"> </w:t>
      </w:r>
      <w:r>
        <w:tab/>
      </w:r>
      <w:r>
        <w:tab/>
      </w:r>
      <w:r w:rsidRPr="00604C09">
        <w:rPr>
          <w:i/>
        </w:rPr>
        <w:t>I</w:t>
      </w:r>
      <w:r w:rsidRPr="002E570A">
        <w:rPr>
          <w:i/>
        </w:rPr>
        <w:t>n the Matter of the Commission’s Investigation into Intrastate Carrier Access Reform Pursuant to Sub. S.B. 162</w:t>
      </w:r>
      <w:r>
        <w:t>, Case No. 10-2387-TP-COI (Entry) (Issued Nov. 3, 2011) (Ohio Access Proceeding).</w:t>
      </w:r>
    </w:p>
  </w:footnote>
  <w:footnote w:id="39">
    <w:p w:rsidR="00226AC4" w:rsidRDefault="00226AC4" w:rsidP="001C1743">
      <w:pPr>
        <w:pStyle w:val="FootnoteText"/>
      </w:pPr>
      <w:r>
        <w:rPr>
          <w:rStyle w:val="FootnoteReference"/>
        </w:rPr>
        <w:footnoteRef/>
      </w:r>
      <w:r>
        <w:t xml:space="preserve"> </w:t>
      </w:r>
      <w:r>
        <w:tab/>
      </w:r>
      <w:r>
        <w:tab/>
        <w:t>Ohio Access Proceeding, Appendix A.</w:t>
      </w:r>
    </w:p>
  </w:footnote>
  <w:footnote w:id="40">
    <w:p w:rsidR="00226AC4" w:rsidRDefault="00226AC4">
      <w:pPr>
        <w:pStyle w:val="FootnoteText"/>
      </w:pPr>
      <w:r>
        <w:rPr>
          <w:rStyle w:val="FootnoteReference"/>
        </w:rPr>
        <w:footnoteRef/>
      </w:r>
      <w:r>
        <w:t xml:space="preserve"> </w:t>
      </w:r>
      <w:r>
        <w:tab/>
      </w:r>
      <w:r>
        <w:tab/>
        <w:t xml:space="preserve">Alternatively, the Ohio Commission recommends that the FCC consider establishing a default ICC regime that would be implemented only in those states that have not undertaken ICC reform, while states that have undertaken a reform process would continue that process so long as it is consistent with the Act and the FCC’s policy objectives.  This approach addresses the FCC’s desire to encourage states that have not undertaken reform to do so without penalizing states that have begun this process.  </w:t>
      </w:r>
      <w:r w:rsidRPr="005C4F98">
        <w:rPr>
          <w:i/>
        </w:rPr>
        <w:t>See</w:t>
      </w:r>
      <w:r>
        <w:t xml:space="preserve"> NPRM/FNPRM at </w:t>
      </w:r>
      <w:r>
        <w:rPr>
          <w:rFonts w:cs="Times New Roman"/>
        </w:rPr>
        <w:t>¶¶</w:t>
      </w:r>
      <w:r>
        <w:t xml:space="preserve"> 544, 547, 549.   Additionally, recognition of state authority over transport and termination rates for </w:t>
      </w:r>
      <w:r w:rsidRPr="0094535B">
        <w:rPr>
          <w:i/>
        </w:rPr>
        <w:t>all</w:t>
      </w:r>
      <w:r>
        <w:t xml:space="preserve"> intrastate telecommunications traffic would enable states that have undertaken access reform to assume a leading role in promoting broadband deployment within their respective jurisdictions.  </w:t>
      </w:r>
      <w:r w:rsidRPr="009039B2">
        <w:rPr>
          <w:i/>
        </w:rPr>
        <w:t>See</w:t>
      </w:r>
      <w:r>
        <w:t xml:space="preserve"> Section XV Comments at 3 – 9.  In the Ohio Commission’s view, such an approach provides an effective means of achieving the FCC’s policy objective of universal broadband deployment.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Pr="001B60FB" w:rsidRDefault="00226AC4" w:rsidP="00856EF6">
    <w:pPr>
      <w:pStyle w:val="Header"/>
      <w:jc w:val="center"/>
      <w:rPr>
        <w:rFonts w:ascii="Arial" w:hAnsi="Arial" w:cs="Arial"/>
        <w:b/>
        <w:color w:val="FF0000"/>
        <w:sz w:val="20"/>
        <w:szCs w:val="20"/>
      </w:rPr>
    </w:pPr>
    <w:r w:rsidRPr="001B60FB">
      <w:rPr>
        <w:rFonts w:ascii="Arial" w:hAnsi="Arial" w:cs="Arial"/>
        <w:b/>
        <w:color w:val="FF0000"/>
        <w:sz w:val="20"/>
        <w:szCs w:val="20"/>
      </w:rPr>
      <w:t xml:space="preserve">DRAFT - </w:t>
    </w:r>
    <w:r>
      <w:rPr>
        <w:rFonts w:ascii="Arial" w:hAnsi="Arial" w:cs="Arial"/>
        <w:b/>
        <w:color w:val="FF0000"/>
        <w:sz w:val="20"/>
        <w:szCs w:val="20"/>
      </w:rPr>
      <w:fldChar w:fldCharType="begin"/>
    </w:r>
    <w:r>
      <w:rPr>
        <w:rFonts w:ascii="Arial" w:hAnsi="Arial" w:cs="Arial"/>
        <w:b/>
        <w:color w:val="FF0000"/>
        <w:sz w:val="20"/>
        <w:szCs w:val="20"/>
      </w:rPr>
      <w:instrText xml:space="preserve"> DATE \@ "M/d/yyyy h:mm am/pm" </w:instrText>
    </w:r>
    <w:r>
      <w:rPr>
        <w:rFonts w:ascii="Arial" w:hAnsi="Arial" w:cs="Arial"/>
        <w:b/>
        <w:color w:val="FF0000"/>
        <w:sz w:val="20"/>
        <w:szCs w:val="20"/>
      </w:rPr>
      <w:fldChar w:fldCharType="separate"/>
    </w:r>
    <w:r w:rsidR="00A81257">
      <w:rPr>
        <w:rFonts w:ascii="Arial" w:hAnsi="Arial" w:cs="Arial"/>
        <w:b/>
        <w:noProof/>
        <w:color w:val="FF0000"/>
        <w:sz w:val="20"/>
        <w:szCs w:val="20"/>
      </w:rPr>
      <w:t>8/24/2011 2:05 PM</w:t>
    </w:r>
    <w:r>
      <w:rPr>
        <w:rFonts w:ascii="Arial" w:hAnsi="Arial" w:cs="Arial"/>
        <w:b/>
        <w:color w:val="FF0000"/>
        <w:sz w:val="20"/>
        <w:szCs w:val="20"/>
      </w:rPr>
      <w:fldChar w:fldCharType="end"/>
    </w:r>
    <w:r>
      <w:rPr>
        <w:rFonts w:ascii="Arial" w:hAnsi="Arial" w:cs="Arial"/>
        <w:b/>
        <w:color w:val="FF0000"/>
        <w:sz w:val="20"/>
        <w:szCs w:val="20"/>
      </w:rPr>
      <w:t xml:space="preserve"> - </w:t>
    </w:r>
    <w:r w:rsidR="00A81257">
      <w:fldChar w:fldCharType="begin"/>
    </w:r>
    <w:r w:rsidR="00A81257">
      <w:instrText xml:space="preserve"> FILENAME  \* Lower \p  \* MERGEFORMAT </w:instrText>
    </w:r>
    <w:r w:rsidR="00A81257">
      <w:fldChar w:fldCharType="separate"/>
    </w:r>
    <w:r w:rsidR="00A81257" w:rsidRPr="00A81257">
      <w:rPr>
        <w:rFonts w:ascii="Arial" w:hAnsi="Arial" w:cs="Arial"/>
        <w:b/>
        <w:noProof/>
        <w:color w:val="FF0000"/>
        <w:sz w:val="20"/>
        <w:szCs w:val="20"/>
      </w:rPr>
      <w:t>\\puc\shares\departments\attorney general\attorneys\</w:t>
    </w:r>
    <w:r w:rsidR="00A81257">
      <w:rPr>
        <w:noProof/>
      </w:rPr>
      <w:t>wright\fcc\10-90 icf usf reform\comments 082411.docx</w:t>
    </w:r>
    <w:r w:rsidR="00A81257">
      <w:rPr>
        <w:rFonts w:ascii="Arial" w:hAnsi="Arial" w:cs="Arial"/>
        <w:b/>
        <w:noProof/>
        <w:color w:val="FF0000"/>
        <w:sz w:val="20"/>
        <w:szCs w:val="20"/>
      </w:rPr>
      <w:fldChar w:fldCharType="end"/>
    </w:r>
    <w:r w:rsidRPr="001B60FB">
      <w:rPr>
        <w:rFonts w:ascii="Arial" w:hAnsi="Arial" w:cs="Arial"/>
        <w:b/>
        <w:color w:val="FF0000"/>
        <w:sz w:val="20"/>
        <w:szCs w:val="20"/>
      </w:rPr>
      <w:t xml:space="preserve"> </w:t>
    </w:r>
  </w:p>
  <w:p w:rsidR="00226AC4" w:rsidRDefault="00226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Default="00226AC4" w:rsidP="00856EF6">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226AC4" w:rsidRPr="008F4D51" w:rsidRDefault="00226AC4" w:rsidP="008F4D51">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226AC4" w:rsidRDefault="00226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Pr="00604C09" w:rsidRDefault="00226AC4" w:rsidP="00604C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C4" w:rsidRPr="00604C09" w:rsidRDefault="00226AC4" w:rsidP="00604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761B"/>
    <w:multiLevelType w:val="hybridMultilevel"/>
    <w:tmpl w:val="A4CEE486"/>
    <w:lvl w:ilvl="0" w:tplc="71FEB8FE">
      <w:start w:val="1"/>
      <w:numFmt w:val="upperLetter"/>
      <w:pStyle w:val="Eh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0C85"/>
    <w:rsid w:val="00004DB2"/>
    <w:rsid w:val="000215ED"/>
    <w:rsid w:val="00030870"/>
    <w:rsid w:val="0003144D"/>
    <w:rsid w:val="000418DA"/>
    <w:rsid w:val="00046653"/>
    <w:rsid w:val="000902F8"/>
    <w:rsid w:val="00096A03"/>
    <w:rsid w:val="000B547B"/>
    <w:rsid w:val="000C0416"/>
    <w:rsid w:val="000C33D8"/>
    <w:rsid w:val="000E6358"/>
    <w:rsid w:val="00112137"/>
    <w:rsid w:val="00154D96"/>
    <w:rsid w:val="0018724E"/>
    <w:rsid w:val="001B1AE6"/>
    <w:rsid w:val="001C1743"/>
    <w:rsid w:val="001C3306"/>
    <w:rsid w:val="001C5837"/>
    <w:rsid w:val="001E0F52"/>
    <w:rsid w:val="00226AC4"/>
    <w:rsid w:val="00230AA4"/>
    <w:rsid w:val="00236542"/>
    <w:rsid w:val="00250B1C"/>
    <w:rsid w:val="0029298D"/>
    <w:rsid w:val="00295EED"/>
    <w:rsid w:val="002A3A73"/>
    <w:rsid w:val="002E570A"/>
    <w:rsid w:val="002F3387"/>
    <w:rsid w:val="00310CC9"/>
    <w:rsid w:val="0031250F"/>
    <w:rsid w:val="00332395"/>
    <w:rsid w:val="00351BBD"/>
    <w:rsid w:val="00353CCC"/>
    <w:rsid w:val="003705C0"/>
    <w:rsid w:val="00387672"/>
    <w:rsid w:val="003B3505"/>
    <w:rsid w:val="003C4F36"/>
    <w:rsid w:val="00405868"/>
    <w:rsid w:val="00421B1E"/>
    <w:rsid w:val="0043191E"/>
    <w:rsid w:val="004368C6"/>
    <w:rsid w:val="004821BE"/>
    <w:rsid w:val="004920B3"/>
    <w:rsid w:val="00493A85"/>
    <w:rsid w:val="004A494D"/>
    <w:rsid w:val="004B639E"/>
    <w:rsid w:val="004B69A1"/>
    <w:rsid w:val="004C1AB7"/>
    <w:rsid w:val="004C730F"/>
    <w:rsid w:val="004D0B3D"/>
    <w:rsid w:val="004D73FC"/>
    <w:rsid w:val="004F4751"/>
    <w:rsid w:val="00521793"/>
    <w:rsid w:val="00524471"/>
    <w:rsid w:val="00577293"/>
    <w:rsid w:val="0058036D"/>
    <w:rsid w:val="00596FC8"/>
    <w:rsid w:val="005C4F98"/>
    <w:rsid w:val="005F45F7"/>
    <w:rsid w:val="00603C06"/>
    <w:rsid w:val="00604C09"/>
    <w:rsid w:val="00604FE5"/>
    <w:rsid w:val="006150A8"/>
    <w:rsid w:val="00652D5A"/>
    <w:rsid w:val="00664B5F"/>
    <w:rsid w:val="00670B86"/>
    <w:rsid w:val="00673B9F"/>
    <w:rsid w:val="00696EA5"/>
    <w:rsid w:val="006B4487"/>
    <w:rsid w:val="006B6C32"/>
    <w:rsid w:val="006C63B5"/>
    <w:rsid w:val="006E2CA2"/>
    <w:rsid w:val="006F19C4"/>
    <w:rsid w:val="006F1C13"/>
    <w:rsid w:val="006F664D"/>
    <w:rsid w:val="0070386F"/>
    <w:rsid w:val="00721928"/>
    <w:rsid w:val="00736CB3"/>
    <w:rsid w:val="007512D7"/>
    <w:rsid w:val="00755355"/>
    <w:rsid w:val="007715A2"/>
    <w:rsid w:val="00777DC5"/>
    <w:rsid w:val="00780C4E"/>
    <w:rsid w:val="0078167F"/>
    <w:rsid w:val="007A6A19"/>
    <w:rsid w:val="007B43AA"/>
    <w:rsid w:val="007B5459"/>
    <w:rsid w:val="007E024E"/>
    <w:rsid w:val="007E11FF"/>
    <w:rsid w:val="007F03E6"/>
    <w:rsid w:val="007F08DC"/>
    <w:rsid w:val="00815C04"/>
    <w:rsid w:val="00830C85"/>
    <w:rsid w:val="00830D20"/>
    <w:rsid w:val="00851A45"/>
    <w:rsid w:val="00856EF6"/>
    <w:rsid w:val="00871762"/>
    <w:rsid w:val="00873E5F"/>
    <w:rsid w:val="008A74EE"/>
    <w:rsid w:val="008B3B96"/>
    <w:rsid w:val="008B7053"/>
    <w:rsid w:val="008C0EE3"/>
    <w:rsid w:val="008D1BA4"/>
    <w:rsid w:val="008F4D51"/>
    <w:rsid w:val="0090285E"/>
    <w:rsid w:val="009039B2"/>
    <w:rsid w:val="00916D2B"/>
    <w:rsid w:val="00923252"/>
    <w:rsid w:val="00924681"/>
    <w:rsid w:val="009364D2"/>
    <w:rsid w:val="0094535B"/>
    <w:rsid w:val="009466D5"/>
    <w:rsid w:val="00973F8E"/>
    <w:rsid w:val="009775B7"/>
    <w:rsid w:val="00985A2F"/>
    <w:rsid w:val="0099771C"/>
    <w:rsid w:val="009A332F"/>
    <w:rsid w:val="009A4E49"/>
    <w:rsid w:val="009C3046"/>
    <w:rsid w:val="00A059AC"/>
    <w:rsid w:val="00A31744"/>
    <w:rsid w:val="00A65BC2"/>
    <w:rsid w:val="00A674E8"/>
    <w:rsid w:val="00A72386"/>
    <w:rsid w:val="00A81257"/>
    <w:rsid w:val="00A8388B"/>
    <w:rsid w:val="00A94A78"/>
    <w:rsid w:val="00AC64CE"/>
    <w:rsid w:val="00AF018C"/>
    <w:rsid w:val="00B039CA"/>
    <w:rsid w:val="00B06123"/>
    <w:rsid w:val="00B0671D"/>
    <w:rsid w:val="00B3045B"/>
    <w:rsid w:val="00B40B20"/>
    <w:rsid w:val="00B44E63"/>
    <w:rsid w:val="00B561FF"/>
    <w:rsid w:val="00B82305"/>
    <w:rsid w:val="00B861BE"/>
    <w:rsid w:val="00BD519A"/>
    <w:rsid w:val="00C05EDE"/>
    <w:rsid w:val="00C14F7E"/>
    <w:rsid w:val="00C301DA"/>
    <w:rsid w:val="00C30D4E"/>
    <w:rsid w:val="00C35CE6"/>
    <w:rsid w:val="00C5218A"/>
    <w:rsid w:val="00C6217F"/>
    <w:rsid w:val="00C6244E"/>
    <w:rsid w:val="00C6718F"/>
    <w:rsid w:val="00CA2D12"/>
    <w:rsid w:val="00CB220B"/>
    <w:rsid w:val="00CB7E0D"/>
    <w:rsid w:val="00D1752C"/>
    <w:rsid w:val="00D27E63"/>
    <w:rsid w:val="00D41342"/>
    <w:rsid w:val="00D6028D"/>
    <w:rsid w:val="00D72696"/>
    <w:rsid w:val="00D77FEC"/>
    <w:rsid w:val="00D80131"/>
    <w:rsid w:val="00DA1AE7"/>
    <w:rsid w:val="00DB4132"/>
    <w:rsid w:val="00DB4F27"/>
    <w:rsid w:val="00DC401D"/>
    <w:rsid w:val="00DD7F7D"/>
    <w:rsid w:val="00DE6987"/>
    <w:rsid w:val="00DF1665"/>
    <w:rsid w:val="00DF5FB0"/>
    <w:rsid w:val="00E10A40"/>
    <w:rsid w:val="00E332A0"/>
    <w:rsid w:val="00E33DD3"/>
    <w:rsid w:val="00E57D1B"/>
    <w:rsid w:val="00E70FB4"/>
    <w:rsid w:val="00E71E45"/>
    <w:rsid w:val="00E851C1"/>
    <w:rsid w:val="00E969DD"/>
    <w:rsid w:val="00EC2870"/>
    <w:rsid w:val="00EE02C9"/>
    <w:rsid w:val="00EE125D"/>
    <w:rsid w:val="00F1120A"/>
    <w:rsid w:val="00F224F9"/>
    <w:rsid w:val="00F24165"/>
    <w:rsid w:val="00F4340F"/>
    <w:rsid w:val="00F75440"/>
    <w:rsid w:val="00F83498"/>
    <w:rsid w:val="00F84527"/>
    <w:rsid w:val="00FC5644"/>
    <w:rsid w:val="00FE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85"/>
  </w:style>
  <w:style w:type="paragraph" w:styleId="Heading1">
    <w:name w:val="heading 1"/>
    <w:basedOn w:val="Normal"/>
    <w:next w:val="Normal"/>
    <w:link w:val="Heading1Char"/>
    <w:autoRedefine/>
    <w:uiPriority w:val="9"/>
    <w:qFormat/>
    <w:rsid w:val="001C1743"/>
    <w:pPr>
      <w:keepNext/>
      <w:keepLines/>
      <w:spacing w:before="360" w:after="24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1C1743"/>
    <w:pPr>
      <w:keepNext/>
      <w:keepLines/>
      <w:spacing w:before="360" w:after="240" w:line="240" w:lineRule="auto"/>
      <w:ind w:left="720" w:hanging="72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unhideWhenUsed/>
    <w:rsid w:val="001C1743"/>
    <w:pPr>
      <w:spacing w:before="240" w:after="240" w:line="240" w:lineRule="auto"/>
      <w:ind w:left="720" w:hanging="720"/>
      <w:jc w:val="both"/>
    </w:pPr>
    <w:rPr>
      <w:rFonts w:ascii="Times New Roman" w:hAnsi="Times New Roman"/>
      <w:sz w:val="24"/>
      <w:szCs w:val="20"/>
    </w:rPr>
  </w:style>
  <w:style w:type="character" w:customStyle="1" w:styleId="FootnoteTextChar">
    <w:name w:val="Footnote Text Char"/>
    <w:basedOn w:val="DefaultParagraphFont"/>
    <w:link w:val="FootnoteText"/>
    <w:uiPriority w:val="99"/>
    <w:rsid w:val="001C1743"/>
    <w:rPr>
      <w:rFonts w:ascii="Times New Roman" w:hAnsi="Times New Roman"/>
      <w:sz w:val="24"/>
      <w:szCs w:val="20"/>
    </w:rPr>
  </w:style>
  <w:style w:type="character" w:styleId="FootnoteReference">
    <w:name w:val="footnote reference"/>
    <w:basedOn w:val="DefaultParagraphFont"/>
    <w:uiPriority w:val="99"/>
    <w:semiHidden/>
    <w:unhideWhenUsed/>
    <w:rsid w:val="004D73FC"/>
    <w:rPr>
      <w:vertAlign w:val="superscript"/>
    </w:rPr>
  </w:style>
  <w:style w:type="paragraph" w:styleId="NormalWeb">
    <w:name w:val="Normal (Web)"/>
    <w:basedOn w:val="Normal"/>
    <w:uiPriority w:val="99"/>
    <w:unhideWhenUsed/>
    <w:rsid w:val="00C521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F6"/>
  </w:style>
  <w:style w:type="paragraph" w:styleId="Footer">
    <w:name w:val="footer"/>
    <w:basedOn w:val="Normal"/>
    <w:link w:val="FooterChar"/>
    <w:uiPriority w:val="99"/>
    <w:unhideWhenUsed/>
    <w:rsid w:val="00856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F6"/>
  </w:style>
  <w:style w:type="paragraph" w:styleId="ListParagraph">
    <w:name w:val="List Paragraph"/>
    <w:basedOn w:val="Normal"/>
    <w:uiPriority w:val="34"/>
    <w:qFormat/>
    <w:rsid w:val="00BD519A"/>
    <w:pPr>
      <w:ind w:left="720"/>
      <w:contextualSpacing/>
    </w:pPr>
  </w:style>
  <w:style w:type="paragraph" w:styleId="BalloonText">
    <w:name w:val="Balloon Text"/>
    <w:basedOn w:val="Normal"/>
    <w:link w:val="BalloonTextChar"/>
    <w:uiPriority w:val="99"/>
    <w:semiHidden/>
    <w:unhideWhenUsed/>
    <w:rsid w:val="00D2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63"/>
    <w:rPr>
      <w:rFonts w:ascii="Tahoma" w:hAnsi="Tahoma" w:cs="Tahoma"/>
      <w:sz w:val="16"/>
      <w:szCs w:val="16"/>
    </w:rPr>
  </w:style>
  <w:style w:type="character" w:customStyle="1" w:styleId="Heading1Char">
    <w:name w:val="Heading 1 Char"/>
    <w:basedOn w:val="DefaultParagraphFont"/>
    <w:link w:val="Heading1"/>
    <w:uiPriority w:val="9"/>
    <w:rsid w:val="001C1743"/>
    <w:rPr>
      <w:rFonts w:ascii="Times New Roman" w:eastAsiaTheme="majorEastAsia" w:hAnsi="Times New Roman" w:cstheme="majorBidi"/>
      <w:b/>
      <w:bCs/>
      <w:sz w:val="28"/>
      <w:szCs w:val="28"/>
    </w:rPr>
  </w:style>
  <w:style w:type="paragraph" w:customStyle="1" w:styleId="Textstyle">
    <w:name w:val="Text style"/>
    <w:basedOn w:val="Normal"/>
    <w:autoRedefine/>
    <w:rsid w:val="001C1743"/>
    <w:pPr>
      <w:spacing w:after="0" w:line="480" w:lineRule="auto"/>
      <w:jc w:val="both"/>
    </w:pPr>
    <w:rPr>
      <w:rFonts w:ascii="Times New Roman" w:hAnsi="Times New Roman" w:cs="Times New Roman"/>
      <w:sz w:val="26"/>
      <w:szCs w:val="26"/>
    </w:rPr>
  </w:style>
  <w:style w:type="character" w:customStyle="1" w:styleId="Heading2Char">
    <w:name w:val="Heading 2 Char"/>
    <w:basedOn w:val="DefaultParagraphFont"/>
    <w:link w:val="Heading2"/>
    <w:uiPriority w:val="9"/>
    <w:rsid w:val="001C1743"/>
    <w:rPr>
      <w:rFonts w:ascii="Times New Roman" w:eastAsiaTheme="majorEastAsia" w:hAnsi="Times New Roman" w:cstheme="majorBidi"/>
      <w:b/>
      <w:bCs/>
      <w:sz w:val="26"/>
      <w:szCs w:val="26"/>
    </w:rPr>
  </w:style>
  <w:style w:type="paragraph" w:customStyle="1" w:styleId="Blockquote">
    <w:name w:val="Block quote"/>
    <w:basedOn w:val="Normal"/>
    <w:autoRedefine/>
    <w:rsid w:val="001C1743"/>
    <w:pPr>
      <w:tabs>
        <w:tab w:val="left" w:pos="1800"/>
      </w:tabs>
      <w:spacing w:after="240" w:line="240" w:lineRule="auto"/>
      <w:ind w:left="1440" w:right="1440"/>
      <w:jc w:val="both"/>
    </w:pPr>
    <w:rPr>
      <w:rFonts w:ascii="Times New Roman" w:hAnsi="Times New Roman" w:cs="Times New Roman"/>
      <w:sz w:val="26"/>
      <w:szCs w:val="24"/>
    </w:rPr>
  </w:style>
  <w:style w:type="paragraph" w:customStyle="1" w:styleId="Ehading2">
    <w:name w:val="Ehading 2"/>
    <w:basedOn w:val="ListParagraph"/>
    <w:rsid w:val="002E570A"/>
    <w:pPr>
      <w:numPr>
        <w:numId w:val="1"/>
      </w:numPr>
      <w:spacing w:line="480" w:lineRule="auto"/>
      <w:jc w:val="both"/>
    </w:pPr>
    <w:rPr>
      <w:rFonts w:ascii="Times New Roman" w:hAnsi="Times New Roman" w:cs="Times New Roman"/>
      <w:b/>
      <w:sz w:val="24"/>
      <w:szCs w:val="24"/>
    </w:rPr>
  </w:style>
  <w:style w:type="character" w:styleId="Hyperlink">
    <w:name w:val="Hyperlink"/>
    <w:uiPriority w:val="99"/>
    <w:unhideWhenUsed/>
    <w:rsid w:val="000C0416"/>
    <w:rPr>
      <w:color w:val="00008B"/>
      <w:u w:val="single"/>
    </w:rPr>
  </w:style>
  <w:style w:type="paragraph" w:styleId="TOC1">
    <w:name w:val="toc 1"/>
    <w:basedOn w:val="Normal"/>
    <w:next w:val="Normal"/>
    <w:autoRedefine/>
    <w:uiPriority w:val="39"/>
    <w:unhideWhenUsed/>
    <w:rsid w:val="008F4D51"/>
    <w:pPr>
      <w:tabs>
        <w:tab w:val="right" w:leader="dot" w:pos="9350"/>
      </w:tabs>
      <w:spacing w:before="240" w:after="240" w:line="240" w:lineRule="auto"/>
    </w:pPr>
    <w:rPr>
      <w:rFonts w:ascii="Times New Roman" w:hAnsi="Times New Roman"/>
      <w:sz w:val="26"/>
    </w:rPr>
  </w:style>
  <w:style w:type="paragraph" w:styleId="TOC2">
    <w:name w:val="toc 2"/>
    <w:basedOn w:val="Normal"/>
    <w:next w:val="Normal"/>
    <w:autoRedefine/>
    <w:uiPriority w:val="39"/>
    <w:unhideWhenUsed/>
    <w:rsid w:val="008F4D51"/>
    <w:pPr>
      <w:tabs>
        <w:tab w:val="right" w:leader="dot" w:pos="9350"/>
      </w:tabs>
      <w:spacing w:before="240" w:after="240" w:line="240" w:lineRule="auto"/>
      <w:ind w:left="1382" w:right="1440" w:hanging="662"/>
    </w:pPr>
    <w:rPr>
      <w:rFonts w:ascii="Times New Roman" w:hAnsi="Times New Roman"/>
      <w:sz w:val="26"/>
    </w:rPr>
  </w:style>
  <w:style w:type="character" w:styleId="CommentReference">
    <w:name w:val="annotation reference"/>
    <w:basedOn w:val="DefaultParagraphFont"/>
    <w:uiPriority w:val="99"/>
    <w:semiHidden/>
    <w:unhideWhenUsed/>
    <w:rsid w:val="00154D96"/>
    <w:rPr>
      <w:sz w:val="16"/>
      <w:szCs w:val="16"/>
    </w:rPr>
  </w:style>
  <w:style w:type="paragraph" w:styleId="CommentText">
    <w:name w:val="annotation text"/>
    <w:basedOn w:val="Normal"/>
    <w:link w:val="CommentTextChar"/>
    <w:uiPriority w:val="99"/>
    <w:semiHidden/>
    <w:unhideWhenUsed/>
    <w:rsid w:val="00154D96"/>
    <w:pPr>
      <w:spacing w:line="240" w:lineRule="auto"/>
    </w:pPr>
    <w:rPr>
      <w:sz w:val="20"/>
      <w:szCs w:val="20"/>
    </w:rPr>
  </w:style>
  <w:style w:type="character" w:customStyle="1" w:styleId="CommentTextChar">
    <w:name w:val="Comment Text Char"/>
    <w:basedOn w:val="DefaultParagraphFont"/>
    <w:link w:val="CommentText"/>
    <w:uiPriority w:val="99"/>
    <w:semiHidden/>
    <w:rsid w:val="00154D96"/>
    <w:rPr>
      <w:sz w:val="20"/>
      <w:szCs w:val="20"/>
    </w:rPr>
  </w:style>
  <w:style w:type="paragraph" w:styleId="CommentSubject">
    <w:name w:val="annotation subject"/>
    <w:basedOn w:val="CommentText"/>
    <w:next w:val="CommentText"/>
    <w:link w:val="CommentSubjectChar"/>
    <w:uiPriority w:val="99"/>
    <w:semiHidden/>
    <w:unhideWhenUsed/>
    <w:rsid w:val="00154D96"/>
    <w:rPr>
      <w:b/>
      <w:bCs/>
    </w:rPr>
  </w:style>
  <w:style w:type="character" w:customStyle="1" w:styleId="CommentSubjectChar">
    <w:name w:val="Comment Subject Char"/>
    <w:basedOn w:val="CommentTextChar"/>
    <w:link w:val="CommentSubject"/>
    <w:uiPriority w:val="99"/>
    <w:semiHidden/>
    <w:rsid w:val="00154D96"/>
    <w:rPr>
      <w:b/>
      <w:bCs/>
      <w:sz w:val="20"/>
      <w:szCs w:val="20"/>
    </w:rPr>
  </w:style>
  <w:style w:type="paragraph" w:styleId="Revision">
    <w:name w:val="Revision"/>
    <w:hidden/>
    <w:uiPriority w:val="99"/>
    <w:semiHidden/>
    <w:rsid w:val="00154D96"/>
    <w:pPr>
      <w:spacing w:after="0" w:line="240" w:lineRule="auto"/>
    </w:pPr>
  </w:style>
  <w:style w:type="paragraph" w:styleId="DocumentMap">
    <w:name w:val="Document Map"/>
    <w:basedOn w:val="Normal"/>
    <w:link w:val="DocumentMapChar"/>
    <w:uiPriority w:val="99"/>
    <w:semiHidden/>
    <w:unhideWhenUsed/>
    <w:rsid w:val="00004D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4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6098">
      <w:bodyDiv w:val="1"/>
      <w:marLeft w:val="0"/>
      <w:marRight w:val="0"/>
      <w:marTop w:val="0"/>
      <w:marBottom w:val="0"/>
      <w:divBdr>
        <w:top w:val="none" w:sz="0" w:space="0" w:color="auto"/>
        <w:left w:val="none" w:sz="0" w:space="0" w:color="auto"/>
        <w:bottom w:val="none" w:sz="0" w:space="0" w:color="auto"/>
        <w:right w:val="none" w:sz="0" w:space="0" w:color="auto"/>
      </w:divBdr>
    </w:div>
    <w:div w:id="691078448">
      <w:bodyDiv w:val="1"/>
      <w:marLeft w:val="0"/>
      <w:marRight w:val="0"/>
      <w:marTop w:val="0"/>
      <w:marBottom w:val="0"/>
      <w:divBdr>
        <w:top w:val="none" w:sz="0" w:space="0" w:color="auto"/>
        <w:left w:val="none" w:sz="0" w:space="0" w:color="auto"/>
        <w:bottom w:val="none" w:sz="0" w:space="0" w:color="auto"/>
        <w:right w:val="none" w:sz="0" w:space="0" w:color="auto"/>
      </w:divBdr>
      <w:divsChild>
        <w:div w:id="1509564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6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16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william.wright@puc.state.oh.us" TargetMode="Externa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C908-C4D3-4F52-8318-A741F373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Keeton, Kim</cp:lastModifiedBy>
  <cp:revision>3</cp:revision>
  <cp:lastPrinted>2011-08-24T18:05:00Z</cp:lastPrinted>
  <dcterms:created xsi:type="dcterms:W3CDTF">2011-08-24T18:01:00Z</dcterms:created>
  <dcterms:modified xsi:type="dcterms:W3CDTF">2011-08-24T18:05:00Z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1042443468</vt:i4>
  </property>
  <property fmtid="{D5CDD505-2E9C-101B-9397-08002B2CF9AE}" pid="3" name="_NewReviewCycle">
    <vt:lpwstr/>
  </property>
  <property fmtid="{D5CDD505-2E9C-101B-9397-08002B2CF9AE}" pid="4" name="_EmailSubject">
    <vt:lpwstr>FCC Comments</vt:lpwstr>
  </property>
  <property fmtid="{D5CDD505-2E9C-101B-9397-08002B2CF9AE}" pid="5" name="_AuthorEmail">
    <vt:lpwstr>Jason.Well@puc.state.oh.us</vt:lpwstr>
  </property>
  <property fmtid="{D5CDD505-2E9C-101B-9397-08002B2CF9AE}" pid="6" name="_AuthorEmailDisplayName">
    <vt:lpwstr>Well, Jason</vt:lpwstr>
  </property>
  <property fmtid="{D5CDD505-2E9C-101B-9397-08002B2CF9AE}" pid="7" name="_PreviousAdHocReviewCycleID">
    <vt:i4>31573849</vt:i4>
  </property>
  <property fmtid="{D5CDD505-2E9C-101B-9397-08002B2CF9AE}" pid="8" name="_ReviewingToolsShownOnce">
    <vt:lpwstr/>
  </property>
</Properties>
</file>