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5010F" w:rsidP="00B5010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B5010F" w:rsidP="00B5010F">
      <w:pPr>
        <w:pStyle w:val="HTMLPreformatted"/>
        <w:jc w:val="center"/>
        <w:rPr>
          <w:rFonts w:ascii="Times New Roman" w:hAnsi="Times New Roman"/>
          <w:sz w:val="24"/>
        </w:rPr>
      </w:pPr>
      <w:r>
        <w:rPr>
          <w:rFonts w:ascii="Times New Roman" w:hAnsi="Times New Roman"/>
          <w:b/>
          <w:bCs/>
          <w:sz w:val="24"/>
        </w:rPr>
        <w:t>THE PUBLIC UTILITIES COMMISSION OF OHIO</w:t>
      </w:r>
    </w:p>
    <w:p w:rsidR="00B5010F" w:rsidP="00B5010F">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470BDD">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Review of Duke Energy Ohio, Inc.’s Distribution Capital Investment Rider.</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sidR="00217574">
              <w:rPr>
                <w:rFonts w:ascii="Times New Roman" w:eastAsia="Courier New" w:hAnsi="Times New Roman" w:cs="Courier New"/>
                <w:sz w:val="24"/>
                <w:szCs w:val="20"/>
                <w:lang w:val="en-US" w:eastAsia="en-US" w:bidi="ar-SA"/>
              </w:rPr>
              <w:t>17-1118-EL-RDR</w:t>
            </w:r>
          </w:p>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B5010F" w:rsidP="00B5010F">
      <w:pPr>
        <w:pStyle w:val="HTMLPreformatted"/>
        <w:pBdr>
          <w:top w:val="single" w:sz="12" w:space="1" w:color="auto"/>
        </w:pBdr>
        <w:rPr>
          <w:rFonts w:ascii="Times New Roman" w:hAnsi="Times New Roman"/>
          <w:sz w:val="24"/>
        </w:rPr>
      </w:pPr>
    </w:p>
    <w:p w:rsidR="00B5010F" w:rsidP="00B5010F">
      <w:pPr>
        <w:jc w:val="center"/>
        <w:rPr>
          <w:b/>
          <w:bCs/>
        </w:rPr>
      </w:pPr>
      <w:r>
        <w:rPr>
          <w:b/>
          <w:bCs/>
        </w:rPr>
        <w:t>MOTION TO INTERVENE</w:t>
      </w:r>
      <w:r w:rsidRPr="00106153">
        <w:rPr>
          <w:b/>
          <w:bCs/>
        </w:rPr>
        <w:t xml:space="preserve"> </w:t>
      </w:r>
    </w:p>
    <w:p w:rsidR="00B5010F" w:rsidP="00B5010F">
      <w:pPr>
        <w:jc w:val="center"/>
        <w:rPr>
          <w:b/>
          <w:bCs/>
        </w:rPr>
      </w:pPr>
      <w:r>
        <w:rPr>
          <w:b/>
          <w:bCs/>
        </w:rPr>
        <w:t>BY</w:t>
      </w:r>
    </w:p>
    <w:p w:rsidR="00B5010F" w:rsidP="00B5010F">
      <w:pPr>
        <w:jc w:val="center"/>
        <w:rPr>
          <w:b/>
          <w:bCs/>
        </w:rPr>
      </w:pPr>
      <w:r>
        <w:rPr>
          <w:b/>
          <w:bCs/>
        </w:rPr>
        <w:t xml:space="preserve">THE OFFICE OF THE OHIO CONSUMERS’ COUNSEL </w:t>
      </w:r>
    </w:p>
    <w:p w:rsidR="00B5010F" w:rsidP="00B5010F">
      <w:pPr>
        <w:pBdr>
          <w:bottom w:val="single" w:sz="12" w:space="1" w:color="auto"/>
        </w:pBdr>
        <w:tabs>
          <w:tab w:val="left" w:pos="4320"/>
        </w:tabs>
      </w:pPr>
    </w:p>
    <w:p w:rsidR="00B5010F" w:rsidP="00B5010F">
      <w:pPr>
        <w:tabs>
          <w:tab w:val="left" w:pos="4320"/>
        </w:tabs>
      </w:pPr>
    </w:p>
    <w:p w:rsidR="00B5010F" w:rsidP="00B5010F">
      <w:pPr>
        <w:pStyle w:val="BodyTextIndent3"/>
        <w:widowControl w:val="0"/>
        <w:spacing w:line="480" w:lineRule="auto"/>
        <w:ind w:right="-312"/>
      </w:pPr>
      <w:r>
        <w:t xml:space="preserve">The Office of the Ohio Consumers’ Counsel (“OCC”) moves to intervene in this case where </w:t>
      </w:r>
      <w:r w:rsidR="003133BB">
        <w:t>Duke Energy Ohio, Inc.</w:t>
      </w:r>
      <w:r>
        <w:t xml:space="preserve"> (</w:t>
      </w:r>
      <w:r w:rsidR="003133BB">
        <w:t>“Duke</w:t>
      </w:r>
      <w:r>
        <w:t>”</w:t>
      </w:r>
      <w:r w:rsidR="003133BB">
        <w:t xml:space="preserve"> or “Utility”</w:t>
      </w:r>
      <w:r>
        <w:t xml:space="preserve">) is collecting charges from customers through the Delivery Capital </w:t>
      </w:r>
      <w:r w:rsidR="003133BB">
        <w:t>Investment</w:t>
      </w:r>
      <w:r>
        <w:t xml:space="preserve"> Rider (“DC</w:t>
      </w:r>
      <w:r w:rsidR="003133BB">
        <w:t>I</w:t>
      </w:r>
      <w:r>
        <w:t xml:space="preserve"> Rider”). </w:t>
      </w:r>
      <w:r w:rsidR="0000537B">
        <w:t>The purpose of the DCI is to replace aging infrastructure and improve service reliability.</w:t>
      </w:r>
      <w:r>
        <w:rPr>
          <w:rStyle w:val="FootnoteReference"/>
        </w:rPr>
        <w:footnoteReference w:id="2"/>
      </w:r>
      <w:r w:rsidR="0000537B">
        <w:t xml:space="preserve"> </w:t>
      </w:r>
      <w:r w:rsidR="00A4260D">
        <w:t xml:space="preserve">The DCI was approved in Duke’s </w:t>
      </w:r>
      <w:r w:rsidR="004A16BE">
        <w:t xml:space="preserve">last </w:t>
      </w:r>
      <w:r w:rsidR="00A4260D">
        <w:t>electric security plan case</w:t>
      </w:r>
      <w:r w:rsidR="004A16BE">
        <w:t xml:space="preserve">. Duke was permitted to collect up to </w:t>
      </w:r>
      <w:r w:rsidR="00A4260D">
        <w:t>$50 million for 2016.</w:t>
      </w:r>
      <w:r>
        <w:rPr>
          <w:rStyle w:val="FootnoteReference"/>
        </w:rPr>
        <w:footnoteReference w:id="3"/>
      </w:r>
      <w:r w:rsidR="00A4260D">
        <w:t xml:space="preserve"> </w:t>
      </w:r>
      <w:r w:rsidR="00EB0A3B">
        <w:t>Duke’s current tariffs allow it to assess for the DCI Rider all retail jurisdictional customers a charge of 10.738% of the customer’s applicable distribution charges.</w:t>
      </w:r>
      <w:r>
        <w:rPr>
          <w:rStyle w:val="FootnoteReference"/>
        </w:rPr>
        <w:footnoteReference w:id="4"/>
      </w:r>
      <w:r w:rsidR="00EB0A3B">
        <w:t xml:space="preserve"> </w:t>
      </w:r>
      <w:r>
        <w:t xml:space="preserve">OCC is filing on behalf of all the </w:t>
      </w:r>
      <w:r w:rsidR="003133BB">
        <w:t>Duke’s approximately 623,000</w:t>
      </w:r>
      <w:r>
        <w:t xml:space="preserve"> residential utility customers of</w:t>
      </w:r>
      <w:r>
        <w:rPr>
          <w:szCs w:val="24"/>
        </w:rPr>
        <w:t xml:space="preserve"> </w:t>
      </w:r>
      <w:r w:rsidR="003133BB">
        <w:rPr>
          <w:szCs w:val="24"/>
        </w:rPr>
        <w:t>Duke</w:t>
      </w:r>
      <w:r>
        <w:t>.</w:t>
      </w:r>
      <w:r>
        <w:rPr>
          <w:rStyle w:val="FootnoteReference"/>
        </w:rPr>
        <w:footnoteReference w:id="5"/>
      </w:r>
      <w:r>
        <w:t xml:space="preserve"> The reasons the Public Utilities Commission of Ohio (“PUCO”) should grant OCC’s Motion are further set forth in the attached Memorandum in Support.</w:t>
      </w:r>
    </w:p>
    <w:p w:rsidR="00470BDD">
      <w:pPr>
        <w:spacing w:after="200" w:line="276" w:lineRule="auto"/>
        <w:rPr>
          <w:szCs w:val="24"/>
        </w:rPr>
      </w:pPr>
      <w:r>
        <w:rPr>
          <w:szCs w:val="24"/>
        </w:rPr>
        <w:br w:type="page"/>
      </w:r>
    </w:p>
    <w:p w:rsidR="00B5010F" w:rsidP="00B5010F">
      <w:pPr>
        <w:pStyle w:val="BodyTextIndent3"/>
        <w:widowControl w:val="0"/>
        <w:ind w:left="3600" w:right="-672"/>
        <w:rPr>
          <w:szCs w:val="24"/>
        </w:rPr>
      </w:pPr>
      <w:r>
        <w:rPr>
          <w:szCs w:val="24"/>
        </w:rPr>
        <w:t>Respectfully submitted,</w:t>
      </w:r>
    </w:p>
    <w:p w:rsidR="00B5010F" w:rsidP="00B5010F">
      <w:pPr>
        <w:pStyle w:val="Footer"/>
        <w:tabs>
          <w:tab w:val="left" w:pos="4320"/>
          <w:tab w:val="clear" w:pos="8640"/>
        </w:tabs>
        <w:spacing w:before="240"/>
        <w:rPr>
          <w:sz w:val="24"/>
          <w:szCs w:val="24"/>
        </w:rPr>
      </w:pPr>
      <w:r>
        <w:rPr>
          <w:sz w:val="24"/>
          <w:szCs w:val="24"/>
        </w:rPr>
        <w:tab/>
        <w:t xml:space="preserve">BRUCE </w:t>
      </w:r>
      <w:r>
        <w:rPr>
          <w:sz w:val="24"/>
          <w:szCs w:val="24"/>
        </w:rPr>
        <w:t>WESTON (0016973)</w:t>
      </w:r>
    </w:p>
    <w:p w:rsidR="00B5010F" w:rsidP="00B5010F">
      <w:pPr>
        <w:tabs>
          <w:tab w:val="left" w:pos="4320"/>
        </w:tabs>
        <w:rPr>
          <w:szCs w:val="24"/>
        </w:rPr>
      </w:pPr>
      <w:r>
        <w:rPr>
          <w:szCs w:val="24"/>
        </w:rPr>
        <w:tab/>
        <w:t>OHIO CONSUMERS’ COUNSEL</w:t>
      </w:r>
    </w:p>
    <w:p w:rsidR="00B5010F" w:rsidP="00B5010F">
      <w:pPr>
        <w:tabs>
          <w:tab w:val="left" w:pos="4320"/>
        </w:tabs>
        <w:rPr>
          <w:szCs w:val="24"/>
        </w:rPr>
      </w:pPr>
      <w:r>
        <w:rPr>
          <w:szCs w:val="24"/>
        </w:rPr>
        <w:tab/>
      </w:r>
    </w:p>
    <w:p w:rsidR="00B5010F" w:rsidP="00B5010F">
      <w:pPr>
        <w:autoSpaceDE w:val="0"/>
        <w:autoSpaceDN w:val="0"/>
        <w:adjustRightInd w:val="0"/>
        <w:ind w:left="4320"/>
        <w:rPr>
          <w:i/>
        </w:rPr>
      </w:pPr>
      <w:r>
        <w:rPr>
          <w:i/>
          <w:u w:val="single"/>
        </w:rPr>
        <w:t>/s/ Jodi Bair                          </w:t>
      </w:r>
    </w:p>
    <w:p w:rsidR="00B5010F" w:rsidP="00B5010F">
      <w:pPr>
        <w:tabs>
          <w:tab w:val="left" w:pos="4320"/>
        </w:tabs>
        <w:ind w:left="4320"/>
        <w:rPr>
          <w:szCs w:val="24"/>
        </w:rPr>
      </w:pPr>
      <w:r>
        <w:rPr>
          <w:szCs w:val="24"/>
        </w:rPr>
        <w:t>Jodi Bair, (0062921) Counsel of Record</w:t>
      </w:r>
    </w:p>
    <w:p w:rsidR="00B5010F" w:rsidP="00B5010F">
      <w:pPr>
        <w:tabs>
          <w:tab w:val="left" w:pos="4320"/>
        </w:tabs>
        <w:ind w:left="4320"/>
        <w:rPr>
          <w:szCs w:val="24"/>
        </w:rPr>
      </w:pPr>
      <w:r>
        <w:rPr>
          <w:szCs w:val="24"/>
        </w:rPr>
        <w:t>Assistant Consumers’ Counsel</w:t>
      </w:r>
    </w:p>
    <w:p w:rsidR="00B5010F" w:rsidP="00B5010F">
      <w:pPr>
        <w:pStyle w:val="Heading1"/>
        <w:spacing w:before="120"/>
        <w:ind w:left="4320"/>
        <w:rPr>
          <w:u w:val="none"/>
        </w:rPr>
      </w:pPr>
      <w:r>
        <w:rPr>
          <w:u w:val="none"/>
        </w:rPr>
        <w:t>Office of the Ohio Consumers’ Counsel</w:t>
      </w:r>
    </w:p>
    <w:p w:rsidR="00B5010F" w:rsidP="00B5010F">
      <w:pPr>
        <w:pStyle w:val="Heading1"/>
        <w:ind w:left="4320"/>
        <w:rPr>
          <w:b w:val="0"/>
          <w:u w:val="none"/>
        </w:rPr>
      </w:pPr>
      <w:r>
        <w:rPr>
          <w:b w:val="0"/>
          <w:u w:val="none"/>
        </w:rPr>
        <w:t>10 West Broad Street, Suite 1800</w:t>
      </w:r>
    </w:p>
    <w:p w:rsidR="00B5010F" w:rsidP="00B5010F">
      <w:pPr>
        <w:pStyle w:val="Heading1"/>
        <w:ind w:left="4320"/>
        <w:rPr>
          <w:b w:val="0"/>
          <w:u w:val="none"/>
        </w:rPr>
      </w:pPr>
      <w:r>
        <w:rPr>
          <w:b w:val="0"/>
          <w:u w:val="none"/>
        </w:rPr>
        <w:t>Columbus, Ohio 43215-3485</w:t>
      </w:r>
    </w:p>
    <w:p w:rsidR="00B5010F" w:rsidP="00B5010F">
      <w:pPr>
        <w:autoSpaceDE w:val="0"/>
        <w:autoSpaceDN w:val="0"/>
        <w:adjustRightInd w:val="0"/>
        <w:ind w:left="4320"/>
        <w:rPr>
          <w:szCs w:val="24"/>
        </w:rPr>
      </w:pPr>
      <w:r>
        <w:rPr>
          <w:szCs w:val="24"/>
        </w:rPr>
        <w:t xml:space="preserve">Telephone: </w:t>
      </w:r>
      <w:r>
        <w:rPr>
          <w:szCs w:val="24"/>
        </w:rPr>
        <w:t>Bair – (614) 466-9559</w:t>
      </w:r>
    </w:p>
    <w:p w:rsidR="00B5010F" w:rsidP="00B5010F">
      <w:pPr>
        <w:autoSpaceDE w:val="0"/>
        <w:autoSpaceDN w:val="0"/>
        <w:adjustRightInd w:val="0"/>
        <w:ind w:left="4320"/>
        <w:rPr>
          <w:szCs w:val="24"/>
        </w:rPr>
      </w:pPr>
      <w:r>
        <w:fldChar w:fldCharType="begin"/>
      </w:r>
      <w:r>
        <w:instrText xml:space="preserve"> HYPERLINK "mailto:Jodi.bair@occ.ohio.gov" </w:instrText>
      </w:r>
      <w:r>
        <w:fldChar w:fldCharType="separate"/>
      </w:r>
      <w:r w:rsidRPr="00620E70">
        <w:rPr>
          <w:rStyle w:val="Hyperlink"/>
          <w:szCs w:val="24"/>
        </w:rPr>
        <w:t>Jodi.bair@occ.ohio.gov</w:t>
      </w:r>
      <w:r>
        <w:fldChar w:fldCharType="end"/>
      </w:r>
    </w:p>
    <w:p w:rsidR="00B5010F" w:rsidP="00B5010F">
      <w:pPr>
        <w:ind w:left="4320"/>
        <w:rPr>
          <w:szCs w:val="24"/>
        </w:rPr>
      </w:pPr>
      <w:r>
        <w:rPr>
          <w:szCs w:val="24"/>
        </w:rPr>
        <w:t>(</w:t>
      </w:r>
      <w:r w:rsidR="00FF51A2">
        <w:rPr>
          <w:szCs w:val="24"/>
        </w:rPr>
        <w:t>W</w:t>
      </w:r>
      <w:r>
        <w:rPr>
          <w:szCs w:val="24"/>
        </w:rPr>
        <w:t>ill accept service via email)</w:t>
      </w:r>
    </w:p>
    <w:p w:rsidR="00B5010F" w:rsidP="00B5010F">
      <w:pPr>
        <w:tabs>
          <w:tab w:val="left" w:pos="4320"/>
        </w:tabs>
      </w:pPr>
    </w:p>
    <w:p w:rsidR="00B5010F" w:rsidP="00B5010F"/>
    <w:p w:rsidR="00B5010F" w:rsidP="00B5010F">
      <w:pPr>
        <w:ind w:left="4320" w:firstLine="720"/>
        <w:jc w:val="both"/>
      </w:pPr>
    </w:p>
    <w:p w:rsidR="00B5010F" w:rsidP="00B5010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B5010F" w:rsidP="00B5010F">
      <w:pPr>
        <w:pStyle w:val="HTMLPreformatted"/>
        <w:jc w:val="center"/>
        <w:rPr>
          <w:rFonts w:ascii="Times New Roman" w:hAnsi="Times New Roman"/>
          <w:b/>
          <w:bCs/>
          <w:sz w:val="24"/>
        </w:rPr>
      </w:pPr>
      <w:r>
        <w:rPr>
          <w:rFonts w:ascii="Times New Roman" w:hAnsi="Times New Roman"/>
          <w:b/>
          <w:bCs/>
          <w:sz w:val="24"/>
        </w:rPr>
        <w:t>BEFORE</w:t>
      </w:r>
    </w:p>
    <w:p w:rsidR="00B5010F" w:rsidP="00B5010F">
      <w:pPr>
        <w:pStyle w:val="HTMLPreformatted"/>
        <w:jc w:val="center"/>
        <w:rPr>
          <w:rFonts w:ascii="Times New Roman" w:hAnsi="Times New Roman"/>
          <w:sz w:val="24"/>
        </w:rPr>
      </w:pPr>
      <w:r>
        <w:rPr>
          <w:rFonts w:ascii="Times New Roman" w:hAnsi="Times New Roman"/>
          <w:b/>
          <w:bCs/>
          <w:sz w:val="24"/>
        </w:rPr>
        <w:t>THE PUBLIC UTILITIES COMMISSION OF OHIO</w:t>
      </w:r>
    </w:p>
    <w:p w:rsidR="00B5010F" w:rsidP="00B5010F">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470BDD">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217574" w:rsidRPr="00A044B5" w:rsidP="00FA15B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Review of Duke Energy Ohio, Inc.’s Distribution Capital Investment Rider.</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217574" w:rsidRPr="00A044B5" w:rsidP="00FA15B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217574" w:rsidRPr="00A044B5" w:rsidP="00FA15B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tc>
        <w:tc>
          <w:tcPr>
            <w:tcW w:w="4400" w:type="dxa"/>
            <w:shd w:val="clear" w:color="auto" w:fill="auto"/>
          </w:tcPr>
          <w:p w:rsidR="00217574" w:rsidRPr="00A044B5" w:rsidP="00FA15B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17-1118-EL-RDR</w:t>
            </w:r>
          </w:p>
        </w:tc>
      </w:tr>
    </w:tbl>
    <w:p w:rsidR="00B5010F" w:rsidP="00470BDD">
      <w:pPr>
        <w:pStyle w:val="Heading2"/>
        <w:pBdr>
          <w:bottom w:val="single" w:sz="12" w:space="1" w:color="auto"/>
        </w:pBdr>
        <w:tabs>
          <w:tab w:val="left" w:pos="2415"/>
          <w:tab w:val="clear" w:pos="4320"/>
        </w:tabs>
        <w:jc w:val="left"/>
        <w:rPr>
          <w:b w:val="0"/>
        </w:rPr>
      </w:pPr>
    </w:p>
    <w:p w:rsidR="00B5010F" w:rsidP="00B5010F">
      <w:pPr>
        <w:pStyle w:val="Heading2"/>
      </w:pPr>
    </w:p>
    <w:p w:rsidR="00B5010F" w:rsidP="00B5010F">
      <w:pPr>
        <w:pStyle w:val="Heading2"/>
        <w:pBdr>
          <w:bottom w:val="single" w:sz="12" w:space="1" w:color="auto"/>
        </w:pBdr>
      </w:pPr>
      <w:r>
        <w:t xml:space="preserve">MEMORANDUM IN SUPPORT </w:t>
      </w:r>
      <w:r>
        <w:br/>
      </w:r>
    </w:p>
    <w:p w:rsidR="00B5010F" w:rsidP="00B5010F">
      <w:pPr>
        <w:pStyle w:val="BodyTextIndent"/>
        <w:spacing w:line="240" w:lineRule="auto"/>
        <w:ind w:firstLine="0"/>
        <w:rPr>
          <w:b/>
          <w:bCs/>
        </w:rPr>
      </w:pPr>
    </w:p>
    <w:p w:rsidR="00B5010F" w:rsidP="00B5010F">
      <w:pPr>
        <w:pStyle w:val="BodyTextIndent3"/>
        <w:widowControl w:val="0"/>
        <w:spacing w:line="480" w:lineRule="auto"/>
        <w:ind w:right="-24"/>
      </w:pPr>
      <w:r>
        <w:t xml:space="preserve">This case involves a </w:t>
      </w:r>
      <w:r w:rsidR="004A16BE">
        <w:t xml:space="preserve">charge </w:t>
      </w:r>
      <w:r>
        <w:t xml:space="preserve">on customers’ bills for </w:t>
      </w:r>
      <w:r w:rsidR="003133BB">
        <w:t xml:space="preserve">Duke’s </w:t>
      </w:r>
      <w:r w:rsidR="004A16BE">
        <w:t xml:space="preserve">distribution </w:t>
      </w:r>
      <w:r w:rsidR="004732E0">
        <w:t>system</w:t>
      </w:r>
      <w:r w:rsidR="004A16BE">
        <w:t xml:space="preserve">.  </w:t>
      </w:r>
      <w:r>
        <w:t xml:space="preserve">OCC has authority under law to represent the interests of all </w:t>
      </w:r>
      <w:r w:rsidR="003133BB">
        <w:t>of Duke’s approximately 623,000</w:t>
      </w:r>
      <w:r>
        <w:t xml:space="preserve"> residential electricity customers, pursuant to R.C. Chapter 4911.</w:t>
      </w:r>
      <w:r>
        <w:rPr>
          <w:szCs w:val="24"/>
        </w:rPr>
        <w:t xml:space="preserve"> </w:t>
      </w:r>
    </w:p>
    <w:p w:rsidR="00B5010F" w:rsidP="00B5010F">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that involves an investigation into the appropriateness of costs </w:t>
      </w:r>
      <w:r w:rsidR="003133BB">
        <w:t>Duke</w:t>
      </w:r>
      <w:r>
        <w:t xml:space="preserve"> collected from customers. Thus, this element of the intervention standard in R.C. 4903.221 is satisfied. </w:t>
      </w:r>
    </w:p>
    <w:p w:rsidR="00B5010F" w:rsidP="00B5010F">
      <w:pPr>
        <w:spacing w:line="480" w:lineRule="auto"/>
        <w:ind w:firstLine="720"/>
        <w:rPr>
          <w:szCs w:val="24"/>
        </w:rPr>
      </w:pPr>
      <w:r>
        <w:rPr>
          <w:szCs w:val="24"/>
        </w:rPr>
        <w:t>R.C. 4903.221(B) requires the PUCO to consider the following criteria in ruling on motions to intervene:</w:t>
      </w:r>
    </w:p>
    <w:p w:rsidR="00B5010F" w:rsidP="00B5010F">
      <w:pPr>
        <w:ind w:left="2160" w:right="720" w:hanging="720"/>
        <w:rPr>
          <w:szCs w:val="24"/>
        </w:rPr>
      </w:pPr>
      <w:r>
        <w:rPr>
          <w:szCs w:val="24"/>
        </w:rPr>
        <w:t>(1)</w:t>
      </w:r>
      <w:r>
        <w:rPr>
          <w:szCs w:val="24"/>
        </w:rPr>
        <w:tab/>
        <w:t>The nature and extent of the prospective intervenor’s interest;</w:t>
      </w:r>
    </w:p>
    <w:p w:rsidR="00B5010F" w:rsidP="00B5010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5010F" w:rsidP="00B5010F">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B5010F" w:rsidP="00B5010F">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B5010F" w:rsidP="00B5010F">
      <w:pPr>
        <w:pStyle w:val="BodyTextIndent3"/>
        <w:spacing w:line="480" w:lineRule="auto"/>
        <w:rPr>
          <w:szCs w:val="24"/>
        </w:rPr>
      </w:pPr>
      <w:r>
        <w:t xml:space="preserve">First, the nature and extent of OCC’s interest is representing </w:t>
      </w:r>
      <w:r w:rsidR="003133BB">
        <w:t>Duke</w:t>
      </w:r>
      <w:r>
        <w:t xml:space="preserve">’s residential customers </w:t>
      </w:r>
      <w:r>
        <w:rPr>
          <w:szCs w:val="24"/>
        </w:rPr>
        <w:t xml:space="preserve">in this case involving an investigation into the </w:t>
      </w:r>
      <w:r w:rsidR="004732E0">
        <w:rPr>
          <w:szCs w:val="24"/>
        </w:rPr>
        <w:t xml:space="preserve">reasonableness </w:t>
      </w:r>
      <w:r>
        <w:rPr>
          <w:szCs w:val="24"/>
        </w:rPr>
        <w:t xml:space="preserve">of costs </w:t>
      </w:r>
      <w:r w:rsidR="003133BB">
        <w:rPr>
          <w:szCs w:val="24"/>
        </w:rPr>
        <w:t>Duke</w:t>
      </w:r>
      <w:r>
        <w:rPr>
          <w:szCs w:val="24"/>
        </w:rPr>
        <w:t xml:space="preserve"> collected from customers. This interest is different than that of any other party and especially different than that of </w:t>
      </w:r>
      <w:r w:rsidR="003133BB">
        <w:rPr>
          <w:szCs w:val="24"/>
        </w:rPr>
        <w:t>the Utility</w:t>
      </w:r>
      <w:r>
        <w:rPr>
          <w:szCs w:val="24"/>
        </w:rPr>
        <w:t xml:space="preserve"> whose advocacy includes the financial interest of stockholders.</w:t>
      </w:r>
    </w:p>
    <w:p w:rsidR="00B5010F" w:rsidP="00B5010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3133BB">
        <w:rPr>
          <w:sz w:val="24"/>
          <w:szCs w:val="24"/>
        </w:rPr>
        <w:t>Duke</w:t>
      </w:r>
      <w:r>
        <w:rPr>
          <w:sz w:val="24"/>
          <w:szCs w:val="24"/>
        </w:rPr>
        <w:t>’s customers should receive adequate service at a reasonable rate under Ohio law.</w:t>
      </w:r>
      <w:r>
        <w:rPr>
          <w:rStyle w:val="FootnoteReference"/>
          <w:sz w:val="24"/>
          <w:szCs w:val="24"/>
        </w:rPr>
        <w:footnoteReference w:id="6"/>
      </w:r>
      <w:r>
        <w:rPr>
          <w:sz w:val="24"/>
          <w:szCs w:val="24"/>
        </w:rPr>
        <w:t xml:space="preserve"> OCC’s position is therefore directly related to the merits of this case that is pending before the PUCO, the authority with regulatory control of public utilities’ rates and service quality in Ohio. </w:t>
      </w:r>
    </w:p>
    <w:p w:rsidR="00B5010F" w:rsidP="00B5010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B5010F" w:rsidP="00B5010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B5010F" w:rsidP="00B5010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w:t>
      </w:r>
    </w:p>
    <w:p w:rsidR="00B5010F" w:rsidP="00B5010F">
      <w:pPr>
        <w:pStyle w:val="WW-BodyTextIndent3"/>
        <w:widowControl w:val="0"/>
        <w:spacing w:line="480" w:lineRule="auto"/>
        <w:ind w:right="-24" w:firstLine="0"/>
        <w:rPr>
          <w:szCs w:val="24"/>
        </w:rPr>
      </w:pPr>
      <w:r>
        <w:rPr>
          <w:szCs w:val="24"/>
        </w:rPr>
        <w:br w:type="page"/>
        <w:t xml:space="preserve">Code 4901-1-11(A)(2). As the advocate for residential utility customers, OCC has a very real and substantial interest in this case in which the PUCO must address whether </w:t>
      </w:r>
      <w:r w:rsidR="003133BB">
        <w:rPr>
          <w:szCs w:val="24"/>
        </w:rPr>
        <w:t>the Utility</w:t>
      </w:r>
      <w:r>
        <w:rPr>
          <w:szCs w:val="24"/>
        </w:rPr>
        <w:t xml:space="preserve"> is providing adequate service under Ohio law. </w:t>
      </w:r>
    </w:p>
    <w:p w:rsidR="00B5010F" w:rsidP="00B5010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B5010F" w:rsidP="00B5010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B5010F" w:rsidP="00B5010F">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Pr>
          <w:szCs w:val="24"/>
        </w:rPr>
        <w:t xml:space="preserve">  </w:t>
      </w:r>
    </w:p>
    <w:p w:rsidR="00B5010F" w:rsidP="00B5010F">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5010F" w:rsidP="00B5010F">
      <w:pPr>
        <w:spacing w:line="480" w:lineRule="auto"/>
        <w:ind w:firstLine="720"/>
        <w:rPr>
          <w:szCs w:val="24"/>
        </w:rPr>
      </w:pPr>
    </w:p>
    <w:p w:rsidR="00B5010F" w:rsidP="00B5010F">
      <w:pPr>
        <w:spacing w:line="480" w:lineRule="auto"/>
        <w:ind w:firstLine="720"/>
        <w:rPr>
          <w:szCs w:val="24"/>
        </w:rPr>
      </w:pPr>
    </w:p>
    <w:p w:rsidR="00B5010F" w:rsidP="00B5010F">
      <w:pPr>
        <w:spacing w:line="480" w:lineRule="auto"/>
        <w:ind w:left="3600" w:firstLine="720"/>
        <w:rPr>
          <w:szCs w:val="24"/>
        </w:rPr>
      </w:pPr>
      <w:r>
        <w:rPr>
          <w:szCs w:val="24"/>
        </w:rPr>
        <w:t>Respectfully submitted,</w:t>
      </w:r>
    </w:p>
    <w:p w:rsidR="00B5010F" w:rsidP="00B5010F">
      <w:pPr>
        <w:pStyle w:val="Footer"/>
        <w:tabs>
          <w:tab w:val="left" w:pos="4320"/>
          <w:tab w:val="clear" w:pos="8640"/>
        </w:tabs>
        <w:spacing w:before="240"/>
        <w:rPr>
          <w:sz w:val="24"/>
          <w:szCs w:val="24"/>
        </w:rPr>
      </w:pPr>
      <w:r>
        <w:rPr>
          <w:sz w:val="24"/>
          <w:szCs w:val="24"/>
        </w:rPr>
        <w:tab/>
        <w:t xml:space="preserve">BRUCE </w:t>
      </w:r>
      <w:r>
        <w:rPr>
          <w:sz w:val="24"/>
          <w:szCs w:val="24"/>
        </w:rPr>
        <w:t>WESTON (0016973)</w:t>
      </w:r>
    </w:p>
    <w:p w:rsidR="00B5010F" w:rsidP="00B5010F">
      <w:pPr>
        <w:tabs>
          <w:tab w:val="left" w:pos="4320"/>
        </w:tabs>
        <w:rPr>
          <w:szCs w:val="24"/>
        </w:rPr>
      </w:pPr>
      <w:r>
        <w:rPr>
          <w:szCs w:val="24"/>
        </w:rPr>
        <w:tab/>
        <w:t>OHIO CONSUMERS’ COUNSEL</w:t>
      </w:r>
    </w:p>
    <w:p w:rsidR="00B5010F" w:rsidP="00B5010F">
      <w:pPr>
        <w:tabs>
          <w:tab w:val="left" w:pos="4320"/>
        </w:tabs>
        <w:rPr>
          <w:szCs w:val="24"/>
        </w:rPr>
      </w:pPr>
      <w:r>
        <w:rPr>
          <w:szCs w:val="24"/>
        </w:rPr>
        <w:tab/>
      </w:r>
    </w:p>
    <w:p w:rsidR="00B5010F" w:rsidP="00B5010F">
      <w:pPr>
        <w:autoSpaceDE w:val="0"/>
        <w:autoSpaceDN w:val="0"/>
        <w:adjustRightInd w:val="0"/>
        <w:ind w:left="4320"/>
        <w:rPr>
          <w:i/>
        </w:rPr>
      </w:pPr>
      <w:r>
        <w:rPr>
          <w:i/>
          <w:u w:val="single"/>
        </w:rPr>
        <w:t>/s/ Jodi Bair                          </w:t>
      </w:r>
    </w:p>
    <w:p w:rsidR="00B5010F" w:rsidP="00B5010F">
      <w:pPr>
        <w:tabs>
          <w:tab w:val="left" w:pos="4320"/>
        </w:tabs>
        <w:ind w:left="4320"/>
        <w:rPr>
          <w:szCs w:val="24"/>
        </w:rPr>
      </w:pPr>
      <w:r>
        <w:rPr>
          <w:szCs w:val="24"/>
        </w:rPr>
        <w:t>Jodi Bair, (0062921) Counsel of Record</w:t>
      </w:r>
    </w:p>
    <w:p w:rsidR="00B5010F" w:rsidP="00B5010F">
      <w:pPr>
        <w:tabs>
          <w:tab w:val="left" w:pos="4320"/>
        </w:tabs>
        <w:ind w:left="4320"/>
        <w:rPr>
          <w:szCs w:val="24"/>
        </w:rPr>
      </w:pPr>
      <w:r>
        <w:rPr>
          <w:szCs w:val="24"/>
        </w:rPr>
        <w:t>Assistant Consumers’ Counsel</w:t>
      </w:r>
    </w:p>
    <w:p w:rsidR="00B5010F" w:rsidP="00B5010F">
      <w:pPr>
        <w:pStyle w:val="Heading1"/>
        <w:spacing w:before="120"/>
        <w:ind w:left="4320"/>
        <w:rPr>
          <w:u w:val="none"/>
        </w:rPr>
      </w:pPr>
      <w:r>
        <w:rPr>
          <w:u w:val="none"/>
        </w:rPr>
        <w:t>Office of the Ohio Consumers’ Counsel</w:t>
      </w:r>
    </w:p>
    <w:p w:rsidR="00B5010F" w:rsidP="00B5010F">
      <w:pPr>
        <w:pStyle w:val="Heading1"/>
        <w:ind w:left="4320"/>
        <w:rPr>
          <w:b w:val="0"/>
          <w:u w:val="none"/>
        </w:rPr>
      </w:pPr>
      <w:r>
        <w:rPr>
          <w:b w:val="0"/>
          <w:u w:val="none"/>
        </w:rPr>
        <w:t>10 West Broad Street, Suite 1800</w:t>
      </w:r>
    </w:p>
    <w:p w:rsidR="00B5010F" w:rsidP="00B5010F">
      <w:pPr>
        <w:pStyle w:val="Heading1"/>
        <w:ind w:left="4320"/>
        <w:rPr>
          <w:b w:val="0"/>
          <w:u w:val="none"/>
        </w:rPr>
      </w:pPr>
      <w:r>
        <w:rPr>
          <w:b w:val="0"/>
          <w:u w:val="none"/>
        </w:rPr>
        <w:t>Columbus, Ohio 43215-3485</w:t>
      </w:r>
    </w:p>
    <w:p w:rsidR="00B5010F" w:rsidP="00B5010F">
      <w:pPr>
        <w:autoSpaceDE w:val="0"/>
        <w:autoSpaceDN w:val="0"/>
        <w:adjustRightInd w:val="0"/>
        <w:ind w:left="4320"/>
        <w:rPr>
          <w:szCs w:val="24"/>
        </w:rPr>
      </w:pPr>
      <w:r>
        <w:rPr>
          <w:szCs w:val="24"/>
        </w:rPr>
        <w:t xml:space="preserve">Telephone: </w:t>
      </w:r>
      <w:r>
        <w:rPr>
          <w:szCs w:val="24"/>
        </w:rPr>
        <w:t>Bair – (614) 466-9559</w:t>
      </w:r>
    </w:p>
    <w:p w:rsidR="00B5010F" w:rsidP="00B5010F">
      <w:pPr>
        <w:autoSpaceDE w:val="0"/>
        <w:autoSpaceDN w:val="0"/>
        <w:adjustRightInd w:val="0"/>
        <w:ind w:left="4320"/>
        <w:rPr>
          <w:szCs w:val="24"/>
        </w:rPr>
      </w:pPr>
      <w:r>
        <w:fldChar w:fldCharType="begin"/>
      </w:r>
      <w:r>
        <w:instrText xml:space="preserve"> HYPERLINK "mailto:Jodi.bair@occ.ohio.gov" </w:instrText>
      </w:r>
      <w:r>
        <w:fldChar w:fldCharType="separate"/>
      </w:r>
      <w:r w:rsidRPr="00620E70">
        <w:rPr>
          <w:rStyle w:val="Hyperlink"/>
          <w:szCs w:val="24"/>
        </w:rPr>
        <w:t>Jodi.bair@occ.ohio.gov</w:t>
      </w:r>
      <w:r>
        <w:fldChar w:fldCharType="end"/>
      </w:r>
    </w:p>
    <w:p w:rsidR="00B5010F" w:rsidP="00B5010F">
      <w:pPr>
        <w:ind w:left="4320"/>
        <w:rPr>
          <w:szCs w:val="24"/>
        </w:rPr>
      </w:pPr>
      <w:r>
        <w:rPr>
          <w:szCs w:val="24"/>
        </w:rPr>
        <w:t>(</w:t>
      </w:r>
      <w:r w:rsidR="00FF51A2">
        <w:rPr>
          <w:szCs w:val="24"/>
        </w:rPr>
        <w:t>W</w:t>
      </w:r>
      <w:r>
        <w:rPr>
          <w:szCs w:val="24"/>
        </w:rPr>
        <w:t>ill accept service via email)</w:t>
      </w:r>
    </w:p>
    <w:p w:rsidR="00B5010F" w:rsidP="00B5010F">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217574" w:rsidP="00B5010F">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B5010F" w:rsidP="00B5010F">
      <w:pPr>
        <w:jc w:val="center"/>
        <w:rPr>
          <w:b/>
          <w:bCs/>
          <w:u w:val="single"/>
        </w:rPr>
      </w:pPr>
      <w:r>
        <w:rPr>
          <w:b/>
          <w:bCs/>
          <w:u w:val="single"/>
        </w:rPr>
        <w:t>CERTIFICATE OF SERVICE</w:t>
      </w:r>
    </w:p>
    <w:p w:rsidR="00B5010F" w:rsidP="00470BDD">
      <w:pPr>
        <w:spacing w:line="480" w:lineRule="atLeast"/>
        <w:ind w:firstLine="720"/>
      </w:pPr>
      <w:r>
        <w:t xml:space="preserve">I hereby certify that a copy of this </w:t>
      </w:r>
      <w:r>
        <w:rPr>
          <w:i/>
        </w:rPr>
        <w:t>Motion to Intervene</w:t>
      </w:r>
      <w:r>
        <w:t xml:space="preserve"> was served on the persons stated below </w:t>
      </w:r>
      <w:r w:rsidRPr="00E479FE">
        <w:t>via</w:t>
      </w:r>
      <w:r>
        <w:t xml:space="preserve"> electronic transmission, this</w:t>
      </w:r>
      <w:r w:rsidR="00F77194">
        <w:t xml:space="preserve"> 13th</w:t>
      </w:r>
      <w:r>
        <w:t xml:space="preserve"> day of June, 2017.</w:t>
      </w:r>
    </w:p>
    <w:p w:rsidR="00B5010F" w:rsidP="00B5010F">
      <w:pPr>
        <w:spacing w:line="480" w:lineRule="atLeast"/>
      </w:pPr>
    </w:p>
    <w:p w:rsidR="00B5010F" w:rsidP="00B5010F">
      <w:pPr>
        <w:tabs>
          <w:tab w:val="left" w:pos="4320"/>
        </w:tabs>
      </w:pPr>
      <w:r>
        <w:tab/>
      </w:r>
      <w:r>
        <w:rPr>
          <w:i/>
          <w:u w:val="single"/>
        </w:rPr>
        <w:t>/s/ Jodi Bair</w:t>
      </w:r>
      <w:r>
        <w:t>_________</w:t>
      </w:r>
    </w:p>
    <w:p w:rsidR="00B5010F" w:rsidP="00B5010F">
      <w:pPr>
        <w:tabs>
          <w:tab w:val="left" w:pos="4320"/>
        </w:tabs>
      </w:pPr>
      <w:r>
        <w:tab/>
        <w:t>Jodi Bair</w:t>
      </w:r>
    </w:p>
    <w:p w:rsidR="00B5010F" w:rsidP="00B5010F">
      <w:pPr>
        <w:tabs>
          <w:tab w:val="left" w:pos="4320"/>
        </w:tabs>
      </w:pPr>
      <w:r>
        <w:tab/>
        <w:t>Assistant Consumers’ Counsel</w:t>
      </w:r>
    </w:p>
    <w:p w:rsidR="00B5010F" w:rsidP="00B5010F">
      <w:pPr>
        <w:pStyle w:val="CommentSubject"/>
      </w:pPr>
    </w:p>
    <w:p w:rsidR="00B5010F" w:rsidP="00B5010F">
      <w:pPr>
        <w:pStyle w:val="CommentText"/>
      </w:pPr>
    </w:p>
    <w:p w:rsidR="00B5010F" w:rsidP="00B5010F">
      <w:pPr>
        <w:pStyle w:val="CommentText"/>
        <w:jc w:val="center"/>
        <w:rPr>
          <w:b/>
          <w:u w:val="single"/>
        </w:rPr>
      </w:pPr>
      <w:r>
        <w:rPr>
          <w:b/>
          <w:u w:val="single"/>
        </w:rPr>
        <w:t>SERVICE LIST</w:t>
      </w:r>
    </w:p>
    <w:p w:rsidR="00B5010F" w:rsidP="00B5010F">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21757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17574" w:rsidP="00B5010F">
            <w:pPr>
              <w:pStyle w:val="BodyText"/>
              <w:spacing w:after="0" w:line="240" w:lineRule="auto"/>
              <w:jc w:val="both"/>
              <w:rPr>
                <w:rStyle w:val="DefaultParagraphFont"/>
                <w:rFonts w:ascii="Times New Roman" w:eastAsia="Times New Roman" w:hAnsi="Times New Roman" w:cs="Times New Roman"/>
                <w:b/>
                <w:bCs/>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"mailto:William.wright@ohioattorneygeneral.gov" </w:instrText>
            </w:r>
            <w:r>
              <w:fldChar w:fldCharType="separate"/>
            </w:r>
            <w:r w:rsidRPr="008A7568">
              <w:rPr>
                <w:rStyle w:val="Hyperlink"/>
                <w:rFonts w:ascii="Times New Roman" w:eastAsia="Times New Roman" w:hAnsi="Times New Roman" w:cs="Times New Roman"/>
                <w:color w:val="0000FF"/>
                <w:sz w:val="24"/>
                <w:szCs w:val="20"/>
                <w:u w:val="single"/>
                <w:lang w:val="en-US" w:eastAsia="en-US" w:bidi="ar-SA"/>
              </w:rPr>
              <w:t>William.wright@ohioattorneygeneral.gov</w:t>
            </w:r>
            <w:r>
              <w:fldChar w:fldCharType="end"/>
            </w:r>
            <w:r>
              <w:rPr>
                <w:rFonts w:ascii="Times New Roman" w:eastAsia="Times New Roman" w:hAnsi="Times New Roman" w:cs="Times New Roman"/>
                <w:b/>
                <w:bCs/>
                <w:sz w:val="24"/>
                <w:szCs w:val="20"/>
                <w:lang w:val="en-US" w:eastAsia="en-US" w:bidi="ar-SA"/>
              </w:rPr>
              <w:t xml:space="preserve"> </w:t>
            </w:r>
          </w:p>
        </w:tc>
        <w:tc>
          <w:tcPr>
            <w:tcW w:w="4428" w:type="dxa"/>
          </w:tcPr>
          <w:p w:rsidR="00217574" w:rsidP="00B5010F">
            <w:pPr>
              <w:pStyle w:val="BodyText"/>
              <w:spacing w:after="0" w:line="240" w:lineRule="auto"/>
              <w:jc w:val="both"/>
              <w:rPr>
                <w:rStyle w:val="DefaultParagraphFont"/>
                <w:rFonts w:ascii="Times New Roman" w:eastAsia="Times New Roman" w:hAnsi="Times New Roman" w:cs="Times New Roman"/>
                <w:b/>
                <w:bCs/>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8A7568">
              <w:rPr>
                <w:rStyle w:val="Hyperlink"/>
                <w:rFonts w:ascii="Times New Roman" w:eastAsia="Times New Roman" w:hAnsi="Times New Roman" w:cs="Times New Roman"/>
                <w:color w:val="0000FF"/>
                <w:sz w:val="24"/>
                <w:szCs w:val="20"/>
                <w:u w:val="single"/>
                <w:lang w:val="en-US" w:eastAsia="en-US" w:bidi="ar-SA"/>
              </w:rPr>
              <w:t>Elizabeth.watts@duke-energy.com</w:t>
            </w:r>
            <w:r>
              <w:fldChar w:fldCharType="end"/>
            </w:r>
            <w:r>
              <w:rPr>
                <w:rFonts w:ascii="Times New Roman" w:eastAsia="Times New Roman" w:hAnsi="Times New Roman" w:cs="Times New Roman"/>
                <w:b/>
                <w:bCs/>
                <w:sz w:val="24"/>
                <w:szCs w:val="20"/>
                <w:lang w:val="en-US" w:eastAsia="en-US" w:bidi="ar-SA"/>
              </w:rPr>
              <w:t xml:space="preserve"> </w:t>
            </w:r>
          </w:p>
        </w:tc>
      </w:tr>
    </w:tbl>
    <w:p w:rsidR="00B5010F" w:rsidP="00B5010F">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50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rsidRPr="004A1A79">
    <w:pPr>
      <w:pStyle w:val="Footer"/>
      <w:jc w:val="center"/>
      <w:rPr>
        <w:sz w:val="24"/>
        <w:szCs w:val="24"/>
      </w:rPr>
    </w:pPr>
    <w:r w:rsidRPr="004A1A79">
      <w:rPr>
        <w:rStyle w:val="PageNumber"/>
        <w:sz w:val="24"/>
        <w:szCs w:val="24"/>
      </w:rPr>
      <w:fldChar w:fldCharType="begin"/>
    </w:r>
    <w:r w:rsidRPr="004A1A79">
      <w:rPr>
        <w:rStyle w:val="PageNumber"/>
        <w:sz w:val="24"/>
        <w:szCs w:val="24"/>
      </w:rPr>
      <w:instrText xml:space="preserve"> PAGE </w:instrText>
    </w:r>
    <w:r w:rsidRPr="004A1A79">
      <w:rPr>
        <w:rStyle w:val="PageNumber"/>
        <w:sz w:val="24"/>
        <w:szCs w:val="24"/>
      </w:rPr>
      <w:fldChar w:fldCharType="separate"/>
    </w:r>
    <w:r w:rsidR="00E0762B">
      <w:rPr>
        <w:rStyle w:val="PageNumber"/>
        <w:noProof/>
        <w:sz w:val="24"/>
        <w:szCs w:val="24"/>
      </w:rPr>
      <w:t>2</w:t>
    </w:r>
    <w:r w:rsidRPr="004A1A79">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6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4A1A79">
    <w:pPr>
      <w:pStyle w:val="Footer"/>
      <w:framePr w:wrap="around" w:vAnchor="text" w:hAnchor="margin" w:xAlign="center" w:y="1"/>
      <w:jc w:val="center"/>
      <w:rPr>
        <w:rStyle w:val="PageNumber"/>
        <w:sz w:val="24"/>
        <w:szCs w:val="24"/>
      </w:rPr>
    </w:pPr>
    <w:r w:rsidRPr="004A1A79">
      <w:rPr>
        <w:rStyle w:val="PageNumber"/>
        <w:sz w:val="24"/>
        <w:szCs w:val="24"/>
      </w:rPr>
      <w:fldChar w:fldCharType="begin"/>
    </w:r>
    <w:r w:rsidRPr="004A1A79">
      <w:rPr>
        <w:rStyle w:val="PageNumber"/>
        <w:sz w:val="24"/>
        <w:szCs w:val="24"/>
      </w:rPr>
      <w:instrText xml:space="preserve">PAGE  </w:instrText>
    </w:r>
    <w:r w:rsidRPr="004A1A79">
      <w:rPr>
        <w:rStyle w:val="PageNumber"/>
        <w:sz w:val="24"/>
        <w:szCs w:val="24"/>
      </w:rPr>
      <w:fldChar w:fldCharType="separate"/>
    </w:r>
    <w:r w:rsidR="009301B3">
      <w:rPr>
        <w:rStyle w:val="PageNumber"/>
        <w:noProof/>
        <w:sz w:val="24"/>
        <w:szCs w:val="24"/>
      </w:rPr>
      <w:t>4</w:t>
    </w:r>
    <w:r w:rsidRPr="004A1A79">
      <w:rPr>
        <w:rStyle w:val="PageNumber"/>
        <w:sz w:val="24"/>
        <w:szCs w:val="24"/>
      </w:rPr>
      <w:fldChar w:fldCharType="end"/>
    </w:r>
  </w:p>
  <w:p w:rsidR="00A044B5" w:rsidRPr="004A1A79">
    <w:pPr>
      <w:pStyle w:val="Footer"/>
      <w:framePr w:wrap="around" w:vAnchor="text" w:hAnchor="margin" w:xAlign="center" w:y="1"/>
      <w:rPr>
        <w:rStyle w:val="PageNumber"/>
      </w:rPr>
    </w:pPr>
  </w:p>
  <w:p w:rsidR="00A044B5" w:rsidRPr="004A1A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4A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372F" w:rsidP="00B5010F">
      <w:r>
        <w:separator/>
      </w:r>
    </w:p>
  </w:footnote>
  <w:footnote w:type="continuationSeparator" w:id="1">
    <w:p w:rsidR="0050372F" w:rsidP="00B5010F">
      <w:r>
        <w:continuationSeparator/>
      </w:r>
    </w:p>
  </w:footnote>
  <w:footnote w:id="2">
    <w:p w:rsidR="0000537B" w:rsidP="00B51B83">
      <w:pPr>
        <w:pStyle w:val="FootnoteText"/>
        <w:spacing w:after="120"/>
      </w:pPr>
      <w:r>
        <w:rPr>
          <w:rStyle w:val="FootnoteReference"/>
        </w:rPr>
        <w:footnoteRef/>
      </w:r>
      <w:r w:rsidRPr="00A4260D">
        <w:rPr>
          <w:i/>
        </w:rPr>
        <w:t>In the Matter of application of Duke Energy Ohio, Inc. for Authority to Establish a Standard Service Offer Pursuant to R.C. 4928.143 in the Form of an Electric Security Plan, Accounting Modifications, and Tariffs for Generation Service</w:t>
      </w:r>
      <w:r>
        <w:t xml:space="preserve">, Case No. 14-841-EL-SS at 72 (April 2, 2015). </w:t>
      </w:r>
    </w:p>
  </w:footnote>
  <w:footnote w:id="3">
    <w:p w:rsidR="004732E0" w:rsidP="00B51B83">
      <w:pPr>
        <w:pStyle w:val="FootnoteText"/>
        <w:spacing w:after="120"/>
      </w:pPr>
      <w:r>
        <w:rPr>
          <w:rStyle w:val="FootnoteReference"/>
        </w:rPr>
        <w:footnoteRef/>
      </w:r>
      <w:r>
        <w:t xml:space="preserve"> </w:t>
      </w:r>
      <w:r w:rsidRPr="0000537B">
        <w:rPr>
          <w:i/>
        </w:rPr>
        <w:t>Id</w:t>
      </w:r>
      <w:r>
        <w:t>.</w:t>
      </w:r>
    </w:p>
  </w:footnote>
  <w:footnote w:id="4">
    <w:p w:rsidR="00EB0A3B" w:rsidP="00B51B83">
      <w:pPr>
        <w:pStyle w:val="FootnoteText"/>
        <w:spacing w:after="120"/>
      </w:pPr>
      <w:r>
        <w:rPr>
          <w:rStyle w:val="FootnoteReference"/>
        </w:rPr>
        <w:footnoteRef/>
      </w:r>
      <w:r>
        <w:t xml:space="preserve"> Duke Tariff Sheet No. 103.7 (Effective March 31, 2017).</w:t>
      </w:r>
    </w:p>
  </w:footnote>
  <w:footnote w:id="5">
    <w:p w:rsidR="00B5010F" w:rsidP="00B51B83">
      <w:pPr>
        <w:pStyle w:val="FootnoteText"/>
        <w:spacing w:after="120"/>
      </w:pPr>
      <w:r>
        <w:rPr>
          <w:rStyle w:val="FootnoteReference"/>
        </w:rPr>
        <w:footnoteRef/>
      </w:r>
      <w:r>
        <w:t xml:space="preserve"> </w:t>
      </w:r>
      <w:r>
        <w:rPr>
          <w:i/>
        </w:rPr>
        <w:t>See</w:t>
      </w:r>
      <w:r>
        <w:t xml:space="preserve"> R.C. Chapter 4911, R.C. 4903.221, and Ohio Adm. Code 4901-1-11.</w:t>
      </w:r>
    </w:p>
  </w:footnote>
  <w:footnote w:id="6">
    <w:p w:rsidR="00B5010F" w:rsidP="00B51B83">
      <w:pPr>
        <w:pStyle w:val="FootnoteText"/>
        <w:spacing w:after="120"/>
      </w:pPr>
      <w:r>
        <w:rPr>
          <w:rStyle w:val="FootnoteReference"/>
        </w:rPr>
        <w:footnoteRef/>
      </w:r>
      <w:r>
        <w:t xml:space="preserve"> R.C. 4905.22. </w:t>
      </w:r>
    </w:p>
  </w:footnote>
  <w:footnote w:id="7">
    <w:p w:rsidR="00B5010F" w:rsidP="00B51B83">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6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0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010F"/>
    <w:pPr>
      <w:keepNext/>
      <w:outlineLvl w:val="0"/>
    </w:pPr>
    <w:rPr>
      <w:b/>
      <w:szCs w:val="24"/>
      <w:u w:val="single"/>
    </w:rPr>
  </w:style>
  <w:style w:type="paragraph" w:styleId="Heading2">
    <w:name w:val="heading 2"/>
    <w:basedOn w:val="Normal"/>
    <w:next w:val="Normal"/>
    <w:link w:val="Heading2Char"/>
    <w:qFormat/>
    <w:rsid w:val="00B5010F"/>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10F"/>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B5010F"/>
    <w:rPr>
      <w:rFonts w:ascii="Times New Roman" w:eastAsia="Times New Roman" w:hAnsi="Times New Roman" w:cs="Times New Roman"/>
      <w:b/>
      <w:sz w:val="24"/>
      <w:szCs w:val="20"/>
    </w:rPr>
  </w:style>
  <w:style w:type="paragraph" w:styleId="HTMLPreformatted">
    <w:name w:val="HTML Preformatted"/>
    <w:basedOn w:val="Normal"/>
    <w:link w:val="HTMLPreformattedChar"/>
    <w:rsid w:val="00B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B5010F"/>
    <w:rPr>
      <w:rFonts w:ascii="Courier New" w:eastAsia="Courier New" w:hAnsi="Courier New" w:cs="Courier New"/>
      <w:sz w:val="20"/>
      <w:szCs w:val="20"/>
    </w:rPr>
  </w:style>
  <w:style w:type="paragraph" w:styleId="Footer">
    <w:name w:val="footer"/>
    <w:basedOn w:val="Normal"/>
    <w:link w:val="FooterChar"/>
    <w:rsid w:val="00B5010F"/>
    <w:pPr>
      <w:tabs>
        <w:tab w:val="center" w:pos="4320"/>
        <w:tab w:val="right" w:pos="8640"/>
      </w:tabs>
    </w:pPr>
    <w:rPr>
      <w:sz w:val="20"/>
    </w:rPr>
  </w:style>
  <w:style w:type="character" w:customStyle="1" w:styleId="FooterChar">
    <w:name w:val="Footer Char"/>
    <w:basedOn w:val="DefaultParagraphFont"/>
    <w:link w:val="Footer"/>
    <w:rsid w:val="00B5010F"/>
    <w:rPr>
      <w:rFonts w:ascii="Times New Roman" w:eastAsia="Times New Roman" w:hAnsi="Times New Roman" w:cs="Times New Roman"/>
      <w:sz w:val="20"/>
      <w:szCs w:val="20"/>
    </w:rPr>
  </w:style>
  <w:style w:type="character" w:styleId="Hyperlink">
    <w:name w:val="Hyperlink"/>
    <w:rsid w:val="00B5010F"/>
    <w:rPr>
      <w:color w:val="0000FF"/>
      <w:u w:val="single"/>
    </w:rPr>
  </w:style>
  <w:style w:type="paragraph" w:styleId="FootnoteText">
    <w:name w:val="footnote text"/>
    <w:basedOn w:val="Normal"/>
    <w:link w:val="FootnoteTextChar"/>
    <w:semiHidden/>
    <w:rsid w:val="00B5010F"/>
    <w:rPr>
      <w:sz w:val="20"/>
    </w:rPr>
  </w:style>
  <w:style w:type="character" w:customStyle="1" w:styleId="FootnoteTextChar">
    <w:name w:val="Footnote Text Char"/>
    <w:basedOn w:val="DefaultParagraphFont"/>
    <w:link w:val="FootnoteText"/>
    <w:semiHidden/>
    <w:rsid w:val="00B5010F"/>
    <w:rPr>
      <w:rFonts w:ascii="Times New Roman" w:eastAsia="Times New Roman" w:hAnsi="Times New Roman" w:cs="Times New Roman"/>
      <w:sz w:val="20"/>
      <w:szCs w:val="20"/>
    </w:rPr>
  </w:style>
  <w:style w:type="character" w:styleId="FootnoteReference">
    <w:name w:val="footnote reference"/>
    <w:semiHidden/>
    <w:rsid w:val="00B5010F"/>
    <w:rPr>
      <w:vertAlign w:val="superscript"/>
    </w:rPr>
  </w:style>
  <w:style w:type="paragraph" w:styleId="BodyTextIndent">
    <w:name w:val="Body Text Indent"/>
    <w:basedOn w:val="Normal"/>
    <w:link w:val="BodyTextIndentChar"/>
    <w:rsid w:val="00B5010F"/>
    <w:pPr>
      <w:spacing w:line="480" w:lineRule="auto"/>
      <w:ind w:firstLine="720"/>
    </w:pPr>
  </w:style>
  <w:style w:type="character" w:customStyle="1" w:styleId="BodyTextIndentChar">
    <w:name w:val="Body Text Indent Char"/>
    <w:basedOn w:val="DefaultParagraphFont"/>
    <w:link w:val="BodyTextIndent"/>
    <w:rsid w:val="00B5010F"/>
    <w:rPr>
      <w:rFonts w:ascii="Times New Roman" w:eastAsia="Times New Roman" w:hAnsi="Times New Roman" w:cs="Times New Roman"/>
      <w:sz w:val="24"/>
      <w:szCs w:val="20"/>
    </w:rPr>
  </w:style>
  <w:style w:type="paragraph" w:styleId="BodyTextIndent3">
    <w:name w:val="Body Text Indent 3"/>
    <w:basedOn w:val="Normal"/>
    <w:link w:val="BodyTextIndent3Char"/>
    <w:rsid w:val="00B5010F"/>
    <w:pPr>
      <w:spacing w:line="480" w:lineRule="atLeast"/>
      <w:ind w:firstLine="720"/>
    </w:pPr>
  </w:style>
  <w:style w:type="character" w:customStyle="1" w:styleId="BodyTextIndent3Char">
    <w:name w:val="Body Text Indent 3 Char"/>
    <w:basedOn w:val="DefaultParagraphFont"/>
    <w:link w:val="BodyTextIndent3"/>
    <w:rsid w:val="00B5010F"/>
    <w:rPr>
      <w:rFonts w:ascii="Times New Roman" w:eastAsia="Times New Roman" w:hAnsi="Times New Roman" w:cs="Times New Roman"/>
      <w:sz w:val="24"/>
      <w:szCs w:val="20"/>
    </w:rPr>
  </w:style>
  <w:style w:type="paragraph" w:styleId="BodyTextIndent2">
    <w:name w:val="Body Text Indent 2"/>
    <w:basedOn w:val="Normal"/>
    <w:link w:val="BodyTextIndent2Char"/>
    <w:rsid w:val="00B5010F"/>
    <w:pPr>
      <w:tabs>
        <w:tab w:val="left" w:pos="720"/>
      </w:tabs>
      <w:spacing w:before="240" w:after="240"/>
      <w:ind w:left="1464" w:hanging="744"/>
    </w:pPr>
  </w:style>
  <w:style w:type="character" w:customStyle="1" w:styleId="BodyTextIndent2Char">
    <w:name w:val="Body Text Indent 2 Char"/>
    <w:basedOn w:val="DefaultParagraphFont"/>
    <w:link w:val="BodyTextIndent2"/>
    <w:rsid w:val="00B5010F"/>
    <w:rPr>
      <w:rFonts w:ascii="Times New Roman" w:eastAsia="Times New Roman" w:hAnsi="Times New Roman" w:cs="Times New Roman"/>
      <w:sz w:val="24"/>
      <w:szCs w:val="20"/>
    </w:rPr>
  </w:style>
  <w:style w:type="character" w:styleId="PageNumber">
    <w:name w:val="page number"/>
    <w:basedOn w:val="DefaultParagraphFont"/>
    <w:rsid w:val="00B5010F"/>
  </w:style>
  <w:style w:type="paragraph" w:styleId="BodyText">
    <w:name w:val="Body Text"/>
    <w:basedOn w:val="Normal"/>
    <w:link w:val="BodyTextChar"/>
    <w:rsid w:val="00B5010F"/>
    <w:pPr>
      <w:jc w:val="both"/>
    </w:pPr>
  </w:style>
  <w:style w:type="character" w:customStyle="1" w:styleId="BodyTextChar">
    <w:name w:val="Body Text Char"/>
    <w:basedOn w:val="DefaultParagraphFont"/>
    <w:link w:val="BodyText"/>
    <w:rsid w:val="00B5010F"/>
    <w:rPr>
      <w:rFonts w:ascii="Times New Roman" w:eastAsia="Times New Roman" w:hAnsi="Times New Roman" w:cs="Times New Roman"/>
      <w:sz w:val="24"/>
      <w:szCs w:val="20"/>
    </w:rPr>
  </w:style>
  <w:style w:type="paragraph" w:styleId="Header">
    <w:name w:val="header"/>
    <w:basedOn w:val="Normal"/>
    <w:link w:val="HeaderChar"/>
    <w:rsid w:val="00B5010F"/>
    <w:pPr>
      <w:tabs>
        <w:tab w:val="center" w:pos="4320"/>
        <w:tab w:val="right" w:pos="8640"/>
      </w:tabs>
    </w:pPr>
  </w:style>
  <w:style w:type="character" w:customStyle="1" w:styleId="HeaderChar">
    <w:name w:val="Header Char"/>
    <w:basedOn w:val="DefaultParagraphFont"/>
    <w:link w:val="Header"/>
    <w:rsid w:val="00B5010F"/>
    <w:rPr>
      <w:rFonts w:ascii="Times New Roman" w:eastAsia="Times New Roman" w:hAnsi="Times New Roman" w:cs="Times New Roman"/>
      <w:sz w:val="24"/>
      <w:szCs w:val="20"/>
    </w:rPr>
  </w:style>
  <w:style w:type="paragraph" w:styleId="CommentText">
    <w:name w:val="annotation text"/>
    <w:basedOn w:val="Normal"/>
    <w:link w:val="CommentTextChar"/>
    <w:semiHidden/>
    <w:rsid w:val="00B5010F"/>
    <w:rPr>
      <w:szCs w:val="24"/>
    </w:rPr>
  </w:style>
  <w:style w:type="character" w:customStyle="1" w:styleId="CommentTextChar">
    <w:name w:val="Comment Text Char"/>
    <w:basedOn w:val="DefaultParagraphFont"/>
    <w:link w:val="CommentText"/>
    <w:semiHidden/>
    <w:rsid w:val="00B501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B5010F"/>
    <w:rPr>
      <w:szCs w:val="20"/>
    </w:rPr>
  </w:style>
  <w:style w:type="character" w:customStyle="1" w:styleId="CommentSubjectChar">
    <w:name w:val="Comment Subject Char"/>
    <w:basedOn w:val="CommentTextChar"/>
    <w:link w:val="CommentSubject"/>
    <w:semiHidden/>
    <w:rsid w:val="00B5010F"/>
    <w:rPr>
      <w:rFonts w:ascii="Times New Roman" w:eastAsia="Times New Roman" w:hAnsi="Times New Roman" w:cs="Times New Roman"/>
      <w:sz w:val="24"/>
      <w:szCs w:val="20"/>
    </w:rPr>
  </w:style>
  <w:style w:type="paragraph" w:customStyle="1" w:styleId="WW-BodyTextIndent3">
    <w:name w:val="WW-Body Text Indent 3"/>
    <w:basedOn w:val="Normal"/>
    <w:rsid w:val="00B5010F"/>
    <w:pPr>
      <w:suppressAutoHyphens/>
      <w:spacing w:line="480" w:lineRule="atLeast"/>
      <w:ind w:firstLine="720"/>
    </w:pPr>
    <w:rPr>
      <w:lang w:eastAsia="ar-SA"/>
    </w:rPr>
  </w:style>
  <w:style w:type="table" w:styleId="TableGrid">
    <w:name w:val="Table Grid"/>
    <w:basedOn w:val="TableNormal"/>
    <w:uiPriority w:val="59"/>
    <w:unhideWhenUsed/>
    <w:rsid w:val="0021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6BE"/>
    <w:rPr>
      <w:rFonts w:ascii="Tahoma" w:hAnsi="Tahoma" w:cs="Tahoma"/>
      <w:sz w:val="16"/>
      <w:szCs w:val="16"/>
    </w:rPr>
  </w:style>
  <w:style w:type="character" w:customStyle="1" w:styleId="BalloonTextChar">
    <w:name w:val="Balloon Text Char"/>
    <w:basedOn w:val="DefaultParagraphFont"/>
    <w:link w:val="BalloonText"/>
    <w:uiPriority w:val="99"/>
    <w:semiHidden/>
    <w:rsid w:val="004A16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17-1118-EL-RDR Motion to Intervene.docx Read-Only.docx ls.docx</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2017-06-13T20:58:24Z</dcterms:created>
  <dcterms:modified xsi:type="dcterms:W3CDTF">2017-06-13T20:58:24Z</dcterms:modified>
</cp:coreProperties>
</file>