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4D" w:rsidRPr="003C72A8" w:rsidRDefault="000D654D" w:rsidP="000D654D">
      <w:pPr>
        <w:spacing w:after="0" w:line="240" w:lineRule="auto"/>
        <w:jc w:val="center"/>
        <w:rPr>
          <w:rFonts w:ascii="Times New Roman" w:hAnsi="Times New Roman" w:cs="Times New Roman"/>
          <w:b/>
          <w:sz w:val="26"/>
          <w:szCs w:val="26"/>
        </w:rPr>
      </w:pPr>
      <w:r w:rsidRPr="003C72A8">
        <w:rPr>
          <w:rFonts w:ascii="Times New Roman" w:hAnsi="Times New Roman" w:cs="Times New Roman"/>
          <w:b/>
          <w:sz w:val="26"/>
          <w:szCs w:val="26"/>
        </w:rPr>
        <w:t>BEFORE</w:t>
      </w:r>
    </w:p>
    <w:p w:rsidR="000D654D" w:rsidRPr="003C72A8" w:rsidRDefault="000D654D" w:rsidP="000D654D">
      <w:pPr>
        <w:spacing w:after="0" w:line="240" w:lineRule="auto"/>
        <w:jc w:val="center"/>
        <w:rPr>
          <w:rFonts w:ascii="Times New Roman" w:hAnsi="Times New Roman" w:cs="Times New Roman"/>
          <w:b/>
          <w:sz w:val="26"/>
          <w:szCs w:val="26"/>
        </w:rPr>
      </w:pPr>
      <w:r w:rsidRPr="003C72A8">
        <w:rPr>
          <w:rFonts w:ascii="Times New Roman" w:hAnsi="Times New Roman" w:cs="Times New Roman"/>
          <w:b/>
          <w:sz w:val="26"/>
          <w:szCs w:val="26"/>
        </w:rPr>
        <w:t>THE PUBLIC UTILITIES COMMISSION OF OHIO</w:t>
      </w:r>
    </w:p>
    <w:p w:rsidR="000D654D" w:rsidRPr="003C72A8" w:rsidRDefault="000D654D" w:rsidP="000D654D">
      <w:pPr>
        <w:tabs>
          <w:tab w:val="left" w:pos="5130"/>
          <w:tab w:val="left" w:pos="5670"/>
        </w:tabs>
        <w:spacing w:after="0" w:line="240" w:lineRule="auto"/>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4689"/>
        <w:gridCol w:w="289"/>
        <w:gridCol w:w="4598"/>
      </w:tblGrid>
      <w:tr w:rsidR="000D654D" w:rsidRPr="003C72A8" w:rsidTr="008D052E">
        <w:tc>
          <w:tcPr>
            <w:tcW w:w="4698" w:type="dxa"/>
          </w:tcPr>
          <w:p w:rsidR="000D654D" w:rsidRPr="003C72A8" w:rsidRDefault="000D654D" w:rsidP="000D654D">
            <w:pPr>
              <w:tabs>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In the Matter of the Application of Columbus Southern Power Company and Ohio Power Company for Authority to Establish a Standard Service Offer Pursuant to §4928.143, Ohio Rev. Code, in the Form of an Electric Security Plan.</w:t>
            </w:r>
          </w:p>
          <w:p w:rsidR="000D654D" w:rsidRPr="003C72A8" w:rsidRDefault="000D654D" w:rsidP="000D654D">
            <w:pPr>
              <w:tabs>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0D654D">
            <w:pPr>
              <w:tabs>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In the Matter of the Application of Columbus Southern Power Company and Ohio Power Company for Approval of Certain Accounting Authority.</w:t>
            </w:r>
          </w:p>
        </w:tc>
        <w:tc>
          <w:tcPr>
            <w:tcW w:w="270" w:type="dxa"/>
          </w:tcPr>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tc>
        <w:tc>
          <w:tcPr>
            <w:tcW w:w="4608" w:type="dxa"/>
          </w:tcPr>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0D654D">
            <w:pPr>
              <w:tabs>
                <w:tab w:val="left" w:pos="1142"/>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Case No. 11-346-EL-SSO</w:t>
            </w:r>
          </w:p>
          <w:p w:rsidR="000D654D" w:rsidRPr="003C72A8" w:rsidRDefault="000D654D" w:rsidP="000D654D">
            <w:pPr>
              <w:tabs>
                <w:tab w:val="left" w:pos="1142"/>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Case No. 11-348-EL-SSO</w:t>
            </w:r>
          </w:p>
          <w:p w:rsidR="000D654D" w:rsidRPr="003C72A8" w:rsidRDefault="000D654D" w:rsidP="000D654D">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0D654D">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0D654D">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0D654D">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0D654D">
            <w:pPr>
              <w:tabs>
                <w:tab w:val="left" w:pos="1142"/>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Case No. 11-349-EL-AAM</w:t>
            </w:r>
          </w:p>
          <w:p w:rsidR="000D654D" w:rsidRPr="003C72A8" w:rsidRDefault="000D654D" w:rsidP="000D654D">
            <w:pPr>
              <w:tabs>
                <w:tab w:val="left" w:pos="1142"/>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Case No. 11-350-EL-AAM</w:t>
            </w:r>
          </w:p>
        </w:tc>
      </w:tr>
    </w:tbl>
    <w:p w:rsidR="000D654D" w:rsidRPr="003C72A8" w:rsidRDefault="000D654D" w:rsidP="000D654D">
      <w:pPr>
        <w:tabs>
          <w:tab w:val="left" w:pos="8640"/>
        </w:tabs>
        <w:spacing w:after="0" w:line="240" w:lineRule="auto"/>
        <w:rPr>
          <w:rFonts w:ascii="Times New Roman" w:eastAsia="Times New Roman" w:hAnsi="Times New Roman" w:cs="Times New Roman"/>
          <w:b/>
          <w:bCs/>
          <w:sz w:val="26"/>
          <w:szCs w:val="26"/>
          <w:u w:val="single"/>
        </w:rPr>
      </w:pPr>
      <w:r w:rsidRPr="003C72A8">
        <w:rPr>
          <w:rFonts w:ascii="Times New Roman" w:eastAsia="Times New Roman" w:hAnsi="Times New Roman" w:cs="Times New Roman"/>
          <w:b/>
          <w:bCs/>
          <w:sz w:val="26"/>
          <w:szCs w:val="26"/>
          <w:u w:val="single"/>
        </w:rPr>
        <w:tab/>
        <w:t>_____</w:t>
      </w:r>
    </w:p>
    <w:p w:rsidR="000D654D" w:rsidRPr="003C72A8" w:rsidRDefault="000D654D" w:rsidP="000D654D">
      <w:pPr>
        <w:tabs>
          <w:tab w:val="left" w:pos="8640"/>
        </w:tabs>
        <w:spacing w:after="0" w:line="240" w:lineRule="auto"/>
        <w:rPr>
          <w:rFonts w:ascii="Times New Roman" w:eastAsia="Times New Roman" w:hAnsi="Times New Roman" w:cs="Times New Roman"/>
          <w:b/>
          <w:bCs/>
          <w:sz w:val="26"/>
          <w:szCs w:val="26"/>
          <w:u w:val="single"/>
        </w:rPr>
      </w:pPr>
    </w:p>
    <w:p w:rsidR="000D654D" w:rsidRPr="003C72A8" w:rsidRDefault="000D654D" w:rsidP="000D654D">
      <w:pPr>
        <w:tabs>
          <w:tab w:val="left" w:pos="8640"/>
        </w:tabs>
        <w:spacing w:after="0" w:line="240" w:lineRule="auto"/>
        <w:jc w:val="center"/>
        <w:rPr>
          <w:rFonts w:ascii="Times New Roman" w:eastAsia="Times New Roman" w:hAnsi="Times New Roman" w:cs="Times New Roman"/>
          <w:b/>
          <w:bCs/>
          <w:sz w:val="26"/>
          <w:szCs w:val="26"/>
        </w:rPr>
      </w:pPr>
      <w:r w:rsidRPr="003C72A8">
        <w:rPr>
          <w:rFonts w:ascii="Times New Roman" w:eastAsia="Times New Roman" w:hAnsi="Times New Roman" w:cs="Times New Roman"/>
          <w:b/>
          <w:bCs/>
          <w:sz w:val="26"/>
          <w:szCs w:val="26"/>
        </w:rPr>
        <w:t>INITIAL POST-HEARING BRIEF OF THE STAFF OF THE PUBLIC UTILITIES COMMISSION OF OHIO</w:t>
      </w:r>
    </w:p>
    <w:p w:rsidR="000D654D" w:rsidRPr="003C72A8" w:rsidRDefault="000D654D" w:rsidP="000D654D">
      <w:pPr>
        <w:tabs>
          <w:tab w:val="left" w:pos="8640"/>
        </w:tabs>
        <w:spacing w:after="0" w:line="240" w:lineRule="auto"/>
        <w:rPr>
          <w:rFonts w:ascii="Times New Roman" w:eastAsia="Times New Roman" w:hAnsi="Times New Roman" w:cs="Times New Roman"/>
          <w:b/>
          <w:bCs/>
          <w:sz w:val="26"/>
          <w:szCs w:val="26"/>
          <w:u w:val="single"/>
        </w:rPr>
      </w:pPr>
      <w:r w:rsidRPr="003C72A8">
        <w:rPr>
          <w:rFonts w:ascii="Times New Roman" w:eastAsia="Times New Roman" w:hAnsi="Times New Roman" w:cs="Times New Roman"/>
          <w:b/>
          <w:bCs/>
          <w:sz w:val="26"/>
          <w:szCs w:val="26"/>
          <w:u w:val="single"/>
        </w:rPr>
        <w:tab/>
        <w:t>_____</w:t>
      </w:r>
    </w:p>
    <w:p w:rsidR="000D654D" w:rsidRPr="003C72A8" w:rsidRDefault="000D654D" w:rsidP="000D654D">
      <w:pPr>
        <w:rPr>
          <w:rFonts w:ascii="Times New Roman" w:hAnsi="Times New Roman" w:cs="Times New Roman"/>
          <w:sz w:val="26"/>
          <w:szCs w:val="26"/>
        </w:rPr>
      </w:pPr>
    </w:p>
    <w:p w:rsidR="000D654D" w:rsidRPr="003C72A8" w:rsidRDefault="000D654D" w:rsidP="000D654D">
      <w:pPr>
        <w:rPr>
          <w:rFonts w:ascii="Times New Roman" w:hAnsi="Times New Roman" w:cs="Times New Roman"/>
          <w:sz w:val="26"/>
          <w:szCs w:val="26"/>
        </w:rPr>
      </w:pPr>
    </w:p>
    <w:p w:rsidR="000D654D" w:rsidRPr="003C72A8" w:rsidRDefault="000D654D" w:rsidP="000D654D">
      <w:pPr>
        <w:spacing w:after="0"/>
        <w:ind w:left="-115"/>
        <w:rPr>
          <w:rFonts w:ascii="Times New Roman" w:eastAsia="Times New Roman" w:hAnsi="Times New Roman" w:cs="Times New Roman"/>
          <w:b/>
          <w:sz w:val="26"/>
          <w:szCs w:val="26"/>
        </w:rPr>
      </w:pPr>
      <w:r w:rsidRPr="003C72A8">
        <w:rPr>
          <w:rFonts w:ascii="Times New Roman" w:hAnsi="Times New Roman" w:cs="Times New Roman"/>
          <w:sz w:val="26"/>
          <w:szCs w:val="26"/>
        </w:rPr>
        <w:tab/>
      </w:r>
      <w:r w:rsidRPr="003C72A8">
        <w:rPr>
          <w:rFonts w:ascii="Times New Roman" w:hAnsi="Times New Roman" w:cs="Times New Roman"/>
          <w:sz w:val="26"/>
          <w:szCs w:val="26"/>
        </w:rPr>
        <w:tab/>
      </w:r>
      <w:r w:rsidRPr="003C72A8">
        <w:rPr>
          <w:rFonts w:ascii="Times New Roman" w:hAnsi="Times New Roman" w:cs="Times New Roman"/>
          <w:sz w:val="26"/>
          <w:szCs w:val="26"/>
        </w:rPr>
        <w:tab/>
      </w:r>
      <w:r w:rsidRPr="003C72A8">
        <w:rPr>
          <w:rFonts w:ascii="Times New Roman" w:hAnsi="Times New Roman" w:cs="Times New Roman"/>
          <w:sz w:val="26"/>
          <w:szCs w:val="26"/>
        </w:rPr>
        <w:tab/>
      </w:r>
      <w:r w:rsidRPr="003C72A8">
        <w:rPr>
          <w:rFonts w:ascii="Times New Roman" w:hAnsi="Times New Roman" w:cs="Times New Roman"/>
          <w:sz w:val="26"/>
          <w:szCs w:val="26"/>
        </w:rPr>
        <w:tab/>
      </w:r>
      <w:r w:rsidRPr="003C72A8">
        <w:rPr>
          <w:rFonts w:ascii="Times New Roman" w:hAnsi="Times New Roman" w:cs="Times New Roman"/>
          <w:sz w:val="26"/>
          <w:szCs w:val="26"/>
        </w:rPr>
        <w:tab/>
      </w:r>
      <w:r w:rsidRPr="003C72A8">
        <w:rPr>
          <w:rFonts w:ascii="Times New Roman" w:hAnsi="Times New Roman" w:cs="Times New Roman"/>
          <w:sz w:val="26"/>
          <w:szCs w:val="26"/>
        </w:rPr>
        <w:tab/>
      </w:r>
      <w:r w:rsidRPr="003C72A8">
        <w:rPr>
          <w:rFonts w:ascii="Times New Roman" w:hAnsi="Times New Roman" w:cs="Times New Roman"/>
          <w:sz w:val="26"/>
          <w:szCs w:val="26"/>
        </w:rPr>
        <w:tab/>
      </w:r>
      <w:r w:rsidRPr="003C72A8">
        <w:rPr>
          <w:rFonts w:ascii="Times New Roman" w:eastAsia="Times New Roman" w:hAnsi="Times New Roman" w:cs="Times New Roman"/>
          <w:b/>
          <w:sz w:val="26"/>
          <w:szCs w:val="26"/>
        </w:rPr>
        <w:t xml:space="preserve">Mike DeWine </w:t>
      </w:r>
    </w:p>
    <w:p w:rsidR="000D654D" w:rsidRPr="003C72A8" w:rsidRDefault="000D654D" w:rsidP="000D654D">
      <w:pPr>
        <w:spacing w:after="0" w:line="240" w:lineRule="auto"/>
        <w:ind w:left="4932" w:firstLine="108"/>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Ohio Attorney General</w:t>
      </w:r>
    </w:p>
    <w:p w:rsidR="000D654D" w:rsidRPr="003C72A8" w:rsidRDefault="000D654D" w:rsidP="000D654D">
      <w:pPr>
        <w:spacing w:after="0" w:line="240" w:lineRule="auto"/>
        <w:ind w:left="-108"/>
        <w:rPr>
          <w:rFonts w:ascii="Times New Roman" w:eastAsia="Times New Roman" w:hAnsi="Times New Roman" w:cs="Times New Roman"/>
          <w:sz w:val="26"/>
          <w:szCs w:val="26"/>
        </w:rPr>
      </w:pPr>
    </w:p>
    <w:p w:rsidR="000D654D" w:rsidRPr="003C72A8" w:rsidRDefault="000D654D" w:rsidP="000D654D">
      <w:pPr>
        <w:spacing w:after="0" w:line="240" w:lineRule="auto"/>
        <w:ind w:left="4932" w:firstLine="108"/>
        <w:rPr>
          <w:rFonts w:ascii="Times New Roman" w:eastAsia="Times New Roman" w:hAnsi="Times New Roman" w:cs="Times New Roman"/>
          <w:b/>
          <w:sz w:val="26"/>
          <w:szCs w:val="26"/>
        </w:rPr>
      </w:pPr>
      <w:r w:rsidRPr="003C72A8">
        <w:rPr>
          <w:rFonts w:ascii="Times New Roman" w:eastAsia="Times New Roman" w:hAnsi="Times New Roman" w:cs="Times New Roman"/>
          <w:b/>
          <w:sz w:val="26"/>
          <w:szCs w:val="26"/>
        </w:rPr>
        <w:t>William L. Wright</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Section Chief, Public Utilities Section</w:t>
      </w:r>
    </w:p>
    <w:p w:rsidR="000D654D" w:rsidRPr="003C72A8" w:rsidRDefault="000D654D" w:rsidP="000D654D">
      <w:pPr>
        <w:spacing w:after="0" w:line="240" w:lineRule="auto"/>
        <w:ind w:left="-108"/>
        <w:rPr>
          <w:rFonts w:ascii="Times New Roman" w:eastAsia="Times New Roman" w:hAnsi="Times New Roman" w:cs="Times New Roman"/>
          <w:sz w:val="26"/>
          <w:szCs w:val="26"/>
        </w:rPr>
      </w:pP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b/>
          <w:sz w:val="26"/>
          <w:szCs w:val="26"/>
        </w:rPr>
        <w:t>Werner L. Margard III</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b/>
          <w:sz w:val="26"/>
          <w:szCs w:val="26"/>
        </w:rPr>
        <w:t>Steven L. Beeler</w:t>
      </w:r>
      <w:r w:rsidRPr="003C72A8">
        <w:rPr>
          <w:rFonts w:ascii="Times New Roman" w:eastAsia="Times New Roman" w:hAnsi="Times New Roman" w:cs="Times New Roman"/>
          <w:sz w:val="26"/>
          <w:szCs w:val="26"/>
        </w:rPr>
        <w:t xml:space="preserve"> </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Assistant Attorneys General</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180 East Broad Street, 6</w:t>
      </w:r>
      <w:r w:rsidRPr="003C72A8">
        <w:rPr>
          <w:rFonts w:ascii="Times New Roman" w:eastAsia="Times New Roman" w:hAnsi="Times New Roman" w:cs="Times New Roman"/>
          <w:sz w:val="26"/>
          <w:szCs w:val="26"/>
          <w:vertAlign w:val="superscript"/>
        </w:rPr>
        <w:t>th</w:t>
      </w:r>
      <w:r w:rsidRPr="003C72A8">
        <w:rPr>
          <w:rFonts w:ascii="Times New Roman" w:eastAsia="Times New Roman" w:hAnsi="Times New Roman" w:cs="Times New Roman"/>
          <w:sz w:val="26"/>
          <w:szCs w:val="26"/>
        </w:rPr>
        <w:t xml:space="preserve"> floor  </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Columbus, Ohio 43215-3739</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Telephone: (614) 466-4396</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Facsimile: (614) 644-8764</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color w:val="000000" w:themeColor="text1"/>
          <w:sz w:val="26"/>
          <w:szCs w:val="26"/>
        </w:rPr>
        <w:t>werner</w:t>
      </w:r>
      <w:r w:rsidRPr="003C72A8">
        <w:rPr>
          <w:rFonts w:ascii="Times New Roman" w:eastAsia="Times New Roman" w:hAnsi="Times New Roman" w:cs="Times New Roman"/>
          <w:sz w:val="26"/>
          <w:szCs w:val="26"/>
        </w:rPr>
        <w:t>.margard@puc.state.oh.us</w:t>
      </w:r>
    </w:p>
    <w:p w:rsidR="000D654D" w:rsidRPr="003C72A8" w:rsidRDefault="000D654D" w:rsidP="000D654D">
      <w:pPr>
        <w:spacing w:after="0" w:line="240" w:lineRule="auto"/>
        <w:ind w:left="4932" w:firstLine="108"/>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steven.beeler@puc.state.oh.us</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p>
    <w:p w:rsidR="000D654D" w:rsidRPr="003C72A8" w:rsidRDefault="000D654D" w:rsidP="000D654D">
      <w:pPr>
        <w:spacing w:after="0" w:line="240" w:lineRule="auto"/>
        <w:ind w:left="4212" w:firstLine="828"/>
        <w:rPr>
          <w:rFonts w:ascii="Times New Roman" w:eastAsia="Times New Roman" w:hAnsi="Times New Roman" w:cs="Times New Roman"/>
          <w:b/>
          <w:bCs/>
          <w:sz w:val="26"/>
          <w:szCs w:val="26"/>
        </w:rPr>
      </w:pPr>
      <w:r w:rsidRPr="003C72A8">
        <w:rPr>
          <w:rFonts w:ascii="Times New Roman" w:eastAsia="Times New Roman" w:hAnsi="Times New Roman" w:cs="Times New Roman"/>
          <w:b/>
          <w:bCs/>
          <w:sz w:val="26"/>
          <w:szCs w:val="26"/>
        </w:rPr>
        <w:t>Counsel for the Staff of the</w:t>
      </w:r>
    </w:p>
    <w:p w:rsidR="000D654D" w:rsidRPr="003C72A8" w:rsidRDefault="000D654D" w:rsidP="000D654D">
      <w:pPr>
        <w:spacing w:after="0" w:line="240" w:lineRule="auto"/>
        <w:ind w:left="4212" w:firstLine="828"/>
        <w:rPr>
          <w:rFonts w:ascii="Times New Roman" w:eastAsia="Times New Roman" w:hAnsi="Times New Roman" w:cs="Times New Roman"/>
          <w:b/>
          <w:bCs/>
          <w:sz w:val="26"/>
          <w:szCs w:val="26"/>
        </w:rPr>
      </w:pPr>
      <w:r w:rsidRPr="003C72A8">
        <w:rPr>
          <w:rFonts w:ascii="Times New Roman" w:eastAsia="Times New Roman" w:hAnsi="Times New Roman" w:cs="Times New Roman"/>
          <w:b/>
          <w:bCs/>
          <w:sz w:val="26"/>
          <w:szCs w:val="26"/>
        </w:rPr>
        <w:t>Public Utilities Commission of Ohio</w:t>
      </w:r>
    </w:p>
    <w:p w:rsidR="000D654D" w:rsidRPr="003C72A8" w:rsidRDefault="000D654D" w:rsidP="000D654D">
      <w:pPr>
        <w:rPr>
          <w:rFonts w:ascii="Times New Roman" w:hAnsi="Times New Roman" w:cs="Times New Roman"/>
          <w:sz w:val="26"/>
          <w:szCs w:val="26"/>
        </w:rPr>
        <w:sectPr w:rsidR="000D654D" w:rsidRPr="003C72A8" w:rsidSect="008D052E">
          <w:footerReference w:type="default" r:id="rId9"/>
          <w:footerReference w:type="first" r:id="rId10"/>
          <w:endnotePr>
            <w:numFmt w:val="decimal"/>
          </w:endnotePr>
          <w:pgSz w:w="12240" w:h="15840"/>
          <w:pgMar w:top="1440" w:right="1440" w:bottom="1440" w:left="1440" w:header="720" w:footer="720" w:gutter="0"/>
          <w:pgNumType w:fmt="lowerRoman" w:start="1"/>
          <w:cols w:space="720"/>
          <w:docGrid w:linePitch="360"/>
        </w:sectPr>
      </w:pPr>
    </w:p>
    <w:p w:rsidR="000D654D" w:rsidRPr="003C72A8" w:rsidRDefault="000D654D" w:rsidP="000D654D">
      <w:pPr>
        <w:rPr>
          <w:rFonts w:ascii="Times New Roman" w:hAnsi="Times New Roman" w:cs="Times New Roman"/>
          <w:sz w:val="26"/>
          <w:szCs w:val="26"/>
        </w:rPr>
      </w:pPr>
    </w:p>
    <w:p w:rsidR="000D654D" w:rsidRPr="003C72A8" w:rsidRDefault="000D654D" w:rsidP="000D654D">
      <w:pPr>
        <w:autoSpaceDE w:val="0"/>
        <w:autoSpaceDN w:val="0"/>
        <w:adjustRightInd w:val="0"/>
        <w:spacing w:after="0" w:line="240" w:lineRule="auto"/>
        <w:jc w:val="center"/>
        <w:rPr>
          <w:rFonts w:ascii="Times New Roman" w:hAnsi="Times New Roman" w:cs="Times New Roman"/>
          <w:b/>
          <w:sz w:val="26"/>
          <w:szCs w:val="26"/>
        </w:rPr>
      </w:pPr>
      <w:r w:rsidRPr="003C72A8">
        <w:rPr>
          <w:rFonts w:ascii="Times New Roman" w:hAnsi="Times New Roman" w:cs="Times New Roman"/>
          <w:b/>
          <w:sz w:val="26"/>
          <w:szCs w:val="26"/>
        </w:rPr>
        <w:t>TABLE OF CONTENTS</w:t>
      </w:r>
    </w:p>
    <w:p w:rsidR="000D654D" w:rsidRPr="003C72A8" w:rsidRDefault="000D654D" w:rsidP="000D654D">
      <w:pPr>
        <w:autoSpaceDE w:val="0"/>
        <w:autoSpaceDN w:val="0"/>
        <w:adjustRightInd w:val="0"/>
        <w:spacing w:after="0" w:line="240" w:lineRule="auto"/>
        <w:rPr>
          <w:rFonts w:ascii="Times New Roman" w:hAnsi="Times New Roman" w:cs="Times New Roman"/>
          <w:b/>
          <w:sz w:val="26"/>
          <w:szCs w:val="26"/>
        </w:rPr>
      </w:pPr>
    </w:p>
    <w:p w:rsidR="000D654D" w:rsidRDefault="000D654D" w:rsidP="00772975">
      <w:pPr>
        <w:autoSpaceDE w:val="0"/>
        <w:autoSpaceDN w:val="0"/>
        <w:adjustRightInd w:val="0"/>
        <w:spacing w:after="0" w:line="240" w:lineRule="auto"/>
        <w:ind w:left="7200" w:firstLine="720"/>
        <w:jc w:val="right"/>
        <w:rPr>
          <w:rFonts w:ascii="Times New Roman" w:hAnsi="Times New Roman" w:cs="Times New Roman"/>
          <w:sz w:val="26"/>
          <w:szCs w:val="26"/>
        </w:rPr>
      </w:pPr>
      <w:r w:rsidRPr="003C72A8">
        <w:rPr>
          <w:rFonts w:ascii="Times New Roman" w:hAnsi="Times New Roman" w:cs="Times New Roman"/>
          <w:sz w:val="26"/>
          <w:szCs w:val="26"/>
        </w:rPr>
        <w:t>Page</w:t>
      </w:r>
      <w:r w:rsidR="00772975">
        <w:rPr>
          <w:rFonts w:ascii="Times New Roman" w:hAnsi="Times New Roman" w:cs="Times New Roman"/>
          <w:sz w:val="26"/>
          <w:szCs w:val="26"/>
        </w:rPr>
        <w:t>(s)</w:t>
      </w:r>
    </w:p>
    <w:p w:rsidR="00772975" w:rsidRDefault="00772975" w:rsidP="000D654D">
      <w:pPr>
        <w:autoSpaceDE w:val="0"/>
        <w:autoSpaceDN w:val="0"/>
        <w:adjustRightInd w:val="0"/>
        <w:spacing w:after="0" w:line="240" w:lineRule="auto"/>
        <w:ind w:left="7200" w:firstLine="720"/>
        <w:rPr>
          <w:rFonts w:ascii="Times New Roman" w:hAnsi="Times New Roman" w:cs="Times New Roman"/>
          <w:sz w:val="26"/>
          <w:szCs w:val="26"/>
        </w:rPr>
      </w:pPr>
    </w:p>
    <w:p w:rsidR="00772975" w:rsidRPr="00D50797" w:rsidRDefault="00772975">
      <w:pPr>
        <w:pStyle w:val="TOC1"/>
        <w:tabs>
          <w:tab w:val="right" w:leader="dot" w:pos="9350"/>
        </w:tabs>
        <w:rPr>
          <w:rFonts w:ascii="Times New Roman" w:hAnsi="Times New Roman" w:cs="Times New Roman"/>
          <w:noProof/>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TOC \o "1-4" \h \z \u </w:instrText>
      </w:r>
      <w:r>
        <w:rPr>
          <w:rFonts w:ascii="Times New Roman" w:hAnsi="Times New Roman" w:cs="Times New Roman"/>
          <w:sz w:val="26"/>
          <w:szCs w:val="26"/>
        </w:rPr>
        <w:fldChar w:fldCharType="separate"/>
      </w:r>
      <w:hyperlink w:anchor="_Toc328732861" w:history="1">
        <w:r w:rsidRPr="00D50797">
          <w:rPr>
            <w:rStyle w:val="Hyperlink"/>
            <w:rFonts w:ascii="Times New Roman" w:hAnsi="Times New Roman" w:cs="Times New Roman"/>
            <w:noProof/>
            <w:sz w:val="26"/>
            <w:szCs w:val="26"/>
          </w:rPr>
          <w:t>INTRODUCTION</w:t>
        </w:r>
        <w:r w:rsidRPr="00D50797">
          <w:rPr>
            <w:rFonts w:ascii="Times New Roman" w:hAnsi="Times New Roman" w:cs="Times New Roman"/>
            <w:noProof/>
            <w:webHidden/>
            <w:sz w:val="26"/>
            <w:szCs w:val="26"/>
          </w:rPr>
          <w:tab/>
        </w:r>
        <w:r w:rsidRPr="00D50797">
          <w:rPr>
            <w:rFonts w:ascii="Times New Roman" w:hAnsi="Times New Roman" w:cs="Times New Roman"/>
            <w:noProof/>
            <w:webHidden/>
            <w:sz w:val="26"/>
            <w:szCs w:val="26"/>
          </w:rPr>
          <w:fldChar w:fldCharType="begin"/>
        </w:r>
        <w:r w:rsidRPr="00D50797">
          <w:rPr>
            <w:rFonts w:ascii="Times New Roman" w:hAnsi="Times New Roman" w:cs="Times New Roman"/>
            <w:noProof/>
            <w:webHidden/>
            <w:sz w:val="26"/>
            <w:szCs w:val="26"/>
          </w:rPr>
          <w:instrText xml:space="preserve"> PAGEREF _Toc328732861 \h </w:instrText>
        </w:r>
        <w:r w:rsidRPr="00D50797">
          <w:rPr>
            <w:rFonts w:ascii="Times New Roman" w:hAnsi="Times New Roman" w:cs="Times New Roman"/>
            <w:noProof/>
            <w:webHidden/>
            <w:sz w:val="26"/>
            <w:szCs w:val="26"/>
          </w:rPr>
        </w:r>
        <w:r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1</w:t>
        </w:r>
        <w:r w:rsidRPr="00D50797">
          <w:rPr>
            <w:rFonts w:ascii="Times New Roman" w:hAnsi="Times New Roman" w:cs="Times New Roman"/>
            <w:noProof/>
            <w:webHidden/>
            <w:sz w:val="26"/>
            <w:szCs w:val="26"/>
          </w:rPr>
          <w:fldChar w:fldCharType="end"/>
        </w:r>
      </w:hyperlink>
    </w:p>
    <w:p w:rsidR="00772975" w:rsidRPr="00D50797" w:rsidRDefault="00D50797">
      <w:pPr>
        <w:pStyle w:val="TOC1"/>
        <w:tabs>
          <w:tab w:val="right" w:leader="dot" w:pos="9350"/>
        </w:tabs>
        <w:rPr>
          <w:rFonts w:ascii="Times New Roman" w:hAnsi="Times New Roman" w:cs="Times New Roman"/>
          <w:noProof/>
          <w:sz w:val="26"/>
          <w:szCs w:val="26"/>
        </w:rPr>
      </w:pPr>
      <w:hyperlink w:anchor="_Toc328732862" w:history="1">
        <w:r w:rsidR="00772975" w:rsidRPr="00D50797">
          <w:rPr>
            <w:rStyle w:val="Hyperlink"/>
            <w:rFonts w:ascii="Times New Roman" w:hAnsi="Times New Roman" w:cs="Times New Roman"/>
            <w:noProof/>
            <w:sz w:val="26"/>
            <w:szCs w:val="26"/>
          </w:rPr>
          <w:t>DISCUSSION</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_Toc328732862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3</w:t>
        </w:r>
        <w:r w:rsidR="00772975" w:rsidRPr="00D50797">
          <w:rPr>
            <w:rFonts w:ascii="Times New Roman" w:hAnsi="Times New Roman" w:cs="Times New Roman"/>
            <w:noProof/>
            <w:webHidden/>
            <w:sz w:val="26"/>
            <w:szCs w:val="26"/>
          </w:rPr>
          <w:fldChar w:fldCharType="end"/>
        </w:r>
      </w:hyperlink>
    </w:p>
    <w:p w:rsidR="00772975" w:rsidRPr="00D50797" w:rsidRDefault="00D50797" w:rsidP="00772975">
      <w:pPr>
        <w:pStyle w:val="TOC2"/>
        <w:rPr>
          <w:rFonts w:ascii="Times New Roman" w:hAnsi="Times New Roman" w:cs="Times New Roman"/>
          <w:noProof/>
          <w:sz w:val="26"/>
          <w:szCs w:val="26"/>
        </w:rPr>
      </w:pPr>
      <w:hyperlink w:anchor="_Toc328732863" w:history="1">
        <w:r w:rsidR="00772975" w:rsidRPr="00D50797">
          <w:rPr>
            <w:rStyle w:val="Hyperlink"/>
            <w:rFonts w:ascii="Times New Roman" w:hAnsi="Times New Roman" w:cs="Times New Roman"/>
            <w:noProof/>
            <w:sz w:val="26"/>
            <w:szCs w:val="26"/>
          </w:rPr>
          <w:t>I.</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ESP Versus MRO Test</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_Toc328732863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3</w:t>
        </w:r>
        <w:r w:rsidR="00772975" w:rsidRPr="00D50797">
          <w:rPr>
            <w:rFonts w:ascii="Times New Roman" w:hAnsi="Times New Roman" w:cs="Times New Roman"/>
            <w:noProof/>
            <w:webHidden/>
            <w:sz w:val="26"/>
            <w:szCs w:val="26"/>
          </w:rPr>
          <w:fldChar w:fldCharType="end"/>
        </w:r>
      </w:hyperlink>
    </w:p>
    <w:p w:rsidR="00772975" w:rsidRPr="00D50797" w:rsidRDefault="00D50797" w:rsidP="005774A4">
      <w:pPr>
        <w:pStyle w:val="TOC3"/>
        <w:rPr>
          <w:rFonts w:ascii="Times New Roman" w:hAnsi="Times New Roman" w:cs="Times New Roman"/>
          <w:noProof/>
          <w:sz w:val="26"/>
          <w:szCs w:val="26"/>
        </w:rPr>
      </w:pPr>
      <w:hyperlink w:anchor="_Toc328732864" w:history="1">
        <w:r w:rsidR="00772975" w:rsidRPr="00D50797">
          <w:rPr>
            <w:rStyle w:val="Hyperlink"/>
            <w:rFonts w:ascii="Times New Roman" w:hAnsi="Times New Roman" w:cs="Times New Roman"/>
            <w:noProof/>
            <w:sz w:val="26"/>
            <w:szCs w:val="26"/>
          </w:rPr>
          <w:t>A.</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RPM as the Appropriate Charge for Capacity</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_Toc328732864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3</w:t>
        </w:r>
        <w:r w:rsidR="00772975" w:rsidRPr="00D50797">
          <w:rPr>
            <w:rFonts w:ascii="Times New Roman" w:hAnsi="Times New Roman" w:cs="Times New Roman"/>
            <w:noProof/>
            <w:webHidden/>
            <w:sz w:val="26"/>
            <w:szCs w:val="26"/>
          </w:rPr>
          <w:fldChar w:fldCharType="end"/>
        </w:r>
      </w:hyperlink>
    </w:p>
    <w:p w:rsidR="00772975" w:rsidRPr="00D50797" w:rsidRDefault="00D50797" w:rsidP="00772975">
      <w:pPr>
        <w:pStyle w:val="TOC4"/>
        <w:tabs>
          <w:tab w:val="left" w:pos="1100"/>
          <w:tab w:val="right" w:leader="dot" w:pos="9350"/>
        </w:tabs>
        <w:ind w:left="2160" w:hanging="720"/>
        <w:rPr>
          <w:rFonts w:ascii="Times New Roman" w:hAnsi="Times New Roman" w:cs="Times New Roman"/>
          <w:noProof/>
          <w:sz w:val="26"/>
          <w:szCs w:val="26"/>
        </w:rPr>
      </w:pPr>
      <w:hyperlink w:anchor="_Toc328732865" w:history="1">
        <w:r w:rsidR="00772975" w:rsidRPr="00D50797">
          <w:rPr>
            <w:rStyle w:val="Hyperlink"/>
            <w:rFonts w:ascii="Times New Roman" w:hAnsi="Times New Roman" w:cs="Times New Roman"/>
            <w:noProof/>
            <w:sz w:val="26"/>
            <w:szCs w:val="26"/>
          </w:rPr>
          <w:t>1.</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RPM-Based Component Charges</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_Toc328732865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4</w:t>
        </w:r>
        <w:r w:rsidR="00772975" w:rsidRPr="00D50797">
          <w:rPr>
            <w:rFonts w:ascii="Times New Roman" w:hAnsi="Times New Roman" w:cs="Times New Roman"/>
            <w:noProof/>
            <w:webHidden/>
            <w:sz w:val="26"/>
            <w:szCs w:val="26"/>
          </w:rPr>
          <w:fldChar w:fldCharType="end"/>
        </w:r>
      </w:hyperlink>
    </w:p>
    <w:p w:rsidR="00772975" w:rsidRPr="00D50797" w:rsidRDefault="00D50797" w:rsidP="00772975">
      <w:pPr>
        <w:pStyle w:val="TOC4"/>
        <w:tabs>
          <w:tab w:val="left" w:pos="1100"/>
          <w:tab w:val="right" w:leader="dot" w:pos="9350"/>
        </w:tabs>
        <w:ind w:left="2160" w:hanging="720"/>
        <w:rPr>
          <w:rFonts w:ascii="Times New Roman" w:hAnsi="Times New Roman" w:cs="Times New Roman"/>
          <w:noProof/>
          <w:sz w:val="26"/>
          <w:szCs w:val="26"/>
        </w:rPr>
      </w:pPr>
      <w:hyperlink w:anchor="_Toc328732866" w:history="1">
        <w:r w:rsidR="00772975" w:rsidRPr="00D50797">
          <w:rPr>
            <w:rStyle w:val="Hyperlink"/>
            <w:rFonts w:ascii="Times New Roman" w:hAnsi="Times New Roman" w:cs="Times New Roman"/>
            <w:noProof/>
            <w:sz w:val="26"/>
            <w:szCs w:val="26"/>
          </w:rPr>
          <w:t>2.</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FRR Construct</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_Toc328732866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5</w:t>
        </w:r>
        <w:r w:rsidR="00772975" w:rsidRPr="00D50797">
          <w:rPr>
            <w:rFonts w:ascii="Times New Roman" w:hAnsi="Times New Roman" w:cs="Times New Roman"/>
            <w:noProof/>
            <w:webHidden/>
            <w:sz w:val="26"/>
            <w:szCs w:val="26"/>
          </w:rPr>
          <w:fldChar w:fldCharType="end"/>
        </w:r>
      </w:hyperlink>
    </w:p>
    <w:p w:rsidR="00772975" w:rsidRPr="00D50797" w:rsidRDefault="00D50797" w:rsidP="00772975">
      <w:pPr>
        <w:pStyle w:val="TOC4"/>
        <w:tabs>
          <w:tab w:val="left" w:pos="1100"/>
          <w:tab w:val="right" w:leader="dot" w:pos="9350"/>
        </w:tabs>
        <w:ind w:left="2160" w:hanging="720"/>
        <w:rPr>
          <w:rFonts w:ascii="Times New Roman" w:hAnsi="Times New Roman" w:cs="Times New Roman"/>
          <w:noProof/>
          <w:sz w:val="26"/>
          <w:szCs w:val="26"/>
        </w:rPr>
      </w:pPr>
      <w:hyperlink w:anchor="_Toc328732867" w:history="1">
        <w:r w:rsidR="00772975" w:rsidRPr="00D50797">
          <w:rPr>
            <w:rStyle w:val="Hyperlink"/>
            <w:rFonts w:ascii="Times New Roman" w:hAnsi="Times New Roman" w:cs="Times New Roman"/>
            <w:noProof/>
            <w:sz w:val="26"/>
            <w:szCs w:val="26"/>
          </w:rPr>
          <w:t>3.</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Staff’s Recommendation</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_Toc328732867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7</w:t>
        </w:r>
        <w:r w:rsidR="00772975" w:rsidRPr="00D50797">
          <w:rPr>
            <w:rFonts w:ascii="Times New Roman" w:hAnsi="Times New Roman" w:cs="Times New Roman"/>
            <w:noProof/>
            <w:webHidden/>
            <w:sz w:val="26"/>
            <w:szCs w:val="26"/>
          </w:rPr>
          <w:fldChar w:fldCharType="end"/>
        </w:r>
      </w:hyperlink>
    </w:p>
    <w:p w:rsidR="00772975" w:rsidRPr="00D50797" w:rsidRDefault="00D50797" w:rsidP="005774A4">
      <w:pPr>
        <w:pStyle w:val="TOC3"/>
        <w:rPr>
          <w:rFonts w:ascii="Times New Roman" w:hAnsi="Times New Roman" w:cs="Times New Roman"/>
          <w:noProof/>
          <w:sz w:val="26"/>
          <w:szCs w:val="26"/>
        </w:rPr>
      </w:pPr>
      <w:hyperlink w:anchor="_Toc328732868" w:history="1">
        <w:r w:rsidR="00772975" w:rsidRPr="00D50797">
          <w:rPr>
            <w:rStyle w:val="Hyperlink"/>
            <w:rFonts w:ascii="Times New Roman" w:hAnsi="Times New Roman" w:cs="Times New Roman"/>
            <w:noProof/>
            <w:sz w:val="26"/>
            <w:szCs w:val="26"/>
          </w:rPr>
          <w:t>B.</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MRO Retail Pricing</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_Toc328732868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7</w:t>
        </w:r>
        <w:r w:rsidR="00772975" w:rsidRPr="00D50797">
          <w:rPr>
            <w:rFonts w:ascii="Times New Roman" w:hAnsi="Times New Roman" w:cs="Times New Roman"/>
            <w:noProof/>
            <w:webHidden/>
            <w:sz w:val="26"/>
            <w:szCs w:val="26"/>
          </w:rPr>
          <w:fldChar w:fldCharType="end"/>
        </w:r>
      </w:hyperlink>
    </w:p>
    <w:p w:rsidR="00772975" w:rsidRPr="00D50797" w:rsidRDefault="00D50797" w:rsidP="005774A4">
      <w:pPr>
        <w:pStyle w:val="TOC3"/>
        <w:rPr>
          <w:rFonts w:ascii="Times New Roman" w:hAnsi="Times New Roman" w:cs="Times New Roman"/>
          <w:noProof/>
          <w:sz w:val="26"/>
          <w:szCs w:val="26"/>
        </w:rPr>
      </w:pPr>
      <w:hyperlink w:anchor="_Toc328732869" w:history="1">
        <w:r w:rsidR="00772975" w:rsidRPr="00D50797">
          <w:rPr>
            <w:rStyle w:val="Hyperlink"/>
            <w:rFonts w:ascii="Times New Roman" w:hAnsi="Times New Roman" w:cs="Times New Roman"/>
            <w:noProof/>
            <w:sz w:val="26"/>
            <w:szCs w:val="26"/>
          </w:rPr>
          <w:t>C.</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Qualitative Considerations.</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_Toc328732869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12</w:t>
        </w:r>
        <w:r w:rsidR="00772975" w:rsidRPr="00D50797">
          <w:rPr>
            <w:rFonts w:ascii="Times New Roman" w:hAnsi="Times New Roman" w:cs="Times New Roman"/>
            <w:noProof/>
            <w:webHidden/>
            <w:sz w:val="26"/>
            <w:szCs w:val="26"/>
          </w:rPr>
          <w:fldChar w:fldCharType="end"/>
        </w:r>
      </w:hyperlink>
    </w:p>
    <w:p w:rsidR="00772975" w:rsidRPr="00D50797" w:rsidRDefault="00D50797" w:rsidP="00772975">
      <w:pPr>
        <w:pStyle w:val="TOC2"/>
        <w:rPr>
          <w:rFonts w:ascii="Times New Roman" w:hAnsi="Times New Roman" w:cs="Times New Roman"/>
          <w:noProof/>
          <w:sz w:val="26"/>
          <w:szCs w:val="26"/>
        </w:rPr>
      </w:pPr>
      <w:hyperlink w:anchor="_Toc328732870" w:history="1">
        <w:r w:rsidR="00772975" w:rsidRPr="00D50797">
          <w:rPr>
            <w:rStyle w:val="Hyperlink"/>
            <w:rFonts w:ascii="Times New Roman" w:hAnsi="Times New Roman" w:cs="Times New Roman"/>
            <w:noProof/>
            <w:sz w:val="26"/>
            <w:szCs w:val="26"/>
          </w:rPr>
          <w:t>II.</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Corporate Separation</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_Toc328732870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13</w:t>
        </w:r>
        <w:r w:rsidR="00772975" w:rsidRPr="00D50797">
          <w:rPr>
            <w:rFonts w:ascii="Times New Roman" w:hAnsi="Times New Roman" w:cs="Times New Roman"/>
            <w:noProof/>
            <w:webHidden/>
            <w:sz w:val="26"/>
            <w:szCs w:val="26"/>
          </w:rPr>
          <w:fldChar w:fldCharType="end"/>
        </w:r>
      </w:hyperlink>
    </w:p>
    <w:p w:rsidR="00772975" w:rsidRPr="00D50797" w:rsidRDefault="00D50797" w:rsidP="00772975">
      <w:pPr>
        <w:pStyle w:val="TOC2"/>
        <w:rPr>
          <w:rFonts w:ascii="Times New Roman" w:hAnsi="Times New Roman" w:cs="Times New Roman"/>
          <w:noProof/>
          <w:sz w:val="26"/>
          <w:szCs w:val="26"/>
        </w:rPr>
      </w:pPr>
      <w:hyperlink w:anchor="_Toc328732871" w:history="1">
        <w:r w:rsidR="00772975" w:rsidRPr="00D50797">
          <w:rPr>
            <w:rStyle w:val="Hyperlink"/>
            <w:rFonts w:ascii="Times New Roman" w:hAnsi="Times New Roman" w:cs="Times New Roman"/>
            <w:noProof/>
            <w:sz w:val="26"/>
            <w:szCs w:val="26"/>
          </w:rPr>
          <w:t>III.</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Standard Service Offer Rate Provisions of the Modified ESP</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_Toc328732871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14</w:t>
        </w:r>
        <w:r w:rsidR="00772975" w:rsidRPr="00D50797">
          <w:rPr>
            <w:rFonts w:ascii="Times New Roman" w:hAnsi="Times New Roman" w:cs="Times New Roman"/>
            <w:noProof/>
            <w:webHidden/>
            <w:sz w:val="26"/>
            <w:szCs w:val="26"/>
          </w:rPr>
          <w:fldChar w:fldCharType="end"/>
        </w:r>
      </w:hyperlink>
    </w:p>
    <w:p w:rsidR="00772975" w:rsidRPr="00D50797" w:rsidRDefault="00D50797" w:rsidP="005774A4">
      <w:pPr>
        <w:pStyle w:val="TOC3"/>
        <w:rPr>
          <w:rFonts w:ascii="Times New Roman" w:hAnsi="Times New Roman" w:cs="Times New Roman"/>
          <w:noProof/>
          <w:sz w:val="26"/>
          <w:szCs w:val="26"/>
        </w:rPr>
      </w:pPr>
      <w:hyperlink w:anchor="_Toc328732872" w:history="1">
        <w:r w:rsidR="00772975" w:rsidRPr="00D50797">
          <w:rPr>
            <w:rStyle w:val="Hyperlink"/>
            <w:rFonts w:ascii="Times New Roman" w:hAnsi="Times New Roman" w:cs="Times New Roman"/>
            <w:noProof/>
            <w:sz w:val="26"/>
            <w:szCs w:val="26"/>
          </w:rPr>
          <w:t>A.</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Generation Rates</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_Toc328732872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14</w:t>
        </w:r>
        <w:r w:rsidR="00772975" w:rsidRPr="00D50797">
          <w:rPr>
            <w:rFonts w:ascii="Times New Roman" w:hAnsi="Times New Roman" w:cs="Times New Roman"/>
            <w:noProof/>
            <w:webHidden/>
            <w:sz w:val="26"/>
            <w:szCs w:val="26"/>
          </w:rPr>
          <w:fldChar w:fldCharType="end"/>
        </w:r>
      </w:hyperlink>
    </w:p>
    <w:p w:rsidR="00772975" w:rsidRPr="00D50797" w:rsidRDefault="00D50797" w:rsidP="00772975">
      <w:pPr>
        <w:pStyle w:val="TOC4"/>
        <w:tabs>
          <w:tab w:val="left" w:pos="1100"/>
          <w:tab w:val="right" w:leader="dot" w:pos="9350"/>
        </w:tabs>
        <w:ind w:left="2160" w:hanging="720"/>
        <w:rPr>
          <w:rFonts w:ascii="Times New Roman" w:hAnsi="Times New Roman" w:cs="Times New Roman"/>
          <w:noProof/>
          <w:sz w:val="26"/>
          <w:szCs w:val="26"/>
        </w:rPr>
      </w:pPr>
      <w:hyperlink w:anchor="_Toc328732873" w:history="1">
        <w:r w:rsidR="00772975" w:rsidRPr="00D50797">
          <w:rPr>
            <w:rStyle w:val="Hyperlink"/>
            <w:rFonts w:ascii="Times New Roman" w:hAnsi="Times New Roman" w:cs="Times New Roman"/>
            <w:noProof/>
            <w:sz w:val="26"/>
            <w:szCs w:val="26"/>
          </w:rPr>
          <w:t xml:space="preserve">1. </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SSO Generation Service Rider (base generation rate)</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_Toc328732873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14</w:t>
        </w:r>
        <w:r w:rsidR="00772975" w:rsidRPr="00D50797">
          <w:rPr>
            <w:rFonts w:ascii="Times New Roman" w:hAnsi="Times New Roman" w:cs="Times New Roman"/>
            <w:noProof/>
            <w:webHidden/>
            <w:sz w:val="26"/>
            <w:szCs w:val="26"/>
          </w:rPr>
          <w:fldChar w:fldCharType="end"/>
        </w:r>
      </w:hyperlink>
    </w:p>
    <w:p w:rsidR="00772975" w:rsidRPr="00D50797" w:rsidRDefault="00D50797" w:rsidP="00772975">
      <w:pPr>
        <w:pStyle w:val="TOC4"/>
        <w:tabs>
          <w:tab w:val="left" w:pos="1100"/>
          <w:tab w:val="right" w:leader="dot" w:pos="9350"/>
        </w:tabs>
        <w:ind w:left="2160" w:hanging="720"/>
        <w:rPr>
          <w:rFonts w:ascii="Times New Roman" w:hAnsi="Times New Roman" w:cs="Times New Roman"/>
          <w:noProof/>
          <w:sz w:val="26"/>
          <w:szCs w:val="26"/>
        </w:rPr>
      </w:pPr>
      <w:hyperlink w:anchor="_Toc328732874" w:history="1">
        <w:r w:rsidR="00772975" w:rsidRPr="00D50797">
          <w:rPr>
            <w:rStyle w:val="Hyperlink"/>
            <w:rFonts w:ascii="Times New Roman" w:hAnsi="Times New Roman" w:cs="Times New Roman"/>
            <w:noProof/>
            <w:sz w:val="26"/>
            <w:szCs w:val="26"/>
          </w:rPr>
          <w:t xml:space="preserve">2. </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Fuel Adjustment Clause</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_Toc328732874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15</w:t>
        </w:r>
        <w:r w:rsidR="00772975" w:rsidRPr="00D50797">
          <w:rPr>
            <w:rFonts w:ascii="Times New Roman" w:hAnsi="Times New Roman" w:cs="Times New Roman"/>
            <w:noProof/>
            <w:webHidden/>
            <w:sz w:val="26"/>
            <w:szCs w:val="26"/>
          </w:rPr>
          <w:fldChar w:fldCharType="end"/>
        </w:r>
      </w:hyperlink>
    </w:p>
    <w:p w:rsidR="00772975" w:rsidRPr="00D50797" w:rsidRDefault="00D50797" w:rsidP="00772975">
      <w:pPr>
        <w:pStyle w:val="TOC4"/>
        <w:tabs>
          <w:tab w:val="left" w:pos="1100"/>
          <w:tab w:val="right" w:leader="dot" w:pos="9350"/>
        </w:tabs>
        <w:ind w:left="2160" w:hanging="720"/>
        <w:rPr>
          <w:rFonts w:ascii="Times New Roman" w:hAnsi="Times New Roman" w:cs="Times New Roman"/>
          <w:noProof/>
          <w:sz w:val="26"/>
          <w:szCs w:val="26"/>
        </w:rPr>
      </w:pPr>
      <w:hyperlink w:anchor="_Toc328732875" w:history="1">
        <w:r w:rsidR="00772975" w:rsidRPr="00D50797">
          <w:rPr>
            <w:rStyle w:val="Hyperlink"/>
            <w:rFonts w:ascii="Times New Roman" w:hAnsi="Times New Roman" w:cs="Times New Roman"/>
            <w:noProof/>
            <w:sz w:val="26"/>
            <w:szCs w:val="26"/>
          </w:rPr>
          <w:t xml:space="preserve">3. </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Alternative Energy Rider</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_Toc328732875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15</w:t>
        </w:r>
        <w:r w:rsidR="00772975" w:rsidRPr="00D50797">
          <w:rPr>
            <w:rFonts w:ascii="Times New Roman" w:hAnsi="Times New Roman" w:cs="Times New Roman"/>
            <w:noProof/>
            <w:webHidden/>
            <w:sz w:val="26"/>
            <w:szCs w:val="26"/>
          </w:rPr>
          <w:fldChar w:fldCharType="end"/>
        </w:r>
      </w:hyperlink>
    </w:p>
    <w:p w:rsidR="00772975" w:rsidRPr="00D50797" w:rsidRDefault="00D50797" w:rsidP="00772975">
      <w:pPr>
        <w:pStyle w:val="TOC4"/>
        <w:tabs>
          <w:tab w:val="left" w:pos="1100"/>
          <w:tab w:val="right" w:leader="dot" w:pos="9350"/>
        </w:tabs>
        <w:ind w:left="2160" w:hanging="720"/>
        <w:rPr>
          <w:rFonts w:ascii="Times New Roman" w:hAnsi="Times New Roman" w:cs="Times New Roman"/>
          <w:noProof/>
          <w:sz w:val="26"/>
          <w:szCs w:val="26"/>
        </w:rPr>
      </w:pPr>
      <w:hyperlink w:anchor="_Toc328732876" w:history="1">
        <w:r w:rsidR="00772975" w:rsidRPr="00D50797">
          <w:rPr>
            <w:rStyle w:val="Hyperlink"/>
            <w:rFonts w:ascii="Times New Roman" w:hAnsi="Times New Roman" w:cs="Times New Roman"/>
            <w:noProof/>
            <w:sz w:val="26"/>
            <w:szCs w:val="26"/>
          </w:rPr>
          <w:t xml:space="preserve">4. </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Generation Resource Rider</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_Toc328732876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16</w:t>
        </w:r>
        <w:r w:rsidR="00772975" w:rsidRPr="00D50797">
          <w:rPr>
            <w:rFonts w:ascii="Times New Roman" w:hAnsi="Times New Roman" w:cs="Times New Roman"/>
            <w:noProof/>
            <w:webHidden/>
            <w:sz w:val="26"/>
            <w:szCs w:val="26"/>
          </w:rPr>
          <w:fldChar w:fldCharType="end"/>
        </w:r>
      </w:hyperlink>
    </w:p>
    <w:p w:rsidR="00772975" w:rsidRPr="00D50797" w:rsidRDefault="00D50797" w:rsidP="00772975">
      <w:pPr>
        <w:pStyle w:val="TOC4"/>
        <w:tabs>
          <w:tab w:val="left" w:pos="1100"/>
          <w:tab w:val="right" w:leader="dot" w:pos="9350"/>
        </w:tabs>
        <w:ind w:left="2160" w:hanging="720"/>
        <w:rPr>
          <w:rFonts w:ascii="Times New Roman" w:hAnsi="Times New Roman" w:cs="Times New Roman"/>
          <w:noProof/>
          <w:sz w:val="26"/>
          <w:szCs w:val="26"/>
        </w:rPr>
      </w:pPr>
      <w:hyperlink w:anchor="_Toc328732877" w:history="1">
        <w:r w:rsidR="00772975" w:rsidRPr="00D50797">
          <w:rPr>
            <w:rStyle w:val="Hyperlink"/>
            <w:rFonts w:ascii="Times New Roman" w:hAnsi="Times New Roman" w:cs="Times New Roman"/>
            <w:noProof/>
            <w:sz w:val="26"/>
            <w:szCs w:val="26"/>
          </w:rPr>
          <w:t xml:space="preserve">5. </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Interruptible Service Rates</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_Toc328732877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21</w:t>
        </w:r>
        <w:r w:rsidR="00772975" w:rsidRPr="00D50797">
          <w:rPr>
            <w:rFonts w:ascii="Times New Roman" w:hAnsi="Times New Roman" w:cs="Times New Roman"/>
            <w:noProof/>
            <w:webHidden/>
            <w:sz w:val="26"/>
            <w:szCs w:val="26"/>
          </w:rPr>
          <w:fldChar w:fldCharType="end"/>
        </w:r>
      </w:hyperlink>
    </w:p>
    <w:p w:rsidR="00772975" w:rsidRPr="00D50797" w:rsidRDefault="00D50797" w:rsidP="00772975">
      <w:pPr>
        <w:pStyle w:val="TOC4"/>
        <w:tabs>
          <w:tab w:val="left" w:pos="1100"/>
          <w:tab w:val="right" w:leader="dot" w:pos="9350"/>
        </w:tabs>
        <w:ind w:left="2160" w:hanging="720"/>
        <w:rPr>
          <w:rFonts w:ascii="Times New Roman" w:hAnsi="Times New Roman" w:cs="Times New Roman"/>
          <w:noProof/>
          <w:sz w:val="26"/>
          <w:szCs w:val="26"/>
        </w:rPr>
      </w:pPr>
      <w:hyperlink w:anchor="_Toc328732878" w:history="1">
        <w:r w:rsidR="00772975" w:rsidRPr="00D50797">
          <w:rPr>
            <w:rStyle w:val="Hyperlink"/>
            <w:rFonts w:ascii="Times New Roman" w:hAnsi="Times New Roman" w:cs="Times New Roman"/>
            <w:noProof/>
            <w:sz w:val="26"/>
            <w:szCs w:val="26"/>
          </w:rPr>
          <w:t xml:space="preserve">6. </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Retail Stability Rider</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_Toc328732878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23</w:t>
        </w:r>
        <w:r w:rsidR="00772975" w:rsidRPr="00D50797">
          <w:rPr>
            <w:rFonts w:ascii="Times New Roman" w:hAnsi="Times New Roman" w:cs="Times New Roman"/>
            <w:noProof/>
            <w:webHidden/>
            <w:sz w:val="26"/>
            <w:szCs w:val="26"/>
          </w:rPr>
          <w:fldChar w:fldCharType="end"/>
        </w:r>
      </w:hyperlink>
    </w:p>
    <w:p w:rsidR="00772975" w:rsidRPr="00D50797" w:rsidRDefault="00D50797" w:rsidP="005774A4">
      <w:pPr>
        <w:pStyle w:val="TOC3"/>
        <w:rPr>
          <w:rFonts w:ascii="Times New Roman" w:hAnsi="Times New Roman" w:cs="Times New Roman"/>
          <w:noProof/>
          <w:sz w:val="26"/>
          <w:szCs w:val="26"/>
        </w:rPr>
      </w:pPr>
      <w:hyperlink w:anchor="_Toc328732879" w:history="1">
        <w:r w:rsidR="00772975" w:rsidRPr="00D50797">
          <w:rPr>
            <w:rStyle w:val="Hyperlink"/>
            <w:rFonts w:ascii="Times New Roman" w:hAnsi="Times New Roman" w:cs="Times New Roman"/>
            <w:noProof/>
            <w:sz w:val="26"/>
            <w:szCs w:val="26"/>
          </w:rPr>
          <w:t>B.</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Discounted Capacity Charges</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_Toc328732879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23</w:t>
        </w:r>
        <w:r w:rsidR="00772975" w:rsidRPr="00D50797">
          <w:rPr>
            <w:rFonts w:ascii="Times New Roman" w:hAnsi="Times New Roman" w:cs="Times New Roman"/>
            <w:noProof/>
            <w:webHidden/>
            <w:sz w:val="26"/>
            <w:szCs w:val="26"/>
          </w:rPr>
          <w:fldChar w:fldCharType="end"/>
        </w:r>
      </w:hyperlink>
    </w:p>
    <w:p w:rsidR="00772975" w:rsidRPr="00D50797" w:rsidRDefault="00D50797" w:rsidP="005774A4">
      <w:pPr>
        <w:pStyle w:val="TOC3"/>
        <w:rPr>
          <w:rFonts w:ascii="Times New Roman" w:hAnsi="Times New Roman" w:cs="Times New Roman"/>
          <w:noProof/>
          <w:sz w:val="26"/>
          <w:szCs w:val="26"/>
        </w:rPr>
      </w:pPr>
      <w:hyperlink w:anchor="_Toc328732880" w:history="1">
        <w:r w:rsidR="00772975" w:rsidRPr="00D50797">
          <w:rPr>
            <w:rStyle w:val="Hyperlink"/>
            <w:rFonts w:ascii="Times New Roman" w:hAnsi="Times New Roman" w:cs="Times New Roman"/>
            <w:noProof/>
            <w:sz w:val="26"/>
            <w:szCs w:val="26"/>
          </w:rPr>
          <w:t>C.</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Distribution Rates</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_Toc328732880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24</w:t>
        </w:r>
        <w:r w:rsidR="00772975" w:rsidRPr="00D50797">
          <w:rPr>
            <w:rFonts w:ascii="Times New Roman" w:hAnsi="Times New Roman" w:cs="Times New Roman"/>
            <w:noProof/>
            <w:webHidden/>
            <w:sz w:val="26"/>
            <w:szCs w:val="26"/>
          </w:rPr>
          <w:fldChar w:fldCharType="end"/>
        </w:r>
      </w:hyperlink>
    </w:p>
    <w:p w:rsidR="00772975" w:rsidRPr="00D50797" w:rsidRDefault="00D50797" w:rsidP="00772975">
      <w:pPr>
        <w:pStyle w:val="TOC4"/>
        <w:tabs>
          <w:tab w:val="left" w:pos="1100"/>
          <w:tab w:val="right" w:leader="dot" w:pos="9350"/>
        </w:tabs>
        <w:ind w:left="2160" w:hanging="720"/>
        <w:rPr>
          <w:rFonts w:ascii="Times New Roman" w:hAnsi="Times New Roman" w:cs="Times New Roman"/>
          <w:noProof/>
          <w:sz w:val="26"/>
          <w:szCs w:val="26"/>
        </w:rPr>
      </w:pPr>
      <w:hyperlink w:anchor="_Toc328732881" w:history="1">
        <w:r w:rsidR="00772975" w:rsidRPr="00D50797">
          <w:rPr>
            <w:rStyle w:val="Hyperlink"/>
            <w:rFonts w:ascii="Times New Roman" w:hAnsi="Times New Roman" w:cs="Times New Roman"/>
            <w:noProof/>
            <w:sz w:val="26"/>
            <w:szCs w:val="26"/>
          </w:rPr>
          <w:t>1.</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Distribution Investment Rider</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_Toc328732881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24</w:t>
        </w:r>
        <w:r w:rsidR="00772975" w:rsidRPr="00D50797">
          <w:rPr>
            <w:rFonts w:ascii="Times New Roman" w:hAnsi="Times New Roman" w:cs="Times New Roman"/>
            <w:noProof/>
            <w:webHidden/>
            <w:sz w:val="26"/>
            <w:szCs w:val="26"/>
          </w:rPr>
          <w:fldChar w:fldCharType="end"/>
        </w:r>
      </w:hyperlink>
    </w:p>
    <w:p w:rsidR="00772975" w:rsidRPr="00D50797" w:rsidRDefault="00D50797" w:rsidP="00772975">
      <w:pPr>
        <w:pStyle w:val="TOC4"/>
        <w:tabs>
          <w:tab w:val="left" w:pos="1100"/>
          <w:tab w:val="right" w:leader="dot" w:pos="9350"/>
        </w:tabs>
        <w:ind w:left="2160" w:hanging="720"/>
        <w:rPr>
          <w:rFonts w:ascii="Times New Roman" w:hAnsi="Times New Roman" w:cs="Times New Roman"/>
          <w:noProof/>
          <w:sz w:val="26"/>
          <w:szCs w:val="26"/>
        </w:rPr>
      </w:pPr>
      <w:hyperlink w:anchor="_Toc328732882" w:history="1">
        <w:r w:rsidR="00772975" w:rsidRPr="00D50797">
          <w:rPr>
            <w:rStyle w:val="Hyperlink"/>
            <w:rFonts w:ascii="Times New Roman" w:hAnsi="Times New Roman" w:cs="Times New Roman"/>
            <w:noProof/>
            <w:sz w:val="26"/>
            <w:szCs w:val="26"/>
          </w:rPr>
          <w:t>2.</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gridSMART Rider</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_Toc328732882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27</w:t>
        </w:r>
        <w:r w:rsidR="00772975" w:rsidRPr="00D50797">
          <w:rPr>
            <w:rFonts w:ascii="Times New Roman" w:hAnsi="Times New Roman" w:cs="Times New Roman"/>
            <w:noProof/>
            <w:webHidden/>
            <w:sz w:val="26"/>
            <w:szCs w:val="26"/>
          </w:rPr>
          <w:fldChar w:fldCharType="end"/>
        </w:r>
      </w:hyperlink>
    </w:p>
    <w:p w:rsidR="00772975" w:rsidRPr="00D50797" w:rsidRDefault="00D50797" w:rsidP="00772975">
      <w:pPr>
        <w:pStyle w:val="TOC4"/>
        <w:tabs>
          <w:tab w:val="left" w:pos="1100"/>
          <w:tab w:val="right" w:leader="dot" w:pos="9350"/>
        </w:tabs>
        <w:ind w:left="2160" w:hanging="720"/>
        <w:rPr>
          <w:rFonts w:ascii="Times New Roman" w:hAnsi="Times New Roman" w:cs="Times New Roman"/>
          <w:noProof/>
          <w:sz w:val="26"/>
          <w:szCs w:val="26"/>
        </w:rPr>
      </w:pPr>
      <w:hyperlink w:anchor="_Toc328732883" w:history="1">
        <w:r w:rsidR="00772975" w:rsidRPr="00D50797">
          <w:rPr>
            <w:rStyle w:val="Hyperlink"/>
            <w:rFonts w:ascii="Times New Roman" w:hAnsi="Times New Roman" w:cs="Times New Roman"/>
            <w:noProof/>
            <w:sz w:val="26"/>
            <w:szCs w:val="26"/>
          </w:rPr>
          <w:t>3.</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Enhanced Service Reliability Rider</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_Toc328732883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29</w:t>
        </w:r>
        <w:r w:rsidR="00772975" w:rsidRPr="00D50797">
          <w:rPr>
            <w:rFonts w:ascii="Times New Roman" w:hAnsi="Times New Roman" w:cs="Times New Roman"/>
            <w:noProof/>
            <w:webHidden/>
            <w:sz w:val="26"/>
            <w:szCs w:val="26"/>
          </w:rPr>
          <w:fldChar w:fldCharType="end"/>
        </w:r>
      </w:hyperlink>
    </w:p>
    <w:p w:rsidR="00772975" w:rsidRPr="00D50797" w:rsidRDefault="00D50797" w:rsidP="005774A4">
      <w:pPr>
        <w:pStyle w:val="TOC3"/>
        <w:rPr>
          <w:rFonts w:ascii="Times New Roman" w:hAnsi="Times New Roman" w:cs="Times New Roman"/>
          <w:noProof/>
          <w:sz w:val="26"/>
          <w:szCs w:val="26"/>
        </w:rPr>
      </w:pPr>
      <w:hyperlink w:anchor="_Toc328732884" w:history="1">
        <w:r w:rsidR="00772975" w:rsidRPr="00D50797">
          <w:rPr>
            <w:rStyle w:val="Hyperlink"/>
            <w:rFonts w:ascii="Times New Roman" w:hAnsi="Times New Roman" w:cs="Times New Roman"/>
            <w:noProof/>
            <w:sz w:val="26"/>
            <w:szCs w:val="26"/>
          </w:rPr>
          <w:t>D.</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Energy Efficiency/Peak Demand Reduction Rider</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_Toc328732884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31</w:t>
        </w:r>
        <w:r w:rsidR="00772975" w:rsidRPr="00D50797">
          <w:rPr>
            <w:rFonts w:ascii="Times New Roman" w:hAnsi="Times New Roman" w:cs="Times New Roman"/>
            <w:noProof/>
            <w:webHidden/>
            <w:sz w:val="26"/>
            <w:szCs w:val="26"/>
          </w:rPr>
          <w:fldChar w:fldCharType="end"/>
        </w:r>
      </w:hyperlink>
    </w:p>
    <w:p w:rsidR="00772975" w:rsidRPr="00D50797" w:rsidRDefault="00D50797" w:rsidP="005774A4">
      <w:pPr>
        <w:pStyle w:val="TOC3"/>
        <w:rPr>
          <w:rFonts w:ascii="Times New Roman" w:hAnsi="Times New Roman" w:cs="Times New Roman"/>
          <w:noProof/>
          <w:sz w:val="26"/>
          <w:szCs w:val="26"/>
        </w:rPr>
      </w:pPr>
      <w:hyperlink w:anchor="_Toc328732885" w:history="1">
        <w:r w:rsidR="00772975" w:rsidRPr="00D50797">
          <w:rPr>
            <w:rStyle w:val="Hyperlink"/>
            <w:rFonts w:ascii="Times New Roman" w:hAnsi="Times New Roman" w:cs="Times New Roman"/>
            <w:noProof/>
            <w:sz w:val="26"/>
            <w:szCs w:val="26"/>
          </w:rPr>
          <w:t>E.</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Economic Development Rider</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_Toc328732885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31</w:t>
        </w:r>
        <w:r w:rsidR="00772975" w:rsidRPr="00D50797">
          <w:rPr>
            <w:rFonts w:ascii="Times New Roman" w:hAnsi="Times New Roman" w:cs="Times New Roman"/>
            <w:noProof/>
            <w:webHidden/>
            <w:sz w:val="26"/>
            <w:szCs w:val="26"/>
          </w:rPr>
          <w:fldChar w:fldCharType="end"/>
        </w:r>
      </w:hyperlink>
    </w:p>
    <w:p w:rsidR="00772975" w:rsidRPr="00D50797" w:rsidRDefault="00D50797" w:rsidP="00772975">
      <w:pPr>
        <w:pStyle w:val="TOC2"/>
        <w:rPr>
          <w:rFonts w:ascii="Times New Roman" w:hAnsi="Times New Roman" w:cs="Times New Roman"/>
          <w:noProof/>
          <w:sz w:val="26"/>
          <w:szCs w:val="26"/>
        </w:rPr>
      </w:pPr>
      <w:hyperlink w:anchor="_Toc328732886" w:history="1">
        <w:r w:rsidR="00772975" w:rsidRPr="00D50797">
          <w:rPr>
            <w:rStyle w:val="Hyperlink"/>
            <w:rFonts w:ascii="Times New Roman" w:hAnsi="Times New Roman" w:cs="Times New Roman"/>
            <w:noProof/>
            <w:sz w:val="26"/>
            <w:szCs w:val="26"/>
          </w:rPr>
          <w:t>IV.</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New Accounting Deferrals and Recovery of Existing Regulatory Assets</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_Toc328732886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31</w:t>
        </w:r>
        <w:r w:rsidR="00772975" w:rsidRPr="00D50797">
          <w:rPr>
            <w:rFonts w:ascii="Times New Roman" w:hAnsi="Times New Roman" w:cs="Times New Roman"/>
            <w:noProof/>
            <w:webHidden/>
            <w:sz w:val="26"/>
            <w:szCs w:val="26"/>
          </w:rPr>
          <w:fldChar w:fldCharType="end"/>
        </w:r>
      </w:hyperlink>
    </w:p>
    <w:p w:rsidR="00772975" w:rsidRPr="00D50797" w:rsidRDefault="00D50797" w:rsidP="00772975">
      <w:pPr>
        <w:pStyle w:val="TOC2"/>
        <w:rPr>
          <w:rFonts w:ascii="Times New Roman" w:hAnsi="Times New Roman" w:cs="Times New Roman"/>
          <w:noProof/>
          <w:sz w:val="26"/>
          <w:szCs w:val="26"/>
        </w:rPr>
      </w:pPr>
      <w:hyperlink w:anchor="_Toc328732887" w:history="1">
        <w:r w:rsidR="00772975" w:rsidRPr="00D50797">
          <w:rPr>
            <w:rStyle w:val="Hyperlink"/>
            <w:rFonts w:ascii="Times New Roman" w:hAnsi="Times New Roman" w:cs="Times New Roman"/>
            <w:noProof/>
            <w:sz w:val="26"/>
            <w:szCs w:val="26"/>
          </w:rPr>
          <w:t>V.</w:t>
        </w:r>
        <w:r w:rsidR="00772975" w:rsidRPr="00D50797">
          <w:rPr>
            <w:rFonts w:ascii="Times New Roman" w:hAnsi="Times New Roman" w:cs="Times New Roman"/>
            <w:noProof/>
            <w:sz w:val="26"/>
            <w:szCs w:val="26"/>
          </w:rPr>
          <w:tab/>
        </w:r>
        <w:r w:rsidR="00772975" w:rsidRPr="00D50797">
          <w:rPr>
            <w:rStyle w:val="Hyperlink"/>
            <w:rFonts w:ascii="Times New Roman" w:hAnsi="Times New Roman" w:cs="Times New Roman"/>
            <w:noProof/>
            <w:sz w:val="26"/>
            <w:szCs w:val="26"/>
          </w:rPr>
          <w:t>Conclusion</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_Toc328732887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32</w:t>
        </w:r>
        <w:r w:rsidR="00772975" w:rsidRPr="00D50797">
          <w:rPr>
            <w:rFonts w:ascii="Times New Roman" w:hAnsi="Times New Roman" w:cs="Times New Roman"/>
            <w:noProof/>
            <w:webHidden/>
            <w:sz w:val="26"/>
            <w:szCs w:val="26"/>
          </w:rPr>
          <w:fldChar w:fldCharType="end"/>
        </w:r>
      </w:hyperlink>
    </w:p>
    <w:p w:rsidR="00772975" w:rsidRDefault="00D50797">
      <w:pPr>
        <w:pStyle w:val="TOC1"/>
        <w:tabs>
          <w:tab w:val="right" w:leader="dot" w:pos="9350"/>
        </w:tabs>
        <w:rPr>
          <w:noProof/>
        </w:rPr>
      </w:pPr>
      <w:hyperlink w:anchor="_Toc328732888" w:history="1">
        <w:r w:rsidR="00772975" w:rsidRPr="00D50797">
          <w:rPr>
            <w:rStyle w:val="Hyperlink"/>
            <w:rFonts w:ascii="Times New Roman" w:hAnsi="Times New Roman" w:cs="Times New Roman"/>
            <w:noProof/>
            <w:sz w:val="26"/>
            <w:szCs w:val="26"/>
          </w:rPr>
          <w:t>PROOF OF SERVICE</w:t>
        </w:r>
        <w:r w:rsidR="00772975" w:rsidRPr="00D50797">
          <w:rPr>
            <w:rFonts w:ascii="Times New Roman" w:hAnsi="Times New Roman" w:cs="Times New Roman"/>
            <w:noProof/>
            <w:webHidden/>
            <w:sz w:val="26"/>
            <w:szCs w:val="26"/>
          </w:rPr>
          <w:tab/>
        </w:r>
        <w:r w:rsidR="00772975" w:rsidRPr="00D50797">
          <w:rPr>
            <w:rFonts w:ascii="Times New Roman" w:hAnsi="Times New Roman" w:cs="Times New Roman"/>
            <w:noProof/>
            <w:webHidden/>
            <w:sz w:val="26"/>
            <w:szCs w:val="26"/>
          </w:rPr>
          <w:fldChar w:fldCharType="begin"/>
        </w:r>
        <w:r w:rsidR="00772975" w:rsidRPr="00D50797">
          <w:rPr>
            <w:rFonts w:ascii="Times New Roman" w:hAnsi="Times New Roman" w:cs="Times New Roman"/>
            <w:noProof/>
            <w:webHidden/>
            <w:sz w:val="26"/>
            <w:szCs w:val="26"/>
          </w:rPr>
          <w:instrText xml:space="preserve"> PAGEREF _Toc328732888 \h </w:instrText>
        </w:r>
        <w:r w:rsidR="00772975" w:rsidRPr="00D50797">
          <w:rPr>
            <w:rFonts w:ascii="Times New Roman" w:hAnsi="Times New Roman" w:cs="Times New Roman"/>
            <w:noProof/>
            <w:webHidden/>
            <w:sz w:val="26"/>
            <w:szCs w:val="26"/>
          </w:rPr>
        </w:r>
        <w:r w:rsidR="00772975" w:rsidRPr="00D50797">
          <w:rPr>
            <w:rFonts w:ascii="Times New Roman" w:hAnsi="Times New Roman" w:cs="Times New Roman"/>
            <w:noProof/>
            <w:webHidden/>
            <w:sz w:val="26"/>
            <w:szCs w:val="26"/>
          </w:rPr>
          <w:fldChar w:fldCharType="separate"/>
        </w:r>
        <w:r w:rsidR="00EF3DE5" w:rsidRPr="00D50797">
          <w:rPr>
            <w:rFonts w:ascii="Times New Roman" w:hAnsi="Times New Roman" w:cs="Times New Roman"/>
            <w:noProof/>
            <w:webHidden/>
            <w:sz w:val="26"/>
            <w:szCs w:val="26"/>
          </w:rPr>
          <w:t>34</w:t>
        </w:r>
        <w:r w:rsidR="00772975" w:rsidRPr="00D50797">
          <w:rPr>
            <w:rFonts w:ascii="Times New Roman" w:hAnsi="Times New Roman" w:cs="Times New Roman"/>
            <w:noProof/>
            <w:webHidden/>
            <w:sz w:val="26"/>
            <w:szCs w:val="26"/>
          </w:rPr>
          <w:fldChar w:fldCharType="end"/>
        </w:r>
      </w:hyperlink>
    </w:p>
    <w:p w:rsidR="00772975" w:rsidRPr="003C72A8" w:rsidRDefault="00772975" w:rsidP="0077297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fldChar w:fldCharType="end"/>
      </w:r>
    </w:p>
    <w:p w:rsidR="000D654D" w:rsidRPr="003C72A8" w:rsidRDefault="000D654D" w:rsidP="000D654D">
      <w:pPr>
        <w:autoSpaceDE w:val="0"/>
        <w:autoSpaceDN w:val="0"/>
        <w:adjustRightInd w:val="0"/>
        <w:spacing w:after="0" w:line="240" w:lineRule="auto"/>
        <w:ind w:left="7200" w:firstLine="720"/>
        <w:rPr>
          <w:rFonts w:ascii="Times New Roman" w:hAnsi="Times New Roman" w:cs="Times New Roman"/>
          <w:sz w:val="26"/>
          <w:szCs w:val="26"/>
        </w:rPr>
      </w:pPr>
    </w:p>
    <w:p w:rsidR="000D654D" w:rsidRPr="003C72A8" w:rsidRDefault="000D654D" w:rsidP="000D654D">
      <w:pPr>
        <w:rPr>
          <w:rFonts w:ascii="Times New Roman" w:hAnsi="Times New Roman" w:cs="Times New Roman"/>
          <w:sz w:val="26"/>
          <w:szCs w:val="26"/>
        </w:rPr>
        <w:sectPr w:rsidR="000D654D" w:rsidRPr="003C72A8" w:rsidSect="008D052E">
          <w:footerReference w:type="default" r:id="rId11"/>
          <w:endnotePr>
            <w:numFmt w:val="decimal"/>
          </w:endnotePr>
          <w:pgSz w:w="12240" w:h="15840"/>
          <w:pgMar w:top="1440" w:right="1440" w:bottom="1440" w:left="1440" w:header="720" w:footer="720" w:gutter="0"/>
          <w:pgNumType w:fmt="lowerRoman" w:start="1"/>
          <w:cols w:space="720"/>
          <w:titlePg/>
          <w:docGrid w:linePitch="360"/>
        </w:sectPr>
      </w:pPr>
      <w:r w:rsidRPr="003C72A8">
        <w:rPr>
          <w:rFonts w:ascii="Times New Roman" w:hAnsi="Times New Roman" w:cs="Times New Roman"/>
          <w:sz w:val="26"/>
          <w:szCs w:val="26"/>
        </w:rPr>
        <w:t xml:space="preserve"> </w:t>
      </w:r>
    </w:p>
    <w:p w:rsidR="000D654D" w:rsidRPr="003C72A8" w:rsidRDefault="000D654D" w:rsidP="000D654D">
      <w:pPr>
        <w:spacing w:after="0" w:line="240" w:lineRule="auto"/>
        <w:jc w:val="center"/>
        <w:rPr>
          <w:rFonts w:ascii="Times New Roman" w:hAnsi="Times New Roman" w:cs="Times New Roman"/>
          <w:b/>
          <w:sz w:val="26"/>
          <w:szCs w:val="26"/>
        </w:rPr>
      </w:pPr>
      <w:r w:rsidRPr="003C72A8">
        <w:rPr>
          <w:rFonts w:ascii="Times New Roman" w:hAnsi="Times New Roman" w:cs="Times New Roman"/>
          <w:b/>
          <w:sz w:val="26"/>
          <w:szCs w:val="26"/>
        </w:rPr>
        <w:lastRenderedPageBreak/>
        <w:t>BEFORE</w:t>
      </w:r>
    </w:p>
    <w:p w:rsidR="000D654D" w:rsidRPr="003C72A8" w:rsidRDefault="000D654D" w:rsidP="000D654D">
      <w:pPr>
        <w:spacing w:after="0" w:line="240" w:lineRule="auto"/>
        <w:jc w:val="center"/>
        <w:rPr>
          <w:rFonts w:ascii="Times New Roman" w:hAnsi="Times New Roman" w:cs="Times New Roman"/>
          <w:b/>
          <w:sz w:val="26"/>
          <w:szCs w:val="26"/>
        </w:rPr>
      </w:pPr>
      <w:r w:rsidRPr="003C72A8">
        <w:rPr>
          <w:rFonts w:ascii="Times New Roman" w:hAnsi="Times New Roman" w:cs="Times New Roman"/>
          <w:b/>
          <w:sz w:val="26"/>
          <w:szCs w:val="26"/>
        </w:rPr>
        <w:t>THE PUBLIC UTILITIES COMMISSION OF OHIO</w:t>
      </w:r>
    </w:p>
    <w:p w:rsidR="000D654D" w:rsidRPr="003C72A8" w:rsidRDefault="000D654D" w:rsidP="000D654D">
      <w:pPr>
        <w:tabs>
          <w:tab w:val="left" w:pos="5130"/>
          <w:tab w:val="left" w:pos="5670"/>
        </w:tabs>
        <w:spacing w:after="0" w:line="240" w:lineRule="auto"/>
        <w:jc w:val="center"/>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4689"/>
        <w:gridCol w:w="289"/>
        <w:gridCol w:w="4598"/>
      </w:tblGrid>
      <w:tr w:rsidR="000D654D" w:rsidRPr="003C72A8" w:rsidTr="000D654D">
        <w:tc>
          <w:tcPr>
            <w:tcW w:w="4689" w:type="dxa"/>
          </w:tcPr>
          <w:p w:rsidR="000D654D" w:rsidRPr="003C72A8" w:rsidRDefault="000D654D" w:rsidP="008D052E">
            <w:pPr>
              <w:tabs>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In the Matter of the Application of Columbus Southern Power Company and Ohio Power Company for Authority to Establish a Standard Service Offer Pursuant to §4928.143, Ohio Rev. Code, in the Form of an Electric Security Plan.</w:t>
            </w:r>
          </w:p>
          <w:p w:rsidR="000D654D" w:rsidRPr="003C72A8" w:rsidRDefault="000D654D" w:rsidP="008D052E">
            <w:pPr>
              <w:tabs>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8D052E">
            <w:pPr>
              <w:tabs>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In the Matter of the Application of Columbus Southern Power Company and Ohio Power Company for Approval of Certain Accounting Authority.</w:t>
            </w:r>
          </w:p>
        </w:tc>
        <w:tc>
          <w:tcPr>
            <w:tcW w:w="289" w:type="dxa"/>
          </w:tcPr>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tc>
        <w:tc>
          <w:tcPr>
            <w:tcW w:w="4598" w:type="dxa"/>
          </w:tcPr>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Case No. 11-346-EL-SSO</w:t>
            </w: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Case No. 11-348-EL-SSO</w:t>
            </w: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Case No. 11-349-EL-AAM</w:t>
            </w: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Case No. 11-350-EL-AAM</w:t>
            </w:r>
          </w:p>
        </w:tc>
      </w:tr>
    </w:tbl>
    <w:p w:rsidR="000D654D" w:rsidRPr="003C72A8" w:rsidRDefault="000D654D" w:rsidP="000D654D">
      <w:pPr>
        <w:tabs>
          <w:tab w:val="left" w:pos="8640"/>
        </w:tabs>
        <w:spacing w:after="0" w:line="240" w:lineRule="auto"/>
        <w:rPr>
          <w:rFonts w:ascii="Times New Roman" w:eastAsia="Times New Roman" w:hAnsi="Times New Roman" w:cs="Times New Roman"/>
          <w:b/>
          <w:bCs/>
          <w:sz w:val="26"/>
          <w:szCs w:val="26"/>
          <w:u w:val="single"/>
        </w:rPr>
      </w:pPr>
      <w:r w:rsidRPr="003C72A8">
        <w:rPr>
          <w:rFonts w:ascii="Times New Roman" w:eastAsia="Times New Roman" w:hAnsi="Times New Roman" w:cs="Times New Roman"/>
          <w:b/>
          <w:bCs/>
          <w:sz w:val="26"/>
          <w:szCs w:val="26"/>
          <w:u w:val="single"/>
        </w:rPr>
        <w:tab/>
        <w:t>_____</w:t>
      </w:r>
    </w:p>
    <w:p w:rsidR="000D654D" w:rsidRPr="003C72A8" w:rsidRDefault="000D654D" w:rsidP="000D654D">
      <w:pPr>
        <w:tabs>
          <w:tab w:val="left" w:pos="8640"/>
        </w:tabs>
        <w:spacing w:after="0" w:line="240" w:lineRule="auto"/>
        <w:rPr>
          <w:rFonts w:ascii="Times New Roman" w:eastAsia="Times New Roman" w:hAnsi="Times New Roman" w:cs="Times New Roman"/>
          <w:b/>
          <w:bCs/>
          <w:sz w:val="26"/>
          <w:szCs w:val="26"/>
          <w:u w:val="single"/>
        </w:rPr>
      </w:pPr>
    </w:p>
    <w:p w:rsidR="000D654D" w:rsidRPr="003C72A8" w:rsidRDefault="000D654D" w:rsidP="000D654D">
      <w:pPr>
        <w:tabs>
          <w:tab w:val="left" w:pos="8640"/>
        </w:tabs>
        <w:spacing w:after="0" w:line="240" w:lineRule="auto"/>
        <w:jc w:val="center"/>
        <w:rPr>
          <w:rFonts w:ascii="Times New Roman" w:eastAsia="Times New Roman" w:hAnsi="Times New Roman" w:cs="Times New Roman"/>
          <w:b/>
          <w:bCs/>
          <w:sz w:val="26"/>
          <w:szCs w:val="26"/>
        </w:rPr>
      </w:pPr>
      <w:r w:rsidRPr="003C72A8">
        <w:rPr>
          <w:rFonts w:ascii="Times New Roman" w:eastAsia="Times New Roman" w:hAnsi="Times New Roman" w:cs="Times New Roman"/>
          <w:b/>
          <w:bCs/>
          <w:sz w:val="26"/>
          <w:szCs w:val="26"/>
        </w:rPr>
        <w:t>INITIAL POST-HEARING BRIEF OF THE STAFF OF THE PUBLIC UTILITIES COMMISSION OF OHIO</w:t>
      </w:r>
    </w:p>
    <w:p w:rsidR="000D654D" w:rsidRPr="003C72A8" w:rsidRDefault="000D654D" w:rsidP="000D654D">
      <w:pPr>
        <w:tabs>
          <w:tab w:val="left" w:pos="8640"/>
        </w:tabs>
        <w:spacing w:after="0" w:line="240" w:lineRule="auto"/>
        <w:rPr>
          <w:rFonts w:ascii="Times New Roman" w:eastAsia="Times New Roman" w:hAnsi="Times New Roman" w:cs="Times New Roman"/>
          <w:b/>
          <w:bCs/>
          <w:sz w:val="26"/>
          <w:szCs w:val="26"/>
          <w:u w:val="single"/>
        </w:rPr>
      </w:pPr>
      <w:r w:rsidRPr="003C72A8">
        <w:rPr>
          <w:rFonts w:ascii="Times New Roman" w:eastAsia="Times New Roman" w:hAnsi="Times New Roman" w:cs="Times New Roman"/>
          <w:b/>
          <w:bCs/>
          <w:sz w:val="26"/>
          <w:szCs w:val="26"/>
          <w:u w:val="single"/>
        </w:rPr>
        <w:tab/>
        <w:t>_____</w:t>
      </w:r>
    </w:p>
    <w:p w:rsidR="000D654D" w:rsidRPr="003C72A8" w:rsidRDefault="000D654D" w:rsidP="000D654D">
      <w:pPr>
        <w:widowControl w:val="0"/>
        <w:spacing w:after="240" w:line="240" w:lineRule="auto"/>
        <w:jc w:val="center"/>
        <w:outlineLvl w:val="0"/>
        <w:rPr>
          <w:rFonts w:ascii="Times New Roman" w:eastAsia="Times New Roman" w:hAnsi="Times New Roman" w:cs="Times New Roman"/>
          <w:b/>
          <w:bCs/>
          <w:sz w:val="26"/>
          <w:szCs w:val="26"/>
        </w:rPr>
      </w:pPr>
    </w:p>
    <w:p w:rsidR="000D654D" w:rsidRPr="003C72A8" w:rsidRDefault="000D654D" w:rsidP="005774A4">
      <w:pPr>
        <w:pStyle w:val="Heading1"/>
      </w:pPr>
      <w:bookmarkStart w:id="0" w:name="_Toc328732861"/>
      <w:r w:rsidRPr="003C72A8">
        <w:t>INTRODUCTION</w:t>
      </w:r>
      <w:bookmarkEnd w:id="0"/>
    </w:p>
    <w:p w:rsidR="00B5049B" w:rsidRDefault="003C72A8" w:rsidP="003C72A8">
      <w:pPr>
        <w:pStyle w:val="textstyle0"/>
        <w:ind w:firstLine="720"/>
      </w:pPr>
      <w:r w:rsidRPr="003C72A8">
        <w:t xml:space="preserve">During the hearing in this case, many of these same parties filed briefs in what has been called </w:t>
      </w:r>
      <w:r w:rsidR="00B5049B">
        <w:t xml:space="preserve">AEP-Ohio’s </w:t>
      </w:r>
      <w:r w:rsidRPr="003C72A8">
        <w:t>“</w:t>
      </w:r>
      <w:r w:rsidR="00B5049B">
        <w:t>capacity case</w:t>
      </w:r>
      <w:r w:rsidRPr="003C72A8">
        <w:t>.</w:t>
      </w:r>
      <w:r w:rsidR="00B5049B">
        <w:t>”</w:t>
      </w:r>
      <w:r w:rsidR="006B34C6">
        <w:rPr>
          <w:rStyle w:val="FootnoteReference"/>
        </w:rPr>
        <w:footnoteReference w:id="1"/>
      </w:r>
      <w:r w:rsidRPr="003C72A8">
        <w:t xml:space="preserve"> </w:t>
      </w:r>
      <w:r w:rsidR="00B5049B">
        <w:t>Many of AEP-Ohio’s (Company’s) proposals in this case are closely related to the capacity case, and may hinge on the outcome of that case. The Company has repeated</w:t>
      </w:r>
      <w:r w:rsidR="005774A4">
        <w:t>ly</w:t>
      </w:r>
      <w:r w:rsidR="00B5049B">
        <w:t xml:space="preserve"> emphasized that this modified Electric Security Plan (ESP) is a “package” that should be considered as a whole. </w:t>
      </w:r>
    </w:p>
    <w:p w:rsidR="003C72A8" w:rsidRDefault="00B5049B" w:rsidP="003C72A8">
      <w:pPr>
        <w:pStyle w:val="textstyle0"/>
        <w:ind w:firstLine="720"/>
      </w:pPr>
      <w:r>
        <w:t xml:space="preserve">The plan, if considered as a package and in the context of the Company’s litigation position in the capacity case, is unacceptable to the Commission </w:t>
      </w:r>
      <w:r w:rsidR="00927CF2">
        <w:t>staff</w:t>
      </w:r>
      <w:r>
        <w:t xml:space="preserve">. </w:t>
      </w:r>
      <w:r w:rsidR="003C72A8" w:rsidRPr="003C72A8">
        <w:t xml:space="preserve">Staff’s position in this case is unchanged from the position that it articulated in </w:t>
      </w:r>
      <w:r>
        <w:t>the capacity case</w:t>
      </w:r>
      <w:r w:rsidR="003C72A8" w:rsidRPr="003C72A8">
        <w:t xml:space="preserve">, and it reasserts the arguments advanced there by reference. In general, </w:t>
      </w:r>
      <w:r w:rsidR="00927CF2">
        <w:t>staff</w:t>
      </w:r>
      <w:r w:rsidR="003C72A8" w:rsidRPr="003C72A8">
        <w:t xml:space="preserve">’s position is that </w:t>
      </w:r>
      <w:r>
        <w:t xml:space="preserve">the </w:t>
      </w:r>
      <w:r>
        <w:lastRenderedPageBreak/>
        <w:t>Company</w:t>
      </w:r>
      <w:r w:rsidR="003C72A8" w:rsidRPr="003C72A8">
        <w:t xml:space="preserve"> should charge CRES providers the prevaili</w:t>
      </w:r>
      <w:r w:rsidR="005774A4">
        <w:t>ng Reliability Pricing Model (RPM</w:t>
      </w:r>
      <w:r w:rsidR="003C72A8" w:rsidRPr="003C72A8">
        <w:t xml:space="preserve">) capacity rates in the unconstrained region of PJM. Staff proposed that an alternative capacity charge </w:t>
      </w:r>
      <w:r w:rsidR="003C72A8" w:rsidRPr="003C72A8">
        <w:rPr>
          <w:rFonts w:eastAsia="Times New Roman"/>
          <w:bCs/>
        </w:rPr>
        <w:t xml:space="preserve">of $146.41/MW-Day be set as a state compensation mechanism for </w:t>
      </w:r>
      <w:r w:rsidR="005774A4">
        <w:rPr>
          <w:rFonts w:eastAsia="Times New Roman"/>
          <w:bCs/>
        </w:rPr>
        <w:t>the Company</w:t>
      </w:r>
      <w:r w:rsidR="003C72A8" w:rsidRPr="003C72A8">
        <w:t xml:space="preserve"> in the event that the Commission should find that the prevailing RPM capacity rates during the June 1, 2012 through May 31, 2015 period are not appropriate. </w:t>
      </w:r>
      <w:r>
        <w:t>Adoption of the staff position would significantly impact the Company’s proposals</w:t>
      </w:r>
      <w:r w:rsidR="006B34C6">
        <w:t xml:space="preserve"> in this</w:t>
      </w:r>
      <w:r w:rsidR="005774A4">
        <w:t xml:space="preserve"> case</w:t>
      </w:r>
      <w:r>
        <w:t xml:space="preserve">, for instance, to provide a two-tiered “capacity discount” to encourage shopping, and a decoupling mechanism to </w:t>
      </w:r>
      <w:r w:rsidR="006B34C6">
        <w:t xml:space="preserve">shield the Company from financial impact in </w:t>
      </w:r>
      <w:r>
        <w:t xml:space="preserve">the transition to full market. </w:t>
      </w:r>
    </w:p>
    <w:p w:rsidR="00151FA7" w:rsidRDefault="00B5049B" w:rsidP="00A74135">
      <w:pPr>
        <w:pStyle w:val="textstyle0"/>
        <w:ind w:firstLine="720"/>
      </w:pPr>
      <w:r>
        <w:t xml:space="preserve">To </w:t>
      </w:r>
      <w:r w:rsidR="00A74135">
        <w:t xml:space="preserve">whatever </w:t>
      </w:r>
      <w:r>
        <w:t xml:space="preserve">extent the Company </w:t>
      </w:r>
      <w:r w:rsidR="00A74135">
        <w:t xml:space="preserve">may be correct in </w:t>
      </w:r>
      <w:r>
        <w:t>believ</w:t>
      </w:r>
      <w:r w:rsidR="00A74135">
        <w:t>ing</w:t>
      </w:r>
      <w:r>
        <w:t xml:space="preserve"> that the Commission would like for it to “</w:t>
      </w:r>
      <w:r w:rsidRPr="00B5049B">
        <w:t>move to market more quickly,”</w:t>
      </w:r>
      <w:r w:rsidR="00A74135">
        <w:rPr>
          <w:rStyle w:val="FootnoteReference"/>
        </w:rPr>
        <w:footnoteReference w:id="2"/>
      </w:r>
      <w:r w:rsidRPr="00B5049B">
        <w:t xml:space="preserve"> </w:t>
      </w:r>
      <w:r w:rsidR="00A74135">
        <w:t>the staff certainly submit</w:t>
      </w:r>
      <w:r w:rsidR="006B34C6">
        <w:t>s</w:t>
      </w:r>
      <w:r w:rsidR="00A74135">
        <w:t xml:space="preserve"> that the quickest possible orderly transition to full market is in the best interests of all parties and the State of Ohio as a whole. The staff would prefer to see energy and capacity sold at market prices. While some transition mechanism may be appropriate, staff is more concerned that the </w:t>
      </w:r>
      <w:proofErr w:type="gramStart"/>
      <w:r w:rsidR="00A74135">
        <w:t>transition occur</w:t>
      </w:r>
      <w:proofErr w:type="gramEnd"/>
      <w:r w:rsidR="00A74135">
        <w:t xml:space="preserve"> as quickly, and as completely, as practicable. </w:t>
      </w:r>
    </w:p>
    <w:p w:rsidR="00A74135" w:rsidRPr="003C72A8" w:rsidRDefault="00A74135" w:rsidP="00A74135">
      <w:pPr>
        <w:pStyle w:val="textstyle0"/>
        <w:ind w:firstLine="720"/>
      </w:pPr>
    </w:p>
    <w:p w:rsidR="00A74135" w:rsidRDefault="00A74135">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A74135" w:rsidRPr="00A74135" w:rsidRDefault="00A74135" w:rsidP="005774A4">
      <w:pPr>
        <w:pStyle w:val="Heading1"/>
      </w:pPr>
      <w:bookmarkStart w:id="1" w:name="_Toc328732862"/>
      <w:r>
        <w:lastRenderedPageBreak/>
        <w:t>DISCUSSION</w:t>
      </w:r>
      <w:bookmarkEnd w:id="1"/>
    </w:p>
    <w:p w:rsidR="007E5F87" w:rsidRPr="00E40F3F" w:rsidRDefault="00E40F3F" w:rsidP="00A253A1">
      <w:pPr>
        <w:pStyle w:val="Heading2"/>
      </w:pPr>
      <w:bookmarkStart w:id="2" w:name="_Toc328732863"/>
      <w:r>
        <w:t xml:space="preserve">ESP </w:t>
      </w:r>
      <w:proofErr w:type="gramStart"/>
      <w:r w:rsidR="004A2658">
        <w:t>Versus</w:t>
      </w:r>
      <w:proofErr w:type="gramEnd"/>
      <w:r>
        <w:t xml:space="preserve"> MRO Test</w:t>
      </w:r>
      <w:bookmarkEnd w:id="2"/>
    </w:p>
    <w:p w:rsidR="007E5F87" w:rsidRDefault="005774A4" w:rsidP="00E40F3F">
      <w:pPr>
        <w:autoSpaceDE w:val="0"/>
        <w:autoSpaceDN w:val="0"/>
        <w:adjustRightInd w:val="0"/>
        <w:spacing w:after="0" w:line="480" w:lineRule="auto"/>
        <w:ind w:firstLine="720"/>
        <w:rPr>
          <w:rFonts w:ascii="Times New Roman" w:hAnsi="Times New Roman" w:cs="Times New Roman"/>
          <w:sz w:val="26"/>
          <w:szCs w:val="26"/>
        </w:rPr>
      </w:pPr>
      <w:r>
        <w:rPr>
          <w:rFonts w:ascii="Times New Roman" w:hAnsi="Times New Roman" w:cs="Times New Roman"/>
          <w:sz w:val="26"/>
          <w:szCs w:val="26"/>
        </w:rPr>
        <w:t xml:space="preserve">The </w:t>
      </w:r>
      <w:r w:rsidR="006B34C6">
        <w:rPr>
          <w:rFonts w:ascii="Times New Roman" w:hAnsi="Times New Roman" w:cs="Times New Roman"/>
          <w:sz w:val="26"/>
          <w:szCs w:val="26"/>
        </w:rPr>
        <w:t xml:space="preserve">Company </w:t>
      </w:r>
      <w:r w:rsidR="00E40F3F">
        <w:rPr>
          <w:rFonts w:ascii="Times New Roman" w:hAnsi="Times New Roman" w:cs="Times New Roman"/>
          <w:sz w:val="26"/>
          <w:szCs w:val="26"/>
        </w:rPr>
        <w:t>ha</w:t>
      </w:r>
      <w:r w:rsidR="007E5F87" w:rsidRPr="007E5F87">
        <w:rPr>
          <w:rFonts w:ascii="Times New Roman" w:hAnsi="Times New Roman" w:cs="Times New Roman"/>
          <w:sz w:val="26"/>
          <w:szCs w:val="26"/>
        </w:rPr>
        <w:t>s propos</w:t>
      </w:r>
      <w:r w:rsidR="00E40F3F">
        <w:rPr>
          <w:rFonts w:ascii="Times New Roman" w:hAnsi="Times New Roman" w:cs="Times New Roman"/>
          <w:sz w:val="26"/>
          <w:szCs w:val="26"/>
        </w:rPr>
        <w:t>ed</w:t>
      </w:r>
      <w:r w:rsidR="007E5F87" w:rsidRPr="007E5F87">
        <w:rPr>
          <w:rFonts w:ascii="Times New Roman" w:hAnsi="Times New Roman" w:cs="Times New Roman"/>
          <w:sz w:val="26"/>
          <w:szCs w:val="26"/>
        </w:rPr>
        <w:t xml:space="preserve"> an E</w:t>
      </w:r>
      <w:r w:rsidR="00E40F3F">
        <w:rPr>
          <w:rFonts w:ascii="Times New Roman" w:hAnsi="Times New Roman" w:cs="Times New Roman"/>
          <w:sz w:val="26"/>
          <w:szCs w:val="26"/>
        </w:rPr>
        <w:t xml:space="preserve">lectric Security Plan </w:t>
      </w:r>
      <w:r w:rsidR="006B34C6">
        <w:rPr>
          <w:rFonts w:ascii="Times New Roman" w:hAnsi="Times New Roman" w:cs="Times New Roman"/>
          <w:sz w:val="26"/>
          <w:szCs w:val="26"/>
        </w:rPr>
        <w:t xml:space="preserve">(ESP) </w:t>
      </w:r>
      <w:r w:rsidR="007E5F87" w:rsidRPr="007E5F87">
        <w:rPr>
          <w:rFonts w:ascii="Times New Roman" w:hAnsi="Times New Roman" w:cs="Times New Roman"/>
          <w:sz w:val="26"/>
          <w:szCs w:val="26"/>
        </w:rPr>
        <w:t>to fulfill its</w:t>
      </w:r>
      <w:r w:rsidR="007E5F87">
        <w:rPr>
          <w:rFonts w:ascii="Times New Roman" w:hAnsi="Times New Roman" w:cs="Times New Roman"/>
          <w:sz w:val="26"/>
          <w:szCs w:val="26"/>
        </w:rPr>
        <w:t xml:space="preserve"> </w:t>
      </w:r>
      <w:r w:rsidR="006B34C6">
        <w:rPr>
          <w:rFonts w:ascii="Times New Roman" w:hAnsi="Times New Roman" w:cs="Times New Roman"/>
          <w:sz w:val="26"/>
          <w:szCs w:val="26"/>
        </w:rPr>
        <w:t>obligation to provide a</w:t>
      </w:r>
      <w:r w:rsidR="007E5F87" w:rsidRPr="007E5F87">
        <w:rPr>
          <w:rFonts w:ascii="Times New Roman" w:hAnsi="Times New Roman" w:cs="Times New Roman"/>
          <w:sz w:val="26"/>
          <w:szCs w:val="26"/>
        </w:rPr>
        <w:t xml:space="preserve"> S</w:t>
      </w:r>
      <w:r w:rsidR="006B34C6">
        <w:rPr>
          <w:rFonts w:ascii="Times New Roman" w:hAnsi="Times New Roman" w:cs="Times New Roman"/>
          <w:sz w:val="26"/>
          <w:szCs w:val="26"/>
        </w:rPr>
        <w:t>tandard Service Offer (S</w:t>
      </w:r>
      <w:r w:rsidR="007E5F87" w:rsidRPr="007E5F87">
        <w:rPr>
          <w:rFonts w:ascii="Times New Roman" w:hAnsi="Times New Roman" w:cs="Times New Roman"/>
          <w:sz w:val="26"/>
          <w:szCs w:val="26"/>
        </w:rPr>
        <w:t>SO</w:t>
      </w:r>
      <w:r w:rsidR="006B34C6">
        <w:rPr>
          <w:rFonts w:ascii="Times New Roman" w:hAnsi="Times New Roman" w:cs="Times New Roman"/>
          <w:sz w:val="26"/>
          <w:szCs w:val="26"/>
        </w:rPr>
        <w:t>)</w:t>
      </w:r>
      <w:r w:rsidR="007E5F87" w:rsidRPr="007E5F87">
        <w:rPr>
          <w:rFonts w:ascii="Times New Roman" w:hAnsi="Times New Roman" w:cs="Times New Roman"/>
          <w:sz w:val="26"/>
          <w:szCs w:val="26"/>
        </w:rPr>
        <w:t xml:space="preserve"> under </w:t>
      </w:r>
      <w:r>
        <w:rPr>
          <w:rFonts w:ascii="Times New Roman" w:hAnsi="Times New Roman" w:cs="Times New Roman"/>
          <w:sz w:val="26"/>
          <w:szCs w:val="26"/>
        </w:rPr>
        <w:t xml:space="preserve">R.C. </w:t>
      </w:r>
      <w:r w:rsidR="007E5F87" w:rsidRPr="007E5F87">
        <w:rPr>
          <w:rFonts w:ascii="Times New Roman" w:hAnsi="Times New Roman" w:cs="Times New Roman"/>
          <w:sz w:val="26"/>
          <w:szCs w:val="26"/>
        </w:rPr>
        <w:t xml:space="preserve">4928.141. </w:t>
      </w:r>
      <w:r w:rsidR="00E40F3F">
        <w:rPr>
          <w:rFonts w:ascii="Times New Roman" w:hAnsi="Times New Roman" w:cs="Times New Roman"/>
          <w:sz w:val="26"/>
          <w:szCs w:val="26"/>
        </w:rPr>
        <w:t>It</w:t>
      </w:r>
      <w:r w:rsidR="007E5F87" w:rsidRPr="007E5F87">
        <w:rPr>
          <w:rFonts w:ascii="Times New Roman" w:hAnsi="Times New Roman" w:cs="Times New Roman"/>
          <w:sz w:val="26"/>
          <w:szCs w:val="26"/>
        </w:rPr>
        <w:t xml:space="preserve"> seeks approval of an ESP </w:t>
      </w:r>
      <w:r w:rsidR="006B34C6">
        <w:rPr>
          <w:rFonts w:ascii="Times New Roman" w:hAnsi="Times New Roman" w:cs="Times New Roman"/>
          <w:sz w:val="26"/>
          <w:szCs w:val="26"/>
        </w:rPr>
        <w:t>with</w:t>
      </w:r>
      <w:r w:rsidR="007E5F87" w:rsidRPr="007E5F87">
        <w:rPr>
          <w:rFonts w:ascii="Times New Roman" w:hAnsi="Times New Roman" w:cs="Times New Roman"/>
          <w:sz w:val="26"/>
          <w:szCs w:val="26"/>
        </w:rPr>
        <w:t xml:space="preserve"> a term </w:t>
      </w:r>
      <w:r w:rsidR="006B34C6">
        <w:rPr>
          <w:rFonts w:ascii="Times New Roman" w:hAnsi="Times New Roman" w:cs="Times New Roman"/>
          <w:sz w:val="26"/>
          <w:szCs w:val="26"/>
        </w:rPr>
        <w:t>beginning</w:t>
      </w:r>
      <w:r w:rsidR="007E5F87" w:rsidRPr="007E5F87">
        <w:rPr>
          <w:rFonts w:ascii="Times New Roman" w:hAnsi="Times New Roman" w:cs="Times New Roman"/>
          <w:sz w:val="26"/>
          <w:szCs w:val="26"/>
        </w:rPr>
        <w:t xml:space="preserve"> June 1, 2012 and ending May 31, 2015.</w:t>
      </w:r>
      <w:r w:rsidR="00E40F3F">
        <w:rPr>
          <w:rFonts w:ascii="Times New Roman" w:hAnsi="Times New Roman" w:cs="Times New Roman"/>
          <w:sz w:val="26"/>
          <w:szCs w:val="26"/>
        </w:rPr>
        <w:t xml:space="preserve"> The Company submits that its </w:t>
      </w:r>
      <w:r w:rsidR="00E40F3F" w:rsidRPr="00E40F3F">
        <w:rPr>
          <w:rFonts w:ascii="Times New Roman" w:hAnsi="Times New Roman" w:cs="Times New Roman"/>
          <w:sz w:val="26"/>
          <w:szCs w:val="26"/>
        </w:rPr>
        <w:t>modified ESP will have the effect of</w:t>
      </w:r>
      <w:r w:rsidR="00E40F3F">
        <w:rPr>
          <w:rFonts w:ascii="Times New Roman" w:hAnsi="Times New Roman" w:cs="Times New Roman"/>
          <w:sz w:val="26"/>
          <w:szCs w:val="26"/>
        </w:rPr>
        <w:t xml:space="preserve"> </w:t>
      </w:r>
      <w:r w:rsidR="00E40F3F" w:rsidRPr="00E40F3F">
        <w:rPr>
          <w:rFonts w:ascii="Times New Roman" w:hAnsi="Times New Roman" w:cs="Times New Roman"/>
          <w:sz w:val="26"/>
          <w:szCs w:val="26"/>
        </w:rPr>
        <w:t>stabilizing and providing certainty regarding retail electric service and is “more favorable in the aggregate as compared to the expected results that</w:t>
      </w:r>
      <w:r w:rsidR="00E40F3F">
        <w:rPr>
          <w:rFonts w:ascii="Times New Roman" w:hAnsi="Times New Roman" w:cs="Times New Roman"/>
          <w:sz w:val="26"/>
          <w:szCs w:val="26"/>
        </w:rPr>
        <w:t xml:space="preserve"> </w:t>
      </w:r>
      <w:r w:rsidR="00E40F3F" w:rsidRPr="00E40F3F">
        <w:rPr>
          <w:rFonts w:ascii="Times New Roman" w:hAnsi="Times New Roman" w:cs="Times New Roman"/>
          <w:sz w:val="26"/>
          <w:szCs w:val="26"/>
        </w:rPr>
        <w:t xml:space="preserve">would otherwise apply under section 4928.142 of the Revised Code.” </w:t>
      </w:r>
      <w:r w:rsidR="00E40F3F">
        <w:rPr>
          <w:rFonts w:ascii="Times New Roman" w:hAnsi="Times New Roman" w:cs="Times New Roman"/>
          <w:sz w:val="26"/>
          <w:szCs w:val="26"/>
        </w:rPr>
        <w:t xml:space="preserve">Staff’s analysis, however, demonstrates that the plan, at least on a purely quantitative basis, fails the MRO test. </w:t>
      </w:r>
    </w:p>
    <w:p w:rsidR="00E40F3F" w:rsidRPr="00E40F3F" w:rsidRDefault="00E40F3F" w:rsidP="005A72D6">
      <w:pPr>
        <w:pStyle w:val="Heading3"/>
      </w:pPr>
      <w:bookmarkStart w:id="3" w:name="_Toc328732864"/>
      <w:r w:rsidRPr="00E40F3F">
        <w:t xml:space="preserve">RPM </w:t>
      </w:r>
      <w:r w:rsidR="00A74135">
        <w:t>as the Appropriate Charge for Capacity</w:t>
      </w:r>
      <w:bookmarkEnd w:id="3"/>
      <w:r w:rsidRPr="00E40F3F">
        <w:t xml:space="preserve"> </w:t>
      </w:r>
    </w:p>
    <w:p w:rsidR="00E40F3F" w:rsidRPr="003337AC" w:rsidRDefault="00E40F3F" w:rsidP="00E40F3F">
      <w:pPr>
        <w:autoSpaceDE w:val="0"/>
        <w:autoSpaceDN w:val="0"/>
        <w:adjustRightInd w:val="0"/>
        <w:spacing w:after="0" w:line="240" w:lineRule="auto"/>
        <w:rPr>
          <w:rFonts w:ascii="Times New Roman" w:hAnsi="Times New Roman"/>
          <w:b/>
          <w:sz w:val="26"/>
          <w:szCs w:val="26"/>
          <w:u w:val="single"/>
        </w:rPr>
      </w:pPr>
    </w:p>
    <w:p w:rsidR="00E40F3F" w:rsidRDefault="00E40F3F" w:rsidP="00E40F3F">
      <w:pPr>
        <w:autoSpaceDE w:val="0"/>
        <w:autoSpaceDN w:val="0"/>
        <w:adjustRightInd w:val="0"/>
        <w:spacing w:after="0" w:line="480" w:lineRule="auto"/>
        <w:ind w:firstLine="720"/>
        <w:rPr>
          <w:rFonts w:ascii="Times New Roman" w:hAnsi="Times New Roman"/>
          <w:sz w:val="26"/>
          <w:szCs w:val="26"/>
        </w:rPr>
      </w:pPr>
      <w:r>
        <w:rPr>
          <w:rFonts w:ascii="Times New Roman" w:hAnsi="Times New Roman"/>
          <w:sz w:val="26"/>
          <w:szCs w:val="26"/>
        </w:rPr>
        <w:t xml:space="preserve">Staff witness Choueiki derived the Reliability Pricing Model-based (RPM-based) capacity component charges that </w:t>
      </w:r>
      <w:r w:rsidR="00927CF2">
        <w:rPr>
          <w:rFonts w:ascii="Times New Roman" w:hAnsi="Times New Roman"/>
          <w:sz w:val="26"/>
          <w:szCs w:val="26"/>
        </w:rPr>
        <w:t>staff</w:t>
      </w:r>
      <w:r>
        <w:rPr>
          <w:rFonts w:ascii="Times New Roman" w:hAnsi="Times New Roman"/>
          <w:sz w:val="26"/>
          <w:szCs w:val="26"/>
        </w:rPr>
        <w:t xml:space="preserve"> witness Johnson used in developing the retail Market Rate Offer (MRO) price </w:t>
      </w:r>
      <w:r w:rsidR="006B34C6">
        <w:rPr>
          <w:rFonts w:ascii="Times New Roman" w:hAnsi="Times New Roman"/>
          <w:sz w:val="26"/>
          <w:szCs w:val="26"/>
        </w:rPr>
        <w:t>for the PJM delivery years 2012-2013, 2013-2014, and 2014-</w:t>
      </w:r>
      <w:r>
        <w:rPr>
          <w:rFonts w:ascii="Times New Roman" w:hAnsi="Times New Roman"/>
          <w:sz w:val="26"/>
          <w:szCs w:val="26"/>
        </w:rPr>
        <w:t xml:space="preserve">2015. Should the Commission find in Case No. 10-2929-EL-UNC that the prevailing RPM capacity rates during the June 1, 2012 - May 31, 2015 period are non-compensatory, </w:t>
      </w:r>
      <w:r w:rsidR="00927CF2">
        <w:rPr>
          <w:rFonts w:ascii="Times New Roman" w:hAnsi="Times New Roman"/>
          <w:sz w:val="26"/>
          <w:szCs w:val="26"/>
        </w:rPr>
        <w:t>staff</w:t>
      </w:r>
      <w:r>
        <w:rPr>
          <w:rFonts w:ascii="Times New Roman" w:hAnsi="Times New Roman"/>
          <w:sz w:val="26"/>
          <w:szCs w:val="26"/>
        </w:rPr>
        <w:t xml:space="preserve"> witness Choueiki derived alternate capacity component charges for the Commission to consider when evaluating the MRO price test results.</w:t>
      </w:r>
      <w:r>
        <w:rPr>
          <w:rStyle w:val="FootnoteReference"/>
          <w:rFonts w:ascii="Times New Roman" w:hAnsi="Times New Roman"/>
          <w:sz w:val="26"/>
          <w:szCs w:val="26"/>
        </w:rPr>
        <w:footnoteReference w:id="3"/>
      </w:r>
      <w:r>
        <w:rPr>
          <w:rFonts w:ascii="Times New Roman" w:hAnsi="Times New Roman"/>
          <w:sz w:val="26"/>
          <w:szCs w:val="26"/>
        </w:rPr>
        <w:t xml:space="preserve"> </w:t>
      </w:r>
    </w:p>
    <w:p w:rsidR="00A74135" w:rsidRDefault="00A74135">
      <w:pPr>
        <w:rPr>
          <w:rFonts w:ascii="Times New Roman" w:hAnsi="Times New Roman"/>
          <w:b/>
          <w:sz w:val="26"/>
          <w:szCs w:val="26"/>
        </w:rPr>
      </w:pPr>
      <w:r>
        <w:rPr>
          <w:rFonts w:ascii="Times New Roman" w:hAnsi="Times New Roman"/>
          <w:b/>
          <w:sz w:val="26"/>
          <w:szCs w:val="26"/>
        </w:rPr>
        <w:br w:type="page"/>
      </w:r>
    </w:p>
    <w:p w:rsidR="00E40F3F" w:rsidRDefault="00E40F3F" w:rsidP="005A72D6">
      <w:pPr>
        <w:pStyle w:val="Heading4"/>
      </w:pPr>
      <w:bookmarkStart w:id="4" w:name="_Toc328732865"/>
      <w:r>
        <w:lastRenderedPageBreak/>
        <w:t>1.</w:t>
      </w:r>
      <w:r>
        <w:tab/>
        <w:t>RPM-Based Component Charges</w:t>
      </w:r>
      <w:bookmarkEnd w:id="4"/>
      <w:r>
        <w:t xml:space="preserve"> </w:t>
      </w:r>
    </w:p>
    <w:p w:rsidR="00E40F3F" w:rsidRDefault="00E40F3F" w:rsidP="00E40F3F">
      <w:pPr>
        <w:autoSpaceDE w:val="0"/>
        <w:autoSpaceDN w:val="0"/>
        <w:adjustRightInd w:val="0"/>
        <w:spacing w:after="0" w:line="480" w:lineRule="auto"/>
        <w:ind w:firstLine="720"/>
        <w:rPr>
          <w:rFonts w:ascii="Times New Roman" w:hAnsi="Times New Roman"/>
          <w:sz w:val="26"/>
          <w:szCs w:val="26"/>
        </w:rPr>
      </w:pPr>
      <w:r>
        <w:rPr>
          <w:rFonts w:ascii="Times New Roman" w:hAnsi="Times New Roman"/>
          <w:sz w:val="26"/>
          <w:szCs w:val="26"/>
        </w:rPr>
        <w:t xml:space="preserve">Company witness Thomas </w:t>
      </w:r>
      <w:r w:rsidR="006B34C6">
        <w:rPr>
          <w:rFonts w:ascii="Times New Roman" w:hAnsi="Times New Roman"/>
          <w:sz w:val="26"/>
          <w:szCs w:val="26"/>
        </w:rPr>
        <w:t>based</w:t>
      </w:r>
      <w:r>
        <w:rPr>
          <w:rFonts w:ascii="Times New Roman" w:hAnsi="Times New Roman"/>
          <w:sz w:val="26"/>
          <w:szCs w:val="26"/>
        </w:rPr>
        <w:t xml:space="preserve"> the capacity component charge on the rate supported by AEP Ohio in Case No. 10-2929-EL-UNC; a fully embedded cost of $343.98/MW-day</w:t>
      </w:r>
      <w:r>
        <w:rPr>
          <w:rStyle w:val="FootnoteReference"/>
          <w:rFonts w:ascii="Times New Roman" w:hAnsi="Times New Roman"/>
          <w:sz w:val="26"/>
          <w:szCs w:val="26"/>
        </w:rPr>
        <w:footnoteReference w:id="4"/>
      </w:r>
      <w:r>
        <w:rPr>
          <w:rFonts w:ascii="Times New Roman" w:hAnsi="Times New Roman"/>
          <w:sz w:val="26"/>
          <w:szCs w:val="26"/>
        </w:rPr>
        <w:t xml:space="preserve"> (or $355.72/MW-day after losses have been included). The capacity charge derived by Ms. Thomas is cost-based, not market-based.</w:t>
      </w:r>
      <w:r>
        <w:rPr>
          <w:rStyle w:val="FootnoteReference"/>
          <w:rFonts w:ascii="Times New Roman" w:hAnsi="Times New Roman"/>
          <w:sz w:val="26"/>
          <w:szCs w:val="26"/>
        </w:rPr>
        <w:footnoteReference w:id="5"/>
      </w:r>
      <w:r w:rsidR="006B34C6">
        <w:rPr>
          <w:rFonts w:ascii="Times New Roman" w:hAnsi="Times New Roman"/>
          <w:sz w:val="26"/>
          <w:szCs w:val="26"/>
        </w:rPr>
        <w:t xml:space="preserve"> It is s</w:t>
      </w:r>
      <w:r>
        <w:rPr>
          <w:rFonts w:ascii="Times New Roman" w:hAnsi="Times New Roman"/>
          <w:sz w:val="26"/>
          <w:szCs w:val="26"/>
        </w:rPr>
        <w:t>taff’s position that it is generally not reasonable to use a cost-based capacity component charge in a retail MRO development.</w:t>
      </w:r>
      <w:r>
        <w:rPr>
          <w:rStyle w:val="FootnoteReference"/>
          <w:rFonts w:ascii="Times New Roman" w:hAnsi="Times New Roman"/>
          <w:sz w:val="26"/>
          <w:szCs w:val="26"/>
        </w:rPr>
        <w:footnoteReference w:id="6"/>
      </w:r>
      <w:r>
        <w:rPr>
          <w:rFonts w:ascii="Times New Roman" w:hAnsi="Times New Roman"/>
          <w:sz w:val="26"/>
          <w:szCs w:val="26"/>
        </w:rPr>
        <w:t xml:space="preserve"> To the extent there is a transparent forward capacity price available in the market, that price should be used in the derivation of a capacity component charge that would then be included in a proposed retail MRO.</w:t>
      </w:r>
      <w:r>
        <w:rPr>
          <w:rStyle w:val="FootnoteReference"/>
          <w:rFonts w:ascii="Times New Roman" w:hAnsi="Times New Roman"/>
          <w:sz w:val="26"/>
          <w:szCs w:val="26"/>
        </w:rPr>
        <w:footnoteReference w:id="7"/>
      </w:r>
      <w:r>
        <w:rPr>
          <w:rFonts w:ascii="Times New Roman" w:hAnsi="Times New Roman"/>
          <w:sz w:val="26"/>
          <w:szCs w:val="26"/>
        </w:rPr>
        <w:t xml:space="preserve"> This logic is no different than the use of the Simple Swap proposed by Ms. Thomas in the determination of an energy component charge in AEP Ohio's proposed retail MRO.</w:t>
      </w:r>
      <w:r>
        <w:rPr>
          <w:rStyle w:val="FootnoteReference"/>
          <w:rFonts w:ascii="Times New Roman" w:hAnsi="Times New Roman"/>
          <w:sz w:val="26"/>
          <w:szCs w:val="26"/>
        </w:rPr>
        <w:footnoteReference w:id="8"/>
      </w:r>
    </w:p>
    <w:p w:rsidR="00E40F3F" w:rsidRDefault="00E40F3F" w:rsidP="00E40F3F">
      <w:pPr>
        <w:autoSpaceDE w:val="0"/>
        <w:autoSpaceDN w:val="0"/>
        <w:adjustRightInd w:val="0"/>
        <w:spacing w:after="0" w:line="480" w:lineRule="auto"/>
        <w:ind w:firstLine="720"/>
        <w:rPr>
          <w:rFonts w:ascii="Times New Roman" w:hAnsi="Times New Roman"/>
          <w:sz w:val="26"/>
          <w:szCs w:val="26"/>
        </w:rPr>
      </w:pPr>
      <w:r>
        <w:rPr>
          <w:rFonts w:ascii="Times New Roman" w:hAnsi="Times New Roman"/>
          <w:sz w:val="26"/>
          <w:szCs w:val="26"/>
        </w:rPr>
        <w:t>Transparent forward capacity prices, from June 1, 2012 through May 31, 2015, are available in the PJM footprint.</w:t>
      </w:r>
      <w:r>
        <w:rPr>
          <w:rStyle w:val="FootnoteReference"/>
          <w:rFonts w:ascii="Times New Roman" w:hAnsi="Times New Roman"/>
          <w:sz w:val="26"/>
          <w:szCs w:val="26"/>
        </w:rPr>
        <w:footnoteReference w:id="9"/>
      </w:r>
      <w:r>
        <w:rPr>
          <w:rFonts w:ascii="Times New Roman" w:hAnsi="Times New Roman"/>
          <w:sz w:val="26"/>
          <w:szCs w:val="26"/>
        </w:rPr>
        <w:t xml:space="preserve"> The capacity clearing prices</w:t>
      </w:r>
      <w:r w:rsidR="006B34C6">
        <w:rPr>
          <w:rFonts w:ascii="Times New Roman" w:hAnsi="Times New Roman"/>
          <w:sz w:val="26"/>
          <w:szCs w:val="26"/>
        </w:rPr>
        <w:t xml:space="preserve"> in the RTO region for the 2012-</w:t>
      </w:r>
      <w:r>
        <w:rPr>
          <w:rFonts w:ascii="Times New Roman" w:hAnsi="Times New Roman"/>
          <w:sz w:val="26"/>
          <w:szCs w:val="26"/>
        </w:rPr>
        <w:t>2013, 2013</w:t>
      </w:r>
      <w:r w:rsidR="006B34C6">
        <w:rPr>
          <w:rFonts w:ascii="Times New Roman" w:hAnsi="Times New Roman"/>
          <w:sz w:val="26"/>
          <w:szCs w:val="26"/>
        </w:rPr>
        <w:t>-</w:t>
      </w:r>
      <w:r>
        <w:rPr>
          <w:rFonts w:ascii="Times New Roman" w:hAnsi="Times New Roman"/>
          <w:sz w:val="26"/>
          <w:szCs w:val="26"/>
        </w:rPr>
        <w:t>2014, and 2014</w:t>
      </w:r>
      <w:r w:rsidR="006B34C6">
        <w:rPr>
          <w:rFonts w:ascii="Times New Roman" w:hAnsi="Times New Roman"/>
          <w:sz w:val="26"/>
          <w:szCs w:val="26"/>
        </w:rPr>
        <w:t>-</w:t>
      </w:r>
      <w:r>
        <w:rPr>
          <w:rFonts w:ascii="Times New Roman" w:hAnsi="Times New Roman"/>
          <w:sz w:val="26"/>
          <w:szCs w:val="26"/>
        </w:rPr>
        <w:t>2015 delivery years are $16.73/MW-Day, $27.86/MW-</w:t>
      </w:r>
      <w:r>
        <w:rPr>
          <w:rFonts w:ascii="Times New Roman" w:hAnsi="Times New Roman"/>
          <w:sz w:val="26"/>
          <w:szCs w:val="26"/>
        </w:rPr>
        <w:lastRenderedPageBreak/>
        <w:t>Day, and $125.99/MW-day, respectively. Staff witness Choueiki derived a capacity component charge</w:t>
      </w:r>
      <w:r>
        <w:rPr>
          <w:rStyle w:val="FootnoteReference"/>
          <w:rFonts w:ascii="Times New Roman" w:hAnsi="Times New Roman"/>
          <w:sz w:val="26"/>
          <w:szCs w:val="26"/>
        </w:rPr>
        <w:footnoteReference w:id="10"/>
      </w:r>
      <w:r>
        <w:rPr>
          <w:rFonts w:ascii="Times New Roman" w:hAnsi="Times New Roman"/>
          <w:sz w:val="26"/>
          <w:szCs w:val="26"/>
        </w:rPr>
        <w:t xml:space="preserve"> for </w:t>
      </w:r>
      <w:r w:rsidR="006B34C6">
        <w:rPr>
          <w:rFonts w:ascii="Times New Roman" w:hAnsi="Times New Roman"/>
          <w:sz w:val="26"/>
          <w:szCs w:val="26"/>
        </w:rPr>
        <w:t>each</w:t>
      </w:r>
      <w:r>
        <w:rPr>
          <w:rFonts w:ascii="Times New Roman" w:hAnsi="Times New Roman"/>
          <w:sz w:val="26"/>
          <w:szCs w:val="26"/>
        </w:rPr>
        <w:t xml:space="preserve"> delivery year that was used in the development of the retail MRO by </w:t>
      </w:r>
      <w:r w:rsidR="00927CF2">
        <w:rPr>
          <w:rFonts w:ascii="Times New Roman" w:hAnsi="Times New Roman"/>
          <w:sz w:val="26"/>
          <w:szCs w:val="26"/>
        </w:rPr>
        <w:t>staff</w:t>
      </w:r>
      <w:r>
        <w:rPr>
          <w:rFonts w:ascii="Times New Roman" w:hAnsi="Times New Roman"/>
          <w:sz w:val="26"/>
          <w:szCs w:val="26"/>
        </w:rPr>
        <w:t xml:space="preserve"> witness Johnson. </w:t>
      </w:r>
    </w:p>
    <w:p w:rsidR="00E40F3F" w:rsidRDefault="00E40F3F" w:rsidP="00E40F3F">
      <w:pPr>
        <w:autoSpaceDE w:val="0"/>
        <w:autoSpaceDN w:val="0"/>
        <w:adjustRightInd w:val="0"/>
        <w:spacing w:after="0" w:line="480" w:lineRule="auto"/>
        <w:ind w:firstLine="720"/>
        <w:rPr>
          <w:rFonts w:ascii="Times New Roman" w:hAnsi="Times New Roman"/>
          <w:sz w:val="26"/>
          <w:szCs w:val="26"/>
        </w:rPr>
      </w:pPr>
      <w:r>
        <w:rPr>
          <w:rFonts w:ascii="Times New Roman" w:hAnsi="Times New Roman"/>
          <w:sz w:val="26"/>
          <w:szCs w:val="26"/>
        </w:rPr>
        <w:t>A capacity component charge for the 2012</w:t>
      </w:r>
      <w:r w:rsidR="006B34C6">
        <w:rPr>
          <w:rFonts w:ascii="Times New Roman" w:hAnsi="Times New Roman"/>
          <w:sz w:val="26"/>
          <w:szCs w:val="26"/>
        </w:rPr>
        <w:t>-</w:t>
      </w:r>
      <w:r>
        <w:rPr>
          <w:rFonts w:ascii="Times New Roman" w:hAnsi="Times New Roman"/>
          <w:sz w:val="26"/>
          <w:szCs w:val="26"/>
        </w:rPr>
        <w:t xml:space="preserve">2013 delivery year that would be billed with every MW-hour of energy, for example, is computed by dividing the RPM capacity clearing price ($16.73/MW-day) by the product of 24 (24 hours in a day) and an estimate of </w:t>
      </w:r>
      <w:r w:rsidR="005774A4">
        <w:rPr>
          <w:rFonts w:ascii="Times New Roman" w:hAnsi="Times New Roman"/>
          <w:sz w:val="26"/>
          <w:szCs w:val="26"/>
        </w:rPr>
        <w:t>the Company</w:t>
      </w:r>
      <w:r>
        <w:rPr>
          <w:rFonts w:ascii="Times New Roman" w:hAnsi="Times New Roman"/>
          <w:sz w:val="26"/>
          <w:szCs w:val="26"/>
        </w:rPr>
        <w:t xml:space="preserve"> load factor.</w:t>
      </w:r>
      <w:r>
        <w:rPr>
          <w:rStyle w:val="FootnoteReference"/>
          <w:rFonts w:ascii="Times New Roman" w:hAnsi="Times New Roman"/>
          <w:sz w:val="26"/>
          <w:szCs w:val="26"/>
        </w:rPr>
        <w:footnoteReference w:id="11"/>
      </w:r>
      <w:r>
        <w:rPr>
          <w:rFonts w:ascii="Times New Roman" w:hAnsi="Times New Roman"/>
          <w:sz w:val="26"/>
          <w:szCs w:val="26"/>
        </w:rPr>
        <w:t xml:space="preserve"> The net result is a capacity component charge of $1.08/MW-hour.</w:t>
      </w:r>
      <w:r>
        <w:rPr>
          <w:rStyle w:val="FootnoteReference"/>
          <w:rFonts w:ascii="Times New Roman" w:hAnsi="Times New Roman"/>
          <w:sz w:val="26"/>
          <w:szCs w:val="26"/>
        </w:rPr>
        <w:footnoteReference w:id="12"/>
      </w:r>
      <w:r>
        <w:rPr>
          <w:rFonts w:ascii="Times New Roman" w:hAnsi="Times New Roman"/>
          <w:sz w:val="26"/>
          <w:szCs w:val="26"/>
        </w:rPr>
        <w:t xml:space="preserve"> Using the same arithmetic, the capacity component charges for the 2013</w:t>
      </w:r>
      <w:r w:rsidR="006B34C6">
        <w:rPr>
          <w:rFonts w:ascii="Times New Roman" w:hAnsi="Times New Roman"/>
          <w:sz w:val="26"/>
          <w:szCs w:val="26"/>
        </w:rPr>
        <w:t>-</w:t>
      </w:r>
      <w:r>
        <w:rPr>
          <w:rFonts w:ascii="Times New Roman" w:hAnsi="Times New Roman"/>
          <w:sz w:val="26"/>
          <w:szCs w:val="26"/>
        </w:rPr>
        <w:t>2014 and 2014</w:t>
      </w:r>
      <w:r w:rsidR="006B34C6">
        <w:rPr>
          <w:rFonts w:ascii="Times New Roman" w:hAnsi="Times New Roman"/>
          <w:sz w:val="26"/>
          <w:szCs w:val="26"/>
        </w:rPr>
        <w:t>-</w:t>
      </w:r>
      <w:r>
        <w:rPr>
          <w:rFonts w:ascii="Times New Roman" w:hAnsi="Times New Roman"/>
          <w:sz w:val="26"/>
          <w:szCs w:val="26"/>
        </w:rPr>
        <w:t>2015 delivery years are $1.80/MW- hour and $8.13/MW-hour, respectively.</w:t>
      </w:r>
      <w:r>
        <w:rPr>
          <w:rStyle w:val="FootnoteReference"/>
          <w:rFonts w:ascii="Times New Roman" w:hAnsi="Times New Roman"/>
          <w:sz w:val="26"/>
          <w:szCs w:val="26"/>
        </w:rPr>
        <w:footnoteReference w:id="13"/>
      </w:r>
      <w:r>
        <w:rPr>
          <w:rFonts w:ascii="Times New Roman" w:hAnsi="Times New Roman"/>
          <w:sz w:val="26"/>
          <w:szCs w:val="26"/>
        </w:rPr>
        <w:t xml:space="preserve"> </w:t>
      </w:r>
    </w:p>
    <w:p w:rsidR="00E40F3F" w:rsidRPr="00E40F3F" w:rsidRDefault="00E40F3F" w:rsidP="005A72D6">
      <w:pPr>
        <w:pStyle w:val="Heading4"/>
      </w:pPr>
      <w:bookmarkStart w:id="5" w:name="_Toc328732866"/>
      <w:r>
        <w:t>2.</w:t>
      </w:r>
      <w:r>
        <w:tab/>
      </w:r>
      <w:r w:rsidRPr="00AB03BF">
        <w:t>FRR Construct</w:t>
      </w:r>
      <w:bookmarkEnd w:id="5"/>
      <w:r w:rsidRPr="00E40F3F">
        <w:t xml:space="preserve"> </w:t>
      </w:r>
    </w:p>
    <w:p w:rsidR="00E40F3F" w:rsidRDefault="00E40F3F" w:rsidP="00E40F3F">
      <w:pPr>
        <w:autoSpaceDE w:val="0"/>
        <w:autoSpaceDN w:val="0"/>
        <w:adjustRightInd w:val="0"/>
        <w:spacing w:after="0" w:line="480" w:lineRule="auto"/>
        <w:ind w:firstLine="720"/>
        <w:rPr>
          <w:rFonts w:ascii="Times New Roman" w:hAnsi="Times New Roman"/>
          <w:sz w:val="26"/>
          <w:szCs w:val="26"/>
        </w:rPr>
      </w:pPr>
      <w:r>
        <w:rPr>
          <w:rFonts w:ascii="Times New Roman" w:hAnsi="Times New Roman"/>
          <w:sz w:val="26"/>
          <w:szCs w:val="26"/>
        </w:rPr>
        <w:t xml:space="preserve">For the purpose of satisfying PJM's reserve margin requirement, </w:t>
      </w:r>
      <w:r w:rsidR="005774A4">
        <w:rPr>
          <w:rFonts w:ascii="Times New Roman" w:hAnsi="Times New Roman"/>
          <w:sz w:val="26"/>
          <w:szCs w:val="26"/>
        </w:rPr>
        <w:t>the Company</w:t>
      </w:r>
      <w:r>
        <w:rPr>
          <w:rFonts w:ascii="Times New Roman" w:hAnsi="Times New Roman"/>
          <w:sz w:val="26"/>
          <w:szCs w:val="26"/>
        </w:rPr>
        <w:t xml:space="preserve"> operates under the Fixed Resource Requirement (FRR) construct.</w:t>
      </w:r>
      <w:r>
        <w:rPr>
          <w:rStyle w:val="FootnoteReference"/>
          <w:rFonts w:ascii="Times New Roman" w:hAnsi="Times New Roman"/>
          <w:sz w:val="26"/>
          <w:szCs w:val="26"/>
        </w:rPr>
        <w:footnoteReference w:id="14"/>
      </w:r>
      <w:r>
        <w:rPr>
          <w:rFonts w:ascii="Times New Roman" w:hAnsi="Times New Roman"/>
          <w:sz w:val="26"/>
          <w:szCs w:val="26"/>
        </w:rPr>
        <w:t xml:space="preserve"> The FRR construct is an alterative to RPM </w:t>
      </w:r>
      <w:r w:rsidR="006B34C6">
        <w:rPr>
          <w:rFonts w:ascii="Times New Roman" w:hAnsi="Times New Roman"/>
          <w:sz w:val="26"/>
          <w:szCs w:val="26"/>
        </w:rPr>
        <w:t xml:space="preserve">for procuring capacity </w:t>
      </w:r>
      <w:r>
        <w:rPr>
          <w:rFonts w:ascii="Times New Roman" w:hAnsi="Times New Roman"/>
          <w:sz w:val="26"/>
          <w:szCs w:val="26"/>
        </w:rPr>
        <w:t xml:space="preserve">available </w:t>
      </w:r>
      <w:r w:rsidR="006B34C6">
        <w:rPr>
          <w:rFonts w:ascii="Times New Roman" w:hAnsi="Times New Roman"/>
          <w:sz w:val="26"/>
          <w:szCs w:val="26"/>
        </w:rPr>
        <w:t>to</w:t>
      </w:r>
      <w:r>
        <w:rPr>
          <w:rFonts w:ascii="Times New Roman" w:hAnsi="Times New Roman"/>
          <w:sz w:val="26"/>
          <w:szCs w:val="26"/>
        </w:rPr>
        <w:t xml:space="preserve"> Load Serving Entities (LSEs) in the PJM footprint. Unless a CRES provider in the AEP Ohio service area opted out of FRR in March of 2009, 2010, or 2011, the provider w</w:t>
      </w:r>
      <w:r w:rsidR="006B34C6">
        <w:rPr>
          <w:rFonts w:ascii="Times New Roman" w:hAnsi="Times New Roman"/>
          <w:sz w:val="26"/>
          <w:szCs w:val="26"/>
        </w:rPr>
        <w:t>ould</w:t>
      </w:r>
      <w:r>
        <w:rPr>
          <w:rFonts w:ascii="Times New Roman" w:hAnsi="Times New Roman"/>
          <w:sz w:val="26"/>
          <w:szCs w:val="26"/>
        </w:rPr>
        <w:t xml:space="preserve"> have to procure its capacity obligation during the upcoming ESP period from </w:t>
      </w:r>
      <w:r w:rsidR="00B7307F">
        <w:rPr>
          <w:rFonts w:ascii="Times New Roman" w:hAnsi="Times New Roman"/>
          <w:sz w:val="26"/>
          <w:szCs w:val="26"/>
        </w:rPr>
        <w:t>the Company</w:t>
      </w:r>
      <w:r>
        <w:rPr>
          <w:rFonts w:ascii="Times New Roman" w:hAnsi="Times New Roman"/>
          <w:sz w:val="26"/>
          <w:szCs w:val="26"/>
        </w:rPr>
        <w:t xml:space="preserve">. </w:t>
      </w:r>
    </w:p>
    <w:p w:rsidR="00E40F3F" w:rsidRDefault="00E40F3F" w:rsidP="00E40F3F">
      <w:pPr>
        <w:autoSpaceDE w:val="0"/>
        <w:autoSpaceDN w:val="0"/>
        <w:adjustRightInd w:val="0"/>
        <w:spacing w:after="0" w:line="480" w:lineRule="auto"/>
        <w:ind w:firstLine="720"/>
        <w:rPr>
          <w:rFonts w:ascii="Times New Roman" w:hAnsi="Times New Roman"/>
          <w:sz w:val="26"/>
          <w:szCs w:val="26"/>
        </w:rPr>
      </w:pPr>
      <w:r>
        <w:rPr>
          <w:rFonts w:ascii="Times New Roman" w:hAnsi="Times New Roman"/>
          <w:sz w:val="26"/>
          <w:szCs w:val="26"/>
        </w:rPr>
        <w:lastRenderedPageBreak/>
        <w:t>Under the FRR construct, a state that has implemented retail choice has the ability to set the capacity rate that an FRR Entity will charge its retail competitors under a “state compensation mechanism.”</w:t>
      </w:r>
      <w:r w:rsidR="00927CF2">
        <w:rPr>
          <w:rStyle w:val="FootnoteReference"/>
          <w:rFonts w:ascii="Times New Roman" w:hAnsi="Times New Roman"/>
          <w:sz w:val="26"/>
          <w:szCs w:val="26"/>
        </w:rPr>
        <w:footnoteReference w:id="15"/>
      </w:r>
      <w:r>
        <w:rPr>
          <w:rFonts w:ascii="Times New Roman" w:hAnsi="Times New Roman"/>
          <w:sz w:val="26"/>
          <w:szCs w:val="26"/>
        </w:rPr>
        <w:t xml:space="preserve"> To the extent there is no capacity compensation mechanism available in a particular retail choice state, the default capacity charge is the RPM clearing price in the unconstrained region.</w:t>
      </w:r>
      <w:r>
        <w:rPr>
          <w:rStyle w:val="FootnoteReference"/>
          <w:rFonts w:ascii="Times New Roman" w:hAnsi="Times New Roman"/>
          <w:sz w:val="26"/>
          <w:szCs w:val="26"/>
        </w:rPr>
        <w:footnoteReference w:id="16"/>
      </w:r>
      <w:r>
        <w:rPr>
          <w:rFonts w:ascii="Times New Roman" w:hAnsi="Times New Roman"/>
          <w:sz w:val="26"/>
          <w:szCs w:val="26"/>
        </w:rPr>
        <w:t xml:space="preserve"> Additionally, the FRR entity, as an alterative to the RPM clearing price in the unconstrained region, may apply under Section 205 of the Federal Power Act for permission from the Federal Energy Regulatory Commission (FERC) to charge a cost-based capacity rate that is found to be just and reasonable.</w:t>
      </w:r>
      <w:r>
        <w:rPr>
          <w:rStyle w:val="FootnoteReference"/>
          <w:rFonts w:ascii="Times New Roman" w:hAnsi="Times New Roman"/>
          <w:sz w:val="26"/>
          <w:szCs w:val="26"/>
        </w:rPr>
        <w:footnoteReference w:id="17"/>
      </w:r>
    </w:p>
    <w:p w:rsidR="00E40F3F" w:rsidRDefault="00E40F3F" w:rsidP="00E40F3F">
      <w:pPr>
        <w:autoSpaceDE w:val="0"/>
        <w:autoSpaceDN w:val="0"/>
        <w:adjustRightInd w:val="0"/>
        <w:spacing w:after="0" w:line="480" w:lineRule="auto"/>
        <w:ind w:firstLine="720"/>
        <w:rPr>
          <w:rFonts w:ascii="Times New Roman" w:hAnsi="Times New Roman"/>
          <w:sz w:val="26"/>
          <w:szCs w:val="26"/>
        </w:rPr>
      </w:pPr>
      <w:r>
        <w:rPr>
          <w:rFonts w:ascii="Times New Roman" w:hAnsi="Times New Roman"/>
          <w:sz w:val="26"/>
          <w:szCs w:val="26"/>
        </w:rPr>
        <w:t xml:space="preserve">In its March 7, 2012 Order in Case No. 10-2929-EL-UNC, the Commission has set </w:t>
      </w:r>
      <w:r w:rsidR="00927CF2">
        <w:rPr>
          <w:rFonts w:ascii="Times New Roman" w:hAnsi="Times New Roman"/>
          <w:sz w:val="26"/>
          <w:szCs w:val="26"/>
        </w:rPr>
        <w:t>the following</w:t>
      </w:r>
      <w:r>
        <w:rPr>
          <w:rFonts w:ascii="Times New Roman" w:hAnsi="Times New Roman"/>
          <w:sz w:val="26"/>
          <w:szCs w:val="26"/>
        </w:rPr>
        <w:t xml:space="preserve"> interim two-tier rate for capacity in the AEP Ohio service area </w:t>
      </w:r>
      <w:r w:rsidR="00927CF2">
        <w:rPr>
          <w:rFonts w:ascii="Times New Roman" w:hAnsi="Times New Roman"/>
          <w:sz w:val="26"/>
          <w:szCs w:val="26"/>
        </w:rPr>
        <w:t>as a state compensation mechanism: t</w:t>
      </w:r>
      <w:r>
        <w:rPr>
          <w:rFonts w:ascii="Times New Roman" w:hAnsi="Times New Roman"/>
          <w:sz w:val="26"/>
          <w:szCs w:val="26"/>
        </w:rPr>
        <w:t>he 2011</w:t>
      </w:r>
      <w:r w:rsidR="00927CF2">
        <w:rPr>
          <w:rFonts w:ascii="Times New Roman" w:hAnsi="Times New Roman"/>
          <w:sz w:val="26"/>
          <w:szCs w:val="26"/>
        </w:rPr>
        <w:t>-</w:t>
      </w:r>
      <w:r>
        <w:rPr>
          <w:rFonts w:ascii="Times New Roman" w:hAnsi="Times New Roman"/>
          <w:sz w:val="26"/>
          <w:szCs w:val="26"/>
        </w:rPr>
        <w:t>2012 RPM clearing price of $116.15/MW-day for tier-one customers</w:t>
      </w:r>
      <w:r w:rsidR="00927CF2">
        <w:rPr>
          <w:rFonts w:ascii="Times New Roman" w:hAnsi="Times New Roman"/>
          <w:sz w:val="26"/>
          <w:szCs w:val="26"/>
        </w:rPr>
        <w:t>,</w:t>
      </w:r>
      <w:r>
        <w:rPr>
          <w:rFonts w:ascii="Times New Roman" w:hAnsi="Times New Roman"/>
          <w:sz w:val="26"/>
          <w:szCs w:val="26"/>
        </w:rPr>
        <w:t xml:space="preserve"> and $255/MW-day for tier-two customers.</w:t>
      </w:r>
      <w:r>
        <w:rPr>
          <w:rStyle w:val="FootnoteReference"/>
          <w:rFonts w:ascii="Times New Roman" w:hAnsi="Times New Roman"/>
          <w:sz w:val="26"/>
          <w:szCs w:val="26"/>
        </w:rPr>
        <w:footnoteReference w:id="18"/>
      </w:r>
      <w:r>
        <w:rPr>
          <w:rFonts w:ascii="Times New Roman" w:hAnsi="Times New Roman"/>
          <w:sz w:val="26"/>
          <w:szCs w:val="26"/>
        </w:rPr>
        <w:t xml:space="preserve"> This interim rate, as extended by the Commission’s May 30, 2012 Order, is in effect until July 2, 2012, at which time the rate for capacity will revert to the 2012</w:t>
      </w:r>
      <w:r w:rsidR="00927CF2">
        <w:rPr>
          <w:rFonts w:ascii="Times New Roman" w:hAnsi="Times New Roman"/>
          <w:sz w:val="26"/>
          <w:szCs w:val="26"/>
        </w:rPr>
        <w:t>-</w:t>
      </w:r>
      <w:r>
        <w:rPr>
          <w:rFonts w:ascii="Times New Roman" w:hAnsi="Times New Roman"/>
          <w:sz w:val="26"/>
          <w:szCs w:val="26"/>
        </w:rPr>
        <w:t>2013 RPM clearing price for all customers. Using the same methodology and load factor assumption described above, the $116.15/MW-day and $255/MW-day capacity rates translate to capacity component charges of $7.50/MW-hour and $16.46/MW-hour, respectively.</w:t>
      </w:r>
      <w:r>
        <w:rPr>
          <w:rStyle w:val="FootnoteReference"/>
          <w:rFonts w:ascii="Times New Roman" w:hAnsi="Times New Roman"/>
          <w:sz w:val="26"/>
          <w:szCs w:val="26"/>
        </w:rPr>
        <w:footnoteReference w:id="19"/>
      </w:r>
    </w:p>
    <w:p w:rsidR="00E40F3F" w:rsidRPr="00AA5B59" w:rsidRDefault="00E40F3F" w:rsidP="005A72D6">
      <w:pPr>
        <w:pStyle w:val="Heading4"/>
      </w:pPr>
      <w:bookmarkStart w:id="6" w:name="_Toc328732867"/>
      <w:r>
        <w:lastRenderedPageBreak/>
        <w:t>3.</w:t>
      </w:r>
      <w:r>
        <w:tab/>
        <w:t>Staff’s Recommendation</w:t>
      </w:r>
      <w:bookmarkEnd w:id="6"/>
    </w:p>
    <w:p w:rsidR="00E40F3F" w:rsidRDefault="00927CF2" w:rsidP="00E40F3F">
      <w:pPr>
        <w:autoSpaceDE w:val="0"/>
        <w:autoSpaceDN w:val="0"/>
        <w:adjustRightInd w:val="0"/>
        <w:spacing w:after="0" w:line="480" w:lineRule="auto"/>
        <w:ind w:firstLine="720"/>
        <w:rPr>
          <w:rFonts w:ascii="Times New Roman" w:hAnsi="Times New Roman"/>
          <w:sz w:val="26"/>
          <w:szCs w:val="26"/>
        </w:rPr>
      </w:pPr>
      <w:r>
        <w:rPr>
          <w:rFonts w:ascii="Times New Roman" w:hAnsi="Times New Roman"/>
          <w:sz w:val="26"/>
          <w:szCs w:val="26"/>
        </w:rPr>
        <w:t>In general, s</w:t>
      </w:r>
      <w:r w:rsidR="00E40F3F">
        <w:rPr>
          <w:rFonts w:ascii="Times New Roman" w:hAnsi="Times New Roman"/>
          <w:sz w:val="26"/>
          <w:szCs w:val="26"/>
        </w:rPr>
        <w:t>taff’s position is to charge CRES providers the prevailing RPM rate in the unconstrained region of PJM.</w:t>
      </w:r>
      <w:r w:rsidR="00E40F3F">
        <w:rPr>
          <w:rStyle w:val="FootnoteReference"/>
          <w:rFonts w:ascii="Times New Roman" w:hAnsi="Times New Roman"/>
          <w:sz w:val="26"/>
          <w:szCs w:val="26"/>
        </w:rPr>
        <w:footnoteReference w:id="20"/>
      </w:r>
      <w:r w:rsidR="00E40F3F">
        <w:rPr>
          <w:rFonts w:ascii="Times New Roman" w:hAnsi="Times New Roman"/>
          <w:sz w:val="26"/>
          <w:szCs w:val="26"/>
        </w:rPr>
        <w:t xml:space="preserve"> If the Commission finds in Case No. 10-2929-EL-UNC that the prevailing RPM rates during the proposed ESP period are not compensatory, </w:t>
      </w:r>
      <w:r>
        <w:rPr>
          <w:rFonts w:ascii="Times New Roman" w:hAnsi="Times New Roman"/>
          <w:sz w:val="26"/>
          <w:szCs w:val="26"/>
        </w:rPr>
        <w:t>s</w:t>
      </w:r>
      <w:r w:rsidR="00E40F3F">
        <w:rPr>
          <w:rFonts w:ascii="Times New Roman" w:hAnsi="Times New Roman"/>
          <w:sz w:val="26"/>
          <w:szCs w:val="26"/>
        </w:rPr>
        <w:t xml:space="preserve">taff’s recommendation would then be for AEP Ohio to charge CRES providers the capacity rate developed by </w:t>
      </w:r>
      <w:r>
        <w:rPr>
          <w:rFonts w:ascii="Times New Roman" w:hAnsi="Times New Roman"/>
          <w:sz w:val="26"/>
          <w:szCs w:val="26"/>
        </w:rPr>
        <w:t>s</w:t>
      </w:r>
      <w:r w:rsidR="00E40F3F">
        <w:rPr>
          <w:rFonts w:ascii="Times New Roman" w:hAnsi="Times New Roman"/>
          <w:sz w:val="26"/>
          <w:szCs w:val="26"/>
        </w:rPr>
        <w:t xml:space="preserve">taff witness </w:t>
      </w:r>
      <w:proofErr w:type="spellStart"/>
      <w:r w:rsidR="00E40F3F">
        <w:rPr>
          <w:rFonts w:ascii="Times New Roman" w:hAnsi="Times New Roman"/>
          <w:sz w:val="26"/>
          <w:szCs w:val="26"/>
        </w:rPr>
        <w:t>Medine</w:t>
      </w:r>
      <w:proofErr w:type="spellEnd"/>
      <w:r w:rsidR="00E40F3F">
        <w:rPr>
          <w:rFonts w:ascii="Times New Roman" w:hAnsi="Times New Roman"/>
          <w:sz w:val="26"/>
          <w:szCs w:val="26"/>
        </w:rPr>
        <w:t>,</w:t>
      </w:r>
      <w:r w:rsidR="00E40F3F">
        <w:rPr>
          <w:rStyle w:val="FootnoteReference"/>
          <w:rFonts w:ascii="Times New Roman" w:hAnsi="Times New Roman"/>
          <w:sz w:val="26"/>
          <w:szCs w:val="26"/>
        </w:rPr>
        <w:footnoteReference w:id="21"/>
      </w:r>
      <w:r w:rsidR="00E40F3F">
        <w:rPr>
          <w:rFonts w:ascii="Times New Roman" w:hAnsi="Times New Roman"/>
          <w:sz w:val="26"/>
          <w:szCs w:val="26"/>
        </w:rPr>
        <w:t xml:space="preserve"> $146.41/MW-day, in Case No. 10-2929-EL-UNC.</w:t>
      </w:r>
      <w:r w:rsidR="00E40F3F">
        <w:rPr>
          <w:rStyle w:val="FootnoteReference"/>
          <w:rFonts w:ascii="Times New Roman" w:hAnsi="Times New Roman"/>
          <w:sz w:val="26"/>
          <w:szCs w:val="26"/>
        </w:rPr>
        <w:footnoteReference w:id="22"/>
      </w:r>
      <w:r w:rsidR="00E40F3F">
        <w:rPr>
          <w:rFonts w:ascii="Times New Roman" w:hAnsi="Times New Roman"/>
          <w:sz w:val="26"/>
          <w:szCs w:val="26"/>
        </w:rPr>
        <w:t xml:space="preserve"> Further, </w:t>
      </w:r>
      <w:r>
        <w:rPr>
          <w:rFonts w:ascii="Times New Roman" w:hAnsi="Times New Roman"/>
          <w:sz w:val="26"/>
          <w:szCs w:val="26"/>
        </w:rPr>
        <w:t>s</w:t>
      </w:r>
      <w:r w:rsidR="00E40F3F">
        <w:rPr>
          <w:rFonts w:ascii="Times New Roman" w:hAnsi="Times New Roman"/>
          <w:sz w:val="26"/>
          <w:szCs w:val="26"/>
        </w:rPr>
        <w:t xml:space="preserve">taff’s position is that, if the Commission finds that the prevailing RPM rates are non-compensatory and accepts </w:t>
      </w:r>
      <w:r>
        <w:rPr>
          <w:rFonts w:ascii="Times New Roman" w:hAnsi="Times New Roman"/>
          <w:sz w:val="26"/>
          <w:szCs w:val="26"/>
        </w:rPr>
        <w:t>staff</w:t>
      </w:r>
      <w:r w:rsidR="00E40F3F">
        <w:rPr>
          <w:rFonts w:ascii="Times New Roman" w:hAnsi="Times New Roman"/>
          <w:sz w:val="26"/>
          <w:szCs w:val="26"/>
        </w:rPr>
        <w:t xml:space="preserve">'s $146.41/MW-Day capacity rate estimation, the capacity charge used in the MRO price test would be calculated using </w:t>
      </w:r>
      <w:r>
        <w:rPr>
          <w:rFonts w:ascii="Times New Roman" w:hAnsi="Times New Roman"/>
          <w:sz w:val="26"/>
          <w:szCs w:val="26"/>
        </w:rPr>
        <w:t>s</w:t>
      </w:r>
      <w:r w:rsidR="00E40F3F">
        <w:rPr>
          <w:rFonts w:ascii="Times New Roman" w:hAnsi="Times New Roman"/>
          <w:sz w:val="26"/>
          <w:szCs w:val="26"/>
        </w:rPr>
        <w:t xml:space="preserve">taff witness </w:t>
      </w:r>
      <w:proofErr w:type="spellStart"/>
      <w:r w:rsidR="00E40F3F">
        <w:rPr>
          <w:rFonts w:ascii="Times New Roman" w:hAnsi="Times New Roman"/>
          <w:sz w:val="26"/>
          <w:szCs w:val="26"/>
        </w:rPr>
        <w:t>Choueiki’s</w:t>
      </w:r>
      <w:proofErr w:type="spellEnd"/>
      <w:r w:rsidR="00E40F3F">
        <w:rPr>
          <w:rFonts w:ascii="Times New Roman" w:hAnsi="Times New Roman"/>
          <w:sz w:val="26"/>
          <w:szCs w:val="26"/>
        </w:rPr>
        <w:t xml:space="preserve"> methods described above for deriving the RPM-based capacity charges as a state compensation mechanism capacity charge. </w:t>
      </w:r>
    </w:p>
    <w:p w:rsidR="00E40F3F" w:rsidRPr="00E40F3F" w:rsidRDefault="00240B11" w:rsidP="00EF3DE5">
      <w:pPr>
        <w:pStyle w:val="Heading3"/>
      </w:pPr>
      <w:bookmarkStart w:id="7" w:name="_Toc328732868"/>
      <w:r w:rsidRPr="00240B11">
        <w:t>MRO Retail Pricing</w:t>
      </w:r>
      <w:bookmarkEnd w:id="7"/>
      <w:r>
        <w:t xml:space="preserve"> </w:t>
      </w:r>
    </w:p>
    <w:p w:rsidR="00E40F3F" w:rsidRDefault="00E40F3F" w:rsidP="00E40F3F">
      <w:pPr>
        <w:pStyle w:val="question"/>
        <w:ind w:left="0" w:firstLine="0"/>
      </w:pPr>
      <w:r>
        <w:t xml:space="preserve"> </w:t>
      </w:r>
      <w:r>
        <w:tab/>
      </w:r>
      <w:r w:rsidR="00101F24">
        <w:t>Company</w:t>
      </w:r>
      <w:r>
        <w:t xml:space="preserve"> witness Thomas offered a MRO retail pricing construct that valued and summed ten price components to arrive at a MRO price. The ten price components are as follows:</w:t>
      </w:r>
      <w:bookmarkStart w:id="8" w:name="_Toc324329257"/>
      <w:r>
        <w:t xml:space="preserve"> (1) Simple Swap</w:t>
      </w:r>
      <w:bookmarkEnd w:id="8"/>
      <w:r>
        <w:t>; (2)</w:t>
      </w:r>
      <w:bookmarkStart w:id="9" w:name="_Toc324329258"/>
      <w:r>
        <w:t xml:space="preserve"> Basis Adjustment</w:t>
      </w:r>
      <w:bookmarkStart w:id="10" w:name="_Toc324329259"/>
      <w:bookmarkEnd w:id="9"/>
      <w:r>
        <w:t>; (3) Load Following / Shaping Adjustment</w:t>
      </w:r>
      <w:bookmarkStart w:id="11" w:name="_Toc324329260"/>
      <w:bookmarkEnd w:id="10"/>
      <w:r>
        <w:t>; (4) Capacity</w:t>
      </w:r>
      <w:bookmarkEnd w:id="11"/>
      <w:r>
        <w:t xml:space="preserve">; (5) </w:t>
      </w:r>
      <w:bookmarkStart w:id="12" w:name="_Toc324329261"/>
      <w:r>
        <w:t>Ancillary Services</w:t>
      </w:r>
      <w:bookmarkStart w:id="13" w:name="_Toc324329262"/>
      <w:bookmarkEnd w:id="12"/>
      <w:r>
        <w:t>; (6) an Alternative Energy Requirement</w:t>
      </w:r>
      <w:bookmarkEnd w:id="13"/>
      <w:r>
        <w:t xml:space="preserve">; </w:t>
      </w:r>
      <w:r>
        <w:lastRenderedPageBreak/>
        <w:t xml:space="preserve">(7) </w:t>
      </w:r>
      <w:bookmarkStart w:id="14" w:name="_Toc324329263"/>
      <w:r>
        <w:t>Auction Revenue Rights (ARR) Revenues</w:t>
      </w:r>
      <w:bookmarkEnd w:id="14"/>
      <w:r>
        <w:t xml:space="preserve">; (8) </w:t>
      </w:r>
      <w:bookmarkStart w:id="15" w:name="_Toc324329264"/>
      <w:r>
        <w:t>Losses</w:t>
      </w:r>
      <w:bookmarkStart w:id="16" w:name="_Toc324329265"/>
      <w:bookmarkEnd w:id="15"/>
      <w:r>
        <w:t>; (9) Risk Adjustment</w:t>
      </w:r>
      <w:bookmarkEnd w:id="16"/>
      <w:r>
        <w:t>; and (10)</w:t>
      </w:r>
      <w:bookmarkStart w:id="17" w:name="_Toc324329266"/>
      <w:r>
        <w:t xml:space="preserve"> Retail Administration</w:t>
      </w:r>
      <w:bookmarkEnd w:id="17"/>
      <w:r>
        <w:t>. Staff agrees that each component represents a legitimate category of costs that would be incurred in the market to procure power and energy for SSO customer load.</w:t>
      </w:r>
      <w:r>
        <w:rPr>
          <w:rStyle w:val="FootnoteReference"/>
        </w:rPr>
        <w:footnoteReference w:id="23"/>
      </w:r>
      <w:r>
        <w:t xml:space="preserve"> In order to ascertain the validity of </w:t>
      </w:r>
      <w:r w:rsidR="00B7307F">
        <w:t>the Company’s</w:t>
      </w:r>
      <w:r>
        <w:t xml:space="preserve"> MRO retail pricing construct, </w:t>
      </w:r>
      <w:r w:rsidR="00927CF2">
        <w:t>staff</w:t>
      </w:r>
      <w:r>
        <w:t xml:space="preserve"> witness Johnson conducted an independent test to determine if </w:t>
      </w:r>
      <w:r w:rsidR="00B7307F">
        <w:t>the Company</w:t>
      </w:r>
      <w:r>
        <w:t>’s retail pricing construct would predict the results of the three December 1</w:t>
      </w:r>
      <w:r w:rsidRPr="00500DAE">
        <w:t>5, 2011</w:t>
      </w:r>
      <w:r>
        <w:t xml:space="preserve"> Duke Energy Ohio auctions for procuring SSO load (Duke SSO Auctions).</w:t>
      </w:r>
      <w:r>
        <w:rPr>
          <w:rStyle w:val="FootnoteReference"/>
        </w:rPr>
        <w:footnoteReference w:id="24"/>
      </w:r>
      <w:r>
        <w:t xml:space="preserve"> Staff witness Johnson substituted market data that was available to the bidders in the Duke SSO auctions for market data used by Ms. Thomas, and using those substituted data, calculated predictions (or “</w:t>
      </w:r>
      <w:proofErr w:type="spellStart"/>
      <w:r>
        <w:t>backcasts</w:t>
      </w:r>
      <w:proofErr w:type="spellEnd"/>
      <w:r>
        <w:t xml:space="preserve">”) of the Duke SSO auctions based upon </w:t>
      </w:r>
      <w:r w:rsidR="00B7307F">
        <w:t>the Company</w:t>
      </w:r>
      <w:r>
        <w:t>’s retail pricing construct.</w:t>
      </w:r>
      <w:r>
        <w:rPr>
          <w:rStyle w:val="FootnoteReference"/>
        </w:rPr>
        <w:footnoteReference w:id="25"/>
      </w:r>
      <w:r>
        <w:t xml:space="preserve"> Using this apples-to-apples comparison, Mr. Johnson compared his predicted results with the actual results and, in doing so, he valued each of </w:t>
      </w:r>
      <w:r w:rsidR="00101F24">
        <w:t>Company</w:t>
      </w:r>
      <w:r>
        <w:t xml:space="preserve"> witness Thomas’ ten pricing components in such a way that maintained the same product definitions for </w:t>
      </w:r>
      <w:r w:rsidR="00101F24">
        <w:t>her</w:t>
      </w:r>
      <w:r>
        <w:t xml:space="preserve"> retail pricing construct and for the Duke SSO auctions.</w:t>
      </w:r>
      <w:r>
        <w:rPr>
          <w:rStyle w:val="FootnoteReference"/>
        </w:rPr>
        <w:footnoteReference w:id="26"/>
      </w:r>
      <w:r>
        <w:t xml:space="preserve"> Mr. Johnson concluded that the MRO retail pricing construct offered by </w:t>
      </w:r>
      <w:r w:rsidR="00101F24">
        <w:t>Ms.</w:t>
      </w:r>
      <w:r>
        <w:t xml:space="preserve"> Thomas reasonably predicted, or “</w:t>
      </w:r>
      <w:proofErr w:type="spellStart"/>
      <w:r>
        <w:t>backcasted</w:t>
      </w:r>
      <w:proofErr w:type="spellEnd"/>
      <w:r>
        <w:t xml:space="preserve">,” the actual results of the FirstEnergy SSO </w:t>
      </w:r>
      <w:r>
        <w:lastRenderedPageBreak/>
        <w:t>auctions and the Duke Energy Ohio SSO auctions, and was therefore valid for forecasting the values of future procurements, so long as the appropriate transparent market values are used for the Simple Swap and for the capacity components.</w:t>
      </w:r>
      <w:r>
        <w:rPr>
          <w:rStyle w:val="FootnoteReference"/>
        </w:rPr>
        <w:footnoteReference w:id="27"/>
      </w:r>
      <w:r>
        <w:t xml:space="preserve">  </w:t>
      </w:r>
    </w:p>
    <w:p w:rsidR="00E40F3F" w:rsidRDefault="00E40F3F" w:rsidP="00E40F3F">
      <w:pPr>
        <w:pStyle w:val="question"/>
        <w:ind w:left="0" w:firstLine="0"/>
      </w:pPr>
      <w:r>
        <w:tab/>
        <w:t xml:space="preserve">Given the validity of the </w:t>
      </w:r>
      <w:proofErr w:type="spellStart"/>
      <w:r w:rsidR="00B7307F">
        <w:t>the</w:t>
      </w:r>
      <w:proofErr w:type="spellEnd"/>
      <w:r w:rsidR="00B7307F">
        <w:t xml:space="preserve"> Company</w:t>
      </w:r>
      <w:r>
        <w:t xml:space="preserve"> MRO retail pricing construct, </w:t>
      </w:r>
      <w:r w:rsidR="00927CF2">
        <w:t>staff</w:t>
      </w:r>
      <w:r>
        <w:t xml:space="preserve"> witness Johnson used that construct to project future MRO prices in the same manner used the construct to </w:t>
      </w:r>
      <w:proofErr w:type="spellStart"/>
      <w:r>
        <w:t>backcast</w:t>
      </w:r>
      <w:proofErr w:type="spellEnd"/>
      <w:r>
        <w:t xml:space="preserve"> the FirstEnergy SSO auction results and the Duke Energy Ohio SSO auction results. Staff witness Johnson projected three MRO values using different capacity prices for each while using </w:t>
      </w:r>
      <w:r w:rsidR="00927CF2">
        <w:t>staff</w:t>
      </w:r>
      <w:r>
        <w:t xml:space="preserve"> witness </w:t>
      </w:r>
      <w:proofErr w:type="spellStart"/>
      <w:r>
        <w:t>Choueiki’s</w:t>
      </w:r>
      <w:proofErr w:type="spellEnd"/>
      <w:r>
        <w:t xml:space="preserve"> capacity values: (1) the PJM RPM Base Residual Auctions for the appropriate PJM delivery periods</w:t>
      </w:r>
      <w:r>
        <w:rPr>
          <w:rStyle w:val="FootnoteReference"/>
        </w:rPr>
        <w:footnoteReference w:id="28"/>
      </w:r>
      <w:r>
        <w:t xml:space="preserve">; (2) the $146.41/MW-Day recommendation of </w:t>
      </w:r>
      <w:r w:rsidR="00927CF2">
        <w:t>staff</w:t>
      </w:r>
      <w:r>
        <w:t xml:space="preserve"> witness Emily </w:t>
      </w:r>
      <w:proofErr w:type="spellStart"/>
      <w:r>
        <w:t>Medine</w:t>
      </w:r>
      <w:proofErr w:type="spellEnd"/>
      <w:r>
        <w:t xml:space="preserve"> in Case No. 10-2929-EL-UNC; and (3) $255/</w:t>
      </w:r>
      <w:r w:rsidRPr="00286394">
        <w:t>MW-day</w:t>
      </w:r>
      <w:r>
        <w:t xml:space="preserve"> the second tier of AEP Ohio interim capacity rate</w:t>
      </w:r>
      <w:r w:rsidRPr="00286394">
        <w:t>.</w:t>
      </w:r>
      <w:r>
        <w:rPr>
          <w:rStyle w:val="FootnoteReference"/>
        </w:rPr>
        <w:footnoteReference w:id="29"/>
      </w:r>
      <w:r>
        <w:t xml:space="preserve"> </w:t>
      </w:r>
    </w:p>
    <w:p w:rsidR="00E40F3F" w:rsidRDefault="00E40F3F" w:rsidP="00E40F3F">
      <w:pPr>
        <w:pStyle w:val="question"/>
        <w:ind w:left="0" w:firstLine="0"/>
      </w:pPr>
      <w:r>
        <w:tab/>
        <w:t xml:space="preserve">For Simple Swap values, as done by </w:t>
      </w:r>
      <w:r w:rsidR="00101F24">
        <w:t>Company</w:t>
      </w:r>
      <w:r>
        <w:t xml:space="preserve"> witness Thomas, Mr. Johnson used the most recent daily quotes, available at the time of testimony preparation, for on-peak and off-peak products available from ICE and weighted the on-peak and off-peak strips by the number of on peak and off peak hours.</w:t>
      </w:r>
      <w:r>
        <w:rPr>
          <w:rStyle w:val="FootnoteReference"/>
        </w:rPr>
        <w:footnoteReference w:id="30"/>
      </w:r>
      <w:r>
        <w:t xml:space="preserve"> While these are not the values available just prior to auction, it is the most reasonable and up-to-date information.</w:t>
      </w:r>
      <w:r>
        <w:rPr>
          <w:rStyle w:val="FootnoteReference"/>
        </w:rPr>
        <w:footnoteReference w:id="31"/>
      </w:r>
      <w:r>
        <w:t xml:space="preserve"> Nonetheless, </w:t>
      </w:r>
      <w:r>
        <w:lastRenderedPageBreak/>
        <w:t>the selection of quote dates is a significant when calculating the value of the Simple Swap.</w:t>
      </w:r>
      <w:r>
        <w:rPr>
          <w:rStyle w:val="FootnoteReference"/>
        </w:rPr>
        <w:footnoteReference w:id="32"/>
      </w:r>
      <w:r>
        <w:t xml:space="preserve"> Mr. Johnson stated:</w:t>
      </w:r>
    </w:p>
    <w:p w:rsidR="00E40F3F" w:rsidRPr="00CE018A" w:rsidRDefault="00E40F3F" w:rsidP="00CE018A">
      <w:pPr>
        <w:autoSpaceDE w:val="0"/>
        <w:autoSpaceDN w:val="0"/>
        <w:adjustRightInd w:val="0"/>
        <w:spacing w:after="360" w:line="240" w:lineRule="auto"/>
        <w:ind w:left="1440" w:right="1440"/>
        <w:rPr>
          <w:rFonts w:ascii="Times New Roman" w:hAnsi="Times New Roman" w:cs="Times New Roman"/>
          <w:sz w:val="26"/>
          <w:szCs w:val="26"/>
        </w:rPr>
      </w:pPr>
      <w:r w:rsidRPr="00CE018A">
        <w:rPr>
          <w:rFonts w:ascii="Times New Roman" w:hAnsi="Times New Roman" w:cs="Times New Roman"/>
          <w:sz w:val="26"/>
          <w:szCs w:val="26"/>
        </w:rPr>
        <w:t xml:space="preserve">For example, in Case No. 08-920-EL-SSO, et al., AEP’s prior ESP filing, AEP filed its MRO estimate using a sampling of pricing data over the recent year, ending in June, 2008. By the time the hearing commenced Simple Swap prices had fallen nearly 25% from the June, 2008 levels. </w:t>
      </w:r>
    </w:p>
    <w:p w:rsidR="00E40F3F" w:rsidRPr="00CE018A" w:rsidRDefault="00E40F3F" w:rsidP="00CE018A">
      <w:pPr>
        <w:autoSpaceDE w:val="0"/>
        <w:autoSpaceDN w:val="0"/>
        <w:adjustRightInd w:val="0"/>
        <w:spacing w:after="360" w:line="240" w:lineRule="auto"/>
        <w:ind w:left="1440" w:right="1440"/>
        <w:rPr>
          <w:rFonts w:ascii="Times New Roman" w:hAnsi="Times New Roman" w:cs="Times New Roman"/>
          <w:sz w:val="26"/>
          <w:szCs w:val="26"/>
        </w:rPr>
      </w:pPr>
      <w:r w:rsidRPr="00CE018A">
        <w:rPr>
          <w:rFonts w:ascii="Times New Roman" w:hAnsi="Times New Roman" w:cs="Times New Roman"/>
          <w:sz w:val="26"/>
          <w:szCs w:val="26"/>
        </w:rPr>
        <w:t>The Simple Swap exhibits significant volatility. Attachment DRJ-3 shows the trend over the last 29 months of the around the clock forward price for one year, two years, and three years forward. The Simple Swap quotes from 2010 through August of 2011 for a year forward varied from low to high of more than 33%. The Simple Swap quotes from the same period for two and three years forward varied between a low of $40 and a high of $50, an upward swing of 25%.</w:t>
      </w:r>
      <w:r w:rsidRPr="00CE018A">
        <w:rPr>
          <w:rFonts w:ascii="Times New Roman" w:hAnsi="Times New Roman" w:cs="Times New Roman"/>
          <w:sz w:val="26"/>
          <w:szCs w:val="26"/>
          <w:vertAlign w:val="superscript"/>
        </w:rPr>
        <w:footnoteReference w:id="33"/>
      </w:r>
      <w:r w:rsidRPr="00CE018A">
        <w:rPr>
          <w:rFonts w:ascii="Times New Roman" w:hAnsi="Times New Roman" w:cs="Times New Roman"/>
          <w:sz w:val="26"/>
          <w:szCs w:val="26"/>
        </w:rPr>
        <w:t xml:space="preserve">  </w:t>
      </w:r>
    </w:p>
    <w:p w:rsidR="00E40F3F" w:rsidRDefault="00E40F3F" w:rsidP="00E40F3F">
      <w:pPr>
        <w:pStyle w:val="question"/>
        <w:ind w:left="0" w:firstLine="0"/>
      </w:pPr>
      <w:r>
        <w:t xml:space="preserve">Most striking is the downward trend from September 2011 through the present and forward prices for each of the three forward years have fallen significantly and precipitously by a greater percentage than the previous swings. Although uncertainty will always exist, </w:t>
      </w:r>
      <w:r w:rsidR="005A6F21">
        <w:t>Company</w:t>
      </w:r>
      <w:r>
        <w:t xml:space="preserve"> witness Thomas’ choice of forward quote prices was acceptable given the volatility of forward prices and the lead time of making an ESP filing relative to a SSO auction. </w:t>
      </w:r>
    </w:p>
    <w:p w:rsidR="00E40F3F" w:rsidRDefault="00E40F3F" w:rsidP="00E40F3F">
      <w:pPr>
        <w:pStyle w:val="question"/>
        <w:ind w:left="0" w:firstLine="0"/>
      </w:pPr>
      <w:r>
        <w:tab/>
        <w:t xml:space="preserve">Mr. Johnson estimated MRO prices for each of the delivery periods by dividing </w:t>
      </w:r>
      <w:r w:rsidR="005A6F21">
        <w:t>the 2014-</w:t>
      </w:r>
      <w:r w:rsidRPr="004E62E2">
        <w:t>2015 PJM</w:t>
      </w:r>
      <w:r>
        <w:t xml:space="preserve"> planning year into two periods to correspond with, and support </w:t>
      </w:r>
      <w:r w:rsidR="00927CF2">
        <w:t>staff</w:t>
      </w:r>
      <w:r>
        <w:t xml:space="preserve"> witness Fortney’s analysis. Staff witness Fortney recognized that </w:t>
      </w:r>
      <w:r w:rsidR="00B7307F">
        <w:t>the Company</w:t>
      </w:r>
      <w:r>
        <w:t xml:space="preserve"> proposes </w:t>
      </w:r>
      <w:r>
        <w:lastRenderedPageBreak/>
        <w:t xml:space="preserve">to auction its load beginning </w:t>
      </w:r>
      <w:r w:rsidRPr="004E62E2">
        <w:t>on 1/1/2015.</w:t>
      </w:r>
      <w:r>
        <w:rPr>
          <w:rStyle w:val="FootnoteReference"/>
        </w:rPr>
        <w:footnoteReference w:id="34"/>
      </w:r>
      <w:r>
        <w:t xml:space="preserve"> It will prove useful for the Commission to understand how prices may be expected to behave during the two separate periods of the last PJM delivery year as analyzed by Mr. Fortney. Below are the three sets of MRO prices </w:t>
      </w:r>
      <w:r w:rsidR="00927CF2">
        <w:t>staff</w:t>
      </w:r>
      <w:r>
        <w:t xml:space="preserve"> witness Johnson predicted based upon the different assumptions regarding the price of capacity:</w:t>
      </w:r>
    </w:p>
    <w:p w:rsidR="00E40F3F" w:rsidRPr="00D05B8A" w:rsidRDefault="00E40F3F" w:rsidP="00E40F3F">
      <w:pPr>
        <w:tabs>
          <w:tab w:val="left" w:pos="720"/>
          <w:tab w:val="left" w:pos="1440"/>
          <w:tab w:val="left" w:pos="2160"/>
          <w:tab w:val="left" w:pos="2880"/>
          <w:tab w:val="left" w:pos="3600"/>
          <w:tab w:val="center" w:pos="4680"/>
          <w:tab w:val="decimal" w:pos="7200"/>
        </w:tabs>
        <w:spacing w:after="0" w:line="240" w:lineRule="auto"/>
        <w:ind w:left="1440"/>
        <w:rPr>
          <w:rFonts w:ascii="Times New Roman" w:hAnsi="Times New Roman" w:cs="Times New Roman"/>
          <w:sz w:val="26"/>
          <w:szCs w:val="26"/>
          <w:u w:val="single"/>
        </w:rPr>
      </w:pPr>
      <w:r w:rsidRPr="00D05B8A">
        <w:rPr>
          <w:rFonts w:ascii="Times New Roman" w:hAnsi="Times New Roman" w:cs="Times New Roman"/>
          <w:sz w:val="26"/>
          <w:szCs w:val="26"/>
          <w:u w:val="single"/>
        </w:rPr>
        <w:t>Capacity Price set at RPM auction prices</w:t>
      </w:r>
    </w:p>
    <w:p w:rsidR="00E40F3F" w:rsidRPr="00D05B8A" w:rsidRDefault="00E40F3F" w:rsidP="00E40F3F">
      <w:pPr>
        <w:tabs>
          <w:tab w:val="left" w:pos="1440"/>
          <w:tab w:val="decimal" w:pos="7200"/>
        </w:tabs>
        <w:spacing w:after="0" w:line="240" w:lineRule="auto"/>
        <w:ind w:left="1440"/>
        <w:rPr>
          <w:rFonts w:ascii="Times New Roman" w:hAnsi="Times New Roman" w:cs="Times New Roman"/>
          <w:sz w:val="26"/>
          <w:szCs w:val="26"/>
        </w:rPr>
      </w:pPr>
      <w:r w:rsidRPr="00D05B8A">
        <w:rPr>
          <w:rFonts w:ascii="Times New Roman" w:hAnsi="Times New Roman" w:cs="Times New Roman"/>
          <w:sz w:val="26"/>
          <w:szCs w:val="26"/>
        </w:rPr>
        <w:t>PJM planning year 2012 - 2013</w:t>
      </w:r>
      <w:r w:rsidRPr="00D05B8A">
        <w:rPr>
          <w:rFonts w:ascii="Times New Roman" w:hAnsi="Times New Roman" w:cs="Times New Roman"/>
          <w:sz w:val="26"/>
          <w:szCs w:val="26"/>
        </w:rPr>
        <w:tab/>
        <w:t>$45.99</w:t>
      </w:r>
    </w:p>
    <w:p w:rsidR="00E40F3F" w:rsidRPr="00D05B8A" w:rsidRDefault="00E40F3F" w:rsidP="00E40F3F">
      <w:pPr>
        <w:tabs>
          <w:tab w:val="left" w:pos="1440"/>
          <w:tab w:val="decimal" w:pos="7200"/>
        </w:tabs>
        <w:spacing w:after="0" w:line="240" w:lineRule="auto"/>
        <w:ind w:left="1440"/>
        <w:rPr>
          <w:rFonts w:ascii="Times New Roman" w:hAnsi="Times New Roman" w:cs="Times New Roman"/>
          <w:sz w:val="26"/>
          <w:szCs w:val="26"/>
        </w:rPr>
      </w:pPr>
      <w:r w:rsidRPr="00D05B8A">
        <w:rPr>
          <w:rFonts w:ascii="Times New Roman" w:hAnsi="Times New Roman" w:cs="Times New Roman"/>
          <w:sz w:val="26"/>
          <w:szCs w:val="26"/>
        </w:rPr>
        <w:t>PJM planning year 2013 – 2014</w:t>
      </w:r>
      <w:r w:rsidRPr="00D05B8A">
        <w:rPr>
          <w:rFonts w:ascii="Times New Roman" w:hAnsi="Times New Roman" w:cs="Times New Roman"/>
          <w:sz w:val="26"/>
          <w:szCs w:val="26"/>
        </w:rPr>
        <w:tab/>
        <w:t>$51.35</w:t>
      </w:r>
    </w:p>
    <w:p w:rsidR="00E40F3F" w:rsidRPr="00D05B8A" w:rsidRDefault="00E40F3F" w:rsidP="00E40F3F">
      <w:pPr>
        <w:tabs>
          <w:tab w:val="left" w:pos="1440"/>
          <w:tab w:val="decimal" w:pos="7200"/>
        </w:tabs>
        <w:spacing w:after="0" w:line="240" w:lineRule="auto"/>
        <w:ind w:left="1440"/>
        <w:rPr>
          <w:rFonts w:ascii="Times New Roman" w:hAnsi="Times New Roman" w:cs="Times New Roman"/>
          <w:sz w:val="26"/>
          <w:szCs w:val="26"/>
        </w:rPr>
      </w:pPr>
      <w:r w:rsidRPr="00D05B8A">
        <w:rPr>
          <w:rFonts w:ascii="Times New Roman" w:hAnsi="Times New Roman" w:cs="Times New Roman"/>
          <w:sz w:val="26"/>
          <w:szCs w:val="26"/>
        </w:rPr>
        <w:t>June 1, 2014 through December 31, 2015</w:t>
      </w:r>
      <w:r w:rsidRPr="00D05B8A">
        <w:rPr>
          <w:rFonts w:ascii="Times New Roman" w:hAnsi="Times New Roman" w:cs="Times New Roman"/>
          <w:sz w:val="26"/>
          <w:szCs w:val="26"/>
        </w:rPr>
        <w:tab/>
        <w:t>$59.35</w:t>
      </w:r>
    </w:p>
    <w:p w:rsidR="00E40F3F" w:rsidRPr="00D05B8A" w:rsidRDefault="00E40F3F" w:rsidP="00E40F3F">
      <w:pPr>
        <w:tabs>
          <w:tab w:val="left" w:pos="720"/>
          <w:tab w:val="left" w:pos="1440"/>
          <w:tab w:val="left" w:pos="2160"/>
          <w:tab w:val="left" w:pos="2880"/>
          <w:tab w:val="left" w:pos="3600"/>
          <w:tab w:val="center" w:pos="4680"/>
          <w:tab w:val="decimal" w:pos="7200"/>
        </w:tabs>
        <w:ind w:left="1440"/>
        <w:rPr>
          <w:rFonts w:ascii="Times New Roman" w:hAnsi="Times New Roman" w:cs="Times New Roman"/>
          <w:sz w:val="26"/>
          <w:szCs w:val="26"/>
        </w:rPr>
      </w:pPr>
      <w:r w:rsidRPr="00D05B8A">
        <w:rPr>
          <w:rFonts w:ascii="Times New Roman" w:hAnsi="Times New Roman" w:cs="Times New Roman"/>
          <w:sz w:val="26"/>
          <w:szCs w:val="26"/>
        </w:rPr>
        <w:t>January 1, 2015 through May 31, 2015</w:t>
      </w:r>
      <w:r w:rsidRPr="00D05B8A">
        <w:rPr>
          <w:rFonts w:ascii="Times New Roman" w:hAnsi="Times New Roman" w:cs="Times New Roman"/>
          <w:sz w:val="26"/>
          <w:szCs w:val="26"/>
        </w:rPr>
        <w:tab/>
        <w:t>$61.98</w:t>
      </w:r>
    </w:p>
    <w:p w:rsidR="00E40F3F" w:rsidRPr="00D05B8A" w:rsidRDefault="00E40F3F" w:rsidP="00E40F3F">
      <w:pPr>
        <w:tabs>
          <w:tab w:val="left" w:pos="720"/>
          <w:tab w:val="left" w:pos="1440"/>
          <w:tab w:val="left" w:pos="2160"/>
          <w:tab w:val="left" w:pos="2880"/>
          <w:tab w:val="left" w:pos="3600"/>
          <w:tab w:val="center" w:pos="4680"/>
          <w:tab w:val="decimal" w:pos="7200"/>
        </w:tabs>
        <w:spacing w:after="0" w:line="240" w:lineRule="auto"/>
        <w:ind w:left="1440"/>
        <w:rPr>
          <w:rFonts w:ascii="Times New Roman" w:hAnsi="Times New Roman" w:cs="Times New Roman"/>
          <w:sz w:val="26"/>
          <w:szCs w:val="26"/>
          <w:u w:val="single"/>
        </w:rPr>
      </w:pPr>
      <w:r w:rsidRPr="00D05B8A">
        <w:rPr>
          <w:rFonts w:ascii="Times New Roman" w:hAnsi="Times New Roman" w:cs="Times New Roman"/>
          <w:sz w:val="26"/>
          <w:szCs w:val="26"/>
          <w:u w:val="single"/>
        </w:rPr>
        <w:t>Capacity Price set at $146.41 (</w:t>
      </w:r>
      <w:r w:rsidR="00927CF2">
        <w:rPr>
          <w:rFonts w:ascii="Times New Roman" w:hAnsi="Times New Roman" w:cs="Times New Roman"/>
          <w:sz w:val="26"/>
          <w:szCs w:val="26"/>
          <w:u w:val="single"/>
        </w:rPr>
        <w:t>staff</w:t>
      </w:r>
      <w:r w:rsidRPr="00D05B8A">
        <w:rPr>
          <w:rFonts w:ascii="Times New Roman" w:hAnsi="Times New Roman" w:cs="Times New Roman"/>
          <w:sz w:val="26"/>
          <w:szCs w:val="26"/>
          <w:u w:val="single"/>
        </w:rPr>
        <w:t xml:space="preserve"> witness </w:t>
      </w:r>
      <w:proofErr w:type="spellStart"/>
      <w:r w:rsidRPr="00D05B8A">
        <w:rPr>
          <w:rFonts w:ascii="Times New Roman" w:hAnsi="Times New Roman" w:cs="Times New Roman"/>
          <w:sz w:val="26"/>
          <w:szCs w:val="26"/>
          <w:u w:val="single"/>
        </w:rPr>
        <w:t>Medine</w:t>
      </w:r>
      <w:proofErr w:type="spellEnd"/>
      <w:r w:rsidRPr="00D05B8A">
        <w:rPr>
          <w:rFonts w:ascii="Times New Roman" w:hAnsi="Times New Roman" w:cs="Times New Roman"/>
          <w:sz w:val="26"/>
          <w:szCs w:val="26"/>
          <w:u w:val="single"/>
        </w:rPr>
        <w:t xml:space="preserve"> in 10-2929-EL-UNC)</w:t>
      </w:r>
    </w:p>
    <w:p w:rsidR="00E40F3F" w:rsidRPr="00D05B8A" w:rsidRDefault="00E40F3F" w:rsidP="00E40F3F">
      <w:pPr>
        <w:tabs>
          <w:tab w:val="left" w:pos="720"/>
          <w:tab w:val="left" w:pos="1440"/>
          <w:tab w:val="left" w:pos="2160"/>
          <w:tab w:val="left" w:pos="2880"/>
          <w:tab w:val="left" w:pos="3600"/>
          <w:tab w:val="center" w:pos="4680"/>
          <w:tab w:val="decimal" w:pos="7200"/>
        </w:tabs>
        <w:spacing w:after="0" w:line="240" w:lineRule="auto"/>
        <w:ind w:left="1440"/>
        <w:rPr>
          <w:rFonts w:ascii="Times New Roman" w:hAnsi="Times New Roman" w:cs="Times New Roman"/>
          <w:sz w:val="26"/>
          <w:szCs w:val="26"/>
        </w:rPr>
      </w:pPr>
      <w:r w:rsidRPr="00D05B8A">
        <w:rPr>
          <w:rFonts w:ascii="Times New Roman" w:hAnsi="Times New Roman" w:cs="Times New Roman"/>
          <w:sz w:val="26"/>
          <w:szCs w:val="26"/>
        </w:rPr>
        <w:t>PJM planning year 2012 - 2013</w:t>
      </w:r>
      <w:r w:rsidRPr="00D05B8A">
        <w:rPr>
          <w:rFonts w:ascii="Times New Roman" w:hAnsi="Times New Roman" w:cs="Times New Roman"/>
          <w:sz w:val="26"/>
          <w:szCs w:val="26"/>
        </w:rPr>
        <w:tab/>
        <w:t>$54.35</w:t>
      </w:r>
    </w:p>
    <w:p w:rsidR="00E40F3F" w:rsidRPr="00D05B8A" w:rsidRDefault="00E40F3F" w:rsidP="00E40F3F">
      <w:pPr>
        <w:tabs>
          <w:tab w:val="left" w:pos="720"/>
          <w:tab w:val="left" w:pos="1440"/>
          <w:tab w:val="left" w:pos="2160"/>
          <w:tab w:val="left" w:pos="2880"/>
          <w:tab w:val="left" w:pos="3600"/>
          <w:tab w:val="center" w:pos="4680"/>
          <w:tab w:val="decimal" w:pos="7200"/>
        </w:tabs>
        <w:spacing w:after="0" w:line="240" w:lineRule="auto"/>
        <w:ind w:left="1440"/>
        <w:rPr>
          <w:rFonts w:ascii="Times New Roman" w:hAnsi="Times New Roman" w:cs="Times New Roman"/>
          <w:sz w:val="26"/>
          <w:szCs w:val="26"/>
        </w:rPr>
      </w:pPr>
      <w:r w:rsidRPr="00D05B8A">
        <w:rPr>
          <w:rFonts w:ascii="Times New Roman" w:hAnsi="Times New Roman" w:cs="Times New Roman"/>
          <w:sz w:val="26"/>
          <w:szCs w:val="26"/>
        </w:rPr>
        <w:t>PJM planning year 2013 – 2014</w:t>
      </w:r>
      <w:r w:rsidRPr="00D05B8A">
        <w:rPr>
          <w:rFonts w:ascii="Times New Roman" w:hAnsi="Times New Roman" w:cs="Times New Roman"/>
          <w:sz w:val="26"/>
          <w:szCs w:val="26"/>
        </w:rPr>
        <w:tab/>
        <w:t>$59.00</w:t>
      </w:r>
    </w:p>
    <w:p w:rsidR="00E40F3F" w:rsidRPr="00D05B8A" w:rsidRDefault="00E40F3F" w:rsidP="00E40F3F">
      <w:pPr>
        <w:tabs>
          <w:tab w:val="left" w:pos="720"/>
          <w:tab w:val="left" w:pos="1440"/>
          <w:tab w:val="left" w:pos="2160"/>
          <w:tab w:val="left" w:pos="2880"/>
          <w:tab w:val="left" w:pos="3600"/>
          <w:tab w:val="center" w:pos="4680"/>
          <w:tab w:val="decimal" w:pos="7200"/>
        </w:tabs>
        <w:spacing w:after="0" w:line="240" w:lineRule="auto"/>
        <w:ind w:left="1440"/>
        <w:rPr>
          <w:rFonts w:ascii="Times New Roman" w:hAnsi="Times New Roman" w:cs="Times New Roman"/>
          <w:sz w:val="26"/>
          <w:szCs w:val="26"/>
        </w:rPr>
      </w:pPr>
      <w:r w:rsidRPr="00D05B8A">
        <w:rPr>
          <w:rFonts w:ascii="Times New Roman" w:hAnsi="Times New Roman" w:cs="Times New Roman"/>
          <w:sz w:val="26"/>
          <w:szCs w:val="26"/>
        </w:rPr>
        <w:t>June 1, 2014 through December 31, 2015</w:t>
      </w:r>
      <w:r w:rsidRPr="00D05B8A">
        <w:rPr>
          <w:rFonts w:ascii="Times New Roman" w:hAnsi="Times New Roman" w:cs="Times New Roman"/>
          <w:sz w:val="26"/>
          <w:szCs w:val="26"/>
        </w:rPr>
        <w:tab/>
        <w:t>$60.67</w:t>
      </w:r>
    </w:p>
    <w:p w:rsidR="00E40F3F" w:rsidRPr="00D05B8A" w:rsidRDefault="00E40F3F" w:rsidP="00E40F3F">
      <w:pPr>
        <w:tabs>
          <w:tab w:val="left" w:pos="720"/>
          <w:tab w:val="left" w:pos="1440"/>
          <w:tab w:val="left" w:pos="2160"/>
          <w:tab w:val="left" w:pos="2880"/>
          <w:tab w:val="left" w:pos="3600"/>
          <w:tab w:val="center" w:pos="4680"/>
          <w:tab w:val="decimal" w:pos="7200"/>
        </w:tabs>
        <w:ind w:left="1440"/>
        <w:rPr>
          <w:rFonts w:ascii="Times New Roman" w:hAnsi="Times New Roman" w:cs="Times New Roman"/>
          <w:sz w:val="26"/>
          <w:szCs w:val="26"/>
        </w:rPr>
      </w:pPr>
      <w:r w:rsidRPr="00D05B8A">
        <w:rPr>
          <w:rFonts w:ascii="Times New Roman" w:hAnsi="Times New Roman" w:cs="Times New Roman"/>
          <w:sz w:val="26"/>
          <w:szCs w:val="26"/>
        </w:rPr>
        <w:t>January 1, 2015 through May 31, 2015</w:t>
      </w:r>
      <w:r w:rsidRPr="00D05B8A">
        <w:rPr>
          <w:rFonts w:ascii="Times New Roman" w:hAnsi="Times New Roman" w:cs="Times New Roman"/>
          <w:sz w:val="26"/>
          <w:szCs w:val="26"/>
        </w:rPr>
        <w:tab/>
        <w:t>$63.30</w:t>
      </w:r>
    </w:p>
    <w:p w:rsidR="00E40F3F" w:rsidRPr="00D05B8A" w:rsidRDefault="00E40F3F" w:rsidP="00E40F3F">
      <w:pPr>
        <w:tabs>
          <w:tab w:val="left" w:pos="720"/>
          <w:tab w:val="left" w:pos="1440"/>
          <w:tab w:val="left" w:pos="2160"/>
          <w:tab w:val="left" w:pos="2880"/>
          <w:tab w:val="left" w:pos="3600"/>
          <w:tab w:val="center" w:pos="4680"/>
          <w:tab w:val="decimal" w:pos="7200"/>
        </w:tabs>
        <w:spacing w:after="0" w:line="240" w:lineRule="auto"/>
        <w:ind w:left="1440"/>
        <w:rPr>
          <w:rFonts w:ascii="Times New Roman" w:hAnsi="Times New Roman" w:cs="Times New Roman"/>
          <w:sz w:val="26"/>
          <w:szCs w:val="26"/>
          <w:u w:val="single"/>
        </w:rPr>
      </w:pPr>
      <w:r w:rsidRPr="00D05B8A">
        <w:rPr>
          <w:rFonts w:ascii="Times New Roman" w:hAnsi="Times New Roman" w:cs="Times New Roman"/>
          <w:sz w:val="26"/>
          <w:szCs w:val="26"/>
          <w:u w:val="single"/>
        </w:rPr>
        <w:t>Capacity Price set at $255</w:t>
      </w:r>
    </w:p>
    <w:p w:rsidR="00E40F3F" w:rsidRPr="00D05B8A" w:rsidRDefault="00E40F3F" w:rsidP="00E40F3F">
      <w:pPr>
        <w:tabs>
          <w:tab w:val="left" w:pos="720"/>
          <w:tab w:val="left" w:pos="1440"/>
          <w:tab w:val="left" w:pos="2160"/>
          <w:tab w:val="left" w:pos="2880"/>
          <w:tab w:val="left" w:pos="3600"/>
          <w:tab w:val="center" w:pos="4680"/>
          <w:tab w:val="decimal" w:pos="7200"/>
        </w:tabs>
        <w:spacing w:after="0" w:line="240" w:lineRule="auto"/>
        <w:ind w:left="1440"/>
        <w:rPr>
          <w:rFonts w:ascii="Times New Roman" w:hAnsi="Times New Roman" w:cs="Times New Roman"/>
          <w:sz w:val="26"/>
          <w:szCs w:val="26"/>
        </w:rPr>
      </w:pPr>
      <w:r w:rsidRPr="00D05B8A">
        <w:rPr>
          <w:rFonts w:ascii="Times New Roman" w:hAnsi="Times New Roman" w:cs="Times New Roman"/>
          <w:sz w:val="26"/>
          <w:szCs w:val="26"/>
        </w:rPr>
        <w:t>PJM planning year 2012 - 2013</w:t>
      </w:r>
      <w:r w:rsidRPr="00D05B8A">
        <w:rPr>
          <w:rFonts w:ascii="Times New Roman" w:hAnsi="Times New Roman" w:cs="Times New Roman"/>
          <w:sz w:val="26"/>
          <w:szCs w:val="26"/>
        </w:rPr>
        <w:tab/>
        <w:t>$61.37</w:t>
      </w:r>
    </w:p>
    <w:p w:rsidR="00E40F3F" w:rsidRPr="00D05B8A" w:rsidRDefault="00E40F3F" w:rsidP="00E40F3F">
      <w:pPr>
        <w:tabs>
          <w:tab w:val="left" w:pos="720"/>
          <w:tab w:val="left" w:pos="1440"/>
          <w:tab w:val="left" w:pos="2160"/>
          <w:tab w:val="left" w:pos="2880"/>
          <w:tab w:val="left" w:pos="3600"/>
          <w:tab w:val="center" w:pos="4680"/>
          <w:tab w:val="decimal" w:pos="7200"/>
        </w:tabs>
        <w:spacing w:after="0" w:line="240" w:lineRule="auto"/>
        <w:ind w:left="1440"/>
        <w:rPr>
          <w:rFonts w:ascii="Times New Roman" w:hAnsi="Times New Roman" w:cs="Times New Roman"/>
          <w:sz w:val="26"/>
          <w:szCs w:val="26"/>
        </w:rPr>
      </w:pPr>
      <w:r w:rsidRPr="00D05B8A">
        <w:rPr>
          <w:rFonts w:ascii="Times New Roman" w:hAnsi="Times New Roman" w:cs="Times New Roman"/>
          <w:sz w:val="26"/>
          <w:szCs w:val="26"/>
        </w:rPr>
        <w:t>PJM planning year 2013 – 2014</w:t>
      </w:r>
      <w:r w:rsidRPr="00D05B8A">
        <w:rPr>
          <w:rFonts w:ascii="Times New Roman" w:hAnsi="Times New Roman" w:cs="Times New Roman"/>
          <w:sz w:val="26"/>
          <w:szCs w:val="26"/>
        </w:rPr>
        <w:tab/>
        <w:t>$66.01</w:t>
      </w:r>
    </w:p>
    <w:p w:rsidR="00E40F3F" w:rsidRPr="00D05B8A" w:rsidRDefault="00E40F3F" w:rsidP="00E40F3F">
      <w:pPr>
        <w:tabs>
          <w:tab w:val="left" w:pos="720"/>
          <w:tab w:val="left" w:pos="1440"/>
          <w:tab w:val="left" w:pos="2160"/>
          <w:tab w:val="left" w:pos="2880"/>
          <w:tab w:val="left" w:pos="3600"/>
          <w:tab w:val="center" w:pos="4680"/>
          <w:tab w:val="decimal" w:pos="7200"/>
        </w:tabs>
        <w:spacing w:after="0" w:line="240" w:lineRule="auto"/>
        <w:ind w:left="1440"/>
        <w:rPr>
          <w:rFonts w:ascii="Times New Roman" w:hAnsi="Times New Roman" w:cs="Times New Roman"/>
          <w:sz w:val="26"/>
          <w:szCs w:val="26"/>
        </w:rPr>
      </w:pPr>
      <w:r w:rsidRPr="00D05B8A">
        <w:rPr>
          <w:rFonts w:ascii="Times New Roman" w:hAnsi="Times New Roman" w:cs="Times New Roman"/>
          <w:sz w:val="26"/>
          <w:szCs w:val="26"/>
        </w:rPr>
        <w:t>June 1, 2014 through December 31, 2015</w:t>
      </w:r>
      <w:r w:rsidRPr="00D05B8A">
        <w:rPr>
          <w:rFonts w:ascii="Times New Roman" w:hAnsi="Times New Roman" w:cs="Times New Roman"/>
          <w:sz w:val="26"/>
          <w:szCs w:val="26"/>
        </w:rPr>
        <w:tab/>
        <w:t>$67.68</w:t>
      </w:r>
    </w:p>
    <w:p w:rsidR="00E40F3F" w:rsidRDefault="00E40F3F" w:rsidP="00E40F3F">
      <w:pPr>
        <w:tabs>
          <w:tab w:val="left" w:pos="720"/>
          <w:tab w:val="left" w:pos="1440"/>
          <w:tab w:val="left" w:pos="2160"/>
          <w:tab w:val="left" w:pos="2880"/>
          <w:tab w:val="left" w:pos="3600"/>
          <w:tab w:val="center" w:pos="4680"/>
          <w:tab w:val="decimal" w:pos="7200"/>
        </w:tabs>
        <w:ind w:left="1440"/>
        <w:rPr>
          <w:rFonts w:ascii="Times New Roman" w:hAnsi="Times New Roman" w:cs="Times New Roman"/>
          <w:sz w:val="26"/>
          <w:szCs w:val="26"/>
        </w:rPr>
      </w:pPr>
      <w:r w:rsidRPr="00D05B8A">
        <w:rPr>
          <w:rFonts w:ascii="Times New Roman" w:hAnsi="Times New Roman" w:cs="Times New Roman"/>
          <w:sz w:val="26"/>
          <w:szCs w:val="26"/>
        </w:rPr>
        <w:t>January 1, 2015 through May 31, 2015</w:t>
      </w:r>
      <w:r w:rsidRPr="00D05B8A">
        <w:rPr>
          <w:rFonts w:ascii="Times New Roman" w:hAnsi="Times New Roman" w:cs="Times New Roman"/>
          <w:sz w:val="26"/>
          <w:szCs w:val="26"/>
        </w:rPr>
        <w:tab/>
        <w:t>$70.31</w:t>
      </w:r>
      <w:r w:rsidRPr="00D05B8A">
        <w:rPr>
          <w:rStyle w:val="FootnoteReference"/>
          <w:rFonts w:ascii="Times New Roman" w:hAnsi="Times New Roman" w:cs="Times New Roman"/>
          <w:sz w:val="26"/>
          <w:szCs w:val="26"/>
        </w:rPr>
        <w:footnoteReference w:id="35"/>
      </w:r>
    </w:p>
    <w:p w:rsidR="00145DDC" w:rsidRDefault="00145DDC" w:rsidP="00145DDC">
      <w:pPr>
        <w:pStyle w:val="question"/>
        <w:tabs>
          <w:tab w:val="clear" w:pos="720"/>
        </w:tabs>
        <w:ind w:left="0" w:firstLine="720"/>
      </w:pPr>
      <w:r>
        <w:t xml:space="preserve">Staff witness Fortney used these prices, accepting the </w:t>
      </w:r>
      <w:r w:rsidRPr="00145DDC">
        <w:t>generation rates and the resulting revenue impacts</w:t>
      </w:r>
      <w:r>
        <w:t xml:space="preserve"> </w:t>
      </w:r>
      <w:r w:rsidRPr="00145DDC">
        <w:t>which the company is proposing</w:t>
      </w:r>
      <w:r>
        <w:t xml:space="preserve">. In order to fully compare the proposed ESP with an MRO, </w:t>
      </w:r>
      <w:r w:rsidRPr="00145DDC">
        <w:t>it was also necessary for Mr. Fortney to consider the additional proposed revenue mechanisms. Because some of the proposed riders have zero revenue associated with them, Mr. Fortney determined to include only Retail Stability Rider (RSR) in his analysis.</w:t>
      </w:r>
      <w:r>
        <w:t xml:space="preserve"> </w:t>
      </w:r>
    </w:p>
    <w:p w:rsidR="00CA0F05" w:rsidRDefault="00CA0F05" w:rsidP="00145DDC">
      <w:pPr>
        <w:pStyle w:val="question"/>
        <w:tabs>
          <w:tab w:val="clear" w:pos="720"/>
        </w:tabs>
        <w:ind w:left="0" w:firstLine="720"/>
      </w:pPr>
      <w:r>
        <w:lastRenderedPageBreak/>
        <w:t xml:space="preserve">Mr. Fortney’s conclusion, summarized in the table below, was that </w:t>
      </w:r>
      <w:r w:rsidRPr="00CA0F05">
        <w:t xml:space="preserve">under </w:t>
      </w:r>
      <w:r w:rsidRPr="00CE018A">
        <w:rPr>
          <w:i/>
        </w:rPr>
        <w:t>all three</w:t>
      </w:r>
      <w:r w:rsidRPr="00CA0F05">
        <w:t xml:space="preserve"> of these scenarios the ESP as proposed by </w:t>
      </w:r>
      <w:r w:rsidR="00B7307F">
        <w:t>the Company</w:t>
      </w:r>
      <w:r w:rsidRPr="00CA0F05">
        <w:t xml:space="preserve"> is not more favorable than the blended MRO utilizing the forecasted market rates as determined by </w:t>
      </w:r>
      <w:r w:rsidR="00927CF2">
        <w:t>staff</w:t>
      </w:r>
      <w:r w:rsidRPr="00CA0F05">
        <w:t xml:space="preserve"> witness Johnson.</w:t>
      </w:r>
    </w:p>
    <w:tbl>
      <w:tblPr>
        <w:tblStyle w:val="TableGrid"/>
        <w:tblW w:w="0" w:type="auto"/>
        <w:tblLook w:val="04A0" w:firstRow="1" w:lastRow="0" w:firstColumn="1" w:lastColumn="0" w:noHBand="0" w:noVBand="1"/>
      </w:tblPr>
      <w:tblGrid>
        <w:gridCol w:w="5508"/>
        <w:gridCol w:w="1174"/>
        <w:gridCol w:w="1447"/>
        <w:gridCol w:w="1447"/>
      </w:tblGrid>
      <w:tr w:rsidR="00CA0F05" w:rsidRPr="00CA0F05" w:rsidTr="00CA0F05">
        <w:tc>
          <w:tcPr>
            <w:tcW w:w="5508" w:type="dxa"/>
            <w:vMerge w:val="restart"/>
            <w:tcBorders>
              <w:top w:val="single" w:sz="4" w:space="0" w:color="auto"/>
              <w:left w:val="single" w:sz="4" w:space="0" w:color="auto"/>
              <w:right w:val="single" w:sz="4" w:space="0" w:color="auto"/>
            </w:tcBorders>
          </w:tcPr>
          <w:p w:rsidR="00CA0F05" w:rsidRPr="00CA0F05" w:rsidRDefault="00CA0F05" w:rsidP="00CA0F05">
            <w:pPr>
              <w:rPr>
                <w:rFonts w:ascii="Times New Roman" w:hAnsi="Times New Roman" w:cs="Times New Roman"/>
                <w:sz w:val="24"/>
                <w:szCs w:val="24"/>
              </w:rPr>
            </w:pPr>
          </w:p>
        </w:tc>
        <w:tc>
          <w:tcPr>
            <w:tcW w:w="4068" w:type="dxa"/>
            <w:gridSpan w:val="3"/>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Average Rate in cents per kWh</w:t>
            </w:r>
          </w:p>
        </w:tc>
      </w:tr>
      <w:tr w:rsidR="00CA0F05" w:rsidRPr="00CA0F05" w:rsidTr="00CA0F05">
        <w:tc>
          <w:tcPr>
            <w:tcW w:w="5508" w:type="dxa"/>
            <w:vMerge/>
            <w:tcBorders>
              <w:left w:val="single" w:sz="4" w:space="0" w:color="auto"/>
              <w:bottom w:val="single" w:sz="4" w:space="0" w:color="auto"/>
              <w:right w:val="single" w:sz="4" w:space="0" w:color="auto"/>
            </w:tcBorders>
          </w:tcPr>
          <w:p w:rsidR="00CA0F05" w:rsidRPr="00CA0F05" w:rsidRDefault="00CA0F05" w:rsidP="00CA0F05">
            <w:pPr>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hideMark/>
          </w:tcPr>
          <w:p w:rsidR="00CA0F05" w:rsidRPr="00CA0F05" w:rsidRDefault="00CA0F05" w:rsidP="00CA0F05">
            <w:pPr>
              <w:jc w:val="center"/>
              <w:rPr>
                <w:rFonts w:ascii="Times New Roman" w:hAnsi="Times New Roman" w:cs="Times New Roman"/>
                <w:sz w:val="24"/>
                <w:szCs w:val="24"/>
              </w:rPr>
            </w:pPr>
            <w:r>
              <w:rPr>
                <w:rFonts w:ascii="Times New Roman" w:hAnsi="Times New Roman" w:cs="Times New Roman"/>
                <w:snapToGrid w:val="0"/>
                <w:sz w:val="24"/>
                <w:szCs w:val="24"/>
              </w:rPr>
              <w:t xml:space="preserve">@ </w:t>
            </w:r>
            <w:r w:rsidRPr="00CA0F05">
              <w:rPr>
                <w:rFonts w:ascii="Times New Roman" w:hAnsi="Times New Roman" w:cs="Times New Roman"/>
                <w:snapToGrid w:val="0"/>
                <w:sz w:val="24"/>
                <w:szCs w:val="24"/>
              </w:rPr>
              <w:t>RPM</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Pr>
                <w:rFonts w:ascii="Times New Roman" w:hAnsi="Times New Roman" w:cs="Times New Roman"/>
                <w:snapToGrid w:val="0"/>
                <w:sz w:val="24"/>
                <w:szCs w:val="24"/>
              </w:rPr>
              <w:t xml:space="preserve">@ </w:t>
            </w:r>
            <w:r w:rsidRPr="00CA0F05">
              <w:rPr>
                <w:rFonts w:ascii="Times New Roman" w:hAnsi="Times New Roman" w:cs="Times New Roman"/>
                <w:snapToGrid w:val="0"/>
                <w:sz w:val="24"/>
                <w:szCs w:val="24"/>
              </w:rPr>
              <w:t>$146.41</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Pr>
                <w:rFonts w:ascii="Times New Roman" w:hAnsi="Times New Roman" w:cs="Times New Roman"/>
                <w:snapToGrid w:val="0"/>
                <w:sz w:val="24"/>
                <w:szCs w:val="24"/>
              </w:rPr>
              <w:t xml:space="preserve">@ </w:t>
            </w:r>
            <w:r w:rsidRPr="00CA0F05">
              <w:rPr>
                <w:rFonts w:ascii="Times New Roman" w:hAnsi="Times New Roman" w:cs="Times New Roman"/>
                <w:snapToGrid w:val="0"/>
                <w:sz w:val="24"/>
                <w:szCs w:val="24"/>
              </w:rPr>
              <w:t>$255</w:t>
            </w:r>
          </w:p>
        </w:tc>
      </w:tr>
      <w:tr w:rsidR="00CA0F05" w:rsidRPr="00CA0F05" w:rsidTr="00CA0F05">
        <w:tc>
          <w:tcPr>
            <w:tcW w:w="5508" w:type="dxa"/>
            <w:tcBorders>
              <w:top w:val="single" w:sz="4" w:space="0" w:color="auto"/>
              <w:left w:val="single" w:sz="4" w:space="0" w:color="auto"/>
              <w:bottom w:val="single" w:sz="4" w:space="0" w:color="auto"/>
              <w:right w:val="single" w:sz="4" w:space="0" w:color="auto"/>
            </w:tcBorders>
            <w:hideMark/>
          </w:tcPr>
          <w:p w:rsidR="00CA0F05" w:rsidRPr="00CA0F05" w:rsidRDefault="00CA0F05" w:rsidP="00CA0F05">
            <w:pPr>
              <w:rPr>
                <w:rFonts w:ascii="Times New Roman" w:hAnsi="Times New Roman" w:cs="Times New Roman"/>
                <w:sz w:val="24"/>
                <w:szCs w:val="24"/>
              </w:rPr>
            </w:pPr>
            <w:r w:rsidRPr="00CA0F05">
              <w:rPr>
                <w:rFonts w:ascii="Times New Roman" w:hAnsi="Times New Roman" w:cs="Times New Roman"/>
                <w:sz w:val="24"/>
                <w:szCs w:val="24"/>
              </w:rPr>
              <w:t>June 2012 – May 2013 AEP ESP Proposal, incl. RSS</w:t>
            </w:r>
          </w:p>
        </w:tc>
        <w:tc>
          <w:tcPr>
            <w:tcW w:w="1174" w:type="dxa"/>
            <w:tcBorders>
              <w:top w:val="single" w:sz="4" w:space="0" w:color="auto"/>
              <w:left w:val="single" w:sz="4" w:space="0" w:color="auto"/>
              <w:bottom w:val="single" w:sz="4" w:space="0" w:color="auto"/>
              <w:right w:val="single" w:sz="4" w:space="0" w:color="auto"/>
            </w:tcBorders>
            <w:hideMark/>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6.412</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6.412</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6.412</w:t>
            </w:r>
          </w:p>
        </w:tc>
      </w:tr>
      <w:tr w:rsidR="00CA0F05" w:rsidRPr="00CA0F05" w:rsidTr="00CA0F05">
        <w:tc>
          <w:tcPr>
            <w:tcW w:w="5508" w:type="dxa"/>
            <w:tcBorders>
              <w:top w:val="single" w:sz="4" w:space="0" w:color="auto"/>
              <w:left w:val="single" w:sz="4" w:space="0" w:color="auto"/>
              <w:bottom w:val="single" w:sz="4" w:space="0" w:color="auto"/>
              <w:right w:val="single" w:sz="4" w:space="0" w:color="auto"/>
            </w:tcBorders>
            <w:hideMark/>
          </w:tcPr>
          <w:p w:rsidR="00CA0F05" w:rsidRPr="00CA0F05" w:rsidRDefault="00CA0F05" w:rsidP="00CA0F05">
            <w:pPr>
              <w:rPr>
                <w:rFonts w:ascii="Times New Roman" w:hAnsi="Times New Roman" w:cs="Times New Roman"/>
                <w:sz w:val="24"/>
                <w:szCs w:val="24"/>
              </w:rPr>
            </w:pPr>
            <w:r w:rsidRPr="00CA0F05">
              <w:rPr>
                <w:rFonts w:ascii="Times New Roman" w:hAnsi="Times New Roman" w:cs="Times New Roman"/>
                <w:sz w:val="24"/>
                <w:szCs w:val="24"/>
              </w:rPr>
              <w:t xml:space="preserve">June 2012 – May 2013 </w:t>
            </w:r>
            <w:r w:rsidR="005A6F21">
              <w:rPr>
                <w:rFonts w:ascii="Times New Roman" w:hAnsi="Times New Roman" w:cs="Times New Roman"/>
                <w:sz w:val="24"/>
                <w:szCs w:val="24"/>
              </w:rPr>
              <w:t>S</w:t>
            </w:r>
            <w:r w:rsidR="00927CF2">
              <w:rPr>
                <w:rFonts w:ascii="Times New Roman" w:hAnsi="Times New Roman" w:cs="Times New Roman"/>
                <w:sz w:val="24"/>
                <w:szCs w:val="24"/>
              </w:rPr>
              <w:t>taff</w:t>
            </w:r>
            <w:r w:rsidRPr="00CA0F05">
              <w:rPr>
                <w:rFonts w:ascii="Times New Roman" w:hAnsi="Times New Roman" w:cs="Times New Roman"/>
                <w:sz w:val="24"/>
                <w:szCs w:val="24"/>
              </w:rPr>
              <w:t xml:space="preserve"> Blended Market Rate</w:t>
            </w:r>
          </w:p>
        </w:tc>
        <w:tc>
          <w:tcPr>
            <w:tcW w:w="1174" w:type="dxa"/>
            <w:tcBorders>
              <w:top w:val="single" w:sz="4" w:space="0" w:color="auto"/>
              <w:left w:val="single" w:sz="4" w:space="0" w:color="auto"/>
              <w:bottom w:val="single" w:sz="4" w:space="0" w:color="auto"/>
              <w:right w:val="single" w:sz="4" w:space="0" w:color="auto"/>
            </w:tcBorders>
            <w:hideMark/>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6.054</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6.138</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6.208</w:t>
            </w:r>
          </w:p>
        </w:tc>
      </w:tr>
      <w:tr w:rsidR="00CA0F05" w:rsidRPr="00CA0F05" w:rsidTr="00CA0F05">
        <w:tc>
          <w:tcPr>
            <w:tcW w:w="5508" w:type="dxa"/>
            <w:tcBorders>
              <w:top w:val="single" w:sz="4" w:space="0" w:color="auto"/>
              <w:left w:val="single" w:sz="4" w:space="0" w:color="auto"/>
              <w:bottom w:val="single" w:sz="4" w:space="0" w:color="auto"/>
              <w:right w:val="single" w:sz="4" w:space="0" w:color="auto"/>
            </w:tcBorders>
            <w:hideMark/>
          </w:tcPr>
          <w:p w:rsidR="00CA0F05" w:rsidRPr="00CA0F05" w:rsidRDefault="00CA0F05" w:rsidP="00CA0F05">
            <w:pPr>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hideMark/>
          </w:tcPr>
          <w:p w:rsidR="00CA0F05" w:rsidRPr="00CA0F05" w:rsidRDefault="00CA0F05" w:rsidP="00CA0F05">
            <w:pPr>
              <w:jc w:val="center"/>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p>
        </w:tc>
      </w:tr>
      <w:tr w:rsidR="00CA0F05" w:rsidRPr="00CA0F05" w:rsidTr="00CA0F05">
        <w:tc>
          <w:tcPr>
            <w:tcW w:w="5508" w:type="dxa"/>
            <w:tcBorders>
              <w:top w:val="single" w:sz="4" w:space="0" w:color="auto"/>
              <w:left w:val="single" w:sz="4" w:space="0" w:color="auto"/>
              <w:bottom w:val="single" w:sz="4" w:space="0" w:color="auto"/>
              <w:right w:val="single" w:sz="4" w:space="0" w:color="auto"/>
            </w:tcBorders>
            <w:hideMark/>
          </w:tcPr>
          <w:p w:rsidR="00CA0F05" w:rsidRPr="00CA0F05" w:rsidRDefault="00CA0F05" w:rsidP="00CA0F05">
            <w:pPr>
              <w:rPr>
                <w:rFonts w:ascii="Times New Roman" w:hAnsi="Times New Roman" w:cs="Times New Roman"/>
                <w:sz w:val="24"/>
                <w:szCs w:val="24"/>
              </w:rPr>
            </w:pPr>
            <w:r w:rsidRPr="00CA0F05">
              <w:rPr>
                <w:rFonts w:ascii="Times New Roman" w:hAnsi="Times New Roman" w:cs="Times New Roman"/>
                <w:sz w:val="24"/>
                <w:szCs w:val="24"/>
              </w:rPr>
              <w:t>June 2013 – May 2014 AEP ESP Proposal, incl. RSS</w:t>
            </w:r>
          </w:p>
        </w:tc>
        <w:tc>
          <w:tcPr>
            <w:tcW w:w="1174" w:type="dxa"/>
            <w:tcBorders>
              <w:top w:val="single" w:sz="4" w:space="0" w:color="auto"/>
              <w:left w:val="single" w:sz="4" w:space="0" w:color="auto"/>
              <w:bottom w:val="single" w:sz="4" w:space="0" w:color="auto"/>
              <w:right w:val="single" w:sz="4" w:space="0" w:color="auto"/>
            </w:tcBorders>
            <w:hideMark/>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6.379</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6.379</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6.379</w:t>
            </w:r>
          </w:p>
        </w:tc>
      </w:tr>
      <w:tr w:rsidR="00CA0F05" w:rsidRPr="00CA0F05" w:rsidTr="00CA0F05">
        <w:tc>
          <w:tcPr>
            <w:tcW w:w="5508" w:type="dxa"/>
            <w:tcBorders>
              <w:top w:val="single" w:sz="4" w:space="0" w:color="auto"/>
              <w:left w:val="single" w:sz="4" w:space="0" w:color="auto"/>
              <w:bottom w:val="single" w:sz="4" w:space="0" w:color="auto"/>
              <w:right w:val="single" w:sz="4" w:space="0" w:color="auto"/>
            </w:tcBorders>
            <w:hideMark/>
          </w:tcPr>
          <w:p w:rsidR="00CA0F05" w:rsidRPr="00CA0F05" w:rsidRDefault="00CA0F05" w:rsidP="00CA0F05">
            <w:pPr>
              <w:rPr>
                <w:rFonts w:ascii="Times New Roman" w:hAnsi="Times New Roman" w:cs="Times New Roman"/>
                <w:sz w:val="24"/>
                <w:szCs w:val="24"/>
              </w:rPr>
            </w:pPr>
            <w:r w:rsidRPr="00CA0F05">
              <w:rPr>
                <w:rFonts w:ascii="Times New Roman" w:hAnsi="Times New Roman" w:cs="Times New Roman"/>
                <w:sz w:val="24"/>
                <w:szCs w:val="24"/>
              </w:rPr>
              <w:t xml:space="preserve">June 2013 – May, 2014 </w:t>
            </w:r>
            <w:r w:rsidR="005A6F21">
              <w:rPr>
                <w:rFonts w:ascii="Times New Roman" w:hAnsi="Times New Roman" w:cs="Times New Roman"/>
                <w:sz w:val="24"/>
                <w:szCs w:val="24"/>
              </w:rPr>
              <w:t>S</w:t>
            </w:r>
            <w:r w:rsidR="00927CF2">
              <w:rPr>
                <w:rFonts w:ascii="Times New Roman" w:hAnsi="Times New Roman" w:cs="Times New Roman"/>
                <w:sz w:val="24"/>
                <w:szCs w:val="24"/>
              </w:rPr>
              <w:t>taff</w:t>
            </w:r>
            <w:r w:rsidRPr="00CA0F05">
              <w:rPr>
                <w:rFonts w:ascii="Times New Roman" w:hAnsi="Times New Roman" w:cs="Times New Roman"/>
                <w:sz w:val="24"/>
                <w:szCs w:val="24"/>
              </w:rPr>
              <w:t xml:space="preserve"> Blended Market Rate</w:t>
            </w:r>
          </w:p>
        </w:tc>
        <w:tc>
          <w:tcPr>
            <w:tcW w:w="1174" w:type="dxa"/>
            <w:tcBorders>
              <w:top w:val="single" w:sz="4" w:space="0" w:color="auto"/>
              <w:left w:val="single" w:sz="4" w:space="0" w:color="auto"/>
              <w:bottom w:val="single" w:sz="4" w:space="0" w:color="auto"/>
              <w:right w:val="single" w:sz="4" w:space="0" w:color="auto"/>
            </w:tcBorders>
            <w:hideMark/>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6.000</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6.153</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6.293</w:t>
            </w:r>
          </w:p>
        </w:tc>
      </w:tr>
      <w:tr w:rsidR="00CA0F05" w:rsidRPr="00CA0F05" w:rsidTr="00CA0F05">
        <w:tc>
          <w:tcPr>
            <w:tcW w:w="5508" w:type="dxa"/>
            <w:tcBorders>
              <w:top w:val="single" w:sz="4" w:space="0" w:color="auto"/>
              <w:left w:val="single" w:sz="4" w:space="0" w:color="auto"/>
              <w:bottom w:val="single" w:sz="4" w:space="0" w:color="auto"/>
              <w:right w:val="single" w:sz="4" w:space="0" w:color="auto"/>
            </w:tcBorders>
            <w:hideMark/>
          </w:tcPr>
          <w:p w:rsidR="00CA0F05" w:rsidRPr="00CA0F05" w:rsidRDefault="00CA0F05" w:rsidP="00CA0F05">
            <w:pPr>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hideMark/>
          </w:tcPr>
          <w:p w:rsidR="00CA0F05" w:rsidRPr="00CA0F05" w:rsidRDefault="00CA0F05" w:rsidP="00CA0F05">
            <w:pPr>
              <w:jc w:val="center"/>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p>
        </w:tc>
      </w:tr>
      <w:tr w:rsidR="00CA0F05" w:rsidRPr="00CA0F05" w:rsidTr="00CA0F05">
        <w:tc>
          <w:tcPr>
            <w:tcW w:w="5508" w:type="dxa"/>
            <w:tcBorders>
              <w:top w:val="single" w:sz="4" w:space="0" w:color="auto"/>
              <w:left w:val="single" w:sz="4" w:space="0" w:color="auto"/>
              <w:bottom w:val="single" w:sz="4" w:space="0" w:color="auto"/>
              <w:right w:val="single" w:sz="4" w:space="0" w:color="auto"/>
            </w:tcBorders>
            <w:hideMark/>
          </w:tcPr>
          <w:p w:rsidR="00CA0F05" w:rsidRPr="00CA0F05" w:rsidRDefault="00CA0F05" w:rsidP="00CA0F05">
            <w:pPr>
              <w:rPr>
                <w:rFonts w:ascii="Times New Roman" w:hAnsi="Times New Roman" w:cs="Times New Roman"/>
                <w:sz w:val="24"/>
                <w:szCs w:val="24"/>
              </w:rPr>
            </w:pPr>
            <w:r w:rsidRPr="00CA0F05">
              <w:rPr>
                <w:rFonts w:ascii="Times New Roman" w:hAnsi="Times New Roman" w:cs="Times New Roman"/>
                <w:sz w:val="24"/>
                <w:szCs w:val="24"/>
              </w:rPr>
              <w:t>June 2014 – Dec, 2014 AEP ESP Proposal, incl. RSS</w:t>
            </w:r>
          </w:p>
        </w:tc>
        <w:tc>
          <w:tcPr>
            <w:tcW w:w="1174" w:type="dxa"/>
            <w:tcBorders>
              <w:top w:val="single" w:sz="4" w:space="0" w:color="auto"/>
              <w:left w:val="single" w:sz="4" w:space="0" w:color="auto"/>
              <w:bottom w:val="single" w:sz="4" w:space="0" w:color="auto"/>
              <w:right w:val="single" w:sz="4" w:space="0" w:color="auto"/>
            </w:tcBorders>
            <w:hideMark/>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6.382</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6.382</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6.382</w:t>
            </w:r>
          </w:p>
        </w:tc>
      </w:tr>
      <w:tr w:rsidR="00CA0F05" w:rsidRPr="00CA0F05" w:rsidTr="00CA0F05">
        <w:tc>
          <w:tcPr>
            <w:tcW w:w="5508" w:type="dxa"/>
            <w:tcBorders>
              <w:top w:val="single" w:sz="4" w:space="0" w:color="auto"/>
              <w:left w:val="single" w:sz="4" w:space="0" w:color="auto"/>
              <w:bottom w:val="single" w:sz="4" w:space="0" w:color="auto"/>
              <w:right w:val="single" w:sz="4" w:space="0" w:color="auto"/>
            </w:tcBorders>
            <w:hideMark/>
          </w:tcPr>
          <w:p w:rsidR="00CA0F05" w:rsidRPr="00CA0F05" w:rsidRDefault="00CA0F05" w:rsidP="00CA0F05">
            <w:pPr>
              <w:rPr>
                <w:rFonts w:ascii="Times New Roman" w:hAnsi="Times New Roman" w:cs="Times New Roman"/>
                <w:sz w:val="24"/>
                <w:szCs w:val="24"/>
              </w:rPr>
            </w:pPr>
            <w:r w:rsidRPr="00CA0F05">
              <w:rPr>
                <w:rFonts w:ascii="Times New Roman" w:hAnsi="Times New Roman" w:cs="Times New Roman"/>
                <w:sz w:val="24"/>
                <w:szCs w:val="24"/>
              </w:rPr>
              <w:t xml:space="preserve">June, 2014 –  Dec 2014 </w:t>
            </w:r>
            <w:r w:rsidR="005A6F21">
              <w:rPr>
                <w:rFonts w:ascii="Times New Roman" w:hAnsi="Times New Roman" w:cs="Times New Roman"/>
                <w:sz w:val="24"/>
                <w:szCs w:val="24"/>
              </w:rPr>
              <w:t>S</w:t>
            </w:r>
            <w:r w:rsidR="00927CF2">
              <w:rPr>
                <w:rFonts w:ascii="Times New Roman" w:hAnsi="Times New Roman" w:cs="Times New Roman"/>
                <w:sz w:val="24"/>
                <w:szCs w:val="24"/>
              </w:rPr>
              <w:t>taff</w:t>
            </w:r>
            <w:r w:rsidRPr="00CA0F05">
              <w:rPr>
                <w:rFonts w:ascii="Times New Roman" w:hAnsi="Times New Roman" w:cs="Times New Roman"/>
                <w:sz w:val="24"/>
                <w:szCs w:val="24"/>
              </w:rPr>
              <w:t xml:space="preserve"> Blended Market Rate</w:t>
            </w:r>
          </w:p>
        </w:tc>
        <w:tc>
          <w:tcPr>
            <w:tcW w:w="1174" w:type="dxa"/>
            <w:tcBorders>
              <w:top w:val="single" w:sz="4" w:space="0" w:color="auto"/>
              <w:left w:val="single" w:sz="4" w:space="0" w:color="auto"/>
              <w:bottom w:val="single" w:sz="4" w:space="0" w:color="auto"/>
              <w:right w:val="single" w:sz="4" w:space="0" w:color="auto"/>
            </w:tcBorders>
            <w:hideMark/>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6.132</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6.172</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6.382</w:t>
            </w:r>
          </w:p>
        </w:tc>
      </w:tr>
      <w:tr w:rsidR="00CA0F05" w:rsidRPr="00CA0F05" w:rsidTr="00CA0F05">
        <w:tc>
          <w:tcPr>
            <w:tcW w:w="5508"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p>
        </w:tc>
      </w:tr>
      <w:tr w:rsidR="00CA0F05" w:rsidRPr="00CA0F05" w:rsidTr="00CA0F05">
        <w:tc>
          <w:tcPr>
            <w:tcW w:w="5508"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rPr>
                <w:rFonts w:ascii="Times New Roman" w:hAnsi="Times New Roman" w:cs="Times New Roman"/>
                <w:sz w:val="24"/>
                <w:szCs w:val="24"/>
              </w:rPr>
            </w:pPr>
            <w:r w:rsidRPr="00CA0F05">
              <w:rPr>
                <w:rFonts w:ascii="Times New Roman" w:hAnsi="Times New Roman" w:cs="Times New Roman"/>
                <w:sz w:val="24"/>
                <w:szCs w:val="24"/>
              </w:rPr>
              <w:t xml:space="preserve">Average Over Term – AEP ESP Proposal, incl. RSS </w:t>
            </w:r>
          </w:p>
        </w:tc>
        <w:tc>
          <w:tcPr>
            <w:tcW w:w="1174"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6.392</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6.392</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6.392</w:t>
            </w:r>
          </w:p>
        </w:tc>
      </w:tr>
      <w:tr w:rsidR="00CA0F05" w:rsidRPr="00CA0F05" w:rsidTr="00CA0F05">
        <w:tc>
          <w:tcPr>
            <w:tcW w:w="5508"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rPr>
                <w:rFonts w:ascii="Times New Roman" w:hAnsi="Times New Roman" w:cs="Times New Roman"/>
                <w:sz w:val="24"/>
                <w:szCs w:val="24"/>
              </w:rPr>
            </w:pPr>
            <w:r w:rsidRPr="00CA0F05">
              <w:rPr>
                <w:rFonts w:ascii="Times New Roman" w:hAnsi="Times New Roman" w:cs="Times New Roman"/>
                <w:sz w:val="24"/>
                <w:szCs w:val="24"/>
              </w:rPr>
              <w:t xml:space="preserve">Average Over Term – Staff Blended MRO </w:t>
            </w:r>
          </w:p>
        </w:tc>
        <w:tc>
          <w:tcPr>
            <w:tcW w:w="1174"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6.051</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6.152</w:t>
            </w:r>
          </w:p>
        </w:tc>
        <w:tc>
          <w:tcPr>
            <w:tcW w:w="1447" w:type="dxa"/>
            <w:tcBorders>
              <w:top w:val="single" w:sz="4" w:space="0" w:color="auto"/>
              <w:left w:val="single" w:sz="4" w:space="0" w:color="auto"/>
              <w:bottom w:val="single" w:sz="4" w:space="0" w:color="auto"/>
              <w:right w:val="single" w:sz="4" w:space="0" w:color="auto"/>
            </w:tcBorders>
          </w:tcPr>
          <w:p w:rsidR="00CA0F05" w:rsidRPr="00CA0F05" w:rsidRDefault="00CA0F05" w:rsidP="00CA0F05">
            <w:pPr>
              <w:jc w:val="center"/>
              <w:rPr>
                <w:rFonts w:ascii="Times New Roman" w:hAnsi="Times New Roman" w:cs="Times New Roman"/>
                <w:sz w:val="24"/>
                <w:szCs w:val="24"/>
              </w:rPr>
            </w:pPr>
            <w:r w:rsidRPr="00CA0F05">
              <w:rPr>
                <w:rFonts w:ascii="Times New Roman" w:hAnsi="Times New Roman" w:cs="Times New Roman"/>
                <w:sz w:val="24"/>
                <w:szCs w:val="24"/>
              </w:rPr>
              <w:t>6.280</w:t>
            </w:r>
          </w:p>
        </w:tc>
      </w:tr>
    </w:tbl>
    <w:p w:rsidR="004A2658" w:rsidRPr="00EF3DE5" w:rsidRDefault="004A2658" w:rsidP="00EF3DE5">
      <w:pPr>
        <w:pStyle w:val="Heading3"/>
      </w:pPr>
      <w:bookmarkStart w:id="18" w:name="_Toc328732869"/>
      <w:proofErr w:type="gramStart"/>
      <w:r w:rsidRPr="00EF3DE5">
        <w:t>Qualitative Considerations.</w:t>
      </w:r>
      <w:bookmarkEnd w:id="18"/>
      <w:proofErr w:type="gramEnd"/>
      <w:r w:rsidRPr="00EF3DE5">
        <w:t xml:space="preserve"> </w:t>
      </w:r>
    </w:p>
    <w:p w:rsidR="004A2658" w:rsidRDefault="004A2658" w:rsidP="004A2658">
      <w:pPr>
        <w:pStyle w:val="question"/>
        <w:tabs>
          <w:tab w:val="clear" w:pos="720"/>
        </w:tabs>
        <w:ind w:left="0" w:firstLine="720"/>
      </w:pPr>
      <w:r>
        <w:t xml:space="preserve">Even though staff believes that the proposed ESP cannot satisfy the MRO test on a strictly quantitative basis, the Commission </w:t>
      </w:r>
      <w:r w:rsidR="005A6F21">
        <w:t>may</w:t>
      </w:r>
      <w:r>
        <w:t xml:space="preserve"> also take </w:t>
      </w:r>
      <w:r w:rsidR="005A6F21">
        <w:t xml:space="preserve">qualitative factors </w:t>
      </w:r>
      <w:r>
        <w:t xml:space="preserve">into consideration that may justify approval of the plan in some form. </w:t>
      </w:r>
    </w:p>
    <w:p w:rsidR="004A2658" w:rsidRDefault="00C00DAC" w:rsidP="00C00DAC">
      <w:pPr>
        <w:pStyle w:val="question"/>
        <w:tabs>
          <w:tab w:val="clear" w:pos="720"/>
        </w:tabs>
        <w:ind w:left="0" w:firstLine="720"/>
      </w:pPr>
      <w:r>
        <w:t>For example, staff witness Fortney testified that an</w:t>
      </w:r>
      <w:r w:rsidR="004A2658" w:rsidRPr="004A2658">
        <w:t xml:space="preserve"> electric security plan can offer advantages for ratepayers, the applicant, and the public at large. </w:t>
      </w:r>
      <w:r>
        <w:t>Specifically, he noted that t</w:t>
      </w:r>
      <w:r w:rsidR="004A2658" w:rsidRPr="004A2658">
        <w:t>he transition to competitive markets is beneficial to ratepayers because</w:t>
      </w:r>
      <w:r w:rsidR="005A6F21">
        <w:t xml:space="preserve"> a</w:t>
      </w:r>
      <w:r w:rsidR="004A2658" w:rsidRPr="004A2658">
        <w:t xml:space="preserve"> move to a full market rate c</w:t>
      </w:r>
      <w:r w:rsidR="005A6F21">
        <w:t>ould</w:t>
      </w:r>
      <w:r w:rsidR="004A2658" w:rsidRPr="004A2658">
        <w:t xml:space="preserve"> be achieved more quickly than through the blending phase-in of an MRO. </w:t>
      </w:r>
      <w:r>
        <w:t xml:space="preserve">The proposed ESP would also </w:t>
      </w:r>
      <w:r w:rsidR="004A2658" w:rsidRPr="004A2658">
        <w:t>allow</w:t>
      </w:r>
      <w:r>
        <w:t xml:space="preserve"> </w:t>
      </w:r>
      <w:r w:rsidR="004A2658" w:rsidRPr="004A2658">
        <w:t xml:space="preserve">for rate certainty and stability </w:t>
      </w:r>
      <w:r>
        <w:t>during the transition</w:t>
      </w:r>
      <w:r w:rsidR="00145DDC">
        <w:t>.</w:t>
      </w:r>
      <w:r w:rsidR="004A2658" w:rsidRPr="004A2658">
        <w:t xml:space="preserve"> </w:t>
      </w:r>
      <w:r w:rsidR="00145DDC">
        <w:t xml:space="preserve">Finally, Mr. Fortney noted that </w:t>
      </w:r>
      <w:r w:rsidR="00145DDC" w:rsidRPr="004A2658">
        <w:t xml:space="preserve">the </w:t>
      </w:r>
      <w:r w:rsidR="005A6F21">
        <w:t xml:space="preserve">proposed </w:t>
      </w:r>
      <w:r w:rsidR="00B7307F">
        <w:t xml:space="preserve">Generation Resource Rider </w:t>
      </w:r>
      <w:r w:rsidR="00B7307F">
        <w:lastRenderedPageBreak/>
        <w:t>(</w:t>
      </w:r>
      <w:r w:rsidR="00145DDC" w:rsidRPr="004A2658">
        <w:t>GRR</w:t>
      </w:r>
      <w:r w:rsidR="00B7307F">
        <w:t>)</w:t>
      </w:r>
      <w:r w:rsidR="00145DDC" w:rsidRPr="004A2658">
        <w:t xml:space="preserve"> provides a mechanism</w:t>
      </w:r>
      <w:r w:rsidR="00145DDC">
        <w:t xml:space="preserve"> </w:t>
      </w:r>
      <w:r w:rsidR="00145DDC" w:rsidRPr="004A2658">
        <w:t>to allow for the construction of</w:t>
      </w:r>
      <w:r w:rsidR="00145DDC">
        <w:t xml:space="preserve"> </w:t>
      </w:r>
      <w:r w:rsidR="00145DDC" w:rsidRPr="004A2658">
        <w:t>additional</w:t>
      </w:r>
      <w:r w:rsidR="00145DDC">
        <w:t xml:space="preserve">ly needed future generation </w:t>
      </w:r>
      <w:r w:rsidR="00145DDC" w:rsidRPr="004A2658">
        <w:t>facilities</w:t>
      </w:r>
      <w:r w:rsidR="00145DDC">
        <w:t xml:space="preserve">. </w:t>
      </w:r>
    </w:p>
    <w:p w:rsidR="005A6F21" w:rsidRPr="004A2658" w:rsidRDefault="005A6F21" w:rsidP="00C00DAC">
      <w:pPr>
        <w:pStyle w:val="question"/>
        <w:tabs>
          <w:tab w:val="clear" w:pos="720"/>
        </w:tabs>
        <w:ind w:left="0" w:firstLine="720"/>
      </w:pPr>
      <w:r>
        <w:t xml:space="preserve">Staff takes no position on whether these qualitative factors justify approval of the modified ESP. Should the Commission </w:t>
      </w:r>
      <w:proofErr w:type="gramStart"/>
      <w:r>
        <w:t>decide</w:t>
      </w:r>
      <w:proofErr w:type="gramEnd"/>
      <w:r>
        <w:t xml:space="preserve"> to approve the Company’s proposal, staff believes that it should also adopt the recommendations below. </w:t>
      </w:r>
    </w:p>
    <w:p w:rsidR="00AA147D" w:rsidRPr="003C72A8" w:rsidRDefault="00AA147D" w:rsidP="005A72D6">
      <w:pPr>
        <w:pStyle w:val="Heading2"/>
      </w:pPr>
      <w:bookmarkStart w:id="19" w:name="_Toc328732870"/>
      <w:r w:rsidRPr="003C72A8">
        <w:t>Corporate Separation</w:t>
      </w:r>
      <w:bookmarkEnd w:id="19"/>
      <w:r w:rsidRPr="003C72A8">
        <w:t xml:space="preserve"> </w:t>
      </w:r>
    </w:p>
    <w:p w:rsidR="00AA147D" w:rsidRPr="003C72A8" w:rsidRDefault="00AA147D" w:rsidP="00412BDC">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On March 30, 2012, and contemporaneous with its modified ESP application, the Company filed an application for approval of corporate separation.</w:t>
      </w:r>
      <w:r w:rsidR="0043423E" w:rsidRPr="003C72A8">
        <w:rPr>
          <w:rFonts w:ascii="Times New Roman" w:hAnsi="Times New Roman" w:cs="Times New Roman"/>
          <w:sz w:val="26"/>
          <w:szCs w:val="26"/>
        </w:rPr>
        <w:t xml:space="preserve"> </w:t>
      </w:r>
      <w:r w:rsidR="00791326">
        <w:rPr>
          <w:rStyle w:val="FootnoteReference"/>
          <w:rFonts w:ascii="Times New Roman" w:hAnsi="Times New Roman" w:cs="Times New Roman"/>
          <w:sz w:val="26"/>
          <w:szCs w:val="26"/>
        </w:rPr>
        <w:footnoteReference w:id="36"/>
      </w:r>
      <w:r w:rsidR="00B7307F">
        <w:rPr>
          <w:rFonts w:ascii="Times New Roman" w:hAnsi="Times New Roman" w:cs="Times New Roman"/>
          <w:sz w:val="26"/>
          <w:szCs w:val="26"/>
        </w:rPr>
        <w:t xml:space="preserve"> </w:t>
      </w:r>
      <w:r w:rsidR="0043423E" w:rsidRPr="003C72A8">
        <w:rPr>
          <w:rFonts w:ascii="Times New Roman" w:hAnsi="Times New Roman" w:cs="Times New Roman"/>
          <w:sz w:val="26"/>
          <w:szCs w:val="26"/>
        </w:rPr>
        <w:t xml:space="preserve">On May 29, 2012, the Attorney Examiner suspended consideration of that application until such time as the Commission orders otherwise. While consideration of the plan should proceed in that docket, there are aspects </w:t>
      </w:r>
      <w:r w:rsidR="005A6F21">
        <w:rPr>
          <w:rFonts w:ascii="Times New Roman" w:hAnsi="Times New Roman" w:cs="Times New Roman"/>
          <w:sz w:val="26"/>
          <w:szCs w:val="26"/>
        </w:rPr>
        <w:t xml:space="preserve">of it </w:t>
      </w:r>
      <w:r w:rsidR="0043423E" w:rsidRPr="003C72A8">
        <w:rPr>
          <w:rFonts w:ascii="Times New Roman" w:hAnsi="Times New Roman" w:cs="Times New Roman"/>
          <w:sz w:val="26"/>
          <w:szCs w:val="26"/>
        </w:rPr>
        <w:t>that were addressed by the Company in this application</w:t>
      </w:r>
      <w:r w:rsidR="005A6F21">
        <w:rPr>
          <w:rFonts w:ascii="Times New Roman" w:hAnsi="Times New Roman" w:cs="Times New Roman"/>
          <w:sz w:val="26"/>
          <w:szCs w:val="26"/>
        </w:rPr>
        <w:t xml:space="preserve">, and </w:t>
      </w:r>
      <w:r w:rsidR="0043423E" w:rsidRPr="003C72A8">
        <w:rPr>
          <w:rFonts w:ascii="Times New Roman" w:hAnsi="Times New Roman" w:cs="Times New Roman"/>
          <w:sz w:val="26"/>
          <w:szCs w:val="26"/>
        </w:rPr>
        <w:t xml:space="preserve">upon which the Commission is asked to rule. </w:t>
      </w:r>
    </w:p>
    <w:p w:rsidR="00AA147D" w:rsidRPr="003C72A8" w:rsidRDefault="0043423E" w:rsidP="00412BDC">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Specifically, the Company request</w:t>
      </w:r>
      <w:r w:rsidR="005A6F21">
        <w:rPr>
          <w:rFonts w:ascii="Times New Roman" w:hAnsi="Times New Roman" w:cs="Times New Roman"/>
          <w:sz w:val="26"/>
          <w:szCs w:val="26"/>
        </w:rPr>
        <w:t>ed</w:t>
      </w:r>
      <w:r w:rsidRPr="003C72A8">
        <w:rPr>
          <w:rFonts w:ascii="Times New Roman" w:hAnsi="Times New Roman" w:cs="Times New Roman"/>
          <w:sz w:val="26"/>
          <w:szCs w:val="26"/>
        </w:rPr>
        <w:t xml:space="preserve"> that it not be required to transfer $296 million in pollution control bonds to its proposed </w:t>
      </w:r>
      <w:proofErr w:type="spellStart"/>
      <w:r w:rsidRPr="003C72A8">
        <w:rPr>
          <w:rFonts w:ascii="Times New Roman" w:hAnsi="Times New Roman" w:cs="Times New Roman"/>
          <w:sz w:val="26"/>
          <w:szCs w:val="26"/>
        </w:rPr>
        <w:t>Genco</w:t>
      </w:r>
      <w:proofErr w:type="spellEnd"/>
      <w:r w:rsidRPr="003C72A8">
        <w:rPr>
          <w:rFonts w:ascii="Times New Roman" w:hAnsi="Times New Roman" w:cs="Times New Roman"/>
          <w:sz w:val="26"/>
          <w:szCs w:val="26"/>
        </w:rPr>
        <w:t>.</w:t>
      </w:r>
      <w:r w:rsidR="005A6F21">
        <w:rPr>
          <w:rStyle w:val="FootnoteReference"/>
          <w:rFonts w:ascii="Times New Roman" w:hAnsi="Times New Roman" w:cs="Times New Roman"/>
          <w:sz w:val="26"/>
          <w:szCs w:val="26"/>
        </w:rPr>
        <w:footnoteReference w:id="37"/>
      </w:r>
      <w:r w:rsidRPr="003C72A8">
        <w:rPr>
          <w:rFonts w:ascii="Times New Roman" w:hAnsi="Times New Roman" w:cs="Times New Roman"/>
          <w:sz w:val="26"/>
          <w:szCs w:val="26"/>
        </w:rPr>
        <w:t xml:space="preserve"> Staff witness McCarter testified that the Company had </w:t>
      </w:r>
      <w:r w:rsidR="00AA147D" w:rsidRPr="003C72A8">
        <w:rPr>
          <w:rFonts w:ascii="Times New Roman" w:hAnsi="Times New Roman" w:cs="Times New Roman"/>
          <w:sz w:val="26"/>
          <w:szCs w:val="26"/>
        </w:rPr>
        <w:t xml:space="preserve">made no showing that use of intercompany notes would have a substantial negative impact on </w:t>
      </w:r>
      <w:r w:rsidRPr="003C72A8">
        <w:rPr>
          <w:rFonts w:ascii="Times New Roman" w:hAnsi="Times New Roman" w:cs="Times New Roman"/>
          <w:sz w:val="26"/>
          <w:szCs w:val="26"/>
        </w:rPr>
        <w:t>its</w:t>
      </w:r>
      <w:r w:rsidR="00AA147D" w:rsidRPr="003C72A8">
        <w:rPr>
          <w:rFonts w:ascii="Times New Roman" w:hAnsi="Times New Roman" w:cs="Times New Roman"/>
          <w:sz w:val="26"/>
          <w:szCs w:val="26"/>
        </w:rPr>
        <w:t xml:space="preserve"> cost of debt.</w:t>
      </w:r>
      <w:r w:rsidR="005A6F21">
        <w:rPr>
          <w:rStyle w:val="FootnoteReference"/>
          <w:rFonts w:ascii="Times New Roman" w:hAnsi="Times New Roman" w:cs="Times New Roman"/>
          <w:sz w:val="26"/>
          <w:szCs w:val="26"/>
        </w:rPr>
        <w:footnoteReference w:id="38"/>
      </w:r>
      <w:r w:rsidR="00AA147D" w:rsidRPr="003C72A8">
        <w:rPr>
          <w:rFonts w:ascii="Times New Roman" w:hAnsi="Times New Roman" w:cs="Times New Roman"/>
          <w:sz w:val="26"/>
          <w:szCs w:val="26"/>
        </w:rPr>
        <w:t xml:space="preserve"> </w:t>
      </w:r>
      <w:r w:rsidRPr="003C72A8">
        <w:rPr>
          <w:rFonts w:ascii="Times New Roman" w:hAnsi="Times New Roman" w:cs="Times New Roman"/>
          <w:sz w:val="26"/>
          <w:szCs w:val="26"/>
        </w:rPr>
        <w:t xml:space="preserve">Consequently, </w:t>
      </w:r>
      <w:r w:rsidR="00927CF2">
        <w:rPr>
          <w:rFonts w:ascii="Times New Roman" w:hAnsi="Times New Roman" w:cs="Times New Roman"/>
          <w:sz w:val="26"/>
          <w:szCs w:val="26"/>
        </w:rPr>
        <w:t>staff</w:t>
      </w:r>
      <w:r w:rsidRPr="003C72A8">
        <w:rPr>
          <w:rFonts w:ascii="Times New Roman" w:hAnsi="Times New Roman" w:cs="Times New Roman"/>
          <w:sz w:val="26"/>
          <w:szCs w:val="26"/>
        </w:rPr>
        <w:t xml:space="preserve"> recommended that the Commission deny that request at this time. </w:t>
      </w:r>
      <w:r w:rsidR="00444A8D" w:rsidRPr="003C72A8">
        <w:rPr>
          <w:rFonts w:ascii="Times New Roman" w:hAnsi="Times New Roman" w:cs="Times New Roman"/>
          <w:sz w:val="26"/>
          <w:szCs w:val="26"/>
        </w:rPr>
        <w:t xml:space="preserve">As Ms. McCarter made clear on </w:t>
      </w:r>
      <w:r w:rsidR="00444A8D" w:rsidRPr="003C72A8">
        <w:rPr>
          <w:rFonts w:ascii="Times New Roman" w:hAnsi="Times New Roman" w:cs="Times New Roman"/>
          <w:sz w:val="26"/>
          <w:szCs w:val="26"/>
        </w:rPr>
        <w:lastRenderedPageBreak/>
        <w:t>cross-examination, staff is not opposed to the Company retaining its pollution control bonds.</w:t>
      </w:r>
      <w:r w:rsidR="006218D9" w:rsidRPr="006218D9">
        <w:rPr>
          <w:rStyle w:val="FootnoteReference"/>
          <w:rFonts w:ascii="Times New Roman" w:hAnsi="Times New Roman" w:cs="Times New Roman"/>
          <w:sz w:val="26"/>
          <w:szCs w:val="26"/>
        </w:rPr>
        <w:t xml:space="preserve"> </w:t>
      </w:r>
      <w:r w:rsidR="006218D9">
        <w:rPr>
          <w:rStyle w:val="FootnoteReference"/>
          <w:rFonts w:ascii="Times New Roman" w:hAnsi="Times New Roman" w:cs="Times New Roman"/>
          <w:sz w:val="26"/>
          <w:szCs w:val="26"/>
        </w:rPr>
        <w:footnoteReference w:id="39"/>
      </w:r>
      <w:r w:rsidR="00444A8D" w:rsidRPr="003C72A8">
        <w:rPr>
          <w:rFonts w:ascii="Times New Roman" w:hAnsi="Times New Roman" w:cs="Times New Roman"/>
          <w:sz w:val="26"/>
          <w:szCs w:val="26"/>
        </w:rPr>
        <w:t xml:space="preserve"> But staff believes that the Company has failed in this case to adequately demonstrate that it should not be required to transfer those bonds. </w:t>
      </w:r>
      <w:r w:rsidRPr="003C72A8">
        <w:rPr>
          <w:rFonts w:ascii="Times New Roman" w:hAnsi="Times New Roman" w:cs="Times New Roman"/>
          <w:sz w:val="26"/>
          <w:szCs w:val="26"/>
        </w:rPr>
        <w:t xml:space="preserve">The Company </w:t>
      </w:r>
      <w:r w:rsidR="00AA147D" w:rsidRPr="003C72A8">
        <w:rPr>
          <w:rFonts w:ascii="Times New Roman" w:hAnsi="Times New Roman" w:cs="Times New Roman"/>
          <w:sz w:val="26"/>
          <w:szCs w:val="26"/>
        </w:rPr>
        <w:t xml:space="preserve">should </w:t>
      </w:r>
      <w:r w:rsidRPr="003C72A8">
        <w:rPr>
          <w:rFonts w:ascii="Times New Roman" w:hAnsi="Times New Roman" w:cs="Times New Roman"/>
          <w:sz w:val="26"/>
          <w:szCs w:val="26"/>
        </w:rPr>
        <w:t xml:space="preserve">be directed to </w:t>
      </w:r>
      <w:r w:rsidR="00AA147D" w:rsidRPr="003C72A8">
        <w:rPr>
          <w:rFonts w:ascii="Times New Roman" w:hAnsi="Times New Roman" w:cs="Times New Roman"/>
          <w:sz w:val="26"/>
          <w:szCs w:val="26"/>
        </w:rPr>
        <w:t>make a filing to the Commission, within six months of the completion of corporate separation, demonstrating the substantial negative impact on AEP</w:t>
      </w:r>
      <w:r w:rsidRPr="003C72A8">
        <w:rPr>
          <w:rFonts w:ascii="Times New Roman" w:hAnsi="Times New Roman" w:cs="Times New Roman"/>
          <w:sz w:val="26"/>
          <w:szCs w:val="26"/>
        </w:rPr>
        <w:t>-</w:t>
      </w:r>
      <w:r w:rsidR="00AA147D" w:rsidRPr="003C72A8">
        <w:rPr>
          <w:rFonts w:ascii="Times New Roman" w:hAnsi="Times New Roman" w:cs="Times New Roman"/>
          <w:sz w:val="26"/>
          <w:szCs w:val="26"/>
        </w:rPr>
        <w:t>Ohio that would be avoided</w:t>
      </w:r>
      <w:r w:rsidRPr="003C72A8">
        <w:rPr>
          <w:rFonts w:ascii="Times New Roman" w:hAnsi="Times New Roman" w:cs="Times New Roman"/>
          <w:sz w:val="26"/>
          <w:szCs w:val="26"/>
        </w:rPr>
        <w:t xml:space="preserve"> if it desires not to transfer this debt or use intercompany notes. </w:t>
      </w:r>
    </w:p>
    <w:p w:rsidR="00AA147D" w:rsidRPr="003C72A8" w:rsidRDefault="00AA147D" w:rsidP="00412BDC">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Staff witness McCarter further recommended that the Corporate Organization chart be updated to reflect the legal entities that are related to American Electric Power Inc., as well as all reportable segments related to the AEP-Ohio operating company. This should be similar to the information American Electric Power Inc. provides in its 10 K filing to the Securities and Exchange Commission.</w:t>
      </w:r>
      <w:r w:rsidR="006218D9">
        <w:rPr>
          <w:rStyle w:val="FootnoteReference"/>
          <w:rFonts w:ascii="Times New Roman" w:hAnsi="Times New Roman" w:cs="Times New Roman"/>
          <w:sz w:val="26"/>
          <w:szCs w:val="26"/>
        </w:rPr>
        <w:footnoteReference w:id="40"/>
      </w:r>
    </w:p>
    <w:p w:rsidR="00BE229F" w:rsidRPr="003C72A8" w:rsidRDefault="00BE229F" w:rsidP="005A72D6">
      <w:pPr>
        <w:pStyle w:val="Heading2"/>
      </w:pPr>
      <w:bookmarkStart w:id="20" w:name="_Toc328732871"/>
      <w:r w:rsidRPr="003C72A8">
        <w:t>Standard Service Offer Rate Provisions of the Modified ESP</w:t>
      </w:r>
      <w:bookmarkEnd w:id="20"/>
    </w:p>
    <w:p w:rsidR="00BE229F" w:rsidRPr="005A72D6" w:rsidRDefault="00BE229F" w:rsidP="005A72D6">
      <w:pPr>
        <w:pStyle w:val="Heading3"/>
        <w:numPr>
          <w:ilvl w:val="0"/>
          <w:numId w:val="15"/>
        </w:numPr>
        <w:ind w:left="1440" w:hanging="720"/>
      </w:pPr>
      <w:bookmarkStart w:id="21" w:name="_Toc328732872"/>
      <w:r w:rsidRPr="005A72D6">
        <w:t>Generation Rates</w:t>
      </w:r>
      <w:bookmarkEnd w:id="21"/>
    </w:p>
    <w:p w:rsidR="00BE229F" w:rsidRPr="003C72A8" w:rsidRDefault="00BE229F" w:rsidP="005A72D6">
      <w:pPr>
        <w:pStyle w:val="Heading4"/>
      </w:pPr>
      <w:bookmarkStart w:id="22" w:name="_Toc328732873"/>
      <w:r w:rsidRPr="003C72A8">
        <w:t xml:space="preserve">1. </w:t>
      </w:r>
      <w:r w:rsidR="00643C1B">
        <w:tab/>
      </w:r>
      <w:r w:rsidRPr="003C72A8">
        <w:t>SSO Generation Service Rider (base generation rate)</w:t>
      </w:r>
      <w:bookmarkEnd w:id="22"/>
    </w:p>
    <w:p w:rsidR="00BE229F" w:rsidRPr="003C72A8" w:rsidRDefault="00080FB6" w:rsidP="00080FB6">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 xml:space="preserve">The Company </w:t>
      </w:r>
      <w:r w:rsidR="00BE229F" w:rsidRPr="003C72A8">
        <w:rPr>
          <w:rFonts w:ascii="Times New Roman" w:hAnsi="Times New Roman" w:cs="Times New Roman"/>
          <w:sz w:val="26"/>
          <w:szCs w:val="26"/>
        </w:rPr>
        <w:t xml:space="preserve">has proposed to freeze current non-fuel generation rates until such time as those rates are established through a competitive bidding process. </w:t>
      </w:r>
      <w:r w:rsidRPr="003C72A8">
        <w:rPr>
          <w:rFonts w:ascii="Times New Roman" w:hAnsi="Times New Roman" w:cs="Times New Roman"/>
          <w:sz w:val="26"/>
          <w:szCs w:val="26"/>
        </w:rPr>
        <w:t>It</w:t>
      </w:r>
      <w:r w:rsidR="00BE229F" w:rsidRPr="003C72A8">
        <w:rPr>
          <w:rFonts w:ascii="Times New Roman" w:hAnsi="Times New Roman" w:cs="Times New Roman"/>
          <w:sz w:val="26"/>
          <w:szCs w:val="26"/>
        </w:rPr>
        <w:t xml:space="preserve"> is proposing to bundle the current Environmental Investment Carrying Charge Rider (EICCR) and the base generation rates.</w:t>
      </w:r>
      <w:r w:rsidRPr="003C72A8">
        <w:rPr>
          <w:rFonts w:ascii="Times New Roman" w:hAnsi="Times New Roman" w:cs="Times New Roman"/>
          <w:sz w:val="26"/>
          <w:szCs w:val="26"/>
        </w:rPr>
        <w:t xml:space="preserve"> Staff supports the Company’s proposal conceptually. </w:t>
      </w:r>
    </w:p>
    <w:p w:rsidR="00BE229F" w:rsidRPr="003C72A8" w:rsidRDefault="00BE229F" w:rsidP="005A72D6">
      <w:pPr>
        <w:pStyle w:val="Heading4"/>
      </w:pPr>
      <w:bookmarkStart w:id="23" w:name="_Toc328732874"/>
      <w:r w:rsidRPr="003C72A8">
        <w:lastRenderedPageBreak/>
        <w:t xml:space="preserve">2. </w:t>
      </w:r>
      <w:r w:rsidR="00643C1B">
        <w:tab/>
      </w:r>
      <w:r w:rsidRPr="003C72A8">
        <w:t>Fuel Adjustment Clause</w:t>
      </w:r>
      <w:bookmarkEnd w:id="23"/>
    </w:p>
    <w:p w:rsidR="00BE229F" w:rsidRPr="003C72A8" w:rsidRDefault="00BE229F" w:rsidP="00855AFC">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 xml:space="preserve">The proposed ESP includes continuation and modification of a </w:t>
      </w:r>
      <w:proofErr w:type="spellStart"/>
      <w:r w:rsidRPr="003C72A8">
        <w:rPr>
          <w:rFonts w:ascii="Times New Roman" w:hAnsi="Times New Roman" w:cs="Times New Roman"/>
          <w:sz w:val="26"/>
          <w:szCs w:val="26"/>
        </w:rPr>
        <w:t>bypassable</w:t>
      </w:r>
      <w:proofErr w:type="spellEnd"/>
      <w:r w:rsidRPr="003C72A8">
        <w:rPr>
          <w:rFonts w:ascii="Times New Roman" w:hAnsi="Times New Roman" w:cs="Times New Roman"/>
          <w:sz w:val="26"/>
          <w:szCs w:val="26"/>
        </w:rPr>
        <w:t xml:space="preserve"> Fuel Adjustment Clause (FAC</w:t>
      </w:r>
      <w:r w:rsidR="00855AFC" w:rsidRPr="003C72A8">
        <w:rPr>
          <w:rFonts w:ascii="Times New Roman" w:hAnsi="Times New Roman" w:cs="Times New Roman"/>
          <w:sz w:val="26"/>
          <w:szCs w:val="26"/>
        </w:rPr>
        <w:t>)</w:t>
      </w:r>
      <w:r w:rsidRPr="003C72A8">
        <w:rPr>
          <w:rFonts w:ascii="Times New Roman" w:hAnsi="Times New Roman" w:cs="Times New Roman"/>
          <w:sz w:val="26"/>
          <w:szCs w:val="26"/>
        </w:rPr>
        <w:t xml:space="preserve">. The Company is proposing to modify the FAC by removing renewable energy credits (RECs) from the FAC, and recovering this expense through a new Alternative Energy Rider. In addition, bundled purchased power products, or REPAs, would be split into their REC and non-REC components, with the REC component recovered through the AER and the non-REC portion through the FAC. The Company also proposes to unify the rates for each FAC rate zone into a single set of merged rates, on a delayed basis. </w:t>
      </w:r>
      <w:r w:rsidR="00855AFC" w:rsidRPr="003C72A8">
        <w:rPr>
          <w:rFonts w:ascii="Times New Roman" w:hAnsi="Times New Roman" w:cs="Times New Roman"/>
          <w:sz w:val="26"/>
          <w:szCs w:val="26"/>
        </w:rPr>
        <w:t xml:space="preserve">Staff supports these proposals. </w:t>
      </w:r>
    </w:p>
    <w:p w:rsidR="00BE229F" w:rsidRPr="003C72A8" w:rsidRDefault="00BE229F" w:rsidP="005A72D6">
      <w:pPr>
        <w:pStyle w:val="Heading4"/>
      </w:pPr>
      <w:bookmarkStart w:id="24" w:name="_Toc328732875"/>
      <w:r w:rsidRPr="003C72A8">
        <w:t xml:space="preserve">3. </w:t>
      </w:r>
      <w:r w:rsidR="00643C1B">
        <w:tab/>
      </w:r>
      <w:r w:rsidRPr="003C72A8">
        <w:t>Alternative Energy Rider</w:t>
      </w:r>
      <w:bookmarkEnd w:id="24"/>
    </w:p>
    <w:p w:rsidR="00EA56D6" w:rsidRPr="003C72A8" w:rsidRDefault="00BE229F" w:rsidP="00EA56D6">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 xml:space="preserve">The Company proposes establishing a </w:t>
      </w:r>
      <w:proofErr w:type="spellStart"/>
      <w:r w:rsidRPr="003C72A8">
        <w:rPr>
          <w:rFonts w:ascii="Times New Roman" w:hAnsi="Times New Roman" w:cs="Times New Roman"/>
          <w:sz w:val="26"/>
          <w:szCs w:val="26"/>
        </w:rPr>
        <w:t>bypassable</w:t>
      </w:r>
      <w:proofErr w:type="spellEnd"/>
      <w:r w:rsidRPr="003C72A8">
        <w:rPr>
          <w:rFonts w:ascii="Times New Roman" w:hAnsi="Times New Roman" w:cs="Times New Roman"/>
          <w:sz w:val="26"/>
          <w:szCs w:val="26"/>
        </w:rPr>
        <w:t xml:space="preserve"> Alternative Energy Rider (AER) for recovery of REC expense. </w:t>
      </w:r>
      <w:r w:rsidR="00EA56D6" w:rsidRPr="003C72A8">
        <w:rPr>
          <w:rFonts w:ascii="Times New Roman" w:hAnsi="Times New Roman" w:cs="Times New Roman"/>
          <w:sz w:val="26"/>
          <w:szCs w:val="26"/>
        </w:rPr>
        <w:t>Staff generally supports the concept of separately identifying and recovering costs associated with renewable energy requirements.</w:t>
      </w:r>
      <w:r w:rsidR="006218D9">
        <w:rPr>
          <w:rStyle w:val="FootnoteReference"/>
          <w:rFonts w:ascii="Times New Roman" w:hAnsi="Times New Roman" w:cs="Times New Roman"/>
          <w:sz w:val="26"/>
          <w:szCs w:val="26"/>
        </w:rPr>
        <w:footnoteReference w:id="41"/>
      </w:r>
      <w:r w:rsidR="00EA56D6" w:rsidRPr="003C72A8">
        <w:rPr>
          <w:rFonts w:ascii="Times New Roman" w:hAnsi="Times New Roman" w:cs="Times New Roman"/>
          <w:sz w:val="26"/>
          <w:szCs w:val="26"/>
        </w:rPr>
        <w:t xml:space="preserve"> Staff does, however, recommend that auditing procedures </w:t>
      </w:r>
      <w:proofErr w:type="gramStart"/>
      <w:r w:rsidR="00EA56D6" w:rsidRPr="003C72A8">
        <w:rPr>
          <w:rFonts w:ascii="Times New Roman" w:hAnsi="Times New Roman" w:cs="Times New Roman"/>
          <w:sz w:val="26"/>
          <w:szCs w:val="26"/>
        </w:rPr>
        <w:t>be</w:t>
      </w:r>
      <w:proofErr w:type="gramEnd"/>
      <w:r w:rsidR="00EA56D6" w:rsidRPr="003C72A8">
        <w:rPr>
          <w:rFonts w:ascii="Times New Roman" w:hAnsi="Times New Roman" w:cs="Times New Roman"/>
          <w:sz w:val="26"/>
          <w:szCs w:val="26"/>
        </w:rPr>
        <w:t xml:space="preserve"> established, and that the audit be conducted by the same auditor chosen to conduct the FAC audit. Annual audits would allow for a determination of the appropriateness and recoverability of costs associated with renewable energy requirement compliance, and for determination of the proper assignment of costs between the two riders. It is logical to have the audits conducted at the same time by the same auditor.  </w:t>
      </w:r>
    </w:p>
    <w:p w:rsidR="009512C6" w:rsidRPr="003C72A8" w:rsidRDefault="009512C6" w:rsidP="009512C6">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lastRenderedPageBreak/>
        <w:t>In addition, staff also generally agrees with the Companies’ proposal to allocate the cost components of bundled products. Staff witness Strom recommended that the details of how to determine the cost components, and how to apply the allocation to specific situations, should be determined in the context of the AER audits.</w:t>
      </w:r>
      <w:r w:rsidR="006218D9">
        <w:rPr>
          <w:rStyle w:val="FootnoteReference"/>
          <w:rFonts w:ascii="Times New Roman" w:hAnsi="Times New Roman" w:cs="Times New Roman"/>
          <w:sz w:val="26"/>
          <w:szCs w:val="26"/>
        </w:rPr>
        <w:footnoteReference w:id="42"/>
      </w:r>
      <w:r w:rsidRPr="003C72A8">
        <w:rPr>
          <w:rFonts w:ascii="Times New Roman" w:hAnsi="Times New Roman" w:cs="Times New Roman"/>
          <w:sz w:val="26"/>
          <w:szCs w:val="26"/>
        </w:rPr>
        <w:t xml:space="preserve"> This same process should be applied to renewable generation from currently existing generation facilities.</w:t>
      </w:r>
    </w:p>
    <w:p w:rsidR="00EE336A" w:rsidRPr="003C72A8" w:rsidRDefault="00EE336A" w:rsidP="00EE336A">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Staff witness Cunningham specifically supported the Paulding Wind Farm II, LLC (Timber Road) renewable energy purchase agreement (REPA) contract as reasonable and prudent, and recommended its approval in this case.</w:t>
      </w:r>
      <w:r w:rsidR="00791326">
        <w:rPr>
          <w:rStyle w:val="FootnoteReference"/>
          <w:rFonts w:ascii="Times New Roman" w:hAnsi="Times New Roman" w:cs="Times New Roman"/>
          <w:sz w:val="26"/>
          <w:szCs w:val="26"/>
        </w:rPr>
        <w:footnoteReference w:id="43"/>
      </w:r>
      <w:r w:rsidRPr="003C72A8">
        <w:rPr>
          <w:rFonts w:ascii="Times New Roman" w:hAnsi="Times New Roman" w:cs="Times New Roman"/>
          <w:sz w:val="26"/>
          <w:szCs w:val="26"/>
        </w:rPr>
        <w:t xml:space="preserve"> </w:t>
      </w:r>
      <w:bookmarkStart w:id="25" w:name="_Toc188843345"/>
      <w:r w:rsidRPr="003C72A8">
        <w:rPr>
          <w:rFonts w:ascii="Times New Roman" w:hAnsi="Times New Roman" w:cs="Times New Roman"/>
          <w:sz w:val="26"/>
          <w:szCs w:val="26"/>
        </w:rPr>
        <w:t>Mr. Cunningham recommended that the Company be permitted to recover costs associated with energy, capacity, and renewable energy credits (RECs) outlined in the contract, subje</w:t>
      </w:r>
      <w:r w:rsidR="006218D9">
        <w:rPr>
          <w:rFonts w:ascii="Times New Roman" w:hAnsi="Times New Roman" w:cs="Times New Roman"/>
          <w:sz w:val="26"/>
          <w:szCs w:val="26"/>
        </w:rPr>
        <w:t>ct to annual FAC and AER audits.</w:t>
      </w:r>
      <w:r w:rsidR="006218D9">
        <w:rPr>
          <w:rStyle w:val="FootnoteReference"/>
          <w:rFonts w:ascii="Times New Roman" w:hAnsi="Times New Roman" w:cs="Times New Roman"/>
          <w:sz w:val="26"/>
          <w:szCs w:val="26"/>
        </w:rPr>
        <w:footnoteReference w:id="44"/>
      </w:r>
      <w:r w:rsidR="006218D9">
        <w:rPr>
          <w:rFonts w:ascii="Times New Roman" w:hAnsi="Times New Roman" w:cs="Times New Roman"/>
          <w:sz w:val="26"/>
          <w:szCs w:val="26"/>
        </w:rPr>
        <w:t xml:space="preserve"> </w:t>
      </w:r>
    </w:p>
    <w:p w:rsidR="00BE229F" w:rsidRPr="003C72A8" w:rsidRDefault="00BE229F" w:rsidP="005A72D6">
      <w:pPr>
        <w:pStyle w:val="Heading4"/>
      </w:pPr>
      <w:bookmarkStart w:id="26" w:name="_Toc328732876"/>
      <w:bookmarkEnd w:id="25"/>
      <w:r w:rsidRPr="003C72A8">
        <w:t xml:space="preserve">4. </w:t>
      </w:r>
      <w:r w:rsidR="00643C1B">
        <w:tab/>
      </w:r>
      <w:r w:rsidRPr="003C72A8">
        <w:t>Generation Resource Rider</w:t>
      </w:r>
      <w:bookmarkEnd w:id="26"/>
    </w:p>
    <w:p w:rsidR="00BE229F" w:rsidRPr="003C72A8" w:rsidRDefault="00BE229F" w:rsidP="00080FB6">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 xml:space="preserve">The Company proposes establishing a new </w:t>
      </w:r>
      <w:proofErr w:type="spellStart"/>
      <w:r w:rsidRPr="003C72A8">
        <w:rPr>
          <w:rFonts w:ascii="Times New Roman" w:hAnsi="Times New Roman" w:cs="Times New Roman"/>
          <w:sz w:val="26"/>
          <w:szCs w:val="26"/>
        </w:rPr>
        <w:t>nonbypassable</w:t>
      </w:r>
      <w:proofErr w:type="spellEnd"/>
      <w:r w:rsidRPr="003C72A8">
        <w:rPr>
          <w:rFonts w:ascii="Times New Roman" w:hAnsi="Times New Roman" w:cs="Times New Roman"/>
          <w:sz w:val="26"/>
          <w:szCs w:val="26"/>
        </w:rPr>
        <w:t xml:space="preserve"> Generation Resource Rider (GRR) to collect costs associated with investment in generating facilities i</w:t>
      </w:r>
      <w:r w:rsidR="006218D9">
        <w:rPr>
          <w:rFonts w:ascii="Times New Roman" w:hAnsi="Times New Roman" w:cs="Times New Roman"/>
          <w:sz w:val="26"/>
          <w:szCs w:val="26"/>
        </w:rPr>
        <w:t xml:space="preserve">n accordance with </w:t>
      </w:r>
      <w:r w:rsidR="00B7307F">
        <w:rPr>
          <w:rFonts w:ascii="Times New Roman" w:hAnsi="Times New Roman" w:cs="Times New Roman"/>
          <w:sz w:val="26"/>
          <w:szCs w:val="26"/>
        </w:rPr>
        <w:t xml:space="preserve">R.C. </w:t>
      </w:r>
      <w:r w:rsidR="006218D9">
        <w:rPr>
          <w:rFonts w:ascii="Times New Roman" w:hAnsi="Times New Roman" w:cs="Times New Roman"/>
          <w:sz w:val="26"/>
          <w:szCs w:val="26"/>
        </w:rPr>
        <w:t>4928.143 (B)(2)</w:t>
      </w:r>
      <w:r w:rsidRPr="003C72A8">
        <w:rPr>
          <w:rFonts w:ascii="Times New Roman" w:hAnsi="Times New Roman" w:cs="Times New Roman"/>
          <w:sz w:val="26"/>
          <w:szCs w:val="26"/>
        </w:rPr>
        <w:t xml:space="preserve">(c). This proposed rider is designed to recover renewable and alternative capacity additions, as well as more traditional capacity constructed or financed by the Company and approved by the Commission. Any charges </w:t>
      </w:r>
      <w:r w:rsidRPr="003C72A8">
        <w:rPr>
          <w:rFonts w:ascii="Times New Roman" w:hAnsi="Times New Roman" w:cs="Times New Roman"/>
          <w:sz w:val="26"/>
          <w:szCs w:val="26"/>
        </w:rPr>
        <w:lastRenderedPageBreak/>
        <w:t>included in the GRR w</w:t>
      </w:r>
      <w:r w:rsidR="006218D9">
        <w:rPr>
          <w:rFonts w:ascii="Times New Roman" w:hAnsi="Times New Roman" w:cs="Times New Roman"/>
          <w:sz w:val="26"/>
          <w:szCs w:val="26"/>
        </w:rPr>
        <w:t>ould</w:t>
      </w:r>
      <w:r w:rsidRPr="003C72A8">
        <w:rPr>
          <w:rFonts w:ascii="Times New Roman" w:hAnsi="Times New Roman" w:cs="Times New Roman"/>
          <w:sz w:val="26"/>
          <w:szCs w:val="26"/>
        </w:rPr>
        <w:t xml:space="preserve"> need to be approved in a separate Commission proceeding. The GRR is specifically intended to include the proposed Turning Point solar project, if approved. </w:t>
      </w:r>
    </w:p>
    <w:p w:rsidR="009E7E92" w:rsidRPr="004B44B5" w:rsidRDefault="009E7E92" w:rsidP="009E7E92">
      <w:pPr>
        <w:spacing w:after="0" w:line="480" w:lineRule="auto"/>
        <w:ind w:firstLine="720"/>
        <w:rPr>
          <w:rFonts w:ascii="Times New Roman" w:hAnsi="Times New Roman" w:cs="Times New Roman"/>
          <w:sz w:val="26"/>
          <w:szCs w:val="26"/>
        </w:rPr>
      </w:pPr>
      <w:r w:rsidRPr="004B44B5">
        <w:rPr>
          <w:rFonts w:ascii="Times New Roman" w:hAnsi="Times New Roman" w:cs="Times New Roman"/>
          <w:sz w:val="26"/>
          <w:szCs w:val="26"/>
        </w:rPr>
        <w:t xml:space="preserve">During the </w:t>
      </w:r>
      <w:r>
        <w:rPr>
          <w:rFonts w:ascii="Times New Roman" w:hAnsi="Times New Roman" w:cs="Times New Roman"/>
          <w:sz w:val="26"/>
          <w:szCs w:val="26"/>
        </w:rPr>
        <w:t>cross-examination</w:t>
      </w:r>
      <w:r w:rsidRPr="004B44B5">
        <w:rPr>
          <w:rFonts w:ascii="Times New Roman" w:hAnsi="Times New Roman" w:cs="Times New Roman"/>
          <w:sz w:val="26"/>
          <w:szCs w:val="26"/>
        </w:rPr>
        <w:t xml:space="preserve"> of </w:t>
      </w:r>
      <w:r>
        <w:rPr>
          <w:rFonts w:ascii="Times New Roman" w:hAnsi="Times New Roman" w:cs="Times New Roman"/>
          <w:sz w:val="26"/>
          <w:szCs w:val="26"/>
        </w:rPr>
        <w:t>s</w:t>
      </w:r>
      <w:r w:rsidRPr="004B44B5">
        <w:rPr>
          <w:rFonts w:ascii="Times New Roman" w:hAnsi="Times New Roman" w:cs="Times New Roman"/>
          <w:sz w:val="26"/>
          <w:szCs w:val="26"/>
        </w:rPr>
        <w:t xml:space="preserve">taff </w:t>
      </w:r>
      <w:r>
        <w:rPr>
          <w:rFonts w:ascii="Times New Roman" w:hAnsi="Times New Roman" w:cs="Times New Roman"/>
          <w:sz w:val="26"/>
          <w:szCs w:val="26"/>
        </w:rPr>
        <w:t>w</w:t>
      </w:r>
      <w:r w:rsidRPr="004B44B5">
        <w:rPr>
          <w:rFonts w:ascii="Times New Roman" w:hAnsi="Times New Roman" w:cs="Times New Roman"/>
          <w:sz w:val="26"/>
          <w:szCs w:val="26"/>
        </w:rPr>
        <w:t>itness Strom, Commissioner Porter asked several questions pertaining to the proposed regulatory treatment of the Timber Road REPA and the Turning Point solar facility.</w:t>
      </w:r>
      <w:r w:rsidRPr="004B44B5">
        <w:rPr>
          <w:rStyle w:val="FootnoteReference"/>
          <w:rFonts w:ascii="Times New Roman" w:hAnsi="Times New Roman" w:cs="Times New Roman"/>
          <w:sz w:val="26"/>
          <w:szCs w:val="26"/>
        </w:rPr>
        <w:footnoteReference w:id="45"/>
      </w:r>
      <w:r>
        <w:rPr>
          <w:rFonts w:ascii="Times New Roman" w:hAnsi="Times New Roman" w:cs="Times New Roman"/>
          <w:sz w:val="26"/>
          <w:szCs w:val="26"/>
        </w:rPr>
        <w:t xml:space="preserve"> </w:t>
      </w:r>
      <w:r w:rsidRPr="004B44B5">
        <w:rPr>
          <w:rFonts w:ascii="Times New Roman" w:hAnsi="Times New Roman" w:cs="Times New Roman"/>
          <w:sz w:val="26"/>
          <w:szCs w:val="26"/>
        </w:rPr>
        <w:t xml:space="preserve">As proposed by the Company, the costs associated with the Timber Road REPA would be recovered through </w:t>
      </w:r>
      <w:proofErr w:type="spellStart"/>
      <w:r w:rsidRPr="004B44B5">
        <w:rPr>
          <w:rFonts w:ascii="Times New Roman" w:hAnsi="Times New Roman" w:cs="Times New Roman"/>
          <w:sz w:val="26"/>
          <w:szCs w:val="26"/>
        </w:rPr>
        <w:t>bypassable</w:t>
      </w:r>
      <w:proofErr w:type="spellEnd"/>
      <w:r>
        <w:rPr>
          <w:rFonts w:ascii="Times New Roman" w:hAnsi="Times New Roman" w:cs="Times New Roman"/>
          <w:sz w:val="26"/>
          <w:szCs w:val="26"/>
        </w:rPr>
        <w:t xml:space="preserve"> riders</w:t>
      </w:r>
      <w:r w:rsidRPr="004B44B5">
        <w:rPr>
          <w:rFonts w:ascii="Times New Roman" w:hAnsi="Times New Roman" w:cs="Times New Roman"/>
          <w:sz w:val="26"/>
          <w:szCs w:val="26"/>
        </w:rPr>
        <w:t>: the energy and capacit</w:t>
      </w:r>
      <w:r w:rsidR="00B7307F">
        <w:rPr>
          <w:rFonts w:ascii="Times New Roman" w:hAnsi="Times New Roman" w:cs="Times New Roman"/>
          <w:sz w:val="26"/>
          <w:szCs w:val="26"/>
        </w:rPr>
        <w:t>y costs would appear in the FAC</w:t>
      </w:r>
      <w:r w:rsidRPr="004B44B5">
        <w:rPr>
          <w:rFonts w:ascii="Times New Roman" w:hAnsi="Times New Roman" w:cs="Times New Roman"/>
          <w:sz w:val="26"/>
          <w:szCs w:val="26"/>
        </w:rPr>
        <w:t>, while the REC (renewable energy credit</w:t>
      </w:r>
      <w:r w:rsidR="00B7307F">
        <w:rPr>
          <w:rFonts w:ascii="Times New Roman" w:hAnsi="Times New Roman" w:cs="Times New Roman"/>
          <w:sz w:val="26"/>
          <w:szCs w:val="26"/>
        </w:rPr>
        <w:t>) costs would appear in the AER</w:t>
      </w:r>
      <w:r>
        <w:rPr>
          <w:rFonts w:ascii="Times New Roman" w:hAnsi="Times New Roman" w:cs="Times New Roman"/>
          <w:sz w:val="26"/>
          <w:szCs w:val="26"/>
        </w:rPr>
        <w:t xml:space="preserve">. </w:t>
      </w:r>
      <w:r w:rsidRPr="004B44B5">
        <w:rPr>
          <w:rFonts w:ascii="Times New Roman" w:hAnsi="Times New Roman" w:cs="Times New Roman"/>
          <w:sz w:val="26"/>
          <w:szCs w:val="26"/>
        </w:rPr>
        <w:t xml:space="preserve">Conversely, the costs associated with the potential Turning Point solar facility, if approved by the Commission, are proposed for recovery through </w:t>
      </w:r>
      <w:r>
        <w:rPr>
          <w:rFonts w:ascii="Times New Roman" w:hAnsi="Times New Roman" w:cs="Times New Roman"/>
          <w:sz w:val="26"/>
          <w:szCs w:val="26"/>
        </w:rPr>
        <w:t xml:space="preserve">the </w:t>
      </w:r>
      <w:proofErr w:type="spellStart"/>
      <w:r w:rsidRPr="004B44B5">
        <w:rPr>
          <w:rFonts w:ascii="Times New Roman" w:hAnsi="Times New Roman" w:cs="Times New Roman"/>
          <w:sz w:val="26"/>
          <w:szCs w:val="26"/>
        </w:rPr>
        <w:t>nonbypassable</w:t>
      </w:r>
      <w:proofErr w:type="spellEnd"/>
      <w:r w:rsidR="00B7307F">
        <w:rPr>
          <w:rFonts w:ascii="Times New Roman" w:hAnsi="Times New Roman" w:cs="Times New Roman"/>
          <w:sz w:val="26"/>
          <w:szCs w:val="26"/>
        </w:rPr>
        <w:t xml:space="preserve"> GRR</w:t>
      </w:r>
      <w:r w:rsidRPr="004B44B5">
        <w:rPr>
          <w:rFonts w:ascii="Times New Roman" w:hAnsi="Times New Roman" w:cs="Times New Roman"/>
          <w:sz w:val="26"/>
          <w:szCs w:val="26"/>
        </w:rPr>
        <w:t>.</w:t>
      </w:r>
    </w:p>
    <w:p w:rsidR="009E7E92" w:rsidRPr="004B44B5" w:rsidRDefault="009E7E92" w:rsidP="009E7E92">
      <w:pPr>
        <w:spacing w:after="0" w:line="480" w:lineRule="auto"/>
        <w:ind w:firstLine="720"/>
        <w:rPr>
          <w:rFonts w:ascii="Times New Roman" w:hAnsi="Times New Roman" w:cs="Times New Roman"/>
          <w:sz w:val="26"/>
          <w:szCs w:val="26"/>
        </w:rPr>
      </w:pPr>
      <w:r w:rsidRPr="004B44B5">
        <w:rPr>
          <w:rFonts w:ascii="Times New Roman" w:hAnsi="Times New Roman" w:cs="Times New Roman"/>
          <w:sz w:val="26"/>
          <w:szCs w:val="26"/>
        </w:rPr>
        <w:t xml:space="preserve">Commissioner Porter’s questions </w:t>
      </w:r>
      <w:r w:rsidR="006218D9">
        <w:rPr>
          <w:rFonts w:ascii="Times New Roman" w:hAnsi="Times New Roman" w:cs="Times New Roman"/>
          <w:sz w:val="26"/>
          <w:szCs w:val="26"/>
        </w:rPr>
        <w:t xml:space="preserve">sought to understand the rationale </w:t>
      </w:r>
      <w:r w:rsidR="006218D9" w:rsidRPr="004B44B5">
        <w:rPr>
          <w:rFonts w:ascii="Times New Roman" w:hAnsi="Times New Roman" w:cs="Times New Roman"/>
          <w:sz w:val="26"/>
          <w:szCs w:val="26"/>
        </w:rPr>
        <w:t xml:space="preserve">for the different ratemaking mechanisms proposed for </w:t>
      </w:r>
      <w:r w:rsidRPr="004B44B5">
        <w:rPr>
          <w:rFonts w:ascii="Times New Roman" w:hAnsi="Times New Roman" w:cs="Times New Roman"/>
          <w:sz w:val="26"/>
          <w:szCs w:val="26"/>
        </w:rPr>
        <w:t xml:space="preserve">these </w:t>
      </w:r>
      <w:r w:rsidR="006218D9">
        <w:rPr>
          <w:rFonts w:ascii="Times New Roman" w:hAnsi="Times New Roman" w:cs="Times New Roman"/>
          <w:sz w:val="26"/>
          <w:szCs w:val="26"/>
        </w:rPr>
        <w:t>two specific renewable projects.</w:t>
      </w:r>
      <w:r w:rsidRPr="004B44B5">
        <w:rPr>
          <w:rFonts w:ascii="Times New Roman" w:hAnsi="Times New Roman" w:cs="Times New Roman"/>
          <w:sz w:val="26"/>
          <w:szCs w:val="26"/>
        </w:rPr>
        <w:t xml:space="preserve"> Specifically, Commissioner Porter asked:</w:t>
      </w:r>
    </w:p>
    <w:p w:rsidR="009E7E92" w:rsidRPr="004B44B5" w:rsidRDefault="009E7E92" w:rsidP="009E7E92">
      <w:pPr>
        <w:autoSpaceDE w:val="0"/>
        <w:autoSpaceDN w:val="0"/>
        <w:adjustRightInd w:val="0"/>
        <w:spacing w:after="240" w:line="240" w:lineRule="auto"/>
        <w:ind w:left="1440" w:right="1440"/>
        <w:rPr>
          <w:rFonts w:ascii="Times New Roman" w:hAnsi="Times New Roman" w:cs="Times New Roman"/>
          <w:sz w:val="26"/>
          <w:szCs w:val="26"/>
        </w:rPr>
      </w:pPr>
      <w:r w:rsidRPr="004B44B5">
        <w:rPr>
          <w:rFonts w:ascii="Times New Roman" w:hAnsi="Times New Roman" w:cs="Times New Roman"/>
          <w:sz w:val="26"/>
          <w:szCs w:val="26"/>
        </w:rPr>
        <w:t>So I’m just trying to understand the difference between renewable projects included in one rider from staff’s perspective and renewable projects included in another rider from staff’s perspective</w:t>
      </w:r>
      <w:r>
        <w:rPr>
          <w:rFonts w:ascii="Times New Roman" w:hAnsi="Times New Roman" w:cs="Times New Roman"/>
          <w:sz w:val="26"/>
          <w:szCs w:val="26"/>
        </w:rPr>
        <w:t xml:space="preserve">. </w:t>
      </w:r>
      <w:r w:rsidRPr="004B44B5">
        <w:rPr>
          <w:rFonts w:ascii="Times New Roman" w:hAnsi="Times New Roman" w:cs="Times New Roman"/>
          <w:sz w:val="26"/>
          <w:szCs w:val="26"/>
        </w:rPr>
        <w:t xml:space="preserve">One rider is </w:t>
      </w:r>
      <w:proofErr w:type="spellStart"/>
      <w:r w:rsidRPr="004B44B5">
        <w:rPr>
          <w:rFonts w:ascii="Times New Roman" w:hAnsi="Times New Roman" w:cs="Times New Roman"/>
          <w:sz w:val="26"/>
          <w:szCs w:val="26"/>
        </w:rPr>
        <w:t>bypassabl</w:t>
      </w:r>
      <w:r>
        <w:rPr>
          <w:rFonts w:ascii="Times New Roman" w:hAnsi="Times New Roman" w:cs="Times New Roman"/>
          <w:sz w:val="26"/>
          <w:szCs w:val="26"/>
        </w:rPr>
        <w:t>e</w:t>
      </w:r>
      <w:proofErr w:type="spellEnd"/>
      <w:r>
        <w:rPr>
          <w:rFonts w:ascii="Times New Roman" w:hAnsi="Times New Roman" w:cs="Times New Roman"/>
          <w:sz w:val="26"/>
          <w:szCs w:val="26"/>
        </w:rPr>
        <w:t xml:space="preserve">, one rider is not </w:t>
      </w:r>
      <w:proofErr w:type="spellStart"/>
      <w:r>
        <w:rPr>
          <w:rFonts w:ascii="Times New Roman" w:hAnsi="Times New Roman" w:cs="Times New Roman"/>
          <w:sz w:val="26"/>
          <w:szCs w:val="26"/>
        </w:rPr>
        <w:t>bypassable</w:t>
      </w:r>
      <w:proofErr w:type="spellEnd"/>
      <w:r>
        <w:rPr>
          <w:rFonts w:ascii="Times New Roman" w:hAnsi="Times New Roman" w:cs="Times New Roman"/>
          <w:sz w:val="26"/>
          <w:szCs w:val="26"/>
        </w:rPr>
        <w:t>.</w:t>
      </w:r>
      <w:r w:rsidRPr="004B44B5">
        <w:rPr>
          <w:rFonts w:ascii="Times New Roman" w:hAnsi="Times New Roman" w:cs="Times New Roman"/>
          <w:vertAlign w:val="superscript"/>
        </w:rPr>
        <w:footnoteReference w:id="46"/>
      </w:r>
    </w:p>
    <w:p w:rsidR="009E7E92" w:rsidRPr="004B44B5" w:rsidRDefault="009E7E92" w:rsidP="009E7E92">
      <w:pPr>
        <w:spacing w:after="0" w:line="480" w:lineRule="auto"/>
        <w:ind w:firstLine="720"/>
        <w:rPr>
          <w:rFonts w:ascii="Times New Roman" w:hAnsi="Times New Roman" w:cs="Times New Roman"/>
          <w:sz w:val="26"/>
          <w:szCs w:val="26"/>
        </w:rPr>
      </w:pPr>
      <w:r>
        <w:rPr>
          <w:rFonts w:ascii="Times New Roman" w:hAnsi="Times New Roman" w:cs="Times New Roman"/>
          <w:sz w:val="26"/>
          <w:szCs w:val="26"/>
        </w:rPr>
        <w:t>R.C.</w:t>
      </w:r>
      <w:r w:rsidRPr="004B44B5">
        <w:rPr>
          <w:rFonts w:ascii="Times New Roman" w:hAnsi="Times New Roman" w:cs="Times New Roman"/>
          <w:sz w:val="26"/>
          <w:szCs w:val="26"/>
        </w:rPr>
        <w:t xml:space="preserve"> 4928.143(B</w:t>
      </w:r>
      <w:proofErr w:type="gramStart"/>
      <w:r w:rsidRPr="004B44B5">
        <w:rPr>
          <w:rFonts w:ascii="Times New Roman" w:hAnsi="Times New Roman" w:cs="Times New Roman"/>
          <w:sz w:val="26"/>
          <w:szCs w:val="26"/>
        </w:rPr>
        <w:t>)(</w:t>
      </w:r>
      <w:proofErr w:type="gramEnd"/>
      <w:r w:rsidRPr="004B44B5">
        <w:rPr>
          <w:rFonts w:ascii="Times New Roman" w:hAnsi="Times New Roman" w:cs="Times New Roman"/>
          <w:sz w:val="26"/>
          <w:szCs w:val="26"/>
        </w:rPr>
        <w:t xml:space="preserve">2)(c) allows </w:t>
      </w:r>
      <w:r w:rsidR="006218D9">
        <w:rPr>
          <w:rFonts w:ascii="Times New Roman" w:hAnsi="Times New Roman" w:cs="Times New Roman"/>
          <w:sz w:val="26"/>
          <w:szCs w:val="26"/>
        </w:rPr>
        <w:t>the Company to establish</w:t>
      </w:r>
      <w:r w:rsidRPr="004B44B5">
        <w:rPr>
          <w:rFonts w:ascii="Times New Roman" w:hAnsi="Times New Roman" w:cs="Times New Roman"/>
          <w:sz w:val="26"/>
          <w:szCs w:val="26"/>
        </w:rPr>
        <w:t xml:space="preserve"> a </w:t>
      </w:r>
      <w:proofErr w:type="spellStart"/>
      <w:r w:rsidRPr="004B44B5">
        <w:rPr>
          <w:rFonts w:ascii="Times New Roman" w:hAnsi="Times New Roman" w:cs="Times New Roman"/>
          <w:sz w:val="26"/>
          <w:szCs w:val="26"/>
        </w:rPr>
        <w:t>nonbypassable</w:t>
      </w:r>
      <w:proofErr w:type="spellEnd"/>
      <w:r w:rsidRPr="004B44B5">
        <w:rPr>
          <w:rFonts w:ascii="Times New Roman" w:hAnsi="Times New Roman" w:cs="Times New Roman"/>
          <w:sz w:val="26"/>
          <w:szCs w:val="26"/>
        </w:rPr>
        <w:t xml:space="preserve"> surcharge, provided that certain requirements are satisfied. One of the requirements </w:t>
      </w:r>
      <w:r>
        <w:rPr>
          <w:rFonts w:ascii="Times New Roman" w:hAnsi="Times New Roman" w:cs="Times New Roman"/>
          <w:sz w:val="26"/>
          <w:szCs w:val="26"/>
        </w:rPr>
        <w:t xml:space="preserve">is </w:t>
      </w:r>
      <w:r w:rsidRPr="004B44B5">
        <w:rPr>
          <w:rFonts w:ascii="Times New Roman" w:hAnsi="Times New Roman" w:cs="Times New Roman"/>
          <w:sz w:val="26"/>
          <w:szCs w:val="26"/>
        </w:rPr>
        <w:t xml:space="preserve">that the facility be “owned or operated by the electric distribution utility.” </w:t>
      </w:r>
      <w:r>
        <w:rPr>
          <w:rFonts w:ascii="Times New Roman" w:hAnsi="Times New Roman" w:cs="Times New Roman"/>
          <w:sz w:val="26"/>
          <w:szCs w:val="26"/>
        </w:rPr>
        <w:t>A</w:t>
      </w:r>
      <w:r w:rsidRPr="004B44B5">
        <w:rPr>
          <w:rFonts w:ascii="Times New Roman" w:hAnsi="Times New Roman" w:cs="Times New Roman"/>
          <w:sz w:val="26"/>
          <w:szCs w:val="26"/>
        </w:rPr>
        <w:t xml:space="preserve">s correctly </w:t>
      </w:r>
      <w:r w:rsidRPr="004B44B5">
        <w:rPr>
          <w:rFonts w:ascii="Times New Roman" w:hAnsi="Times New Roman" w:cs="Times New Roman"/>
          <w:sz w:val="26"/>
          <w:szCs w:val="26"/>
        </w:rPr>
        <w:lastRenderedPageBreak/>
        <w:t>noted by Commissioner Porter, the Timber Road REPA</w:t>
      </w:r>
      <w:r w:rsidR="006218D9">
        <w:rPr>
          <w:rFonts w:ascii="Times New Roman" w:hAnsi="Times New Roman" w:cs="Times New Roman"/>
          <w:sz w:val="26"/>
          <w:szCs w:val="26"/>
        </w:rPr>
        <w:t xml:space="preserve"> is a power purchase agreement. As </w:t>
      </w:r>
      <w:r w:rsidRPr="004B44B5">
        <w:rPr>
          <w:rFonts w:ascii="Times New Roman" w:hAnsi="Times New Roman" w:cs="Times New Roman"/>
          <w:sz w:val="26"/>
          <w:szCs w:val="26"/>
        </w:rPr>
        <w:t xml:space="preserve">such, </w:t>
      </w:r>
      <w:r>
        <w:rPr>
          <w:rFonts w:ascii="Times New Roman" w:hAnsi="Times New Roman" w:cs="Times New Roman"/>
          <w:sz w:val="26"/>
          <w:szCs w:val="26"/>
        </w:rPr>
        <w:t>the Company</w:t>
      </w:r>
      <w:r w:rsidRPr="004B44B5">
        <w:rPr>
          <w:rFonts w:ascii="Times New Roman" w:hAnsi="Times New Roman" w:cs="Times New Roman"/>
          <w:sz w:val="26"/>
          <w:szCs w:val="26"/>
        </w:rPr>
        <w:t xml:space="preserve"> neither owns nor operates </w:t>
      </w:r>
      <w:r>
        <w:rPr>
          <w:rFonts w:ascii="Times New Roman" w:hAnsi="Times New Roman" w:cs="Times New Roman"/>
          <w:sz w:val="26"/>
          <w:szCs w:val="26"/>
        </w:rPr>
        <w:t>that</w:t>
      </w:r>
      <w:r w:rsidRPr="004B44B5">
        <w:rPr>
          <w:rFonts w:ascii="Times New Roman" w:hAnsi="Times New Roman" w:cs="Times New Roman"/>
          <w:sz w:val="26"/>
          <w:szCs w:val="26"/>
        </w:rPr>
        <w:t xml:space="preserve"> facility</w:t>
      </w:r>
      <w:r>
        <w:rPr>
          <w:rFonts w:ascii="Times New Roman" w:hAnsi="Times New Roman" w:cs="Times New Roman"/>
          <w:sz w:val="26"/>
          <w:szCs w:val="26"/>
        </w:rPr>
        <w:t xml:space="preserve">. </w:t>
      </w:r>
      <w:r w:rsidRPr="004B44B5">
        <w:rPr>
          <w:rFonts w:ascii="Times New Roman" w:hAnsi="Times New Roman" w:cs="Times New Roman"/>
          <w:sz w:val="26"/>
          <w:szCs w:val="26"/>
        </w:rPr>
        <w:t xml:space="preserve">Therefore, the costs associated with this REPA would not be eligible for recovery through a </w:t>
      </w:r>
      <w:proofErr w:type="spellStart"/>
      <w:r w:rsidRPr="004B44B5">
        <w:rPr>
          <w:rFonts w:ascii="Times New Roman" w:hAnsi="Times New Roman" w:cs="Times New Roman"/>
          <w:sz w:val="26"/>
          <w:szCs w:val="26"/>
        </w:rPr>
        <w:t>nonbypassable</w:t>
      </w:r>
      <w:proofErr w:type="spellEnd"/>
      <w:r w:rsidRPr="004B44B5">
        <w:rPr>
          <w:rFonts w:ascii="Times New Roman" w:hAnsi="Times New Roman" w:cs="Times New Roman"/>
          <w:sz w:val="26"/>
          <w:szCs w:val="26"/>
        </w:rPr>
        <w:t xml:space="preserve"> surcharge under </w:t>
      </w:r>
      <w:r>
        <w:rPr>
          <w:rFonts w:ascii="Times New Roman" w:hAnsi="Times New Roman" w:cs="Times New Roman"/>
          <w:sz w:val="26"/>
          <w:szCs w:val="26"/>
        </w:rPr>
        <w:t xml:space="preserve">R.C. </w:t>
      </w:r>
      <w:r w:rsidRPr="004B44B5">
        <w:rPr>
          <w:rFonts w:ascii="Times New Roman" w:hAnsi="Times New Roman" w:cs="Times New Roman"/>
          <w:sz w:val="26"/>
          <w:szCs w:val="26"/>
        </w:rPr>
        <w:t>4928.143</w:t>
      </w:r>
      <w:r w:rsidR="006218D9" w:rsidRPr="004B44B5">
        <w:rPr>
          <w:rFonts w:ascii="Times New Roman" w:hAnsi="Times New Roman" w:cs="Times New Roman"/>
          <w:sz w:val="26"/>
          <w:szCs w:val="26"/>
        </w:rPr>
        <w:t>(B</w:t>
      </w:r>
      <w:proofErr w:type="gramStart"/>
      <w:r w:rsidR="006218D9" w:rsidRPr="004B44B5">
        <w:rPr>
          <w:rFonts w:ascii="Times New Roman" w:hAnsi="Times New Roman" w:cs="Times New Roman"/>
          <w:sz w:val="26"/>
          <w:szCs w:val="26"/>
        </w:rPr>
        <w:t>)(</w:t>
      </w:r>
      <w:proofErr w:type="gramEnd"/>
      <w:r w:rsidR="006218D9" w:rsidRPr="004B44B5">
        <w:rPr>
          <w:rFonts w:ascii="Times New Roman" w:hAnsi="Times New Roman" w:cs="Times New Roman"/>
          <w:sz w:val="26"/>
          <w:szCs w:val="26"/>
        </w:rPr>
        <w:t>2)(c)</w:t>
      </w:r>
      <w:r>
        <w:rPr>
          <w:rFonts w:ascii="Times New Roman" w:hAnsi="Times New Roman" w:cs="Times New Roman"/>
          <w:sz w:val="26"/>
          <w:szCs w:val="26"/>
        </w:rPr>
        <w:t xml:space="preserve">. </w:t>
      </w:r>
      <w:r w:rsidRPr="004B44B5">
        <w:rPr>
          <w:rFonts w:ascii="Times New Roman" w:hAnsi="Times New Roman" w:cs="Times New Roman"/>
          <w:sz w:val="26"/>
          <w:szCs w:val="26"/>
        </w:rPr>
        <w:t>Staff supports the use of the FAC (for the energy and capacity components) and the AER (for the renewable attributes) to recover the Timber Road REPA costs</w:t>
      </w:r>
      <w:r>
        <w:rPr>
          <w:rFonts w:ascii="Times New Roman" w:hAnsi="Times New Roman" w:cs="Times New Roman"/>
          <w:sz w:val="26"/>
          <w:szCs w:val="26"/>
        </w:rPr>
        <w:t xml:space="preserve">. </w:t>
      </w:r>
    </w:p>
    <w:p w:rsidR="009E7E92" w:rsidRPr="004B44B5" w:rsidRDefault="009E7E92" w:rsidP="009E7E92">
      <w:pPr>
        <w:spacing w:after="0" w:line="480" w:lineRule="auto"/>
        <w:ind w:firstLine="720"/>
        <w:rPr>
          <w:rFonts w:ascii="Times New Roman" w:hAnsi="Times New Roman" w:cs="Times New Roman"/>
          <w:sz w:val="26"/>
          <w:szCs w:val="26"/>
        </w:rPr>
      </w:pPr>
      <w:r w:rsidRPr="004B44B5">
        <w:rPr>
          <w:rFonts w:ascii="Times New Roman" w:hAnsi="Times New Roman" w:cs="Times New Roman"/>
          <w:sz w:val="26"/>
          <w:szCs w:val="26"/>
        </w:rPr>
        <w:t xml:space="preserve">With respect to the potential Turning Point solar facility, </w:t>
      </w:r>
      <w:r w:rsidR="00B7307F">
        <w:rPr>
          <w:rFonts w:ascii="Times New Roman" w:hAnsi="Times New Roman" w:cs="Times New Roman"/>
          <w:sz w:val="26"/>
          <w:szCs w:val="26"/>
        </w:rPr>
        <w:t>the Company</w:t>
      </w:r>
      <w:r w:rsidRPr="004B44B5">
        <w:rPr>
          <w:rFonts w:ascii="Times New Roman" w:hAnsi="Times New Roman" w:cs="Times New Roman"/>
          <w:sz w:val="26"/>
          <w:szCs w:val="26"/>
        </w:rPr>
        <w:t xml:space="preserve"> may be able to satisfy the statutory “owned or operated” requirement for a </w:t>
      </w:r>
      <w:proofErr w:type="spellStart"/>
      <w:r w:rsidRPr="004B44B5">
        <w:rPr>
          <w:rFonts w:ascii="Times New Roman" w:hAnsi="Times New Roman" w:cs="Times New Roman"/>
          <w:sz w:val="26"/>
          <w:szCs w:val="26"/>
        </w:rPr>
        <w:t>nonbypassable</w:t>
      </w:r>
      <w:proofErr w:type="spellEnd"/>
      <w:r w:rsidRPr="004B44B5">
        <w:rPr>
          <w:rFonts w:ascii="Times New Roman" w:hAnsi="Times New Roman" w:cs="Times New Roman"/>
          <w:sz w:val="26"/>
          <w:szCs w:val="26"/>
        </w:rPr>
        <w:t xml:space="preserve"> surcharge</w:t>
      </w:r>
      <w:r>
        <w:rPr>
          <w:rFonts w:ascii="Times New Roman" w:hAnsi="Times New Roman" w:cs="Times New Roman"/>
          <w:sz w:val="26"/>
          <w:szCs w:val="26"/>
        </w:rPr>
        <w:t xml:space="preserve">. </w:t>
      </w:r>
      <w:r w:rsidRPr="004B44B5">
        <w:rPr>
          <w:rFonts w:ascii="Times New Roman" w:hAnsi="Times New Roman" w:cs="Times New Roman"/>
          <w:sz w:val="26"/>
          <w:szCs w:val="26"/>
        </w:rPr>
        <w:t xml:space="preserve">However, before any costs are included in the GRR (currently proposed as a zero-dollar placeholder), there are a number of other requirements from </w:t>
      </w:r>
      <w:r>
        <w:rPr>
          <w:rFonts w:ascii="Times New Roman" w:hAnsi="Times New Roman" w:cs="Times New Roman"/>
          <w:sz w:val="26"/>
          <w:szCs w:val="26"/>
        </w:rPr>
        <w:t xml:space="preserve">R.C. </w:t>
      </w:r>
      <w:r w:rsidRPr="004B44B5">
        <w:rPr>
          <w:rFonts w:ascii="Times New Roman" w:hAnsi="Times New Roman" w:cs="Times New Roman"/>
          <w:sz w:val="26"/>
          <w:szCs w:val="26"/>
        </w:rPr>
        <w:t>4928.143(B</w:t>
      </w:r>
      <w:proofErr w:type="gramStart"/>
      <w:r w:rsidRPr="004B44B5">
        <w:rPr>
          <w:rFonts w:ascii="Times New Roman" w:hAnsi="Times New Roman" w:cs="Times New Roman"/>
          <w:sz w:val="26"/>
          <w:szCs w:val="26"/>
        </w:rPr>
        <w:t>)(</w:t>
      </w:r>
      <w:proofErr w:type="gramEnd"/>
      <w:r w:rsidRPr="004B44B5">
        <w:rPr>
          <w:rFonts w:ascii="Times New Roman" w:hAnsi="Times New Roman" w:cs="Times New Roman"/>
          <w:sz w:val="26"/>
          <w:szCs w:val="26"/>
        </w:rPr>
        <w:t>2)(c) that would also need to be satisfied</w:t>
      </w:r>
      <w:r>
        <w:rPr>
          <w:rFonts w:ascii="Times New Roman" w:hAnsi="Times New Roman" w:cs="Times New Roman"/>
          <w:sz w:val="26"/>
          <w:szCs w:val="26"/>
        </w:rPr>
        <w:t xml:space="preserve">. </w:t>
      </w:r>
      <w:r w:rsidR="006218D9">
        <w:rPr>
          <w:rFonts w:ascii="Times New Roman" w:hAnsi="Times New Roman" w:cs="Times New Roman"/>
          <w:sz w:val="26"/>
          <w:szCs w:val="26"/>
        </w:rPr>
        <w:t>Those</w:t>
      </w:r>
      <w:r w:rsidRPr="004B44B5">
        <w:rPr>
          <w:rFonts w:ascii="Times New Roman" w:hAnsi="Times New Roman" w:cs="Times New Roman"/>
          <w:sz w:val="26"/>
          <w:szCs w:val="26"/>
        </w:rPr>
        <w:t xml:space="preserve"> requirements have not been addressed in this proceeding, and it is </w:t>
      </w:r>
      <w:r w:rsidR="00927CF2">
        <w:rPr>
          <w:rFonts w:ascii="Times New Roman" w:hAnsi="Times New Roman" w:cs="Times New Roman"/>
          <w:sz w:val="26"/>
          <w:szCs w:val="26"/>
        </w:rPr>
        <w:t>staff</w:t>
      </w:r>
      <w:r w:rsidRPr="004B44B5">
        <w:rPr>
          <w:rFonts w:ascii="Times New Roman" w:hAnsi="Times New Roman" w:cs="Times New Roman"/>
          <w:sz w:val="26"/>
          <w:szCs w:val="26"/>
        </w:rPr>
        <w:t>’s expectation that these requirements would be addressed in the separate future proceeding proposed by the Company.</w:t>
      </w:r>
      <w:r w:rsidRPr="004B44B5">
        <w:rPr>
          <w:rStyle w:val="FootnoteReference"/>
          <w:rFonts w:ascii="Times New Roman" w:hAnsi="Times New Roman" w:cs="Times New Roman"/>
          <w:sz w:val="26"/>
          <w:szCs w:val="26"/>
        </w:rPr>
        <w:footnoteReference w:id="47"/>
      </w:r>
      <w:r w:rsidRPr="004B44B5">
        <w:rPr>
          <w:rFonts w:ascii="Times New Roman" w:hAnsi="Times New Roman" w:cs="Times New Roman"/>
          <w:sz w:val="26"/>
          <w:szCs w:val="26"/>
        </w:rPr>
        <w:t xml:space="preserve"> These statutory requirements include:</w:t>
      </w:r>
    </w:p>
    <w:p w:rsidR="009E7E92" w:rsidRPr="004B44B5" w:rsidRDefault="009E7E92" w:rsidP="009E7E92">
      <w:pPr>
        <w:pStyle w:val="ListParagraph"/>
        <w:numPr>
          <w:ilvl w:val="0"/>
          <w:numId w:val="10"/>
        </w:numPr>
        <w:spacing w:after="0" w:line="240" w:lineRule="auto"/>
        <w:ind w:firstLine="720"/>
        <w:rPr>
          <w:rFonts w:ascii="Times New Roman" w:hAnsi="Times New Roman" w:cs="Times New Roman"/>
          <w:sz w:val="26"/>
          <w:szCs w:val="26"/>
        </w:rPr>
      </w:pPr>
      <w:r w:rsidRPr="004B44B5">
        <w:rPr>
          <w:rFonts w:ascii="Times New Roman" w:hAnsi="Times New Roman" w:cs="Times New Roman"/>
          <w:sz w:val="26"/>
          <w:szCs w:val="26"/>
        </w:rPr>
        <w:t>The facility was sourced through a competitive bid process;</w:t>
      </w:r>
    </w:p>
    <w:p w:rsidR="009E7E92" w:rsidRPr="004B44B5" w:rsidRDefault="009E7E92" w:rsidP="009E7E92">
      <w:pPr>
        <w:pStyle w:val="ListParagraph"/>
        <w:numPr>
          <w:ilvl w:val="0"/>
          <w:numId w:val="10"/>
        </w:numPr>
        <w:spacing w:after="0" w:line="240" w:lineRule="auto"/>
        <w:ind w:firstLine="720"/>
        <w:rPr>
          <w:rFonts w:ascii="Times New Roman" w:hAnsi="Times New Roman" w:cs="Times New Roman"/>
          <w:sz w:val="26"/>
          <w:szCs w:val="26"/>
        </w:rPr>
      </w:pPr>
      <w:r w:rsidRPr="004B44B5">
        <w:rPr>
          <w:rFonts w:ascii="Times New Roman" w:hAnsi="Times New Roman" w:cs="Times New Roman"/>
          <w:sz w:val="26"/>
          <w:szCs w:val="26"/>
        </w:rPr>
        <w:t>The facility is newly used and useful on or after January 1, 2009;</w:t>
      </w:r>
    </w:p>
    <w:p w:rsidR="009E7E92" w:rsidRPr="004B44B5" w:rsidRDefault="009E7E92" w:rsidP="009E7E92">
      <w:pPr>
        <w:pStyle w:val="ListParagraph"/>
        <w:numPr>
          <w:ilvl w:val="0"/>
          <w:numId w:val="10"/>
        </w:numPr>
        <w:spacing w:after="0" w:line="240" w:lineRule="auto"/>
        <w:ind w:firstLine="720"/>
        <w:rPr>
          <w:rFonts w:ascii="Times New Roman" w:hAnsi="Times New Roman" w:cs="Times New Roman"/>
          <w:sz w:val="26"/>
          <w:szCs w:val="26"/>
        </w:rPr>
      </w:pPr>
      <w:r w:rsidRPr="004B44B5">
        <w:rPr>
          <w:rFonts w:ascii="Times New Roman" w:hAnsi="Times New Roman" w:cs="Times New Roman"/>
          <w:sz w:val="26"/>
          <w:szCs w:val="26"/>
        </w:rPr>
        <w:t>The Commission has determined the need for the facility</w:t>
      </w:r>
      <w:r w:rsidRPr="004B44B5">
        <w:rPr>
          <w:rStyle w:val="FootnoteReference"/>
          <w:rFonts w:ascii="Times New Roman" w:hAnsi="Times New Roman" w:cs="Times New Roman"/>
          <w:sz w:val="26"/>
          <w:szCs w:val="26"/>
        </w:rPr>
        <w:footnoteReference w:id="48"/>
      </w:r>
      <w:r w:rsidRPr="004B44B5">
        <w:rPr>
          <w:rFonts w:ascii="Times New Roman" w:hAnsi="Times New Roman" w:cs="Times New Roman"/>
          <w:sz w:val="26"/>
          <w:szCs w:val="26"/>
        </w:rPr>
        <w:t>; and</w:t>
      </w:r>
    </w:p>
    <w:p w:rsidR="009E7E92" w:rsidRPr="004B44B5" w:rsidRDefault="009E7E92" w:rsidP="009E7E92">
      <w:pPr>
        <w:pStyle w:val="ListParagraph"/>
        <w:numPr>
          <w:ilvl w:val="0"/>
          <w:numId w:val="10"/>
        </w:numPr>
        <w:spacing w:after="0" w:line="360" w:lineRule="auto"/>
        <w:ind w:firstLine="720"/>
        <w:rPr>
          <w:rFonts w:ascii="Times New Roman" w:hAnsi="Times New Roman" w:cs="Times New Roman"/>
          <w:sz w:val="26"/>
          <w:szCs w:val="26"/>
        </w:rPr>
      </w:pPr>
      <w:r w:rsidRPr="004B44B5">
        <w:rPr>
          <w:rFonts w:ascii="Times New Roman" w:hAnsi="Times New Roman" w:cs="Times New Roman"/>
          <w:sz w:val="26"/>
          <w:szCs w:val="26"/>
        </w:rPr>
        <w:t>The facility’s output shall be dedicated to Ohio consumers.</w:t>
      </w:r>
    </w:p>
    <w:p w:rsidR="009E7E92" w:rsidRPr="004B44B5" w:rsidRDefault="009E7E92" w:rsidP="009E7E92">
      <w:pPr>
        <w:spacing w:after="0" w:line="480" w:lineRule="auto"/>
        <w:ind w:firstLine="720"/>
        <w:rPr>
          <w:rFonts w:ascii="Times New Roman" w:hAnsi="Times New Roman" w:cs="Times New Roman"/>
          <w:sz w:val="26"/>
          <w:szCs w:val="26"/>
        </w:rPr>
      </w:pPr>
      <w:r w:rsidRPr="004B44B5">
        <w:rPr>
          <w:rFonts w:ascii="Times New Roman" w:hAnsi="Times New Roman" w:cs="Times New Roman"/>
          <w:sz w:val="26"/>
          <w:szCs w:val="26"/>
        </w:rPr>
        <w:t>The need determination</w:t>
      </w:r>
      <w:r w:rsidR="006218D9">
        <w:rPr>
          <w:rFonts w:ascii="Times New Roman" w:hAnsi="Times New Roman" w:cs="Times New Roman"/>
          <w:sz w:val="26"/>
          <w:szCs w:val="26"/>
        </w:rPr>
        <w:t>,</w:t>
      </w:r>
      <w:r w:rsidRPr="004B44B5">
        <w:rPr>
          <w:rFonts w:ascii="Times New Roman" w:hAnsi="Times New Roman" w:cs="Times New Roman"/>
          <w:sz w:val="26"/>
          <w:szCs w:val="26"/>
        </w:rPr>
        <w:t xml:space="preserve"> </w:t>
      </w:r>
      <w:r w:rsidR="006218D9">
        <w:rPr>
          <w:rFonts w:ascii="Times New Roman" w:hAnsi="Times New Roman" w:cs="Times New Roman"/>
          <w:sz w:val="26"/>
          <w:szCs w:val="26"/>
        </w:rPr>
        <w:t>whether</w:t>
      </w:r>
      <w:r w:rsidR="006218D9" w:rsidRPr="004B44B5">
        <w:rPr>
          <w:rFonts w:ascii="Times New Roman" w:hAnsi="Times New Roman" w:cs="Times New Roman"/>
          <w:sz w:val="26"/>
          <w:szCs w:val="26"/>
        </w:rPr>
        <w:t xml:space="preserve"> the proposed Turning Point solar facility would satisfy the projected need for additional in-state solar capacity</w:t>
      </w:r>
      <w:r w:rsidR="006218D9">
        <w:rPr>
          <w:rFonts w:ascii="Times New Roman" w:hAnsi="Times New Roman" w:cs="Times New Roman"/>
          <w:sz w:val="26"/>
          <w:szCs w:val="26"/>
        </w:rPr>
        <w:t>,</w:t>
      </w:r>
      <w:r w:rsidR="006218D9" w:rsidRPr="004B44B5">
        <w:rPr>
          <w:rFonts w:ascii="Times New Roman" w:hAnsi="Times New Roman" w:cs="Times New Roman"/>
          <w:sz w:val="26"/>
          <w:szCs w:val="26"/>
        </w:rPr>
        <w:t xml:space="preserve"> </w:t>
      </w:r>
      <w:r w:rsidRPr="004B44B5">
        <w:rPr>
          <w:rFonts w:ascii="Times New Roman" w:hAnsi="Times New Roman" w:cs="Times New Roman"/>
          <w:sz w:val="26"/>
          <w:szCs w:val="26"/>
        </w:rPr>
        <w:t xml:space="preserve">is pending a Commission </w:t>
      </w:r>
      <w:r w:rsidR="006218D9">
        <w:rPr>
          <w:rFonts w:ascii="Times New Roman" w:hAnsi="Times New Roman" w:cs="Times New Roman"/>
          <w:sz w:val="26"/>
          <w:szCs w:val="26"/>
        </w:rPr>
        <w:t xml:space="preserve">decision in Case </w:t>
      </w:r>
      <w:r w:rsidR="00B7307F">
        <w:rPr>
          <w:rFonts w:ascii="Times New Roman" w:hAnsi="Times New Roman" w:cs="Times New Roman"/>
          <w:sz w:val="26"/>
          <w:szCs w:val="26"/>
        </w:rPr>
        <w:t xml:space="preserve">No. </w:t>
      </w:r>
      <w:r w:rsidR="006218D9">
        <w:rPr>
          <w:rFonts w:ascii="Times New Roman" w:hAnsi="Times New Roman" w:cs="Times New Roman"/>
          <w:sz w:val="26"/>
          <w:szCs w:val="26"/>
        </w:rPr>
        <w:t>10-0501-EL-FOR</w:t>
      </w:r>
      <w:r>
        <w:rPr>
          <w:rFonts w:ascii="Times New Roman" w:hAnsi="Times New Roman" w:cs="Times New Roman"/>
          <w:sz w:val="26"/>
          <w:szCs w:val="26"/>
        </w:rPr>
        <w:t xml:space="preserve">. </w:t>
      </w:r>
      <w:r w:rsidRPr="004B44B5">
        <w:rPr>
          <w:rFonts w:ascii="Times New Roman" w:hAnsi="Times New Roman" w:cs="Times New Roman"/>
          <w:sz w:val="26"/>
          <w:szCs w:val="26"/>
        </w:rPr>
        <w:t xml:space="preserve">The Turning Point solar facility was the only </w:t>
      </w:r>
      <w:r w:rsidRPr="004B44B5">
        <w:rPr>
          <w:rFonts w:ascii="Times New Roman" w:hAnsi="Times New Roman" w:cs="Times New Roman"/>
          <w:sz w:val="26"/>
          <w:szCs w:val="26"/>
        </w:rPr>
        <w:lastRenderedPageBreak/>
        <w:t>option proposed by the Company for satisfying this need, and</w:t>
      </w:r>
      <w:r>
        <w:rPr>
          <w:rFonts w:ascii="Times New Roman" w:hAnsi="Times New Roman" w:cs="Times New Roman"/>
          <w:sz w:val="26"/>
          <w:szCs w:val="26"/>
        </w:rPr>
        <w:t>,</w:t>
      </w:r>
      <w:r w:rsidRPr="004B44B5">
        <w:rPr>
          <w:rFonts w:ascii="Times New Roman" w:hAnsi="Times New Roman" w:cs="Times New Roman"/>
          <w:sz w:val="26"/>
          <w:szCs w:val="26"/>
        </w:rPr>
        <w:t xml:space="preserve"> therefore Turning Point comprised the scope of the analysis in that proceeding</w:t>
      </w:r>
      <w:r>
        <w:rPr>
          <w:rFonts w:ascii="Times New Roman" w:hAnsi="Times New Roman" w:cs="Times New Roman"/>
          <w:sz w:val="26"/>
          <w:szCs w:val="26"/>
        </w:rPr>
        <w:t xml:space="preserve">. </w:t>
      </w:r>
      <w:r w:rsidRPr="004B44B5">
        <w:rPr>
          <w:rFonts w:ascii="Times New Roman" w:hAnsi="Times New Roman" w:cs="Times New Roman"/>
          <w:sz w:val="26"/>
          <w:szCs w:val="26"/>
        </w:rPr>
        <w:t>However, the separate future proceeding proposed by the Company would entail a proceeding in which costs are appropriately considered</w:t>
      </w:r>
      <w:r>
        <w:rPr>
          <w:rFonts w:ascii="Times New Roman" w:hAnsi="Times New Roman" w:cs="Times New Roman"/>
          <w:sz w:val="26"/>
          <w:szCs w:val="26"/>
        </w:rPr>
        <w:t>. T</w:t>
      </w:r>
      <w:r w:rsidRPr="004B44B5">
        <w:rPr>
          <w:rFonts w:ascii="Times New Roman" w:hAnsi="Times New Roman" w:cs="Times New Roman"/>
          <w:sz w:val="26"/>
          <w:szCs w:val="26"/>
        </w:rPr>
        <w:t>herefore</w:t>
      </w:r>
      <w:r>
        <w:rPr>
          <w:rFonts w:ascii="Times New Roman" w:hAnsi="Times New Roman" w:cs="Times New Roman"/>
          <w:sz w:val="26"/>
          <w:szCs w:val="26"/>
        </w:rPr>
        <w:t>,</w:t>
      </w:r>
      <w:r w:rsidRPr="004B44B5">
        <w:rPr>
          <w:rFonts w:ascii="Times New Roman" w:hAnsi="Times New Roman" w:cs="Times New Roman"/>
          <w:sz w:val="26"/>
          <w:szCs w:val="26"/>
        </w:rPr>
        <w:t xml:space="preserve"> the costs of Turning Point</w:t>
      </w:r>
      <w:r>
        <w:rPr>
          <w:rFonts w:ascii="Times New Roman" w:hAnsi="Times New Roman" w:cs="Times New Roman"/>
          <w:sz w:val="26"/>
          <w:szCs w:val="26"/>
        </w:rPr>
        <w:t>,</w:t>
      </w:r>
      <w:r w:rsidRPr="004B44B5">
        <w:rPr>
          <w:rFonts w:ascii="Times New Roman" w:hAnsi="Times New Roman" w:cs="Times New Roman"/>
          <w:sz w:val="26"/>
          <w:szCs w:val="26"/>
        </w:rPr>
        <w:t xml:space="preserve"> and any other alternatives for satisfying the in-state solar requirement</w:t>
      </w:r>
      <w:r>
        <w:rPr>
          <w:rFonts w:ascii="Times New Roman" w:hAnsi="Times New Roman" w:cs="Times New Roman"/>
          <w:sz w:val="26"/>
          <w:szCs w:val="26"/>
        </w:rPr>
        <w:t>,</w:t>
      </w:r>
      <w:r w:rsidRPr="004B44B5">
        <w:rPr>
          <w:rFonts w:ascii="Times New Roman" w:hAnsi="Times New Roman" w:cs="Times New Roman"/>
          <w:sz w:val="26"/>
          <w:szCs w:val="26"/>
        </w:rPr>
        <w:t xml:space="preserve"> should be presented and considered in </w:t>
      </w:r>
      <w:r>
        <w:rPr>
          <w:rFonts w:ascii="Times New Roman" w:hAnsi="Times New Roman" w:cs="Times New Roman"/>
          <w:sz w:val="26"/>
          <w:szCs w:val="26"/>
        </w:rPr>
        <w:t xml:space="preserve">a </w:t>
      </w:r>
      <w:r w:rsidRPr="004B44B5">
        <w:rPr>
          <w:rFonts w:ascii="Times New Roman" w:hAnsi="Times New Roman" w:cs="Times New Roman"/>
          <w:sz w:val="26"/>
          <w:szCs w:val="26"/>
        </w:rPr>
        <w:t xml:space="preserve">future proceeding consistent with </w:t>
      </w:r>
      <w:r w:rsidR="00927CF2">
        <w:rPr>
          <w:rFonts w:ascii="Times New Roman" w:hAnsi="Times New Roman" w:cs="Times New Roman"/>
          <w:sz w:val="26"/>
          <w:szCs w:val="26"/>
        </w:rPr>
        <w:t>staff</w:t>
      </w:r>
      <w:r w:rsidRPr="004B44B5">
        <w:rPr>
          <w:rFonts w:ascii="Times New Roman" w:hAnsi="Times New Roman" w:cs="Times New Roman"/>
          <w:sz w:val="26"/>
          <w:szCs w:val="26"/>
        </w:rPr>
        <w:t xml:space="preserve">’s recommendation in Case </w:t>
      </w:r>
      <w:r w:rsidR="00B7307F">
        <w:rPr>
          <w:rFonts w:ascii="Times New Roman" w:hAnsi="Times New Roman" w:cs="Times New Roman"/>
          <w:sz w:val="26"/>
          <w:szCs w:val="26"/>
        </w:rPr>
        <w:t xml:space="preserve">No. </w:t>
      </w:r>
      <w:r w:rsidRPr="004B44B5">
        <w:rPr>
          <w:rFonts w:ascii="Times New Roman" w:hAnsi="Times New Roman" w:cs="Times New Roman"/>
          <w:sz w:val="26"/>
          <w:szCs w:val="26"/>
        </w:rPr>
        <w:t>10-0501-EL-FOR:</w:t>
      </w:r>
    </w:p>
    <w:p w:rsidR="009E7E92" w:rsidRPr="004B44B5" w:rsidRDefault="009E7E92" w:rsidP="009E7E92">
      <w:pPr>
        <w:autoSpaceDE w:val="0"/>
        <w:autoSpaceDN w:val="0"/>
        <w:adjustRightInd w:val="0"/>
        <w:spacing w:after="240" w:line="240" w:lineRule="auto"/>
        <w:ind w:left="1440" w:right="1440"/>
        <w:rPr>
          <w:rFonts w:ascii="Times New Roman" w:hAnsi="Times New Roman" w:cs="Times New Roman"/>
          <w:sz w:val="26"/>
          <w:szCs w:val="26"/>
        </w:rPr>
      </w:pPr>
      <w:r w:rsidRPr="004B44B5">
        <w:rPr>
          <w:rFonts w:ascii="Times New Roman" w:hAnsi="Times New Roman" w:cs="Times New Roman"/>
          <w:sz w:val="26"/>
          <w:szCs w:val="26"/>
        </w:rPr>
        <w:t>The non-signatories will raise a large number of concerns about this need determination. They will argue that the plan has not been shown to be cost-effective, that market forces will lead to more construction and obviate the need for Turning Point, that less expensive options may appear, that a non-</w:t>
      </w:r>
      <w:proofErr w:type="spellStart"/>
      <w:r w:rsidRPr="004B44B5">
        <w:rPr>
          <w:rFonts w:ascii="Times New Roman" w:hAnsi="Times New Roman" w:cs="Times New Roman"/>
          <w:sz w:val="26"/>
          <w:szCs w:val="26"/>
        </w:rPr>
        <w:t>bypassable</w:t>
      </w:r>
      <w:proofErr w:type="spellEnd"/>
      <w:r w:rsidRPr="004B44B5">
        <w:rPr>
          <w:rFonts w:ascii="Times New Roman" w:hAnsi="Times New Roman" w:cs="Times New Roman"/>
          <w:sz w:val="26"/>
          <w:szCs w:val="26"/>
        </w:rPr>
        <w:t xml:space="preserve"> charge is inappropriate for various reasons, and doubtless many other things. Although these concerns should be considered by the Commission at the appropriate time, that time is not now. The arguments are premature. Financial issues are not dealt with through forecasting cases</w:t>
      </w:r>
      <w:r>
        <w:rPr>
          <w:rFonts w:ascii="Times New Roman" w:hAnsi="Times New Roman" w:cs="Times New Roman"/>
          <w:sz w:val="26"/>
          <w:szCs w:val="26"/>
        </w:rPr>
        <w:t xml:space="preserve">. </w:t>
      </w:r>
      <w:r w:rsidRPr="004B44B5">
        <w:rPr>
          <w:rFonts w:ascii="Times New Roman" w:hAnsi="Times New Roman" w:cs="Times New Roman"/>
          <w:sz w:val="26"/>
          <w:szCs w:val="26"/>
        </w:rPr>
        <w:t>Financial issues should be dealt with through cases where recovery is sought and no recovery is sought for any amount in this case. Whether there is some alternative to Turning Point Solar that is in some way superior must be reserved for a case in which there is some alternative to consider.</w:t>
      </w:r>
      <w:r w:rsidRPr="004B44B5">
        <w:rPr>
          <w:rFonts w:ascii="Times New Roman" w:hAnsi="Times New Roman" w:cs="Times New Roman"/>
          <w:sz w:val="26"/>
          <w:szCs w:val="26"/>
          <w:vertAlign w:val="superscript"/>
        </w:rPr>
        <w:footnoteReference w:id="49"/>
      </w:r>
    </w:p>
    <w:p w:rsidR="009E7E92" w:rsidRPr="004B44B5" w:rsidRDefault="009E7E92" w:rsidP="006218D9">
      <w:pPr>
        <w:spacing w:after="0" w:line="480" w:lineRule="auto"/>
        <w:rPr>
          <w:rFonts w:ascii="Times New Roman" w:hAnsi="Times New Roman" w:cs="Times New Roman"/>
          <w:sz w:val="26"/>
          <w:szCs w:val="26"/>
        </w:rPr>
      </w:pPr>
      <w:r w:rsidRPr="004B44B5">
        <w:rPr>
          <w:rFonts w:ascii="Times New Roman" w:hAnsi="Times New Roman" w:cs="Times New Roman"/>
          <w:sz w:val="26"/>
          <w:szCs w:val="26"/>
        </w:rPr>
        <w:t>Staff also expects</w:t>
      </w:r>
      <w:r w:rsidR="006218D9">
        <w:rPr>
          <w:rFonts w:ascii="Times New Roman" w:hAnsi="Times New Roman" w:cs="Times New Roman"/>
          <w:sz w:val="26"/>
          <w:szCs w:val="26"/>
        </w:rPr>
        <w:t xml:space="preserve"> that</w:t>
      </w:r>
      <w:r w:rsidRPr="004B44B5">
        <w:rPr>
          <w:rFonts w:ascii="Times New Roman" w:hAnsi="Times New Roman" w:cs="Times New Roman"/>
          <w:sz w:val="26"/>
          <w:szCs w:val="26"/>
        </w:rPr>
        <w:t xml:space="preserve"> the </w:t>
      </w:r>
      <w:r w:rsidR="006218D9">
        <w:rPr>
          <w:rFonts w:ascii="Times New Roman" w:hAnsi="Times New Roman" w:cs="Times New Roman"/>
          <w:sz w:val="26"/>
          <w:szCs w:val="26"/>
        </w:rPr>
        <w:t xml:space="preserve">other </w:t>
      </w:r>
      <w:r w:rsidRPr="004B44B5">
        <w:rPr>
          <w:rFonts w:ascii="Times New Roman" w:hAnsi="Times New Roman" w:cs="Times New Roman"/>
          <w:sz w:val="26"/>
          <w:szCs w:val="26"/>
        </w:rPr>
        <w:t xml:space="preserve">aforementioned statutory requirements </w:t>
      </w:r>
      <w:r w:rsidR="006218D9">
        <w:rPr>
          <w:rFonts w:ascii="Times New Roman" w:hAnsi="Times New Roman" w:cs="Times New Roman"/>
          <w:sz w:val="26"/>
          <w:szCs w:val="26"/>
        </w:rPr>
        <w:t>will</w:t>
      </w:r>
      <w:r w:rsidRPr="004B44B5">
        <w:rPr>
          <w:rFonts w:ascii="Times New Roman" w:hAnsi="Times New Roman" w:cs="Times New Roman"/>
          <w:sz w:val="26"/>
          <w:szCs w:val="26"/>
        </w:rPr>
        <w:t xml:space="preserve"> be addressed in a subsequent proceeding proposed by the Company, prior to </w:t>
      </w:r>
      <w:r>
        <w:rPr>
          <w:rFonts w:ascii="Times New Roman" w:hAnsi="Times New Roman" w:cs="Times New Roman"/>
          <w:sz w:val="26"/>
          <w:szCs w:val="26"/>
        </w:rPr>
        <w:t>cost recovery through the</w:t>
      </w:r>
      <w:r w:rsidRPr="004B44B5">
        <w:rPr>
          <w:rFonts w:ascii="Times New Roman" w:hAnsi="Times New Roman" w:cs="Times New Roman"/>
          <w:sz w:val="26"/>
          <w:szCs w:val="26"/>
        </w:rPr>
        <w:t xml:space="preserve"> GRR</w:t>
      </w:r>
      <w:r>
        <w:rPr>
          <w:rFonts w:ascii="Times New Roman" w:hAnsi="Times New Roman" w:cs="Times New Roman"/>
          <w:sz w:val="26"/>
          <w:szCs w:val="26"/>
        </w:rPr>
        <w:t xml:space="preserve">. </w:t>
      </w:r>
      <w:r w:rsidR="006218D9">
        <w:rPr>
          <w:rFonts w:ascii="Times New Roman" w:hAnsi="Times New Roman" w:cs="Times New Roman"/>
          <w:sz w:val="26"/>
          <w:szCs w:val="26"/>
        </w:rPr>
        <w:t>It</w:t>
      </w:r>
      <w:r w:rsidRPr="004B44B5">
        <w:rPr>
          <w:rFonts w:ascii="Times New Roman" w:hAnsi="Times New Roman" w:cs="Times New Roman"/>
          <w:sz w:val="26"/>
          <w:szCs w:val="26"/>
        </w:rPr>
        <w:t xml:space="preserve"> </w:t>
      </w:r>
      <w:r>
        <w:rPr>
          <w:rFonts w:ascii="Times New Roman" w:hAnsi="Times New Roman" w:cs="Times New Roman"/>
          <w:sz w:val="26"/>
          <w:szCs w:val="26"/>
        </w:rPr>
        <w:t>would be</w:t>
      </w:r>
      <w:r w:rsidRPr="004B44B5">
        <w:rPr>
          <w:rFonts w:ascii="Times New Roman" w:hAnsi="Times New Roman" w:cs="Times New Roman"/>
          <w:sz w:val="26"/>
          <w:szCs w:val="26"/>
        </w:rPr>
        <w:t xml:space="preserve"> during this separate future proceeding that parties </w:t>
      </w:r>
      <w:r>
        <w:rPr>
          <w:rFonts w:ascii="Times New Roman" w:hAnsi="Times New Roman" w:cs="Times New Roman"/>
          <w:sz w:val="26"/>
          <w:szCs w:val="26"/>
        </w:rPr>
        <w:t xml:space="preserve">could </w:t>
      </w:r>
      <w:r w:rsidRPr="004B44B5">
        <w:rPr>
          <w:rFonts w:ascii="Times New Roman" w:hAnsi="Times New Roman" w:cs="Times New Roman"/>
          <w:sz w:val="26"/>
          <w:szCs w:val="26"/>
        </w:rPr>
        <w:t xml:space="preserve">explore (among other items) whether the use of the GRR results in shopping customers paying </w:t>
      </w:r>
      <w:r w:rsidRPr="004B44B5">
        <w:rPr>
          <w:rFonts w:ascii="Times New Roman" w:hAnsi="Times New Roman" w:cs="Times New Roman"/>
          <w:sz w:val="26"/>
          <w:szCs w:val="26"/>
        </w:rPr>
        <w:lastRenderedPageBreak/>
        <w:t>twice for certain alternative energy portfolio standard compliance costs</w:t>
      </w:r>
      <w:r>
        <w:rPr>
          <w:rFonts w:ascii="Times New Roman" w:hAnsi="Times New Roman" w:cs="Times New Roman"/>
          <w:sz w:val="26"/>
          <w:szCs w:val="26"/>
        </w:rPr>
        <w:t xml:space="preserve">. </w:t>
      </w:r>
      <w:r w:rsidRPr="004B44B5">
        <w:rPr>
          <w:rFonts w:ascii="Times New Roman" w:hAnsi="Times New Roman" w:cs="Times New Roman"/>
          <w:sz w:val="26"/>
          <w:szCs w:val="26"/>
        </w:rPr>
        <w:t xml:space="preserve">Commissioner Porter touched on this concept </w:t>
      </w:r>
      <w:r>
        <w:rPr>
          <w:rFonts w:ascii="Times New Roman" w:hAnsi="Times New Roman" w:cs="Times New Roman"/>
          <w:sz w:val="26"/>
          <w:szCs w:val="26"/>
        </w:rPr>
        <w:t xml:space="preserve">when he asked </w:t>
      </w:r>
      <w:r w:rsidRPr="004B44B5">
        <w:rPr>
          <w:rFonts w:ascii="Times New Roman" w:hAnsi="Times New Roman" w:cs="Times New Roman"/>
          <w:sz w:val="26"/>
          <w:szCs w:val="26"/>
        </w:rPr>
        <w:t>Mr. Strom</w:t>
      </w:r>
      <w:r>
        <w:rPr>
          <w:rFonts w:ascii="Times New Roman" w:hAnsi="Times New Roman" w:cs="Times New Roman"/>
          <w:sz w:val="26"/>
          <w:szCs w:val="26"/>
        </w:rPr>
        <w:t>:</w:t>
      </w:r>
    </w:p>
    <w:p w:rsidR="009E7E92" w:rsidRPr="004B44B5" w:rsidRDefault="009E7E92" w:rsidP="009E7E92">
      <w:pPr>
        <w:autoSpaceDE w:val="0"/>
        <w:autoSpaceDN w:val="0"/>
        <w:adjustRightInd w:val="0"/>
        <w:spacing w:after="240" w:line="240" w:lineRule="auto"/>
        <w:ind w:left="1440" w:right="1440"/>
        <w:rPr>
          <w:rFonts w:ascii="Times New Roman" w:hAnsi="Times New Roman" w:cs="Times New Roman"/>
          <w:sz w:val="26"/>
          <w:szCs w:val="26"/>
        </w:rPr>
      </w:pPr>
      <w:r w:rsidRPr="004B44B5">
        <w:rPr>
          <w:rFonts w:ascii="Times New Roman" w:hAnsi="Times New Roman" w:cs="Times New Roman"/>
          <w:sz w:val="26"/>
          <w:szCs w:val="26"/>
        </w:rPr>
        <w:t xml:space="preserve">But from staff’s perspective if it’s a renewable project, if it’s a project that’s to meet the renewable portfolio standards or requirements under SB 221, since a shopping customer when it shops, the CRES provider also has to meet those requirement, then those types of projects should be </w:t>
      </w:r>
      <w:proofErr w:type="spellStart"/>
      <w:r w:rsidRPr="004B44B5">
        <w:rPr>
          <w:rFonts w:ascii="Times New Roman" w:hAnsi="Times New Roman" w:cs="Times New Roman"/>
          <w:sz w:val="26"/>
          <w:szCs w:val="26"/>
        </w:rPr>
        <w:t>bypas</w:t>
      </w:r>
      <w:r>
        <w:rPr>
          <w:rFonts w:ascii="Times New Roman" w:hAnsi="Times New Roman" w:cs="Times New Roman"/>
          <w:sz w:val="26"/>
          <w:szCs w:val="26"/>
        </w:rPr>
        <w:t>sable</w:t>
      </w:r>
      <w:proofErr w:type="spellEnd"/>
      <w:r>
        <w:rPr>
          <w:rFonts w:ascii="Times New Roman" w:hAnsi="Times New Roman" w:cs="Times New Roman"/>
          <w:sz w:val="26"/>
          <w:szCs w:val="26"/>
        </w:rPr>
        <w:t xml:space="preserve"> from staff’s perspective?</w:t>
      </w:r>
      <w:r w:rsidRPr="004B44B5">
        <w:rPr>
          <w:rFonts w:ascii="Times New Roman" w:hAnsi="Times New Roman" w:cs="Times New Roman"/>
          <w:sz w:val="26"/>
          <w:szCs w:val="26"/>
          <w:vertAlign w:val="superscript"/>
        </w:rPr>
        <w:footnoteReference w:id="50"/>
      </w:r>
    </w:p>
    <w:p w:rsidR="009E7E92" w:rsidRPr="004B44B5" w:rsidRDefault="009E7E92" w:rsidP="009E7E92">
      <w:pPr>
        <w:spacing w:after="0" w:line="480" w:lineRule="auto"/>
        <w:ind w:firstLine="720"/>
        <w:rPr>
          <w:rFonts w:ascii="Times New Roman" w:hAnsi="Times New Roman" w:cs="Times New Roman"/>
          <w:sz w:val="26"/>
          <w:szCs w:val="26"/>
        </w:rPr>
      </w:pPr>
      <w:r w:rsidRPr="004B44B5">
        <w:rPr>
          <w:rFonts w:ascii="Times New Roman" w:hAnsi="Times New Roman" w:cs="Times New Roman"/>
          <w:sz w:val="26"/>
          <w:szCs w:val="26"/>
        </w:rPr>
        <w:t>Staff believes that this question may be addressed by the Company’s efforts to satisfy the statutory requirement of dedicating the facility’s output to Ohio consumers</w:t>
      </w:r>
      <w:r>
        <w:rPr>
          <w:rFonts w:ascii="Times New Roman" w:hAnsi="Times New Roman" w:cs="Times New Roman"/>
          <w:sz w:val="26"/>
          <w:szCs w:val="26"/>
        </w:rPr>
        <w:t xml:space="preserve">. </w:t>
      </w:r>
      <w:r w:rsidRPr="004B44B5">
        <w:rPr>
          <w:rFonts w:ascii="Times New Roman" w:hAnsi="Times New Roman" w:cs="Times New Roman"/>
          <w:sz w:val="26"/>
          <w:szCs w:val="26"/>
        </w:rPr>
        <w:t xml:space="preserve">Although the specific methodology has not yet been determined, the Company has indicated that it expects the </w:t>
      </w:r>
      <w:r w:rsidR="00BC296E" w:rsidRPr="004B44B5">
        <w:rPr>
          <w:rFonts w:ascii="Times New Roman" w:hAnsi="Times New Roman" w:cs="Times New Roman"/>
          <w:sz w:val="26"/>
          <w:szCs w:val="26"/>
        </w:rPr>
        <w:t xml:space="preserve">Turning Point </w:t>
      </w:r>
      <w:r w:rsidRPr="004B44B5">
        <w:rPr>
          <w:rFonts w:ascii="Times New Roman" w:hAnsi="Times New Roman" w:cs="Times New Roman"/>
          <w:sz w:val="26"/>
          <w:szCs w:val="26"/>
        </w:rPr>
        <w:t xml:space="preserve">solar RECs (S-RECs) to be allocated between shopped and </w:t>
      </w:r>
      <w:proofErr w:type="spellStart"/>
      <w:r w:rsidRPr="004B44B5">
        <w:rPr>
          <w:rFonts w:ascii="Times New Roman" w:hAnsi="Times New Roman" w:cs="Times New Roman"/>
          <w:sz w:val="26"/>
          <w:szCs w:val="26"/>
        </w:rPr>
        <w:t>nonshopped</w:t>
      </w:r>
      <w:proofErr w:type="spellEnd"/>
      <w:r w:rsidRPr="004B44B5">
        <w:rPr>
          <w:rFonts w:ascii="Times New Roman" w:hAnsi="Times New Roman" w:cs="Times New Roman"/>
          <w:sz w:val="26"/>
          <w:szCs w:val="26"/>
        </w:rPr>
        <w:t xml:space="preserve"> customers.</w:t>
      </w:r>
      <w:r w:rsidRPr="004B44B5">
        <w:rPr>
          <w:rStyle w:val="FootnoteReference"/>
          <w:rFonts w:ascii="Times New Roman" w:hAnsi="Times New Roman" w:cs="Times New Roman"/>
          <w:sz w:val="26"/>
          <w:szCs w:val="26"/>
        </w:rPr>
        <w:footnoteReference w:id="51"/>
      </w:r>
      <w:r w:rsidR="00BC296E">
        <w:rPr>
          <w:rFonts w:ascii="Times New Roman" w:hAnsi="Times New Roman" w:cs="Times New Roman"/>
          <w:sz w:val="26"/>
          <w:szCs w:val="26"/>
        </w:rPr>
        <w:t xml:space="preserve"> </w:t>
      </w:r>
      <w:r w:rsidRPr="004B44B5">
        <w:rPr>
          <w:rFonts w:ascii="Times New Roman" w:hAnsi="Times New Roman" w:cs="Times New Roman"/>
          <w:sz w:val="26"/>
          <w:szCs w:val="26"/>
        </w:rPr>
        <w:t>In addition, the Company has indicated that the energy and capacity from the Turning Point facility would be sold into the market, with the revenues credited against the GRR.</w:t>
      </w:r>
      <w:r w:rsidRPr="004B44B5">
        <w:rPr>
          <w:rStyle w:val="FootnoteReference"/>
          <w:rFonts w:ascii="Times New Roman" w:hAnsi="Times New Roman" w:cs="Times New Roman"/>
          <w:sz w:val="26"/>
          <w:szCs w:val="26"/>
        </w:rPr>
        <w:footnoteReference w:id="52"/>
      </w:r>
      <w:r w:rsidR="00BC296E">
        <w:rPr>
          <w:rFonts w:ascii="Times New Roman" w:hAnsi="Times New Roman" w:cs="Times New Roman"/>
          <w:sz w:val="26"/>
          <w:szCs w:val="26"/>
        </w:rPr>
        <w:t xml:space="preserve"> The net result</w:t>
      </w:r>
      <w:r w:rsidRPr="004B44B5">
        <w:rPr>
          <w:rFonts w:ascii="Times New Roman" w:hAnsi="Times New Roman" w:cs="Times New Roman"/>
          <w:sz w:val="26"/>
          <w:szCs w:val="26"/>
        </w:rPr>
        <w:t xml:space="preserve"> of these efforts to “dedicate </w:t>
      </w:r>
      <w:r w:rsidR="00BC296E">
        <w:rPr>
          <w:rFonts w:ascii="Times New Roman" w:hAnsi="Times New Roman" w:cs="Times New Roman"/>
          <w:sz w:val="26"/>
          <w:szCs w:val="26"/>
        </w:rPr>
        <w:t>[</w:t>
      </w:r>
      <w:r w:rsidR="00BC296E" w:rsidRPr="004B44B5">
        <w:rPr>
          <w:rFonts w:ascii="Times New Roman" w:hAnsi="Times New Roman" w:cs="Times New Roman"/>
          <w:sz w:val="26"/>
          <w:szCs w:val="26"/>
        </w:rPr>
        <w:t>the output from Turning Point</w:t>
      </w:r>
      <w:r w:rsidR="00BC296E">
        <w:rPr>
          <w:rFonts w:ascii="Times New Roman" w:hAnsi="Times New Roman" w:cs="Times New Roman"/>
          <w:sz w:val="26"/>
          <w:szCs w:val="26"/>
        </w:rPr>
        <w:t>]</w:t>
      </w:r>
      <w:r w:rsidR="00BC296E" w:rsidRPr="004B44B5">
        <w:rPr>
          <w:rFonts w:ascii="Times New Roman" w:hAnsi="Times New Roman" w:cs="Times New Roman"/>
          <w:sz w:val="26"/>
          <w:szCs w:val="26"/>
        </w:rPr>
        <w:t xml:space="preserve"> </w:t>
      </w:r>
      <w:r w:rsidRPr="004B44B5">
        <w:rPr>
          <w:rFonts w:ascii="Times New Roman" w:hAnsi="Times New Roman" w:cs="Times New Roman"/>
          <w:sz w:val="26"/>
          <w:szCs w:val="26"/>
        </w:rPr>
        <w:t>to Ohio consumers” may substantially ameliorate any concerns with double-payment of compliance costs by shopped customers</w:t>
      </w:r>
      <w:r>
        <w:rPr>
          <w:rFonts w:ascii="Times New Roman" w:hAnsi="Times New Roman" w:cs="Times New Roman"/>
          <w:sz w:val="26"/>
          <w:szCs w:val="26"/>
        </w:rPr>
        <w:t xml:space="preserve">. </w:t>
      </w:r>
      <w:r w:rsidRPr="004B44B5">
        <w:rPr>
          <w:rFonts w:ascii="Times New Roman" w:hAnsi="Times New Roman" w:cs="Times New Roman"/>
          <w:sz w:val="26"/>
          <w:szCs w:val="26"/>
        </w:rPr>
        <w:t xml:space="preserve">However, as mentioned earlier, </w:t>
      </w:r>
      <w:r w:rsidR="00927CF2">
        <w:rPr>
          <w:rFonts w:ascii="Times New Roman" w:hAnsi="Times New Roman" w:cs="Times New Roman"/>
          <w:sz w:val="26"/>
          <w:szCs w:val="26"/>
        </w:rPr>
        <w:t>staff</w:t>
      </w:r>
      <w:r w:rsidRPr="004B44B5">
        <w:rPr>
          <w:rFonts w:ascii="Times New Roman" w:hAnsi="Times New Roman" w:cs="Times New Roman"/>
          <w:sz w:val="26"/>
          <w:szCs w:val="26"/>
        </w:rPr>
        <w:t xml:space="preserve"> believes these details would be appropriately addressed during the separate future proceeding before any costs are inserted into the proposed GRR</w:t>
      </w:r>
      <w:r>
        <w:rPr>
          <w:rFonts w:ascii="Times New Roman" w:hAnsi="Times New Roman" w:cs="Times New Roman"/>
          <w:sz w:val="26"/>
          <w:szCs w:val="26"/>
        </w:rPr>
        <w:t xml:space="preserve">. </w:t>
      </w:r>
    </w:p>
    <w:p w:rsidR="00BE229F" w:rsidRPr="003C72A8" w:rsidRDefault="00BE229F" w:rsidP="005A72D6">
      <w:pPr>
        <w:pStyle w:val="Heading4"/>
      </w:pPr>
      <w:bookmarkStart w:id="27" w:name="_Toc328732877"/>
      <w:r w:rsidRPr="003C72A8">
        <w:lastRenderedPageBreak/>
        <w:t xml:space="preserve">5. </w:t>
      </w:r>
      <w:r w:rsidR="00643C1B">
        <w:tab/>
      </w:r>
      <w:r w:rsidRPr="003C72A8">
        <w:t>Interruptible Service Rates</w:t>
      </w:r>
      <w:bookmarkEnd w:id="27"/>
    </w:p>
    <w:p w:rsidR="000E4876" w:rsidRPr="003C72A8" w:rsidRDefault="00BE229F" w:rsidP="00E417D1">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 xml:space="preserve">The </w:t>
      </w:r>
      <w:r w:rsidR="000E4876" w:rsidRPr="003C72A8">
        <w:rPr>
          <w:rFonts w:ascii="Times New Roman" w:hAnsi="Times New Roman" w:cs="Times New Roman"/>
          <w:sz w:val="26"/>
          <w:szCs w:val="26"/>
        </w:rPr>
        <w:t>Company is proposing to restructure its Schedule Interruptible Power –Discretionary (IRP-D) as Rider IRP-D, reflecting an offset to firm service rates.</w:t>
      </w:r>
      <w:r w:rsidRPr="003C72A8">
        <w:rPr>
          <w:rFonts w:ascii="Times New Roman" w:hAnsi="Times New Roman" w:cs="Times New Roman"/>
          <w:sz w:val="26"/>
          <w:szCs w:val="26"/>
        </w:rPr>
        <w:t xml:space="preserve"> </w:t>
      </w:r>
      <w:r w:rsidR="00E417D1" w:rsidRPr="003C72A8">
        <w:rPr>
          <w:rFonts w:ascii="Times New Roman" w:hAnsi="Times New Roman" w:cs="Times New Roman"/>
          <w:sz w:val="26"/>
          <w:szCs w:val="26"/>
        </w:rPr>
        <w:t xml:space="preserve">The Company has proposed </w:t>
      </w:r>
      <w:r w:rsidRPr="003C72A8">
        <w:rPr>
          <w:rFonts w:ascii="Times New Roman" w:hAnsi="Times New Roman" w:cs="Times New Roman"/>
          <w:sz w:val="26"/>
          <w:szCs w:val="26"/>
        </w:rPr>
        <w:t xml:space="preserve">to increase the IRP-D credit to $8.21 per kW-month. </w:t>
      </w:r>
      <w:r w:rsidR="00310A80">
        <w:rPr>
          <w:rFonts w:ascii="Times New Roman" w:hAnsi="Times New Roman" w:cs="Times New Roman"/>
          <w:sz w:val="26"/>
          <w:szCs w:val="26"/>
        </w:rPr>
        <w:t xml:space="preserve">The Company also </w:t>
      </w:r>
      <w:r w:rsidRPr="003C72A8">
        <w:rPr>
          <w:rFonts w:ascii="Times New Roman" w:hAnsi="Times New Roman" w:cs="Times New Roman"/>
          <w:sz w:val="26"/>
          <w:szCs w:val="26"/>
        </w:rPr>
        <w:t>proposes to permit</w:t>
      </w:r>
      <w:r w:rsidR="00E417D1" w:rsidRPr="003C72A8">
        <w:rPr>
          <w:rFonts w:ascii="Times New Roman" w:hAnsi="Times New Roman" w:cs="Times New Roman"/>
          <w:sz w:val="26"/>
          <w:szCs w:val="26"/>
        </w:rPr>
        <w:t xml:space="preserve"> </w:t>
      </w:r>
      <w:r w:rsidRPr="003C72A8">
        <w:rPr>
          <w:rFonts w:ascii="Times New Roman" w:hAnsi="Times New Roman" w:cs="Times New Roman"/>
          <w:sz w:val="26"/>
          <w:szCs w:val="26"/>
        </w:rPr>
        <w:t xml:space="preserve">retail customer participation in PJM demand response programs. </w:t>
      </w:r>
    </w:p>
    <w:p w:rsidR="00BE229F" w:rsidRPr="003C72A8" w:rsidRDefault="000E4876" w:rsidP="00240B11">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 xml:space="preserve">AEP Ohio is also proposing to eliminate Rider Emergency </w:t>
      </w:r>
      <w:proofErr w:type="spellStart"/>
      <w:r w:rsidRPr="003C72A8">
        <w:rPr>
          <w:rFonts w:ascii="Times New Roman" w:hAnsi="Times New Roman" w:cs="Times New Roman"/>
          <w:sz w:val="26"/>
          <w:szCs w:val="26"/>
        </w:rPr>
        <w:t>Curtailable</w:t>
      </w:r>
      <w:proofErr w:type="spellEnd"/>
      <w:r w:rsidRPr="003C72A8">
        <w:rPr>
          <w:rFonts w:ascii="Times New Roman" w:hAnsi="Times New Roman" w:cs="Times New Roman"/>
          <w:sz w:val="26"/>
          <w:szCs w:val="26"/>
        </w:rPr>
        <w:t xml:space="preserve"> Service (ECS) and</w:t>
      </w:r>
      <w:r w:rsidR="00240B11">
        <w:rPr>
          <w:rFonts w:ascii="Times New Roman" w:hAnsi="Times New Roman" w:cs="Times New Roman"/>
          <w:sz w:val="26"/>
          <w:szCs w:val="26"/>
        </w:rPr>
        <w:t xml:space="preserve"> </w:t>
      </w:r>
      <w:r w:rsidRPr="003C72A8">
        <w:rPr>
          <w:rFonts w:ascii="Times New Roman" w:hAnsi="Times New Roman" w:cs="Times New Roman"/>
          <w:sz w:val="26"/>
          <w:szCs w:val="26"/>
        </w:rPr>
        <w:t xml:space="preserve">Rider Price </w:t>
      </w:r>
      <w:proofErr w:type="spellStart"/>
      <w:r w:rsidRPr="003C72A8">
        <w:rPr>
          <w:rFonts w:ascii="Times New Roman" w:hAnsi="Times New Roman" w:cs="Times New Roman"/>
          <w:sz w:val="26"/>
          <w:szCs w:val="26"/>
        </w:rPr>
        <w:t>Curtailable</w:t>
      </w:r>
      <w:proofErr w:type="spellEnd"/>
      <w:r w:rsidRPr="003C72A8">
        <w:rPr>
          <w:rFonts w:ascii="Times New Roman" w:hAnsi="Times New Roman" w:cs="Times New Roman"/>
          <w:sz w:val="26"/>
          <w:szCs w:val="26"/>
        </w:rPr>
        <w:t xml:space="preserve"> Service (PCS), including the proposed changes pending in Case Nos. 10-</w:t>
      </w:r>
      <w:r w:rsidR="00240B11">
        <w:rPr>
          <w:rFonts w:ascii="Times New Roman" w:hAnsi="Times New Roman" w:cs="Times New Roman"/>
          <w:sz w:val="26"/>
          <w:szCs w:val="26"/>
        </w:rPr>
        <w:t xml:space="preserve"> </w:t>
      </w:r>
      <w:r w:rsidRPr="003C72A8">
        <w:rPr>
          <w:rFonts w:ascii="Times New Roman" w:hAnsi="Times New Roman" w:cs="Times New Roman"/>
          <w:sz w:val="26"/>
          <w:szCs w:val="26"/>
        </w:rPr>
        <w:t>343-EL-ATA and 10-344-EL-ATA. Customers with peak demand response attributes that have</w:t>
      </w:r>
      <w:r w:rsidR="00240B11">
        <w:rPr>
          <w:rFonts w:ascii="Times New Roman" w:hAnsi="Times New Roman" w:cs="Times New Roman"/>
          <w:sz w:val="26"/>
          <w:szCs w:val="26"/>
        </w:rPr>
        <w:t xml:space="preserve"> </w:t>
      </w:r>
      <w:r w:rsidRPr="003C72A8">
        <w:rPr>
          <w:rFonts w:ascii="Times New Roman" w:hAnsi="Times New Roman" w:cs="Times New Roman"/>
          <w:sz w:val="26"/>
          <w:szCs w:val="26"/>
        </w:rPr>
        <w:t>cleared in the PJM market that are also receiving an incentive payment through a reasonable</w:t>
      </w:r>
      <w:r w:rsidR="00240B11">
        <w:rPr>
          <w:rFonts w:ascii="Times New Roman" w:hAnsi="Times New Roman" w:cs="Times New Roman"/>
          <w:sz w:val="26"/>
          <w:szCs w:val="26"/>
        </w:rPr>
        <w:t xml:space="preserve"> </w:t>
      </w:r>
      <w:r w:rsidRPr="003C72A8">
        <w:rPr>
          <w:rFonts w:ascii="Times New Roman" w:hAnsi="Times New Roman" w:cs="Times New Roman"/>
          <w:sz w:val="26"/>
          <w:szCs w:val="26"/>
        </w:rPr>
        <w:t>arrangement shall commit such peak demand response attributes to the Company at no additional</w:t>
      </w:r>
      <w:r w:rsidR="00240B11">
        <w:rPr>
          <w:rFonts w:ascii="Times New Roman" w:hAnsi="Times New Roman" w:cs="Times New Roman"/>
          <w:sz w:val="26"/>
          <w:szCs w:val="26"/>
        </w:rPr>
        <w:t xml:space="preserve"> </w:t>
      </w:r>
      <w:r w:rsidRPr="003C72A8">
        <w:rPr>
          <w:rFonts w:ascii="Times New Roman" w:hAnsi="Times New Roman" w:cs="Times New Roman"/>
          <w:sz w:val="26"/>
          <w:szCs w:val="26"/>
        </w:rPr>
        <w:t>cost. Finally in this regard, AEP Ohio proposes that it be allowed to issue an RFP to meet any</w:t>
      </w:r>
      <w:r w:rsidR="00240B11">
        <w:rPr>
          <w:rFonts w:ascii="Times New Roman" w:hAnsi="Times New Roman" w:cs="Times New Roman"/>
          <w:sz w:val="26"/>
          <w:szCs w:val="26"/>
        </w:rPr>
        <w:t xml:space="preserve"> </w:t>
      </w:r>
      <w:r w:rsidRPr="003C72A8">
        <w:rPr>
          <w:rFonts w:ascii="Times New Roman" w:hAnsi="Times New Roman" w:cs="Times New Roman"/>
          <w:sz w:val="26"/>
          <w:szCs w:val="26"/>
        </w:rPr>
        <w:t>remaining peak demand reduction mandates.</w:t>
      </w:r>
    </w:p>
    <w:p w:rsidR="007F05AD" w:rsidRDefault="00310A80" w:rsidP="00310A80">
      <w:pPr>
        <w:tabs>
          <w:tab w:val="left" w:pos="720"/>
          <w:tab w:val="left" w:pos="2016"/>
          <w:tab w:val="left" w:pos="720"/>
          <w:tab w:val="left" w:pos="2016"/>
          <w:tab w:val="left" w:pos="720"/>
          <w:tab w:val="left" w:pos="2016"/>
          <w:tab w:val="left" w:pos="720"/>
          <w:tab w:val="left" w:pos="2016"/>
          <w:tab w:val="left" w:pos="720"/>
          <w:tab w:val="left" w:pos="2016"/>
          <w:tab w:val="left" w:pos="720"/>
          <w:tab w:val="left" w:pos="2016"/>
          <w:tab w:val="left" w:pos="720"/>
          <w:tab w:val="left" w:pos="2016"/>
          <w:tab w:val="left" w:pos="720"/>
          <w:tab w:val="left" w:pos="2016"/>
          <w:tab w:val="left" w:pos="720"/>
          <w:tab w:val="left" w:pos="2016"/>
          <w:tab w:val="left" w:pos="720"/>
        </w:tabs>
        <w:autoSpaceDE w:val="0"/>
        <w:autoSpaceDN w:val="0"/>
        <w:adjustRightInd w:val="0"/>
        <w:spacing w:after="0" w:line="480" w:lineRule="auto"/>
        <w:ind w:firstLine="720"/>
        <w:rPr>
          <w:rFonts w:ascii="Times New Roman" w:hAnsi="Times New Roman" w:cs="Times New Roman"/>
          <w:sz w:val="26"/>
          <w:szCs w:val="26"/>
        </w:rPr>
      </w:pPr>
      <w:r w:rsidRPr="00310A80">
        <w:rPr>
          <w:rFonts w:ascii="Times New Roman" w:hAnsi="Times New Roman" w:cs="Times New Roman"/>
          <w:sz w:val="26"/>
          <w:szCs w:val="26"/>
        </w:rPr>
        <w:t xml:space="preserve">Staff supports the proposed </w:t>
      </w:r>
      <w:r w:rsidRPr="003C72A8">
        <w:rPr>
          <w:rFonts w:ascii="Times New Roman" w:hAnsi="Times New Roman" w:cs="Times New Roman"/>
          <w:sz w:val="26"/>
          <w:szCs w:val="26"/>
        </w:rPr>
        <w:t>Rider IRP-D</w:t>
      </w:r>
      <w:r>
        <w:rPr>
          <w:rFonts w:ascii="Times New Roman" w:hAnsi="Times New Roman" w:cs="Times New Roman"/>
          <w:sz w:val="26"/>
          <w:szCs w:val="26"/>
        </w:rPr>
        <w:t xml:space="preserve">, but only through the ESP period. At the end of the ESP term, staff believes that the Company should no longer be permitted to offer a discount from the SSO rate (or, for that matter, any “inferior” quality SSO service, allowing customers who which such service to seek willing providers in the marketplace). </w:t>
      </w:r>
    </w:p>
    <w:p w:rsidR="007F05AD" w:rsidRPr="00310A80" w:rsidRDefault="007F05AD" w:rsidP="007F05AD">
      <w:pPr>
        <w:tabs>
          <w:tab w:val="left" w:pos="720"/>
          <w:tab w:val="left" w:pos="2016"/>
          <w:tab w:val="left" w:pos="720"/>
          <w:tab w:val="left" w:pos="2016"/>
          <w:tab w:val="left" w:pos="720"/>
          <w:tab w:val="left" w:pos="2016"/>
          <w:tab w:val="left" w:pos="720"/>
          <w:tab w:val="left" w:pos="2016"/>
          <w:tab w:val="left" w:pos="720"/>
          <w:tab w:val="left" w:pos="2016"/>
          <w:tab w:val="left" w:pos="720"/>
          <w:tab w:val="left" w:pos="2016"/>
          <w:tab w:val="left" w:pos="720"/>
          <w:tab w:val="left" w:pos="2016"/>
          <w:tab w:val="left" w:pos="720"/>
          <w:tab w:val="left" w:pos="2016"/>
          <w:tab w:val="left" w:pos="720"/>
          <w:tab w:val="left" w:pos="2016"/>
          <w:tab w:val="left" w:pos="720"/>
        </w:tabs>
        <w:autoSpaceDE w:val="0"/>
        <w:autoSpaceDN w:val="0"/>
        <w:adjustRightInd w:val="0"/>
        <w:spacing w:after="0" w:line="480" w:lineRule="auto"/>
        <w:ind w:firstLine="720"/>
        <w:rPr>
          <w:rFonts w:ascii="Times New Roman" w:hAnsi="Times New Roman" w:cs="Times New Roman"/>
          <w:sz w:val="26"/>
          <w:szCs w:val="26"/>
        </w:rPr>
      </w:pPr>
      <w:r>
        <w:rPr>
          <w:rFonts w:ascii="Times New Roman" w:hAnsi="Times New Roman" w:cs="Times New Roman"/>
          <w:sz w:val="26"/>
          <w:szCs w:val="26"/>
        </w:rPr>
        <w:t xml:space="preserve">Staff believes, however, that the </w:t>
      </w:r>
      <w:r w:rsidRPr="003C72A8">
        <w:rPr>
          <w:rFonts w:ascii="Times New Roman" w:hAnsi="Times New Roman" w:cs="Times New Roman"/>
          <w:sz w:val="26"/>
          <w:szCs w:val="26"/>
        </w:rPr>
        <w:t>IRP-D</w:t>
      </w:r>
      <w:r>
        <w:rPr>
          <w:rFonts w:ascii="Times New Roman" w:hAnsi="Times New Roman" w:cs="Times New Roman"/>
          <w:sz w:val="26"/>
          <w:szCs w:val="26"/>
        </w:rPr>
        <w:t xml:space="preserve"> credit should be determined using the capacity rate ultimately determined by the Commission in </w:t>
      </w:r>
      <w:r w:rsidR="00B7307F">
        <w:rPr>
          <w:rFonts w:ascii="Times New Roman" w:hAnsi="Times New Roman" w:cs="Times New Roman"/>
          <w:sz w:val="26"/>
          <w:szCs w:val="26"/>
        </w:rPr>
        <w:t>Case No.</w:t>
      </w:r>
      <w:r>
        <w:rPr>
          <w:rFonts w:ascii="Times New Roman" w:hAnsi="Times New Roman" w:cs="Times New Roman"/>
          <w:sz w:val="26"/>
          <w:szCs w:val="26"/>
        </w:rPr>
        <w:t xml:space="preserve"> 10-2929</w:t>
      </w:r>
      <w:r w:rsidR="00B7307F">
        <w:rPr>
          <w:rFonts w:ascii="Times New Roman" w:hAnsi="Times New Roman" w:cs="Times New Roman"/>
          <w:sz w:val="26"/>
          <w:szCs w:val="26"/>
        </w:rPr>
        <w:t>-EL-UNC</w:t>
      </w:r>
      <w:r>
        <w:rPr>
          <w:rFonts w:ascii="Times New Roman" w:hAnsi="Times New Roman" w:cs="Times New Roman"/>
          <w:sz w:val="26"/>
          <w:szCs w:val="26"/>
        </w:rPr>
        <w:t xml:space="preserve">. Despite the Ohio Energy Group’s arguments to the contrary, this is entirely consistent </w:t>
      </w:r>
      <w:r>
        <w:rPr>
          <w:rFonts w:ascii="Times New Roman" w:hAnsi="Times New Roman" w:cs="Times New Roman"/>
          <w:sz w:val="26"/>
          <w:szCs w:val="26"/>
        </w:rPr>
        <w:lastRenderedPageBreak/>
        <w:t xml:space="preserve">with the methodology for calculating the credit employed by Company witness Roush. </w:t>
      </w:r>
      <w:r w:rsidRPr="00310A80">
        <w:rPr>
          <w:rFonts w:ascii="Times New Roman" w:hAnsi="Times New Roman" w:cs="Times New Roman"/>
          <w:sz w:val="26"/>
          <w:szCs w:val="26"/>
        </w:rPr>
        <w:t xml:space="preserve">Using the FRR generation rate recommended by </w:t>
      </w:r>
      <w:r>
        <w:rPr>
          <w:rFonts w:ascii="Times New Roman" w:hAnsi="Times New Roman" w:cs="Times New Roman"/>
          <w:sz w:val="26"/>
          <w:szCs w:val="26"/>
        </w:rPr>
        <w:t>staff</w:t>
      </w:r>
      <w:r w:rsidRPr="00310A80">
        <w:rPr>
          <w:rFonts w:ascii="Times New Roman" w:hAnsi="Times New Roman" w:cs="Times New Roman"/>
          <w:sz w:val="26"/>
          <w:szCs w:val="26"/>
        </w:rPr>
        <w:t xml:space="preserve"> witness Emily </w:t>
      </w:r>
      <w:proofErr w:type="spellStart"/>
      <w:r w:rsidRPr="00310A80">
        <w:rPr>
          <w:rFonts w:ascii="Times New Roman" w:hAnsi="Times New Roman" w:cs="Times New Roman"/>
          <w:sz w:val="26"/>
          <w:szCs w:val="26"/>
        </w:rPr>
        <w:t>Medine</w:t>
      </w:r>
      <w:proofErr w:type="spellEnd"/>
      <w:r w:rsidRPr="00310A80">
        <w:rPr>
          <w:rFonts w:ascii="Times New Roman" w:hAnsi="Times New Roman" w:cs="Times New Roman"/>
          <w:sz w:val="26"/>
          <w:szCs w:val="26"/>
        </w:rPr>
        <w:t xml:space="preserve"> in Case No. 10-2929</w:t>
      </w:r>
      <w:r w:rsidR="00B7307F">
        <w:rPr>
          <w:rFonts w:ascii="Times New Roman" w:hAnsi="Times New Roman" w:cs="Times New Roman"/>
          <w:sz w:val="26"/>
          <w:szCs w:val="26"/>
        </w:rPr>
        <w:t>-EL-UNC</w:t>
      </w:r>
      <w:r w:rsidRPr="00310A80">
        <w:rPr>
          <w:rFonts w:ascii="Times New Roman" w:hAnsi="Times New Roman" w:cs="Times New Roman"/>
          <w:sz w:val="26"/>
          <w:szCs w:val="26"/>
        </w:rPr>
        <w:t>, staff witness Scheck recommended an interruptible credit value of $3.34/kw/month.</w:t>
      </w:r>
      <w:r>
        <w:rPr>
          <w:rStyle w:val="FootnoteReference"/>
          <w:rFonts w:ascii="Times New Roman" w:hAnsi="Times New Roman" w:cs="Times New Roman"/>
          <w:sz w:val="26"/>
          <w:szCs w:val="26"/>
        </w:rPr>
        <w:footnoteReference w:id="53"/>
      </w:r>
    </w:p>
    <w:p w:rsidR="007F05AD" w:rsidRPr="007F05AD" w:rsidRDefault="0099506C" w:rsidP="007F05AD">
      <w:pPr>
        <w:tabs>
          <w:tab w:val="left" w:pos="720"/>
          <w:tab w:val="left" w:pos="2016"/>
          <w:tab w:val="left" w:pos="720"/>
          <w:tab w:val="left" w:pos="2016"/>
          <w:tab w:val="left" w:pos="720"/>
          <w:tab w:val="left" w:pos="2016"/>
          <w:tab w:val="left" w:pos="720"/>
          <w:tab w:val="left" w:pos="2016"/>
          <w:tab w:val="left" w:pos="720"/>
          <w:tab w:val="left" w:pos="2016"/>
          <w:tab w:val="left" w:pos="720"/>
          <w:tab w:val="left" w:pos="2016"/>
          <w:tab w:val="left" w:pos="720"/>
          <w:tab w:val="left" w:pos="2016"/>
          <w:tab w:val="left" w:pos="720"/>
          <w:tab w:val="left" w:pos="2016"/>
          <w:tab w:val="left" w:pos="720"/>
          <w:tab w:val="left" w:pos="2016"/>
          <w:tab w:val="left" w:pos="720"/>
        </w:tabs>
        <w:autoSpaceDE w:val="0"/>
        <w:autoSpaceDN w:val="0"/>
        <w:adjustRightInd w:val="0"/>
        <w:spacing w:after="0" w:line="480" w:lineRule="auto"/>
        <w:ind w:firstLine="720"/>
        <w:rPr>
          <w:rFonts w:ascii="Times New Roman" w:hAnsi="Times New Roman" w:cs="Times New Roman"/>
          <w:sz w:val="26"/>
          <w:szCs w:val="26"/>
        </w:rPr>
      </w:pPr>
      <w:r w:rsidRPr="0099506C">
        <w:rPr>
          <w:rFonts w:ascii="Times New Roman" w:hAnsi="Times New Roman" w:cs="Times New Roman"/>
          <w:sz w:val="26"/>
          <w:szCs w:val="26"/>
        </w:rPr>
        <w:t xml:space="preserve">In addition, staff believes that any SSO interruptible service offered as a part of economic development or competitive response should be offered as a part of a reasonable or special arrangement, rather than </w:t>
      </w:r>
      <w:r>
        <w:rPr>
          <w:rFonts w:ascii="Times New Roman" w:hAnsi="Times New Roman" w:cs="Times New Roman"/>
          <w:sz w:val="26"/>
          <w:szCs w:val="26"/>
        </w:rPr>
        <w:t>as</w:t>
      </w:r>
      <w:r w:rsidRPr="0099506C">
        <w:rPr>
          <w:rFonts w:ascii="Times New Roman" w:hAnsi="Times New Roman" w:cs="Times New Roman"/>
          <w:sz w:val="26"/>
          <w:szCs w:val="26"/>
        </w:rPr>
        <w:t xml:space="preserve"> a tariff </w:t>
      </w:r>
      <w:r>
        <w:rPr>
          <w:rFonts w:ascii="Times New Roman" w:hAnsi="Times New Roman" w:cs="Times New Roman"/>
          <w:sz w:val="26"/>
          <w:szCs w:val="26"/>
        </w:rPr>
        <w:t>service</w:t>
      </w:r>
      <w:r w:rsidRPr="0099506C">
        <w:rPr>
          <w:rFonts w:ascii="Times New Roman" w:hAnsi="Times New Roman" w:cs="Times New Roman"/>
          <w:sz w:val="26"/>
          <w:szCs w:val="26"/>
        </w:rPr>
        <w:t>.</w:t>
      </w:r>
      <w:r w:rsidR="00BC296E">
        <w:rPr>
          <w:rStyle w:val="FootnoteReference"/>
          <w:rFonts w:ascii="Times New Roman" w:hAnsi="Times New Roman" w:cs="Times New Roman"/>
          <w:sz w:val="26"/>
          <w:szCs w:val="26"/>
        </w:rPr>
        <w:footnoteReference w:id="54"/>
      </w:r>
      <w:r w:rsidR="007F05AD">
        <w:rPr>
          <w:rFonts w:ascii="Times New Roman" w:hAnsi="Times New Roman" w:cs="Times New Roman"/>
          <w:sz w:val="26"/>
          <w:szCs w:val="26"/>
        </w:rPr>
        <w:t xml:space="preserve"> </w:t>
      </w:r>
      <w:r w:rsidR="007F05AD" w:rsidRPr="007F05AD">
        <w:rPr>
          <w:rFonts w:ascii="Times New Roman" w:hAnsi="Times New Roman" w:cs="Times New Roman"/>
          <w:sz w:val="26"/>
          <w:szCs w:val="26"/>
        </w:rPr>
        <w:t xml:space="preserve">Furthermore, staff believes that the Company should not be permitted to offer an unlimited amount of interruptible service as a part of economic development or competitive response. Staff witness Scheck testified that the need for interruptible service should not depend on whether it is offered as a part of economic development or competitive response. Customers should be expected to respond to curtailment requests in the same way. </w:t>
      </w:r>
    </w:p>
    <w:p w:rsidR="00310A80" w:rsidRPr="002E39C2" w:rsidRDefault="002E39C2" w:rsidP="00310A80">
      <w:pPr>
        <w:tabs>
          <w:tab w:val="left" w:pos="720"/>
          <w:tab w:val="left" w:pos="2016"/>
          <w:tab w:val="left" w:pos="720"/>
          <w:tab w:val="left" w:pos="2016"/>
          <w:tab w:val="left" w:pos="720"/>
          <w:tab w:val="left" w:pos="2016"/>
          <w:tab w:val="left" w:pos="720"/>
          <w:tab w:val="left" w:pos="2016"/>
          <w:tab w:val="left" w:pos="720"/>
          <w:tab w:val="left" w:pos="2016"/>
          <w:tab w:val="left" w:pos="720"/>
          <w:tab w:val="left" w:pos="2016"/>
          <w:tab w:val="left" w:pos="720"/>
          <w:tab w:val="left" w:pos="2016"/>
          <w:tab w:val="left" w:pos="720"/>
          <w:tab w:val="left" w:pos="2016"/>
          <w:tab w:val="left" w:pos="720"/>
          <w:tab w:val="left" w:pos="2016"/>
          <w:tab w:val="left" w:pos="720"/>
        </w:tabs>
        <w:autoSpaceDE w:val="0"/>
        <w:autoSpaceDN w:val="0"/>
        <w:adjustRightInd w:val="0"/>
        <w:spacing w:after="0" w:line="480" w:lineRule="auto"/>
        <w:ind w:firstLine="720"/>
        <w:rPr>
          <w:rFonts w:ascii="Times New Roman" w:hAnsi="Times New Roman" w:cs="Times New Roman"/>
          <w:sz w:val="26"/>
          <w:szCs w:val="26"/>
        </w:rPr>
      </w:pPr>
      <w:r>
        <w:rPr>
          <w:rFonts w:ascii="Times New Roman" w:hAnsi="Times New Roman" w:cs="Times New Roman"/>
          <w:sz w:val="26"/>
          <w:szCs w:val="26"/>
        </w:rPr>
        <w:t xml:space="preserve">Finally, </w:t>
      </w:r>
      <w:r w:rsidR="00927CF2" w:rsidRPr="002E39C2">
        <w:rPr>
          <w:rFonts w:ascii="Times New Roman" w:hAnsi="Times New Roman" w:cs="Times New Roman"/>
          <w:sz w:val="26"/>
          <w:szCs w:val="26"/>
        </w:rPr>
        <w:t>staff</w:t>
      </w:r>
      <w:r w:rsidR="00310A80" w:rsidRPr="002E39C2">
        <w:rPr>
          <w:rFonts w:ascii="Times New Roman" w:hAnsi="Times New Roman" w:cs="Times New Roman"/>
          <w:sz w:val="26"/>
          <w:szCs w:val="26"/>
        </w:rPr>
        <w:t xml:space="preserve"> recommends that </w:t>
      </w:r>
      <w:r>
        <w:rPr>
          <w:rFonts w:ascii="Times New Roman" w:hAnsi="Times New Roman" w:cs="Times New Roman"/>
          <w:sz w:val="26"/>
          <w:szCs w:val="26"/>
        </w:rPr>
        <w:t>any customer</w:t>
      </w:r>
      <w:r w:rsidR="00310A80" w:rsidRPr="002E39C2">
        <w:rPr>
          <w:rFonts w:ascii="Times New Roman" w:hAnsi="Times New Roman" w:cs="Times New Roman"/>
          <w:sz w:val="26"/>
          <w:szCs w:val="26"/>
        </w:rPr>
        <w:t xml:space="preserve"> </w:t>
      </w:r>
      <w:r>
        <w:rPr>
          <w:rFonts w:ascii="Times New Roman" w:hAnsi="Times New Roman" w:cs="Times New Roman"/>
          <w:sz w:val="26"/>
          <w:szCs w:val="26"/>
        </w:rPr>
        <w:t xml:space="preserve">that </w:t>
      </w:r>
      <w:r w:rsidR="00310A80" w:rsidRPr="002E39C2">
        <w:rPr>
          <w:rFonts w:ascii="Times New Roman" w:hAnsi="Times New Roman" w:cs="Times New Roman"/>
          <w:sz w:val="26"/>
          <w:szCs w:val="26"/>
        </w:rPr>
        <w:t>choose</w:t>
      </w:r>
      <w:r>
        <w:rPr>
          <w:rFonts w:ascii="Times New Roman" w:hAnsi="Times New Roman" w:cs="Times New Roman"/>
          <w:sz w:val="26"/>
          <w:szCs w:val="26"/>
        </w:rPr>
        <w:t>s</w:t>
      </w:r>
      <w:r w:rsidR="00310A80" w:rsidRPr="002E39C2">
        <w:rPr>
          <w:rFonts w:ascii="Times New Roman" w:hAnsi="Times New Roman" w:cs="Times New Roman"/>
          <w:sz w:val="26"/>
          <w:szCs w:val="26"/>
        </w:rPr>
        <w:t xml:space="preserve"> interruptible service should be allowed to return to the fixed SSO with a notice of no more than </w:t>
      </w:r>
      <w:r>
        <w:rPr>
          <w:rFonts w:ascii="Times New Roman" w:hAnsi="Times New Roman" w:cs="Times New Roman"/>
          <w:sz w:val="26"/>
          <w:szCs w:val="26"/>
        </w:rPr>
        <w:t>3 years. As</w:t>
      </w:r>
      <w:r w:rsidR="00310A80" w:rsidRPr="002E39C2">
        <w:rPr>
          <w:rFonts w:ascii="Times New Roman" w:hAnsi="Times New Roman" w:cs="Times New Roman"/>
          <w:sz w:val="26"/>
          <w:szCs w:val="26"/>
        </w:rPr>
        <w:t xml:space="preserve"> most competitive bid auctions are no longer than 3 years in length, </w:t>
      </w:r>
      <w:r>
        <w:rPr>
          <w:rFonts w:ascii="Times New Roman" w:hAnsi="Times New Roman" w:cs="Times New Roman"/>
          <w:sz w:val="26"/>
          <w:szCs w:val="26"/>
        </w:rPr>
        <w:t>the Company</w:t>
      </w:r>
      <w:r w:rsidR="00310A80" w:rsidRPr="002E39C2">
        <w:rPr>
          <w:rFonts w:ascii="Times New Roman" w:hAnsi="Times New Roman" w:cs="Times New Roman"/>
          <w:sz w:val="26"/>
          <w:szCs w:val="26"/>
        </w:rPr>
        <w:t xml:space="preserve"> could easily incorporate a returning interruptible customer to firm SSO </w:t>
      </w:r>
      <w:r>
        <w:rPr>
          <w:rFonts w:ascii="Times New Roman" w:hAnsi="Times New Roman" w:cs="Times New Roman"/>
          <w:sz w:val="26"/>
          <w:szCs w:val="26"/>
        </w:rPr>
        <w:t xml:space="preserve">with </w:t>
      </w:r>
      <w:r w:rsidR="00310A80" w:rsidRPr="002E39C2">
        <w:rPr>
          <w:rFonts w:ascii="Times New Roman" w:hAnsi="Times New Roman" w:cs="Times New Roman"/>
          <w:sz w:val="26"/>
          <w:szCs w:val="26"/>
        </w:rPr>
        <w:t xml:space="preserve">three years advance notice. </w:t>
      </w:r>
    </w:p>
    <w:p w:rsidR="00BE229F" w:rsidRPr="003C72A8" w:rsidRDefault="00BE229F" w:rsidP="005A72D6">
      <w:pPr>
        <w:pStyle w:val="Heading4"/>
      </w:pPr>
      <w:bookmarkStart w:id="28" w:name="_Toc328732878"/>
      <w:r w:rsidRPr="003C72A8">
        <w:lastRenderedPageBreak/>
        <w:t xml:space="preserve">6. </w:t>
      </w:r>
      <w:r w:rsidR="00643C1B">
        <w:tab/>
      </w:r>
      <w:r w:rsidRPr="003C72A8">
        <w:t>Retail Stability Rider</w:t>
      </w:r>
      <w:bookmarkEnd w:id="28"/>
    </w:p>
    <w:p w:rsidR="00BE229F" w:rsidRDefault="00BE229F" w:rsidP="00080FB6">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 xml:space="preserve">The Company has proposed a </w:t>
      </w:r>
      <w:proofErr w:type="spellStart"/>
      <w:r w:rsidRPr="003C72A8">
        <w:rPr>
          <w:rFonts w:ascii="Times New Roman" w:hAnsi="Times New Roman" w:cs="Times New Roman"/>
          <w:sz w:val="26"/>
          <w:szCs w:val="26"/>
        </w:rPr>
        <w:t>nonbypassable</w:t>
      </w:r>
      <w:proofErr w:type="spellEnd"/>
      <w:r w:rsidRPr="003C72A8">
        <w:rPr>
          <w:rFonts w:ascii="Times New Roman" w:hAnsi="Times New Roman" w:cs="Times New Roman"/>
          <w:sz w:val="26"/>
          <w:szCs w:val="26"/>
        </w:rPr>
        <w:t xml:space="preserve"> Retail Stability Rider (RSR). It attempted to justify this rider by demonstrating that its proposed discounted capacity pricing plan would otherwise put it in a precarious financial position. The RSR is described as a generation revenue decoupling charge</w:t>
      </w:r>
      <w:r w:rsidR="00080FB6" w:rsidRPr="003C72A8">
        <w:rPr>
          <w:rFonts w:ascii="Times New Roman" w:hAnsi="Times New Roman" w:cs="Times New Roman"/>
          <w:sz w:val="26"/>
          <w:szCs w:val="26"/>
        </w:rPr>
        <w:t xml:space="preserve">. </w:t>
      </w:r>
    </w:p>
    <w:p w:rsidR="00CE018A" w:rsidRPr="003C72A8" w:rsidRDefault="00CE018A" w:rsidP="00CE018A">
      <w:pPr>
        <w:autoSpaceDE w:val="0"/>
        <w:autoSpaceDN w:val="0"/>
        <w:adjustRightInd w:val="0"/>
        <w:spacing w:after="0" w:line="480" w:lineRule="auto"/>
        <w:ind w:firstLine="720"/>
        <w:rPr>
          <w:rFonts w:ascii="Times New Roman" w:hAnsi="Times New Roman" w:cs="Times New Roman"/>
          <w:sz w:val="26"/>
          <w:szCs w:val="26"/>
        </w:rPr>
      </w:pPr>
      <w:r>
        <w:rPr>
          <w:rFonts w:ascii="Times New Roman" w:hAnsi="Times New Roman" w:cs="Times New Roman"/>
          <w:sz w:val="26"/>
          <w:szCs w:val="26"/>
        </w:rPr>
        <w:t>As staff witness Fortney testified, staff does support some form an RSR mechanism.</w:t>
      </w:r>
      <w:r w:rsidR="009524FD">
        <w:rPr>
          <w:rStyle w:val="FootnoteReference"/>
          <w:rFonts w:ascii="Times New Roman" w:hAnsi="Times New Roman" w:cs="Times New Roman"/>
          <w:sz w:val="26"/>
          <w:szCs w:val="26"/>
        </w:rPr>
        <w:footnoteReference w:id="55"/>
      </w:r>
      <w:r>
        <w:rPr>
          <w:rFonts w:ascii="Times New Roman" w:hAnsi="Times New Roman" w:cs="Times New Roman"/>
          <w:sz w:val="26"/>
          <w:szCs w:val="26"/>
        </w:rPr>
        <w:t xml:space="preserve"> Staff</w:t>
      </w:r>
      <w:r w:rsidR="009524FD">
        <w:rPr>
          <w:rFonts w:ascii="Times New Roman" w:hAnsi="Times New Roman" w:cs="Times New Roman"/>
          <w:sz w:val="26"/>
          <w:szCs w:val="26"/>
        </w:rPr>
        <w:t xml:space="preserve">, however, supports a rider </w:t>
      </w:r>
      <w:r>
        <w:rPr>
          <w:rFonts w:ascii="Times New Roman" w:hAnsi="Times New Roman" w:cs="Times New Roman"/>
          <w:sz w:val="26"/>
          <w:szCs w:val="26"/>
        </w:rPr>
        <w:t>that would allow the Company to recover the</w:t>
      </w:r>
      <w:r w:rsidRPr="00CE018A">
        <w:rPr>
          <w:rFonts w:ascii="Times New Roman" w:hAnsi="Times New Roman" w:cs="Times New Roman"/>
          <w:sz w:val="26"/>
          <w:szCs w:val="26"/>
        </w:rPr>
        <w:t xml:space="preserve"> difference between the cost of capacity </w:t>
      </w:r>
      <w:r>
        <w:rPr>
          <w:rFonts w:ascii="Times New Roman" w:hAnsi="Times New Roman" w:cs="Times New Roman"/>
          <w:sz w:val="26"/>
          <w:szCs w:val="26"/>
        </w:rPr>
        <w:t xml:space="preserve">to be determined by the Commission in the 10-2929 case, </w:t>
      </w:r>
      <w:r w:rsidRPr="00CE018A">
        <w:rPr>
          <w:rFonts w:ascii="Times New Roman" w:hAnsi="Times New Roman" w:cs="Times New Roman"/>
          <w:sz w:val="26"/>
          <w:szCs w:val="26"/>
        </w:rPr>
        <w:t>and</w:t>
      </w:r>
      <w:r>
        <w:rPr>
          <w:rFonts w:ascii="Times New Roman" w:hAnsi="Times New Roman" w:cs="Times New Roman"/>
          <w:sz w:val="26"/>
          <w:szCs w:val="26"/>
        </w:rPr>
        <w:t xml:space="preserve"> </w:t>
      </w:r>
      <w:r w:rsidRPr="00CE018A">
        <w:rPr>
          <w:rFonts w:ascii="Times New Roman" w:hAnsi="Times New Roman" w:cs="Times New Roman"/>
          <w:sz w:val="26"/>
          <w:szCs w:val="26"/>
        </w:rPr>
        <w:t xml:space="preserve">the state-mandated rate </w:t>
      </w:r>
      <w:r w:rsidR="009524FD">
        <w:rPr>
          <w:rFonts w:ascii="Times New Roman" w:hAnsi="Times New Roman" w:cs="Times New Roman"/>
          <w:sz w:val="26"/>
          <w:szCs w:val="26"/>
        </w:rPr>
        <w:t>that</w:t>
      </w:r>
      <w:r w:rsidRPr="00CE018A">
        <w:rPr>
          <w:rFonts w:ascii="Times New Roman" w:hAnsi="Times New Roman" w:cs="Times New Roman"/>
          <w:sz w:val="26"/>
          <w:szCs w:val="26"/>
        </w:rPr>
        <w:t xml:space="preserve"> </w:t>
      </w:r>
      <w:r>
        <w:rPr>
          <w:rFonts w:ascii="Times New Roman" w:hAnsi="Times New Roman" w:cs="Times New Roman"/>
          <w:sz w:val="26"/>
          <w:szCs w:val="26"/>
        </w:rPr>
        <w:t>it</w:t>
      </w:r>
      <w:r w:rsidRPr="00CE018A">
        <w:rPr>
          <w:rFonts w:ascii="Times New Roman" w:hAnsi="Times New Roman" w:cs="Times New Roman"/>
          <w:sz w:val="26"/>
          <w:szCs w:val="26"/>
        </w:rPr>
        <w:t xml:space="preserve"> will be allowed to</w:t>
      </w:r>
      <w:r>
        <w:rPr>
          <w:rFonts w:ascii="Times New Roman" w:hAnsi="Times New Roman" w:cs="Times New Roman"/>
          <w:sz w:val="26"/>
          <w:szCs w:val="26"/>
        </w:rPr>
        <w:t xml:space="preserve"> </w:t>
      </w:r>
      <w:r w:rsidRPr="00CE018A">
        <w:rPr>
          <w:rFonts w:ascii="Times New Roman" w:hAnsi="Times New Roman" w:cs="Times New Roman"/>
          <w:sz w:val="26"/>
          <w:szCs w:val="26"/>
        </w:rPr>
        <w:t>char</w:t>
      </w:r>
      <w:r>
        <w:rPr>
          <w:rFonts w:ascii="Times New Roman" w:hAnsi="Times New Roman" w:cs="Times New Roman"/>
          <w:sz w:val="26"/>
          <w:szCs w:val="26"/>
        </w:rPr>
        <w:t xml:space="preserve">ge CRES providers for capacity. </w:t>
      </w:r>
    </w:p>
    <w:p w:rsidR="00BE229F" w:rsidRPr="00643C1B" w:rsidRDefault="00BE229F" w:rsidP="00772975">
      <w:pPr>
        <w:pStyle w:val="Heading3"/>
      </w:pPr>
      <w:bookmarkStart w:id="29" w:name="_Toc328732879"/>
      <w:r w:rsidRPr="00643C1B">
        <w:t>Discounted Capacity Charges</w:t>
      </w:r>
      <w:bookmarkEnd w:id="29"/>
    </w:p>
    <w:p w:rsidR="00BE229F" w:rsidRDefault="000068FF" w:rsidP="000068FF">
      <w:pPr>
        <w:autoSpaceDE w:val="0"/>
        <w:autoSpaceDN w:val="0"/>
        <w:adjustRightInd w:val="0"/>
        <w:spacing w:after="0" w:line="480" w:lineRule="auto"/>
        <w:ind w:firstLine="720"/>
        <w:rPr>
          <w:rFonts w:ascii="Times New Roman" w:hAnsi="Times New Roman" w:cs="Times New Roman"/>
          <w:sz w:val="26"/>
          <w:szCs w:val="26"/>
        </w:rPr>
      </w:pPr>
      <w:r w:rsidRPr="000068FF">
        <w:rPr>
          <w:rFonts w:ascii="Times New Roman" w:hAnsi="Times New Roman" w:cs="Times New Roman"/>
          <w:sz w:val="26"/>
          <w:szCs w:val="26"/>
        </w:rPr>
        <w:t xml:space="preserve">The Company proposes </w:t>
      </w:r>
      <w:r>
        <w:rPr>
          <w:rFonts w:ascii="Times New Roman" w:hAnsi="Times New Roman" w:cs="Times New Roman"/>
          <w:sz w:val="26"/>
          <w:szCs w:val="26"/>
        </w:rPr>
        <w:t>to</w:t>
      </w:r>
      <w:r w:rsidRPr="000068FF">
        <w:rPr>
          <w:rFonts w:ascii="Times New Roman" w:hAnsi="Times New Roman" w:cs="Times New Roman"/>
          <w:sz w:val="26"/>
          <w:szCs w:val="26"/>
        </w:rPr>
        <w:t xml:space="preserve"> discount capacity charges during the remaining period that </w:t>
      </w:r>
      <w:r>
        <w:rPr>
          <w:rFonts w:ascii="Times New Roman" w:hAnsi="Times New Roman" w:cs="Times New Roman"/>
          <w:sz w:val="26"/>
          <w:szCs w:val="26"/>
        </w:rPr>
        <w:t>it</w:t>
      </w:r>
      <w:r w:rsidRPr="000068FF">
        <w:rPr>
          <w:rFonts w:ascii="Times New Roman" w:hAnsi="Times New Roman" w:cs="Times New Roman"/>
          <w:sz w:val="26"/>
          <w:szCs w:val="26"/>
        </w:rPr>
        <w:t xml:space="preserve"> remains a FRR entity in the ca</w:t>
      </w:r>
      <w:r>
        <w:rPr>
          <w:rFonts w:ascii="Times New Roman" w:hAnsi="Times New Roman" w:cs="Times New Roman"/>
          <w:sz w:val="26"/>
          <w:szCs w:val="26"/>
        </w:rPr>
        <w:t xml:space="preserve">pacity market. </w:t>
      </w:r>
      <w:r w:rsidR="00BE229F" w:rsidRPr="003C72A8">
        <w:rPr>
          <w:rFonts w:ascii="Times New Roman" w:hAnsi="Times New Roman" w:cs="Times New Roman"/>
          <w:sz w:val="26"/>
          <w:szCs w:val="26"/>
        </w:rPr>
        <w:t xml:space="preserve">The Company </w:t>
      </w:r>
      <w:r>
        <w:rPr>
          <w:rFonts w:ascii="Times New Roman" w:hAnsi="Times New Roman" w:cs="Times New Roman"/>
          <w:sz w:val="26"/>
          <w:szCs w:val="26"/>
        </w:rPr>
        <w:t xml:space="preserve">also </w:t>
      </w:r>
      <w:r w:rsidR="00BE229F" w:rsidRPr="003C72A8">
        <w:rPr>
          <w:rFonts w:ascii="Times New Roman" w:hAnsi="Times New Roman" w:cs="Times New Roman"/>
          <w:sz w:val="26"/>
          <w:szCs w:val="26"/>
        </w:rPr>
        <w:t xml:space="preserve">proposes to transition to an energy auction for 100% of SSO load for delivery commencing January 2015. </w:t>
      </w:r>
      <w:r w:rsidR="00EF3DE5">
        <w:rPr>
          <w:rFonts w:ascii="Times New Roman" w:hAnsi="Times New Roman" w:cs="Times New Roman"/>
          <w:sz w:val="26"/>
          <w:szCs w:val="26"/>
        </w:rPr>
        <w:t xml:space="preserve">The </w:t>
      </w:r>
      <w:proofErr w:type="gramStart"/>
      <w:r w:rsidR="00EF3DE5">
        <w:rPr>
          <w:rFonts w:ascii="Times New Roman" w:hAnsi="Times New Roman" w:cs="Times New Roman"/>
          <w:sz w:val="26"/>
          <w:szCs w:val="26"/>
        </w:rPr>
        <w:t xml:space="preserve">Company </w:t>
      </w:r>
      <w:r w:rsidR="00BE229F" w:rsidRPr="003C72A8">
        <w:rPr>
          <w:rFonts w:ascii="Times New Roman" w:hAnsi="Times New Roman" w:cs="Times New Roman"/>
          <w:sz w:val="26"/>
          <w:szCs w:val="26"/>
        </w:rPr>
        <w:t xml:space="preserve"> is</w:t>
      </w:r>
      <w:proofErr w:type="gramEnd"/>
      <w:r w:rsidR="00BE229F" w:rsidRPr="003C72A8">
        <w:rPr>
          <w:rFonts w:ascii="Times New Roman" w:hAnsi="Times New Roman" w:cs="Times New Roman"/>
          <w:sz w:val="26"/>
          <w:szCs w:val="26"/>
        </w:rPr>
        <w:t xml:space="preserve"> also willing to engage in an energy-only, slice-of-system auction for 5% of SSO load as part of the ESP package prior to January 2015, provided that it is made whole financially. </w:t>
      </w:r>
    </w:p>
    <w:p w:rsidR="009524FD" w:rsidRPr="001D0BE1" w:rsidRDefault="009524FD" w:rsidP="001D0BE1">
      <w:pPr>
        <w:autoSpaceDE w:val="0"/>
        <w:autoSpaceDN w:val="0"/>
        <w:adjustRightInd w:val="0"/>
        <w:spacing w:after="0" w:line="480" w:lineRule="auto"/>
        <w:ind w:firstLine="720"/>
        <w:rPr>
          <w:rFonts w:ascii="Times New Roman" w:hAnsi="Times New Roman" w:cs="Times New Roman"/>
          <w:sz w:val="26"/>
          <w:szCs w:val="26"/>
        </w:rPr>
      </w:pPr>
      <w:r w:rsidRPr="001D0BE1">
        <w:rPr>
          <w:rFonts w:ascii="Times New Roman" w:hAnsi="Times New Roman" w:cs="Times New Roman"/>
          <w:sz w:val="26"/>
          <w:szCs w:val="26"/>
        </w:rPr>
        <w:t xml:space="preserve">As noted above, </w:t>
      </w:r>
      <w:r w:rsidR="00927CF2" w:rsidRPr="001D0BE1">
        <w:rPr>
          <w:rFonts w:ascii="Times New Roman" w:hAnsi="Times New Roman" w:cs="Times New Roman"/>
          <w:sz w:val="26"/>
          <w:szCs w:val="26"/>
        </w:rPr>
        <w:t>staff</w:t>
      </w:r>
      <w:r w:rsidRPr="001D0BE1">
        <w:rPr>
          <w:rFonts w:ascii="Times New Roman" w:hAnsi="Times New Roman" w:cs="Times New Roman"/>
          <w:sz w:val="26"/>
          <w:szCs w:val="26"/>
        </w:rPr>
        <w:t xml:space="preserve">’s position is that the Company should charge CRES providers the prevailing RPM capacity rates in the unconstrained region of PJM. Staff has </w:t>
      </w:r>
      <w:r w:rsidRPr="001D0BE1">
        <w:rPr>
          <w:rFonts w:ascii="Times New Roman" w:hAnsi="Times New Roman" w:cs="Times New Roman"/>
          <w:sz w:val="26"/>
          <w:szCs w:val="26"/>
        </w:rPr>
        <w:lastRenderedPageBreak/>
        <w:t xml:space="preserve">no objection to the Company offering a discount </w:t>
      </w:r>
      <w:r w:rsidR="001D0BE1">
        <w:rPr>
          <w:rFonts w:ascii="Times New Roman" w:hAnsi="Times New Roman" w:cs="Times New Roman"/>
          <w:sz w:val="26"/>
          <w:szCs w:val="26"/>
        </w:rPr>
        <w:t xml:space="preserve">from </w:t>
      </w:r>
      <w:r w:rsidR="001D0BE1" w:rsidRPr="001D0BE1">
        <w:rPr>
          <w:rFonts w:ascii="Times New Roman" w:hAnsi="Times New Roman" w:cs="Times New Roman"/>
          <w:sz w:val="26"/>
          <w:szCs w:val="26"/>
        </w:rPr>
        <w:t>the state-mandated rate which they will be allowed to</w:t>
      </w:r>
      <w:r w:rsidR="001D0BE1">
        <w:rPr>
          <w:rFonts w:ascii="Times New Roman" w:hAnsi="Times New Roman" w:cs="Times New Roman"/>
          <w:sz w:val="26"/>
          <w:szCs w:val="26"/>
        </w:rPr>
        <w:t xml:space="preserve"> </w:t>
      </w:r>
      <w:r w:rsidR="001D0BE1" w:rsidRPr="001D0BE1">
        <w:rPr>
          <w:rFonts w:ascii="Times New Roman" w:hAnsi="Times New Roman" w:cs="Times New Roman"/>
          <w:sz w:val="26"/>
          <w:szCs w:val="26"/>
        </w:rPr>
        <w:t>charge CRES providers for capacity</w:t>
      </w:r>
      <w:r w:rsidR="001D0BE1">
        <w:rPr>
          <w:rFonts w:ascii="Times New Roman" w:hAnsi="Times New Roman" w:cs="Times New Roman"/>
          <w:sz w:val="26"/>
          <w:szCs w:val="26"/>
        </w:rPr>
        <w:t>.</w:t>
      </w:r>
    </w:p>
    <w:p w:rsidR="009524FD" w:rsidRDefault="009524FD" w:rsidP="009524FD">
      <w:pPr>
        <w:pStyle w:val="textstyle0"/>
        <w:ind w:firstLine="720"/>
      </w:pPr>
      <w:r>
        <w:t xml:space="preserve">Furthermore, </w:t>
      </w:r>
      <w:r w:rsidRPr="009524FD">
        <w:t xml:space="preserve">staff certainly </w:t>
      </w:r>
      <w:r>
        <w:t>believes</w:t>
      </w:r>
      <w:r w:rsidRPr="009524FD">
        <w:t xml:space="preserve"> that the quickest possible orderly transition to full market is in the best interests of all parties and the State of Ohio as a whole. The staff would prefer to see </w:t>
      </w:r>
      <w:r>
        <w:t xml:space="preserve">the transition occur as quickly, and as completely, as practicable, and suggests that more auctions, more frequent auctions, or an auction of a considerably greater “slice” of system SSO load would be appropriate, and should be considered by the Commission. </w:t>
      </w:r>
    </w:p>
    <w:p w:rsidR="00BE229F" w:rsidRPr="003C72A8" w:rsidRDefault="00BE229F" w:rsidP="00772975">
      <w:pPr>
        <w:pStyle w:val="Heading3"/>
      </w:pPr>
      <w:bookmarkStart w:id="30" w:name="_Toc328732880"/>
      <w:r w:rsidRPr="003C72A8">
        <w:t>Distribution Rates</w:t>
      </w:r>
      <w:bookmarkEnd w:id="30"/>
    </w:p>
    <w:p w:rsidR="00BE229F" w:rsidRPr="003C72A8" w:rsidRDefault="00772975" w:rsidP="00772975">
      <w:pPr>
        <w:pStyle w:val="Heading4"/>
      </w:pPr>
      <w:bookmarkStart w:id="31" w:name="_Toc328732881"/>
      <w:r>
        <w:t>1.</w:t>
      </w:r>
      <w:r w:rsidR="00643C1B">
        <w:tab/>
      </w:r>
      <w:r w:rsidR="00BE229F" w:rsidRPr="003C72A8">
        <w:t>Distribution Investment Rider</w:t>
      </w:r>
      <w:bookmarkEnd w:id="31"/>
    </w:p>
    <w:p w:rsidR="008D052E" w:rsidRPr="003C72A8" w:rsidRDefault="00BE229F" w:rsidP="00412BDC">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The Company proposes the establishment of a Distribution Investment Rider (DIR) to provide capital funding for distribution assets needed to support distribution asset management programs, distribution capacity and infrastructure additions</w:t>
      </w:r>
      <w:r w:rsidR="00BC296E">
        <w:rPr>
          <w:rFonts w:ascii="Times New Roman" w:hAnsi="Times New Roman" w:cs="Times New Roman"/>
          <w:sz w:val="26"/>
          <w:szCs w:val="26"/>
        </w:rPr>
        <w:t>, and to</w:t>
      </w:r>
      <w:r w:rsidRPr="003C72A8">
        <w:rPr>
          <w:rFonts w:ascii="Times New Roman" w:hAnsi="Times New Roman" w:cs="Times New Roman"/>
          <w:sz w:val="26"/>
          <w:szCs w:val="26"/>
        </w:rPr>
        <w:t xml:space="preserve"> support the continued implementation of advanced technology including AEP Ohio’s </w:t>
      </w:r>
      <w:proofErr w:type="spellStart"/>
      <w:r w:rsidRPr="003C72A8">
        <w:rPr>
          <w:rFonts w:ascii="Times New Roman" w:hAnsi="Times New Roman" w:cs="Times New Roman"/>
          <w:sz w:val="26"/>
          <w:szCs w:val="26"/>
        </w:rPr>
        <w:t>gridSMART</w:t>
      </w:r>
      <w:proofErr w:type="spellEnd"/>
      <w:r w:rsidRPr="003C72A8">
        <w:rPr>
          <w:rFonts w:ascii="Times New Roman" w:hAnsi="Times New Roman" w:cs="Times New Roman"/>
          <w:sz w:val="26"/>
          <w:szCs w:val="26"/>
        </w:rPr>
        <w:t xml:space="preserve">® initiative. </w:t>
      </w:r>
      <w:r w:rsidR="00BC296E">
        <w:rPr>
          <w:rFonts w:ascii="Times New Roman" w:hAnsi="Times New Roman" w:cs="Times New Roman"/>
          <w:sz w:val="26"/>
          <w:szCs w:val="26"/>
        </w:rPr>
        <w:t>A</w:t>
      </w:r>
      <w:r w:rsidR="00C03D9B" w:rsidRPr="003C72A8">
        <w:rPr>
          <w:rFonts w:ascii="Times New Roman" w:hAnsi="Times New Roman" w:cs="Times New Roman"/>
          <w:sz w:val="26"/>
          <w:szCs w:val="26"/>
        </w:rPr>
        <w:t xml:space="preserve">s part of its determination whether to allow an ESP to include such a provision, </w:t>
      </w:r>
      <w:r w:rsidR="00BC296E" w:rsidRPr="003C72A8">
        <w:rPr>
          <w:rFonts w:ascii="Times New Roman" w:hAnsi="Times New Roman" w:cs="Times New Roman"/>
          <w:sz w:val="26"/>
          <w:szCs w:val="26"/>
        </w:rPr>
        <w:t xml:space="preserve">the Commission </w:t>
      </w:r>
      <w:r w:rsidR="00C03D9B" w:rsidRPr="003C72A8">
        <w:rPr>
          <w:rFonts w:ascii="Times New Roman" w:hAnsi="Times New Roman" w:cs="Times New Roman"/>
          <w:sz w:val="26"/>
          <w:szCs w:val="26"/>
        </w:rPr>
        <w:t>“shall examine the reliability of the electric distribution utility’s distribution system and ensure that customers’ and the electric distribution utility’s expectations are aligned and that the electric distribution utility is placing sufficient emphasis on and dedicating sufficient resources to the reliability of its distribution system.”</w:t>
      </w:r>
      <w:r w:rsidR="00BC296E">
        <w:rPr>
          <w:rStyle w:val="FootnoteReference"/>
          <w:rFonts w:ascii="Times New Roman" w:hAnsi="Times New Roman" w:cs="Times New Roman"/>
          <w:sz w:val="26"/>
          <w:szCs w:val="26"/>
        </w:rPr>
        <w:footnoteReference w:id="56"/>
      </w:r>
      <w:r w:rsidR="00C03D9B" w:rsidRPr="003C72A8">
        <w:rPr>
          <w:rFonts w:ascii="Times New Roman" w:hAnsi="Times New Roman" w:cs="Times New Roman"/>
          <w:sz w:val="26"/>
          <w:szCs w:val="26"/>
        </w:rPr>
        <w:t xml:space="preserve"> </w:t>
      </w:r>
    </w:p>
    <w:p w:rsidR="00C81A95" w:rsidRPr="003C72A8" w:rsidRDefault="00C81A95" w:rsidP="00412BDC">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lastRenderedPageBreak/>
        <w:t>Staff witness Baker testified that the Company’s 2011 reliability measures showed worse performance in 2011 when co</w:t>
      </w:r>
      <w:r w:rsidR="00BC296E">
        <w:rPr>
          <w:rFonts w:ascii="Times New Roman" w:hAnsi="Times New Roman" w:cs="Times New Roman"/>
          <w:sz w:val="26"/>
          <w:szCs w:val="26"/>
        </w:rPr>
        <w:t xml:space="preserve">mpared with the previous year. </w:t>
      </w:r>
      <w:r w:rsidRPr="003C72A8">
        <w:rPr>
          <w:rFonts w:ascii="Times New Roman" w:hAnsi="Times New Roman" w:cs="Times New Roman"/>
          <w:sz w:val="26"/>
          <w:szCs w:val="26"/>
        </w:rPr>
        <w:t xml:space="preserve">For the CSP territory, both System Average Interruption Frequency Index (SAIFI) and Customer Average Interruption Duration Index (CAIDI) performance measures worsened in 2011; and SAIFI worsened in the OP territory. In addition, the CSP territory missed one of its reliability standards in 2011. Based on these results, Mr. Baker recommended that the Commission find that OPC’s reliability expectations are </w:t>
      </w:r>
      <w:r w:rsidRPr="003C72A8">
        <w:rPr>
          <w:rFonts w:ascii="Times New Roman" w:hAnsi="Times New Roman" w:cs="Times New Roman"/>
          <w:sz w:val="26"/>
          <w:szCs w:val="26"/>
          <w:u w:val="single"/>
        </w:rPr>
        <w:t>not</w:t>
      </w:r>
      <w:r w:rsidRPr="003C72A8">
        <w:rPr>
          <w:rFonts w:ascii="Times New Roman" w:hAnsi="Times New Roman" w:cs="Times New Roman"/>
          <w:sz w:val="26"/>
          <w:szCs w:val="26"/>
        </w:rPr>
        <w:t xml:space="preserve"> currently in alignment with those of its customers.</w:t>
      </w:r>
      <w:r w:rsidR="00BC296E">
        <w:rPr>
          <w:rStyle w:val="FootnoteReference"/>
          <w:rFonts w:ascii="Times New Roman" w:hAnsi="Times New Roman" w:cs="Times New Roman"/>
          <w:sz w:val="26"/>
          <w:szCs w:val="26"/>
        </w:rPr>
        <w:footnoteReference w:id="57"/>
      </w:r>
      <w:r w:rsidR="00BC296E">
        <w:rPr>
          <w:rFonts w:ascii="Times New Roman" w:hAnsi="Times New Roman" w:cs="Times New Roman"/>
          <w:sz w:val="26"/>
          <w:szCs w:val="26"/>
        </w:rPr>
        <w:t xml:space="preserve"> </w:t>
      </w:r>
      <w:r w:rsidRPr="003C72A8">
        <w:rPr>
          <w:rFonts w:ascii="Times New Roman" w:hAnsi="Times New Roman" w:cs="Times New Roman"/>
          <w:sz w:val="26"/>
          <w:szCs w:val="26"/>
        </w:rPr>
        <w:t>Staff is</w:t>
      </w:r>
      <w:r w:rsidR="00BC296E">
        <w:rPr>
          <w:rFonts w:ascii="Times New Roman" w:hAnsi="Times New Roman" w:cs="Times New Roman"/>
          <w:sz w:val="26"/>
          <w:szCs w:val="26"/>
        </w:rPr>
        <w:t>, however,</w:t>
      </w:r>
      <w:r w:rsidRPr="003C72A8">
        <w:rPr>
          <w:rFonts w:ascii="Times New Roman" w:hAnsi="Times New Roman" w:cs="Times New Roman"/>
          <w:sz w:val="26"/>
          <w:szCs w:val="26"/>
        </w:rPr>
        <w:t xml:space="preserve"> not recommending that the Commission </w:t>
      </w:r>
      <w:r w:rsidRPr="00BC296E">
        <w:rPr>
          <w:rFonts w:ascii="Times New Roman" w:hAnsi="Times New Roman" w:cs="Times New Roman"/>
          <w:i/>
          <w:sz w:val="26"/>
          <w:szCs w:val="26"/>
        </w:rPr>
        <w:t>not</w:t>
      </w:r>
      <w:r w:rsidRPr="003C72A8">
        <w:rPr>
          <w:rFonts w:ascii="Times New Roman" w:hAnsi="Times New Roman" w:cs="Times New Roman"/>
          <w:sz w:val="26"/>
          <w:szCs w:val="26"/>
        </w:rPr>
        <w:t xml:space="preserve"> approve the DIR. It is, however, recommending that a number of conditions be imposed should it decide to do so. </w:t>
      </w:r>
    </w:p>
    <w:p w:rsidR="00C81A95" w:rsidRPr="003C72A8" w:rsidRDefault="00C81A95" w:rsidP="00412BDC">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 xml:space="preserve">As staff witness Baker testified, the </w:t>
      </w:r>
      <w:r w:rsidR="00C95E70" w:rsidRPr="003C72A8">
        <w:rPr>
          <w:rFonts w:ascii="Times New Roman" w:hAnsi="Times New Roman" w:cs="Times New Roman"/>
          <w:sz w:val="26"/>
          <w:szCs w:val="26"/>
        </w:rPr>
        <w:t>DIR lacks sufficient definition.</w:t>
      </w:r>
      <w:r w:rsidR="00BC296E">
        <w:rPr>
          <w:rStyle w:val="FootnoteReference"/>
          <w:rFonts w:ascii="Times New Roman" w:hAnsi="Times New Roman" w:cs="Times New Roman"/>
          <w:sz w:val="26"/>
          <w:szCs w:val="26"/>
        </w:rPr>
        <w:footnoteReference w:id="58"/>
      </w:r>
      <w:r w:rsidR="00C95E70" w:rsidRPr="003C72A8">
        <w:rPr>
          <w:rFonts w:ascii="Times New Roman" w:hAnsi="Times New Roman" w:cs="Times New Roman"/>
          <w:sz w:val="26"/>
          <w:szCs w:val="26"/>
        </w:rPr>
        <w:t xml:space="preserve"> Consequently, the </w:t>
      </w:r>
      <w:r w:rsidRPr="003C72A8">
        <w:rPr>
          <w:rFonts w:ascii="Times New Roman" w:hAnsi="Times New Roman" w:cs="Times New Roman"/>
          <w:sz w:val="26"/>
          <w:szCs w:val="26"/>
        </w:rPr>
        <w:t>Company should be ordered to work with the staff to develop a distribution capital plan that focuses on reliability</w:t>
      </w:r>
      <w:r w:rsidR="00C95E70" w:rsidRPr="003C72A8">
        <w:rPr>
          <w:rFonts w:ascii="Times New Roman" w:hAnsi="Times New Roman" w:cs="Times New Roman"/>
          <w:sz w:val="26"/>
          <w:szCs w:val="26"/>
        </w:rPr>
        <w:t xml:space="preserve">. </w:t>
      </w:r>
      <w:r w:rsidRPr="003C72A8">
        <w:rPr>
          <w:rFonts w:ascii="Times New Roman" w:hAnsi="Times New Roman" w:cs="Times New Roman"/>
          <w:sz w:val="26"/>
          <w:szCs w:val="26"/>
        </w:rPr>
        <w:t xml:space="preserve">This </w:t>
      </w:r>
      <w:r w:rsidR="00C95E70" w:rsidRPr="003C72A8">
        <w:rPr>
          <w:rFonts w:ascii="Times New Roman" w:hAnsi="Times New Roman" w:cs="Times New Roman"/>
          <w:sz w:val="26"/>
          <w:szCs w:val="26"/>
        </w:rPr>
        <w:t xml:space="preserve">would be </w:t>
      </w:r>
      <w:r w:rsidRPr="003C72A8">
        <w:rPr>
          <w:rFonts w:ascii="Times New Roman" w:hAnsi="Times New Roman" w:cs="Times New Roman"/>
          <w:sz w:val="26"/>
          <w:szCs w:val="26"/>
        </w:rPr>
        <w:t xml:space="preserve">consistent with the Commission’s earlier </w:t>
      </w:r>
      <w:r w:rsidR="00C95E70" w:rsidRPr="003C72A8">
        <w:rPr>
          <w:rFonts w:ascii="Times New Roman" w:hAnsi="Times New Roman" w:cs="Times New Roman"/>
          <w:sz w:val="26"/>
          <w:szCs w:val="26"/>
        </w:rPr>
        <w:t xml:space="preserve">December 14, 2011 </w:t>
      </w:r>
      <w:r w:rsidRPr="003C72A8">
        <w:rPr>
          <w:rFonts w:ascii="Times New Roman" w:hAnsi="Times New Roman" w:cs="Times New Roman"/>
          <w:sz w:val="26"/>
          <w:szCs w:val="26"/>
        </w:rPr>
        <w:t>order</w:t>
      </w:r>
      <w:r w:rsidR="00C95E70" w:rsidRPr="003C72A8">
        <w:rPr>
          <w:rFonts w:ascii="Times New Roman" w:hAnsi="Times New Roman" w:cs="Times New Roman"/>
          <w:sz w:val="26"/>
          <w:szCs w:val="26"/>
        </w:rPr>
        <w:t xml:space="preserve"> approving the since rejected stipulation. There the Commission ordered that:</w:t>
      </w:r>
    </w:p>
    <w:p w:rsidR="00C95E70" w:rsidRPr="003C72A8" w:rsidRDefault="00C95E70" w:rsidP="00412BDC">
      <w:pPr>
        <w:autoSpaceDE w:val="0"/>
        <w:autoSpaceDN w:val="0"/>
        <w:adjustRightInd w:val="0"/>
        <w:spacing w:after="360" w:line="240" w:lineRule="auto"/>
        <w:ind w:left="1440" w:right="1440"/>
        <w:rPr>
          <w:rFonts w:ascii="Times New Roman" w:hAnsi="Times New Roman" w:cs="Times New Roman"/>
          <w:sz w:val="26"/>
          <w:szCs w:val="26"/>
        </w:rPr>
      </w:pPr>
      <w:r w:rsidRPr="003C72A8">
        <w:rPr>
          <w:rFonts w:ascii="Times New Roman" w:hAnsi="Times New Roman" w:cs="Times New Roman"/>
          <w:sz w:val="26"/>
          <w:szCs w:val="26"/>
        </w:rPr>
        <w:t>Companies are ordered to work with staff to develop a plan to emphasize proactive distribution maintenance that focus spending on where it will have the greatest impact on maintaining and improving reliability for customers. . . Further, Companies shall submit its plan for Commission review in a separate docket.</w:t>
      </w:r>
      <w:r w:rsidR="00BC296E">
        <w:rPr>
          <w:rStyle w:val="FootnoteReference"/>
          <w:rFonts w:ascii="Times New Roman" w:hAnsi="Times New Roman" w:cs="Times New Roman"/>
          <w:sz w:val="26"/>
          <w:szCs w:val="26"/>
        </w:rPr>
        <w:footnoteReference w:id="59"/>
      </w:r>
    </w:p>
    <w:p w:rsidR="00C95E70" w:rsidRPr="003C72A8" w:rsidRDefault="00C95E70" w:rsidP="00412BDC">
      <w:pPr>
        <w:autoSpaceDE w:val="0"/>
        <w:autoSpaceDN w:val="0"/>
        <w:adjustRightInd w:val="0"/>
        <w:spacing w:after="0" w:line="480" w:lineRule="auto"/>
        <w:rPr>
          <w:rFonts w:ascii="Times New Roman" w:hAnsi="Times New Roman" w:cs="Times New Roman"/>
          <w:sz w:val="26"/>
          <w:szCs w:val="26"/>
        </w:rPr>
      </w:pPr>
      <w:r w:rsidRPr="003C72A8">
        <w:rPr>
          <w:rFonts w:ascii="Times New Roman" w:hAnsi="Times New Roman" w:cs="Times New Roman"/>
          <w:sz w:val="26"/>
          <w:szCs w:val="26"/>
        </w:rPr>
        <w:lastRenderedPageBreak/>
        <w:t xml:space="preserve">Staff submits that this directive remains appropriate and should be adopted if the DIR is approved. </w:t>
      </w:r>
    </w:p>
    <w:p w:rsidR="00444A8D" w:rsidRPr="003C72A8" w:rsidRDefault="00444A8D" w:rsidP="00412BDC">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 xml:space="preserve">If the DIR is approved, then the Commission should also order that the calculation include an offset or credit for accumulated deferred income taxes (ADIT). Company witness Allen testified in rebuttal that including an adjustment </w:t>
      </w:r>
      <w:r w:rsidR="00FA7C9D" w:rsidRPr="003C72A8">
        <w:rPr>
          <w:rFonts w:ascii="Times New Roman" w:hAnsi="Times New Roman" w:cs="Times New Roman"/>
          <w:sz w:val="26"/>
          <w:szCs w:val="26"/>
        </w:rPr>
        <w:t xml:space="preserve">in the DIR calculation </w:t>
      </w:r>
      <w:r w:rsidRPr="003C72A8">
        <w:rPr>
          <w:rFonts w:ascii="Times New Roman" w:hAnsi="Times New Roman" w:cs="Times New Roman"/>
          <w:sz w:val="26"/>
          <w:szCs w:val="26"/>
        </w:rPr>
        <w:t>for ADIT would be inconsistent with the revenue credit related to the DIT included in the distribution rate case settlement.</w:t>
      </w:r>
      <w:r w:rsidR="00BC296E">
        <w:rPr>
          <w:rStyle w:val="FootnoteReference"/>
          <w:rFonts w:ascii="Times New Roman" w:hAnsi="Times New Roman" w:cs="Times New Roman"/>
          <w:sz w:val="26"/>
          <w:szCs w:val="26"/>
        </w:rPr>
        <w:footnoteReference w:id="60"/>
      </w:r>
      <w:r w:rsidRPr="003C72A8">
        <w:rPr>
          <w:rFonts w:ascii="Times New Roman" w:hAnsi="Times New Roman" w:cs="Times New Roman"/>
          <w:sz w:val="26"/>
          <w:szCs w:val="26"/>
        </w:rPr>
        <w:t xml:space="preserve"> </w:t>
      </w:r>
      <w:r w:rsidR="00BC296E">
        <w:rPr>
          <w:rFonts w:ascii="Times New Roman" w:hAnsi="Times New Roman" w:cs="Times New Roman"/>
          <w:sz w:val="26"/>
          <w:szCs w:val="26"/>
        </w:rPr>
        <w:t xml:space="preserve">Even if </w:t>
      </w:r>
      <w:r w:rsidR="00FA7C9D" w:rsidRPr="003C72A8">
        <w:rPr>
          <w:rFonts w:ascii="Times New Roman" w:hAnsi="Times New Roman" w:cs="Times New Roman"/>
          <w:sz w:val="26"/>
          <w:szCs w:val="26"/>
        </w:rPr>
        <w:t xml:space="preserve">true, it is necessary to </w:t>
      </w:r>
      <w:r w:rsidR="00987582">
        <w:rPr>
          <w:rFonts w:ascii="Times New Roman" w:hAnsi="Times New Roman" w:cs="Times New Roman"/>
          <w:sz w:val="26"/>
          <w:szCs w:val="26"/>
        </w:rPr>
        <w:t>bear in mind</w:t>
      </w:r>
      <w:r w:rsidR="00FA7C9D" w:rsidRPr="003C72A8">
        <w:rPr>
          <w:rFonts w:ascii="Times New Roman" w:hAnsi="Times New Roman" w:cs="Times New Roman"/>
          <w:sz w:val="26"/>
          <w:szCs w:val="26"/>
        </w:rPr>
        <w:t xml:space="preserve"> that the distribution case revenue credit was, as Mr. Allen acknowledged, part of a settlement. The fact that it is “inconsistent” is irrelevant. T</w:t>
      </w:r>
      <w:r w:rsidRPr="003C72A8">
        <w:rPr>
          <w:rFonts w:ascii="Times New Roman" w:hAnsi="Times New Roman" w:cs="Times New Roman"/>
          <w:sz w:val="26"/>
          <w:szCs w:val="26"/>
        </w:rPr>
        <w:t xml:space="preserve">he </w:t>
      </w:r>
      <w:r w:rsidR="00FA7C9D" w:rsidRPr="003C72A8">
        <w:rPr>
          <w:rFonts w:ascii="Times New Roman" w:hAnsi="Times New Roman" w:cs="Times New Roman"/>
          <w:sz w:val="26"/>
          <w:szCs w:val="26"/>
        </w:rPr>
        <w:t>appropriate treatment, as Ms. McCarter testified, is to includ</w:t>
      </w:r>
      <w:r w:rsidR="00987582">
        <w:rPr>
          <w:rFonts w:ascii="Times New Roman" w:hAnsi="Times New Roman" w:cs="Times New Roman"/>
          <w:sz w:val="26"/>
          <w:szCs w:val="26"/>
        </w:rPr>
        <w:t>e an offset or credit for ADIT.</w:t>
      </w:r>
      <w:r w:rsidR="00987582">
        <w:rPr>
          <w:rStyle w:val="FootnoteReference"/>
          <w:rFonts w:ascii="Times New Roman" w:hAnsi="Times New Roman" w:cs="Times New Roman"/>
          <w:sz w:val="26"/>
          <w:szCs w:val="26"/>
        </w:rPr>
        <w:footnoteReference w:id="61"/>
      </w:r>
    </w:p>
    <w:p w:rsidR="00367145" w:rsidRPr="003C72A8" w:rsidRDefault="00367145" w:rsidP="00367145">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 xml:space="preserve">As discussed below, the Company proposes to expand its </w:t>
      </w:r>
      <w:proofErr w:type="spellStart"/>
      <w:r w:rsidRPr="003C72A8">
        <w:rPr>
          <w:rFonts w:ascii="Times New Roman" w:hAnsi="Times New Roman" w:cs="Times New Roman"/>
          <w:sz w:val="26"/>
          <w:szCs w:val="26"/>
        </w:rPr>
        <w:t>gridSMART</w:t>
      </w:r>
      <w:proofErr w:type="spellEnd"/>
      <w:r w:rsidRPr="003C72A8">
        <w:rPr>
          <w:rFonts w:ascii="Times New Roman" w:hAnsi="Times New Roman" w:cs="Times New Roman"/>
          <w:sz w:val="26"/>
          <w:szCs w:val="26"/>
        </w:rPr>
        <w:t xml:space="preserve"> project. It also indicated that it intends to seek recovery of some of those costs through the DIR. Staff recommends that the current </w:t>
      </w:r>
      <w:proofErr w:type="spellStart"/>
      <w:r w:rsidRPr="003C72A8">
        <w:rPr>
          <w:rFonts w:ascii="Times New Roman" w:hAnsi="Times New Roman" w:cs="Times New Roman"/>
          <w:sz w:val="26"/>
          <w:szCs w:val="26"/>
        </w:rPr>
        <w:t>gridSMART</w:t>
      </w:r>
      <w:proofErr w:type="spellEnd"/>
      <w:r w:rsidRPr="003C72A8">
        <w:rPr>
          <w:rFonts w:ascii="Times New Roman" w:hAnsi="Times New Roman" w:cs="Times New Roman"/>
          <w:sz w:val="26"/>
          <w:szCs w:val="26"/>
        </w:rPr>
        <w:t xml:space="preserve"> rider be used to capture all </w:t>
      </w:r>
      <w:proofErr w:type="spellStart"/>
      <w:r w:rsidRPr="003C72A8">
        <w:rPr>
          <w:rFonts w:ascii="Times New Roman" w:hAnsi="Times New Roman" w:cs="Times New Roman"/>
          <w:sz w:val="26"/>
          <w:szCs w:val="26"/>
        </w:rPr>
        <w:t>gridSMART</w:t>
      </w:r>
      <w:proofErr w:type="spellEnd"/>
      <w:r w:rsidRPr="003C72A8">
        <w:rPr>
          <w:rFonts w:ascii="Times New Roman" w:hAnsi="Times New Roman" w:cs="Times New Roman"/>
          <w:sz w:val="26"/>
          <w:szCs w:val="26"/>
        </w:rPr>
        <w:t xml:space="preserve"> costs, and that </w:t>
      </w:r>
      <w:proofErr w:type="spellStart"/>
      <w:r w:rsidRPr="003C72A8">
        <w:rPr>
          <w:rFonts w:ascii="Times New Roman" w:hAnsi="Times New Roman" w:cs="Times New Roman"/>
          <w:sz w:val="26"/>
          <w:szCs w:val="26"/>
        </w:rPr>
        <w:t>gridSMART</w:t>
      </w:r>
      <w:proofErr w:type="spellEnd"/>
      <w:r w:rsidRPr="003C72A8">
        <w:rPr>
          <w:rFonts w:ascii="Times New Roman" w:hAnsi="Times New Roman" w:cs="Times New Roman"/>
          <w:sz w:val="26"/>
          <w:szCs w:val="26"/>
        </w:rPr>
        <w:t xml:space="preserve"> costs not be recovered through the DIR. As staff witness McCarter testified on cross examination, limiting recovery of </w:t>
      </w:r>
      <w:proofErr w:type="spellStart"/>
      <w:r w:rsidRPr="003C72A8">
        <w:rPr>
          <w:rFonts w:ascii="Times New Roman" w:hAnsi="Times New Roman" w:cs="Times New Roman"/>
          <w:sz w:val="26"/>
          <w:szCs w:val="26"/>
        </w:rPr>
        <w:t>gridSMART</w:t>
      </w:r>
      <w:proofErr w:type="spellEnd"/>
      <w:r w:rsidRPr="003C72A8">
        <w:rPr>
          <w:rFonts w:ascii="Times New Roman" w:hAnsi="Times New Roman" w:cs="Times New Roman"/>
          <w:sz w:val="26"/>
          <w:szCs w:val="26"/>
        </w:rPr>
        <w:t xml:space="preserve"> costs to the </w:t>
      </w:r>
      <w:proofErr w:type="spellStart"/>
      <w:r w:rsidRPr="003C72A8">
        <w:rPr>
          <w:rFonts w:ascii="Times New Roman" w:hAnsi="Times New Roman" w:cs="Times New Roman"/>
          <w:sz w:val="26"/>
          <w:szCs w:val="26"/>
        </w:rPr>
        <w:t>gridSMART</w:t>
      </w:r>
      <w:proofErr w:type="spellEnd"/>
      <w:r w:rsidRPr="003C72A8">
        <w:rPr>
          <w:rFonts w:ascii="Times New Roman" w:hAnsi="Times New Roman" w:cs="Times New Roman"/>
          <w:sz w:val="26"/>
          <w:szCs w:val="26"/>
        </w:rPr>
        <w:t xml:space="preserve"> Rider would make it easier to track both expenditures and savings, and for the Commission to identify benefits associa</w:t>
      </w:r>
      <w:r w:rsidR="00987582">
        <w:rPr>
          <w:rFonts w:ascii="Times New Roman" w:hAnsi="Times New Roman" w:cs="Times New Roman"/>
          <w:sz w:val="26"/>
          <w:szCs w:val="26"/>
        </w:rPr>
        <w:t xml:space="preserve">ted with the </w:t>
      </w:r>
      <w:proofErr w:type="spellStart"/>
      <w:r w:rsidR="00987582">
        <w:rPr>
          <w:rFonts w:ascii="Times New Roman" w:hAnsi="Times New Roman" w:cs="Times New Roman"/>
          <w:sz w:val="26"/>
          <w:szCs w:val="26"/>
        </w:rPr>
        <w:t>gridSMART</w:t>
      </w:r>
      <w:proofErr w:type="spellEnd"/>
      <w:r w:rsidR="00987582">
        <w:rPr>
          <w:rFonts w:ascii="Times New Roman" w:hAnsi="Times New Roman" w:cs="Times New Roman"/>
          <w:sz w:val="26"/>
          <w:szCs w:val="26"/>
        </w:rPr>
        <w:t xml:space="preserve"> program.</w:t>
      </w:r>
      <w:r w:rsidR="00987582">
        <w:rPr>
          <w:rStyle w:val="FootnoteReference"/>
          <w:rFonts w:ascii="Times New Roman" w:hAnsi="Times New Roman" w:cs="Times New Roman"/>
          <w:sz w:val="26"/>
          <w:szCs w:val="26"/>
        </w:rPr>
        <w:footnoteReference w:id="62"/>
      </w:r>
    </w:p>
    <w:p w:rsidR="00412BDC" w:rsidRPr="003C72A8" w:rsidRDefault="00FA7C9D" w:rsidP="00412BDC">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lastRenderedPageBreak/>
        <w:t xml:space="preserve">Ms. McCarter </w:t>
      </w:r>
      <w:r w:rsidR="00367145" w:rsidRPr="003C72A8">
        <w:rPr>
          <w:rFonts w:ascii="Times New Roman" w:hAnsi="Times New Roman" w:cs="Times New Roman"/>
          <w:sz w:val="26"/>
          <w:szCs w:val="26"/>
        </w:rPr>
        <w:t xml:space="preserve">also </w:t>
      </w:r>
      <w:r w:rsidR="00412BDC" w:rsidRPr="003C72A8">
        <w:rPr>
          <w:rFonts w:ascii="Times New Roman" w:hAnsi="Times New Roman" w:cs="Times New Roman"/>
          <w:sz w:val="26"/>
          <w:szCs w:val="26"/>
        </w:rPr>
        <w:t>recommended a process for annual audits of the DIR, together with a final reconciliation, to ensure the accuracy of the quarterly filings.</w:t>
      </w:r>
      <w:r w:rsidR="00987582">
        <w:rPr>
          <w:rStyle w:val="FootnoteReference"/>
          <w:rFonts w:ascii="Times New Roman" w:hAnsi="Times New Roman" w:cs="Times New Roman"/>
          <w:sz w:val="26"/>
          <w:szCs w:val="26"/>
        </w:rPr>
        <w:footnoteReference w:id="63"/>
      </w:r>
      <w:r w:rsidR="00412BDC" w:rsidRPr="003C72A8">
        <w:rPr>
          <w:rFonts w:ascii="Times New Roman" w:hAnsi="Times New Roman" w:cs="Times New Roman"/>
          <w:sz w:val="26"/>
          <w:szCs w:val="26"/>
        </w:rPr>
        <w:t xml:space="preserve"> Staff urges the Commission to adopt it</w:t>
      </w:r>
      <w:r w:rsidR="00987582">
        <w:rPr>
          <w:rFonts w:ascii="Times New Roman" w:hAnsi="Times New Roman" w:cs="Times New Roman"/>
          <w:sz w:val="26"/>
          <w:szCs w:val="26"/>
        </w:rPr>
        <w:t>s</w:t>
      </w:r>
      <w:r w:rsidR="00412BDC" w:rsidRPr="003C72A8">
        <w:rPr>
          <w:rFonts w:ascii="Times New Roman" w:hAnsi="Times New Roman" w:cs="Times New Roman"/>
          <w:sz w:val="26"/>
          <w:szCs w:val="26"/>
        </w:rPr>
        <w:t xml:space="preserve"> recommended process. </w:t>
      </w:r>
    </w:p>
    <w:p w:rsidR="00444A8D" w:rsidRPr="003C72A8" w:rsidRDefault="00412BDC" w:rsidP="00412BDC">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Finally, staff acknowledges that the Company’s distribution rate case, Case Nos. 11-351-EL-AIR and 11-352-EL-AIR, anticipated that a DIR would be approved as part of the Company’s ESP. The parties to the since</w:t>
      </w:r>
      <w:r w:rsidR="00987582">
        <w:rPr>
          <w:rFonts w:ascii="Times New Roman" w:hAnsi="Times New Roman" w:cs="Times New Roman"/>
          <w:sz w:val="26"/>
          <w:szCs w:val="26"/>
        </w:rPr>
        <w:t>-</w:t>
      </w:r>
      <w:r w:rsidRPr="003C72A8">
        <w:rPr>
          <w:rFonts w:ascii="Times New Roman" w:hAnsi="Times New Roman" w:cs="Times New Roman"/>
          <w:sz w:val="26"/>
          <w:szCs w:val="26"/>
        </w:rPr>
        <w:t>rejected stipulation agreed to a $62.344 million customer credit to eliminate potential double counting. These credits are continuing despite the fact that the Company is not currently recovering a DIR. Consequently, the Commission should reconsider this credit if does not approve a DIR in this case.</w:t>
      </w:r>
    </w:p>
    <w:p w:rsidR="00BE229F" w:rsidRPr="003C72A8" w:rsidRDefault="00772975" w:rsidP="00772975">
      <w:pPr>
        <w:pStyle w:val="Heading4"/>
      </w:pPr>
      <w:bookmarkStart w:id="32" w:name="_Toc328732882"/>
      <w:r>
        <w:t>2.</w:t>
      </w:r>
      <w:r w:rsidR="00643C1B">
        <w:tab/>
      </w:r>
      <w:proofErr w:type="spellStart"/>
      <w:proofErr w:type="gramStart"/>
      <w:r w:rsidR="00BE229F" w:rsidRPr="003C72A8">
        <w:t>gridSMART</w:t>
      </w:r>
      <w:proofErr w:type="spellEnd"/>
      <w:proofErr w:type="gramEnd"/>
      <w:r w:rsidR="00BE229F" w:rsidRPr="003C72A8">
        <w:t xml:space="preserve"> Rider</w:t>
      </w:r>
      <w:bookmarkEnd w:id="32"/>
    </w:p>
    <w:p w:rsidR="002720FB" w:rsidRDefault="00BE229F" w:rsidP="00412BDC">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 xml:space="preserve">The </w:t>
      </w:r>
      <w:r w:rsidR="00987582">
        <w:rPr>
          <w:rFonts w:ascii="Times New Roman" w:hAnsi="Times New Roman" w:cs="Times New Roman"/>
          <w:sz w:val="26"/>
          <w:szCs w:val="26"/>
        </w:rPr>
        <w:t xml:space="preserve">proposed </w:t>
      </w:r>
      <w:r w:rsidRPr="003C72A8">
        <w:rPr>
          <w:rFonts w:ascii="Times New Roman" w:hAnsi="Times New Roman" w:cs="Times New Roman"/>
          <w:sz w:val="26"/>
          <w:szCs w:val="26"/>
        </w:rPr>
        <w:t>ESP includes continu</w:t>
      </w:r>
      <w:r w:rsidR="00987582">
        <w:rPr>
          <w:rFonts w:ascii="Times New Roman" w:hAnsi="Times New Roman" w:cs="Times New Roman"/>
          <w:sz w:val="26"/>
          <w:szCs w:val="26"/>
        </w:rPr>
        <w:t>ing</w:t>
      </w:r>
      <w:r w:rsidRPr="003C72A8">
        <w:rPr>
          <w:rFonts w:ascii="Times New Roman" w:hAnsi="Times New Roman" w:cs="Times New Roman"/>
          <w:sz w:val="26"/>
          <w:szCs w:val="26"/>
        </w:rPr>
        <w:t xml:space="preserve"> the </w:t>
      </w:r>
      <w:proofErr w:type="spellStart"/>
      <w:r w:rsidRPr="003C72A8">
        <w:rPr>
          <w:rFonts w:ascii="Times New Roman" w:hAnsi="Times New Roman" w:cs="Times New Roman"/>
          <w:sz w:val="26"/>
          <w:szCs w:val="26"/>
        </w:rPr>
        <w:t>gridSMART</w:t>
      </w:r>
      <w:proofErr w:type="spellEnd"/>
      <w:r w:rsidRPr="003C72A8">
        <w:rPr>
          <w:rFonts w:ascii="Times New Roman" w:hAnsi="Times New Roman" w:cs="Times New Roman"/>
          <w:b/>
          <w:bCs/>
          <w:sz w:val="26"/>
          <w:szCs w:val="26"/>
        </w:rPr>
        <w:t xml:space="preserve"> </w:t>
      </w:r>
      <w:r w:rsidRPr="003C72A8">
        <w:rPr>
          <w:rFonts w:ascii="Times New Roman" w:hAnsi="Times New Roman" w:cs="Times New Roman"/>
          <w:sz w:val="26"/>
          <w:szCs w:val="26"/>
        </w:rPr>
        <w:t>Rider, unified into a single set of merged rates.</w:t>
      </w:r>
      <w:r w:rsidR="00367145" w:rsidRPr="003C72A8">
        <w:rPr>
          <w:rFonts w:ascii="Times New Roman" w:hAnsi="Times New Roman" w:cs="Times New Roman"/>
          <w:sz w:val="26"/>
          <w:szCs w:val="26"/>
        </w:rPr>
        <w:t xml:space="preserve"> Staff supports the </w:t>
      </w:r>
      <w:proofErr w:type="spellStart"/>
      <w:r w:rsidR="00367145" w:rsidRPr="003C72A8">
        <w:rPr>
          <w:rFonts w:ascii="Times New Roman" w:hAnsi="Times New Roman" w:cs="Times New Roman"/>
          <w:sz w:val="26"/>
          <w:szCs w:val="26"/>
        </w:rPr>
        <w:t>gridSMART</w:t>
      </w:r>
      <w:proofErr w:type="spellEnd"/>
      <w:r w:rsidR="00367145" w:rsidRPr="003C72A8">
        <w:rPr>
          <w:rFonts w:ascii="Times New Roman" w:hAnsi="Times New Roman" w:cs="Times New Roman"/>
          <w:sz w:val="26"/>
          <w:szCs w:val="26"/>
        </w:rPr>
        <w:t xml:space="preserve"> project.</w:t>
      </w:r>
      <w:r w:rsidR="002720FB">
        <w:rPr>
          <w:rStyle w:val="FootnoteReference"/>
          <w:rFonts w:ascii="Times New Roman" w:hAnsi="Times New Roman" w:cs="Times New Roman"/>
          <w:sz w:val="26"/>
          <w:szCs w:val="26"/>
        </w:rPr>
        <w:footnoteReference w:id="64"/>
      </w:r>
      <w:r w:rsidR="00367145" w:rsidRPr="003C72A8">
        <w:rPr>
          <w:rFonts w:ascii="Times New Roman" w:hAnsi="Times New Roman" w:cs="Times New Roman"/>
          <w:sz w:val="26"/>
          <w:szCs w:val="26"/>
        </w:rPr>
        <w:t xml:space="preserve"> </w:t>
      </w:r>
      <w:r w:rsidRPr="003C72A8">
        <w:rPr>
          <w:rFonts w:ascii="Times New Roman" w:hAnsi="Times New Roman" w:cs="Times New Roman"/>
          <w:sz w:val="26"/>
          <w:szCs w:val="26"/>
        </w:rPr>
        <w:t xml:space="preserve">While staff supports the continuation of the </w:t>
      </w:r>
      <w:proofErr w:type="spellStart"/>
      <w:r w:rsidRPr="003C72A8">
        <w:rPr>
          <w:rFonts w:ascii="Times New Roman" w:hAnsi="Times New Roman" w:cs="Times New Roman"/>
          <w:sz w:val="26"/>
          <w:szCs w:val="26"/>
        </w:rPr>
        <w:t>gridSMART</w:t>
      </w:r>
      <w:proofErr w:type="spellEnd"/>
      <w:r w:rsidRPr="003C72A8">
        <w:rPr>
          <w:rFonts w:ascii="Times New Roman" w:hAnsi="Times New Roman" w:cs="Times New Roman"/>
          <w:sz w:val="26"/>
          <w:szCs w:val="26"/>
        </w:rPr>
        <w:t xml:space="preserve"> Rider, it does not support expansion of the program, generally, until the results from Phase I have been reviewed and analyzed. It is staff’s recommendation that the results of Phase I be reviewed to determine what has worked well and what components of the pilot program could be improved before the Company is permitted to progress to a wider deployment.</w:t>
      </w:r>
      <w:r w:rsidR="002720FB">
        <w:rPr>
          <w:rStyle w:val="FootnoteReference"/>
          <w:rFonts w:ascii="Times New Roman" w:hAnsi="Times New Roman" w:cs="Times New Roman"/>
          <w:sz w:val="26"/>
          <w:szCs w:val="26"/>
        </w:rPr>
        <w:footnoteReference w:id="65"/>
      </w:r>
      <w:r w:rsidRPr="003C72A8">
        <w:rPr>
          <w:rFonts w:ascii="Times New Roman" w:hAnsi="Times New Roman" w:cs="Times New Roman"/>
          <w:sz w:val="26"/>
          <w:szCs w:val="26"/>
        </w:rPr>
        <w:t xml:space="preserve"> Staff is aware that the scope of the pilot </w:t>
      </w:r>
      <w:r w:rsidRPr="003C72A8">
        <w:rPr>
          <w:rFonts w:ascii="Times New Roman" w:hAnsi="Times New Roman" w:cs="Times New Roman"/>
          <w:sz w:val="26"/>
          <w:szCs w:val="26"/>
        </w:rPr>
        <w:lastRenderedPageBreak/>
        <w:t xml:space="preserve">has already been expanded to allow the Company to leverage American Reinvestment Recovery Act (ARRA) Smart Grid Demonstration Project funds. But no further expansion of the project should be approved until the Phase I Pilot project is completed. </w:t>
      </w:r>
    </w:p>
    <w:p w:rsidR="002720FB" w:rsidRPr="002720FB" w:rsidRDefault="00BE229F" w:rsidP="002720FB">
      <w:pPr>
        <w:autoSpaceDE w:val="0"/>
        <w:autoSpaceDN w:val="0"/>
        <w:adjustRightInd w:val="0"/>
        <w:spacing w:after="0" w:line="480" w:lineRule="auto"/>
        <w:ind w:firstLine="720"/>
        <w:rPr>
          <w:rFonts w:ascii="Times New Roman" w:hAnsi="Times New Roman" w:cs="Times New Roman"/>
          <w:sz w:val="26"/>
          <w:szCs w:val="26"/>
        </w:rPr>
      </w:pPr>
      <w:r w:rsidRPr="002720FB">
        <w:rPr>
          <w:rFonts w:ascii="Times New Roman" w:hAnsi="Times New Roman" w:cs="Times New Roman"/>
          <w:sz w:val="26"/>
          <w:szCs w:val="26"/>
        </w:rPr>
        <w:t>In addition, neither the total costs nor the benefits of further deployment have been defined satisfactorily for staff. As staff witness Cleaver testified, the Company has previously stated that it needs additional research and experience, and additional time to study the benefits and customer acceptance, of certain technologies and programs before expanding.</w:t>
      </w:r>
      <w:r w:rsidR="002720FB">
        <w:rPr>
          <w:rStyle w:val="FootnoteReference"/>
          <w:rFonts w:ascii="Times New Roman" w:hAnsi="Times New Roman" w:cs="Times New Roman"/>
          <w:sz w:val="26"/>
          <w:szCs w:val="26"/>
        </w:rPr>
        <w:footnoteReference w:id="66"/>
      </w:r>
      <w:r w:rsidRPr="002720FB">
        <w:rPr>
          <w:rFonts w:ascii="Times New Roman" w:hAnsi="Times New Roman" w:cs="Times New Roman"/>
          <w:sz w:val="26"/>
          <w:szCs w:val="26"/>
        </w:rPr>
        <w:t xml:space="preserve"> </w:t>
      </w:r>
    </w:p>
    <w:p w:rsidR="002720FB" w:rsidRPr="002720FB" w:rsidRDefault="002720FB" w:rsidP="002720FB">
      <w:pPr>
        <w:autoSpaceDE w:val="0"/>
        <w:autoSpaceDN w:val="0"/>
        <w:adjustRightInd w:val="0"/>
        <w:spacing w:after="0" w:line="480" w:lineRule="auto"/>
        <w:ind w:firstLine="720"/>
        <w:rPr>
          <w:rFonts w:ascii="Times New Roman" w:hAnsi="Times New Roman" w:cs="Times New Roman"/>
          <w:sz w:val="26"/>
          <w:szCs w:val="26"/>
        </w:rPr>
      </w:pPr>
      <w:r>
        <w:rPr>
          <w:rFonts w:ascii="Times New Roman" w:hAnsi="Times New Roman" w:cs="Times New Roman"/>
          <w:sz w:val="26"/>
          <w:szCs w:val="26"/>
        </w:rPr>
        <w:t>Staff witness Scheck testified that</w:t>
      </w:r>
      <w:r w:rsidRPr="002720FB">
        <w:rPr>
          <w:rFonts w:ascii="Times New Roman" w:hAnsi="Times New Roman" w:cs="Times New Roman"/>
          <w:sz w:val="26"/>
          <w:szCs w:val="26"/>
        </w:rPr>
        <w:t xml:space="preserve"> the data collection is not expected to be completed until December 31, 2013, with the analysis of that data not expected to be completed until March 31, 2014.</w:t>
      </w:r>
      <w:r>
        <w:rPr>
          <w:rStyle w:val="FootnoteReference"/>
          <w:rFonts w:ascii="Times New Roman" w:hAnsi="Times New Roman" w:cs="Times New Roman"/>
          <w:sz w:val="26"/>
          <w:szCs w:val="26"/>
        </w:rPr>
        <w:footnoteReference w:id="67"/>
      </w:r>
      <w:r w:rsidRPr="002720FB">
        <w:rPr>
          <w:rFonts w:ascii="Times New Roman" w:hAnsi="Times New Roman" w:cs="Times New Roman"/>
          <w:sz w:val="26"/>
          <w:szCs w:val="26"/>
        </w:rPr>
        <w:t xml:space="preserve"> </w:t>
      </w:r>
      <w:r>
        <w:rPr>
          <w:rFonts w:ascii="Times New Roman" w:hAnsi="Times New Roman" w:cs="Times New Roman"/>
          <w:sz w:val="26"/>
          <w:szCs w:val="26"/>
        </w:rPr>
        <w:t xml:space="preserve">Nonetheless, he indicated that </w:t>
      </w:r>
      <w:r w:rsidR="00927CF2">
        <w:rPr>
          <w:rFonts w:ascii="Times New Roman" w:hAnsi="Times New Roman" w:cs="Times New Roman"/>
          <w:sz w:val="26"/>
          <w:szCs w:val="26"/>
        </w:rPr>
        <w:t>staff</w:t>
      </w:r>
      <w:r w:rsidRPr="002720FB">
        <w:rPr>
          <w:rFonts w:ascii="Times New Roman" w:hAnsi="Times New Roman" w:cs="Times New Roman"/>
          <w:sz w:val="26"/>
          <w:szCs w:val="26"/>
        </w:rPr>
        <w:t xml:space="preserve"> thinks that it would be acceptable to allow the Company to go forward with other phases of the project</w:t>
      </w:r>
      <w:r>
        <w:rPr>
          <w:rFonts w:ascii="Times New Roman" w:hAnsi="Times New Roman" w:cs="Times New Roman"/>
          <w:sz w:val="26"/>
          <w:szCs w:val="26"/>
        </w:rPr>
        <w:t xml:space="preserve"> provided that there </w:t>
      </w:r>
      <w:r w:rsidRPr="002720FB">
        <w:rPr>
          <w:rFonts w:ascii="Times New Roman" w:hAnsi="Times New Roman" w:cs="Times New Roman"/>
          <w:sz w:val="26"/>
          <w:szCs w:val="26"/>
        </w:rPr>
        <w:t xml:space="preserve">are </w:t>
      </w:r>
      <w:r>
        <w:rPr>
          <w:rFonts w:ascii="Times New Roman" w:hAnsi="Times New Roman" w:cs="Times New Roman"/>
          <w:sz w:val="26"/>
          <w:szCs w:val="26"/>
        </w:rPr>
        <w:t xml:space="preserve">no </w:t>
      </w:r>
      <w:r w:rsidRPr="002720FB">
        <w:rPr>
          <w:rFonts w:ascii="Times New Roman" w:hAnsi="Times New Roman" w:cs="Times New Roman"/>
          <w:sz w:val="26"/>
          <w:szCs w:val="26"/>
        </w:rPr>
        <w:t>other issues, such as security and interoperability, that need to be in compliance with the NISTER guidelines and/or standards before proceed</w:t>
      </w:r>
      <w:r>
        <w:rPr>
          <w:rFonts w:ascii="Times New Roman" w:hAnsi="Times New Roman" w:cs="Times New Roman"/>
          <w:sz w:val="26"/>
          <w:szCs w:val="26"/>
        </w:rPr>
        <w:t xml:space="preserve">ing. </w:t>
      </w:r>
      <w:r w:rsidRPr="002720FB">
        <w:rPr>
          <w:rFonts w:ascii="Times New Roman" w:hAnsi="Times New Roman" w:cs="Times New Roman"/>
          <w:sz w:val="26"/>
          <w:szCs w:val="26"/>
        </w:rPr>
        <w:t>I</w:t>
      </w:r>
      <w:r>
        <w:rPr>
          <w:rFonts w:ascii="Times New Roman" w:hAnsi="Times New Roman" w:cs="Times New Roman"/>
          <w:sz w:val="26"/>
          <w:szCs w:val="26"/>
        </w:rPr>
        <w:t>n addition, Mr. Scheck recommended that</w:t>
      </w:r>
      <w:r w:rsidRPr="002720FB">
        <w:rPr>
          <w:rFonts w:ascii="Times New Roman" w:hAnsi="Times New Roman" w:cs="Times New Roman"/>
          <w:sz w:val="26"/>
          <w:szCs w:val="26"/>
        </w:rPr>
        <w:t xml:space="preserve"> proven distribution investment</w:t>
      </w:r>
      <w:r>
        <w:rPr>
          <w:rFonts w:ascii="Times New Roman" w:hAnsi="Times New Roman" w:cs="Times New Roman"/>
          <w:sz w:val="26"/>
          <w:szCs w:val="26"/>
        </w:rPr>
        <w:t>s</w:t>
      </w:r>
      <w:r w:rsidRPr="002720FB">
        <w:rPr>
          <w:rFonts w:ascii="Times New Roman" w:hAnsi="Times New Roman" w:cs="Times New Roman"/>
          <w:sz w:val="26"/>
          <w:szCs w:val="26"/>
        </w:rPr>
        <w:t xml:space="preserve"> such as volt-</w:t>
      </w:r>
      <w:proofErr w:type="spellStart"/>
      <w:r w:rsidRPr="002720FB">
        <w:rPr>
          <w:rFonts w:ascii="Times New Roman" w:hAnsi="Times New Roman" w:cs="Times New Roman"/>
          <w:sz w:val="26"/>
          <w:szCs w:val="26"/>
        </w:rPr>
        <w:t>var</w:t>
      </w:r>
      <w:proofErr w:type="spellEnd"/>
      <w:r w:rsidRPr="002720FB">
        <w:rPr>
          <w:rFonts w:ascii="Times New Roman" w:hAnsi="Times New Roman" w:cs="Times New Roman"/>
          <w:sz w:val="26"/>
          <w:szCs w:val="26"/>
        </w:rPr>
        <w:t xml:space="preserve"> c</w:t>
      </w:r>
      <w:r>
        <w:rPr>
          <w:rFonts w:ascii="Times New Roman" w:hAnsi="Times New Roman" w:cs="Times New Roman"/>
          <w:sz w:val="26"/>
          <w:szCs w:val="26"/>
        </w:rPr>
        <w:t xml:space="preserve">ould </w:t>
      </w:r>
      <w:r w:rsidRPr="002720FB">
        <w:rPr>
          <w:rFonts w:ascii="Times New Roman" w:hAnsi="Times New Roman" w:cs="Times New Roman"/>
          <w:sz w:val="26"/>
          <w:szCs w:val="26"/>
        </w:rPr>
        <w:t>proceed independently o</w:t>
      </w:r>
      <w:r>
        <w:rPr>
          <w:rFonts w:ascii="Times New Roman" w:hAnsi="Times New Roman" w:cs="Times New Roman"/>
          <w:sz w:val="26"/>
          <w:szCs w:val="26"/>
        </w:rPr>
        <w:t xml:space="preserve">f the </w:t>
      </w:r>
      <w:proofErr w:type="spellStart"/>
      <w:r>
        <w:rPr>
          <w:rFonts w:ascii="Times New Roman" w:hAnsi="Times New Roman" w:cs="Times New Roman"/>
          <w:sz w:val="26"/>
          <w:szCs w:val="26"/>
        </w:rPr>
        <w:t>gridSMART</w:t>
      </w:r>
      <w:proofErr w:type="spellEnd"/>
      <w:r>
        <w:rPr>
          <w:rFonts w:ascii="Times New Roman" w:hAnsi="Times New Roman" w:cs="Times New Roman"/>
          <w:sz w:val="26"/>
          <w:szCs w:val="26"/>
        </w:rPr>
        <w:t xml:space="preserve"> project itself</w:t>
      </w:r>
      <w:r w:rsidRPr="002720FB">
        <w:rPr>
          <w:rFonts w:ascii="Times New Roman" w:hAnsi="Times New Roman" w:cs="Times New Roman"/>
          <w:sz w:val="26"/>
          <w:szCs w:val="26"/>
        </w:rPr>
        <w:t>.</w:t>
      </w:r>
      <w:r>
        <w:rPr>
          <w:rStyle w:val="FootnoteReference"/>
          <w:rFonts w:ascii="Times New Roman" w:hAnsi="Times New Roman" w:cs="Times New Roman"/>
          <w:sz w:val="26"/>
          <w:szCs w:val="26"/>
        </w:rPr>
        <w:footnoteReference w:id="68"/>
      </w:r>
      <w:r w:rsidRPr="002720FB">
        <w:rPr>
          <w:rFonts w:ascii="Times New Roman" w:hAnsi="Times New Roman" w:cs="Times New Roman"/>
          <w:sz w:val="26"/>
          <w:szCs w:val="26"/>
        </w:rPr>
        <w:t xml:space="preserve">  </w:t>
      </w:r>
    </w:p>
    <w:p w:rsidR="00BE229F" w:rsidRPr="003C72A8" w:rsidRDefault="00772975" w:rsidP="00772975">
      <w:pPr>
        <w:pStyle w:val="Heading4"/>
      </w:pPr>
      <w:bookmarkStart w:id="33" w:name="_Toc328732883"/>
      <w:r>
        <w:lastRenderedPageBreak/>
        <w:t>3.</w:t>
      </w:r>
      <w:r w:rsidR="00643C1B">
        <w:tab/>
      </w:r>
      <w:r w:rsidR="00BE229F" w:rsidRPr="003C72A8">
        <w:t>Enhanced Service Reliability Rider</w:t>
      </w:r>
      <w:bookmarkEnd w:id="33"/>
    </w:p>
    <w:p w:rsidR="00BE229F" w:rsidRPr="003C72A8" w:rsidRDefault="00BE229F" w:rsidP="00412BDC">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 xml:space="preserve">The ESP includes continuation of </w:t>
      </w:r>
      <w:r w:rsidR="00987582">
        <w:rPr>
          <w:rFonts w:ascii="Times New Roman" w:hAnsi="Times New Roman" w:cs="Times New Roman"/>
          <w:sz w:val="26"/>
          <w:szCs w:val="26"/>
        </w:rPr>
        <w:t>the</w:t>
      </w:r>
      <w:r w:rsidRPr="003C72A8">
        <w:rPr>
          <w:rFonts w:ascii="Times New Roman" w:hAnsi="Times New Roman" w:cs="Times New Roman"/>
          <w:sz w:val="26"/>
          <w:szCs w:val="26"/>
        </w:rPr>
        <w:t xml:space="preserve"> Enhanced Service Reliability Rider (ESRR), unified for each rate zone into a single set of merged rates. The ESRR enables </w:t>
      </w:r>
      <w:r w:rsidR="00987582">
        <w:rPr>
          <w:rFonts w:ascii="Times New Roman" w:hAnsi="Times New Roman" w:cs="Times New Roman"/>
          <w:sz w:val="26"/>
          <w:szCs w:val="26"/>
        </w:rPr>
        <w:t>the Company</w:t>
      </w:r>
      <w:r w:rsidRPr="003C72A8">
        <w:rPr>
          <w:rFonts w:ascii="Times New Roman" w:hAnsi="Times New Roman" w:cs="Times New Roman"/>
          <w:sz w:val="26"/>
          <w:szCs w:val="26"/>
        </w:rPr>
        <w:t xml:space="preserve"> to recover the incremental costs associated with transitioning to a cyclical-based vegetation management program. </w:t>
      </w:r>
    </w:p>
    <w:p w:rsidR="00BE229F" w:rsidRPr="003C72A8" w:rsidRDefault="00BE229F" w:rsidP="00412BDC">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Staff supports continuation of the ESRR, but only through 2014. Staff recommends that the ESRR should not recover costs incurred after the end of 2014.</w:t>
      </w:r>
      <w:r w:rsidR="00987582">
        <w:rPr>
          <w:rStyle w:val="FootnoteReference"/>
          <w:rFonts w:ascii="Times New Roman" w:hAnsi="Times New Roman" w:cs="Times New Roman"/>
          <w:sz w:val="26"/>
          <w:szCs w:val="26"/>
        </w:rPr>
        <w:footnoteReference w:id="69"/>
      </w:r>
      <w:r w:rsidRPr="003C72A8">
        <w:rPr>
          <w:rFonts w:ascii="Times New Roman" w:hAnsi="Times New Roman" w:cs="Times New Roman"/>
          <w:sz w:val="26"/>
          <w:szCs w:val="26"/>
        </w:rPr>
        <w:t xml:space="preserve"> As of the end of 2014, OPC will have completed its transition to, and will begin regular maintenance on, a four-year cycle vegetation management program. While the ESSR allowed accelerated cost recovery during the transition, the return to normal operations should be recovered through base rates.  </w:t>
      </w:r>
    </w:p>
    <w:p w:rsidR="00BE229F" w:rsidRPr="003C72A8" w:rsidRDefault="00BE229F" w:rsidP="00412BDC">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Staff further submits that the base rates established in the Company’s most recent distribution rate case establish an appropriate funding level for ongoing vegetation management. Further, however, those rates reflect an increase in O&amp;M expense recovery for vegetation management that justifies a reduction of the proposed ESSR. The stipulation approved by the Commission’s order in Case Nos. 11-351-EL-AIR and 11-352-EL-AIR effectively granted the Company an additional $17.8 million in annual O&amp;M expense recovery to support its planned four-year cycle vegetation management program.</w:t>
      </w:r>
      <w:r w:rsidR="00987582">
        <w:rPr>
          <w:rStyle w:val="FootnoteReference"/>
          <w:rFonts w:ascii="Times New Roman" w:hAnsi="Times New Roman" w:cs="Times New Roman"/>
          <w:sz w:val="26"/>
          <w:szCs w:val="26"/>
        </w:rPr>
        <w:footnoteReference w:id="70"/>
      </w:r>
      <w:r w:rsidRPr="003C72A8">
        <w:rPr>
          <w:rFonts w:ascii="Times New Roman" w:hAnsi="Times New Roman" w:cs="Times New Roman"/>
          <w:sz w:val="26"/>
          <w:szCs w:val="26"/>
        </w:rPr>
        <w:t xml:space="preserve"> Consequently, the ESSR as proposed overstates the remaining cost of the </w:t>
      </w:r>
      <w:r w:rsidRPr="003C72A8">
        <w:rPr>
          <w:rFonts w:ascii="Times New Roman" w:hAnsi="Times New Roman" w:cs="Times New Roman"/>
          <w:sz w:val="26"/>
          <w:szCs w:val="26"/>
        </w:rPr>
        <w:lastRenderedPageBreak/>
        <w:t>transition to be incurred for the years 2012 through 2014, and should be reduced, by $17.8 million.</w:t>
      </w:r>
    </w:p>
    <w:p w:rsidR="00BE229F" w:rsidRPr="003C72A8" w:rsidRDefault="00BE229F" w:rsidP="00412BDC">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 xml:space="preserve">To ensure that </w:t>
      </w:r>
      <w:r w:rsidR="00EF3DE5">
        <w:rPr>
          <w:rFonts w:ascii="Times New Roman" w:hAnsi="Times New Roman" w:cs="Times New Roman"/>
          <w:sz w:val="26"/>
          <w:szCs w:val="26"/>
        </w:rPr>
        <w:t>the Company</w:t>
      </w:r>
      <w:r w:rsidRPr="003C72A8">
        <w:rPr>
          <w:rFonts w:ascii="Times New Roman" w:hAnsi="Times New Roman" w:cs="Times New Roman"/>
          <w:sz w:val="26"/>
          <w:szCs w:val="26"/>
        </w:rPr>
        <w:t xml:space="preserve"> will continue to use the additional vegetation management O&amp;M that was included in base rates, staff recommends that the Commission order </w:t>
      </w:r>
      <w:r w:rsidR="00EF3DE5">
        <w:rPr>
          <w:rFonts w:ascii="Times New Roman" w:hAnsi="Times New Roman" w:cs="Times New Roman"/>
          <w:sz w:val="26"/>
          <w:szCs w:val="26"/>
        </w:rPr>
        <w:t>the Company</w:t>
      </w:r>
      <w:r w:rsidRPr="003C72A8">
        <w:rPr>
          <w:rFonts w:ascii="Times New Roman" w:hAnsi="Times New Roman" w:cs="Times New Roman"/>
          <w:sz w:val="26"/>
          <w:szCs w:val="26"/>
        </w:rPr>
        <w:t xml:space="preserve"> to file, before 2014, a revised vegetation management program that commits </w:t>
      </w:r>
      <w:r w:rsidR="00EF3DE5">
        <w:rPr>
          <w:rFonts w:ascii="Times New Roman" w:hAnsi="Times New Roman" w:cs="Times New Roman"/>
          <w:sz w:val="26"/>
          <w:szCs w:val="26"/>
        </w:rPr>
        <w:t>the Company</w:t>
      </w:r>
      <w:r w:rsidRPr="003C72A8">
        <w:rPr>
          <w:rFonts w:ascii="Times New Roman" w:hAnsi="Times New Roman" w:cs="Times New Roman"/>
          <w:sz w:val="26"/>
          <w:szCs w:val="26"/>
        </w:rPr>
        <w:t xml:space="preserve"> to complete end-to-end trimming on all of its distribution circuits every four years beginning in 2014.</w:t>
      </w:r>
    </w:p>
    <w:p w:rsidR="00FA13AE" w:rsidRDefault="00FA13AE">
      <w:pPr>
        <w:rPr>
          <w:rFonts w:ascii="Times New Roman" w:hAnsi="Times New Roman" w:cs="Times New Roman"/>
          <w:b/>
          <w:bCs/>
          <w:sz w:val="26"/>
          <w:szCs w:val="26"/>
        </w:rPr>
      </w:pPr>
      <w:r>
        <w:rPr>
          <w:rFonts w:ascii="Times New Roman" w:hAnsi="Times New Roman" w:cs="Times New Roman"/>
          <w:b/>
          <w:bCs/>
          <w:sz w:val="26"/>
          <w:szCs w:val="26"/>
        </w:rPr>
        <w:br w:type="page"/>
      </w:r>
    </w:p>
    <w:p w:rsidR="00BE229F" w:rsidRPr="003C72A8" w:rsidRDefault="00BE229F" w:rsidP="00772975">
      <w:pPr>
        <w:pStyle w:val="Heading3"/>
      </w:pPr>
      <w:bookmarkStart w:id="34" w:name="_Toc328732884"/>
      <w:r w:rsidRPr="003C72A8">
        <w:lastRenderedPageBreak/>
        <w:t>Energy Efficiency/Peak Demand Reduction Rider</w:t>
      </w:r>
      <w:bookmarkEnd w:id="34"/>
    </w:p>
    <w:p w:rsidR="00BE229F" w:rsidRPr="003C72A8" w:rsidRDefault="00BE229F" w:rsidP="00080FB6">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 xml:space="preserve">The ESP includes modification and continuation of </w:t>
      </w:r>
      <w:proofErr w:type="gramStart"/>
      <w:r w:rsidRPr="003C72A8">
        <w:rPr>
          <w:rFonts w:ascii="Times New Roman" w:hAnsi="Times New Roman" w:cs="Times New Roman"/>
          <w:sz w:val="26"/>
          <w:szCs w:val="26"/>
        </w:rPr>
        <w:t>a</w:t>
      </w:r>
      <w:proofErr w:type="gramEnd"/>
      <w:r w:rsidRPr="003C72A8">
        <w:rPr>
          <w:rFonts w:ascii="Times New Roman" w:hAnsi="Times New Roman" w:cs="Times New Roman"/>
          <w:sz w:val="26"/>
          <w:szCs w:val="26"/>
        </w:rPr>
        <w:t xml:space="preserve"> Energy Efficiency/ Peak Demand Reduction Rider (EE/PDR), unified for each rate zone into a single set of merged rates.</w:t>
      </w:r>
      <w:r w:rsidR="00080FB6" w:rsidRPr="003C72A8">
        <w:rPr>
          <w:rFonts w:ascii="Times New Roman" w:hAnsi="Times New Roman" w:cs="Times New Roman"/>
          <w:sz w:val="26"/>
          <w:szCs w:val="26"/>
        </w:rPr>
        <w:t xml:space="preserve"> Staff supports the Company’s proposal. </w:t>
      </w:r>
    </w:p>
    <w:p w:rsidR="00BE229F" w:rsidRPr="003C72A8" w:rsidRDefault="00BE229F" w:rsidP="00772975">
      <w:pPr>
        <w:pStyle w:val="Heading3"/>
      </w:pPr>
      <w:bookmarkStart w:id="35" w:name="_Toc328732885"/>
      <w:r w:rsidRPr="003C72A8">
        <w:t>Economic Development Rider</w:t>
      </w:r>
      <w:bookmarkEnd w:id="35"/>
    </w:p>
    <w:p w:rsidR="00BE229F" w:rsidRPr="003C72A8" w:rsidRDefault="00BE229F" w:rsidP="00080FB6">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 xml:space="preserve">The ESP includes continuation and modification of a </w:t>
      </w:r>
      <w:proofErr w:type="spellStart"/>
      <w:r w:rsidRPr="003C72A8">
        <w:rPr>
          <w:rFonts w:ascii="Times New Roman" w:hAnsi="Times New Roman" w:cs="Times New Roman"/>
          <w:sz w:val="26"/>
          <w:szCs w:val="26"/>
        </w:rPr>
        <w:t>nonbypassable</w:t>
      </w:r>
      <w:proofErr w:type="spellEnd"/>
      <w:r w:rsidRPr="003C72A8">
        <w:rPr>
          <w:rFonts w:ascii="Times New Roman" w:hAnsi="Times New Roman" w:cs="Times New Roman"/>
          <w:sz w:val="26"/>
          <w:szCs w:val="26"/>
        </w:rPr>
        <w:t xml:space="preserve"> Economic Development Rider (EDR), unified for each rate zone into a single set of merged rates.</w:t>
      </w:r>
      <w:r w:rsidR="00080FB6" w:rsidRPr="003C72A8">
        <w:rPr>
          <w:rFonts w:ascii="Times New Roman" w:hAnsi="Times New Roman" w:cs="Times New Roman"/>
          <w:sz w:val="26"/>
          <w:szCs w:val="26"/>
        </w:rPr>
        <w:t xml:space="preserve"> Staff supports the Company’s proposal.</w:t>
      </w:r>
    </w:p>
    <w:p w:rsidR="00BE229F" w:rsidRPr="003C72A8" w:rsidRDefault="00BE229F" w:rsidP="00772975">
      <w:pPr>
        <w:pStyle w:val="Heading2"/>
      </w:pPr>
      <w:bookmarkStart w:id="36" w:name="_Toc328732886"/>
      <w:r w:rsidRPr="003C72A8">
        <w:t>New Accounting Deferrals and Recovery of Existing Regulatory Assets</w:t>
      </w:r>
      <w:bookmarkEnd w:id="36"/>
    </w:p>
    <w:p w:rsidR="00BE229F" w:rsidRPr="003C72A8" w:rsidRDefault="00BE229F" w:rsidP="00855AFC">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 xml:space="preserve">The Company filed Case Nos. 11-4920-EL-RDR and 11-4921-EL-RDR to establish </w:t>
      </w:r>
      <w:r w:rsidR="004D4930" w:rsidRPr="003C72A8">
        <w:rPr>
          <w:rFonts w:ascii="Times New Roman" w:hAnsi="Times New Roman" w:cs="Times New Roman"/>
          <w:sz w:val="26"/>
          <w:szCs w:val="26"/>
        </w:rPr>
        <w:t>a non-</w:t>
      </w:r>
      <w:proofErr w:type="spellStart"/>
      <w:r w:rsidR="004D4930" w:rsidRPr="003C72A8">
        <w:rPr>
          <w:rFonts w:ascii="Times New Roman" w:hAnsi="Times New Roman" w:cs="Times New Roman"/>
          <w:sz w:val="26"/>
          <w:szCs w:val="26"/>
        </w:rPr>
        <w:t>bypassable</w:t>
      </w:r>
      <w:proofErr w:type="spellEnd"/>
      <w:r w:rsidR="004D4930" w:rsidRPr="003C72A8">
        <w:rPr>
          <w:rFonts w:ascii="Times New Roman" w:hAnsi="Times New Roman" w:cs="Times New Roman"/>
          <w:sz w:val="26"/>
          <w:szCs w:val="26"/>
        </w:rPr>
        <w:t xml:space="preserve"> Phase-</w:t>
      </w:r>
      <w:r w:rsidRPr="003C72A8">
        <w:rPr>
          <w:rFonts w:ascii="Times New Roman" w:hAnsi="Times New Roman" w:cs="Times New Roman"/>
          <w:sz w:val="26"/>
          <w:szCs w:val="26"/>
        </w:rPr>
        <w:t xml:space="preserve">In Recovery Rider (PIRR) for collection of deferred fuel expenses. </w:t>
      </w:r>
      <w:r w:rsidR="004D4930" w:rsidRPr="003C72A8">
        <w:rPr>
          <w:rFonts w:ascii="Times New Roman" w:hAnsi="Times New Roman" w:cs="Times New Roman"/>
          <w:sz w:val="26"/>
          <w:szCs w:val="26"/>
        </w:rPr>
        <w:t xml:space="preserve">Specifically, the PIRR is intended to recover authorized deferred FAC expense that remain on the Company books as of December 31, 2011 over a 7 year period from 2012 through 2018. The Company proposes </w:t>
      </w:r>
      <w:r w:rsidRPr="003C72A8">
        <w:rPr>
          <w:rFonts w:ascii="Times New Roman" w:hAnsi="Times New Roman" w:cs="Times New Roman"/>
          <w:sz w:val="26"/>
          <w:szCs w:val="26"/>
        </w:rPr>
        <w:t xml:space="preserve">to delay the commencement of PIRR recovery until June 2013 (with the end of the recovery period remaining as December 31, 2018), while continuing to accrue </w:t>
      </w:r>
      <w:r w:rsidR="004D4930" w:rsidRPr="003C72A8">
        <w:rPr>
          <w:rFonts w:ascii="Times New Roman" w:hAnsi="Times New Roman" w:cs="Times New Roman"/>
          <w:sz w:val="26"/>
          <w:szCs w:val="26"/>
        </w:rPr>
        <w:t xml:space="preserve">a weighted average cost of capital carrying charge </w:t>
      </w:r>
      <w:r w:rsidRPr="003C72A8">
        <w:rPr>
          <w:rFonts w:ascii="Times New Roman" w:hAnsi="Times New Roman" w:cs="Times New Roman"/>
          <w:sz w:val="26"/>
          <w:szCs w:val="26"/>
        </w:rPr>
        <w:t>during the continuing deferral period</w:t>
      </w:r>
      <w:r w:rsidR="004D4930" w:rsidRPr="003C72A8">
        <w:rPr>
          <w:rFonts w:ascii="Times New Roman" w:hAnsi="Times New Roman" w:cs="Times New Roman"/>
          <w:sz w:val="26"/>
          <w:szCs w:val="26"/>
        </w:rPr>
        <w:t xml:space="preserve">. It also seeks to </w:t>
      </w:r>
      <w:r w:rsidRPr="003C72A8">
        <w:rPr>
          <w:rFonts w:ascii="Times New Roman" w:hAnsi="Times New Roman" w:cs="Times New Roman"/>
          <w:sz w:val="26"/>
          <w:szCs w:val="26"/>
        </w:rPr>
        <w:t xml:space="preserve">suspend the procedural schedule currently established in Case Nos. 11-4920-EL-RDR and 11-4921-EL-RDR. </w:t>
      </w:r>
    </w:p>
    <w:p w:rsidR="00855AFC" w:rsidRPr="003C72A8" w:rsidRDefault="007933F7" w:rsidP="00855AFC">
      <w:pPr>
        <w:autoSpaceDE w:val="0"/>
        <w:autoSpaceDN w:val="0"/>
        <w:adjustRightInd w:val="0"/>
        <w:spacing w:after="0" w:line="480" w:lineRule="auto"/>
        <w:ind w:firstLine="720"/>
        <w:rPr>
          <w:rFonts w:ascii="Times New Roman" w:hAnsi="Times New Roman" w:cs="Times New Roman"/>
          <w:sz w:val="26"/>
          <w:szCs w:val="26"/>
        </w:rPr>
      </w:pPr>
      <w:r w:rsidRPr="003C72A8">
        <w:rPr>
          <w:rFonts w:ascii="Times New Roman" w:hAnsi="Times New Roman" w:cs="Times New Roman"/>
          <w:sz w:val="26"/>
          <w:szCs w:val="26"/>
        </w:rPr>
        <w:t xml:space="preserve">Staff recommends that the Company should, upon Commission approval, merge their FAC rates and implement the merged PIRR without delay. As staff witness </w:t>
      </w:r>
      <w:r w:rsidRPr="003C72A8">
        <w:rPr>
          <w:rFonts w:ascii="Times New Roman" w:hAnsi="Times New Roman" w:cs="Times New Roman"/>
          <w:sz w:val="26"/>
          <w:szCs w:val="26"/>
        </w:rPr>
        <w:lastRenderedPageBreak/>
        <w:t>Turkenton testified, the delay would result in the imposition of an additional $71M in carrying charges.</w:t>
      </w:r>
      <w:r w:rsidR="00987582">
        <w:rPr>
          <w:rStyle w:val="FootnoteReference"/>
          <w:rFonts w:ascii="Times New Roman" w:hAnsi="Times New Roman" w:cs="Times New Roman"/>
          <w:sz w:val="26"/>
          <w:szCs w:val="26"/>
        </w:rPr>
        <w:footnoteReference w:id="71"/>
      </w:r>
      <w:r w:rsidRPr="003C72A8">
        <w:rPr>
          <w:rFonts w:ascii="Times New Roman" w:hAnsi="Times New Roman" w:cs="Times New Roman"/>
          <w:sz w:val="26"/>
          <w:szCs w:val="26"/>
        </w:rPr>
        <w:t xml:space="preserve"> As Ms. Turkenton simply stated, “[c]</w:t>
      </w:r>
      <w:proofErr w:type="spellStart"/>
      <w:r w:rsidRPr="003C72A8">
        <w:rPr>
          <w:rFonts w:ascii="Times New Roman" w:hAnsi="Times New Roman" w:cs="Times New Roman"/>
          <w:sz w:val="26"/>
          <w:szCs w:val="26"/>
        </w:rPr>
        <w:t>ustomers</w:t>
      </w:r>
      <w:proofErr w:type="spellEnd"/>
      <w:r w:rsidRPr="003C72A8">
        <w:rPr>
          <w:rFonts w:ascii="Times New Roman" w:hAnsi="Times New Roman" w:cs="Times New Roman"/>
          <w:sz w:val="26"/>
          <w:szCs w:val="26"/>
        </w:rPr>
        <w:t xml:space="preserve"> will pay less carrying costs if collections begin sooner.”</w:t>
      </w:r>
      <w:r w:rsidR="00987582">
        <w:rPr>
          <w:rStyle w:val="FootnoteReference"/>
          <w:rFonts w:ascii="Times New Roman" w:hAnsi="Times New Roman" w:cs="Times New Roman"/>
          <w:sz w:val="26"/>
          <w:szCs w:val="26"/>
        </w:rPr>
        <w:footnoteReference w:id="72"/>
      </w:r>
      <w:r w:rsidRPr="003C72A8">
        <w:rPr>
          <w:rFonts w:ascii="Times New Roman" w:hAnsi="Times New Roman" w:cs="Times New Roman"/>
          <w:sz w:val="26"/>
          <w:szCs w:val="26"/>
        </w:rPr>
        <w:t xml:space="preserve"> There are no additional costs being deferred into the PIRR during the 2012-2013 timeframe since the Company is currently collecting its full fuel costs through FAC. The Company should be directed to merge both its FAC and the PIRR rates, and start collection as soon as practicable following a Commission </w:t>
      </w:r>
      <w:proofErr w:type="gramStart"/>
      <w:r w:rsidRPr="003C72A8">
        <w:rPr>
          <w:rFonts w:ascii="Times New Roman" w:hAnsi="Times New Roman" w:cs="Times New Roman"/>
          <w:sz w:val="26"/>
          <w:szCs w:val="26"/>
        </w:rPr>
        <w:t>order</w:t>
      </w:r>
      <w:proofErr w:type="gramEnd"/>
      <w:r w:rsidRPr="003C72A8">
        <w:rPr>
          <w:rFonts w:ascii="Times New Roman" w:hAnsi="Times New Roman" w:cs="Times New Roman"/>
          <w:sz w:val="26"/>
          <w:szCs w:val="26"/>
        </w:rPr>
        <w:t xml:space="preserve"> in this case. And the Company should be denied the recovery of carrying costs since it voluntarily elected to delay collections that were supposed to begin January 1, 2012.</w:t>
      </w:r>
    </w:p>
    <w:p w:rsidR="00BE229F" w:rsidRPr="003C72A8" w:rsidRDefault="00412BDC" w:rsidP="00772975">
      <w:pPr>
        <w:pStyle w:val="Heading2"/>
      </w:pPr>
      <w:bookmarkStart w:id="37" w:name="_Toc328732887"/>
      <w:r w:rsidRPr="003C72A8">
        <w:t>Conclusion</w:t>
      </w:r>
      <w:bookmarkEnd w:id="37"/>
    </w:p>
    <w:p w:rsidR="002E39C2" w:rsidRDefault="007F05AD" w:rsidP="007F05AD">
      <w:pPr>
        <w:pStyle w:val="textstyle0"/>
        <w:ind w:firstLine="720"/>
      </w:pPr>
      <w:r>
        <w:t xml:space="preserve">Staff is committed to encouraging the quickest possible orderly transition to full market. Staff believes that this approach is in the best interests of all market participants, and the State of Ohio as a whole. </w:t>
      </w:r>
      <w:r w:rsidR="002E39C2">
        <w:t xml:space="preserve">Such a transition should occur as quickly, and as completely, as practicable. </w:t>
      </w:r>
    </w:p>
    <w:p w:rsidR="007F05AD" w:rsidRDefault="007F05AD" w:rsidP="007F05AD">
      <w:pPr>
        <w:pStyle w:val="textstyle0"/>
        <w:ind w:firstLine="720"/>
      </w:pPr>
      <w:r>
        <w:t>The Company’s proposed modified</w:t>
      </w:r>
      <w:r w:rsidRPr="007F05AD">
        <w:t xml:space="preserve"> ESP</w:t>
      </w:r>
      <w:r>
        <w:t xml:space="preserve">, although it fails a strictly quantitative comparison with an MRO approach, </w:t>
      </w:r>
      <w:proofErr w:type="gramStart"/>
      <w:r>
        <w:t>may</w:t>
      </w:r>
      <w:proofErr w:type="gramEnd"/>
      <w:r>
        <w:t xml:space="preserve">, with modification, help to achieve this goal. </w:t>
      </w:r>
      <w:r w:rsidR="002E39C2">
        <w:t xml:space="preserve">Staff believes that there are significant qualitative factors that should be considered in determining whether to the ESP should be approved. </w:t>
      </w:r>
    </w:p>
    <w:p w:rsidR="002E39C2" w:rsidRPr="007F05AD" w:rsidRDefault="002E39C2" w:rsidP="007F05AD">
      <w:pPr>
        <w:pStyle w:val="textstyle0"/>
        <w:ind w:firstLine="720"/>
      </w:pPr>
      <w:r>
        <w:t xml:space="preserve">Staff has, however, a number of recommendations that should also be adopted if the Commission approves, as proposed or otherwise modified, the Company’s plan. If the </w:t>
      </w:r>
      <w:r>
        <w:lastRenderedPageBreak/>
        <w:t xml:space="preserve">Commission approves an ESP in this proceeding, it should adopt the recommendations contained above and in staff’s testimony in this case. </w:t>
      </w:r>
    </w:p>
    <w:p w:rsidR="007F05AD" w:rsidRDefault="00EF3DE5" w:rsidP="00EF3DE5">
      <w:pPr>
        <w:pStyle w:val="textstyle0"/>
        <w:ind w:left="5760"/>
      </w:pPr>
      <w:r>
        <w:t>Respectfully submitted,</w:t>
      </w:r>
    </w:p>
    <w:p w:rsidR="00EF3DE5" w:rsidRDefault="00EF3DE5" w:rsidP="00EF3DE5">
      <w:pPr>
        <w:pStyle w:val="textstyle0"/>
        <w:spacing w:line="240" w:lineRule="auto"/>
        <w:ind w:left="5760"/>
        <w:rPr>
          <w:i/>
          <w:u w:val="single"/>
        </w:rPr>
      </w:pPr>
      <w:r>
        <w:rPr>
          <w:i/>
          <w:u w:val="single"/>
        </w:rPr>
        <w:t>/s/Werner L. Margard</w:t>
      </w:r>
      <w:r w:rsidR="00D50797">
        <w:rPr>
          <w:i/>
          <w:u w:val="single"/>
        </w:rPr>
        <w:t xml:space="preserve"> III</w:t>
      </w:r>
      <w:r>
        <w:rPr>
          <w:i/>
          <w:u w:val="single"/>
        </w:rPr>
        <w:tab/>
      </w:r>
    </w:p>
    <w:p w:rsidR="00EF3DE5" w:rsidRDefault="00EF3DE5" w:rsidP="00EF3DE5">
      <w:pPr>
        <w:pStyle w:val="textstyle0"/>
        <w:spacing w:line="240" w:lineRule="auto"/>
        <w:ind w:left="5760"/>
      </w:pPr>
      <w:r>
        <w:t>Werner L. Margard III</w:t>
      </w:r>
    </w:p>
    <w:p w:rsidR="00EF3DE5" w:rsidRDefault="00EF3DE5" w:rsidP="00EF3DE5">
      <w:pPr>
        <w:pStyle w:val="textstyle0"/>
        <w:spacing w:line="240" w:lineRule="auto"/>
        <w:ind w:left="5760"/>
      </w:pPr>
      <w:r>
        <w:t>Steven L. Beeler</w:t>
      </w:r>
    </w:p>
    <w:p w:rsidR="00EF3DE5" w:rsidRDefault="00EF3DE5" w:rsidP="00EF3DE5">
      <w:pPr>
        <w:pStyle w:val="textstyle0"/>
        <w:spacing w:line="240" w:lineRule="auto"/>
        <w:ind w:left="5760"/>
      </w:pPr>
      <w:r>
        <w:t>Assistant Attorneys General</w:t>
      </w:r>
    </w:p>
    <w:p w:rsidR="00EF3DE5" w:rsidRDefault="00EF3DE5" w:rsidP="00EF3DE5">
      <w:pPr>
        <w:pStyle w:val="textstyle0"/>
        <w:spacing w:line="240" w:lineRule="auto"/>
        <w:ind w:left="5760"/>
      </w:pPr>
      <w:r>
        <w:t>180 East Broad Street, 6</w:t>
      </w:r>
      <w:r w:rsidRPr="00EF3DE5">
        <w:rPr>
          <w:vertAlign w:val="superscript"/>
        </w:rPr>
        <w:t>th</w:t>
      </w:r>
      <w:r>
        <w:t xml:space="preserve"> Floor</w:t>
      </w:r>
    </w:p>
    <w:p w:rsidR="00EF3DE5" w:rsidRDefault="00EF3DE5" w:rsidP="00EF3DE5">
      <w:pPr>
        <w:pStyle w:val="textstyle0"/>
        <w:spacing w:line="240" w:lineRule="auto"/>
        <w:ind w:left="5760"/>
      </w:pPr>
      <w:r>
        <w:t>Columbus, Ohio  43215-3739</w:t>
      </w:r>
    </w:p>
    <w:p w:rsidR="00EF3DE5" w:rsidRDefault="00EF3DE5" w:rsidP="00EF3DE5">
      <w:pPr>
        <w:pStyle w:val="textstyle0"/>
        <w:spacing w:line="240" w:lineRule="auto"/>
        <w:ind w:left="5760"/>
      </w:pPr>
      <w:r>
        <w:t>Telephone: (614) 466-4395</w:t>
      </w:r>
    </w:p>
    <w:p w:rsidR="00EF3DE5" w:rsidRDefault="00EF3DE5" w:rsidP="00EF3DE5">
      <w:pPr>
        <w:pStyle w:val="textstyle0"/>
        <w:spacing w:line="240" w:lineRule="auto"/>
        <w:ind w:left="5760"/>
      </w:pPr>
      <w:r>
        <w:t>Facsimile: (614) 644-8764</w:t>
      </w:r>
    </w:p>
    <w:p w:rsidR="00EF3DE5" w:rsidRDefault="00D50797" w:rsidP="00EF3DE5">
      <w:pPr>
        <w:pStyle w:val="textstyle0"/>
        <w:spacing w:line="240" w:lineRule="auto"/>
        <w:ind w:left="5760"/>
      </w:pPr>
      <w:hyperlink r:id="rId12" w:history="1">
        <w:r w:rsidR="00EF3DE5" w:rsidRPr="008D6C18">
          <w:rPr>
            <w:rStyle w:val="Hyperlink"/>
          </w:rPr>
          <w:t>werner.margard@puc.state.oh.us</w:t>
        </w:r>
      </w:hyperlink>
    </w:p>
    <w:p w:rsidR="00EF3DE5" w:rsidRDefault="00D50797" w:rsidP="00EF3DE5">
      <w:pPr>
        <w:pStyle w:val="textstyle0"/>
        <w:spacing w:line="240" w:lineRule="auto"/>
        <w:ind w:left="5760"/>
      </w:pPr>
      <w:hyperlink r:id="rId13" w:history="1">
        <w:r w:rsidR="00EF3DE5" w:rsidRPr="008D6C18">
          <w:rPr>
            <w:rStyle w:val="Hyperlink"/>
          </w:rPr>
          <w:t>steven.beeler@puc.state.oh.us</w:t>
        </w:r>
      </w:hyperlink>
    </w:p>
    <w:p w:rsidR="00EF3DE5" w:rsidRDefault="00EF3DE5">
      <w:pPr>
        <w:rPr>
          <w:rFonts w:ascii="Times New Roman" w:hAnsi="Times New Roman" w:cs="Times New Roman"/>
          <w:sz w:val="26"/>
          <w:szCs w:val="26"/>
        </w:rPr>
      </w:pPr>
      <w:r>
        <w:br w:type="page"/>
      </w:r>
    </w:p>
    <w:p w:rsidR="00EF3DE5" w:rsidRPr="00EF3DE5" w:rsidRDefault="00EF3DE5" w:rsidP="00EF3DE5">
      <w:pPr>
        <w:pStyle w:val="textstyle0"/>
        <w:spacing w:line="240" w:lineRule="auto"/>
        <w:ind w:left="5760"/>
      </w:pPr>
    </w:p>
    <w:p w:rsidR="00412BDC" w:rsidRPr="00772975" w:rsidRDefault="00412BDC" w:rsidP="005774A4">
      <w:pPr>
        <w:pStyle w:val="Heading1"/>
      </w:pPr>
      <w:bookmarkStart w:id="38" w:name="_Toc328732888"/>
      <w:r w:rsidRPr="00772975">
        <w:t>PROOF OF SERVICE</w:t>
      </w:r>
      <w:bookmarkEnd w:id="38"/>
    </w:p>
    <w:p w:rsidR="00412BDC" w:rsidRPr="003C72A8" w:rsidRDefault="00412BDC" w:rsidP="00412BDC">
      <w:pPr>
        <w:pStyle w:val="Textstyle"/>
        <w:rPr>
          <w:szCs w:val="26"/>
        </w:rPr>
      </w:pPr>
      <w:r w:rsidRPr="003C72A8">
        <w:rPr>
          <w:szCs w:val="26"/>
        </w:rPr>
        <w:tab/>
        <w:t xml:space="preserve">I hereby certify that a true copy of the foregoing Initial Post-Hearing Brief submitted on behalf of the </w:t>
      </w:r>
      <w:r w:rsidR="00927CF2">
        <w:rPr>
          <w:szCs w:val="26"/>
        </w:rPr>
        <w:t>staff</w:t>
      </w:r>
      <w:r w:rsidRPr="003C72A8">
        <w:rPr>
          <w:szCs w:val="26"/>
        </w:rPr>
        <w:t xml:space="preserve"> of the Public Utilities Commission of Ohio,</w:t>
      </w:r>
      <w:r w:rsidRPr="003C72A8">
        <w:rPr>
          <w:b/>
          <w:szCs w:val="26"/>
        </w:rPr>
        <w:t xml:space="preserve"> </w:t>
      </w:r>
      <w:r w:rsidRPr="003C72A8">
        <w:rPr>
          <w:szCs w:val="26"/>
        </w:rPr>
        <w:t>was served via elec</w:t>
      </w:r>
      <w:r w:rsidRPr="003C72A8">
        <w:rPr>
          <w:szCs w:val="26"/>
        </w:rPr>
        <w:softHyphen/>
        <w:t>tronic mail, upon the follow</w:t>
      </w:r>
      <w:r w:rsidRPr="003C72A8">
        <w:rPr>
          <w:szCs w:val="26"/>
        </w:rPr>
        <w:softHyphen/>
        <w:t>ing par</w:t>
      </w:r>
      <w:r w:rsidRPr="003C72A8">
        <w:rPr>
          <w:szCs w:val="26"/>
        </w:rPr>
        <w:softHyphen/>
        <w:t>ties of record, this 29</w:t>
      </w:r>
      <w:r w:rsidRPr="003C72A8">
        <w:rPr>
          <w:szCs w:val="26"/>
          <w:vertAlign w:val="superscript"/>
        </w:rPr>
        <w:t>th</w:t>
      </w:r>
      <w:r w:rsidRPr="003C72A8">
        <w:rPr>
          <w:szCs w:val="26"/>
        </w:rPr>
        <w:t xml:space="preserve"> day of June, 2012.</w:t>
      </w:r>
    </w:p>
    <w:p w:rsidR="00412BDC" w:rsidRPr="003C72A8" w:rsidRDefault="00412BDC" w:rsidP="00412BDC">
      <w:pPr>
        <w:pStyle w:val="Textstyle"/>
        <w:rPr>
          <w:szCs w:val="26"/>
        </w:rPr>
      </w:pPr>
    </w:p>
    <w:p w:rsidR="00412BDC" w:rsidRPr="003C72A8" w:rsidRDefault="00D50797" w:rsidP="00412BDC">
      <w:pPr>
        <w:tabs>
          <w:tab w:val="left" w:pos="9360"/>
        </w:tabs>
        <w:spacing w:after="0" w:line="240" w:lineRule="auto"/>
        <w:ind w:left="4766"/>
        <w:rPr>
          <w:rFonts w:ascii="Times New Roman" w:hAnsi="Times New Roman" w:cs="Times New Roman"/>
          <w:sz w:val="26"/>
          <w:szCs w:val="26"/>
          <w:u w:val="single"/>
        </w:rPr>
      </w:pPr>
      <w:r>
        <w:rPr>
          <w:rFonts w:ascii="Times New Roman" w:hAnsi="Times New Roman" w:cs="Times New Roman"/>
          <w:i/>
          <w:sz w:val="26"/>
          <w:szCs w:val="26"/>
          <w:u w:val="single"/>
        </w:rPr>
        <w:t>/s/Werner L. Margard III</w:t>
      </w:r>
      <w:r w:rsidR="00412BDC" w:rsidRPr="003C72A8">
        <w:rPr>
          <w:rFonts w:ascii="Times New Roman" w:hAnsi="Times New Roman" w:cs="Times New Roman"/>
          <w:sz w:val="26"/>
          <w:szCs w:val="26"/>
          <w:u w:val="single"/>
        </w:rPr>
        <w:tab/>
      </w:r>
    </w:p>
    <w:p w:rsidR="00412BDC" w:rsidRPr="003C72A8" w:rsidRDefault="00412BDC" w:rsidP="00412BDC">
      <w:pPr>
        <w:tabs>
          <w:tab w:val="left" w:pos="9360"/>
        </w:tabs>
        <w:spacing w:after="0" w:line="240" w:lineRule="auto"/>
        <w:ind w:left="4766"/>
        <w:rPr>
          <w:rFonts w:ascii="Times New Roman" w:hAnsi="Times New Roman" w:cs="Times New Roman"/>
          <w:b/>
          <w:sz w:val="26"/>
          <w:szCs w:val="26"/>
        </w:rPr>
      </w:pPr>
      <w:r w:rsidRPr="003C72A8">
        <w:rPr>
          <w:rFonts w:ascii="Times New Roman" w:hAnsi="Times New Roman" w:cs="Times New Roman"/>
          <w:b/>
          <w:sz w:val="26"/>
          <w:szCs w:val="26"/>
        </w:rPr>
        <w:t>Werner L. Margard III</w:t>
      </w:r>
    </w:p>
    <w:p w:rsidR="00412BDC" w:rsidRPr="003C72A8" w:rsidRDefault="00412BDC" w:rsidP="00412BDC">
      <w:pPr>
        <w:tabs>
          <w:tab w:val="left" w:pos="9360"/>
        </w:tabs>
        <w:spacing w:after="0" w:line="240" w:lineRule="auto"/>
        <w:ind w:left="4766"/>
        <w:rPr>
          <w:rFonts w:ascii="Times New Roman" w:hAnsi="Times New Roman" w:cs="Times New Roman"/>
          <w:sz w:val="26"/>
          <w:szCs w:val="26"/>
        </w:rPr>
      </w:pPr>
      <w:r w:rsidRPr="003C72A8">
        <w:rPr>
          <w:rFonts w:ascii="Times New Roman" w:hAnsi="Times New Roman" w:cs="Times New Roman"/>
          <w:sz w:val="26"/>
          <w:szCs w:val="26"/>
        </w:rPr>
        <w:t>Assistant Attorney General</w:t>
      </w:r>
    </w:p>
    <w:p w:rsidR="00412BDC" w:rsidRPr="003C72A8" w:rsidRDefault="00412BDC" w:rsidP="00412BDC">
      <w:pPr>
        <w:tabs>
          <w:tab w:val="left" w:pos="9360"/>
        </w:tabs>
        <w:ind w:left="4760"/>
        <w:rPr>
          <w:rFonts w:ascii="Times New Roman" w:hAnsi="Times New Roman" w:cs="Times New Roman"/>
          <w:sz w:val="26"/>
          <w:szCs w:val="26"/>
        </w:rPr>
      </w:pPr>
    </w:p>
    <w:p w:rsidR="00412BDC" w:rsidRPr="003C72A8" w:rsidRDefault="00412BDC" w:rsidP="00412BDC">
      <w:pPr>
        <w:rPr>
          <w:rFonts w:ascii="Times New Roman" w:hAnsi="Times New Roman" w:cs="Times New Roman"/>
          <w:b/>
          <w:sz w:val="26"/>
          <w:szCs w:val="26"/>
        </w:rPr>
      </w:pPr>
      <w:r w:rsidRPr="003C72A8">
        <w:rPr>
          <w:rFonts w:ascii="Times New Roman" w:hAnsi="Times New Roman" w:cs="Times New Roman"/>
          <w:b/>
          <w:sz w:val="26"/>
          <w:szCs w:val="26"/>
        </w:rPr>
        <w:t>Parties of Record:</w:t>
      </w:r>
    </w:p>
    <w:p w:rsidR="00412BDC" w:rsidRPr="003C72A8" w:rsidRDefault="00412BDC" w:rsidP="00412BDC">
      <w:pPr>
        <w:rPr>
          <w:rFonts w:ascii="Times New Roman" w:hAnsi="Times New Roman" w:cs="Times New Roman"/>
          <w:b/>
          <w:sz w:val="26"/>
          <w:szCs w:val="26"/>
        </w:rPr>
      </w:pPr>
    </w:p>
    <w:tbl>
      <w:tblPr>
        <w:tblW w:w="0" w:type="auto"/>
        <w:tblLook w:val="01E0" w:firstRow="1" w:lastRow="1" w:firstColumn="1" w:lastColumn="1" w:noHBand="0" w:noVBand="0"/>
      </w:tblPr>
      <w:tblGrid>
        <w:gridCol w:w="4788"/>
        <w:gridCol w:w="4788"/>
      </w:tblGrid>
      <w:tr w:rsidR="00412BDC" w:rsidRPr="003C72A8" w:rsidTr="00855AFC">
        <w:tc>
          <w:tcPr>
            <w:tcW w:w="4788" w:type="dxa"/>
            <w:shd w:val="clear" w:color="auto" w:fill="auto"/>
          </w:tcPr>
          <w:p w:rsidR="00412BDC" w:rsidRPr="003C72A8" w:rsidRDefault="00D50797" w:rsidP="00412BDC">
            <w:pPr>
              <w:spacing w:after="0" w:line="240" w:lineRule="auto"/>
              <w:rPr>
                <w:rFonts w:ascii="Times New Roman" w:hAnsi="Times New Roman" w:cs="Times New Roman"/>
                <w:sz w:val="26"/>
                <w:szCs w:val="26"/>
              </w:rPr>
            </w:pPr>
            <w:hyperlink r:id="rId14" w:history="1">
              <w:r w:rsidR="00412BDC" w:rsidRPr="003C72A8">
                <w:rPr>
                  <w:rStyle w:val="Hyperlink"/>
                  <w:rFonts w:ascii="Times New Roman" w:hAnsi="Times New Roman" w:cs="Times New Roman"/>
                  <w:sz w:val="26"/>
                  <w:szCs w:val="26"/>
                </w:rPr>
                <w:t>tsiwo@bricker.com</w:t>
              </w:r>
            </w:hyperlink>
          </w:p>
          <w:p w:rsidR="00412BDC" w:rsidRPr="003C72A8" w:rsidRDefault="00D50797" w:rsidP="00412BDC">
            <w:pPr>
              <w:spacing w:after="0" w:line="240" w:lineRule="auto"/>
              <w:rPr>
                <w:rFonts w:ascii="Times New Roman" w:hAnsi="Times New Roman" w:cs="Times New Roman"/>
                <w:sz w:val="26"/>
                <w:szCs w:val="26"/>
              </w:rPr>
            </w:pPr>
            <w:hyperlink r:id="rId15" w:history="1">
              <w:r w:rsidR="00412BDC" w:rsidRPr="003C72A8">
                <w:rPr>
                  <w:rStyle w:val="Hyperlink"/>
                  <w:rFonts w:ascii="Times New Roman" w:hAnsi="Times New Roman" w:cs="Times New Roman"/>
                  <w:sz w:val="26"/>
                  <w:szCs w:val="26"/>
                </w:rPr>
                <w:t>dclark1@aep.com</w:t>
              </w:r>
            </w:hyperlink>
          </w:p>
          <w:p w:rsidR="00412BDC" w:rsidRPr="003C72A8" w:rsidRDefault="00D50797" w:rsidP="00412BDC">
            <w:pPr>
              <w:spacing w:after="0" w:line="240" w:lineRule="auto"/>
              <w:rPr>
                <w:rFonts w:ascii="Times New Roman" w:hAnsi="Times New Roman" w:cs="Times New Roman"/>
                <w:sz w:val="26"/>
                <w:szCs w:val="26"/>
              </w:rPr>
            </w:pPr>
            <w:hyperlink r:id="rId16" w:history="1">
              <w:r w:rsidR="00412BDC" w:rsidRPr="003C72A8">
                <w:rPr>
                  <w:rStyle w:val="Hyperlink"/>
                  <w:rFonts w:ascii="Times New Roman" w:hAnsi="Times New Roman" w:cs="Times New Roman"/>
                  <w:sz w:val="26"/>
                  <w:szCs w:val="26"/>
                </w:rPr>
                <w:t>grady@occ.state.oh.us</w:t>
              </w:r>
            </w:hyperlink>
          </w:p>
          <w:p w:rsidR="00412BDC" w:rsidRPr="003C72A8" w:rsidRDefault="00D50797" w:rsidP="00412BDC">
            <w:pPr>
              <w:spacing w:after="0" w:line="240" w:lineRule="auto"/>
              <w:rPr>
                <w:rFonts w:ascii="Times New Roman" w:hAnsi="Times New Roman" w:cs="Times New Roman"/>
                <w:sz w:val="26"/>
                <w:szCs w:val="26"/>
              </w:rPr>
            </w:pPr>
            <w:hyperlink r:id="rId17" w:history="1">
              <w:r w:rsidR="00412BDC" w:rsidRPr="003C72A8">
                <w:rPr>
                  <w:rStyle w:val="Hyperlink"/>
                  <w:rFonts w:ascii="Times New Roman" w:hAnsi="Times New Roman" w:cs="Times New Roman"/>
                  <w:sz w:val="26"/>
                  <w:szCs w:val="26"/>
                </w:rPr>
                <w:t>keith.nusbaum@snrdenton.com</w:t>
              </w:r>
            </w:hyperlink>
          </w:p>
          <w:p w:rsidR="00412BDC" w:rsidRPr="003C72A8" w:rsidRDefault="00D50797" w:rsidP="00412BDC">
            <w:pPr>
              <w:spacing w:after="0" w:line="240" w:lineRule="auto"/>
              <w:rPr>
                <w:rFonts w:ascii="Times New Roman" w:hAnsi="Times New Roman" w:cs="Times New Roman"/>
                <w:sz w:val="26"/>
                <w:szCs w:val="26"/>
              </w:rPr>
            </w:pPr>
            <w:hyperlink r:id="rId18" w:history="1">
              <w:r w:rsidR="00412BDC" w:rsidRPr="003C72A8">
                <w:rPr>
                  <w:rStyle w:val="Hyperlink"/>
                  <w:rFonts w:ascii="Times New Roman" w:hAnsi="Times New Roman" w:cs="Times New Roman"/>
                  <w:sz w:val="26"/>
                  <w:szCs w:val="26"/>
                </w:rPr>
                <w:t>kpkreider@kmklaw.com</w:t>
              </w:r>
            </w:hyperlink>
          </w:p>
          <w:p w:rsidR="00412BDC" w:rsidRPr="003C72A8" w:rsidRDefault="00D50797" w:rsidP="00412BDC">
            <w:pPr>
              <w:spacing w:after="0" w:line="240" w:lineRule="auto"/>
              <w:rPr>
                <w:rFonts w:ascii="Times New Roman" w:hAnsi="Times New Roman" w:cs="Times New Roman"/>
                <w:sz w:val="26"/>
                <w:szCs w:val="26"/>
              </w:rPr>
            </w:pPr>
            <w:hyperlink r:id="rId19" w:history="1">
              <w:r w:rsidR="00412BDC" w:rsidRPr="003C72A8">
                <w:rPr>
                  <w:rStyle w:val="Hyperlink"/>
                  <w:rFonts w:ascii="Times New Roman" w:hAnsi="Times New Roman" w:cs="Times New Roman"/>
                  <w:sz w:val="26"/>
                  <w:szCs w:val="26"/>
                </w:rPr>
                <w:t>mjsatterwhite@aep.com</w:t>
              </w:r>
            </w:hyperlink>
          </w:p>
          <w:p w:rsidR="00412BDC" w:rsidRPr="003C72A8" w:rsidRDefault="00D50797" w:rsidP="00412BDC">
            <w:pPr>
              <w:spacing w:after="0" w:line="240" w:lineRule="auto"/>
              <w:rPr>
                <w:rFonts w:ascii="Times New Roman" w:hAnsi="Times New Roman" w:cs="Times New Roman"/>
                <w:sz w:val="26"/>
                <w:szCs w:val="26"/>
              </w:rPr>
            </w:pPr>
            <w:hyperlink r:id="rId20" w:history="1">
              <w:r w:rsidR="00412BDC" w:rsidRPr="003C72A8">
                <w:rPr>
                  <w:rStyle w:val="Hyperlink"/>
                  <w:rFonts w:ascii="Times New Roman" w:hAnsi="Times New Roman" w:cs="Times New Roman"/>
                  <w:sz w:val="26"/>
                  <w:szCs w:val="26"/>
                </w:rPr>
                <w:t>ned.ford@fuse.net</w:t>
              </w:r>
            </w:hyperlink>
          </w:p>
          <w:p w:rsidR="00412BDC" w:rsidRPr="003C72A8" w:rsidRDefault="00D50797" w:rsidP="00412BDC">
            <w:pPr>
              <w:spacing w:after="0" w:line="240" w:lineRule="auto"/>
              <w:rPr>
                <w:rFonts w:ascii="Times New Roman" w:hAnsi="Times New Roman" w:cs="Times New Roman"/>
                <w:sz w:val="26"/>
                <w:szCs w:val="26"/>
              </w:rPr>
            </w:pPr>
            <w:hyperlink r:id="rId21" w:history="1">
              <w:r w:rsidR="00412BDC" w:rsidRPr="003C72A8">
                <w:rPr>
                  <w:rStyle w:val="Hyperlink"/>
                  <w:rFonts w:ascii="Times New Roman" w:hAnsi="Times New Roman" w:cs="Times New Roman"/>
                  <w:sz w:val="26"/>
                  <w:szCs w:val="26"/>
                </w:rPr>
                <w:t>pfox@hilliardohio.gov</w:t>
              </w:r>
            </w:hyperlink>
          </w:p>
          <w:p w:rsidR="00412BDC" w:rsidRPr="003C72A8" w:rsidRDefault="00D50797" w:rsidP="00412BDC">
            <w:pPr>
              <w:spacing w:after="0" w:line="240" w:lineRule="auto"/>
              <w:rPr>
                <w:rFonts w:ascii="Times New Roman" w:hAnsi="Times New Roman" w:cs="Times New Roman"/>
                <w:sz w:val="26"/>
                <w:szCs w:val="26"/>
              </w:rPr>
            </w:pPr>
            <w:hyperlink r:id="rId22" w:history="1">
              <w:r w:rsidR="00412BDC" w:rsidRPr="003C72A8">
                <w:rPr>
                  <w:rStyle w:val="Hyperlink"/>
                  <w:rFonts w:ascii="Times New Roman" w:hAnsi="Times New Roman" w:cs="Times New Roman"/>
                  <w:sz w:val="26"/>
                  <w:szCs w:val="26"/>
                </w:rPr>
                <w:t>ricks@ohanet.org</w:t>
              </w:r>
            </w:hyperlink>
          </w:p>
          <w:p w:rsidR="00412BDC" w:rsidRPr="003C72A8" w:rsidRDefault="00D50797" w:rsidP="00412BDC">
            <w:pPr>
              <w:spacing w:after="0" w:line="240" w:lineRule="auto"/>
              <w:rPr>
                <w:rFonts w:ascii="Times New Roman" w:hAnsi="Times New Roman" w:cs="Times New Roman"/>
                <w:sz w:val="26"/>
                <w:szCs w:val="26"/>
              </w:rPr>
            </w:pPr>
            <w:hyperlink r:id="rId23" w:history="1">
              <w:r w:rsidR="00412BDC" w:rsidRPr="003C72A8">
                <w:rPr>
                  <w:rStyle w:val="Hyperlink"/>
                  <w:rFonts w:ascii="Times New Roman" w:hAnsi="Times New Roman" w:cs="Times New Roman"/>
                  <w:sz w:val="26"/>
                  <w:szCs w:val="26"/>
                </w:rPr>
                <w:t>stnourse@aep.com</w:t>
              </w:r>
            </w:hyperlink>
          </w:p>
          <w:p w:rsidR="00412BDC" w:rsidRPr="003C72A8" w:rsidRDefault="00D50797" w:rsidP="00412BDC">
            <w:pPr>
              <w:spacing w:after="0" w:line="240" w:lineRule="auto"/>
              <w:rPr>
                <w:rFonts w:ascii="Times New Roman" w:hAnsi="Times New Roman" w:cs="Times New Roman"/>
                <w:sz w:val="26"/>
                <w:szCs w:val="26"/>
              </w:rPr>
            </w:pPr>
            <w:hyperlink r:id="rId24" w:history="1">
              <w:r w:rsidR="00412BDC" w:rsidRPr="003C72A8">
                <w:rPr>
                  <w:rStyle w:val="Hyperlink"/>
                  <w:rFonts w:ascii="Times New Roman" w:hAnsi="Times New Roman" w:cs="Times New Roman"/>
                  <w:sz w:val="26"/>
                  <w:szCs w:val="26"/>
                </w:rPr>
                <w:t>cathy@theoec.org</w:t>
              </w:r>
            </w:hyperlink>
          </w:p>
          <w:p w:rsidR="00412BDC" w:rsidRPr="003C72A8" w:rsidRDefault="00D50797" w:rsidP="00412BDC">
            <w:pPr>
              <w:spacing w:after="0" w:line="240" w:lineRule="auto"/>
              <w:rPr>
                <w:rFonts w:ascii="Times New Roman" w:hAnsi="Times New Roman" w:cs="Times New Roman"/>
                <w:sz w:val="26"/>
                <w:szCs w:val="26"/>
              </w:rPr>
            </w:pPr>
            <w:hyperlink r:id="rId25" w:history="1">
              <w:r w:rsidR="00412BDC" w:rsidRPr="003C72A8">
                <w:rPr>
                  <w:rStyle w:val="Hyperlink"/>
                  <w:rFonts w:ascii="Times New Roman" w:hAnsi="Times New Roman" w:cs="Times New Roman"/>
                  <w:sz w:val="26"/>
                  <w:szCs w:val="26"/>
                </w:rPr>
                <w:t>dsullivan@nrdc.org</w:t>
              </w:r>
            </w:hyperlink>
          </w:p>
          <w:p w:rsidR="00412BDC" w:rsidRPr="003C72A8" w:rsidRDefault="00D50797" w:rsidP="00412BDC">
            <w:pPr>
              <w:spacing w:after="0" w:line="240" w:lineRule="auto"/>
              <w:rPr>
                <w:rFonts w:ascii="Times New Roman" w:hAnsi="Times New Roman" w:cs="Times New Roman"/>
                <w:sz w:val="26"/>
                <w:szCs w:val="26"/>
              </w:rPr>
            </w:pPr>
            <w:hyperlink r:id="rId26" w:history="1">
              <w:r w:rsidR="00412BDC" w:rsidRPr="003C72A8">
                <w:rPr>
                  <w:rStyle w:val="Hyperlink"/>
                  <w:rFonts w:ascii="Times New Roman" w:hAnsi="Times New Roman" w:cs="Times New Roman"/>
                  <w:sz w:val="26"/>
                  <w:szCs w:val="26"/>
                </w:rPr>
                <w:t>aehaedt@jonesday.com</w:t>
              </w:r>
            </w:hyperlink>
          </w:p>
          <w:p w:rsidR="00412BDC" w:rsidRPr="003C72A8" w:rsidRDefault="00D50797" w:rsidP="00412BDC">
            <w:pPr>
              <w:spacing w:after="0" w:line="240" w:lineRule="auto"/>
              <w:rPr>
                <w:rFonts w:ascii="Times New Roman" w:hAnsi="Times New Roman" w:cs="Times New Roman"/>
                <w:sz w:val="26"/>
                <w:szCs w:val="26"/>
              </w:rPr>
            </w:pPr>
            <w:hyperlink r:id="rId27" w:history="1">
              <w:r w:rsidR="00412BDC" w:rsidRPr="003C72A8">
                <w:rPr>
                  <w:rStyle w:val="Hyperlink"/>
                  <w:rFonts w:ascii="Times New Roman" w:hAnsi="Times New Roman" w:cs="Times New Roman"/>
                  <w:sz w:val="26"/>
                  <w:szCs w:val="26"/>
                </w:rPr>
                <w:t>dakutik@jonesday.com</w:t>
              </w:r>
            </w:hyperlink>
          </w:p>
          <w:p w:rsidR="00412BDC" w:rsidRPr="003C72A8" w:rsidRDefault="00D50797" w:rsidP="00412BDC">
            <w:pPr>
              <w:spacing w:after="0" w:line="240" w:lineRule="auto"/>
              <w:rPr>
                <w:rFonts w:ascii="Times New Roman" w:hAnsi="Times New Roman" w:cs="Times New Roman"/>
                <w:sz w:val="26"/>
                <w:szCs w:val="26"/>
              </w:rPr>
            </w:pPr>
            <w:hyperlink r:id="rId28" w:history="1">
              <w:r w:rsidR="00412BDC" w:rsidRPr="003C72A8">
                <w:rPr>
                  <w:rStyle w:val="Hyperlink"/>
                  <w:rFonts w:ascii="Times New Roman" w:hAnsi="Times New Roman" w:cs="Times New Roman"/>
                  <w:sz w:val="26"/>
                  <w:szCs w:val="26"/>
                </w:rPr>
                <w:t>haydenm@firstenergycorp.com</w:t>
              </w:r>
            </w:hyperlink>
          </w:p>
          <w:p w:rsidR="00412BDC" w:rsidRPr="003C72A8" w:rsidRDefault="00D50797" w:rsidP="00412BDC">
            <w:pPr>
              <w:spacing w:after="0" w:line="240" w:lineRule="auto"/>
              <w:rPr>
                <w:rFonts w:ascii="Times New Roman" w:hAnsi="Times New Roman" w:cs="Times New Roman"/>
                <w:sz w:val="26"/>
                <w:szCs w:val="26"/>
              </w:rPr>
            </w:pPr>
            <w:hyperlink r:id="rId29" w:history="1">
              <w:r w:rsidR="00412BDC" w:rsidRPr="003C72A8">
                <w:rPr>
                  <w:rStyle w:val="Hyperlink"/>
                  <w:rFonts w:ascii="Times New Roman" w:hAnsi="Times New Roman" w:cs="Times New Roman"/>
                  <w:sz w:val="26"/>
                  <w:szCs w:val="26"/>
                </w:rPr>
                <w:t>dconway@porterwright.cmo</w:t>
              </w:r>
            </w:hyperlink>
          </w:p>
          <w:p w:rsidR="00412BDC" w:rsidRPr="003C72A8" w:rsidRDefault="00D50797" w:rsidP="00412BDC">
            <w:pPr>
              <w:spacing w:after="0" w:line="240" w:lineRule="auto"/>
              <w:rPr>
                <w:rFonts w:ascii="Times New Roman" w:hAnsi="Times New Roman" w:cs="Times New Roman"/>
                <w:sz w:val="26"/>
                <w:szCs w:val="26"/>
              </w:rPr>
            </w:pPr>
            <w:hyperlink r:id="rId30" w:history="1">
              <w:r w:rsidR="00412BDC" w:rsidRPr="003C72A8">
                <w:rPr>
                  <w:rStyle w:val="Hyperlink"/>
                  <w:rFonts w:ascii="Times New Roman" w:hAnsi="Times New Roman" w:cs="Times New Roman"/>
                  <w:sz w:val="26"/>
                  <w:szCs w:val="26"/>
                </w:rPr>
                <w:t>jlang@clafee.com</w:t>
              </w:r>
            </w:hyperlink>
          </w:p>
          <w:p w:rsidR="00412BDC" w:rsidRPr="003C72A8" w:rsidRDefault="00D50797" w:rsidP="00412BDC">
            <w:pPr>
              <w:spacing w:after="0" w:line="240" w:lineRule="auto"/>
              <w:rPr>
                <w:rFonts w:ascii="Times New Roman" w:hAnsi="Times New Roman" w:cs="Times New Roman"/>
                <w:sz w:val="26"/>
                <w:szCs w:val="26"/>
              </w:rPr>
            </w:pPr>
            <w:hyperlink r:id="rId31" w:history="1">
              <w:r w:rsidR="00412BDC" w:rsidRPr="003C72A8">
                <w:rPr>
                  <w:rStyle w:val="Hyperlink"/>
                  <w:rFonts w:ascii="Times New Roman" w:hAnsi="Times New Roman" w:cs="Times New Roman"/>
                  <w:sz w:val="26"/>
                  <w:szCs w:val="26"/>
                </w:rPr>
                <w:t>cmiller@szd.com</w:t>
              </w:r>
            </w:hyperlink>
          </w:p>
          <w:p w:rsidR="00412BDC" w:rsidRPr="003C72A8" w:rsidRDefault="00D50797" w:rsidP="00412BDC">
            <w:pPr>
              <w:spacing w:after="0" w:line="240" w:lineRule="auto"/>
              <w:rPr>
                <w:rFonts w:ascii="Times New Roman" w:hAnsi="Times New Roman" w:cs="Times New Roman"/>
                <w:sz w:val="26"/>
                <w:szCs w:val="26"/>
              </w:rPr>
            </w:pPr>
            <w:hyperlink r:id="rId32" w:history="1">
              <w:r w:rsidR="00412BDC" w:rsidRPr="003C72A8">
                <w:rPr>
                  <w:rStyle w:val="Hyperlink"/>
                  <w:rFonts w:ascii="Times New Roman" w:hAnsi="Times New Roman" w:cs="Times New Roman"/>
                  <w:sz w:val="26"/>
                  <w:szCs w:val="26"/>
                </w:rPr>
                <w:t>ahaque@szd.com</w:t>
              </w:r>
            </w:hyperlink>
          </w:p>
          <w:p w:rsidR="00412BDC" w:rsidRPr="003C72A8" w:rsidRDefault="00D50797" w:rsidP="00412BDC">
            <w:pPr>
              <w:spacing w:after="0" w:line="240" w:lineRule="auto"/>
              <w:rPr>
                <w:rFonts w:ascii="Times New Roman" w:hAnsi="Times New Roman" w:cs="Times New Roman"/>
                <w:sz w:val="26"/>
                <w:szCs w:val="26"/>
              </w:rPr>
            </w:pPr>
            <w:hyperlink r:id="rId33" w:history="1">
              <w:r w:rsidR="00412BDC" w:rsidRPr="003C72A8">
                <w:rPr>
                  <w:rStyle w:val="Hyperlink"/>
                  <w:rFonts w:ascii="Times New Roman" w:hAnsi="Times New Roman" w:cs="Times New Roman"/>
                  <w:sz w:val="26"/>
                  <w:szCs w:val="26"/>
                </w:rPr>
                <w:t>gdunn@szd.com</w:t>
              </w:r>
            </w:hyperlink>
          </w:p>
          <w:p w:rsidR="00412BDC" w:rsidRPr="003C72A8" w:rsidRDefault="00D50797" w:rsidP="00412BDC">
            <w:pPr>
              <w:spacing w:after="0" w:line="240" w:lineRule="auto"/>
              <w:rPr>
                <w:rFonts w:ascii="Times New Roman" w:hAnsi="Times New Roman" w:cs="Times New Roman"/>
                <w:sz w:val="26"/>
                <w:szCs w:val="26"/>
              </w:rPr>
            </w:pPr>
            <w:hyperlink r:id="rId34" w:history="1">
              <w:r w:rsidR="00412BDC" w:rsidRPr="003C72A8">
                <w:rPr>
                  <w:rStyle w:val="Hyperlink"/>
                  <w:rFonts w:ascii="Times New Roman" w:hAnsi="Times New Roman" w:cs="Times New Roman"/>
                  <w:sz w:val="26"/>
                  <w:szCs w:val="26"/>
                </w:rPr>
                <w:t>mhpetricoff@vorys.com</w:t>
              </w:r>
            </w:hyperlink>
          </w:p>
          <w:p w:rsidR="00412BDC" w:rsidRPr="003C72A8" w:rsidRDefault="00D50797" w:rsidP="00412BDC">
            <w:pPr>
              <w:spacing w:after="0" w:line="240" w:lineRule="auto"/>
              <w:rPr>
                <w:rFonts w:ascii="Times New Roman" w:hAnsi="Times New Roman" w:cs="Times New Roman"/>
                <w:sz w:val="26"/>
                <w:szCs w:val="26"/>
              </w:rPr>
            </w:pPr>
            <w:hyperlink r:id="rId35" w:history="1">
              <w:r w:rsidR="00412BDC" w:rsidRPr="003C72A8">
                <w:rPr>
                  <w:rStyle w:val="Hyperlink"/>
                  <w:rFonts w:ascii="Times New Roman" w:hAnsi="Times New Roman" w:cs="Times New Roman"/>
                  <w:sz w:val="26"/>
                  <w:szCs w:val="26"/>
                </w:rPr>
                <w:t>lmcbride@calfee.com</w:t>
              </w:r>
            </w:hyperlink>
          </w:p>
          <w:p w:rsidR="00412BDC" w:rsidRPr="003C72A8" w:rsidRDefault="00D50797" w:rsidP="00412BDC">
            <w:pPr>
              <w:spacing w:after="0" w:line="240" w:lineRule="auto"/>
              <w:rPr>
                <w:rFonts w:ascii="Times New Roman" w:hAnsi="Times New Roman" w:cs="Times New Roman"/>
                <w:sz w:val="26"/>
                <w:szCs w:val="26"/>
              </w:rPr>
            </w:pPr>
            <w:hyperlink r:id="rId36" w:history="1">
              <w:r w:rsidR="00412BDC" w:rsidRPr="003C72A8">
                <w:rPr>
                  <w:rStyle w:val="Hyperlink"/>
                  <w:rFonts w:ascii="Times New Roman" w:hAnsi="Times New Roman" w:cs="Times New Roman"/>
                  <w:sz w:val="26"/>
                  <w:szCs w:val="26"/>
                </w:rPr>
                <w:t>talexander@calfee.com</w:t>
              </w:r>
            </w:hyperlink>
          </w:p>
          <w:p w:rsidR="00412BDC" w:rsidRPr="003C72A8" w:rsidRDefault="00D50797" w:rsidP="00412BDC">
            <w:pPr>
              <w:spacing w:after="0" w:line="240" w:lineRule="auto"/>
              <w:rPr>
                <w:rFonts w:ascii="Times New Roman" w:hAnsi="Times New Roman" w:cs="Times New Roman"/>
                <w:sz w:val="26"/>
                <w:szCs w:val="26"/>
              </w:rPr>
            </w:pPr>
            <w:hyperlink r:id="rId37" w:history="1">
              <w:r w:rsidR="00412BDC" w:rsidRPr="003C72A8">
                <w:rPr>
                  <w:rStyle w:val="Hyperlink"/>
                  <w:rFonts w:ascii="Times New Roman" w:hAnsi="Times New Roman" w:cs="Times New Roman"/>
                  <w:sz w:val="26"/>
                  <w:szCs w:val="26"/>
                </w:rPr>
                <w:t>etter@occ.state.oh.us</w:t>
              </w:r>
            </w:hyperlink>
          </w:p>
          <w:p w:rsidR="00412BDC" w:rsidRPr="003C72A8" w:rsidRDefault="00D50797" w:rsidP="00412BDC">
            <w:pPr>
              <w:spacing w:after="0" w:line="240" w:lineRule="auto"/>
              <w:rPr>
                <w:rFonts w:ascii="Times New Roman" w:hAnsi="Times New Roman" w:cs="Times New Roman"/>
                <w:sz w:val="26"/>
                <w:szCs w:val="26"/>
              </w:rPr>
            </w:pPr>
            <w:hyperlink r:id="rId38" w:history="1">
              <w:r w:rsidR="00412BDC" w:rsidRPr="003C72A8">
                <w:rPr>
                  <w:rStyle w:val="Hyperlink"/>
                  <w:rFonts w:ascii="Times New Roman" w:hAnsi="Times New Roman" w:cs="Times New Roman"/>
                  <w:sz w:val="26"/>
                  <w:szCs w:val="26"/>
                </w:rPr>
                <w:t>small@occ.state.oh.us</w:t>
              </w:r>
            </w:hyperlink>
          </w:p>
          <w:p w:rsidR="00412BDC" w:rsidRPr="003C72A8" w:rsidRDefault="00D50797" w:rsidP="00412BDC">
            <w:pPr>
              <w:spacing w:after="0" w:line="240" w:lineRule="auto"/>
              <w:rPr>
                <w:rFonts w:ascii="Times New Roman" w:hAnsi="Times New Roman" w:cs="Times New Roman"/>
                <w:sz w:val="26"/>
                <w:szCs w:val="26"/>
              </w:rPr>
            </w:pPr>
            <w:hyperlink r:id="rId39" w:history="1">
              <w:r w:rsidR="00412BDC" w:rsidRPr="003C72A8">
                <w:rPr>
                  <w:rStyle w:val="Hyperlink"/>
                  <w:rFonts w:ascii="Times New Roman" w:hAnsi="Times New Roman" w:cs="Times New Roman"/>
                  <w:sz w:val="26"/>
                  <w:szCs w:val="26"/>
                </w:rPr>
                <w:t>cynthia.a.fonner@constellation.com</w:t>
              </w:r>
            </w:hyperlink>
          </w:p>
          <w:p w:rsidR="00412BDC" w:rsidRPr="003C72A8" w:rsidRDefault="00D50797" w:rsidP="00412BDC">
            <w:pPr>
              <w:spacing w:after="0" w:line="240" w:lineRule="auto"/>
              <w:rPr>
                <w:rFonts w:ascii="Times New Roman" w:hAnsi="Times New Roman" w:cs="Times New Roman"/>
                <w:sz w:val="26"/>
                <w:szCs w:val="26"/>
              </w:rPr>
            </w:pPr>
            <w:hyperlink r:id="rId40" w:history="1">
              <w:r w:rsidR="00412BDC" w:rsidRPr="003C72A8">
                <w:rPr>
                  <w:rStyle w:val="Hyperlink"/>
                  <w:rFonts w:ascii="Times New Roman" w:hAnsi="Times New Roman" w:cs="Times New Roman"/>
                  <w:sz w:val="26"/>
                  <w:szCs w:val="26"/>
                </w:rPr>
                <w:t>david.fein@constellation.com</w:t>
              </w:r>
            </w:hyperlink>
          </w:p>
          <w:p w:rsidR="00412BDC" w:rsidRPr="003C72A8" w:rsidRDefault="00D50797" w:rsidP="00412BDC">
            <w:pPr>
              <w:spacing w:after="0" w:line="240" w:lineRule="auto"/>
              <w:rPr>
                <w:rFonts w:ascii="Times New Roman" w:hAnsi="Times New Roman" w:cs="Times New Roman"/>
                <w:sz w:val="26"/>
                <w:szCs w:val="26"/>
              </w:rPr>
            </w:pPr>
            <w:hyperlink r:id="rId41" w:history="1">
              <w:r w:rsidR="00412BDC" w:rsidRPr="003C72A8">
                <w:rPr>
                  <w:rStyle w:val="Hyperlink"/>
                  <w:rFonts w:ascii="Times New Roman" w:hAnsi="Times New Roman" w:cs="Times New Roman"/>
                  <w:sz w:val="26"/>
                  <w:szCs w:val="26"/>
                </w:rPr>
                <w:t>dorothy.corbett@duke-energy.com</w:t>
              </w:r>
            </w:hyperlink>
          </w:p>
          <w:p w:rsidR="00412BDC" w:rsidRPr="003C72A8" w:rsidRDefault="00D50797" w:rsidP="00412BDC">
            <w:pPr>
              <w:spacing w:after="0" w:line="240" w:lineRule="auto"/>
              <w:rPr>
                <w:rFonts w:ascii="Times New Roman" w:hAnsi="Times New Roman" w:cs="Times New Roman"/>
                <w:sz w:val="26"/>
                <w:szCs w:val="26"/>
              </w:rPr>
            </w:pPr>
            <w:hyperlink r:id="rId42" w:history="1">
              <w:r w:rsidR="00412BDC" w:rsidRPr="003C72A8">
                <w:rPr>
                  <w:rStyle w:val="Hyperlink"/>
                  <w:rFonts w:ascii="Times New Roman" w:hAnsi="Times New Roman" w:cs="Times New Roman"/>
                  <w:sz w:val="26"/>
                  <w:szCs w:val="26"/>
                </w:rPr>
                <w:t>amy.spiller@duke-energy.com</w:t>
              </w:r>
            </w:hyperlink>
          </w:p>
          <w:p w:rsidR="00412BDC" w:rsidRPr="003C72A8" w:rsidRDefault="00D50797" w:rsidP="00412BDC">
            <w:pPr>
              <w:spacing w:after="0" w:line="240" w:lineRule="auto"/>
              <w:rPr>
                <w:rFonts w:ascii="Times New Roman" w:hAnsi="Times New Roman" w:cs="Times New Roman"/>
                <w:sz w:val="26"/>
                <w:szCs w:val="26"/>
              </w:rPr>
            </w:pPr>
            <w:hyperlink r:id="rId43" w:history="1">
              <w:r w:rsidR="00412BDC" w:rsidRPr="003C72A8">
                <w:rPr>
                  <w:rStyle w:val="Hyperlink"/>
                  <w:rFonts w:ascii="Times New Roman" w:hAnsi="Times New Roman" w:cs="Times New Roman"/>
                  <w:sz w:val="26"/>
                  <w:szCs w:val="26"/>
                </w:rPr>
                <w:t>dboehm@bkllawfirm.com</w:t>
              </w:r>
            </w:hyperlink>
          </w:p>
          <w:p w:rsidR="00412BDC" w:rsidRPr="003C72A8" w:rsidRDefault="00D50797" w:rsidP="00412BDC">
            <w:pPr>
              <w:spacing w:after="0" w:line="240" w:lineRule="auto"/>
              <w:rPr>
                <w:rFonts w:ascii="Times New Roman" w:hAnsi="Times New Roman" w:cs="Times New Roman"/>
                <w:sz w:val="26"/>
                <w:szCs w:val="26"/>
              </w:rPr>
            </w:pPr>
            <w:hyperlink r:id="rId44" w:history="1">
              <w:r w:rsidR="00412BDC" w:rsidRPr="003C72A8">
                <w:rPr>
                  <w:rStyle w:val="Hyperlink"/>
                  <w:rFonts w:ascii="Times New Roman" w:hAnsi="Times New Roman" w:cs="Times New Roman"/>
                  <w:sz w:val="26"/>
                  <w:szCs w:val="26"/>
                </w:rPr>
                <w:t>mkurtz@bkllawfirm.com</w:t>
              </w:r>
            </w:hyperlink>
          </w:p>
          <w:p w:rsidR="00412BDC" w:rsidRPr="003C72A8" w:rsidRDefault="00D50797" w:rsidP="00412BDC">
            <w:pPr>
              <w:spacing w:after="0" w:line="240" w:lineRule="auto"/>
              <w:rPr>
                <w:rFonts w:ascii="Times New Roman" w:hAnsi="Times New Roman" w:cs="Times New Roman"/>
                <w:sz w:val="26"/>
                <w:szCs w:val="26"/>
              </w:rPr>
            </w:pPr>
            <w:hyperlink r:id="rId45" w:history="1">
              <w:r w:rsidR="00412BDC" w:rsidRPr="003C72A8">
                <w:rPr>
                  <w:rStyle w:val="Hyperlink"/>
                  <w:rFonts w:ascii="Times New Roman" w:hAnsi="Times New Roman" w:cs="Times New Roman"/>
                  <w:sz w:val="26"/>
                  <w:szCs w:val="26"/>
                </w:rPr>
                <w:t>tobrien@bricker.com</w:t>
              </w:r>
            </w:hyperlink>
          </w:p>
          <w:p w:rsidR="00412BDC" w:rsidRPr="003C72A8" w:rsidRDefault="00D50797" w:rsidP="00412BDC">
            <w:pPr>
              <w:spacing w:after="0" w:line="240" w:lineRule="auto"/>
              <w:rPr>
                <w:rFonts w:ascii="Times New Roman" w:hAnsi="Times New Roman" w:cs="Times New Roman"/>
                <w:sz w:val="26"/>
                <w:szCs w:val="26"/>
              </w:rPr>
            </w:pPr>
            <w:hyperlink r:id="rId46" w:history="1">
              <w:r w:rsidR="00412BDC" w:rsidRPr="003C72A8">
                <w:rPr>
                  <w:rStyle w:val="Hyperlink"/>
                  <w:rFonts w:ascii="Times New Roman" w:hAnsi="Times New Roman" w:cs="Times New Roman"/>
                  <w:sz w:val="26"/>
                  <w:szCs w:val="26"/>
                </w:rPr>
                <w:t>jbentine@cwslaw.com</w:t>
              </w:r>
            </w:hyperlink>
          </w:p>
          <w:p w:rsidR="00412BDC" w:rsidRPr="003C72A8" w:rsidRDefault="00D50797" w:rsidP="00412BDC">
            <w:pPr>
              <w:spacing w:after="0" w:line="240" w:lineRule="auto"/>
              <w:rPr>
                <w:rFonts w:ascii="Times New Roman" w:hAnsi="Times New Roman" w:cs="Times New Roman"/>
                <w:sz w:val="26"/>
                <w:szCs w:val="26"/>
              </w:rPr>
            </w:pPr>
            <w:hyperlink r:id="rId47" w:history="1">
              <w:r w:rsidR="00412BDC" w:rsidRPr="003C72A8">
                <w:rPr>
                  <w:rStyle w:val="Hyperlink"/>
                  <w:rFonts w:ascii="Times New Roman" w:hAnsi="Times New Roman" w:cs="Times New Roman"/>
                  <w:sz w:val="26"/>
                  <w:szCs w:val="26"/>
                </w:rPr>
                <w:t>myurick@cwslaw.com</w:t>
              </w:r>
            </w:hyperlink>
          </w:p>
          <w:p w:rsidR="00412BDC" w:rsidRPr="003C72A8" w:rsidRDefault="00D50797" w:rsidP="00412BDC">
            <w:pPr>
              <w:spacing w:after="0" w:line="240" w:lineRule="auto"/>
              <w:rPr>
                <w:rFonts w:ascii="Times New Roman" w:hAnsi="Times New Roman" w:cs="Times New Roman"/>
                <w:sz w:val="26"/>
                <w:szCs w:val="26"/>
              </w:rPr>
            </w:pPr>
            <w:hyperlink r:id="rId48" w:history="1">
              <w:r w:rsidR="00412BDC" w:rsidRPr="003C72A8">
                <w:rPr>
                  <w:rStyle w:val="Hyperlink"/>
                  <w:rFonts w:ascii="Times New Roman" w:hAnsi="Times New Roman" w:cs="Times New Roman"/>
                  <w:sz w:val="26"/>
                  <w:szCs w:val="26"/>
                </w:rPr>
                <w:t>zkravtiz@cwslaw.com</w:t>
              </w:r>
            </w:hyperlink>
          </w:p>
          <w:p w:rsidR="00412BDC" w:rsidRPr="003C72A8" w:rsidRDefault="00D50797" w:rsidP="00412BDC">
            <w:pPr>
              <w:spacing w:after="0" w:line="240" w:lineRule="auto"/>
              <w:rPr>
                <w:rFonts w:ascii="Times New Roman" w:hAnsi="Times New Roman" w:cs="Times New Roman"/>
                <w:sz w:val="26"/>
                <w:szCs w:val="26"/>
              </w:rPr>
            </w:pPr>
            <w:hyperlink r:id="rId49" w:history="1">
              <w:r w:rsidR="00412BDC" w:rsidRPr="003C72A8">
                <w:rPr>
                  <w:rStyle w:val="Hyperlink"/>
                  <w:rFonts w:ascii="Times New Roman" w:hAnsi="Times New Roman" w:cs="Times New Roman"/>
                  <w:sz w:val="26"/>
                  <w:szCs w:val="26"/>
                </w:rPr>
                <w:t>jejadwin@aep.com</w:t>
              </w:r>
            </w:hyperlink>
          </w:p>
          <w:p w:rsidR="00412BDC" w:rsidRPr="003C72A8" w:rsidRDefault="00D50797" w:rsidP="00412BDC">
            <w:pPr>
              <w:spacing w:after="0" w:line="240" w:lineRule="auto"/>
              <w:rPr>
                <w:rFonts w:ascii="Times New Roman" w:hAnsi="Times New Roman" w:cs="Times New Roman"/>
                <w:sz w:val="26"/>
                <w:szCs w:val="26"/>
              </w:rPr>
            </w:pPr>
            <w:hyperlink r:id="rId50" w:history="1">
              <w:r w:rsidR="00412BDC" w:rsidRPr="003C72A8">
                <w:rPr>
                  <w:rStyle w:val="Hyperlink"/>
                  <w:rFonts w:ascii="Times New Roman" w:hAnsi="Times New Roman" w:cs="Times New Roman"/>
                  <w:sz w:val="26"/>
                  <w:szCs w:val="26"/>
                </w:rPr>
                <w:t>msmalz@ohiopovertylaw.org</w:t>
              </w:r>
            </w:hyperlink>
          </w:p>
          <w:p w:rsidR="00412BDC" w:rsidRPr="003C72A8" w:rsidRDefault="00D50797" w:rsidP="00412BDC">
            <w:pPr>
              <w:spacing w:after="0" w:line="240" w:lineRule="auto"/>
              <w:rPr>
                <w:rFonts w:ascii="Times New Roman" w:hAnsi="Times New Roman" w:cs="Times New Roman"/>
                <w:sz w:val="26"/>
                <w:szCs w:val="26"/>
              </w:rPr>
            </w:pPr>
            <w:hyperlink r:id="rId51" w:history="1">
              <w:r w:rsidR="00412BDC" w:rsidRPr="003C72A8">
                <w:rPr>
                  <w:rStyle w:val="Hyperlink"/>
                  <w:rFonts w:ascii="Times New Roman" w:hAnsi="Times New Roman" w:cs="Times New Roman"/>
                  <w:sz w:val="26"/>
                  <w:szCs w:val="26"/>
                </w:rPr>
                <w:t>jmaskovyak@ohiopovertylaw.org</w:t>
              </w:r>
            </w:hyperlink>
          </w:p>
          <w:p w:rsidR="00412BDC" w:rsidRPr="003C72A8" w:rsidRDefault="00D50797" w:rsidP="00412BDC">
            <w:pPr>
              <w:spacing w:after="0" w:line="240" w:lineRule="auto"/>
              <w:rPr>
                <w:rFonts w:ascii="Times New Roman" w:hAnsi="Times New Roman" w:cs="Times New Roman"/>
                <w:sz w:val="26"/>
                <w:szCs w:val="26"/>
              </w:rPr>
            </w:pPr>
            <w:hyperlink r:id="rId52" w:history="1">
              <w:r w:rsidR="00412BDC" w:rsidRPr="003C72A8">
                <w:rPr>
                  <w:rStyle w:val="Hyperlink"/>
                  <w:rFonts w:ascii="Times New Roman" w:hAnsi="Times New Roman" w:cs="Times New Roman"/>
                  <w:sz w:val="26"/>
                  <w:szCs w:val="26"/>
                </w:rPr>
                <w:t>bakahn@vorys.com</w:t>
              </w:r>
            </w:hyperlink>
          </w:p>
          <w:p w:rsidR="00412BDC" w:rsidRPr="003C72A8" w:rsidRDefault="00D50797" w:rsidP="00412BDC">
            <w:pPr>
              <w:spacing w:after="0" w:line="240" w:lineRule="auto"/>
              <w:rPr>
                <w:rFonts w:ascii="Times New Roman" w:hAnsi="Times New Roman" w:cs="Times New Roman"/>
                <w:sz w:val="26"/>
                <w:szCs w:val="26"/>
              </w:rPr>
            </w:pPr>
            <w:hyperlink r:id="rId53" w:history="1">
              <w:r w:rsidR="00412BDC" w:rsidRPr="003C72A8">
                <w:rPr>
                  <w:rStyle w:val="Hyperlink"/>
                  <w:rFonts w:ascii="Times New Roman" w:hAnsi="Times New Roman" w:cs="Times New Roman"/>
                  <w:sz w:val="26"/>
                  <w:szCs w:val="26"/>
                </w:rPr>
                <w:t>gary.a.jeffries@dom.com</w:t>
              </w:r>
            </w:hyperlink>
          </w:p>
          <w:p w:rsidR="00412BDC" w:rsidRPr="003C72A8" w:rsidRDefault="00D50797" w:rsidP="00412BDC">
            <w:pPr>
              <w:spacing w:after="0" w:line="240" w:lineRule="auto"/>
              <w:rPr>
                <w:rFonts w:ascii="Times New Roman" w:hAnsi="Times New Roman" w:cs="Times New Roman"/>
                <w:sz w:val="26"/>
                <w:szCs w:val="26"/>
              </w:rPr>
            </w:pPr>
            <w:hyperlink r:id="rId54" w:history="1">
              <w:r w:rsidR="00412BDC" w:rsidRPr="003C72A8">
                <w:rPr>
                  <w:rStyle w:val="Hyperlink"/>
                  <w:rFonts w:ascii="Times New Roman" w:hAnsi="Times New Roman" w:cs="Times New Roman"/>
                  <w:sz w:val="26"/>
                  <w:szCs w:val="26"/>
                </w:rPr>
                <w:t>stephen.chriss@wal-mart.com</w:t>
              </w:r>
            </w:hyperlink>
          </w:p>
          <w:p w:rsidR="00412BDC" w:rsidRPr="003C72A8" w:rsidRDefault="00D50797" w:rsidP="00412BDC">
            <w:pPr>
              <w:spacing w:after="0" w:line="240" w:lineRule="auto"/>
              <w:rPr>
                <w:rFonts w:ascii="Times New Roman" w:hAnsi="Times New Roman" w:cs="Times New Roman"/>
                <w:sz w:val="26"/>
                <w:szCs w:val="26"/>
              </w:rPr>
            </w:pPr>
            <w:hyperlink r:id="rId55" w:history="1">
              <w:r w:rsidR="00412BDC" w:rsidRPr="003C72A8">
                <w:rPr>
                  <w:rStyle w:val="Hyperlink"/>
                  <w:rFonts w:ascii="Times New Roman" w:hAnsi="Times New Roman" w:cs="Times New Roman"/>
                  <w:sz w:val="26"/>
                  <w:szCs w:val="26"/>
                </w:rPr>
                <w:t>dmeyere@kmklaw.com</w:t>
              </w:r>
            </w:hyperlink>
          </w:p>
          <w:p w:rsidR="00412BDC" w:rsidRPr="003C72A8" w:rsidRDefault="00D50797" w:rsidP="00412BDC">
            <w:pPr>
              <w:spacing w:after="0" w:line="240" w:lineRule="auto"/>
              <w:rPr>
                <w:rFonts w:ascii="Times New Roman" w:hAnsi="Times New Roman" w:cs="Times New Roman"/>
                <w:sz w:val="26"/>
                <w:szCs w:val="26"/>
              </w:rPr>
            </w:pPr>
            <w:hyperlink r:id="rId56" w:history="1">
              <w:r w:rsidR="00412BDC" w:rsidRPr="003C72A8">
                <w:rPr>
                  <w:rStyle w:val="Hyperlink"/>
                  <w:rFonts w:ascii="Times New Roman" w:hAnsi="Times New Roman" w:cs="Times New Roman"/>
                  <w:sz w:val="26"/>
                  <w:szCs w:val="26"/>
                </w:rPr>
                <w:t>holly@raysmithlaw.com</w:t>
              </w:r>
            </w:hyperlink>
          </w:p>
          <w:p w:rsidR="00412BDC" w:rsidRPr="003C72A8" w:rsidRDefault="00D50797" w:rsidP="00412BDC">
            <w:pPr>
              <w:spacing w:after="0" w:line="240" w:lineRule="auto"/>
              <w:rPr>
                <w:rFonts w:ascii="Times New Roman" w:hAnsi="Times New Roman" w:cs="Times New Roman"/>
                <w:sz w:val="26"/>
                <w:szCs w:val="26"/>
              </w:rPr>
            </w:pPr>
            <w:hyperlink r:id="rId57" w:history="1">
              <w:r w:rsidR="00412BDC" w:rsidRPr="003C72A8">
                <w:rPr>
                  <w:rStyle w:val="Hyperlink"/>
                  <w:rFonts w:ascii="Times New Roman" w:hAnsi="Times New Roman" w:cs="Times New Roman"/>
                  <w:sz w:val="26"/>
                  <w:szCs w:val="26"/>
                </w:rPr>
                <w:t>barthroyer@aol.com</w:t>
              </w:r>
            </w:hyperlink>
          </w:p>
          <w:p w:rsidR="00412BDC" w:rsidRPr="003C72A8" w:rsidRDefault="00D50797" w:rsidP="00412BDC">
            <w:pPr>
              <w:spacing w:after="0" w:line="240" w:lineRule="auto"/>
              <w:rPr>
                <w:rFonts w:ascii="Times New Roman" w:hAnsi="Times New Roman" w:cs="Times New Roman"/>
                <w:sz w:val="26"/>
                <w:szCs w:val="26"/>
              </w:rPr>
            </w:pPr>
            <w:hyperlink r:id="rId58" w:history="1">
              <w:r w:rsidR="00412BDC" w:rsidRPr="003C72A8">
                <w:rPr>
                  <w:rStyle w:val="Hyperlink"/>
                  <w:rFonts w:ascii="Times New Roman" w:hAnsi="Times New Roman" w:cs="Times New Roman"/>
                  <w:sz w:val="26"/>
                  <w:szCs w:val="26"/>
                </w:rPr>
                <w:t>philip.sineneng@thompsonhine.com</w:t>
              </w:r>
            </w:hyperlink>
          </w:p>
          <w:p w:rsidR="00412BDC" w:rsidRPr="003C72A8" w:rsidRDefault="00D50797" w:rsidP="00412BDC">
            <w:pPr>
              <w:spacing w:after="0" w:line="240" w:lineRule="auto"/>
              <w:rPr>
                <w:rFonts w:ascii="Times New Roman" w:hAnsi="Times New Roman" w:cs="Times New Roman"/>
                <w:sz w:val="26"/>
                <w:szCs w:val="26"/>
              </w:rPr>
            </w:pPr>
            <w:hyperlink r:id="rId59" w:history="1">
              <w:r w:rsidR="00412BDC" w:rsidRPr="003C72A8">
                <w:rPr>
                  <w:rStyle w:val="Hyperlink"/>
                  <w:rFonts w:ascii="Times New Roman" w:hAnsi="Times New Roman" w:cs="Times New Roman"/>
                  <w:sz w:val="26"/>
                  <w:szCs w:val="26"/>
                </w:rPr>
                <w:t>carolyn.flahive@thompsonhine.com</w:t>
              </w:r>
            </w:hyperlink>
          </w:p>
          <w:p w:rsidR="00412BDC" w:rsidRPr="003C72A8" w:rsidRDefault="00D50797" w:rsidP="00412BDC">
            <w:pPr>
              <w:spacing w:after="0" w:line="240" w:lineRule="auto"/>
              <w:rPr>
                <w:rFonts w:ascii="Times New Roman" w:hAnsi="Times New Roman" w:cs="Times New Roman"/>
                <w:sz w:val="26"/>
                <w:szCs w:val="26"/>
              </w:rPr>
            </w:pPr>
            <w:hyperlink r:id="rId60" w:history="1">
              <w:r w:rsidR="00412BDC" w:rsidRPr="003C72A8">
                <w:rPr>
                  <w:rStyle w:val="Hyperlink"/>
                  <w:rFonts w:ascii="Times New Roman" w:hAnsi="Times New Roman" w:cs="Times New Roman"/>
                  <w:sz w:val="26"/>
                  <w:szCs w:val="26"/>
                </w:rPr>
                <w:t>terrance.mebane@thompsonhine.com</w:t>
              </w:r>
            </w:hyperlink>
          </w:p>
          <w:p w:rsidR="00412BDC" w:rsidRPr="003C72A8" w:rsidRDefault="00D50797" w:rsidP="00412BDC">
            <w:pPr>
              <w:spacing w:after="0" w:line="240" w:lineRule="auto"/>
              <w:rPr>
                <w:rFonts w:ascii="Times New Roman" w:hAnsi="Times New Roman" w:cs="Times New Roman"/>
                <w:sz w:val="26"/>
                <w:szCs w:val="26"/>
              </w:rPr>
            </w:pPr>
            <w:hyperlink r:id="rId61" w:history="1">
              <w:r w:rsidR="00412BDC" w:rsidRPr="003C72A8">
                <w:rPr>
                  <w:rStyle w:val="Hyperlink"/>
                  <w:rFonts w:ascii="Times New Roman" w:hAnsi="Times New Roman" w:cs="Times New Roman"/>
                  <w:sz w:val="26"/>
                  <w:szCs w:val="26"/>
                </w:rPr>
                <w:t>drinebolt@ohioparterns.corg</w:t>
              </w:r>
            </w:hyperlink>
          </w:p>
          <w:p w:rsidR="00412BDC" w:rsidRPr="003C72A8" w:rsidRDefault="00412BDC" w:rsidP="00412BDC">
            <w:pPr>
              <w:spacing w:after="0" w:line="240" w:lineRule="auto"/>
              <w:rPr>
                <w:rFonts w:ascii="Times New Roman" w:hAnsi="Times New Roman" w:cs="Times New Roman"/>
                <w:sz w:val="26"/>
                <w:szCs w:val="26"/>
              </w:rPr>
            </w:pPr>
          </w:p>
        </w:tc>
        <w:tc>
          <w:tcPr>
            <w:tcW w:w="4788" w:type="dxa"/>
            <w:shd w:val="clear" w:color="auto" w:fill="auto"/>
          </w:tcPr>
          <w:p w:rsidR="00412BDC" w:rsidRPr="003C72A8" w:rsidRDefault="00D50797" w:rsidP="00412BDC">
            <w:pPr>
              <w:spacing w:after="0" w:line="240" w:lineRule="auto"/>
              <w:rPr>
                <w:rFonts w:ascii="Times New Roman" w:hAnsi="Times New Roman" w:cs="Times New Roman"/>
                <w:sz w:val="26"/>
                <w:szCs w:val="26"/>
              </w:rPr>
            </w:pPr>
            <w:hyperlink r:id="rId62" w:history="1">
              <w:r w:rsidR="00412BDC" w:rsidRPr="003C72A8">
                <w:rPr>
                  <w:rStyle w:val="Hyperlink"/>
                  <w:rFonts w:ascii="Times New Roman" w:hAnsi="Times New Roman" w:cs="Times New Roman"/>
                  <w:sz w:val="26"/>
                  <w:szCs w:val="26"/>
                </w:rPr>
                <w:t>trent@theoeg.com</w:t>
              </w:r>
            </w:hyperlink>
          </w:p>
          <w:p w:rsidR="00412BDC" w:rsidRPr="003C72A8" w:rsidRDefault="00D50797" w:rsidP="00412BDC">
            <w:pPr>
              <w:spacing w:after="0" w:line="240" w:lineRule="auto"/>
              <w:rPr>
                <w:rFonts w:ascii="Times New Roman" w:hAnsi="Times New Roman" w:cs="Times New Roman"/>
                <w:sz w:val="26"/>
                <w:szCs w:val="26"/>
              </w:rPr>
            </w:pPr>
            <w:hyperlink r:id="rId63" w:history="1">
              <w:r w:rsidR="00412BDC" w:rsidRPr="003C72A8">
                <w:rPr>
                  <w:rStyle w:val="Hyperlink"/>
                  <w:rFonts w:ascii="Times New Roman" w:hAnsi="Times New Roman" w:cs="Times New Roman"/>
                  <w:sz w:val="26"/>
                  <w:szCs w:val="26"/>
                </w:rPr>
                <w:t>nolan@theoec.org</w:t>
              </w:r>
            </w:hyperlink>
          </w:p>
          <w:p w:rsidR="00412BDC" w:rsidRPr="003C72A8" w:rsidRDefault="00D50797" w:rsidP="00412BDC">
            <w:pPr>
              <w:spacing w:after="0" w:line="240" w:lineRule="auto"/>
              <w:rPr>
                <w:rFonts w:ascii="Times New Roman" w:hAnsi="Times New Roman" w:cs="Times New Roman"/>
                <w:sz w:val="26"/>
                <w:szCs w:val="26"/>
              </w:rPr>
            </w:pPr>
            <w:hyperlink r:id="rId64" w:history="1">
              <w:r w:rsidR="00412BDC" w:rsidRPr="003C72A8">
                <w:rPr>
                  <w:rStyle w:val="Hyperlink"/>
                  <w:rFonts w:ascii="Times New Roman" w:hAnsi="Times New Roman" w:cs="Times New Roman"/>
                  <w:sz w:val="26"/>
                  <w:szCs w:val="26"/>
                </w:rPr>
                <w:t>gpoulos@enernoc.com</w:t>
              </w:r>
            </w:hyperlink>
          </w:p>
          <w:p w:rsidR="00412BDC" w:rsidRPr="003C72A8" w:rsidRDefault="00D50797" w:rsidP="00412BDC">
            <w:pPr>
              <w:spacing w:after="0" w:line="240" w:lineRule="auto"/>
              <w:rPr>
                <w:rFonts w:ascii="Times New Roman" w:hAnsi="Times New Roman" w:cs="Times New Roman"/>
                <w:sz w:val="26"/>
                <w:szCs w:val="26"/>
              </w:rPr>
            </w:pPr>
            <w:hyperlink r:id="rId65" w:history="1">
              <w:r w:rsidR="00412BDC" w:rsidRPr="003C72A8">
                <w:rPr>
                  <w:rStyle w:val="Hyperlink"/>
                  <w:rFonts w:ascii="Times New Roman" w:hAnsi="Times New Roman" w:cs="Times New Roman"/>
                  <w:sz w:val="26"/>
                  <w:szCs w:val="26"/>
                </w:rPr>
                <w:t>emma.hand@snrdenton.com</w:t>
              </w:r>
            </w:hyperlink>
          </w:p>
          <w:p w:rsidR="00412BDC" w:rsidRPr="003C72A8" w:rsidRDefault="00D50797" w:rsidP="00412BDC">
            <w:pPr>
              <w:spacing w:after="0" w:line="240" w:lineRule="auto"/>
              <w:rPr>
                <w:rFonts w:ascii="Times New Roman" w:hAnsi="Times New Roman" w:cs="Times New Roman"/>
                <w:sz w:val="26"/>
                <w:szCs w:val="26"/>
              </w:rPr>
            </w:pPr>
            <w:hyperlink r:id="rId66" w:history="1">
              <w:r w:rsidR="00412BDC" w:rsidRPr="003C72A8">
                <w:rPr>
                  <w:rStyle w:val="Hyperlink"/>
                  <w:rFonts w:ascii="Times New Roman" w:hAnsi="Times New Roman" w:cs="Times New Roman"/>
                  <w:sz w:val="26"/>
                  <w:szCs w:val="26"/>
                </w:rPr>
                <w:t>doug.bonner@snrdenton.com</w:t>
              </w:r>
            </w:hyperlink>
          </w:p>
          <w:p w:rsidR="00412BDC" w:rsidRPr="003C72A8" w:rsidRDefault="00D50797" w:rsidP="00412BDC">
            <w:pPr>
              <w:spacing w:after="0" w:line="240" w:lineRule="auto"/>
              <w:rPr>
                <w:rFonts w:ascii="Times New Roman" w:hAnsi="Times New Roman" w:cs="Times New Roman"/>
                <w:sz w:val="26"/>
                <w:szCs w:val="26"/>
              </w:rPr>
            </w:pPr>
            <w:hyperlink r:id="rId67" w:history="1">
              <w:r w:rsidR="00412BDC" w:rsidRPr="003C72A8">
                <w:rPr>
                  <w:rStyle w:val="Hyperlink"/>
                  <w:rFonts w:ascii="Times New Roman" w:hAnsi="Times New Roman" w:cs="Times New Roman"/>
                  <w:sz w:val="26"/>
                  <w:szCs w:val="26"/>
                </w:rPr>
                <w:t>clinton.vince@snrdenton.com</w:t>
              </w:r>
            </w:hyperlink>
          </w:p>
          <w:p w:rsidR="00412BDC" w:rsidRPr="003C72A8" w:rsidRDefault="00D50797" w:rsidP="00412BDC">
            <w:pPr>
              <w:spacing w:after="0" w:line="240" w:lineRule="auto"/>
              <w:rPr>
                <w:rFonts w:ascii="Times New Roman" w:hAnsi="Times New Roman" w:cs="Times New Roman"/>
                <w:sz w:val="26"/>
                <w:szCs w:val="26"/>
              </w:rPr>
            </w:pPr>
            <w:hyperlink r:id="rId68" w:history="1">
              <w:r w:rsidR="00412BDC" w:rsidRPr="003C72A8">
                <w:rPr>
                  <w:rStyle w:val="Hyperlink"/>
                  <w:rFonts w:ascii="Times New Roman" w:hAnsi="Times New Roman" w:cs="Times New Roman"/>
                  <w:sz w:val="26"/>
                  <w:szCs w:val="26"/>
                </w:rPr>
                <w:t>sam@mwncmh.com</w:t>
              </w:r>
            </w:hyperlink>
          </w:p>
          <w:p w:rsidR="00412BDC" w:rsidRPr="003C72A8" w:rsidRDefault="00D50797" w:rsidP="00412BDC">
            <w:pPr>
              <w:spacing w:after="0" w:line="240" w:lineRule="auto"/>
              <w:rPr>
                <w:rFonts w:ascii="Times New Roman" w:hAnsi="Times New Roman" w:cs="Times New Roman"/>
                <w:sz w:val="26"/>
                <w:szCs w:val="26"/>
              </w:rPr>
            </w:pPr>
            <w:hyperlink r:id="rId69" w:history="1">
              <w:r w:rsidR="00412BDC" w:rsidRPr="003C72A8">
                <w:rPr>
                  <w:rStyle w:val="Hyperlink"/>
                  <w:rFonts w:ascii="Times New Roman" w:hAnsi="Times New Roman" w:cs="Times New Roman"/>
                  <w:sz w:val="26"/>
                  <w:szCs w:val="26"/>
                </w:rPr>
                <w:t>dstahl@eimerstahl.com</w:t>
              </w:r>
            </w:hyperlink>
          </w:p>
          <w:p w:rsidR="00412BDC" w:rsidRPr="003C72A8" w:rsidRDefault="00D50797" w:rsidP="00412BDC">
            <w:pPr>
              <w:spacing w:after="0" w:line="240" w:lineRule="auto"/>
              <w:rPr>
                <w:rFonts w:ascii="Times New Roman" w:hAnsi="Times New Roman" w:cs="Times New Roman"/>
                <w:sz w:val="26"/>
                <w:szCs w:val="26"/>
              </w:rPr>
            </w:pPr>
            <w:hyperlink r:id="rId70" w:history="1">
              <w:r w:rsidR="00412BDC" w:rsidRPr="003C72A8">
                <w:rPr>
                  <w:rStyle w:val="Hyperlink"/>
                  <w:rFonts w:ascii="Times New Roman" w:hAnsi="Times New Roman" w:cs="Times New Roman"/>
                  <w:sz w:val="26"/>
                  <w:szCs w:val="26"/>
                </w:rPr>
                <w:t>aaragona@eimerstahl.com</w:t>
              </w:r>
            </w:hyperlink>
          </w:p>
          <w:p w:rsidR="00412BDC" w:rsidRPr="003C72A8" w:rsidRDefault="00D50797" w:rsidP="00412BDC">
            <w:pPr>
              <w:spacing w:after="0" w:line="240" w:lineRule="auto"/>
              <w:rPr>
                <w:rFonts w:ascii="Times New Roman" w:hAnsi="Times New Roman" w:cs="Times New Roman"/>
                <w:sz w:val="26"/>
                <w:szCs w:val="26"/>
              </w:rPr>
            </w:pPr>
            <w:hyperlink r:id="rId71" w:history="1">
              <w:r w:rsidR="00412BDC" w:rsidRPr="003C72A8">
                <w:rPr>
                  <w:rStyle w:val="Hyperlink"/>
                  <w:rFonts w:ascii="Times New Roman" w:hAnsi="Times New Roman" w:cs="Times New Roman"/>
                  <w:sz w:val="26"/>
                  <w:szCs w:val="26"/>
                </w:rPr>
                <w:t>ssolberg@eimerstahl.com</w:t>
              </w:r>
            </w:hyperlink>
          </w:p>
          <w:p w:rsidR="00412BDC" w:rsidRPr="003C72A8" w:rsidRDefault="00D50797" w:rsidP="00412BDC">
            <w:pPr>
              <w:spacing w:after="0" w:line="240" w:lineRule="auto"/>
              <w:rPr>
                <w:rFonts w:ascii="Times New Roman" w:hAnsi="Times New Roman" w:cs="Times New Roman"/>
                <w:sz w:val="26"/>
                <w:szCs w:val="26"/>
              </w:rPr>
            </w:pPr>
            <w:hyperlink r:id="rId72" w:history="1">
              <w:r w:rsidR="00412BDC" w:rsidRPr="003C72A8">
                <w:rPr>
                  <w:rStyle w:val="Hyperlink"/>
                  <w:rFonts w:ascii="Times New Roman" w:hAnsi="Times New Roman" w:cs="Times New Roman"/>
                  <w:sz w:val="26"/>
                  <w:szCs w:val="26"/>
                </w:rPr>
                <w:t>tsantarelli@elpc.org</w:t>
              </w:r>
            </w:hyperlink>
          </w:p>
          <w:p w:rsidR="00412BDC" w:rsidRPr="003C72A8" w:rsidRDefault="00D50797" w:rsidP="00412BDC">
            <w:pPr>
              <w:spacing w:after="0" w:line="240" w:lineRule="auto"/>
              <w:rPr>
                <w:rFonts w:ascii="Times New Roman" w:hAnsi="Times New Roman" w:cs="Times New Roman"/>
                <w:sz w:val="26"/>
                <w:szCs w:val="26"/>
              </w:rPr>
            </w:pPr>
            <w:hyperlink r:id="rId73" w:history="1">
              <w:r w:rsidR="00412BDC" w:rsidRPr="003C72A8">
                <w:rPr>
                  <w:rStyle w:val="Hyperlink"/>
                  <w:rFonts w:ascii="Times New Roman" w:hAnsi="Times New Roman" w:cs="Times New Roman"/>
                  <w:sz w:val="26"/>
                  <w:szCs w:val="26"/>
                </w:rPr>
                <w:t>callwein@wamenergylaw.com</w:t>
              </w:r>
            </w:hyperlink>
          </w:p>
          <w:p w:rsidR="00412BDC" w:rsidRPr="003C72A8" w:rsidRDefault="00D50797" w:rsidP="00412BDC">
            <w:pPr>
              <w:spacing w:after="0" w:line="240" w:lineRule="auto"/>
              <w:rPr>
                <w:rFonts w:ascii="Times New Roman" w:hAnsi="Times New Roman" w:cs="Times New Roman"/>
                <w:sz w:val="26"/>
                <w:szCs w:val="26"/>
              </w:rPr>
            </w:pPr>
            <w:hyperlink r:id="rId74" w:history="1">
              <w:r w:rsidR="00412BDC" w:rsidRPr="003C72A8">
                <w:rPr>
                  <w:rStyle w:val="Hyperlink"/>
                  <w:rFonts w:ascii="Times New Roman" w:hAnsi="Times New Roman" w:cs="Times New Roman"/>
                  <w:sz w:val="26"/>
                  <w:szCs w:val="26"/>
                </w:rPr>
                <w:t>malina@wexlerwalker.com</w:t>
              </w:r>
            </w:hyperlink>
          </w:p>
          <w:p w:rsidR="00412BDC" w:rsidRPr="003C72A8" w:rsidRDefault="00D50797" w:rsidP="00412BDC">
            <w:pPr>
              <w:spacing w:after="0" w:line="240" w:lineRule="auto"/>
              <w:rPr>
                <w:rFonts w:ascii="Times New Roman" w:hAnsi="Times New Roman" w:cs="Times New Roman"/>
                <w:sz w:val="26"/>
                <w:szCs w:val="26"/>
              </w:rPr>
            </w:pPr>
            <w:hyperlink r:id="rId75" w:history="1">
              <w:r w:rsidR="00412BDC" w:rsidRPr="003C72A8">
                <w:rPr>
                  <w:rStyle w:val="Hyperlink"/>
                  <w:rFonts w:ascii="Times New Roman" w:hAnsi="Times New Roman" w:cs="Times New Roman"/>
                  <w:sz w:val="26"/>
                  <w:szCs w:val="26"/>
                </w:rPr>
                <w:t>jkooper@hess.com</w:t>
              </w:r>
            </w:hyperlink>
          </w:p>
          <w:p w:rsidR="00412BDC" w:rsidRPr="003C72A8" w:rsidRDefault="00D50797" w:rsidP="00412BDC">
            <w:pPr>
              <w:spacing w:after="0" w:line="240" w:lineRule="auto"/>
              <w:rPr>
                <w:rFonts w:ascii="Times New Roman" w:hAnsi="Times New Roman" w:cs="Times New Roman"/>
                <w:sz w:val="26"/>
                <w:szCs w:val="26"/>
              </w:rPr>
            </w:pPr>
            <w:hyperlink r:id="rId76" w:history="1">
              <w:r w:rsidR="00412BDC" w:rsidRPr="003C72A8">
                <w:rPr>
                  <w:rStyle w:val="Hyperlink"/>
                  <w:rFonts w:ascii="Times New Roman" w:hAnsi="Times New Roman" w:cs="Times New Roman"/>
                  <w:sz w:val="26"/>
                  <w:szCs w:val="26"/>
                </w:rPr>
                <w:t>kguerry@hess.com</w:t>
              </w:r>
            </w:hyperlink>
          </w:p>
          <w:p w:rsidR="00412BDC" w:rsidRPr="003C72A8" w:rsidRDefault="00D50797" w:rsidP="00412BDC">
            <w:pPr>
              <w:spacing w:after="0" w:line="240" w:lineRule="auto"/>
              <w:rPr>
                <w:rFonts w:ascii="Times New Roman" w:hAnsi="Times New Roman" w:cs="Times New Roman"/>
                <w:sz w:val="26"/>
                <w:szCs w:val="26"/>
              </w:rPr>
            </w:pPr>
            <w:hyperlink r:id="rId77" w:history="1">
              <w:r w:rsidR="00412BDC" w:rsidRPr="003C72A8">
                <w:rPr>
                  <w:rStyle w:val="Hyperlink"/>
                  <w:rFonts w:ascii="Times New Roman" w:hAnsi="Times New Roman" w:cs="Times New Roman"/>
                  <w:sz w:val="26"/>
                  <w:szCs w:val="26"/>
                </w:rPr>
                <w:t>afreifeld@viridityenergy.com</w:t>
              </w:r>
            </w:hyperlink>
          </w:p>
          <w:p w:rsidR="00412BDC" w:rsidRPr="003C72A8" w:rsidRDefault="00D50797" w:rsidP="00412BDC">
            <w:pPr>
              <w:spacing w:after="0" w:line="240" w:lineRule="auto"/>
              <w:rPr>
                <w:rFonts w:ascii="Times New Roman" w:hAnsi="Times New Roman" w:cs="Times New Roman"/>
                <w:sz w:val="26"/>
                <w:szCs w:val="26"/>
              </w:rPr>
            </w:pPr>
            <w:hyperlink r:id="rId78" w:history="1">
              <w:r w:rsidR="00412BDC" w:rsidRPr="003C72A8">
                <w:rPr>
                  <w:rStyle w:val="Hyperlink"/>
                  <w:rFonts w:ascii="Times New Roman" w:hAnsi="Times New Roman" w:cs="Times New Roman"/>
                  <w:sz w:val="26"/>
                  <w:szCs w:val="26"/>
                </w:rPr>
                <w:t>swolfe@viridityenergy.com</w:t>
              </w:r>
            </w:hyperlink>
          </w:p>
          <w:p w:rsidR="00412BDC" w:rsidRPr="003C72A8" w:rsidRDefault="00D50797" w:rsidP="00412BDC">
            <w:pPr>
              <w:spacing w:after="0" w:line="240" w:lineRule="auto"/>
              <w:rPr>
                <w:rFonts w:ascii="Times New Roman" w:hAnsi="Times New Roman" w:cs="Times New Roman"/>
                <w:sz w:val="26"/>
                <w:szCs w:val="26"/>
              </w:rPr>
            </w:pPr>
            <w:hyperlink r:id="rId79" w:history="1">
              <w:r w:rsidR="00412BDC" w:rsidRPr="003C72A8">
                <w:rPr>
                  <w:rStyle w:val="Hyperlink"/>
                  <w:rFonts w:ascii="Times New Roman" w:hAnsi="Times New Roman" w:cs="Times New Roman"/>
                  <w:sz w:val="26"/>
                  <w:szCs w:val="26"/>
                </w:rPr>
                <w:t>korenergy@insight.rr.com</w:t>
              </w:r>
            </w:hyperlink>
          </w:p>
          <w:p w:rsidR="00412BDC" w:rsidRPr="003C72A8" w:rsidRDefault="00D50797" w:rsidP="00412BDC">
            <w:pPr>
              <w:spacing w:after="0" w:line="240" w:lineRule="auto"/>
              <w:rPr>
                <w:rFonts w:ascii="Times New Roman" w:hAnsi="Times New Roman" w:cs="Times New Roman"/>
                <w:sz w:val="26"/>
                <w:szCs w:val="26"/>
              </w:rPr>
            </w:pPr>
            <w:hyperlink r:id="rId80" w:history="1">
              <w:r w:rsidR="00412BDC" w:rsidRPr="003C72A8">
                <w:rPr>
                  <w:rStyle w:val="Hyperlink"/>
                  <w:rFonts w:ascii="Times New Roman" w:hAnsi="Times New Roman" w:cs="Times New Roman"/>
                  <w:sz w:val="26"/>
                  <w:szCs w:val="26"/>
                </w:rPr>
                <w:t>sasloan@aep.com</w:t>
              </w:r>
            </w:hyperlink>
          </w:p>
          <w:p w:rsidR="00412BDC" w:rsidRPr="003C72A8" w:rsidRDefault="00D50797" w:rsidP="00412BDC">
            <w:pPr>
              <w:spacing w:after="0" w:line="240" w:lineRule="auto"/>
              <w:rPr>
                <w:rFonts w:ascii="Times New Roman" w:hAnsi="Times New Roman" w:cs="Times New Roman"/>
                <w:sz w:val="26"/>
                <w:szCs w:val="26"/>
              </w:rPr>
            </w:pPr>
            <w:hyperlink r:id="rId81" w:history="1">
              <w:r w:rsidR="00412BDC" w:rsidRPr="003C72A8">
                <w:rPr>
                  <w:rStyle w:val="Hyperlink"/>
                  <w:rFonts w:ascii="Times New Roman" w:hAnsi="Times New Roman" w:cs="Times New Roman"/>
                  <w:sz w:val="26"/>
                  <w:szCs w:val="26"/>
                </w:rPr>
                <w:t>dane.stinson@baileycavalierie.com</w:t>
              </w:r>
            </w:hyperlink>
          </w:p>
          <w:p w:rsidR="00412BDC" w:rsidRPr="003C72A8" w:rsidRDefault="00D50797" w:rsidP="00412BDC">
            <w:pPr>
              <w:spacing w:after="0" w:line="240" w:lineRule="auto"/>
              <w:rPr>
                <w:rFonts w:ascii="Times New Roman" w:hAnsi="Times New Roman" w:cs="Times New Roman"/>
                <w:sz w:val="26"/>
                <w:szCs w:val="26"/>
              </w:rPr>
            </w:pPr>
            <w:hyperlink r:id="rId82" w:history="1">
              <w:r w:rsidR="00412BDC" w:rsidRPr="003C72A8">
                <w:rPr>
                  <w:rStyle w:val="Hyperlink"/>
                  <w:rFonts w:ascii="Times New Roman" w:hAnsi="Times New Roman" w:cs="Times New Roman"/>
                  <w:sz w:val="26"/>
                  <w:szCs w:val="26"/>
                </w:rPr>
                <w:t>cendsley@ofbp.org</w:t>
              </w:r>
            </w:hyperlink>
          </w:p>
          <w:p w:rsidR="00412BDC" w:rsidRPr="003C72A8" w:rsidRDefault="00D50797" w:rsidP="00412BDC">
            <w:pPr>
              <w:spacing w:after="0" w:line="240" w:lineRule="auto"/>
              <w:rPr>
                <w:rFonts w:ascii="Times New Roman" w:hAnsi="Times New Roman" w:cs="Times New Roman"/>
                <w:sz w:val="26"/>
                <w:szCs w:val="26"/>
              </w:rPr>
            </w:pPr>
            <w:hyperlink r:id="rId83" w:history="1">
              <w:r w:rsidR="00412BDC" w:rsidRPr="003C72A8">
                <w:rPr>
                  <w:rStyle w:val="Hyperlink"/>
                  <w:rFonts w:ascii="Times New Roman" w:hAnsi="Times New Roman" w:cs="Times New Roman"/>
                  <w:sz w:val="26"/>
                  <w:szCs w:val="26"/>
                </w:rPr>
                <w:t>jeanne.kingery@duke-energy.com</w:t>
              </w:r>
            </w:hyperlink>
          </w:p>
          <w:p w:rsidR="00412BDC" w:rsidRPr="003C72A8" w:rsidRDefault="00D50797" w:rsidP="00412BDC">
            <w:pPr>
              <w:spacing w:after="0" w:line="240" w:lineRule="auto"/>
              <w:rPr>
                <w:rFonts w:ascii="Times New Roman" w:hAnsi="Times New Roman" w:cs="Times New Roman"/>
                <w:sz w:val="26"/>
                <w:szCs w:val="26"/>
              </w:rPr>
            </w:pPr>
            <w:hyperlink r:id="rId84" w:history="1">
              <w:r w:rsidR="00412BDC" w:rsidRPr="003C72A8">
                <w:rPr>
                  <w:rStyle w:val="Hyperlink"/>
                  <w:rFonts w:ascii="Times New Roman" w:hAnsi="Times New Roman" w:cs="Times New Roman"/>
                  <w:sz w:val="26"/>
                  <w:szCs w:val="26"/>
                </w:rPr>
                <w:t>rsugarman@kegler.brown.com</w:t>
              </w:r>
            </w:hyperlink>
          </w:p>
          <w:p w:rsidR="00412BDC" w:rsidRPr="003C72A8" w:rsidRDefault="00D50797" w:rsidP="00412BDC">
            <w:pPr>
              <w:spacing w:after="0" w:line="240" w:lineRule="auto"/>
              <w:rPr>
                <w:rFonts w:ascii="Times New Roman" w:hAnsi="Times New Roman" w:cs="Times New Roman"/>
                <w:sz w:val="26"/>
                <w:szCs w:val="26"/>
              </w:rPr>
            </w:pPr>
            <w:hyperlink r:id="rId85" w:history="1">
              <w:r w:rsidR="00412BDC" w:rsidRPr="003C72A8">
                <w:rPr>
                  <w:rStyle w:val="Hyperlink"/>
                  <w:rFonts w:ascii="Times New Roman" w:hAnsi="Times New Roman" w:cs="Times New Roman"/>
                  <w:sz w:val="26"/>
                  <w:szCs w:val="26"/>
                </w:rPr>
                <w:t>asimhaque@icemiller.com</w:t>
              </w:r>
            </w:hyperlink>
          </w:p>
          <w:p w:rsidR="00412BDC" w:rsidRPr="003C72A8" w:rsidRDefault="00D50797" w:rsidP="00412BDC">
            <w:pPr>
              <w:spacing w:after="0" w:line="240" w:lineRule="auto"/>
              <w:rPr>
                <w:rFonts w:ascii="Times New Roman" w:hAnsi="Times New Roman" w:cs="Times New Roman"/>
                <w:sz w:val="26"/>
                <w:szCs w:val="26"/>
              </w:rPr>
            </w:pPr>
            <w:hyperlink r:id="rId86" w:history="1">
              <w:r w:rsidR="00412BDC" w:rsidRPr="003C72A8">
                <w:rPr>
                  <w:rStyle w:val="Hyperlink"/>
                  <w:rFonts w:ascii="Times New Roman" w:hAnsi="Times New Roman" w:cs="Times New Roman"/>
                  <w:sz w:val="26"/>
                  <w:szCs w:val="26"/>
                </w:rPr>
                <w:t>gregory.dunn@icemiller.com</w:t>
              </w:r>
            </w:hyperlink>
          </w:p>
          <w:p w:rsidR="00412BDC" w:rsidRPr="003C72A8" w:rsidRDefault="00D50797" w:rsidP="00412BDC">
            <w:pPr>
              <w:spacing w:after="0" w:line="240" w:lineRule="auto"/>
              <w:rPr>
                <w:rFonts w:ascii="Times New Roman" w:hAnsi="Times New Roman" w:cs="Times New Roman"/>
                <w:sz w:val="26"/>
                <w:szCs w:val="26"/>
              </w:rPr>
            </w:pPr>
            <w:hyperlink r:id="rId87" w:history="1">
              <w:r w:rsidR="00412BDC" w:rsidRPr="003C72A8">
                <w:rPr>
                  <w:rStyle w:val="Hyperlink"/>
                  <w:rFonts w:ascii="Times New Roman" w:hAnsi="Times New Roman" w:cs="Times New Roman"/>
                  <w:sz w:val="26"/>
                  <w:szCs w:val="26"/>
                </w:rPr>
                <w:t>christopher.miller@icemiller.com</w:t>
              </w:r>
            </w:hyperlink>
          </w:p>
          <w:p w:rsidR="00412BDC" w:rsidRPr="003C72A8" w:rsidRDefault="00D50797" w:rsidP="00412BDC">
            <w:pPr>
              <w:spacing w:after="0" w:line="240" w:lineRule="auto"/>
              <w:rPr>
                <w:rFonts w:ascii="Times New Roman" w:hAnsi="Times New Roman" w:cs="Times New Roman"/>
                <w:sz w:val="26"/>
                <w:szCs w:val="26"/>
              </w:rPr>
            </w:pPr>
            <w:hyperlink r:id="rId88" w:history="1">
              <w:r w:rsidR="00412BDC" w:rsidRPr="003C72A8">
                <w:rPr>
                  <w:rStyle w:val="Hyperlink"/>
                  <w:rFonts w:ascii="Times New Roman" w:hAnsi="Times New Roman" w:cs="Times New Roman"/>
                  <w:sz w:val="26"/>
                  <w:szCs w:val="26"/>
                </w:rPr>
                <w:t>bpbarger@bcslawyers.com</w:t>
              </w:r>
            </w:hyperlink>
          </w:p>
          <w:p w:rsidR="00412BDC" w:rsidRPr="003C72A8" w:rsidRDefault="00D50797" w:rsidP="00412BDC">
            <w:pPr>
              <w:spacing w:after="0" w:line="240" w:lineRule="auto"/>
              <w:rPr>
                <w:rFonts w:ascii="Times New Roman" w:hAnsi="Times New Roman" w:cs="Times New Roman"/>
                <w:sz w:val="26"/>
                <w:szCs w:val="26"/>
              </w:rPr>
            </w:pPr>
            <w:hyperlink r:id="rId89" w:history="1">
              <w:r w:rsidR="00412BDC" w:rsidRPr="003C72A8">
                <w:rPr>
                  <w:rStyle w:val="Hyperlink"/>
                  <w:rFonts w:ascii="Times New Roman" w:hAnsi="Times New Roman" w:cs="Times New Roman"/>
                  <w:sz w:val="26"/>
                  <w:szCs w:val="26"/>
                </w:rPr>
                <w:t>yalami@aep.com</w:t>
              </w:r>
            </w:hyperlink>
          </w:p>
          <w:p w:rsidR="00412BDC" w:rsidRPr="003C72A8" w:rsidRDefault="00D50797" w:rsidP="00412BDC">
            <w:pPr>
              <w:spacing w:after="0" w:line="240" w:lineRule="auto"/>
              <w:rPr>
                <w:rFonts w:ascii="Times New Roman" w:hAnsi="Times New Roman" w:cs="Times New Roman"/>
                <w:sz w:val="26"/>
                <w:szCs w:val="26"/>
              </w:rPr>
            </w:pPr>
            <w:hyperlink r:id="rId90" w:history="1">
              <w:r w:rsidR="00412BDC" w:rsidRPr="003C72A8">
                <w:rPr>
                  <w:rStyle w:val="Hyperlink"/>
                  <w:rFonts w:ascii="Times New Roman" w:hAnsi="Times New Roman" w:cs="Times New Roman"/>
                  <w:sz w:val="26"/>
                  <w:szCs w:val="26"/>
                </w:rPr>
                <w:t>todonnell@bricker.com</w:t>
              </w:r>
            </w:hyperlink>
          </w:p>
          <w:p w:rsidR="00412BDC" w:rsidRPr="003C72A8" w:rsidRDefault="00D50797" w:rsidP="00412BDC">
            <w:pPr>
              <w:spacing w:after="0" w:line="240" w:lineRule="auto"/>
              <w:rPr>
                <w:rFonts w:ascii="Times New Roman" w:hAnsi="Times New Roman" w:cs="Times New Roman"/>
                <w:sz w:val="26"/>
                <w:szCs w:val="26"/>
              </w:rPr>
            </w:pPr>
            <w:hyperlink r:id="rId91" w:history="1">
              <w:r w:rsidR="00412BDC" w:rsidRPr="003C72A8">
                <w:rPr>
                  <w:rStyle w:val="Hyperlink"/>
                  <w:rFonts w:ascii="Times New Roman" w:hAnsi="Times New Roman" w:cs="Times New Roman"/>
                  <w:sz w:val="26"/>
                  <w:szCs w:val="26"/>
                </w:rPr>
                <w:t>cmontgomery@bricker.com</w:t>
              </w:r>
            </w:hyperlink>
          </w:p>
          <w:p w:rsidR="00412BDC" w:rsidRPr="003C72A8" w:rsidRDefault="00D50797" w:rsidP="00412BDC">
            <w:pPr>
              <w:spacing w:after="0" w:line="240" w:lineRule="auto"/>
              <w:rPr>
                <w:rFonts w:ascii="Times New Roman" w:hAnsi="Times New Roman" w:cs="Times New Roman"/>
                <w:sz w:val="26"/>
                <w:szCs w:val="26"/>
              </w:rPr>
            </w:pPr>
            <w:hyperlink r:id="rId92" w:history="1">
              <w:r w:rsidR="00412BDC" w:rsidRPr="003C72A8">
                <w:rPr>
                  <w:rStyle w:val="Hyperlink"/>
                  <w:rFonts w:ascii="Times New Roman" w:hAnsi="Times New Roman" w:cs="Times New Roman"/>
                  <w:sz w:val="26"/>
                  <w:szCs w:val="26"/>
                </w:rPr>
                <w:t>lmalister@bricker.com</w:t>
              </w:r>
            </w:hyperlink>
          </w:p>
          <w:p w:rsidR="00412BDC" w:rsidRPr="003C72A8" w:rsidRDefault="00D50797" w:rsidP="00412BDC">
            <w:pPr>
              <w:spacing w:after="0" w:line="240" w:lineRule="auto"/>
              <w:rPr>
                <w:rFonts w:ascii="Times New Roman" w:hAnsi="Times New Roman" w:cs="Times New Roman"/>
                <w:sz w:val="26"/>
                <w:szCs w:val="26"/>
              </w:rPr>
            </w:pPr>
            <w:hyperlink r:id="rId93" w:history="1">
              <w:r w:rsidR="00412BDC" w:rsidRPr="003C72A8">
                <w:rPr>
                  <w:rStyle w:val="Hyperlink"/>
                  <w:rFonts w:ascii="Times New Roman" w:hAnsi="Times New Roman" w:cs="Times New Roman"/>
                  <w:sz w:val="26"/>
                  <w:szCs w:val="26"/>
                </w:rPr>
                <w:t>mwarnock@bricker.com</w:t>
              </w:r>
            </w:hyperlink>
          </w:p>
          <w:p w:rsidR="00412BDC" w:rsidRPr="003C72A8" w:rsidRDefault="00D50797" w:rsidP="00412BDC">
            <w:pPr>
              <w:spacing w:after="0" w:line="240" w:lineRule="auto"/>
              <w:rPr>
                <w:rFonts w:ascii="Times New Roman" w:hAnsi="Times New Roman" w:cs="Times New Roman"/>
                <w:sz w:val="26"/>
                <w:szCs w:val="26"/>
              </w:rPr>
            </w:pPr>
            <w:hyperlink r:id="rId94" w:history="1">
              <w:r w:rsidR="00412BDC" w:rsidRPr="003C72A8">
                <w:rPr>
                  <w:rStyle w:val="Hyperlink"/>
                  <w:rFonts w:ascii="Times New Roman" w:hAnsi="Times New Roman" w:cs="Times New Roman"/>
                  <w:sz w:val="26"/>
                  <w:szCs w:val="26"/>
                </w:rPr>
                <w:t>gthomas@gtpowergroup.com</w:t>
              </w:r>
            </w:hyperlink>
          </w:p>
          <w:p w:rsidR="00412BDC" w:rsidRPr="003C72A8" w:rsidRDefault="00D50797" w:rsidP="00412BDC">
            <w:pPr>
              <w:spacing w:after="0" w:line="240" w:lineRule="auto"/>
              <w:rPr>
                <w:rFonts w:ascii="Times New Roman" w:hAnsi="Times New Roman" w:cs="Times New Roman"/>
                <w:sz w:val="26"/>
                <w:szCs w:val="26"/>
              </w:rPr>
            </w:pPr>
            <w:hyperlink r:id="rId95" w:history="1">
              <w:r w:rsidR="00412BDC" w:rsidRPr="003C72A8">
                <w:rPr>
                  <w:rStyle w:val="Hyperlink"/>
                  <w:rFonts w:ascii="Times New Roman" w:hAnsi="Times New Roman" w:cs="Times New Roman"/>
                  <w:sz w:val="26"/>
                  <w:szCs w:val="26"/>
                </w:rPr>
                <w:t>wmassey@cov.com</w:t>
              </w:r>
            </w:hyperlink>
          </w:p>
          <w:p w:rsidR="00412BDC" w:rsidRPr="003C72A8" w:rsidRDefault="00D50797" w:rsidP="00412BDC">
            <w:pPr>
              <w:spacing w:after="0" w:line="240" w:lineRule="auto"/>
              <w:rPr>
                <w:rFonts w:ascii="Times New Roman" w:hAnsi="Times New Roman" w:cs="Times New Roman"/>
                <w:sz w:val="26"/>
                <w:szCs w:val="26"/>
              </w:rPr>
            </w:pPr>
            <w:hyperlink r:id="rId96" w:history="1">
              <w:r w:rsidR="00412BDC" w:rsidRPr="003C72A8">
                <w:rPr>
                  <w:rStyle w:val="Hyperlink"/>
                  <w:rFonts w:ascii="Times New Roman" w:hAnsi="Times New Roman" w:cs="Times New Roman"/>
                  <w:sz w:val="26"/>
                  <w:szCs w:val="26"/>
                </w:rPr>
                <w:t>henryeckhart@aol.com</w:t>
              </w:r>
            </w:hyperlink>
          </w:p>
          <w:p w:rsidR="00412BDC" w:rsidRPr="003C72A8" w:rsidRDefault="00D50797" w:rsidP="00412BDC">
            <w:pPr>
              <w:spacing w:after="0" w:line="240" w:lineRule="auto"/>
              <w:rPr>
                <w:rFonts w:ascii="Times New Roman" w:hAnsi="Times New Roman" w:cs="Times New Roman"/>
                <w:sz w:val="26"/>
                <w:szCs w:val="26"/>
              </w:rPr>
            </w:pPr>
            <w:hyperlink r:id="rId97" w:history="1">
              <w:r w:rsidR="00412BDC" w:rsidRPr="003C72A8">
                <w:rPr>
                  <w:rStyle w:val="Hyperlink"/>
                  <w:rFonts w:ascii="Times New Roman" w:hAnsi="Times New Roman" w:cs="Times New Roman"/>
                  <w:sz w:val="26"/>
                  <w:szCs w:val="26"/>
                </w:rPr>
                <w:t>laurac@chappelleconsulting.net</w:t>
              </w:r>
            </w:hyperlink>
          </w:p>
          <w:p w:rsidR="00412BDC" w:rsidRPr="003C72A8" w:rsidRDefault="00D50797" w:rsidP="00412BDC">
            <w:pPr>
              <w:spacing w:after="0" w:line="240" w:lineRule="auto"/>
              <w:rPr>
                <w:rFonts w:ascii="Times New Roman" w:hAnsi="Times New Roman" w:cs="Times New Roman"/>
                <w:sz w:val="26"/>
                <w:szCs w:val="26"/>
              </w:rPr>
            </w:pPr>
            <w:hyperlink r:id="rId98" w:history="1">
              <w:r w:rsidR="00412BDC" w:rsidRPr="003C72A8">
                <w:rPr>
                  <w:rStyle w:val="Hyperlink"/>
                  <w:rFonts w:ascii="Times New Roman" w:hAnsi="Times New Roman" w:cs="Times New Roman"/>
                  <w:sz w:val="26"/>
                  <w:szCs w:val="26"/>
                </w:rPr>
                <w:t>whit@shitt-sturtevant.com</w:t>
              </w:r>
            </w:hyperlink>
          </w:p>
          <w:p w:rsidR="00412BDC" w:rsidRPr="003C72A8" w:rsidRDefault="00D50797" w:rsidP="00412BDC">
            <w:pPr>
              <w:spacing w:after="0" w:line="240" w:lineRule="auto"/>
              <w:rPr>
                <w:rFonts w:ascii="Times New Roman" w:hAnsi="Times New Roman" w:cs="Times New Roman"/>
                <w:sz w:val="26"/>
                <w:szCs w:val="26"/>
              </w:rPr>
            </w:pPr>
            <w:hyperlink r:id="rId99" w:history="1">
              <w:r w:rsidR="00412BDC" w:rsidRPr="003C72A8">
                <w:rPr>
                  <w:rStyle w:val="Hyperlink"/>
                  <w:rFonts w:ascii="Times New Roman" w:hAnsi="Times New Roman" w:cs="Times New Roman"/>
                  <w:sz w:val="26"/>
                  <w:szCs w:val="26"/>
                </w:rPr>
                <w:t>thompson@whitt-sturtevant.com</w:t>
              </w:r>
            </w:hyperlink>
          </w:p>
          <w:p w:rsidR="00412BDC" w:rsidRPr="003C72A8" w:rsidRDefault="00D50797" w:rsidP="00412BDC">
            <w:pPr>
              <w:spacing w:after="0" w:line="240" w:lineRule="auto"/>
              <w:rPr>
                <w:rFonts w:ascii="Times New Roman" w:hAnsi="Times New Roman" w:cs="Times New Roman"/>
                <w:sz w:val="26"/>
                <w:szCs w:val="26"/>
              </w:rPr>
            </w:pPr>
            <w:hyperlink r:id="rId100" w:history="1">
              <w:r w:rsidR="00412BDC" w:rsidRPr="003C72A8">
                <w:rPr>
                  <w:rStyle w:val="Hyperlink"/>
                  <w:rFonts w:ascii="Times New Roman" w:hAnsi="Times New Roman" w:cs="Times New Roman"/>
                  <w:sz w:val="26"/>
                  <w:szCs w:val="26"/>
                </w:rPr>
                <w:t>sandry.grace@exeloncorp.com</w:t>
              </w:r>
            </w:hyperlink>
          </w:p>
          <w:p w:rsidR="00412BDC" w:rsidRPr="003C72A8" w:rsidRDefault="00D50797" w:rsidP="00412BDC">
            <w:pPr>
              <w:spacing w:after="0" w:line="240" w:lineRule="auto"/>
              <w:rPr>
                <w:rFonts w:ascii="Times New Roman" w:hAnsi="Times New Roman" w:cs="Times New Roman"/>
                <w:sz w:val="26"/>
                <w:szCs w:val="26"/>
              </w:rPr>
            </w:pPr>
            <w:hyperlink r:id="rId101" w:history="1">
              <w:r w:rsidR="00412BDC" w:rsidRPr="003C72A8">
                <w:rPr>
                  <w:rStyle w:val="Hyperlink"/>
                  <w:rFonts w:ascii="Times New Roman" w:hAnsi="Times New Roman" w:cs="Times New Roman"/>
                  <w:sz w:val="26"/>
                  <w:szCs w:val="26"/>
                </w:rPr>
                <w:t>joliker@mwncomh.com</w:t>
              </w:r>
            </w:hyperlink>
          </w:p>
          <w:p w:rsidR="00412BDC" w:rsidRPr="003C72A8" w:rsidRDefault="00D50797" w:rsidP="00412BDC">
            <w:pPr>
              <w:spacing w:after="0" w:line="240" w:lineRule="auto"/>
              <w:rPr>
                <w:rFonts w:ascii="Times New Roman" w:hAnsi="Times New Roman" w:cs="Times New Roman"/>
                <w:sz w:val="26"/>
                <w:szCs w:val="26"/>
              </w:rPr>
            </w:pPr>
            <w:hyperlink r:id="rId102" w:history="1">
              <w:r w:rsidR="00412BDC" w:rsidRPr="003C72A8">
                <w:rPr>
                  <w:rStyle w:val="Hyperlink"/>
                  <w:rFonts w:ascii="Times New Roman" w:hAnsi="Times New Roman" w:cs="Times New Roman"/>
                  <w:sz w:val="26"/>
                  <w:szCs w:val="26"/>
                </w:rPr>
                <w:t>fdarr@mwncmh.com</w:t>
              </w:r>
            </w:hyperlink>
          </w:p>
          <w:p w:rsidR="00412BDC" w:rsidRPr="003C72A8" w:rsidRDefault="00D50797" w:rsidP="00412BDC">
            <w:pPr>
              <w:spacing w:after="0" w:line="240" w:lineRule="auto"/>
              <w:rPr>
                <w:rFonts w:ascii="Times New Roman" w:hAnsi="Times New Roman" w:cs="Times New Roman"/>
                <w:sz w:val="26"/>
                <w:szCs w:val="26"/>
              </w:rPr>
            </w:pPr>
            <w:hyperlink r:id="rId103" w:history="1">
              <w:r w:rsidR="00412BDC" w:rsidRPr="003C72A8">
                <w:rPr>
                  <w:rStyle w:val="Hyperlink"/>
                  <w:rFonts w:ascii="Times New Roman" w:hAnsi="Times New Roman" w:cs="Times New Roman"/>
                  <w:sz w:val="26"/>
                  <w:szCs w:val="26"/>
                </w:rPr>
                <w:t>jestes@skaddenc.om</w:t>
              </w:r>
            </w:hyperlink>
          </w:p>
          <w:p w:rsidR="00412BDC" w:rsidRPr="003C72A8" w:rsidRDefault="00D50797" w:rsidP="00412BDC">
            <w:pPr>
              <w:spacing w:after="0" w:line="240" w:lineRule="auto"/>
              <w:rPr>
                <w:rFonts w:ascii="Times New Roman" w:hAnsi="Times New Roman" w:cs="Times New Roman"/>
                <w:sz w:val="26"/>
                <w:szCs w:val="26"/>
              </w:rPr>
            </w:pPr>
            <w:hyperlink r:id="rId104" w:history="1">
              <w:r w:rsidR="00412BDC" w:rsidRPr="003C72A8">
                <w:rPr>
                  <w:rStyle w:val="Hyperlink"/>
                  <w:rFonts w:ascii="Times New Roman" w:hAnsi="Times New Roman" w:cs="Times New Roman"/>
                  <w:sz w:val="26"/>
                  <w:szCs w:val="26"/>
                </w:rPr>
                <w:t>paul.wight@skadden.com</w:t>
              </w:r>
            </w:hyperlink>
          </w:p>
          <w:p w:rsidR="00412BDC" w:rsidRPr="003C72A8" w:rsidRDefault="00D50797" w:rsidP="00412BDC">
            <w:pPr>
              <w:spacing w:after="0" w:line="240" w:lineRule="auto"/>
              <w:rPr>
                <w:rFonts w:ascii="Times New Roman" w:hAnsi="Times New Roman" w:cs="Times New Roman"/>
                <w:sz w:val="26"/>
                <w:szCs w:val="26"/>
              </w:rPr>
            </w:pPr>
            <w:hyperlink r:id="rId105" w:history="1">
              <w:r w:rsidR="00412BDC" w:rsidRPr="003C72A8">
                <w:rPr>
                  <w:rStyle w:val="Hyperlink"/>
                  <w:rFonts w:ascii="Times New Roman" w:hAnsi="Times New Roman" w:cs="Times New Roman"/>
                  <w:sz w:val="26"/>
                  <w:szCs w:val="26"/>
                </w:rPr>
                <w:t>smhoward@vorys.com</w:t>
              </w:r>
            </w:hyperlink>
            <w:bookmarkStart w:id="39" w:name="_GoBack"/>
            <w:bookmarkEnd w:id="39"/>
          </w:p>
          <w:p w:rsidR="00412BDC" w:rsidRPr="003C72A8" w:rsidRDefault="00D50797" w:rsidP="00412BDC">
            <w:pPr>
              <w:spacing w:after="0" w:line="240" w:lineRule="auto"/>
              <w:rPr>
                <w:rFonts w:ascii="Times New Roman" w:hAnsi="Times New Roman" w:cs="Times New Roman"/>
                <w:sz w:val="26"/>
                <w:szCs w:val="26"/>
              </w:rPr>
            </w:pPr>
            <w:hyperlink r:id="rId106" w:history="1">
              <w:r w:rsidR="00412BDC" w:rsidRPr="003C72A8">
                <w:rPr>
                  <w:rStyle w:val="Hyperlink"/>
                  <w:rFonts w:ascii="Times New Roman" w:hAnsi="Times New Roman" w:cs="Times New Roman"/>
                  <w:sz w:val="26"/>
                  <w:szCs w:val="26"/>
                </w:rPr>
                <w:t>mjsettineri@vorys.cmo</w:t>
              </w:r>
            </w:hyperlink>
          </w:p>
          <w:p w:rsidR="00412BDC" w:rsidRPr="003C72A8" w:rsidRDefault="00D50797" w:rsidP="00412BDC">
            <w:pPr>
              <w:spacing w:after="0" w:line="240" w:lineRule="auto"/>
              <w:rPr>
                <w:rFonts w:ascii="Times New Roman" w:hAnsi="Times New Roman" w:cs="Times New Roman"/>
                <w:sz w:val="26"/>
                <w:szCs w:val="26"/>
              </w:rPr>
            </w:pPr>
            <w:hyperlink r:id="rId107" w:history="1">
              <w:r w:rsidR="00412BDC" w:rsidRPr="003C72A8">
                <w:rPr>
                  <w:rStyle w:val="Hyperlink"/>
                  <w:rFonts w:ascii="Times New Roman" w:hAnsi="Times New Roman" w:cs="Times New Roman"/>
                  <w:sz w:val="26"/>
                  <w:szCs w:val="26"/>
                </w:rPr>
                <w:t>lkalepsclark@vorys.com</w:t>
              </w:r>
            </w:hyperlink>
          </w:p>
          <w:p w:rsidR="00412BDC" w:rsidRPr="003C72A8" w:rsidRDefault="00D50797" w:rsidP="00412BDC">
            <w:pPr>
              <w:spacing w:after="0" w:line="240" w:lineRule="auto"/>
              <w:rPr>
                <w:rFonts w:ascii="Times New Roman" w:hAnsi="Times New Roman" w:cs="Times New Roman"/>
                <w:sz w:val="26"/>
                <w:szCs w:val="26"/>
              </w:rPr>
            </w:pPr>
            <w:hyperlink r:id="rId108" w:history="1">
              <w:r w:rsidR="00412BDC" w:rsidRPr="003C72A8">
                <w:rPr>
                  <w:rStyle w:val="Hyperlink"/>
                  <w:rFonts w:ascii="Times New Roman" w:hAnsi="Times New Roman" w:cs="Times New Roman"/>
                  <w:sz w:val="26"/>
                  <w:szCs w:val="26"/>
                </w:rPr>
                <w:t>cmooney2@columbus.rr.com</w:t>
              </w:r>
            </w:hyperlink>
          </w:p>
          <w:p w:rsidR="00412BDC" w:rsidRPr="003C72A8" w:rsidRDefault="00412BDC" w:rsidP="00412BDC">
            <w:pPr>
              <w:spacing w:after="0" w:line="240" w:lineRule="auto"/>
              <w:rPr>
                <w:rFonts w:ascii="Times New Roman" w:hAnsi="Times New Roman" w:cs="Times New Roman"/>
                <w:sz w:val="26"/>
                <w:szCs w:val="26"/>
              </w:rPr>
            </w:pPr>
          </w:p>
        </w:tc>
      </w:tr>
    </w:tbl>
    <w:p w:rsidR="00412BDC" w:rsidRPr="003C72A8" w:rsidRDefault="00412BDC" w:rsidP="00C90C7D">
      <w:pPr>
        <w:autoSpaceDE w:val="0"/>
        <w:autoSpaceDN w:val="0"/>
        <w:adjustRightInd w:val="0"/>
        <w:spacing w:after="0" w:line="240" w:lineRule="auto"/>
        <w:rPr>
          <w:rFonts w:ascii="Times New Roman" w:hAnsi="Times New Roman" w:cs="Times New Roman"/>
          <w:b/>
          <w:bCs/>
          <w:sz w:val="26"/>
          <w:szCs w:val="26"/>
        </w:rPr>
      </w:pPr>
    </w:p>
    <w:sectPr w:rsidR="00412BDC" w:rsidRPr="003C72A8" w:rsidSect="005774A4">
      <w:footerReference w:type="default" r:id="rId10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3A1" w:rsidRDefault="00A253A1">
      <w:pPr>
        <w:spacing w:after="0" w:line="240" w:lineRule="auto"/>
      </w:pPr>
      <w:r>
        <w:separator/>
      </w:r>
    </w:p>
  </w:endnote>
  <w:endnote w:type="continuationSeparator" w:id="0">
    <w:p w:rsidR="00A253A1" w:rsidRDefault="00A2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3A1" w:rsidRDefault="00A253A1">
    <w:pPr>
      <w:pStyle w:val="Footer"/>
      <w:jc w:val="center"/>
    </w:pPr>
  </w:p>
  <w:p w:rsidR="00A253A1" w:rsidRDefault="00A253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A4" w:rsidRDefault="005774A4">
    <w:pPr>
      <w:pStyle w:val="Footer"/>
      <w:jc w:val="center"/>
    </w:pPr>
  </w:p>
  <w:p w:rsidR="005774A4" w:rsidRDefault="005774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369004"/>
      <w:docPartObj>
        <w:docPartGallery w:val="Page Numbers (Bottom of Page)"/>
        <w:docPartUnique/>
      </w:docPartObj>
    </w:sdtPr>
    <w:sdtEndPr>
      <w:rPr>
        <w:rFonts w:ascii="Times New Roman" w:hAnsi="Times New Roman" w:cs="Times New Roman"/>
        <w:noProof/>
      </w:rPr>
    </w:sdtEndPr>
    <w:sdtContent>
      <w:p w:rsidR="00A253A1" w:rsidRPr="002B4081" w:rsidRDefault="00A253A1">
        <w:pPr>
          <w:pStyle w:val="Footer"/>
          <w:jc w:val="center"/>
          <w:rPr>
            <w:rFonts w:ascii="Times New Roman" w:hAnsi="Times New Roman" w:cs="Times New Roman"/>
          </w:rPr>
        </w:pPr>
        <w:r w:rsidRPr="002B4081">
          <w:rPr>
            <w:rFonts w:ascii="Times New Roman" w:hAnsi="Times New Roman" w:cs="Times New Roman"/>
          </w:rPr>
          <w:fldChar w:fldCharType="begin"/>
        </w:r>
        <w:r w:rsidRPr="002B4081">
          <w:rPr>
            <w:rFonts w:ascii="Times New Roman" w:hAnsi="Times New Roman" w:cs="Times New Roman"/>
          </w:rPr>
          <w:instrText xml:space="preserve"> PAGE   \* MERGEFORMAT </w:instrText>
        </w:r>
        <w:r w:rsidRPr="002B4081">
          <w:rPr>
            <w:rFonts w:ascii="Times New Roman" w:hAnsi="Times New Roman" w:cs="Times New Roman"/>
          </w:rPr>
          <w:fldChar w:fldCharType="separate"/>
        </w:r>
        <w:r w:rsidR="00D50797">
          <w:rPr>
            <w:rFonts w:ascii="Times New Roman" w:hAnsi="Times New Roman" w:cs="Times New Roman"/>
            <w:noProof/>
          </w:rPr>
          <w:t>ii</w:t>
        </w:r>
        <w:r w:rsidRPr="002B4081">
          <w:rPr>
            <w:rFonts w:ascii="Times New Roman" w:hAnsi="Times New Roman" w:cs="Times New Roman"/>
            <w:noProof/>
          </w:rPr>
          <w:fldChar w:fldCharType="end"/>
        </w:r>
      </w:p>
    </w:sdtContent>
  </w:sdt>
  <w:p w:rsidR="00A253A1" w:rsidRDefault="00A253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825414"/>
      <w:docPartObj>
        <w:docPartGallery w:val="Page Numbers (Bottom of Page)"/>
        <w:docPartUnique/>
      </w:docPartObj>
    </w:sdtPr>
    <w:sdtEndPr>
      <w:rPr>
        <w:rFonts w:ascii="Times New Roman" w:hAnsi="Times New Roman" w:cs="Times New Roman"/>
        <w:noProof/>
      </w:rPr>
    </w:sdtEndPr>
    <w:sdtContent>
      <w:p w:rsidR="005774A4" w:rsidRPr="002B4081" w:rsidRDefault="005774A4">
        <w:pPr>
          <w:pStyle w:val="Footer"/>
          <w:jc w:val="center"/>
          <w:rPr>
            <w:rFonts w:ascii="Times New Roman" w:hAnsi="Times New Roman" w:cs="Times New Roman"/>
          </w:rPr>
        </w:pPr>
        <w:r w:rsidRPr="002B4081">
          <w:rPr>
            <w:rFonts w:ascii="Times New Roman" w:hAnsi="Times New Roman" w:cs="Times New Roman"/>
          </w:rPr>
          <w:fldChar w:fldCharType="begin"/>
        </w:r>
        <w:r w:rsidRPr="002B4081">
          <w:rPr>
            <w:rFonts w:ascii="Times New Roman" w:hAnsi="Times New Roman" w:cs="Times New Roman"/>
          </w:rPr>
          <w:instrText xml:space="preserve"> PAGE   \* MERGEFORMAT </w:instrText>
        </w:r>
        <w:r w:rsidRPr="002B4081">
          <w:rPr>
            <w:rFonts w:ascii="Times New Roman" w:hAnsi="Times New Roman" w:cs="Times New Roman"/>
          </w:rPr>
          <w:fldChar w:fldCharType="separate"/>
        </w:r>
        <w:r w:rsidR="00D50797">
          <w:rPr>
            <w:rFonts w:ascii="Times New Roman" w:hAnsi="Times New Roman" w:cs="Times New Roman"/>
            <w:noProof/>
          </w:rPr>
          <w:t>35</w:t>
        </w:r>
        <w:r w:rsidRPr="002B4081">
          <w:rPr>
            <w:rFonts w:ascii="Times New Roman" w:hAnsi="Times New Roman" w:cs="Times New Roman"/>
            <w:noProof/>
          </w:rPr>
          <w:fldChar w:fldCharType="end"/>
        </w:r>
      </w:p>
    </w:sdtContent>
  </w:sdt>
  <w:p w:rsidR="005774A4" w:rsidRDefault="00577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3A1" w:rsidRDefault="00A253A1">
      <w:pPr>
        <w:spacing w:after="0" w:line="240" w:lineRule="auto"/>
      </w:pPr>
      <w:r>
        <w:separator/>
      </w:r>
    </w:p>
  </w:footnote>
  <w:footnote w:type="continuationSeparator" w:id="0">
    <w:p w:rsidR="00A253A1" w:rsidRDefault="00A253A1">
      <w:pPr>
        <w:spacing w:after="0" w:line="240" w:lineRule="auto"/>
      </w:pPr>
      <w:r>
        <w:continuationSeparator/>
      </w:r>
    </w:p>
  </w:footnote>
  <w:footnote w:id="1">
    <w:p w:rsidR="00A253A1" w:rsidRPr="006B34C6" w:rsidRDefault="00A253A1">
      <w:pPr>
        <w:pStyle w:val="FootnoteText"/>
        <w:rPr>
          <w:sz w:val="26"/>
          <w:szCs w:val="26"/>
        </w:rPr>
      </w:pPr>
      <w:r w:rsidRPr="006B34C6">
        <w:rPr>
          <w:rStyle w:val="FootnoteReference"/>
          <w:sz w:val="26"/>
          <w:szCs w:val="26"/>
        </w:rPr>
        <w:footnoteRef/>
      </w:r>
      <w:r w:rsidRPr="006B34C6">
        <w:rPr>
          <w:sz w:val="26"/>
          <w:szCs w:val="26"/>
        </w:rPr>
        <w:t xml:space="preserve"> </w:t>
      </w:r>
      <w:r w:rsidRPr="006B34C6">
        <w:rPr>
          <w:sz w:val="26"/>
          <w:szCs w:val="26"/>
        </w:rPr>
        <w:tab/>
      </w:r>
      <w:r w:rsidRPr="006B34C6">
        <w:rPr>
          <w:i/>
          <w:sz w:val="26"/>
          <w:szCs w:val="26"/>
        </w:rPr>
        <w:t>In the Matter of the Commission Review of the Capacity Charges of Ohio Power Company and Columbus Southern Power Company</w:t>
      </w:r>
      <w:r w:rsidRPr="006B34C6">
        <w:rPr>
          <w:sz w:val="26"/>
          <w:szCs w:val="26"/>
        </w:rPr>
        <w:t>, Case No. 10-2929-EL-UNC.</w:t>
      </w:r>
    </w:p>
  </w:footnote>
  <w:footnote w:id="2">
    <w:p w:rsidR="00A253A1" w:rsidRPr="006B34C6" w:rsidRDefault="00A253A1" w:rsidP="00791326">
      <w:pPr>
        <w:pStyle w:val="FootnoteText"/>
        <w:rPr>
          <w:sz w:val="26"/>
          <w:szCs w:val="26"/>
        </w:rPr>
      </w:pPr>
      <w:r w:rsidRPr="006B34C6">
        <w:rPr>
          <w:rStyle w:val="FootnoteReference"/>
          <w:sz w:val="26"/>
          <w:szCs w:val="26"/>
        </w:rPr>
        <w:footnoteRef/>
      </w:r>
      <w:r w:rsidR="00E77470">
        <w:rPr>
          <w:sz w:val="26"/>
          <w:szCs w:val="26"/>
        </w:rPr>
        <w:tab/>
      </w:r>
      <w:r w:rsidRPr="006B34C6">
        <w:rPr>
          <w:sz w:val="26"/>
          <w:szCs w:val="26"/>
        </w:rPr>
        <w:t xml:space="preserve">See, </w:t>
      </w:r>
      <w:r w:rsidRPr="006B34C6">
        <w:rPr>
          <w:i/>
          <w:sz w:val="26"/>
          <w:szCs w:val="26"/>
        </w:rPr>
        <w:t>e.g</w:t>
      </w:r>
      <w:r w:rsidRPr="006B34C6">
        <w:rPr>
          <w:sz w:val="26"/>
          <w:szCs w:val="26"/>
        </w:rPr>
        <w:t>.: Tr. 175.</w:t>
      </w:r>
    </w:p>
  </w:footnote>
  <w:footnote w:id="3">
    <w:p w:rsidR="00A253A1" w:rsidRPr="006B34C6" w:rsidRDefault="00A253A1" w:rsidP="00791326">
      <w:pPr>
        <w:tabs>
          <w:tab w:val="left" w:pos="1440"/>
        </w:tabs>
        <w:autoSpaceDE w:val="0"/>
        <w:autoSpaceDN w:val="0"/>
        <w:adjustRightInd w:val="0"/>
        <w:spacing w:after="0" w:line="240" w:lineRule="auto"/>
        <w:ind w:firstLine="720"/>
        <w:rPr>
          <w:rFonts w:ascii="Times New Roman" w:hAnsi="Times New Roman"/>
          <w:sz w:val="26"/>
          <w:szCs w:val="26"/>
        </w:rPr>
      </w:pPr>
      <w:r w:rsidRPr="006B34C6">
        <w:rPr>
          <w:rStyle w:val="FootnoteReference"/>
          <w:rFonts w:ascii="Times New Roman" w:hAnsi="Times New Roman"/>
          <w:sz w:val="26"/>
          <w:szCs w:val="26"/>
        </w:rPr>
        <w:footnoteRef/>
      </w:r>
      <w:r w:rsidRPr="006B34C6">
        <w:rPr>
          <w:rFonts w:ascii="Times New Roman" w:hAnsi="Times New Roman"/>
          <w:sz w:val="26"/>
          <w:szCs w:val="26"/>
        </w:rPr>
        <w:t xml:space="preserve"> </w:t>
      </w:r>
      <w:r w:rsidRPr="006B34C6">
        <w:rPr>
          <w:rFonts w:ascii="Times New Roman" w:hAnsi="Times New Roman"/>
          <w:sz w:val="26"/>
          <w:szCs w:val="26"/>
        </w:rPr>
        <w:tab/>
        <w:t xml:space="preserve">The results are summarized in Staff Ex. 101 at HMC-l and HMC-2. </w:t>
      </w:r>
    </w:p>
  </w:footnote>
  <w:footnote w:id="4">
    <w:p w:rsidR="00A253A1" w:rsidRPr="006B34C6" w:rsidRDefault="00A253A1" w:rsidP="00E77470">
      <w:pPr>
        <w:pStyle w:val="FootnoteText"/>
      </w:pPr>
      <w:r w:rsidRPr="006B34C6">
        <w:rPr>
          <w:rStyle w:val="FootnoteReference"/>
          <w:sz w:val="26"/>
          <w:szCs w:val="26"/>
        </w:rPr>
        <w:footnoteRef/>
      </w:r>
      <w:r w:rsidRPr="006B34C6">
        <w:t xml:space="preserve"> </w:t>
      </w:r>
      <w:r w:rsidRPr="006B34C6">
        <w:tab/>
        <w:t>Company Ex. 114 at 15.</w:t>
      </w:r>
    </w:p>
  </w:footnote>
  <w:footnote w:id="5">
    <w:p w:rsidR="00A253A1" w:rsidRPr="006B34C6" w:rsidRDefault="00A253A1" w:rsidP="00E77470">
      <w:pPr>
        <w:pStyle w:val="FootnoteText"/>
      </w:pPr>
      <w:r w:rsidRPr="006B34C6">
        <w:rPr>
          <w:rStyle w:val="FootnoteReference"/>
          <w:sz w:val="26"/>
          <w:szCs w:val="26"/>
        </w:rPr>
        <w:footnoteRef/>
      </w:r>
      <w:r w:rsidRPr="006B34C6">
        <w:t xml:space="preserve"> </w:t>
      </w:r>
      <w:r w:rsidRPr="006B34C6">
        <w:tab/>
        <w:t>Staff Ex. 101 at 5.</w:t>
      </w:r>
    </w:p>
  </w:footnote>
  <w:footnote w:id="6">
    <w:p w:rsidR="00A253A1" w:rsidRPr="006B34C6" w:rsidRDefault="00A253A1" w:rsidP="00E77470">
      <w:pPr>
        <w:pStyle w:val="FootnoteText"/>
      </w:pPr>
      <w:r w:rsidRPr="006B34C6">
        <w:rPr>
          <w:rStyle w:val="FootnoteReference"/>
          <w:sz w:val="26"/>
          <w:szCs w:val="26"/>
        </w:rPr>
        <w:footnoteRef/>
      </w:r>
      <w:r w:rsidRPr="006B34C6">
        <w:t xml:space="preserve"> </w:t>
      </w:r>
      <w:r w:rsidRPr="006B34C6">
        <w:tab/>
        <w:t>Exceptions include: a Commission Finding that RPM-based capacity charges are not compensatory for AEP-Ohio or a Federal Energy Regulatory Commission Order in Docket No. ER-11 -2183 (the 205 filing) or Docket No. EL-11-32 (the 206 filing) approving a cost-based capacity charge for AEP-Ohio.</w:t>
      </w:r>
    </w:p>
  </w:footnote>
  <w:footnote w:id="7">
    <w:p w:rsidR="00A253A1" w:rsidRPr="006B34C6" w:rsidRDefault="00A253A1" w:rsidP="00E77470">
      <w:pPr>
        <w:pStyle w:val="FootnoteText"/>
      </w:pPr>
      <w:r w:rsidRPr="006B34C6">
        <w:rPr>
          <w:rStyle w:val="FootnoteReference"/>
          <w:sz w:val="26"/>
          <w:szCs w:val="26"/>
        </w:rPr>
        <w:footnoteRef/>
      </w:r>
      <w:r w:rsidRPr="006B34C6">
        <w:t xml:space="preserve"> </w:t>
      </w:r>
      <w:r w:rsidRPr="006B34C6">
        <w:tab/>
        <w:t>Staff Ex. 101 at 5.</w:t>
      </w:r>
    </w:p>
  </w:footnote>
  <w:footnote w:id="8">
    <w:p w:rsidR="00A253A1" w:rsidRPr="006B34C6" w:rsidRDefault="00A253A1" w:rsidP="00E77470">
      <w:pPr>
        <w:pStyle w:val="FootnoteText"/>
      </w:pPr>
      <w:r w:rsidRPr="006B34C6">
        <w:rPr>
          <w:rStyle w:val="FootnoteReference"/>
          <w:sz w:val="26"/>
          <w:szCs w:val="26"/>
        </w:rPr>
        <w:footnoteRef/>
      </w:r>
      <w:r w:rsidRPr="006B34C6">
        <w:t xml:space="preserve"> </w:t>
      </w:r>
      <w:r w:rsidRPr="006B34C6">
        <w:tab/>
        <w:t>Company Ex. 114 at 12.</w:t>
      </w:r>
    </w:p>
  </w:footnote>
  <w:footnote w:id="9">
    <w:p w:rsidR="00A253A1" w:rsidRPr="006B34C6" w:rsidRDefault="00A253A1" w:rsidP="00E77470">
      <w:pPr>
        <w:pStyle w:val="FootnoteText"/>
      </w:pPr>
      <w:r w:rsidRPr="006B34C6">
        <w:rPr>
          <w:rStyle w:val="FootnoteReference"/>
          <w:sz w:val="26"/>
          <w:szCs w:val="26"/>
        </w:rPr>
        <w:footnoteRef/>
      </w:r>
      <w:r w:rsidRPr="006B34C6">
        <w:t xml:space="preserve"> </w:t>
      </w:r>
      <w:r w:rsidRPr="006B34C6">
        <w:tab/>
      </w:r>
      <w:hyperlink r:id="rId1" w:anchor="Item08" w:history="1">
        <w:r w:rsidRPr="00D2605B">
          <w:rPr>
            <w:rStyle w:val="Hyperlink"/>
            <w:sz w:val="26"/>
            <w:szCs w:val="26"/>
          </w:rPr>
          <w:t>http://www.pim.eom/markets-and-operations/mm/rpm-auction-user-info.aspx#Item08</w:t>
        </w:r>
      </w:hyperlink>
      <w:r>
        <w:t xml:space="preserve">. </w:t>
      </w:r>
    </w:p>
  </w:footnote>
  <w:footnote w:id="10">
    <w:p w:rsidR="00A253A1" w:rsidRPr="00E77470" w:rsidRDefault="00A253A1" w:rsidP="00E77470">
      <w:pPr>
        <w:pStyle w:val="FootnoteText"/>
      </w:pPr>
      <w:r w:rsidRPr="00E77470">
        <w:rPr>
          <w:rStyle w:val="FootnoteReference"/>
          <w:vertAlign w:val="baseline"/>
        </w:rPr>
        <w:footnoteRef/>
      </w:r>
      <w:r w:rsidRPr="00E77470">
        <w:t xml:space="preserve">  </w:t>
      </w:r>
      <w:r w:rsidRPr="00E77470">
        <w:tab/>
        <w:t>Staff Ex. 101 at HMC-1.</w:t>
      </w:r>
    </w:p>
  </w:footnote>
  <w:footnote w:id="11">
    <w:p w:rsidR="00A253A1" w:rsidRPr="00E77470" w:rsidRDefault="00A253A1" w:rsidP="00E77470">
      <w:pPr>
        <w:pStyle w:val="FootnoteText"/>
      </w:pPr>
      <w:r w:rsidRPr="00E77470">
        <w:rPr>
          <w:rStyle w:val="FootnoteReference"/>
          <w:vertAlign w:val="baseline"/>
        </w:rPr>
        <w:footnoteRef/>
      </w:r>
      <w:r w:rsidRPr="00E77470">
        <w:t xml:space="preserve"> </w:t>
      </w:r>
      <w:r w:rsidRPr="00E77470">
        <w:tab/>
      </w:r>
      <w:proofErr w:type="gramStart"/>
      <w:r w:rsidRPr="00E77470">
        <w:t>Id. at 6.</w:t>
      </w:r>
      <w:proofErr w:type="gramEnd"/>
      <w:r w:rsidRPr="00E77470">
        <w:t xml:space="preserve"> AEP-Ohio's load factor is estimated at 64.54% (See HMC-2 for derivation).</w:t>
      </w:r>
    </w:p>
  </w:footnote>
  <w:footnote w:id="12">
    <w:p w:rsidR="00A253A1" w:rsidRPr="00E77470" w:rsidRDefault="00A253A1" w:rsidP="00E77470">
      <w:pPr>
        <w:pStyle w:val="FootnoteText"/>
      </w:pPr>
      <w:r w:rsidRPr="00E77470">
        <w:rPr>
          <w:rStyle w:val="FootnoteReference"/>
          <w:vertAlign w:val="baseline"/>
        </w:rPr>
        <w:footnoteRef/>
      </w:r>
      <w:r w:rsidRPr="00E77470">
        <w:t xml:space="preserve"> </w:t>
      </w:r>
      <w:r w:rsidRPr="00E77470">
        <w:tab/>
      </w:r>
      <w:proofErr w:type="gramStart"/>
      <w:r w:rsidRPr="00E77470">
        <w:t>Id. at 6.</w:t>
      </w:r>
      <w:proofErr w:type="gramEnd"/>
      <w:r w:rsidRPr="00E77470">
        <w:t xml:space="preserve"> $1.08/MW-hour = ($16.73/MW-day)</w:t>
      </w:r>
      <w:proofErr w:type="gramStart"/>
      <w:r w:rsidRPr="00E77470">
        <w:t>/(</w:t>
      </w:r>
      <w:proofErr w:type="gramEnd"/>
      <w:r w:rsidRPr="00E77470">
        <w:t>24 hours/day x 0.6454).</w:t>
      </w:r>
    </w:p>
  </w:footnote>
  <w:footnote w:id="13">
    <w:p w:rsidR="00A253A1" w:rsidRPr="00E77470" w:rsidRDefault="00A253A1" w:rsidP="00E77470">
      <w:pPr>
        <w:pStyle w:val="FootnoteText"/>
      </w:pPr>
      <w:r w:rsidRPr="00E77470">
        <w:rPr>
          <w:rStyle w:val="FootnoteReference"/>
          <w:vertAlign w:val="baseline"/>
        </w:rPr>
        <w:footnoteRef/>
      </w:r>
      <w:r w:rsidRPr="00E77470">
        <w:t xml:space="preserve"> </w:t>
      </w:r>
      <w:r w:rsidRPr="00E77470">
        <w:tab/>
        <w:t>Id.</w:t>
      </w:r>
    </w:p>
  </w:footnote>
  <w:footnote w:id="14">
    <w:p w:rsidR="00A253A1" w:rsidRPr="00927CF2" w:rsidRDefault="00A253A1" w:rsidP="00E77470">
      <w:pPr>
        <w:pStyle w:val="FootnoteText"/>
      </w:pPr>
      <w:r w:rsidRPr="00E77470">
        <w:rPr>
          <w:rStyle w:val="FootnoteReference"/>
          <w:vertAlign w:val="baseline"/>
        </w:rPr>
        <w:footnoteRef/>
      </w:r>
      <w:r w:rsidRPr="00E77470">
        <w:t xml:space="preserve"> </w:t>
      </w:r>
      <w:r w:rsidRPr="00E77470">
        <w:tab/>
        <w:t>PJM Reliability Assurance Agreement (RAA), Schedule 8.1.</w:t>
      </w:r>
    </w:p>
  </w:footnote>
  <w:footnote w:id="15">
    <w:p w:rsidR="00A253A1" w:rsidRPr="00E77470" w:rsidRDefault="00A253A1" w:rsidP="00E77470">
      <w:pPr>
        <w:pStyle w:val="FootnoteText"/>
      </w:pPr>
      <w:r w:rsidRPr="00E77470">
        <w:rPr>
          <w:rStyle w:val="FootnoteReference"/>
          <w:vertAlign w:val="baseline"/>
        </w:rPr>
        <w:footnoteRef/>
      </w:r>
      <w:r w:rsidRPr="00E77470">
        <w:t xml:space="preserve"> </w:t>
      </w:r>
      <w:r w:rsidRPr="00E77470">
        <w:tab/>
      </w:r>
      <w:proofErr w:type="gramStart"/>
      <w:r w:rsidRPr="00E77470">
        <w:t>IEU Ex. 114, Schedule 8.1, Section D, paragraph 8.</w:t>
      </w:r>
      <w:proofErr w:type="gramEnd"/>
    </w:p>
  </w:footnote>
  <w:footnote w:id="16">
    <w:p w:rsidR="00A253A1" w:rsidRPr="00E77470" w:rsidRDefault="00A253A1" w:rsidP="00E77470">
      <w:pPr>
        <w:pStyle w:val="FootnoteText"/>
      </w:pPr>
      <w:r w:rsidRPr="00E77470">
        <w:rPr>
          <w:rStyle w:val="FootnoteReference"/>
          <w:vertAlign w:val="baseline"/>
        </w:rPr>
        <w:footnoteRef/>
      </w:r>
      <w:r w:rsidRPr="00E77470">
        <w:t xml:space="preserve"> </w:t>
      </w:r>
      <w:r w:rsidRPr="00E77470">
        <w:tab/>
        <w:t>Staff Ex. 101 at 8-9.</w:t>
      </w:r>
    </w:p>
  </w:footnote>
  <w:footnote w:id="17">
    <w:p w:rsidR="00A253A1" w:rsidRPr="00E77470" w:rsidRDefault="00A253A1" w:rsidP="00E77470">
      <w:pPr>
        <w:pStyle w:val="FootnoteText"/>
      </w:pPr>
      <w:r w:rsidRPr="00E77470">
        <w:rPr>
          <w:rStyle w:val="FootnoteReference"/>
          <w:vertAlign w:val="baseline"/>
        </w:rPr>
        <w:footnoteRef/>
      </w:r>
      <w:r w:rsidRPr="00E77470">
        <w:t xml:space="preserve"> </w:t>
      </w:r>
      <w:r w:rsidRPr="00E77470">
        <w:tab/>
      </w:r>
      <w:proofErr w:type="gramStart"/>
      <w:r w:rsidRPr="00E77470">
        <w:t>Id. at 9.</w:t>
      </w:r>
      <w:proofErr w:type="gramEnd"/>
    </w:p>
  </w:footnote>
  <w:footnote w:id="18">
    <w:p w:rsidR="00A253A1" w:rsidRPr="00E77470" w:rsidRDefault="00A253A1" w:rsidP="00E77470">
      <w:pPr>
        <w:pStyle w:val="FootnoteText"/>
      </w:pPr>
      <w:r w:rsidRPr="00E77470">
        <w:rPr>
          <w:rStyle w:val="FootnoteReference"/>
          <w:vertAlign w:val="baseline"/>
        </w:rPr>
        <w:footnoteRef/>
      </w:r>
      <w:r w:rsidRPr="00E77470">
        <w:t xml:space="preserve"> </w:t>
      </w:r>
      <w:r w:rsidRPr="00E77470">
        <w:tab/>
        <w:t>Id.</w:t>
      </w:r>
    </w:p>
  </w:footnote>
  <w:footnote w:id="19">
    <w:p w:rsidR="00A253A1" w:rsidRPr="00E77470" w:rsidRDefault="00A253A1" w:rsidP="00E77470">
      <w:pPr>
        <w:pStyle w:val="FootnoteText"/>
      </w:pPr>
      <w:r w:rsidRPr="00E77470">
        <w:rPr>
          <w:rStyle w:val="FootnoteReference"/>
          <w:vertAlign w:val="baseline"/>
        </w:rPr>
        <w:footnoteRef/>
      </w:r>
      <w:r w:rsidRPr="00E77470">
        <w:t xml:space="preserve"> </w:t>
      </w:r>
      <w:r w:rsidRPr="00E77470">
        <w:tab/>
      </w:r>
      <w:proofErr w:type="gramStart"/>
      <w:r w:rsidRPr="00E77470">
        <w:t>Id. at 10.</w:t>
      </w:r>
      <w:proofErr w:type="gramEnd"/>
    </w:p>
  </w:footnote>
  <w:footnote w:id="20">
    <w:p w:rsidR="00A253A1" w:rsidRPr="00101F24" w:rsidRDefault="00A253A1" w:rsidP="00E77470">
      <w:pPr>
        <w:pStyle w:val="FootnoteText"/>
      </w:pPr>
      <w:r w:rsidRPr="00101F24">
        <w:rPr>
          <w:rStyle w:val="FootnoteReference"/>
          <w:sz w:val="26"/>
          <w:szCs w:val="26"/>
        </w:rPr>
        <w:footnoteRef/>
      </w:r>
      <w:r w:rsidRPr="00101F24">
        <w:t xml:space="preserve"> </w:t>
      </w:r>
      <w:r w:rsidRPr="00101F24">
        <w:tab/>
      </w:r>
      <w:r w:rsidRPr="00101F24">
        <w:rPr>
          <w:i/>
        </w:rPr>
        <w:t xml:space="preserve">Id. </w:t>
      </w:r>
      <w:r w:rsidRPr="00101F24">
        <w:t>Exceptions to this response are: a Commission finding that RPM-based capacity charges are not compensatory for AEP-Ohio or a Federal Energy Regulatory Commission Order in Docket No.ER- IJ -2183 (the 205 filing) or Docket No.EL-11-32 (the 206 filing) approving a cost-based capacity charge for AEP-Ohio.</w:t>
      </w:r>
    </w:p>
  </w:footnote>
  <w:footnote w:id="21">
    <w:p w:rsidR="00A253A1" w:rsidRPr="00101F24" w:rsidRDefault="00A253A1" w:rsidP="00E77470">
      <w:pPr>
        <w:pStyle w:val="FootnoteText"/>
      </w:pPr>
      <w:r w:rsidRPr="00101F24">
        <w:rPr>
          <w:rStyle w:val="FootnoteReference"/>
          <w:sz w:val="26"/>
          <w:szCs w:val="26"/>
        </w:rPr>
        <w:footnoteRef/>
      </w:r>
      <w:r w:rsidRPr="00101F24">
        <w:t xml:space="preserve"> </w:t>
      </w:r>
      <w:r w:rsidRPr="00101F24">
        <w:tab/>
      </w:r>
      <w:r w:rsidRPr="00101F24">
        <w:rPr>
          <w:i/>
        </w:rPr>
        <w:t>In the Matter of the Commission Review of the Capacity Charges of Ohio Power Company and Columbus Southern Power Company</w:t>
      </w:r>
      <w:r w:rsidRPr="00101F24">
        <w:t>, Case No. 10-2929-EL-UNC (</w:t>
      </w:r>
      <w:r w:rsidRPr="00101F24">
        <w:rPr>
          <w:i/>
        </w:rPr>
        <w:t>Capacity Case</w:t>
      </w:r>
      <w:r w:rsidRPr="00101F24">
        <w:t>) (Testimony of Emily S</w:t>
      </w:r>
      <w:r w:rsidR="00B7307F">
        <w:t>.</w:t>
      </w:r>
      <w:r w:rsidRPr="00101F24">
        <w:t xml:space="preserve"> </w:t>
      </w:r>
      <w:proofErr w:type="spellStart"/>
      <w:r w:rsidRPr="00101F24">
        <w:t>Medine</w:t>
      </w:r>
      <w:proofErr w:type="spellEnd"/>
      <w:r w:rsidRPr="00101F24">
        <w:t xml:space="preserve"> on behalf of Staff of the Public Utilities Commission of Ohio)</w:t>
      </w:r>
      <w:r>
        <w:t xml:space="preserve"> </w:t>
      </w:r>
      <w:r w:rsidRPr="00101F24">
        <w:t>(May 7, 2012).</w:t>
      </w:r>
    </w:p>
  </w:footnote>
  <w:footnote w:id="22">
    <w:p w:rsidR="00A253A1" w:rsidRPr="00101F24" w:rsidRDefault="00A253A1" w:rsidP="00E77470">
      <w:pPr>
        <w:pStyle w:val="FootnoteText"/>
      </w:pPr>
      <w:r w:rsidRPr="00101F24">
        <w:rPr>
          <w:rStyle w:val="FootnoteReference"/>
          <w:sz w:val="26"/>
          <w:szCs w:val="26"/>
        </w:rPr>
        <w:footnoteRef/>
      </w:r>
      <w:r w:rsidRPr="00101F24">
        <w:t xml:space="preserve"> </w:t>
      </w:r>
      <w:r w:rsidRPr="00101F24">
        <w:tab/>
        <w:t>Staff Ex. 101 at 10.</w:t>
      </w:r>
    </w:p>
  </w:footnote>
  <w:footnote w:id="23">
    <w:p w:rsidR="00A253A1" w:rsidRPr="00101F24" w:rsidRDefault="00A253A1" w:rsidP="00791326">
      <w:pPr>
        <w:pStyle w:val="FootnoteText"/>
        <w:rPr>
          <w:sz w:val="26"/>
          <w:szCs w:val="26"/>
        </w:rPr>
      </w:pPr>
      <w:r w:rsidRPr="00101F24">
        <w:rPr>
          <w:rStyle w:val="FootnoteReference"/>
          <w:sz w:val="26"/>
          <w:szCs w:val="26"/>
        </w:rPr>
        <w:footnoteRef/>
      </w:r>
      <w:r w:rsidRPr="00101F24">
        <w:rPr>
          <w:sz w:val="26"/>
          <w:szCs w:val="26"/>
        </w:rPr>
        <w:t xml:space="preserve"> </w:t>
      </w:r>
      <w:r w:rsidRPr="00101F24">
        <w:rPr>
          <w:sz w:val="26"/>
          <w:szCs w:val="26"/>
        </w:rPr>
        <w:tab/>
        <w:t>Staff Ex. 102 at 9.</w:t>
      </w:r>
    </w:p>
  </w:footnote>
  <w:footnote w:id="24">
    <w:p w:rsidR="00A253A1" w:rsidRPr="00101F24" w:rsidRDefault="00A253A1" w:rsidP="00791326">
      <w:pPr>
        <w:pStyle w:val="FootnoteText"/>
        <w:rPr>
          <w:sz w:val="26"/>
          <w:szCs w:val="26"/>
        </w:rPr>
      </w:pPr>
      <w:r w:rsidRPr="00101F24">
        <w:rPr>
          <w:rStyle w:val="FootnoteReference"/>
          <w:sz w:val="26"/>
          <w:szCs w:val="26"/>
        </w:rPr>
        <w:footnoteRef/>
      </w:r>
      <w:r w:rsidRPr="00101F24">
        <w:rPr>
          <w:sz w:val="26"/>
          <w:szCs w:val="26"/>
        </w:rPr>
        <w:t xml:space="preserve"> </w:t>
      </w:r>
      <w:r w:rsidRPr="00101F24">
        <w:rPr>
          <w:sz w:val="26"/>
          <w:szCs w:val="26"/>
        </w:rPr>
        <w:tab/>
      </w:r>
      <w:proofErr w:type="gramStart"/>
      <w:r w:rsidRPr="00101F24">
        <w:rPr>
          <w:i/>
          <w:sz w:val="26"/>
          <w:szCs w:val="26"/>
        </w:rPr>
        <w:t xml:space="preserve">Id. </w:t>
      </w:r>
      <w:r w:rsidRPr="00101F24">
        <w:rPr>
          <w:sz w:val="26"/>
          <w:szCs w:val="26"/>
        </w:rPr>
        <w:t>at 10.</w:t>
      </w:r>
      <w:proofErr w:type="gramEnd"/>
    </w:p>
  </w:footnote>
  <w:footnote w:id="25">
    <w:p w:rsidR="00A253A1" w:rsidRPr="00101F24" w:rsidRDefault="00A253A1" w:rsidP="00791326">
      <w:pPr>
        <w:pStyle w:val="FootnoteText"/>
        <w:rPr>
          <w:sz w:val="26"/>
          <w:szCs w:val="26"/>
        </w:rPr>
      </w:pPr>
      <w:r w:rsidRPr="00101F24">
        <w:rPr>
          <w:rStyle w:val="FootnoteReference"/>
          <w:sz w:val="26"/>
          <w:szCs w:val="26"/>
        </w:rPr>
        <w:footnoteRef/>
      </w:r>
      <w:r w:rsidRPr="00101F24">
        <w:rPr>
          <w:sz w:val="26"/>
          <w:szCs w:val="26"/>
        </w:rPr>
        <w:t xml:space="preserve"> </w:t>
      </w:r>
      <w:r w:rsidRPr="00101F24">
        <w:rPr>
          <w:sz w:val="26"/>
          <w:szCs w:val="26"/>
        </w:rPr>
        <w:tab/>
      </w:r>
      <w:r w:rsidRPr="00101F24">
        <w:rPr>
          <w:i/>
          <w:sz w:val="26"/>
          <w:szCs w:val="26"/>
        </w:rPr>
        <w:t>Id</w:t>
      </w:r>
      <w:r w:rsidRPr="00101F24">
        <w:rPr>
          <w:sz w:val="26"/>
          <w:szCs w:val="26"/>
        </w:rPr>
        <w:t>.</w:t>
      </w:r>
    </w:p>
  </w:footnote>
  <w:footnote w:id="26">
    <w:p w:rsidR="00A253A1" w:rsidRPr="00101F24" w:rsidRDefault="00A253A1" w:rsidP="00791326">
      <w:pPr>
        <w:pStyle w:val="FootnoteText"/>
        <w:rPr>
          <w:sz w:val="26"/>
          <w:szCs w:val="26"/>
        </w:rPr>
      </w:pPr>
      <w:r w:rsidRPr="00101F24">
        <w:rPr>
          <w:rStyle w:val="FootnoteReference"/>
          <w:sz w:val="26"/>
          <w:szCs w:val="26"/>
        </w:rPr>
        <w:footnoteRef/>
      </w:r>
      <w:r w:rsidRPr="00101F24">
        <w:rPr>
          <w:sz w:val="26"/>
          <w:szCs w:val="26"/>
        </w:rPr>
        <w:t xml:space="preserve"> </w:t>
      </w:r>
      <w:r w:rsidRPr="00101F24">
        <w:rPr>
          <w:sz w:val="26"/>
          <w:szCs w:val="26"/>
        </w:rPr>
        <w:tab/>
      </w:r>
      <w:r w:rsidRPr="00101F24">
        <w:rPr>
          <w:i/>
          <w:sz w:val="26"/>
          <w:szCs w:val="26"/>
        </w:rPr>
        <w:t xml:space="preserve">Id. </w:t>
      </w:r>
      <w:r w:rsidRPr="00101F24">
        <w:rPr>
          <w:sz w:val="26"/>
          <w:szCs w:val="26"/>
        </w:rPr>
        <w:t>at 10-11. Two of the ten price components needed adjustment in order to maintain com</w:t>
      </w:r>
      <w:r w:rsidRPr="00101F24">
        <w:rPr>
          <w:sz w:val="26"/>
          <w:szCs w:val="26"/>
        </w:rPr>
        <w:softHyphen/>
        <w:t>parability between a market price applicable to AEP Ohio and a market price applicable to Duke. Those two price components were the Basis Adjust</w:t>
      </w:r>
      <w:r w:rsidRPr="00101F24">
        <w:rPr>
          <w:sz w:val="26"/>
          <w:szCs w:val="26"/>
        </w:rPr>
        <w:softHyphen/>
        <w:t xml:space="preserve">ment and the Alternative Energy Requirement components. </w:t>
      </w:r>
    </w:p>
  </w:footnote>
  <w:footnote w:id="27">
    <w:p w:rsidR="00A253A1" w:rsidRPr="00101F24" w:rsidRDefault="00A253A1" w:rsidP="00791326">
      <w:pPr>
        <w:pStyle w:val="FootnoteText"/>
        <w:rPr>
          <w:sz w:val="26"/>
          <w:szCs w:val="26"/>
        </w:rPr>
      </w:pPr>
      <w:r w:rsidRPr="00101F24">
        <w:rPr>
          <w:rStyle w:val="FootnoteReference"/>
          <w:sz w:val="26"/>
          <w:szCs w:val="26"/>
        </w:rPr>
        <w:footnoteRef/>
      </w:r>
      <w:r w:rsidRPr="00101F24">
        <w:rPr>
          <w:sz w:val="26"/>
          <w:szCs w:val="26"/>
        </w:rPr>
        <w:t xml:space="preserve"> </w:t>
      </w:r>
      <w:r w:rsidRPr="00101F24">
        <w:rPr>
          <w:sz w:val="26"/>
          <w:szCs w:val="26"/>
        </w:rPr>
        <w:tab/>
      </w:r>
      <w:r w:rsidRPr="00101F24">
        <w:rPr>
          <w:i/>
          <w:sz w:val="26"/>
          <w:szCs w:val="26"/>
        </w:rPr>
        <w:t>Id</w:t>
      </w:r>
      <w:r w:rsidRPr="00101F24">
        <w:rPr>
          <w:sz w:val="26"/>
          <w:szCs w:val="26"/>
        </w:rPr>
        <w:t>.</w:t>
      </w:r>
    </w:p>
  </w:footnote>
  <w:footnote w:id="28">
    <w:p w:rsidR="00A253A1" w:rsidRPr="00101F24" w:rsidRDefault="00A253A1" w:rsidP="00791326">
      <w:pPr>
        <w:pStyle w:val="FootnoteText"/>
        <w:rPr>
          <w:sz w:val="26"/>
          <w:szCs w:val="26"/>
        </w:rPr>
      </w:pPr>
      <w:r w:rsidRPr="00101F24">
        <w:rPr>
          <w:rStyle w:val="FootnoteReference"/>
          <w:sz w:val="26"/>
          <w:szCs w:val="26"/>
        </w:rPr>
        <w:footnoteRef/>
      </w:r>
      <w:r w:rsidRPr="00101F24">
        <w:rPr>
          <w:sz w:val="26"/>
          <w:szCs w:val="26"/>
        </w:rPr>
        <w:t xml:space="preserve"> </w:t>
      </w:r>
      <w:r w:rsidRPr="00101F24">
        <w:rPr>
          <w:sz w:val="26"/>
          <w:szCs w:val="26"/>
        </w:rPr>
        <w:tab/>
        <w:t xml:space="preserve">Staff Ex. 101 at HMC-1. </w:t>
      </w:r>
    </w:p>
  </w:footnote>
  <w:footnote w:id="29">
    <w:p w:rsidR="00A253A1" w:rsidRPr="00101F24" w:rsidRDefault="00A253A1" w:rsidP="00791326">
      <w:pPr>
        <w:pStyle w:val="FootnoteText"/>
        <w:rPr>
          <w:i/>
          <w:sz w:val="26"/>
          <w:szCs w:val="26"/>
        </w:rPr>
      </w:pPr>
      <w:r w:rsidRPr="00101F24">
        <w:rPr>
          <w:rStyle w:val="FootnoteReference"/>
          <w:sz w:val="26"/>
          <w:szCs w:val="26"/>
        </w:rPr>
        <w:footnoteRef/>
      </w:r>
      <w:r w:rsidRPr="00101F24">
        <w:rPr>
          <w:sz w:val="26"/>
          <w:szCs w:val="26"/>
        </w:rPr>
        <w:t xml:space="preserve"> </w:t>
      </w:r>
      <w:r w:rsidRPr="00101F24">
        <w:rPr>
          <w:sz w:val="26"/>
          <w:szCs w:val="26"/>
        </w:rPr>
        <w:tab/>
      </w:r>
      <w:r w:rsidRPr="00101F24">
        <w:rPr>
          <w:i/>
          <w:sz w:val="26"/>
          <w:szCs w:val="26"/>
        </w:rPr>
        <w:t xml:space="preserve">Capacity Case </w:t>
      </w:r>
      <w:r w:rsidRPr="00101F24">
        <w:rPr>
          <w:sz w:val="26"/>
          <w:szCs w:val="26"/>
        </w:rPr>
        <w:t>(Opinion &amp; Order)</w:t>
      </w:r>
      <w:r w:rsidRPr="00101F24">
        <w:rPr>
          <w:i/>
          <w:sz w:val="26"/>
          <w:szCs w:val="26"/>
        </w:rPr>
        <w:t xml:space="preserve"> </w:t>
      </w:r>
      <w:r w:rsidRPr="00101F24">
        <w:rPr>
          <w:sz w:val="26"/>
          <w:szCs w:val="26"/>
        </w:rPr>
        <w:t>(March 7, 2012).</w:t>
      </w:r>
    </w:p>
  </w:footnote>
  <w:footnote w:id="30">
    <w:p w:rsidR="00A253A1" w:rsidRPr="00101F24" w:rsidRDefault="00A253A1" w:rsidP="00791326">
      <w:pPr>
        <w:pStyle w:val="FootnoteText"/>
        <w:rPr>
          <w:sz w:val="26"/>
          <w:szCs w:val="26"/>
        </w:rPr>
      </w:pPr>
      <w:r w:rsidRPr="00101F24">
        <w:rPr>
          <w:rStyle w:val="FootnoteReference"/>
          <w:sz w:val="26"/>
          <w:szCs w:val="26"/>
        </w:rPr>
        <w:footnoteRef/>
      </w:r>
      <w:r w:rsidRPr="00101F24">
        <w:rPr>
          <w:sz w:val="26"/>
          <w:szCs w:val="26"/>
        </w:rPr>
        <w:t xml:space="preserve"> </w:t>
      </w:r>
      <w:r w:rsidRPr="00101F24">
        <w:rPr>
          <w:sz w:val="26"/>
          <w:szCs w:val="26"/>
        </w:rPr>
        <w:tab/>
        <w:t>Staff Ex. 102 at 28-29.</w:t>
      </w:r>
    </w:p>
  </w:footnote>
  <w:footnote w:id="31">
    <w:p w:rsidR="00A253A1" w:rsidRPr="00101F24" w:rsidRDefault="00A253A1" w:rsidP="00791326">
      <w:pPr>
        <w:pStyle w:val="FootnoteText"/>
        <w:rPr>
          <w:sz w:val="26"/>
          <w:szCs w:val="26"/>
        </w:rPr>
      </w:pPr>
      <w:r w:rsidRPr="00101F24">
        <w:rPr>
          <w:rStyle w:val="FootnoteReference"/>
          <w:sz w:val="26"/>
          <w:szCs w:val="26"/>
        </w:rPr>
        <w:footnoteRef/>
      </w:r>
      <w:r w:rsidRPr="00101F24">
        <w:rPr>
          <w:sz w:val="26"/>
          <w:szCs w:val="26"/>
        </w:rPr>
        <w:t xml:space="preserve"> </w:t>
      </w:r>
      <w:r w:rsidRPr="00101F24">
        <w:rPr>
          <w:sz w:val="26"/>
          <w:szCs w:val="26"/>
        </w:rPr>
        <w:tab/>
      </w:r>
      <w:proofErr w:type="gramStart"/>
      <w:r w:rsidRPr="00101F24">
        <w:rPr>
          <w:i/>
          <w:sz w:val="26"/>
          <w:szCs w:val="26"/>
        </w:rPr>
        <w:t xml:space="preserve">Id. </w:t>
      </w:r>
      <w:r w:rsidRPr="00101F24">
        <w:rPr>
          <w:sz w:val="26"/>
          <w:szCs w:val="26"/>
        </w:rPr>
        <w:t>at 29.</w:t>
      </w:r>
      <w:proofErr w:type="gramEnd"/>
    </w:p>
  </w:footnote>
  <w:footnote w:id="32">
    <w:p w:rsidR="00A253A1" w:rsidRPr="005A6F21" w:rsidRDefault="00A253A1" w:rsidP="00791326">
      <w:pPr>
        <w:pStyle w:val="FootnoteText"/>
        <w:rPr>
          <w:sz w:val="26"/>
          <w:szCs w:val="26"/>
        </w:rPr>
      </w:pPr>
      <w:r w:rsidRPr="005A6F21">
        <w:rPr>
          <w:rStyle w:val="FootnoteReference"/>
          <w:sz w:val="26"/>
          <w:szCs w:val="26"/>
        </w:rPr>
        <w:footnoteRef/>
      </w:r>
      <w:r w:rsidRPr="005A6F21">
        <w:rPr>
          <w:sz w:val="26"/>
          <w:szCs w:val="26"/>
        </w:rPr>
        <w:t xml:space="preserve"> </w:t>
      </w:r>
      <w:r w:rsidRPr="005A6F21">
        <w:rPr>
          <w:sz w:val="26"/>
          <w:szCs w:val="26"/>
        </w:rPr>
        <w:tab/>
      </w:r>
      <w:proofErr w:type="gramStart"/>
      <w:r w:rsidRPr="005A6F21">
        <w:rPr>
          <w:i/>
          <w:sz w:val="26"/>
          <w:szCs w:val="26"/>
        </w:rPr>
        <w:t xml:space="preserve">Id. </w:t>
      </w:r>
      <w:r w:rsidRPr="005A6F21">
        <w:rPr>
          <w:sz w:val="26"/>
          <w:szCs w:val="26"/>
        </w:rPr>
        <w:t>at 30.</w:t>
      </w:r>
      <w:proofErr w:type="gramEnd"/>
    </w:p>
  </w:footnote>
  <w:footnote w:id="33">
    <w:p w:rsidR="00A253A1" w:rsidRPr="005A6F21" w:rsidRDefault="00A253A1" w:rsidP="00791326">
      <w:pPr>
        <w:pStyle w:val="FootnoteText"/>
        <w:rPr>
          <w:sz w:val="26"/>
          <w:szCs w:val="26"/>
        </w:rPr>
      </w:pPr>
      <w:r w:rsidRPr="005A6F21">
        <w:rPr>
          <w:rStyle w:val="FootnoteReference"/>
          <w:sz w:val="26"/>
          <w:szCs w:val="26"/>
        </w:rPr>
        <w:footnoteRef/>
      </w:r>
      <w:r w:rsidRPr="005A6F21">
        <w:rPr>
          <w:sz w:val="26"/>
          <w:szCs w:val="26"/>
        </w:rPr>
        <w:t xml:space="preserve"> </w:t>
      </w:r>
      <w:r w:rsidRPr="005A6F21">
        <w:rPr>
          <w:sz w:val="26"/>
          <w:szCs w:val="26"/>
        </w:rPr>
        <w:tab/>
      </w:r>
      <w:r w:rsidRPr="005A6F21">
        <w:rPr>
          <w:i/>
          <w:sz w:val="26"/>
          <w:szCs w:val="26"/>
        </w:rPr>
        <w:t>Id</w:t>
      </w:r>
      <w:r w:rsidRPr="005A6F21">
        <w:rPr>
          <w:sz w:val="26"/>
          <w:szCs w:val="26"/>
        </w:rPr>
        <w:t>.</w:t>
      </w:r>
    </w:p>
  </w:footnote>
  <w:footnote w:id="34">
    <w:p w:rsidR="00A253A1" w:rsidRPr="005A6F21" w:rsidRDefault="00A253A1" w:rsidP="00791326">
      <w:pPr>
        <w:pStyle w:val="FootnoteText"/>
        <w:rPr>
          <w:sz w:val="26"/>
          <w:szCs w:val="26"/>
        </w:rPr>
      </w:pPr>
      <w:r w:rsidRPr="005A6F21">
        <w:rPr>
          <w:rStyle w:val="FootnoteReference"/>
          <w:sz w:val="26"/>
          <w:szCs w:val="26"/>
        </w:rPr>
        <w:footnoteRef/>
      </w:r>
      <w:r w:rsidRPr="005A6F21">
        <w:rPr>
          <w:sz w:val="26"/>
          <w:szCs w:val="26"/>
        </w:rPr>
        <w:t xml:space="preserve"> </w:t>
      </w:r>
      <w:r w:rsidRPr="005A6F21">
        <w:rPr>
          <w:sz w:val="26"/>
          <w:szCs w:val="26"/>
        </w:rPr>
        <w:tab/>
        <w:t>Staff Ex. 110.</w:t>
      </w:r>
    </w:p>
  </w:footnote>
  <w:footnote w:id="35">
    <w:p w:rsidR="00A253A1" w:rsidRPr="005A6F21" w:rsidRDefault="00A253A1" w:rsidP="00791326">
      <w:pPr>
        <w:pStyle w:val="FootnoteText"/>
        <w:rPr>
          <w:sz w:val="26"/>
          <w:szCs w:val="26"/>
        </w:rPr>
      </w:pPr>
      <w:r w:rsidRPr="005A6F21">
        <w:rPr>
          <w:rStyle w:val="FootnoteReference"/>
          <w:sz w:val="26"/>
          <w:szCs w:val="26"/>
        </w:rPr>
        <w:footnoteRef/>
      </w:r>
      <w:r w:rsidRPr="005A6F21">
        <w:rPr>
          <w:sz w:val="26"/>
          <w:szCs w:val="26"/>
        </w:rPr>
        <w:t xml:space="preserve"> </w:t>
      </w:r>
      <w:r w:rsidRPr="005A6F21">
        <w:rPr>
          <w:sz w:val="26"/>
          <w:szCs w:val="26"/>
        </w:rPr>
        <w:tab/>
        <w:t xml:space="preserve">Staff Ex. 102 at DRJ-4, 5 and 6. </w:t>
      </w:r>
    </w:p>
  </w:footnote>
  <w:footnote w:id="36">
    <w:p w:rsidR="00A253A1" w:rsidRPr="006218D9" w:rsidRDefault="00A253A1">
      <w:pPr>
        <w:pStyle w:val="FootnoteText"/>
        <w:rPr>
          <w:sz w:val="26"/>
          <w:szCs w:val="26"/>
        </w:rPr>
      </w:pPr>
      <w:r w:rsidRPr="006218D9">
        <w:rPr>
          <w:rStyle w:val="FootnoteReference"/>
          <w:sz w:val="26"/>
          <w:szCs w:val="26"/>
        </w:rPr>
        <w:footnoteRef/>
      </w:r>
      <w:r w:rsidRPr="006218D9">
        <w:rPr>
          <w:sz w:val="26"/>
          <w:szCs w:val="26"/>
        </w:rPr>
        <w:t xml:space="preserve"> </w:t>
      </w:r>
      <w:r w:rsidRPr="006218D9">
        <w:rPr>
          <w:sz w:val="26"/>
          <w:szCs w:val="26"/>
        </w:rPr>
        <w:tab/>
      </w:r>
      <w:r w:rsidRPr="006218D9">
        <w:rPr>
          <w:i/>
          <w:sz w:val="26"/>
          <w:szCs w:val="26"/>
        </w:rPr>
        <w:t>In the Matter of the Application of Ohio Power Company for Approval of Full Legal Corporate Separation and Amendment to its Corporate Separation Plan</w:t>
      </w:r>
      <w:r w:rsidRPr="006218D9">
        <w:rPr>
          <w:sz w:val="26"/>
          <w:szCs w:val="26"/>
        </w:rPr>
        <w:t>, Case No. 12-1126-EL-UNC.</w:t>
      </w:r>
    </w:p>
  </w:footnote>
  <w:footnote w:id="37">
    <w:p w:rsidR="00A253A1" w:rsidRPr="006218D9" w:rsidRDefault="00A253A1">
      <w:pPr>
        <w:pStyle w:val="FootnoteText"/>
        <w:rPr>
          <w:sz w:val="26"/>
          <w:szCs w:val="26"/>
        </w:rPr>
      </w:pPr>
      <w:r w:rsidRPr="006218D9">
        <w:rPr>
          <w:rStyle w:val="FootnoteReference"/>
          <w:sz w:val="26"/>
          <w:szCs w:val="26"/>
        </w:rPr>
        <w:footnoteRef/>
      </w:r>
      <w:r w:rsidRPr="006218D9">
        <w:rPr>
          <w:sz w:val="26"/>
          <w:szCs w:val="26"/>
        </w:rPr>
        <w:t xml:space="preserve"> </w:t>
      </w:r>
      <w:r w:rsidRPr="006218D9">
        <w:rPr>
          <w:sz w:val="26"/>
          <w:szCs w:val="26"/>
        </w:rPr>
        <w:tab/>
        <w:t>Company Ex. 102.</w:t>
      </w:r>
    </w:p>
  </w:footnote>
  <w:footnote w:id="38">
    <w:p w:rsidR="00A253A1" w:rsidRPr="006218D9" w:rsidRDefault="00A253A1">
      <w:pPr>
        <w:pStyle w:val="FootnoteText"/>
        <w:rPr>
          <w:sz w:val="26"/>
          <w:szCs w:val="26"/>
        </w:rPr>
      </w:pPr>
      <w:r w:rsidRPr="006218D9">
        <w:rPr>
          <w:rStyle w:val="FootnoteReference"/>
          <w:sz w:val="26"/>
          <w:szCs w:val="26"/>
        </w:rPr>
        <w:footnoteRef/>
      </w:r>
      <w:r w:rsidRPr="006218D9">
        <w:rPr>
          <w:sz w:val="26"/>
          <w:szCs w:val="26"/>
        </w:rPr>
        <w:t xml:space="preserve"> </w:t>
      </w:r>
      <w:r w:rsidRPr="006218D9">
        <w:rPr>
          <w:sz w:val="26"/>
          <w:szCs w:val="26"/>
        </w:rPr>
        <w:tab/>
        <w:t>Staff Ex. 108.</w:t>
      </w:r>
    </w:p>
  </w:footnote>
  <w:footnote w:id="39">
    <w:p w:rsidR="00A253A1" w:rsidRPr="006218D9" w:rsidRDefault="00A253A1" w:rsidP="006218D9">
      <w:pPr>
        <w:pStyle w:val="FootnoteText"/>
        <w:rPr>
          <w:sz w:val="26"/>
          <w:szCs w:val="26"/>
        </w:rPr>
      </w:pPr>
      <w:r w:rsidRPr="006218D9">
        <w:rPr>
          <w:rStyle w:val="FootnoteReference"/>
          <w:sz w:val="26"/>
          <w:szCs w:val="26"/>
        </w:rPr>
        <w:footnoteRef/>
      </w:r>
      <w:r w:rsidRPr="006218D9">
        <w:rPr>
          <w:sz w:val="26"/>
          <w:szCs w:val="26"/>
        </w:rPr>
        <w:t xml:space="preserve"> </w:t>
      </w:r>
      <w:r w:rsidRPr="006218D9">
        <w:rPr>
          <w:sz w:val="26"/>
          <w:szCs w:val="26"/>
        </w:rPr>
        <w:tab/>
      </w:r>
      <w:proofErr w:type="gramStart"/>
      <w:r w:rsidRPr="006218D9">
        <w:rPr>
          <w:sz w:val="26"/>
          <w:szCs w:val="26"/>
        </w:rPr>
        <w:t>Tr. 4405.</w:t>
      </w:r>
      <w:proofErr w:type="gramEnd"/>
    </w:p>
  </w:footnote>
  <w:footnote w:id="40">
    <w:p w:rsidR="00A253A1" w:rsidRPr="006218D9" w:rsidRDefault="00A253A1">
      <w:pPr>
        <w:pStyle w:val="FootnoteText"/>
        <w:rPr>
          <w:sz w:val="26"/>
          <w:szCs w:val="26"/>
        </w:rPr>
      </w:pPr>
      <w:r w:rsidRPr="006218D9">
        <w:rPr>
          <w:rStyle w:val="FootnoteReference"/>
          <w:sz w:val="26"/>
          <w:szCs w:val="26"/>
        </w:rPr>
        <w:footnoteRef/>
      </w:r>
      <w:r w:rsidRPr="006218D9">
        <w:rPr>
          <w:sz w:val="26"/>
          <w:szCs w:val="26"/>
        </w:rPr>
        <w:t xml:space="preserve"> </w:t>
      </w:r>
      <w:r w:rsidRPr="006218D9">
        <w:rPr>
          <w:sz w:val="26"/>
          <w:szCs w:val="26"/>
        </w:rPr>
        <w:tab/>
        <w:t>Staff Ex. 108.</w:t>
      </w:r>
    </w:p>
  </w:footnote>
  <w:footnote w:id="41">
    <w:p w:rsidR="00A253A1" w:rsidRPr="006218D9" w:rsidRDefault="00A253A1">
      <w:pPr>
        <w:pStyle w:val="FootnoteText"/>
        <w:rPr>
          <w:sz w:val="26"/>
          <w:szCs w:val="26"/>
        </w:rPr>
      </w:pPr>
      <w:r w:rsidRPr="006218D9">
        <w:rPr>
          <w:rStyle w:val="FootnoteReference"/>
          <w:sz w:val="26"/>
          <w:szCs w:val="26"/>
        </w:rPr>
        <w:footnoteRef/>
      </w:r>
      <w:r w:rsidRPr="006218D9">
        <w:rPr>
          <w:sz w:val="26"/>
          <w:szCs w:val="26"/>
        </w:rPr>
        <w:t xml:space="preserve"> </w:t>
      </w:r>
      <w:r w:rsidRPr="006218D9">
        <w:rPr>
          <w:sz w:val="26"/>
          <w:szCs w:val="26"/>
        </w:rPr>
        <w:tab/>
        <w:t>Staff Ex. 104.</w:t>
      </w:r>
    </w:p>
  </w:footnote>
  <w:footnote w:id="42">
    <w:p w:rsidR="00A253A1" w:rsidRPr="006218D9" w:rsidRDefault="00A253A1">
      <w:pPr>
        <w:pStyle w:val="FootnoteText"/>
        <w:rPr>
          <w:sz w:val="26"/>
          <w:szCs w:val="26"/>
        </w:rPr>
      </w:pPr>
      <w:r w:rsidRPr="006218D9">
        <w:rPr>
          <w:rStyle w:val="FootnoteReference"/>
          <w:sz w:val="26"/>
          <w:szCs w:val="26"/>
        </w:rPr>
        <w:footnoteRef/>
      </w:r>
      <w:r w:rsidRPr="006218D9">
        <w:rPr>
          <w:sz w:val="26"/>
          <w:szCs w:val="26"/>
        </w:rPr>
        <w:t xml:space="preserve"> </w:t>
      </w:r>
      <w:r w:rsidRPr="006218D9">
        <w:rPr>
          <w:sz w:val="26"/>
          <w:szCs w:val="26"/>
        </w:rPr>
        <w:tab/>
      </w:r>
      <w:r w:rsidRPr="006218D9">
        <w:rPr>
          <w:i/>
          <w:sz w:val="26"/>
          <w:szCs w:val="26"/>
        </w:rPr>
        <w:t>Id</w:t>
      </w:r>
      <w:r w:rsidRPr="006218D9">
        <w:rPr>
          <w:sz w:val="26"/>
          <w:szCs w:val="26"/>
        </w:rPr>
        <w:t>.</w:t>
      </w:r>
    </w:p>
  </w:footnote>
  <w:footnote w:id="43">
    <w:p w:rsidR="00A253A1" w:rsidRPr="006218D9" w:rsidRDefault="00A253A1">
      <w:pPr>
        <w:pStyle w:val="FootnoteText"/>
        <w:rPr>
          <w:sz w:val="26"/>
          <w:szCs w:val="26"/>
        </w:rPr>
      </w:pPr>
      <w:r w:rsidRPr="006218D9">
        <w:rPr>
          <w:rStyle w:val="FootnoteReference"/>
          <w:sz w:val="26"/>
          <w:szCs w:val="26"/>
        </w:rPr>
        <w:footnoteRef/>
      </w:r>
      <w:r w:rsidRPr="006218D9">
        <w:rPr>
          <w:sz w:val="26"/>
          <w:szCs w:val="26"/>
        </w:rPr>
        <w:t xml:space="preserve"> </w:t>
      </w:r>
      <w:r w:rsidRPr="006218D9">
        <w:rPr>
          <w:sz w:val="26"/>
          <w:szCs w:val="26"/>
        </w:rPr>
        <w:tab/>
        <w:t>Staff Ex. 103.</w:t>
      </w:r>
    </w:p>
  </w:footnote>
  <w:footnote w:id="44">
    <w:p w:rsidR="00A253A1" w:rsidRPr="006218D9" w:rsidRDefault="00A253A1">
      <w:pPr>
        <w:pStyle w:val="FootnoteText"/>
        <w:rPr>
          <w:sz w:val="26"/>
          <w:szCs w:val="26"/>
        </w:rPr>
      </w:pPr>
      <w:r w:rsidRPr="006218D9">
        <w:rPr>
          <w:rStyle w:val="FootnoteReference"/>
          <w:sz w:val="26"/>
          <w:szCs w:val="26"/>
        </w:rPr>
        <w:footnoteRef/>
      </w:r>
      <w:r w:rsidRPr="006218D9">
        <w:rPr>
          <w:sz w:val="26"/>
          <w:szCs w:val="26"/>
        </w:rPr>
        <w:t xml:space="preserve"> </w:t>
      </w:r>
      <w:r w:rsidRPr="006218D9">
        <w:rPr>
          <w:sz w:val="26"/>
          <w:szCs w:val="26"/>
        </w:rPr>
        <w:tab/>
      </w:r>
      <w:r w:rsidRPr="006218D9">
        <w:rPr>
          <w:i/>
          <w:sz w:val="26"/>
          <w:szCs w:val="26"/>
        </w:rPr>
        <w:t>Id</w:t>
      </w:r>
      <w:r w:rsidRPr="006218D9">
        <w:rPr>
          <w:sz w:val="26"/>
          <w:szCs w:val="26"/>
        </w:rPr>
        <w:t>.</w:t>
      </w:r>
    </w:p>
  </w:footnote>
  <w:footnote w:id="45">
    <w:p w:rsidR="00A253A1" w:rsidRDefault="00A253A1" w:rsidP="00791326">
      <w:pPr>
        <w:pStyle w:val="FootnoteText"/>
      </w:pPr>
      <w:r w:rsidRPr="00791326">
        <w:rPr>
          <w:rStyle w:val="FootnoteReference"/>
          <w:sz w:val="26"/>
          <w:szCs w:val="26"/>
        </w:rPr>
        <w:footnoteRef/>
      </w:r>
      <w:r w:rsidRPr="00791326">
        <w:rPr>
          <w:sz w:val="26"/>
          <w:szCs w:val="26"/>
        </w:rPr>
        <w:t xml:space="preserve"> </w:t>
      </w:r>
      <w:r w:rsidRPr="00791326">
        <w:rPr>
          <w:sz w:val="26"/>
          <w:szCs w:val="26"/>
        </w:rPr>
        <w:tab/>
      </w:r>
      <w:proofErr w:type="gramStart"/>
      <w:r w:rsidRPr="00791326">
        <w:rPr>
          <w:sz w:val="26"/>
          <w:szCs w:val="26"/>
        </w:rPr>
        <w:t>Tr. 2511.</w:t>
      </w:r>
      <w:proofErr w:type="gramEnd"/>
    </w:p>
  </w:footnote>
  <w:footnote w:id="46">
    <w:p w:rsidR="00A253A1" w:rsidRPr="00791326" w:rsidRDefault="00A253A1" w:rsidP="00791326">
      <w:pPr>
        <w:pStyle w:val="FootnoteText"/>
        <w:rPr>
          <w:sz w:val="26"/>
          <w:szCs w:val="26"/>
        </w:rPr>
      </w:pPr>
      <w:r w:rsidRPr="00791326">
        <w:rPr>
          <w:rStyle w:val="FootnoteReference"/>
          <w:sz w:val="26"/>
          <w:szCs w:val="26"/>
        </w:rPr>
        <w:footnoteRef/>
      </w:r>
      <w:r w:rsidRPr="00791326">
        <w:rPr>
          <w:sz w:val="26"/>
          <w:szCs w:val="26"/>
        </w:rPr>
        <w:t xml:space="preserve"> </w:t>
      </w:r>
      <w:r w:rsidRPr="00791326">
        <w:rPr>
          <w:sz w:val="26"/>
          <w:szCs w:val="26"/>
        </w:rPr>
        <w:tab/>
      </w:r>
      <w:proofErr w:type="gramStart"/>
      <w:r w:rsidRPr="00791326">
        <w:rPr>
          <w:sz w:val="26"/>
          <w:szCs w:val="26"/>
        </w:rPr>
        <w:t>Tr. 2514.</w:t>
      </w:r>
      <w:proofErr w:type="gramEnd"/>
    </w:p>
  </w:footnote>
  <w:footnote w:id="47">
    <w:p w:rsidR="00A253A1" w:rsidRPr="00791326" w:rsidRDefault="00A253A1" w:rsidP="00791326">
      <w:pPr>
        <w:pStyle w:val="FootnoteText"/>
        <w:rPr>
          <w:sz w:val="26"/>
          <w:szCs w:val="26"/>
        </w:rPr>
      </w:pPr>
      <w:r w:rsidRPr="00791326">
        <w:rPr>
          <w:rStyle w:val="FootnoteReference"/>
          <w:sz w:val="26"/>
          <w:szCs w:val="26"/>
        </w:rPr>
        <w:footnoteRef/>
      </w:r>
      <w:r w:rsidRPr="00791326">
        <w:rPr>
          <w:sz w:val="26"/>
          <w:szCs w:val="26"/>
        </w:rPr>
        <w:t xml:space="preserve"> </w:t>
      </w:r>
      <w:r w:rsidRPr="00791326">
        <w:rPr>
          <w:sz w:val="26"/>
          <w:szCs w:val="26"/>
        </w:rPr>
        <w:tab/>
        <w:t>Ohio Power Company’s modified Electric Security Plan, p. 8</w:t>
      </w:r>
      <w:r>
        <w:rPr>
          <w:sz w:val="26"/>
          <w:szCs w:val="26"/>
        </w:rPr>
        <w:t>.</w:t>
      </w:r>
    </w:p>
  </w:footnote>
  <w:footnote w:id="48">
    <w:p w:rsidR="00A253A1" w:rsidRPr="00791326" w:rsidRDefault="00A253A1" w:rsidP="00791326">
      <w:pPr>
        <w:pStyle w:val="FootnoteText"/>
        <w:rPr>
          <w:sz w:val="26"/>
          <w:szCs w:val="26"/>
        </w:rPr>
      </w:pPr>
      <w:r w:rsidRPr="00791326">
        <w:rPr>
          <w:rStyle w:val="FootnoteReference"/>
          <w:sz w:val="26"/>
          <w:szCs w:val="26"/>
        </w:rPr>
        <w:footnoteRef/>
      </w:r>
      <w:r w:rsidRPr="00791326">
        <w:rPr>
          <w:sz w:val="26"/>
          <w:szCs w:val="26"/>
        </w:rPr>
        <w:t xml:space="preserve"> </w:t>
      </w:r>
      <w:r w:rsidRPr="00791326">
        <w:rPr>
          <w:sz w:val="26"/>
          <w:szCs w:val="26"/>
        </w:rPr>
        <w:tab/>
      </w:r>
      <w:proofErr w:type="gramStart"/>
      <w:r w:rsidRPr="00791326">
        <w:rPr>
          <w:sz w:val="26"/>
          <w:szCs w:val="26"/>
        </w:rPr>
        <w:t>Currently being evaluated in Case No. 10-0501-EL-FOR</w:t>
      </w:r>
      <w:r>
        <w:rPr>
          <w:sz w:val="26"/>
          <w:szCs w:val="26"/>
        </w:rPr>
        <w:t>.</w:t>
      </w:r>
      <w:proofErr w:type="gramEnd"/>
    </w:p>
  </w:footnote>
  <w:footnote w:id="49">
    <w:p w:rsidR="00A253A1" w:rsidRPr="00791326" w:rsidRDefault="00A253A1" w:rsidP="00791326">
      <w:pPr>
        <w:pStyle w:val="FootnoteText"/>
        <w:rPr>
          <w:sz w:val="26"/>
          <w:szCs w:val="26"/>
        </w:rPr>
      </w:pPr>
      <w:r w:rsidRPr="00791326">
        <w:rPr>
          <w:rStyle w:val="FootnoteReference"/>
          <w:sz w:val="26"/>
          <w:szCs w:val="26"/>
        </w:rPr>
        <w:footnoteRef/>
      </w:r>
      <w:r w:rsidRPr="00791326">
        <w:rPr>
          <w:sz w:val="26"/>
          <w:szCs w:val="26"/>
        </w:rPr>
        <w:t xml:space="preserve"> </w:t>
      </w:r>
      <w:r w:rsidRPr="00791326">
        <w:rPr>
          <w:sz w:val="26"/>
          <w:szCs w:val="26"/>
        </w:rPr>
        <w:tab/>
        <w:t>Staff Post-Hearing Brief, Case 10-0501-EL-FOR; p. 8</w:t>
      </w:r>
    </w:p>
  </w:footnote>
  <w:footnote w:id="50">
    <w:p w:rsidR="00A253A1" w:rsidRPr="00791326" w:rsidRDefault="00A253A1" w:rsidP="00791326">
      <w:pPr>
        <w:pStyle w:val="FootnoteText"/>
        <w:rPr>
          <w:sz w:val="26"/>
          <w:szCs w:val="26"/>
        </w:rPr>
      </w:pPr>
      <w:r w:rsidRPr="00791326">
        <w:rPr>
          <w:rStyle w:val="FootnoteReference"/>
          <w:sz w:val="26"/>
          <w:szCs w:val="26"/>
        </w:rPr>
        <w:footnoteRef/>
      </w:r>
      <w:r w:rsidRPr="00791326">
        <w:rPr>
          <w:sz w:val="26"/>
          <w:szCs w:val="26"/>
        </w:rPr>
        <w:t xml:space="preserve"> </w:t>
      </w:r>
      <w:r w:rsidRPr="00791326">
        <w:rPr>
          <w:sz w:val="26"/>
          <w:szCs w:val="26"/>
        </w:rPr>
        <w:tab/>
      </w:r>
      <w:proofErr w:type="gramStart"/>
      <w:r w:rsidRPr="00791326">
        <w:rPr>
          <w:sz w:val="26"/>
          <w:szCs w:val="26"/>
        </w:rPr>
        <w:t>Tr. 2514.</w:t>
      </w:r>
      <w:proofErr w:type="gramEnd"/>
    </w:p>
  </w:footnote>
  <w:footnote w:id="51">
    <w:p w:rsidR="00A253A1" w:rsidRPr="00791326" w:rsidRDefault="00A253A1" w:rsidP="00791326">
      <w:pPr>
        <w:pStyle w:val="FootnoteText"/>
        <w:rPr>
          <w:sz w:val="26"/>
          <w:szCs w:val="26"/>
        </w:rPr>
      </w:pPr>
      <w:r w:rsidRPr="00791326">
        <w:rPr>
          <w:rStyle w:val="FootnoteReference"/>
          <w:sz w:val="26"/>
          <w:szCs w:val="26"/>
        </w:rPr>
        <w:footnoteRef/>
      </w:r>
      <w:r w:rsidRPr="00791326">
        <w:rPr>
          <w:sz w:val="26"/>
          <w:szCs w:val="26"/>
        </w:rPr>
        <w:t xml:space="preserve"> </w:t>
      </w:r>
      <w:r w:rsidRPr="00791326">
        <w:rPr>
          <w:sz w:val="26"/>
          <w:szCs w:val="26"/>
        </w:rPr>
        <w:tab/>
      </w:r>
      <w:proofErr w:type="gramStart"/>
      <w:r w:rsidRPr="00791326">
        <w:rPr>
          <w:sz w:val="26"/>
          <w:szCs w:val="26"/>
        </w:rPr>
        <w:t>Tr. 599, 1170, 2140.</w:t>
      </w:r>
      <w:proofErr w:type="gramEnd"/>
    </w:p>
  </w:footnote>
  <w:footnote w:id="52">
    <w:p w:rsidR="00A253A1" w:rsidRPr="00791326" w:rsidRDefault="00A253A1" w:rsidP="00791326">
      <w:pPr>
        <w:pStyle w:val="FootnoteText"/>
        <w:rPr>
          <w:sz w:val="26"/>
          <w:szCs w:val="26"/>
        </w:rPr>
      </w:pPr>
      <w:r w:rsidRPr="00791326">
        <w:rPr>
          <w:rStyle w:val="FootnoteReference"/>
          <w:sz w:val="26"/>
          <w:szCs w:val="26"/>
        </w:rPr>
        <w:footnoteRef/>
      </w:r>
      <w:r w:rsidRPr="00791326">
        <w:rPr>
          <w:sz w:val="26"/>
          <w:szCs w:val="26"/>
        </w:rPr>
        <w:t xml:space="preserve"> </w:t>
      </w:r>
      <w:r w:rsidRPr="00791326">
        <w:rPr>
          <w:sz w:val="26"/>
          <w:szCs w:val="26"/>
        </w:rPr>
        <w:tab/>
      </w:r>
      <w:proofErr w:type="gramStart"/>
      <w:r w:rsidRPr="00791326">
        <w:rPr>
          <w:sz w:val="26"/>
          <w:szCs w:val="26"/>
        </w:rPr>
        <w:t>Tr. 2139.</w:t>
      </w:r>
      <w:proofErr w:type="gramEnd"/>
    </w:p>
  </w:footnote>
  <w:footnote w:id="53">
    <w:p w:rsidR="00A253A1" w:rsidRPr="00BC296E" w:rsidRDefault="00A253A1" w:rsidP="007F05AD">
      <w:pPr>
        <w:pStyle w:val="FootnoteText"/>
        <w:rPr>
          <w:sz w:val="26"/>
          <w:szCs w:val="26"/>
        </w:rPr>
      </w:pPr>
      <w:r w:rsidRPr="00BC296E">
        <w:rPr>
          <w:rStyle w:val="FootnoteReference"/>
          <w:sz w:val="26"/>
          <w:szCs w:val="26"/>
        </w:rPr>
        <w:footnoteRef/>
      </w:r>
      <w:r w:rsidRPr="00BC296E">
        <w:rPr>
          <w:sz w:val="26"/>
          <w:szCs w:val="26"/>
        </w:rPr>
        <w:t xml:space="preserve"> </w:t>
      </w:r>
      <w:r w:rsidRPr="00BC296E">
        <w:rPr>
          <w:sz w:val="26"/>
          <w:szCs w:val="26"/>
        </w:rPr>
        <w:tab/>
      </w:r>
      <w:r w:rsidRPr="00BC296E">
        <w:rPr>
          <w:i/>
          <w:sz w:val="26"/>
          <w:szCs w:val="26"/>
        </w:rPr>
        <w:t>Id</w:t>
      </w:r>
      <w:r w:rsidRPr="00BC296E">
        <w:rPr>
          <w:sz w:val="26"/>
          <w:szCs w:val="26"/>
        </w:rPr>
        <w:t xml:space="preserve">. </w:t>
      </w:r>
    </w:p>
  </w:footnote>
  <w:footnote w:id="54">
    <w:p w:rsidR="00A253A1" w:rsidRPr="00BC296E" w:rsidRDefault="00A253A1">
      <w:pPr>
        <w:pStyle w:val="FootnoteText"/>
        <w:rPr>
          <w:sz w:val="26"/>
          <w:szCs w:val="26"/>
        </w:rPr>
      </w:pPr>
      <w:r w:rsidRPr="00BC296E">
        <w:rPr>
          <w:rStyle w:val="FootnoteReference"/>
          <w:sz w:val="26"/>
          <w:szCs w:val="26"/>
        </w:rPr>
        <w:footnoteRef/>
      </w:r>
      <w:r w:rsidRPr="00BC296E">
        <w:rPr>
          <w:sz w:val="26"/>
          <w:szCs w:val="26"/>
        </w:rPr>
        <w:t xml:space="preserve"> </w:t>
      </w:r>
      <w:r w:rsidRPr="00BC296E">
        <w:rPr>
          <w:sz w:val="26"/>
          <w:szCs w:val="26"/>
        </w:rPr>
        <w:tab/>
        <w:t>Staff Ex. 105.</w:t>
      </w:r>
    </w:p>
  </w:footnote>
  <w:footnote w:id="55">
    <w:p w:rsidR="00A253A1" w:rsidRPr="00791326" w:rsidRDefault="00A253A1" w:rsidP="00791326">
      <w:pPr>
        <w:pStyle w:val="FootnoteText"/>
        <w:rPr>
          <w:sz w:val="26"/>
          <w:szCs w:val="26"/>
        </w:rPr>
      </w:pPr>
      <w:r w:rsidRPr="00791326">
        <w:rPr>
          <w:rStyle w:val="FootnoteReference"/>
          <w:sz w:val="26"/>
          <w:szCs w:val="26"/>
        </w:rPr>
        <w:footnoteRef/>
      </w:r>
      <w:r w:rsidRPr="00791326">
        <w:rPr>
          <w:sz w:val="26"/>
          <w:szCs w:val="26"/>
        </w:rPr>
        <w:t xml:space="preserve"> </w:t>
      </w:r>
      <w:r w:rsidRPr="00791326">
        <w:rPr>
          <w:sz w:val="26"/>
          <w:szCs w:val="26"/>
        </w:rPr>
        <w:tab/>
      </w:r>
      <w:proofErr w:type="gramStart"/>
      <w:r w:rsidRPr="00791326">
        <w:rPr>
          <w:sz w:val="26"/>
          <w:szCs w:val="26"/>
        </w:rPr>
        <w:t>Tr. 4555.</w:t>
      </w:r>
      <w:proofErr w:type="gramEnd"/>
    </w:p>
  </w:footnote>
  <w:footnote w:id="56">
    <w:p w:rsidR="00A253A1" w:rsidRPr="00BC296E" w:rsidRDefault="00A253A1">
      <w:pPr>
        <w:pStyle w:val="FootnoteText"/>
        <w:rPr>
          <w:sz w:val="26"/>
          <w:szCs w:val="26"/>
        </w:rPr>
      </w:pPr>
      <w:r w:rsidRPr="00BC296E">
        <w:rPr>
          <w:rStyle w:val="FootnoteReference"/>
          <w:sz w:val="26"/>
          <w:szCs w:val="26"/>
        </w:rPr>
        <w:footnoteRef/>
      </w:r>
      <w:r w:rsidRPr="00BC296E">
        <w:rPr>
          <w:sz w:val="26"/>
          <w:szCs w:val="26"/>
        </w:rPr>
        <w:t xml:space="preserve"> </w:t>
      </w:r>
      <w:r w:rsidRPr="00BC296E">
        <w:rPr>
          <w:sz w:val="26"/>
          <w:szCs w:val="26"/>
        </w:rPr>
        <w:tab/>
        <w:t>R.C. 4928.143(B</w:t>
      </w:r>
      <w:proofErr w:type="gramStart"/>
      <w:r w:rsidRPr="00BC296E">
        <w:rPr>
          <w:sz w:val="26"/>
          <w:szCs w:val="26"/>
        </w:rPr>
        <w:t>)(</w:t>
      </w:r>
      <w:proofErr w:type="gramEnd"/>
      <w:r w:rsidRPr="00BC296E">
        <w:rPr>
          <w:sz w:val="26"/>
          <w:szCs w:val="26"/>
        </w:rPr>
        <w:t>2)(h).</w:t>
      </w:r>
    </w:p>
  </w:footnote>
  <w:footnote w:id="57">
    <w:p w:rsidR="00A253A1" w:rsidRPr="00BC296E" w:rsidRDefault="00A253A1">
      <w:pPr>
        <w:pStyle w:val="FootnoteText"/>
        <w:rPr>
          <w:sz w:val="26"/>
          <w:szCs w:val="26"/>
        </w:rPr>
      </w:pPr>
      <w:r w:rsidRPr="00BC296E">
        <w:rPr>
          <w:rStyle w:val="FootnoteReference"/>
          <w:sz w:val="26"/>
          <w:szCs w:val="26"/>
        </w:rPr>
        <w:footnoteRef/>
      </w:r>
      <w:r w:rsidRPr="00BC296E">
        <w:rPr>
          <w:sz w:val="26"/>
          <w:szCs w:val="26"/>
        </w:rPr>
        <w:t xml:space="preserve"> </w:t>
      </w:r>
      <w:r w:rsidRPr="00BC296E">
        <w:rPr>
          <w:sz w:val="26"/>
          <w:szCs w:val="26"/>
        </w:rPr>
        <w:tab/>
        <w:t>Staff Ex. 106.</w:t>
      </w:r>
    </w:p>
  </w:footnote>
  <w:footnote w:id="58">
    <w:p w:rsidR="00A253A1" w:rsidRPr="00987582" w:rsidRDefault="00A253A1">
      <w:pPr>
        <w:pStyle w:val="FootnoteText"/>
        <w:rPr>
          <w:sz w:val="26"/>
          <w:szCs w:val="26"/>
        </w:rPr>
      </w:pPr>
      <w:r w:rsidRPr="00987582">
        <w:rPr>
          <w:rStyle w:val="FootnoteReference"/>
          <w:sz w:val="26"/>
          <w:szCs w:val="26"/>
        </w:rPr>
        <w:footnoteRef/>
      </w:r>
      <w:r w:rsidRPr="00987582">
        <w:rPr>
          <w:sz w:val="26"/>
          <w:szCs w:val="26"/>
        </w:rPr>
        <w:t xml:space="preserve"> </w:t>
      </w:r>
      <w:r w:rsidRPr="00987582">
        <w:rPr>
          <w:sz w:val="26"/>
          <w:szCs w:val="26"/>
        </w:rPr>
        <w:tab/>
      </w:r>
      <w:r w:rsidRPr="00987582">
        <w:rPr>
          <w:i/>
          <w:sz w:val="26"/>
          <w:szCs w:val="26"/>
        </w:rPr>
        <w:t>Id</w:t>
      </w:r>
      <w:r w:rsidRPr="00987582">
        <w:rPr>
          <w:sz w:val="26"/>
          <w:szCs w:val="26"/>
        </w:rPr>
        <w:t>.</w:t>
      </w:r>
    </w:p>
  </w:footnote>
  <w:footnote w:id="59">
    <w:p w:rsidR="00A253A1" w:rsidRPr="00987582" w:rsidRDefault="00A253A1">
      <w:pPr>
        <w:pStyle w:val="FootnoteText"/>
        <w:rPr>
          <w:sz w:val="26"/>
          <w:szCs w:val="26"/>
        </w:rPr>
      </w:pPr>
      <w:r w:rsidRPr="00987582">
        <w:rPr>
          <w:rStyle w:val="FootnoteReference"/>
          <w:sz w:val="26"/>
          <w:szCs w:val="26"/>
        </w:rPr>
        <w:footnoteRef/>
      </w:r>
      <w:r w:rsidRPr="00987582">
        <w:rPr>
          <w:sz w:val="26"/>
          <w:szCs w:val="26"/>
        </w:rPr>
        <w:t xml:space="preserve"> </w:t>
      </w:r>
      <w:r w:rsidRPr="00987582">
        <w:rPr>
          <w:sz w:val="26"/>
          <w:szCs w:val="26"/>
        </w:rPr>
        <w:tab/>
      </w:r>
      <w:proofErr w:type="gramStart"/>
      <w:r w:rsidRPr="00987582">
        <w:rPr>
          <w:sz w:val="26"/>
          <w:szCs w:val="26"/>
        </w:rPr>
        <w:t>Opinion and Order (December 14, 2011) at 46.</w:t>
      </w:r>
      <w:proofErr w:type="gramEnd"/>
    </w:p>
  </w:footnote>
  <w:footnote w:id="60">
    <w:p w:rsidR="00A253A1" w:rsidRPr="00987582" w:rsidRDefault="00A253A1">
      <w:pPr>
        <w:pStyle w:val="FootnoteText"/>
        <w:rPr>
          <w:sz w:val="26"/>
          <w:szCs w:val="26"/>
        </w:rPr>
      </w:pPr>
      <w:r w:rsidRPr="00987582">
        <w:rPr>
          <w:rStyle w:val="FootnoteReference"/>
          <w:sz w:val="26"/>
          <w:szCs w:val="26"/>
        </w:rPr>
        <w:footnoteRef/>
      </w:r>
      <w:r w:rsidRPr="00987582">
        <w:rPr>
          <w:sz w:val="26"/>
          <w:szCs w:val="26"/>
        </w:rPr>
        <w:t xml:space="preserve"> </w:t>
      </w:r>
      <w:r w:rsidRPr="00987582">
        <w:rPr>
          <w:sz w:val="26"/>
          <w:szCs w:val="26"/>
        </w:rPr>
        <w:tab/>
        <w:t>Company Ex. 151.</w:t>
      </w:r>
    </w:p>
  </w:footnote>
  <w:footnote w:id="61">
    <w:p w:rsidR="00A253A1" w:rsidRPr="00987582" w:rsidRDefault="00A253A1">
      <w:pPr>
        <w:pStyle w:val="FootnoteText"/>
        <w:rPr>
          <w:sz w:val="26"/>
          <w:szCs w:val="26"/>
        </w:rPr>
      </w:pPr>
      <w:r w:rsidRPr="00987582">
        <w:rPr>
          <w:rStyle w:val="FootnoteReference"/>
          <w:sz w:val="26"/>
          <w:szCs w:val="26"/>
        </w:rPr>
        <w:footnoteRef/>
      </w:r>
      <w:r w:rsidRPr="00987582">
        <w:rPr>
          <w:sz w:val="26"/>
          <w:szCs w:val="26"/>
        </w:rPr>
        <w:t xml:space="preserve"> </w:t>
      </w:r>
      <w:r w:rsidRPr="00987582">
        <w:rPr>
          <w:sz w:val="26"/>
          <w:szCs w:val="26"/>
        </w:rPr>
        <w:tab/>
        <w:t>Staff Ex. 108.</w:t>
      </w:r>
    </w:p>
  </w:footnote>
  <w:footnote w:id="62">
    <w:p w:rsidR="00A253A1" w:rsidRPr="00987582" w:rsidRDefault="00A253A1">
      <w:pPr>
        <w:pStyle w:val="FootnoteText"/>
        <w:rPr>
          <w:sz w:val="26"/>
          <w:szCs w:val="26"/>
        </w:rPr>
      </w:pPr>
      <w:r w:rsidRPr="00987582">
        <w:rPr>
          <w:rStyle w:val="FootnoteReference"/>
          <w:sz w:val="26"/>
          <w:szCs w:val="26"/>
        </w:rPr>
        <w:footnoteRef/>
      </w:r>
      <w:r w:rsidRPr="00987582">
        <w:rPr>
          <w:sz w:val="26"/>
          <w:szCs w:val="26"/>
        </w:rPr>
        <w:t xml:space="preserve"> </w:t>
      </w:r>
      <w:r w:rsidRPr="00987582">
        <w:rPr>
          <w:sz w:val="26"/>
          <w:szCs w:val="26"/>
        </w:rPr>
        <w:tab/>
      </w:r>
      <w:proofErr w:type="gramStart"/>
      <w:r w:rsidRPr="00987582">
        <w:rPr>
          <w:sz w:val="26"/>
          <w:szCs w:val="26"/>
        </w:rPr>
        <w:t>Tr. 4398.</w:t>
      </w:r>
      <w:proofErr w:type="gramEnd"/>
    </w:p>
  </w:footnote>
  <w:footnote w:id="63">
    <w:p w:rsidR="00A253A1" w:rsidRPr="00987582" w:rsidRDefault="00A253A1">
      <w:pPr>
        <w:pStyle w:val="FootnoteText"/>
        <w:rPr>
          <w:sz w:val="26"/>
          <w:szCs w:val="26"/>
        </w:rPr>
      </w:pPr>
      <w:r w:rsidRPr="00987582">
        <w:rPr>
          <w:rStyle w:val="FootnoteReference"/>
          <w:sz w:val="26"/>
          <w:szCs w:val="26"/>
        </w:rPr>
        <w:footnoteRef/>
      </w:r>
      <w:r w:rsidRPr="00987582">
        <w:rPr>
          <w:sz w:val="26"/>
          <w:szCs w:val="26"/>
        </w:rPr>
        <w:t xml:space="preserve"> </w:t>
      </w:r>
      <w:r w:rsidRPr="00987582">
        <w:rPr>
          <w:sz w:val="26"/>
          <w:szCs w:val="26"/>
        </w:rPr>
        <w:tab/>
        <w:t>Staff Ex. 108.</w:t>
      </w:r>
    </w:p>
  </w:footnote>
  <w:footnote w:id="64">
    <w:p w:rsidR="00A253A1" w:rsidRPr="00791326" w:rsidRDefault="00A253A1" w:rsidP="00791326">
      <w:pPr>
        <w:pStyle w:val="FootnoteText"/>
        <w:rPr>
          <w:sz w:val="26"/>
          <w:szCs w:val="26"/>
        </w:rPr>
      </w:pPr>
      <w:r w:rsidRPr="00791326">
        <w:rPr>
          <w:rStyle w:val="FootnoteReference"/>
          <w:sz w:val="26"/>
          <w:szCs w:val="26"/>
        </w:rPr>
        <w:footnoteRef/>
      </w:r>
      <w:r w:rsidRPr="00791326">
        <w:rPr>
          <w:sz w:val="26"/>
          <w:szCs w:val="26"/>
        </w:rPr>
        <w:t xml:space="preserve"> </w:t>
      </w:r>
      <w:r w:rsidRPr="00791326">
        <w:rPr>
          <w:sz w:val="26"/>
          <w:szCs w:val="26"/>
        </w:rPr>
        <w:tab/>
      </w:r>
      <w:proofErr w:type="gramStart"/>
      <w:r w:rsidRPr="00791326">
        <w:rPr>
          <w:sz w:val="26"/>
          <w:szCs w:val="26"/>
        </w:rPr>
        <w:t>Tr. 4378.</w:t>
      </w:r>
      <w:proofErr w:type="gramEnd"/>
    </w:p>
  </w:footnote>
  <w:footnote w:id="65">
    <w:p w:rsidR="00A253A1" w:rsidRPr="00791326" w:rsidRDefault="00A253A1" w:rsidP="00791326">
      <w:pPr>
        <w:pStyle w:val="FootnoteText"/>
        <w:rPr>
          <w:sz w:val="26"/>
          <w:szCs w:val="26"/>
        </w:rPr>
      </w:pPr>
      <w:r w:rsidRPr="00791326">
        <w:rPr>
          <w:rStyle w:val="FootnoteReference"/>
          <w:sz w:val="26"/>
          <w:szCs w:val="26"/>
        </w:rPr>
        <w:footnoteRef/>
      </w:r>
      <w:r w:rsidRPr="00791326">
        <w:rPr>
          <w:sz w:val="26"/>
          <w:szCs w:val="26"/>
        </w:rPr>
        <w:t xml:space="preserve"> </w:t>
      </w:r>
      <w:r>
        <w:rPr>
          <w:sz w:val="26"/>
          <w:szCs w:val="26"/>
        </w:rPr>
        <w:tab/>
      </w:r>
      <w:r w:rsidRPr="00791326">
        <w:rPr>
          <w:sz w:val="26"/>
          <w:szCs w:val="26"/>
        </w:rPr>
        <w:t>Staff Ex. 107.</w:t>
      </w:r>
    </w:p>
  </w:footnote>
  <w:footnote w:id="66">
    <w:p w:rsidR="00A253A1" w:rsidRPr="00791326" w:rsidRDefault="00A253A1" w:rsidP="00791326">
      <w:pPr>
        <w:pStyle w:val="FootnoteText"/>
        <w:rPr>
          <w:sz w:val="26"/>
          <w:szCs w:val="26"/>
        </w:rPr>
      </w:pPr>
      <w:r w:rsidRPr="00791326">
        <w:rPr>
          <w:rStyle w:val="FootnoteReference"/>
          <w:sz w:val="26"/>
          <w:szCs w:val="26"/>
        </w:rPr>
        <w:footnoteRef/>
      </w:r>
      <w:r w:rsidRPr="00791326">
        <w:rPr>
          <w:sz w:val="26"/>
          <w:szCs w:val="26"/>
        </w:rPr>
        <w:t xml:space="preserve"> </w:t>
      </w:r>
      <w:r>
        <w:rPr>
          <w:sz w:val="26"/>
          <w:szCs w:val="26"/>
        </w:rPr>
        <w:tab/>
      </w:r>
      <w:r w:rsidRPr="00791326">
        <w:rPr>
          <w:sz w:val="26"/>
          <w:szCs w:val="26"/>
        </w:rPr>
        <w:t>Staff Ex. 107.</w:t>
      </w:r>
    </w:p>
  </w:footnote>
  <w:footnote w:id="67">
    <w:p w:rsidR="00A253A1" w:rsidRPr="00791326" w:rsidRDefault="00A253A1" w:rsidP="00791326">
      <w:pPr>
        <w:pStyle w:val="FootnoteText"/>
        <w:rPr>
          <w:sz w:val="26"/>
          <w:szCs w:val="26"/>
        </w:rPr>
      </w:pPr>
      <w:r w:rsidRPr="00791326">
        <w:rPr>
          <w:rStyle w:val="FootnoteReference"/>
          <w:sz w:val="26"/>
          <w:szCs w:val="26"/>
        </w:rPr>
        <w:footnoteRef/>
      </w:r>
      <w:r w:rsidRPr="00791326">
        <w:rPr>
          <w:sz w:val="26"/>
          <w:szCs w:val="26"/>
        </w:rPr>
        <w:t xml:space="preserve"> </w:t>
      </w:r>
      <w:r>
        <w:rPr>
          <w:sz w:val="26"/>
          <w:szCs w:val="26"/>
        </w:rPr>
        <w:tab/>
      </w:r>
      <w:r w:rsidRPr="00791326">
        <w:rPr>
          <w:sz w:val="26"/>
          <w:szCs w:val="26"/>
        </w:rPr>
        <w:t>Staff Ex. 103.</w:t>
      </w:r>
    </w:p>
  </w:footnote>
  <w:footnote w:id="68">
    <w:p w:rsidR="00A253A1" w:rsidRPr="00791326" w:rsidRDefault="00A253A1" w:rsidP="00791326">
      <w:pPr>
        <w:pStyle w:val="FootnoteText"/>
        <w:rPr>
          <w:sz w:val="26"/>
          <w:szCs w:val="26"/>
        </w:rPr>
      </w:pPr>
      <w:r w:rsidRPr="00791326">
        <w:rPr>
          <w:rStyle w:val="FootnoteReference"/>
          <w:sz w:val="26"/>
          <w:szCs w:val="26"/>
        </w:rPr>
        <w:footnoteRef/>
      </w:r>
      <w:r w:rsidRPr="00791326">
        <w:rPr>
          <w:sz w:val="26"/>
          <w:szCs w:val="26"/>
        </w:rPr>
        <w:t xml:space="preserve"> </w:t>
      </w:r>
      <w:r>
        <w:rPr>
          <w:sz w:val="26"/>
          <w:szCs w:val="26"/>
        </w:rPr>
        <w:tab/>
      </w:r>
      <w:r w:rsidRPr="00791326">
        <w:rPr>
          <w:i/>
          <w:sz w:val="26"/>
          <w:szCs w:val="26"/>
        </w:rPr>
        <w:t>Id</w:t>
      </w:r>
      <w:r w:rsidRPr="00791326">
        <w:rPr>
          <w:sz w:val="26"/>
          <w:szCs w:val="26"/>
        </w:rPr>
        <w:t>.</w:t>
      </w:r>
    </w:p>
  </w:footnote>
  <w:footnote w:id="69">
    <w:p w:rsidR="00A253A1" w:rsidRDefault="00A253A1">
      <w:pPr>
        <w:pStyle w:val="FootnoteText"/>
      </w:pPr>
      <w:r>
        <w:rPr>
          <w:rStyle w:val="FootnoteReference"/>
        </w:rPr>
        <w:footnoteRef/>
      </w:r>
      <w:r>
        <w:t xml:space="preserve"> </w:t>
      </w:r>
      <w:r>
        <w:tab/>
      </w:r>
      <w:r w:rsidRPr="003C72A8">
        <w:rPr>
          <w:sz w:val="26"/>
          <w:szCs w:val="26"/>
        </w:rPr>
        <w:t>Staff Ex. 106.</w:t>
      </w:r>
    </w:p>
  </w:footnote>
  <w:footnote w:id="70">
    <w:p w:rsidR="00A253A1" w:rsidRPr="00987582" w:rsidRDefault="00A253A1">
      <w:pPr>
        <w:pStyle w:val="FootnoteText"/>
        <w:rPr>
          <w:sz w:val="26"/>
          <w:szCs w:val="26"/>
        </w:rPr>
      </w:pPr>
      <w:r w:rsidRPr="00987582">
        <w:rPr>
          <w:rStyle w:val="FootnoteReference"/>
          <w:sz w:val="26"/>
          <w:szCs w:val="26"/>
        </w:rPr>
        <w:footnoteRef/>
      </w:r>
      <w:r w:rsidRPr="00987582">
        <w:rPr>
          <w:sz w:val="26"/>
          <w:szCs w:val="26"/>
        </w:rPr>
        <w:t xml:space="preserve"> </w:t>
      </w:r>
      <w:r w:rsidRPr="00987582">
        <w:rPr>
          <w:sz w:val="26"/>
          <w:szCs w:val="26"/>
        </w:rPr>
        <w:tab/>
      </w:r>
      <w:r w:rsidRPr="00987582">
        <w:rPr>
          <w:i/>
          <w:sz w:val="26"/>
          <w:szCs w:val="26"/>
        </w:rPr>
        <w:t>Id</w:t>
      </w:r>
      <w:r w:rsidRPr="00987582">
        <w:rPr>
          <w:sz w:val="26"/>
          <w:szCs w:val="26"/>
        </w:rPr>
        <w:t>.</w:t>
      </w:r>
    </w:p>
  </w:footnote>
  <w:footnote w:id="71">
    <w:p w:rsidR="00A253A1" w:rsidRPr="00987582" w:rsidRDefault="00A253A1">
      <w:pPr>
        <w:pStyle w:val="FootnoteText"/>
        <w:rPr>
          <w:sz w:val="26"/>
          <w:szCs w:val="26"/>
        </w:rPr>
      </w:pPr>
      <w:r w:rsidRPr="00987582">
        <w:rPr>
          <w:rStyle w:val="FootnoteReference"/>
          <w:sz w:val="26"/>
          <w:szCs w:val="26"/>
        </w:rPr>
        <w:footnoteRef/>
      </w:r>
      <w:r w:rsidRPr="00987582">
        <w:rPr>
          <w:sz w:val="26"/>
          <w:szCs w:val="26"/>
        </w:rPr>
        <w:t xml:space="preserve"> </w:t>
      </w:r>
      <w:r w:rsidRPr="00987582">
        <w:rPr>
          <w:sz w:val="26"/>
          <w:szCs w:val="26"/>
        </w:rPr>
        <w:tab/>
        <w:t>Staff Ex. 109.</w:t>
      </w:r>
    </w:p>
  </w:footnote>
  <w:footnote w:id="72">
    <w:p w:rsidR="00A253A1" w:rsidRPr="00987582" w:rsidRDefault="00A253A1">
      <w:pPr>
        <w:pStyle w:val="FootnoteText"/>
        <w:rPr>
          <w:sz w:val="26"/>
          <w:szCs w:val="26"/>
        </w:rPr>
      </w:pPr>
      <w:r w:rsidRPr="00987582">
        <w:rPr>
          <w:rStyle w:val="FootnoteReference"/>
          <w:sz w:val="26"/>
          <w:szCs w:val="26"/>
        </w:rPr>
        <w:footnoteRef/>
      </w:r>
      <w:r w:rsidRPr="00987582">
        <w:rPr>
          <w:sz w:val="26"/>
          <w:szCs w:val="26"/>
        </w:rPr>
        <w:t xml:space="preserve"> </w:t>
      </w:r>
      <w:r w:rsidRPr="00987582">
        <w:rPr>
          <w:sz w:val="26"/>
          <w:szCs w:val="26"/>
        </w:rPr>
        <w:tab/>
      </w:r>
      <w:r w:rsidRPr="00987582">
        <w:rPr>
          <w:i/>
          <w:sz w:val="26"/>
          <w:szCs w:val="26"/>
        </w:rPr>
        <w:t>Id</w:t>
      </w:r>
      <w:r w:rsidRPr="00987582">
        <w:rPr>
          <w:sz w:val="26"/>
          <w:szCs w:val="2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C49"/>
    <w:multiLevelType w:val="hybridMultilevel"/>
    <w:tmpl w:val="A85C5038"/>
    <w:lvl w:ilvl="0" w:tplc="6F6881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2E16AF"/>
    <w:multiLevelType w:val="hybridMultilevel"/>
    <w:tmpl w:val="E7EE21C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F06F63"/>
    <w:multiLevelType w:val="hybridMultilevel"/>
    <w:tmpl w:val="A1A0F932"/>
    <w:lvl w:ilvl="0" w:tplc="CF0A27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93FDD"/>
    <w:multiLevelType w:val="hybridMultilevel"/>
    <w:tmpl w:val="DE46AE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506B5F"/>
    <w:multiLevelType w:val="hybridMultilevel"/>
    <w:tmpl w:val="D6701D30"/>
    <w:lvl w:ilvl="0" w:tplc="A88EE424">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94552"/>
    <w:multiLevelType w:val="hybridMultilevel"/>
    <w:tmpl w:val="665670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084B8F"/>
    <w:multiLevelType w:val="hybridMultilevel"/>
    <w:tmpl w:val="EDEC12FE"/>
    <w:lvl w:ilvl="0" w:tplc="139E0A90">
      <w:start w:val="1"/>
      <w:numFmt w:val="upperRoman"/>
      <w:pStyle w:val="Heading2"/>
      <w:lvlText w:val="%1."/>
      <w:lvlJc w:val="left"/>
      <w:pPr>
        <w:ind w:left="720" w:hanging="360"/>
      </w:pPr>
      <w:rPr>
        <w:rFonts w:ascii="Times New Roman" w:hAnsi="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AB1451"/>
    <w:multiLevelType w:val="hybridMultilevel"/>
    <w:tmpl w:val="7C568962"/>
    <w:lvl w:ilvl="0" w:tplc="6786F7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FD4DD7"/>
    <w:multiLevelType w:val="hybridMultilevel"/>
    <w:tmpl w:val="C5D63DFE"/>
    <w:lvl w:ilvl="0" w:tplc="C5C22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694C2E"/>
    <w:multiLevelType w:val="hybridMultilevel"/>
    <w:tmpl w:val="C5D63DFE"/>
    <w:lvl w:ilvl="0" w:tplc="C5C22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8259DF"/>
    <w:multiLevelType w:val="hybridMultilevel"/>
    <w:tmpl w:val="1D6AC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C01470"/>
    <w:multiLevelType w:val="hybridMultilevel"/>
    <w:tmpl w:val="021892C6"/>
    <w:lvl w:ilvl="0" w:tplc="CDB2A8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9FE4AA6"/>
    <w:multiLevelType w:val="hybridMultilevel"/>
    <w:tmpl w:val="018259F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9"/>
  </w:num>
  <w:num w:numId="2">
    <w:abstractNumId w:val="8"/>
  </w:num>
  <w:num w:numId="3">
    <w:abstractNumId w:val="10"/>
  </w:num>
  <w:num w:numId="4">
    <w:abstractNumId w:val="3"/>
  </w:num>
  <w:num w:numId="5">
    <w:abstractNumId w:val="7"/>
  </w:num>
  <w:num w:numId="6">
    <w:abstractNumId w:val="5"/>
  </w:num>
  <w:num w:numId="7">
    <w:abstractNumId w:val="1"/>
  </w:num>
  <w:num w:numId="8">
    <w:abstractNumId w:val="2"/>
  </w:num>
  <w:num w:numId="9">
    <w:abstractNumId w:val="0"/>
  </w:num>
  <w:num w:numId="10">
    <w:abstractNumId w:val="12"/>
  </w:num>
  <w:num w:numId="11">
    <w:abstractNumId w:val="11"/>
  </w:num>
  <w:num w:numId="12">
    <w:abstractNumId w:val="6"/>
  </w:num>
  <w:num w:numId="13">
    <w:abstractNumId w:val="4"/>
  </w:num>
  <w:num w:numId="14">
    <w:abstractNumId w:val="4"/>
    <w:lvlOverride w:ilvl="0">
      <w:startOverride w:val="1"/>
    </w:lvlOverride>
  </w:num>
  <w:num w:numId="1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4D"/>
    <w:rsid w:val="000068FF"/>
    <w:rsid w:val="00080FB6"/>
    <w:rsid w:val="000D654D"/>
    <w:rsid w:val="000E4876"/>
    <w:rsid w:val="00101F24"/>
    <w:rsid w:val="00145DDC"/>
    <w:rsid w:val="00151FA7"/>
    <w:rsid w:val="0017681F"/>
    <w:rsid w:val="001D0BE1"/>
    <w:rsid w:val="001D719D"/>
    <w:rsid w:val="00240B11"/>
    <w:rsid w:val="002720FB"/>
    <w:rsid w:val="002E39C2"/>
    <w:rsid w:val="00310A80"/>
    <w:rsid w:val="003407F4"/>
    <w:rsid w:val="00367145"/>
    <w:rsid w:val="003C72A8"/>
    <w:rsid w:val="00412BDC"/>
    <w:rsid w:val="0043423E"/>
    <w:rsid w:val="00444A8D"/>
    <w:rsid w:val="004A2658"/>
    <w:rsid w:val="004D4930"/>
    <w:rsid w:val="005771D3"/>
    <w:rsid w:val="005774A4"/>
    <w:rsid w:val="005A6F21"/>
    <w:rsid w:val="005A72D6"/>
    <w:rsid w:val="005C4744"/>
    <w:rsid w:val="006218D9"/>
    <w:rsid w:val="00643C1B"/>
    <w:rsid w:val="006B34C6"/>
    <w:rsid w:val="00772975"/>
    <w:rsid w:val="00791326"/>
    <w:rsid w:val="007933F7"/>
    <w:rsid w:val="007E5F87"/>
    <w:rsid w:val="007F05AD"/>
    <w:rsid w:val="00855AFC"/>
    <w:rsid w:val="008D052E"/>
    <w:rsid w:val="00927CF2"/>
    <w:rsid w:val="009512C6"/>
    <w:rsid w:val="009524FD"/>
    <w:rsid w:val="00987582"/>
    <w:rsid w:val="0099506C"/>
    <w:rsid w:val="009E7E92"/>
    <w:rsid w:val="00A253A1"/>
    <w:rsid w:val="00A74135"/>
    <w:rsid w:val="00A850C0"/>
    <w:rsid w:val="00AA147D"/>
    <w:rsid w:val="00B5049B"/>
    <w:rsid w:val="00B7307F"/>
    <w:rsid w:val="00BC296E"/>
    <w:rsid w:val="00BD03DC"/>
    <w:rsid w:val="00BE229F"/>
    <w:rsid w:val="00C00DAC"/>
    <w:rsid w:val="00C03D9B"/>
    <w:rsid w:val="00C75EA0"/>
    <w:rsid w:val="00C81A95"/>
    <w:rsid w:val="00C90C7D"/>
    <w:rsid w:val="00C95E70"/>
    <w:rsid w:val="00CA0F05"/>
    <w:rsid w:val="00CE018A"/>
    <w:rsid w:val="00D50797"/>
    <w:rsid w:val="00D8727A"/>
    <w:rsid w:val="00E40F3F"/>
    <w:rsid w:val="00E417D1"/>
    <w:rsid w:val="00E77470"/>
    <w:rsid w:val="00EA56D6"/>
    <w:rsid w:val="00EE336A"/>
    <w:rsid w:val="00EF3DE5"/>
    <w:rsid w:val="00FA13AE"/>
    <w:rsid w:val="00FA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54D"/>
  </w:style>
  <w:style w:type="paragraph" w:styleId="Heading1">
    <w:name w:val="heading 1"/>
    <w:basedOn w:val="Normal"/>
    <w:next w:val="Normal"/>
    <w:link w:val="Heading1Char"/>
    <w:autoRedefine/>
    <w:qFormat/>
    <w:rsid w:val="005774A4"/>
    <w:pPr>
      <w:keepNext/>
      <w:spacing w:before="240" w:after="240" w:line="240" w:lineRule="auto"/>
      <w:jc w:val="center"/>
      <w:outlineLvl w:val="0"/>
    </w:pPr>
    <w:rPr>
      <w:rFonts w:ascii="Times New Roman" w:eastAsia="Times New Roman" w:hAnsi="Times New Roman" w:cs="Times New Roman"/>
      <w:b/>
      <w:bCs/>
      <w:kern w:val="32"/>
      <w:sz w:val="26"/>
      <w:szCs w:val="26"/>
    </w:rPr>
  </w:style>
  <w:style w:type="paragraph" w:styleId="Heading2">
    <w:name w:val="heading 2"/>
    <w:basedOn w:val="Normal"/>
    <w:next w:val="Normal"/>
    <w:link w:val="Heading2Char"/>
    <w:uiPriority w:val="9"/>
    <w:unhideWhenUsed/>
    <w:qFormat/>
    <w:rsid w:val="00772975"/>
    <w:pPr>
      <w:keepNext/>
      <w:keepLines/>
      <w:numPr>
        <w:numId w:val="12"/>
      </w:numPr>
      <w:spacing w:before="240" w:after="240" w:line="240" w:lineRule="auto"/>
      <w:ind w:hanging="72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772975"/>
    <w:pPr>
      <w:keepNext/>
      <w:keepLines/>
      <w:numPr>
        <w:numId w:val="13"/>
      </w:numPr>
      <w:spacing w:before="240" w:after="240" w:line="240" w:lineRule="auto"/>
      <w:ind w:left="1440" w:hanging="720"/>
      <w:outlineLvl w:val="2"/>
    </w:pPr>
    <w:rPr>
      <w:rFonts w:ascii="Times New Roman" w:eastAsiaTheme="majorEastAsia" w:hAnsi="Times New Roman" w:cstheme="majorBidi"/>
      <w:b/>
      <w:bCs/>
      <w:sz w:val="26"/>
    </w:rPr>
  </w:style>
  <w:style w:type="paragraph" w:styleId="Heading4">
    <w:name w:val="heading 4"/>
    <w:basedOn w:val="Normal"/>
    <w:next w:val="Normal"/>
    <w:link w:val="Heading4Char"/>
    <w:uiPriority w:val="9"/>
    <w:unhideWhenUsed/>
    <w:qFormat/>
    <w:rsid w:val="005A72D6"/>
    <w:pPr>
      <w:keepNext/>
      <w:keepLines/>
      <w:spacing w:before="120" w:after="240" w:line="240" w:lineRule="auto"/>
      <w:ind w:left="2160" w:hanging="720"/>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6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54D"/>
  </w:style>
  <w:style w:type="paragraph" w:styleId="ListParagraph">
    <w:name w:val="List Paragraph"/>
    <w:basedOn w:val="Normal"/>
    <w:uiPriority w:val="34"/>
    <w:qFormat/>
    <w:rsid w:val="00151FA7"/>
    <w:pPr>
      <w:ind w:left="720"/>
      <w:contextualSpacing/>
    </w:pPr>
  </w:style>
  <w:style w:type="character" w:customStyle="1" w:styleId="caps">
    <w:name w:val="caps"/>
    <w:basedOn w:val="DefaultParagraphFont"/>
    <w:rsid w:val="008D052E"/>
  </w:style>
  <w:style w:type="paragraph" w:styleId="PlainText">
    <w:name w:val="Plain Text"/>
    <w:basedOn w:val="Normal"/>
    <w:link w:val="PlainTextChar"/>
    <w:uiPriority w:val="99"/>
    <w:semiHidden/>
    <w:unhideWhenUsed/>
    <w:rsid w:val="00444A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44A8D"/>
    <w:rPr>
      <w:rFonts w:ascii="Calibri" w:hAnsi="Calibri"/>
      <w:szCs w:val="21"/>
    </w:rPr>
  </w:style>
  <w:style w:type="character" w:customStyle="1" w:styleId="Heading1Char">
    <w:name w:val="Heading 1 Char"/>
    <w:basedOn w:val="DefaultParagraphFont"/>
    <w:link w:val="Heading1"/>
    <w:rsid w:val="005774A4"/>
    <w:rPr>
      <w:rFonts w:ascii="Times New Roman" w:eastAsia="Times New Roman" w:hAnsi="Times New Roman" w:cs="Times New Roman"/>
      <w:b/>
      <w:bCs/>
      <w:kern w:val="32"/>
      <w:sz w:val="26"/>
      <w:szCs w:val="26"/>
    </w:rPr>
  </w:style>
  <w:style w:type="paragraph" w:customStyle="1" w:styleId="Textstyle">
    <w:name w:val="Text style"/>
    <w:basedOn w:val="Normal"/>
    <w:autoRedefine/>
    <w:rsid w:val="00412BDC"/>
    <w:pPr>
      <w:spacing w:after="0" w:line="480" w:lineRule="auto"/>
    </w:pPr>
    <w:rPr>
      <w:rFonts w:ascii="Times New Roman" w:eastAsia="Times New Roman" w:hAnsi="Times New Roman" w:cs="Times New Roman"/>
      <w:sz w:val="26"/>
      <w:szCs w:val="24"/>
    </w:rPr>
  </w:style>
  <w:style w:type="character" w:styleId="Hyperlink">
    <w:name w:val="Hyperlink"/>
    <w:uiPriority w:val="99"/>
    <w:rsid w:val="00412BDC"/>
    <w:rPr>
      <w:color w:val="0000FF"/>
      <w:u w:val="single"/>
    </w:rPr>
  </w:style>
  <w:style w:type="paragraph" w:styleId="FootnoteText">
    <w:name w:val="footnote text"/>
    <w:basedOn w:val="Normal"/>
    <w:link w:val="FootnoteTextChar"/>
    <w:autoRedefine/>
    <w:uiPriority w:val="99"/>
    <w:rsid w:val="00E77470"/>
    <w:pPr>
      <w:tabs>
        <w:tab w:val="left" w:pos="720"/>
      </w:tabs>
      <w:spacing w:after="240" w:line="240" w:lineRule="auto"/>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E77470"/>
    <w:rPr>
      <w:rFonts w:ascii="Times New Roman" w:eastAsia="Times New Roman" w:hAnsi="Times New Roman" w:cs="Times New Roman"/>
      <w:sz w:val="24"/>
      <w:szCs w:val="20"/>
    </w:rPr>
  </w:style>
  <w:style w:type="character" w:styleId="FootnoteReference">
    <w:name w:val="footnote reference"/>
    <w:uiPriority w:val="99"/>
    <w:rsid w:val="00855AFC"/>
    <w:rPr>
      <w:vertAlign w:val="superscript"/>
    </w:rPr>
  </w:style>
  <w:style w:type="paragraph" w:customStyle="1" w:styleId="question">
    <w:name w:val="question"/>
    <w:basedOn w:val="Normal"/>
    <w:rsid w:val="00EA56D6"/>
    <w:pPr>
      <w:tabs>
        <w:tab w:val="left" w:pos="720"/>
      </w:tabs>
      <w:spacing w:after="0" w:line="480" w:lineRule="auto"/>
      <w:ind w:left="1440" w:hanging="1440"/>
    </w:pPr>
    <w:rPr>
      <w:rFonts w:ascii="Times New Roman" w:eastAsia="Times New Roman" w:hAnsi="Times New Roman" w:cs="Times New Roman"/>
      <w:sz w:val="26"/>
      <w:szCs w:val="26"/>
    </w:rPr>
  </w:style>
  <w:style w:type="paragraph" w:customStyle="1" w:styleId="textstyle0">
    <w:name w:val="text style"/>
    <w:basedOn w:val="Normal"/>
    <w:rsid w:val="003C72A8"/>
    <w:pPr>
      <w:spacing w:after="0" w:line="480" w:lineRule="auto"/>
    </w:pPr>
    <w:rPr>
      <w:rFonts w:ascii="Times New Roman" w:hAnsi="Times New Roman" w:cs="Times New Roman"/>
      <w:sz w:val="26"/>
      <w:szCs w:val="26"/>
    </w:rPr>
  </w:style>
  <w:style w:type="table" w:styleId="TableGrid">
    <w:name w:val="Table Grid"/>
    <w:basedOn w:val="TableNormal"/>
    <w:uiPriority w:val="59"/>
    <w:rsid w:val="00CA0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7F05AD"/>
    <w:pPr>
      <w:spacing w:after="120"/>
    </w:pPr>
  </w:style>
  <w:style w:type="character" w:customStyle="1" w:styleId="BodyTextChar">
    <w:name w:val="Body Text Char"/>
    <w:basedOn w:val="DefaultParagraphFont"/>
    <w:link w:val="BodyText"/>
    <w:uiPriority w:val="99"/>
    <w:semiHidden/>
    <w:rsid w:val="007F05AD"/>
  </w:style>
  <w:style w:type="paragraph" w:styleId="BodyTextFirstIndent">
    <w:name w:val="Body Text First Indent"/>
    <w:basedOn w:val="BodyText"/>
    <w:link w:val="BodyTextFirstIndentChar"/>
    <w:autoRedefine/>
    <w:uiPriority w:val="99"/>
    <w:unhideWhenUsed/>
    <w:rsid w:val="007F05AD"/>
    <w:pPr>
      <w:spacing w:after="0" w:line="480" w:lineRule="auto"/>
      <w:ind w:firstLine="720"/>
    </w:pPr>
    <w:rPr>
      <w:rFonts w:ascii="Times New Roman" w:eastAsia="Times New Roman" w:hAnsi="Times New Roman" w:cs="Times New Roman"/>
      <w:sz w:val="26"/>
      <w:szCs w:val="24"/>
    </w:rPr>
  </w:style>
  <w:style w:type="character" w:customStyle="1" w:styleId="BodyTextFirstIndentChar">
    <w:name w:val="Body Text First Indent Char"/>
    <w:basedOn w:val="BodyTextChar"/>
    <w:link w:val="BodyTextFirstIndent"/>
    <w:uiPriority w:val="99"/>
    <w:rsid w:val="007F05AD"/>
    <w:rPr>
      <w:rFonts w:ascii="Times New Roman" w:eastAsia="Times New Roman" w:hAnsi="Times New Roman" w:cs="Times New Roman"/>
      <w:sz w:val="26"/>
      <w:szCs w:val="24"/>
    </w:rPr>
  </w:style>
  <w:style w:type="character" w:customStyle="1" w:styleId="Heading2Char">
    <w:name w:val="Heading 2 Char"/>
    <w:basedOn w:val="DefaultParagraphFont"/>
    <w:link w:val="Heading2"/>
    <w:uiPriority w:val="9"/>
    <w:rsid w:val="00772975"/>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772975"/>
    <w:rPr>
      <w:rFonts w:ascii="Times New Roman" w:eastAsiaTheme="majorEastAsia" w:hAnsi="Times New Roman" w:cstheme="majorBidi"/>
      <w:b/>
      <w:bCs/>
      <w:sz w:val="26"/>
    </w:rPr>
  </w:style>
  <w:style w:type="character" w:customStyle="1" w:styleId="Heading4Char">
    <w:name w:val="Heading 4 Char"/>
    <w:basedOn w:val="DefaultParagraphFont"/>
    <w:link w:val="Heading4"/>
    <w:uiPriority w:val="9"/>
    <w:rsid w:val="005A72D6"/>
    <w:rPr>
      <w:rFonts w:ascii="Times New Roman" w:eastAsiaTheme="majorEastAsia" w:hAnsi="Times New Roman" w:cstheme="majorBidi"/>
      <w:b/>
      <w:bCs/>
      <w:iCs/>
      <w:sz w:val="26"/>
    </w:rPr>
  </w:style>
  <w:style w:type="paragraph" w:styleId="TOC1">
    <w:name w:val="toc 1"/>
    <w:basedOn w:val="Normal"/>
    <w:next w:val="Normal"/>
    <w:autoRedefine/>
    <w:uiPriority w:val="39"/>
    <w:unhideWhenUsed/>
    <w:rsid w:val="00772975"/>
    <w:pPr>
      <w:spacing w:after="100"/>
    </w:pPr>
  </w:style>
  <w:style w:type="paragraph" w:styleId="TOC2">
    <w:name w:val="toc 2"/>
    <w:basedOn w:val="Normal"/>
    <w:next w:val="Normal"/>
    <w:autoRedefine/>
    <w:uiPriority w:val="39"/>
    <w:unhideWhenUsed/>
    <w:rsid w:val="00772975"/>
    <w:pPr>
      <w:tabs>
        <w:tab w:val="left" w:pos="660"/>
        <w:tab w:val="right" w:leader="dot" w:pos="9350"/>
      </w:tabs>
      <w:spacing w:after="100"/>
      <w:ind w:left="720" w:hanging="720"/>
    </w:pPr>
  </w:style>
  <w:style w:type="paragraph" w:styleId="TOC3">
    <w:name w:val="toc 3"/>
    <w:basedOn w:val="Normal"/>
    <w:next w:val="Normal"/>
    <w:autoRedefine/>
    <w:uiPriority w:val="39"/>
    <w:unhideWhenUsed/>
    <w:rsid w:val="005774A4"/>
    <w:pPr>
      <w:tabs>
        <w:tab w:val="left" w:pos="880"/>
        <w:tab w:val="right" w:leader="dot" w:pos="9350"/>
      </w:tabs>
      <w:spacing w:after="100"/>
      <w:ind w:left="1440" w:hanging="720"/>
    </w:pPr>
  </w:style>
  <w:style w:type="paragraph" w:styleId="TOC4">
    <w:name w:val="toc 4"/>
    <w:basedOn w:val="Normal"/>
    <w:next w:val="Normal"/>
    <w:autoRedefine/>
    <w:uiPriority w:val="39"/>
    <w:unhideWhenUsed/>
    <w:rsid w:val="00772975"/>
    <w:pPr>
      <w:spacing w:after="100"/>
      <w:ind w:left="660"/>
    </w:pPr>
  </w:style>
  <w:style w:type="paragraph" w:styleId="Header">
    <w:name w:val="header"/>
    <w:basedOn w:val="Normal"/>
    <w:link w:val="HeaderChar"/>
    <w:uiPriority w:val="99"/>
    <w:unhideWhenUsed/>
    <w:rsid w:val="00577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4A4"/>
  </w:style>
  <w:style w:type="paragraph" w:styleId="BalloonText">
    <w:name w:val="Balloon Text"/>
    <w:basedOn w:val="Normal"/>
    <w:link w:val="BalloonTextChar"/>
    <w:uiPriority w:val="99"/>
    <w:semiHidden/>
    <w:unhideWhenUsed/>
    <w:rsid w:val="00EF3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54D"/>
  </w:style>
  <w:style w:type="paragraph" w:styleId="Heading1">
    <w:name w:val="heading 1"/>
    <w:basedOn w:val="Normal"/>
    <w:next w:val="Normal"/>
    <w:link w:val="Heading1Char"/>
    <w:autoRedefine/>
    <w:qFormat/>
    <w:rsid w:val="005774A4"/>
    <w:pPr>
      <w:keepNext/>
      <w:spacing w:before="240" w:after="240" w:line="240" w:lineRule="auto"/>
      <w:jc w:val="center"/>
      <w:outlineLvl w:val="0"/>
    </w:pPr>
    <w:rPr>
      <w:rFonts w:ascii="Times New Roman" w:eastAsia="Times New Roman" w:hAnsi="Times New Roman" w:cs="Times New Roman"/>
      <w:b/>
      <w:bCs/>
      <w:kern w:val="32"/>
      <w:sz w:val="26"/>
      <w:szCs w:val="26"/>
    </w:rPr>
  </w:style>
  <w:style w:type="paragraph" w:styleId="Heading2">
    <w:name w:val="heading 2"/>
    <w:basedOn w:val="Normal"/>
    <w:next w:val="Normal"/>
    <w:link w:val="Heading2Char"/>
    <w:uiPriority w:val="9"/>
    <w:unhideWhenUsed/>
    <w:qFormat/>
    <w:rsid w:val="00772975"/>
    <w:pPr>
      <w:keepNext/>
      <w:keepLines/>
      <w:numPr>
        <w:numId w:val="12"/>
      </w:numPr>
      <w:spacing w:before="240" w:after="240" w:line="240" w:lineRule="auto"/>
      <w:ind w:hanging="72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772975"/>
    <w:pPr>
      <w:keepNext/>
      <w:keepLines/>
      <w:numPr>
        <w:numId w:val="13"/>
      </w:numPr>
      <w:spacing w:before="240" w:after="240" w:line="240" w:lineRule="auto"/>
      <w:ind w:left="1440" w:hanging="720"/>
      <w:outlineLvl w:val="2"/>
    </w:pPr>
    <w:rPr>
      <w:rFonts w:ascii="Times New Roman" w:eastAsiaTheme="majorEastAsia" w:hAnsi="Times New Roman" w:cstheme="majorBidi"/>
      <w:b/>
      <w:bCs/>
      <w:sz w:val="26"/>
    </w:rPr>
  </w:style>
  <w:style w:type="paragraph" w:styleId="Heading4">
    <w:name w:val="heading 4"/>
    <w:basedOn w:val="Normal"/>
    <w:next w:val="Normal"/>
    <w:link w:val="Heading4Char"/>
    <w:uiPriority w:val="9"/>
    <w:unhideWhenUsed/>
    <w:qFormat/>
    <w:rsid w:val="005A72D6"/>
    <w:pPr>
      <w:keepNext/>
      <w:keepLines/>
      <w:spacing w:before="120" w:after="240" w:line="240" w:lineRule="auto"/>
      <w:ind w:left="2160" w:hanging="720"/>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6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54D"/>
  </w:style>
  <w:style w:type="paragraph" w:styleId="ListParagraph">
    <w:name w:val="List Paragraph"/>
    <w:basedOn w:val="Normal"/>
    <w:uiPriority w:val="34"/>
    <w:qFormat/>
    <w:rsid w:val="00151FA7"/>
    <w:pPr>
      <w:ind w:left="720"/>
      <w:contextualSpacing/>
    </w:pPr>
  </w:style>
  <w:style w:type="character" w:customStyle="1" w:styleId="caps">
    <w:name w:val="caps"/>
    <w:basedOn w:val="DefaultParagraphFont"/>
    <w:rsid w:val="008D052E"/>
  </w:style>
  <w:style w:type="paragraph" w:styleId="PlainText">
    <w:name w:val="Plain Text"/>
    <w:basedOn w:val="Normal"/>
    <w:link w:val="PlainTextChar"/>
    <w:uiPriority w:val="99"/>
    <w:semiHidden/>
    <w:unhideWhenUsed/>
    <w:rsid w:val="00444A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44A8D"/>
    <w:rPr>
      <w:rFonts w:ascii="Calibri" w:hAnsi="Calibri"/>
      <w:szCs w:val="21"/>
    </w:rPr>
  </w:style>
  <w:style w:type="character" w:customStyle="1" w:styleId="Heading1Char">
    <w:name w:val="Heading 1 Char"/>
    <w:basedOn w:val="DefaultParagraphFont"/>
    <w:link w:val="Heading1"/>
    <w:rsid w:val="005774A4"/>
    <w:rPr>
      <w:rFonts w:ascii="Times New Roman" w:eastAsia="Times New Roman" w:hAnsi="Times New Roman" w:cs="Times New Roman"/>
      <w:b/>
      <w:bCs/>
      <w:kern w:val="32"/>
      <w:sz w:val="26"/>
      <w:szCs w:val="26"/>
    </w:rPr>
  </w:style>
  <w:style w:type="paragraph" w:customStyle="1" w:styleId="Textstyle">
    <w:name w:val="Text style"/>
    <w:basedOn w:val="Normal"/>
    <w:autoRedefine/>
    <w:rsid w:val="00412BDC"/>
    <w:pPr>
      <w:spacing w:after="0" w:line="480" w:lineRule="auto"/>
    </w:pPr>
    <w:rPr>
      <w:rFonts w:ascii="Times New Roman" w:eastAsia="Times New Roman" w:hAnsi="Times New Roman" w:cs="Times New Roman"/>
      <w:sz w:val="26"/>
      <w:szCs w:val="24"/>
    </w:rPr>
  </w:style>
  <w:style w:type="character" w:styleId="Hyperlink">
    <w:name w:val="Hyperlink"/>
    <w:uiPriority w:val="99"/>
    <w:rsid w:val="00412BDC"/>
    <w:rPr>
      <w:color w:val="0000FF"/>
      <w:u w:val="single"/>
    </w:rPr>
  </w:style>
  <w:style w:type="paragraph" w:styleId="FootnoteText">
    <w:name w:val="footnote text"/>
    <w:basedOn w:val="Normal"/>
    <w:link w:val="FootnoteTextChar"/>
    <w:autoRedefine/>
    <w:uiPriority w:val="99"/>
    <w:rsid w:val="00E77470"/>
    <w:pPr>
      <w:tabs>
        <w:tab w:val="left" w:pos="720"/>
      </w:tabs>
      <w:spacing w:after="240" w:line="240" w:lineRule="auto"/>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E77470"/>
    <w:rPr>
      <w:rFonts w:ascii="Times New Roman" w:eastAsia="Times New Roman" w:hAnsi="Times New Roman" w:cs="Times New Roman"/>
      <w:sz w:val="24"/>
      <w:szCs w:val="20"/>
    </w:rPr>
  </w:style>
  <w:style w:type="character" w:styleId="FootnoteReference">
    <w:name w:val="footnote reference"/>
    <w:uiPriority w:val="99"/>
    <w:rsid w:val="00855AFC"/>
    <w:rPr>
      <w:vertAlign w:val="superscript"/>
    </w:rPr>
  </w:style>
  <w:style w:type="paragraph" w:customStyle="1" w:styleId="question">
    <w:name w:val="question"/>
    <w:basedOn w:val="Normal"/>
    <w:rsid w:val="00EA56D6"/>
    <w:pPr>
      <w:tabs>
        <w:tab w:val="left" w:pos="720"/>
      </w:tabs>
      <w:spacing w:after="0" w:line="480" w:lineRule="auto"/>
      <w:ind w:left="1440" w:hanging="1440"/>
    </w:pPr>
    <w:rPr>
      <w:rFonts w:ascii="Times New Roman" w:eastAsia="Times New Roman" w:hAnsi="Times New Roman" w:cs="Times New Roman"/>
      <w:sz w:val="26"/>
      <w:szCs w:val="26"/>
    </w:rPr>
  </w:style>
  <w:style w:type="paragraph" w:customStyle="1" w:styleId="textstyle0">
    <w:name w:val="text style"/>
    <w:basedOn w:val="Normal"/>
    <w:rsid w:val="003C72A8"/>
    <w:pPr>
      <w:spacing w:after="0" w:line="480" w:lineRule="auto"/>
    </w:pPr>
    <w:rPr>
      <w:rFonts w:ascii="Times New Roman" w:hAnsi="Times New Roman" w:cs="Times New Roman"/>
      <w:sz w:val="26"/>
      <w:szCs w:val="26"/>
    </w:rPr>
  </w:style>
  <w:style w:type="table" w:styleId="TableGrid">
    <w:name w:val="Table Grid"/>
    <w:basedOn w:val="TableNormal"/>
    <w:uiPriority w:val="59"/>
    <w:rsid w:val="00CA0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7F05AD"/>
    <w:pPr>
      <w:spacing w:after="120"/>
    </w:pPr>
  </w:style>
  <w:style w:type="character" w:customStyle="1" w:styleId="BodyTextChar">
    <w:name w:val="Body Text Char"/>
    <w:basedOn w:val="DefaultParagraphFont"/>
    <w:link w:val="BodyText"/>
    <w:uiPriority w:val="99"/>
    <w:semiHidden/>
    <w:rsid w:val="007F05AD"/>
  </w:style>
  <w:style w:type="paragraph" w:styleId="BodyTextFirstIndent">
    <w:name w:val="Body Text First Indent"/>
    <w:basedOn w:val="BodyText"/>
    <w:link w:val="BodyTextFirstIndentChar"/>
    <w:autoRedefine/>
    <w:uiPriority w:val="99"/>
    <w:unhideWhenUsed/>
    <w:rsid w:val="007F05AD"/>
    <w:pPr>
      <w:spacing w:after="0" w:line="480" w:lineRule="auto"/>
      <w:ind w:firstLine="720"/>
    </w:pPr>
    <w:rPr>
      <w:rFonts w:ascii="Times New Roman" w:eastAsia="Times New Roman" w:hAnsi="Times New Roman" w:cs="Times New Roman"/>
      <w:sz w:val="26"/>
      <w:szCs w:val="24"/>
    </w:rPr>
  </w:style>
  <w:style w:type="character" w:customStyle="1" w:styleId="BodyTextFirstIndentChar">
    <w:name w:val="Body Text First Indent Char"/>
    <w:basedOn w:val="BodyTextChar"/>
    <w:link w:val="BodyTextFirstIndent"/>
    <w:uiPriority w:val="99"/>
    <w:rsid w:val="007F05AD"/>
    <w:rPr>
      <w:rFonts w:ascii="Times New Roman" w:eastAsia="Times New Roman" w:hAnsi="Times New Roman" w:cs="Times New Roman"/>
      <w:sz w:val="26"/>
      <w:szCs w:val="24"/>
    </w:rPr>
  </w:style>
  <w:style w:type="character" w:customStyle="1" w:styleId="Heading2Char">
    <w:name w:val="Heading 2 Char"/>
    <w:basedOn w:val="DefaultParagraphFont"/>
    <w:link w:val="Heading2"/>
    <w:uiPriority w:val="9"/>
    <w:rsid w:val="00772975"/>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772975"/>
    <w:rPr>
      <w:rFonts w:ascii="Times New Roman" w:eastAsiaTheme="majorEastAsia" w:hAnsi="Times New Roman" w:cstheme="majorBidi"/>
      <w:b/>
      <w:bCs/>
      <w:sz w:val="26"/>
    </w:rPr>
  </w:style>
  <w:style w:type="character" w:customStyle="1" w:styleId="Heading4Char">
    <w:name w:val="Heading 4 Char"/>
    <w:basedOn w:val="DefaultParagraphFont"/>
    <w:link w:val="Heading4"/>
    <w:uiPriority w:val="9"/>
    <w:rsid w:val="005A72D6"/>
    <w:rPr>
      <w:rFonts w:ascii="Times New Roman" w:eastAsiaTheme="majorEastAsia" w:hAnsi="Times New Roman" w:cstheme="majorBidi"/>
      <w:b/>
      <w:bCs/>
      <w:iCs/>
      <w:sz w:val="26"/>
    </w:rPr>
  </w:style>
  <w:style w:type="paragraph" w:styleId="TOC1">
    <w:name w:val="toc 1"/>
    <w:basedOn w:val="Normal"/>
    <w:next w:val="Normal"/>
    <w:autoRedefine/>
    <w:uiPriority w:val="39"/>
    <w:unhideWhenUsed/>
    <w:rsid w:val="00772975"/>
    <w:pPr>
      <w:spacing w:after="100"/>
    </w:pPr>
  </w:style>
  <w:style w:type="paragraph" w:styleId="TOC2">
    <w:name w:val="toc 2"/>
    <w:basedOn w:val="Normal"/>
    <w:next w:val="Normal"/>
    <w:autoRedefine/>
    <w:uiPriority w:val="39"/>
    <w:unhideWhenUsed/>
    <w:rsid w:val="00772975"/>
    <w:pPr>
      <w:tabs>
        <w:tab w:val="left" w:pos="660"/>
        <w:tab w:val="right" w:leader="dot" w:pos="9350"/>
      </w:tabs>
      <w:spacing w:after="100"/>
      <w:ind w:left="720" w:hanging="720"/>
    </w:pPr>
  </w:style>
  <w:style w:type="paragraph" w:styleId="TOC3">
    <w:name w:val="toc 3"/>
    <w:basedOn w:val="Normal"/>
    <w:next w:val="Normal"/>
    <w:autoRedefine/>
    <w:uiPriority w:val="39"/>
    <w:unhideWhenUsed/>
    <w:rsid w:val="005774A4"/>
    <w:pPr>
      <w:tabs>
        <w:tab w:val="left" w:pos="880"/>
        <w:tab w:val="right" w:leader="dot" w:pos="9350"/>
      </w:tabs>
      <w:spacing w:after="100"/>
      <w:ind w:left="1440" w:hanging="720"/>
    </w:pPr>
  </w:style>
  <w:style w:type="paragraph" w:styleId="TOC4">
    <w:name w:val="toc 4"/>
    <w:basedOn w:val="Normal"/>
    <w:next w:val="Normal"/>
    <w:autoRedefine/>
    <w:uiPriority w:val="39"/>
    <w:unhideWhenUsed/>
    <w:rsid w:val="00772975"/>
    <w:pPr>
      <w:spacing w:after="100"/>
      <w:ind w:left="660"/>
    </w:pPr>
  </w:style>
  <w:style w:type="paragraph" w:styleId="Header">
    <w:name w:val="header"/>
    <w:basedOn w:val="Normal"/>
    <w:link w:val="HeaderChar"/>
    <w:uiPriority w:val="99"/>
    <w:unhideWhenUsed/>
    <w:rsid w:val="00577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4A4"/>
  </w:style>
  <w:style w:type="paragraph" w:styleId="BalloonText">
    <w:name w:val="Balloon Text"/>
    <w:basedOn w:val="Normal"/>
    <w:link w:val="BalloonTextChar"/>
    <w:uiPriority w:val="99"/>
    <w:semiHidden/>
    <w:unhideWhenUsed/>
    <w:rsid w:val="00EF3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7586">
      <w:bodyDiv w:val="1"/>
      <w:marLeft w:val="0"/>
      <w:marRight w:val="0"/>
      <w:marTop w:val="0"/>
      <w:marBottom w:val="0"/>
      <w:divBdr>
        <w:top w:val="none" w:sz="0" w:space="0" w:color="auto"/>
        <w:left w:val="none" w:sz="0" w:space="0" w:color="auto"/>
        <w:bottom w:val="none" w:sz="0" w:space="0" w:color="auto"/>
        <w:right w:val="none" w:sz="0" w:space="0" w:color="auto"/>
      </w:divBdr>
    </w:div>
    <w:div w:id="1660385581">
      <w:bodyDiv w:val="1"/>
      <w:marLeft w:val="0"/>
      <w:marRight w:val="0"/>
      <w:marTop w:val="0"/>
      <w:marBottom w:val="0"/>
      <w:divBdr>
        <w:top w:val="none" w:sz="0" w:space="0" w:color="auto"/>
        <w:left w:val="none" w:sz="0" w:space="0" w:color="auto"/>
        <w:bottom w:val="none" w:sz="0" w:space="0" w:color="auto"/>
        <w:right w:val="none" w:sz="0" w:space="0" w:color="auto"/>
      </w:divBdr>
      <w:divsChild>
        <w:div w:id="1577130188">
          <w:marLeft w:val="0"/>
          <w:marRight w:val="-5040"/>
          <w:marTop w:val="0"/>
          <w:marBottom w:val="0"/>
          <w:divBdr>
            <w:top w:val="none" w:sz="0" w:space="0" w:color="auto"/>
            <w:left w:val="none" w:sz="0" w:space="0" w:color="auto"/>
            <w:bottom w:val="none" w:sz="0" w:space="0" w:color="auto"/>
            <w:right w:val="none" w:sz="0" w:space="0" w:color="auto"/>
          </w:divBdr>
          <w:divsChild>
            <w:div w:id="200939574">
              <w:marLeft w:val="0"/>
              <w:marRight w:val="5040"/>
              <w:marTop w:val="0"/>
              <w:marBottom w:val="0"/>
              <w:divBdr>
                <w:top w:val="none" w:sz="0" w:space="0" w:color="auto"/>
                <w:left w:val="none" w:sz="0" w:space="0" w:color="auto"/>
                <w:bottom w:val="none" w:sz="0" w:space="0" w:color="auto"/>
                <w:right w:val="none" w:sz="0" w:space="0" w:color="auto"/>
              </w:divBdr>
              <w:divsChild>
                <w:div w:id="3074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ehaedt@jonesday.com" TargetMode="External"/><Relationship Id="rId21" Type="http://schemas.openxmlformats.org/officeDocument/2006/relationships/hyperlink" Target="mailto:pfox@hilliardohio.gov" TargetMode="External"/><Relationship Id="rId42" Type="http://schemas.openxmlformats.org/officeDocument/2006/relationships/hyperlink" Target="mailto:amy.spiller@duke-energy.com" TargetMode="External"/><Relationship Id="rId47" Type="http://schemas.openxmlformats.org/officeDocument/2006/relationships/hyperlink" Target="mailto:myurick@cwslaw.com" TargetMode="External"/><Relationship Id="rId63" Type="http://schemas.openxmlformats.org/officeDocument/2006/relationships/hyperlink" Target="mailto:nolan@theoec.org" TargetMode="External"/><Relationship Id="rId68" Type="http://schemas.openxmlformats.org/officeDocument/2006/relationships/hyperlink" Target="mailto:sam@mwncmh.com" TargetMode="External"/><Relationship Id="rId84" Type="http://schemas.openxmlformats.org/officeDocument/2006/relationships/hyperlink" Target="mailto:rsugarman@kegler.brown.com" TargetMode="External"/><Relationship Id="rId89" Type="http://schemas.openxmlformats.org/officeDocument/2006/relationships/hyperlink" Target="mailto:yalami@aep.com" TargetMode="External"/><Relationship Id="rId2" Type="http://schemas.openxmlformats.org/officeDocument/2006/relationships/numbering" Target="numbering.xml"/><Relationship Id="rId16" Type="http://schemas.openxmlformats.org/officeDocument/2006/relationships/hyperlink" Target="mailto:grady@occ.state.oh.us" TargetMode="External"/><Relationship Id="rId29" Type="http://schemas.openxmlformats.org/officeDocument/2006/relationships/hyperlink" Target="mailto:dconway@porterwright.cmo" TargetMode="External"/><Relationship Id="rId107" Type="http://schemas.openxmlformats.org/officeDocument/2006/relationships/hyperlink" Target="mailto:lkalepsclark@vorys.com" TargetMode="External"/><Relationship Id="rId11" Type="http://schemas.openxmlformats.org/officeDocument/2006/relationships/footer" Target="footer3.xml"/><Relationship Id="rId24" Type="http://schemas.openxmlformats.org/officeDocument/2006/relationships/hyperlink" Target="mailto:cathy@theoec.org" TargetMode="External"/><Relationship Id="rId32" Type="http://schemas.openxmlformats.org/officeDocument/2006/relationships/hyperlink" Target="mailto:ahaque@szd.com" TargetMode="External"/><Relationship Id="rId37" Type="http://schemas.openxmlformats.org/officeDocument/2006/relationships/hyperlink" Target="mailto:etter@occ.state.oh.us" TargetMode="External"/><Relationship Id="rId40" Type="http://schemas.openxmlformats.org/officeDocument/2006/relationships/hyperlink" Target="mailto:david.fein@constellation.com" TargetMode="External"/><Relationship Id="rId45" Type="http://schemas.openxmlformats.org/officeDocument/2006/relationships/hyperlink" Target="mailto:tobrien@bricker.com" TargetMode="External"/><Relationship Id="rId53" Type="http://schemas.openxmlformats.org/officeDocument/2006/relationships/hyperlink" Target="mailto:gary.a.jeffries@dom.com" TargetMode="External"/><Relationship Id="rId58" Type="http://schemas.openxmlformats.org/officeDocument/2006/relationships/hyperlink" Target="mailto:philip.sineneng@thompsonhine.com" TargetMode="External"/><Relationship Id="rId66" Type="http://schemas.openxmlformats.org/officeDocument/2006/relationships/hyperlink" Target="mailto:doug.bonner@snrdenton.com" TargetMode="External"/><Relationship Id="rId74" Type="http://schemas.openxmlformats.org/officeDocument/2006/relationships/hyperlink" Target="mailto:malina@wexlerwalker.com" TargetMode="External"/><Relationship Id="rId79" Type="http://schemas.openxmlformats.org/officeDocument/2006/relationships/hyperlink" Target="mailto:korenergy@insight.rr.com" TargetMode="External"/><Relationship Id="rId87" Type="http://schemas.openxmlformats.org/officeDocument/2006/relationships/hyperlink" Target="mailto:christopher.miller@icemiller.com" TargetMode="External"/><Relationship Id="rId102" Type="http://schemas.openxmlformats.org/officeDocument/2006/relationships/hyperlink" Target="mailto:fdarr@mwncmh.com"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drinebolt@ohioparterns.corg" TargetMode="External"/><Relationship Id="rId82" Type="http://schemas.openxmlformats.org/officeDocument/2006/relationships/hyperlink" Target="mailto:cendsley@ofbp.org" TargetMode="External"/><Relationship Id="rId90" Type="http://schemas.openxmlformats.org/officeDocument/2006/relationships/hyperlink" Target="mailto:todonnell@bricker.com" TargetMode="External"/><Relationship Id="rId95" Type="http://schemas.openxmlformats.org/officeDocument/2006/relationships/hyperlink" Target="mailto:wmassey@cov.com" TargetMode="External"/><Relationship Id="rId19" Type="http://schemas.openxmlformats.org/officeDocument/2006/relationships/hyperlink" Target="mailto:mjsatterwhite@aep.com" TargetMode="External"/><Relationship Id="rId14" Type="http://schemas.openxmlformats.org/officeDocument/2006/relationships/hyperlink" Target="mailto:tsiwo@bricker.com" TargetMode="External"/><Relationship Id="rId22" Type="http://schemas.openxmlformats.org/officeDocument/2006/relationships/hyperlink" Target="mailto:ricks@ohanet.org" TargetMode="External"/><Relationship Id="rId27" Type="http://schemas.openxmlformats.org/officeDocument/2006/relationships/hyperlink" Target="mailto:dakutik@jonesday.com" TargetMode="External"/><Relationship Id="rId30" Type="http://schemas.openxmlformats.org/officeDocument/2006/relationships/hyperlink" Target="mailto:jlang@clafee.com" TargetMode="External"/><Relationship Id="rId35" Type="http://schemas.openxmlformats.org/officeDocument/2006/relationships/hyperlink" Target="mailto:lmcbride@calfee.com" TargetMode="External"/><Relationship Id="rId43" Type="http://schemas.openxmlformats.org/officeDocument/2006/relationships/hyperlink" Target="mailto:dboehm@bkllawfirm.com" TargetMode="External"/><Relationship Id="rId48" Type="http://schemas.openxmlformats.org/officeDocument/2006/relationships/hyperlink" Target="mailto:zkravtiz@cwslaw.com" TargetMode="External"/><Relationship Id="rId56" Type="http://schemas.openxmlformats.org/officeDocument/2006/relationships/hyperlink" Target="mailto:holly@raysmithlaw.com" TargetMode="External"/><Relationship Id="rId64" Type="http://schemas.openxmlformats.org/officeDocument/2006/relationships/hyperlink" Target="mailto:gpoulos@enernoc.com" TargetMode="External"/><Relationship Id="rId69" Type="http://schemas.openxmlformats.org/officeDocument/2006/relationships/hyperlink" Target="mailto:dstahl@eimerstahl.com" TargetMode="External"/><Relationship Id="rId77" Type="http://schemas.openxmlformats.org/officeDocument/2006/relationships/hyperlink" Target="mailto:afreifeld@viridityenergy.com" TargetMode="External"/><Relationship Id="rId100" Type="http://schemas.openxmlformats.org/officeDocument/2006/relationships/hyperlink" Target="mailto:sandry.grace@exeloncorp.com" TargetMode="External"/><Relationship Id="rId105" Type="http://schemas.openxmlformats.org/officeDocument/2006/relationships/hyperlink" Target="mailto:smhoward@vorys.com" TargetMode="External"/><Relationship Id="rId8" Type="http://schemas.openxmlformats.org/officeDocument/2006/relationships/endnotes" Target="endnotes.xml"/><Relationship Id="rId51" Type="http://schemas.openxmlformats.org/officeDocument/2006/relationships/hyperlink" Target="mailto:jmaskovyak@ohiopovertylaw.org" TargetMode="External"/><Relationship Id="rId72" Type="http://schemas.openxmlformats.org/officeDocument/2006/relationships/hyperlink" Target="mailto:tsantarelli@elpc.org" TargetMode="External"/><Relationship Id="rId80" Type="http://schemas.openxmlformats.org/officeDocument/2006/relationships/hyperlink" Target="mailto:sasloan@aep.com" TargetMode="External"/><Relationship Id="rId85" Type="http://schemas.openxmlformats.org/officeDocument/2006/relationships/hyperlink" Target="mailto:asimhaque@icemiller.com" TargetMode="External"/><Relationship Id="rId93" Type="http://schemas.openxmlformats.org/officeDocument/2006/relationships/hyperlink" Target="mailto:mwarnock@bricker.com" TargetMode="External"/><Relationship Id="rId98" Type="http://schemas.openxmlformats.org/officeDocument/2006/relationships/hyperlink" Target="mailto:whit@shitt-sturtevant.com" TargetMode="External"/><Relationship Id="rId3" Type="http://schemas.openxmlformats.org/officeDocument/2006/relationships/styles" Target="styles.xml"/><Relationship Id="rId12" Type="http://schemas.openxmlformats.org/officeDocument/2006/relationships/hyperlink" Target="mailto:werner.margard@puc.state.oh.us" TargetMode="External"/><Relationship Id="rId17" Type="http://schemas.openxmlformats.org/officeDocument/2006/relationships/hyperlink" Target="mailto:keith.nusbaum@snrdenton.com" TargetMode="External"/><Relationship Id="rId25" Type="http://schemas.openxmlformats.org/officeDocument/2006/relationships/hyperlink" Target="mailto:dsullivan@nrdc.org" TargetMode="External"/><Relationship Id="rId33" Type="http://schemas.openxmlformats.org/officeDocument/2006/relationships/hyperlink" Target="mailto:gdunn@szd.com" TargetMode="External"/><Relationship Id="rId38" Type="http://schemas.openxmlformats.org/officeDocument/2006/relationships/hyperlink" Target="mailto:small@occ.state.oh.us" TargetMode="External"/><Relationship Id="rId46" Type="http://schemas.openxmlformats.org/officeDocument/2006/relationships/hyperlink" Target="mailto:jbentine@cwslaw.com" TargetMode="External"/><Relationship Id="rId59" Type="http://schemas.openxmlformats.org/officeDocument/2006/relationships/hyperlink" Target="mailto:carolyn.flahive@thompsonhine.com" TargetMode="External"/><Relationship Id="rId67" Type="http://schemas.openxmlformats.org/officeDocument/2006/relationships/hyperlink" Target="mailto:clinton.vince@snrdenton.com" TargetMode="External"/><Relationship Id="rId103" Type="http://schemas.openxmlformats.org/officeDocument/2006/relationships/hyperlink" Target="mailto:jestes@skaddenc.om" TargetMode="External"/><Relationship Id="rId108" Type="http://schemas.openxmlformats.org/officeDocument/2006/relationships/hyperlink" Target="mailto:cmooney2@columbus.rr.com" TargetMode="External"/><Relationship Id="rId20" Type="http://schemas.openxmlformats.org/officeDocument/2006/relationships/hyperlink" Target="mailto:ned.ford@fuse.net" TargetMode="External"/><Relationship Id="rId41" Type="http://schemas.openxmlformats.org/officeDocument/2006/relationships/hyperlink" Target="mailto:dorothy.corbett@duke-energy.com" TargetMode="External"/><Relationship Id="rId54" Type="http://schemas.openxmlformats.org/officeDocument/2006/relationships/hyperlink" Target="mailto:stephen.chriss@wal-mart.com" TargetMode="External"/><Relationship Id="rId62" Type="http://schemas.openxmlformats.org/officeDocument/2006/relationships/hyperlink" Target="mailto:trent@theoeg.com" TargetMode="External"/><Relationship Id="rId70" Type="http://schemas.openxmlformats.org/officeDocument/2006/relationships/hyperlink" Target="mailto:aaragona@eimerstahl.com" TargetMode="External"/><Relationship Id="rId75" Type="http://schemas.openxmlformats.org/officeDocument/2006/relationships/hyperlink" Target="mailto:jkooper@hess.com" TargetMode="External"/><Relationship Id="rId83" Type="http://schemas.openxmlformats.org/officeDocument/2006/relationships/hyperlink" Target="mailto:jeanne.kingery@duke-energy.com" TargetMode="External"/><Relationship Id="rId88" Type="http://schemas.openxmlformats.org/officeDocument/2006/relationships/hyperlink" Target="mailto:bpbarger@bcslawyers.com" TargetMode="External"/><Relationship Id="rId91" Type="http://schemas.openxmlformats.org/officeDocument/2006/relationships/hyperlink" Target="mailto:cmontgomery@bricker.com" TargetMode="External"/><Relationship Id="rId96" Type="http://schemas.openxmlformats.org/officeDocument/2006/relationships/hyperlink" Target="mailto:henryeckhart@aol.com"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dclark1@aep.com" TargetMode="External"/><Relationship Id="rId23" Type="http://schemas.openxmlformats.org/officeDocument/2006/relationships/hyperlink" Target="mailto:stnourse@aep.com" TargetMode="External"/><Relationship Id="rId28" Type="http://schemas.openxmlformats.org/officeDocument/2006/relationships/hyperlink" Target="mailto:haydenm@firstenergycorp.com" TargetMode="External"/><Relationship Id="rId36" Type="http://schemas.openxmlformats.org/officeDocument/2006/relationships/hyperlink" Target="mailto:talexander@calfee.com" TargetMode="External"/><Relationship Id="rId49" Type="http://schemas.openxmlformats.org/officeDocument/2006/relationships/hyperlink" Target="mailto:jejadwin@aep.com" TargetMode="External"/><Relationship Id="rId57" Type="http://schemas.openxmlformats.org/officeDocument/2006/relationships/hyperlink" Target="mailto:barthroyer@aol.com" TargetMode="External"/><Relationship Id="rId106" Type="http://schemas.openxmlformats.org/officeDocument/2006/relationships/hyperlink" Target="mailto:mjsettineri@vorys.cmo" TargetMode="External"/><Relationship Id="rId10" Type="http://schemas.openxmlformats.org/officeDocument/2006/relationships/footer" Target="footer2.xml"/><Relationship Id="rId31" Type="http://schemas.openxmlformats.org/officeDocument/2006/relationships/hyperlink" Target="mailto:cmiller@szd.com" TargetMode="External"/><Relationship Id="rId44" Type="http://schemas.openxmlformats.org/officeDocument/2006/relationships/hyperlink" Target="mailto:mkurtz@bkllawfirm.com" TargetMode="External"/><Relationship Id="rId52" Type="http://schemas.openxmlformats.org/officeDocument/2006/relationships/hyperlink" Target="mailto:bakahn@vorys.com" TargetMode="External"/><Relationship Id="rId60" Type="http://schemas.openxmlformats.org/officeDocument/2006/relationships/hyperlink" Target="mailto:terrance.mebane@thompsonhine.com" TargetMode="External"/><Relationship Id="rId65" Type="http://schemas.openxmlformats.org/officeDocument/2006/relationships/hyperlink" Target="mailto:emma.hand@snrdenton.com" TargetMode="External"/><Relationship Id="rId73" Type="http://schemas.openxmlformats.org/officeDocument/2006/relationships/hyperlink" Target="mailto:callwein@wamenergylaw.com" TargetMode="External"/><Relationship Id="rId78" Type="http://schemas.openxmlformats.org/officeDocument/2006/relationships/hyperlink" Target="mailto:swolfe@viridityenergy.com" TargetMode="External"/><Relationship Id="rId81" Type="http://schemas.openxmlformats.org/officeDocument/2006/relationships/hyperlink" Target="mailto:dane.stinson@baileycavalierie.com" TargetMode="External"/><Relationship Id="rId86" Type="http://schemas.openxmlformats.org/officeDocument/2006/relationships/hyperlink" Target="mailto:gregory.dunn@icemiller.com" TargetMode="External"/><Relationship Id="rId94" Type="http://schemas.openxmlformats.org/officeDocument/2006/relationships/hyperlink" Target="mailto:gthomas@gtpowergroup.com" TargetMode="External"/><Relationship Id="rId99" Type="http://schemas.openxmlformats.org/officeDocument/2006/relationships/hyperlink" Target="mailto:thompson@whitt-sturtevant.com" TargetMode="External"/><Relationship Id="rId101" Type="http://schemas.openxmlformats.org/officeDocument/2006/relationships/hyperlink" Target="mailto:joliker@mwncomh.com"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mailto:steven.beeler@puc.state.oh.us" TargetMode="External"/><Relationship Id="rId18" Type="http://schemas.openxmlformats.org/officeDocument/2006/relationships/hyperlink" Target="mailto:kpkreider@kmklaw.com" TargetMode="External"/><Relationship Id="rId39" Type="http://schemas.openxmlformats.org/officeDocument/2006/relationships/hyperlink" Target="mailto:cynthia.a.fonner@constellation.com" TargetMode="External"/><Relationship Id="rId109" Type="http://schemas.openxmlformats.org/officeDocument/2006/relationships/footer" Target="footer4.xml"/><Relationship Id="rId34" Type="http://schemas.openxmlformats.org/officeDocument/2006/relationships/hyperlink" Target="mailto:mhpetricoff@vorys.com" TargetMode="External"/><Relationship Id="rId50" Type="http://schemas.openxmlformats.org/officeDocument/2006/relationships/hyperlink" Target="mailto:msmalz@ohiopovertylaw.org" TargetMode="External"/><Relationship Id="rId55" Type="http://schemas.openxmlformats.org/officeDocument/2006/relationships/hyperlink" Target="mailto:dmeyere@kmklaw.com" TargetMode="External"/><Relationship Id="rId76" Type="http://schemas.openxmlformats.org/officeDocument/2006/relationships/hyperlink" Target="mailto:kguerry@hess.com" TargetMode="External"/><Relationship Id="rId97" Type="http://schemas.openxmlformats.org/officeDocument/2006/relationships/hyperlink" Target="mailto:laurac@chappelleconsulting.net" TargetMode="External"/><Relationship Id="rId104" Type="http://schemas.openxmlformats.org/officeDocument/2006/relationships/hyperlink" Target="mailto:paul.wight@skadden.com" TargetMode="External"/><Relationship Id="rId7" Type="http://schemas.openxmlformats.org/officeDocument/2006/relationships/footnotes" Target="footnotes.xml"/><Relationship Id="rId71" Type="http://schemas.openxmlformats.org/officeDocument/2006/relationships/hyperlink" Target="mailto:ssolberg@eimerstahl.com" TargetMode="External"/><Relationship Id="rId92" Type="http://schemas.openxmlformats.org/officeDocument/2006/relationships/hyperlink" Target="mailto:lmalister@bricker.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im.eom/markets-and-operations/mm/rpm-auction-user-inf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EC296-4D2A-47D6-9EA2-EA254B30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8173</Words>
  <Characters>46588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54652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Margard, Werner</dc:creator>
  <cp:lastModifiedBy>Scott, Tonnetta</cp:lastModifiedBy>
  <cp:revision>3</cp:revision>
  <cp:lastPrinted>2012-06-29T16:17:00Z</cp:lastPrinted>
  <dcterms:created xsi:type="dcterms:W3CDTF">2012-06-29T16:27:00Z</dcterms:created>
  <dcterms:modified xsi:type="dcterms:W3CDTF">2012-06-29T20:45:00Z</dcterms:modified>
</cp:coreProperties>
</file>