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E93417" w:rsidRPr="001A197E" w:rsidP="00E93417" w14:paraId="0196608A" w14:textId="77777777">
      <w:pPr>
        <w:jc w:val="center"/>
        <w:rPr>
          <w:b/>
        </w:rPr>
      </w:pPr>
      <w:r w:rsidRPr="001A197E">
        <w:rPr>
          <w:b/>
        </w:rPr>
        <w:t xml:space="preserve">BEFORE </w:t>
      </w:r>
    </w:p>
    <w:p w:rsidR="00E93417" w:rsidRPr="001A197E" w:rsidP="00E93417" w14:paraId="01023207" w14:textId="77777777">
      <w:pPr>
        <w:jc w:val="center"/>
        <w:rPr>
          <w:b/>
        </w:rPr>
      </w:pPr>
      <w:r w:rsidRPr="001A197E">
        <w:rPr>
          <w:b/>
        </w:rPr>
        <w:t>THE PUBLIC UTILITIES COMMISSION OF OHIO</w:t>
      </w:r>
    </w:p>
    <w:p w:rsidR="00E93417" w:rsidRPr="001A197E" w:rsidP="00E93417" w14:paraId="4C45EA3F" w14:textId="77777777">
      <w:pPr>
        <w:rPr>
          <w:b/>
        </w:rPr>
      </w:pPr>
    </w:p>
    <w:tbl>
      <w:tblPr>
        <w:tblW w:w="8730" w:type="dxa"/>
        <w:tblLook w:val="01E0"/>
      </w:tblPr>
      <w:tblGrid>
        <w:gridCol w:w="4129"/>
        <w:gridCol w:w="296"/>
        <w:gridCol w:w="4305"/>
      </w:tblGrid>
      <w:tr w14:paraId="4B4F020D" w14:textId="77777777" w:rsidTr="00E979AE">
        <w:tblPrEx>
          <w:tblW w:w="8730" w:type="dxa"/>
          <w:tblLook w:val="01E0"/>
        </w:tblPrEx>
        <w:trPr>
          <w:trHeight w:val="807"/>
        </w:trPr>
        <w:tc>
          <w:tcPr>
            <w:tcW w:w="4140" w:type="dxa"/>
            <w:shd w:val="clear" w:color="auto" w:fill="auto"/>
          </w:tcPr>
          <w:p w:rsidR="00E93417" w:rsidP="000418BC" w14:paraId="2F943828" w14:textId="77777777">
            <w:pPr>
              <w:autoSpaceDE w:val="0"/>
              <w:autoSpaceDN w:val="0"/>
              <w:adjustRightInd w:val="0"/>
            </w:pPr>
            <w:r w:rsidRPr="000418BC">
              <w:t xml:space="preserve">In the Matter of the Commission’s Review </w:t>
            </w:r>
            <w:r w:rsidRPr="000418BC" w:rsidR="00210572">
              <w:t>of</w:t>
            </w:r>
            <w:r w:rsidRPr="000418BC">
              <w:t xml:space="preserve"> Chapter 4901:1-6, of the Ohio Administrative Code, Regarding Telephone </w:t>
            </w:r>
            <w:r w:rsidR="007A67B8">
              <w:t>C</w:t>
            </w:r>
            <w:r w:rsidRPr="000418BC">
              <w:t xml:space="preserve">ompany Procedures and Standards. </w:t>
            </w:r>
          </w:p>
          <w:p w:rsidR="00F16459" w:rsidRPr="001A197E" w:rsidP="000418BC" w14:paraId="461D2D59" w14:textId="0A13AB03">
            <w:pPr>
              <w:autoSpaceDE w:val="0"/>
              <w:autoSpaceDN w:val="0"/>
              <w:adjustRightInd w:val="0"/>
            </w:pPr>
          </w:p>
        </w:tc>
        <w:tc>
          <w:tcPr>
            <w:tcW w:w="270" w:type="dxa"/>
            <w:shd w:val="clear" w:color="auto" w:fill="auto"/>
          </w:tcPr>
          <w:p w:rsidR="00E93417" w:rsidRPr="001A197E" w:rsidP="00E93417" w14:paraId="686176BD" w14:textId="77777777">
            <w:pPr>
              <w:pStyle w:val="HTMLPreformatted"/>
              <w:rPr>
                <w:rFonts w:ascii="Times New Roman" w:hAnsi="Times New Roman" w:cs="Times New Roman"/>
                <w:sz w:val="24"/>
                <w:szCs w:val="24"/>
              </w:rPr>
            </w:pPr>
            <w:r w:rsidRPr="001A197E">
              <w:rPr>
                <w:rFonts w:ascii="Times New Roman" w:hAnsi="Times New Roman" w:cs="Times New Roman"/>
                <w:sz w:val="24"/>
                <w:szCs w:val="24"/>
              </w:rPr>
              <w:t>)</w:t>
            </w:r>
          </w:p>
          <w:p w:rsidR="00E93417" w:rsidRPr="001A197E" w:rsidP="00E93417" w14:paraId="7E150E78" w14:textId="77777777">
            <w:pPr>
              <w:pStyle w:val="HTMLPreformatted"/>
              <w:rPr>
                <w:rFonts w:ascii="Times New Roman" w:hAnsi="Times New Roman" w:cs="Times New Roman"/>
                <w:sz w:val="24"/>
                <w:szCs w:val="24"/>
              </w:rPr>
            </w:pPr>
            <w:r w:rsidRPr="001A197E">
              <w:rPr>
                <w:rFonts w:ascii="Times New Roman" w:hAnsi="Times New Roman" w:cs="Times New Roman"/>
                <w:sz w:val="24"/>
                <w:szCs w:val="24"/>
              </w:rPr>
              <w:t>)</w:t>
            </w:r>
          </w:p>
          <w:p w:rsidR="00E93417" w:rsidP="000418BC" w14:paraId="4EE97162" w14:textId="77777777">
            <w:pPr>
              <w:pStyle w:val="HTMLPreformatted"/>
              <w:rPr>
                <w:rFonts w:ascii="Times New Roman" w:hAnsi="Times New Roman" w:cs="Times New Roman"/>
                <w:sz w:val="24"/>
                <w:szCs w:val="24"/>
              </w:rPr>
            </w:pPr>
            <w:r w:rsidRPr="001A197E">
              <w:rPr>
                <w:rFonts w:ascii="Times New Roman" w:hAnsi="Times New Roman" w:cs="Times New Roman"/>
                <w:sz w:val="24"/>
                <w:szCs w:val="24"/>
              </w:rPr>
              <w:t>)</w:t>
            </w:r>
          </w:p>
          <w:p w:rsidR="000418BC" w:rsidP="000418BC" w14:paraId="3B1F3231" w14:textId="64CCA3CF">
            <w:pPr>
              <w:pStyle w:val="HTMLPreformatted"/>
              <w:rPr>
                <w:rFonts w:ascii="Times New Roman" w:hAnsi="Times New Roman" w:cs="Times New Roman"/>
                <w:sz w:val="24"/>
                <w:szCs w:val="24"/>
              </w:rPr>
            </w:pPr>
            <w:r>
              <w:rPr>
                <w:rFonts w:ascii="Times New Roman" w:hAnsi="Times New Roman" w:cs="Times New Roman"/>
                <w:sz w:val="24"/>
                <w:szCs w:val="24"/>
              </w:rPr>
              <w:t>)</w:t>
            </w:r>
          </w:p>
          <w:p w:rsidR="007F661B" w:rsidP="000418BC" w14:paraId="19B5380F" w14:textId="58345497">
            <w:pPr>
              <w:pStyle w:val="HTMLPreformatted"/>
              <w:rPr>
                <w:rFonts w:ascii="Times New Roman" w:hAnsi="Times New Roman" w:cs="Times New Roman"/>
                <w:sz w:val="24"/>
                <w:szCs w:val="24"/>
              </w:rPr>
            </w:pPr>
            <w:r>
              <w:rPr>
                <w:rFonts w:ascii="Times New Roman" w:hAnsi="Times New Roman" w:cs="Times New Roman"/>
                <w:sz w:val="24"/>
                <w:szCs w:val="24"/>
              </w:rPr>
              <w:t>)</w:t>
            </w:r>
          </w:p>
          <w:p w:rsidR="000418BC" w:rsidRPr="001A197E" w:rsidP="000418BC" w14:paraId="26F2B25E" w14:textId="276A7BE1">
            <w:pPr>
              <w:pStyle w:val="HTMLPreformatted"/>
              <w:rPr>
                <w:rFonts w:ascii="Times New Roman" w:hAnsi="Times New Roman" w:cs="Times New Roman"/>
                <w:sz w:val="24"/>
                <w:szCs w:val="24"/>
              </w:rPr>
            </w:pPr>
          </w:p>
        </w:tc>
        <w:tc>
          <w:tcPr>
            <w:tcW w:w="4320" w:type="dxa"/>
            <w:shd w:val="clear" w:color="auto" w:fill="auto"/>
          </w:tcPr>
          <w:p w:rsidR="00E93417" w:rsidRPr="001A197E" w:rsidP="00E93417" w14:paraId="47B1774C" w14:textId="77777777">
            <w:pPr>
              <w:pStyle w:val="HTMLPreformatted"/>
              <w:rPr>
                <w:rFonts w:ascii="Times New Roman" w:hAnsi="Times New Roman" w:cs="Times New Roman"/>
                <w:sz w:val="24"/>
                <w:szCs w:val="24"/>
              </w:rPr>
            </w:pPr>
          </w:p>
          <w:p w:rsidR="00E93417" w:rsidRPr="001A197E" w:rsidP="00E93417" w14:paraId="4D74D7CF" w14:textId="1D90A832">
            <w:pPr>
              <w:pStyle w:val="HTMLPreformatted"/>
              <w:rPr>
                <w:rFonts w:ascii="Times New Roman" w:hAnsi="Times New Roman" w:cs="Times New Roman"/>
                <w:sz w:val="24"/>
                <w:szCs w:val="24"/>
              </w:rPr>
            </w:pPr>
            <w:r w:rsidRPr="001A197E">
              <w:rPr>
                <w:rFonts w:ascii="Times New Roman" w:hAnsi="Times New Roman" w:cs="Times New Roman"/>
                <w:sz w:val="24"/>
                <w:szCs w:val="24"/>
              </w:rPr>
              <w:t xml:space="preserve">Case No. </w:t>
            </w:r>
            <w:r w:rsidR="000418BC">
              <w:rPr>
                <w:rFonts w:ascii="Times New Roman" w:hAnsi="Times New Roman" w:cs="Times New Roman"/>
                <w:sz w:val="24"/>
                <w:szCs w:val="24"/>
              </w:rPr>
              <w:t>14-1554-TP-ORD</w:t>
            </w:r>
          </w:p>
          <w:p w:rsidR="00E93417" w:rsidRPr="001A197E" w:rsidP="00E93417" w14:paraId="2F868469" w14:textId="77777777">
            <w:pPr>
              <w:pStyle w:val="HTMLPreformatted"/>
              <w:rPr>
                <w:rFonts w:ascii="Times New Roman" w:hAnsi="Times New Roman" w:cs="Times New Roman"/>
                <w:sz w:val="24"/>
                <w:szCs w:val="24"/>
              </w:rPr>
            </w:pPr>
          </w:p>
          <w:p w:rsidR="00E93417" w:rsidRPr="001A197E" w:rsidP="00E93417" w14:paraId="569272E8" w14:textId="77777777">
            <w:pPr>
              <w:pStyle w:val="HTMLPreformatted"/>
              <w:rPr>
                <w:rFonts w:ascii="Times New Roman" w:hAnsi="Times New Roman" w:cs="Times New Roman"/>
                <w:sz w:val="24"/>
                <w:szCs w:val="24"/>
              </w:rPr>
            </w:pPr>
          </w:p>
        </w:tc>
      </w:tr>
    </w:tbl>
    <w:p w:rsidR="00E93417" w:rsidRPr="001A197E" w:rsidP="00E93417" w14:paraId="310E8969" w14:textId="77777777">
      <w:pPr>
        <w:pBdr>
          <w:top w:val="single" w:sz="12" w:space="0" w:color="auto"/>
        </w:pBdr>
        <w:tabs>
          <w:tab w:val="left" w:pos="-720"/>
        </w:tabs>
        <w:suppressAutoHyphens/>
        <w:jc w:val="center"/>
        <w:rPr>
          <w:b/>
          <w:bCs/>
          <w:spacing w:val="-3"/>
        </w:rPr>
      </w:pPr>
    </w:p>
    <w:p w:rsidR="00E93417" w:rsidRPr="001A197E" w:rsidP="00E93417" w14:paraId="15BA4F13" w14:textId="515233AC">
      <w:pPr>
        <w:tabs>
          <w:tab w:val="left" w:pos="4770"/>
          <w:tab w:val="left" w:pos="6480"/>
        </w:tabs>
        <w:jc w:val="center"/>
        <w:rPr>
          <w:b/>
        </w:rPr>
      </w:pPr>
      <w:r>
        <w:rPr>
          <w:b/>
        </w:rPr>
        <w:t xml:space="preserve">MEMORANDUM CONTRA </w:t>
      </w:r>
      <w:r w:rsidR="000418BC">
        <w:rPr>
          <w:b/>
        </w:rPr>
        <w:t xml:space="preserve">THE </w:t>
      </w:r>
      <w:r w:rsidR="004775E3">
        <w:rPr>
          <w:b/>
        </w:rPr>
        <w:t xml:space="preserve">APPLICATIONS FOR REHEARING OF THE </w:t>
      </w:r>
      <w:r w:rsidR="000418BC">
        <w:rPr>
          <w:b/>
        </w:rPr>
        <w:t>OHIO TELECOM ASSOCIATION</w:t>
      </w:r>
      <w:r w:rsidR="00B123B1">
        <w:rPr>
          <w:b/>
        </w:rPr>
        <w:t xml:space="preserve"> AND THE OHIO CABLE TELECOMMUNICATION</w:t>
      </w:r>
      <w:r w:rsidR="00911087">
        <w:rPr>
          <w:b/>
        </w:rPr>
        <w:t>S</w:t>
      </w:r>
      <w:r w:rsidR="00B123B1">
        <w:rPr>
          <w:b/>
        </w:rPr>
        <w:t xml:space="preserve"> ASSOCIATION</w:t>
      </w:r>
    </w:p>
    <w:p w:rsidR="00E93417" w:rsidP="00E93417" w14:paraId="27783BC9" w14:textId="4E9A1187">
      <w:pPr>
        <w:tabs>
          <w:tab w:val="left" w:pos="4770"/>
          <w:tab w:val="left" w:pos="6480"/>
        </w:tabs>
        <w:jc w:val="center"/>
        <w:rPr>
          <w:b/>
        </w:rPr>
      </w:pPr>
      <w:r w:rsidRPr="001A197E">
        <w:rPr>
          <w:b/>
        </w:rPr>
        <w:t>BY</w:t>
      </w:r>
    </w:p>
    <w:p w:rsidR="00EE4641" w:rsidP="00EE4641" w14:paraId="038CCE54" w14:textId="7D2561F5">
      <w:pPr>
        <w:jc w:val="center"/>
        <w:rPr>
          <w:b/>
          <w:bCs/>
          <w:color w:val="000000"/>
        </w:rPr>
      </w:pPr>
      <w:r w:rsidRPr="005F3E32">
        <w:rPr>
          <w:b/>
          <w:bCs/>
          <w:color w:val="000000"/>
        </w:rPr>
        <w:t>ADVOCATES FOR BASIC LEGAL EQUALITY, INC.</w:t>
      </w:r>
    </w:p>
    <w:p w:rsidR="00EE4641" w:rsidRPr="001A197E" w:rsidP="00EE4641" w14:paraId="079F40FD" w14:textId="3E79EE91">
      <w:pPr>
        <w:shd w:val="clear" w:color="auto" w:fill="FFFFFF"/>
        <w:jc w:val="center"/>
        <w:rPr>
          <w:b/>
        </w:rPr>
      </w:pPr>
      <w:r w:rsidRPr="004C3EBD">
        <w:rPr>
          <w:b/>
          <w:bCs/>
          <w:color w:val="000000"/>
        </w:rPr>
        <w:t>THE LEGAL AID SOCIETY OF COLUMBUS</w:t>
      </w:r>
    </w:p>
    <w:p w:rsidR="00E93417" w:rsidP="00E93417" w14:paraId="4A9A441E" w14:textId="66C1F861">
      <w:pPr>
        <w:tabs>
          <w:tab w:val="left" w:pos="4770"/>
          <w:tab w:val="left" w:pos="6480"/>
        </w:tabs>
        <w:jc w:val="center"/>
        <w:rPr>
          <w:b/>
        </w:rPr>
      </w:pPr>
      <w:r w:rsidRPr="001A197E">
        <w:rPr>
          <w:b/>
        </w:rPr>
        <w:t>OFFICE OF THE OHIO CONSUMERS’ COUNSEL</w:t>
      </w:r>
    </w:p>
    <w:p w:rsidR="00EE4641" w:rsidP="00EE4641" w14:paraId="73DE28F9" w14:textId="28F3A74F">
      <w:pPr>
        <w:jc w:val="center"/>
        <w:rPr>
          <w:b/>
          <w:bCs/>
        </w:rPr>
      </w:pPr>
      <w:r w:rsidRPr="004C3EBD">
        <w:rPr>
          <w:b/>
          <w:bCs/>
        </w:rPr>
        <w:t>OHIO POVERTY LAW CENTER</w:t>
      </w:r>
    </w:p>
    <w:p w:rsidR="00EE4641" w:rsidP="00EE4641" w14:paraId="574B3A8A" w14:textId="716E49C8">
      <w:pPr>
        <w:shd w:val="clear" w:color="auto" w:fill="FFFFFF"/>
        <w:jc w:val="center"/>
        <w:rPr>
          <w:b/>
          <w:bCs/>
          <w:color w:val="000000"/>
        </w:rPr>
      </w:pPr>
      <w:r>
        <w:rPr>
          <w:b/>
          <w:bCs/>
          <w:color w:val="000000"/>
        </w:rPr>
        <w:t>PRO SENIORS, INC.</w:t>
      </w:r>
    </w:p>
    <w:p w:rsidR="00EE4641" w:rsidRPr="004C3EBD" w:rsidP="00EE4641" w14:paraId="422C5CF6" w14:textId="7829678A">
      <w:pPr>
        <w:jc w:val="center"/>
        <w:rPr>
          <w:b/>
          <w:bCs/>
          <w:color w:val="000000"/>
        </w:rPr>
      </w:pPr>
      <w:r w:rsidRPr="004C3EBD">
        <w:rPr>
          <w:b/>
          <w:bCs/>
          <w:color w:val="000000"/>
        </w:rPr>
        <w:t>SOUTHEASTERN OHIO LEGAL SERVICES</w:t>
      </w:r>
    </w:p>
    <w:p w:rsidR="00E93417" w:rsidRPr="001A197E" w:rsidP="00E93417" w14:paraId="1B341249" w14:textId="77777777">
      <w:pPr>
        <w:pBdr>
          <w:bottom w:val="single" w:sz="12" w:space="1" w:color="auto"/>
        </w:pBdr>
        <w:tabs>
          <w:tab w:val="left" w:pos="-720"/>
        </w:tabs>
        <w:suppressAutoHyphens/>
        <w:jc w:val="center"/>
        <w:rPr>
          <w:b/>
          <w:bCs/>
          <w:spacing w:val="-3"/>
        </w:rPr>
      </w:pPr>
    </w:p>
    <w:p w:rsidR="00E93417" w:rsidRPr="001A197E" w:rsidP="00E93417" w14:paraId="37AE36C3" w14:textId="77777777">
      <w:pPr>
        <w:tabs>
          <w:tab w:val="left" w:pos="4770"/>
          <w:tab w:val="left" w:pos="6480"/>
        </w:tabs>
        <w:rPr>
          <w:b/>
          <w:u w:val="single"/>
        </w:rPr>
      </w:pPr>
    </w:p>
    <w:p w:rsidR="00FA4108" w:rsidRPr="00FA4108" w:rsidP="00FA4108" w14:paraId="76889B7A" w14:textId="77B144BB">
      <w:pPr>
        <w:pStyle w:val="ListParagraph"/>
        <w:numPr>
          <w:ilvl w:val="0"/>
          <w:numId w:val="27"/>
        </w:numPr>
        <w:spacing w:line="480" w:lineRule="auto"/>
        <w:ind w:left="720"/>
        <w:rPr>
          <w:b/>
        </w:rPr>
      </w:pPr>
      <w:r w:rsidRPr="00FA4108">
        <w:rPr>
          <w:b/>
        </w:rPr>
        <w:t>INTRODUCTION</w:t>
      </w:r>
    </w:p>
    <w:p w:rsidR="003324FC" w:rsidP="002A7B1E" w14:paraId="54C1F743" w14:textId="5B93C8E0">
      <w:pPr>
        <w:spacing w:line="480" w:lineRule="auto"/>
        <w:ind w:firstLine="720"/>
      </w:pPr>
      <w:r>
        <w:t xml:space="preserve">The </w:t>
      </w:r>
      <w:r w:rsidR="00A9198F">
        <w:t xml:space="preserve">OTA and </w:t>
      </w:r>
      <w:r>
        <w:t xml:space="preserve">the </w:t>
      </w:r>
      <w:r w:rsidR="00A9198F">
        <w:t xml:space="preserve">OCTA ask the PUCO to </w:t>
      </w:r>
      <w:r w:rsidRPr="0001401C" w:rsidR="00A9198F">
        <w:t>diminish</w:t>
      </w:r>
      <w:r w:rsidR="00A9198F">
        <w:t xml:space="preserve"> </w:t>
      </w:r>
      <w:r w:rsidR="00C061C0">
        <w:t xml:space="preserve">or eliminate </w:t>
      </w:r>
      <w:r w:rsidRPr="0001401C" w:rsidR="00A9198F">
        <w:t>protections</w:t>
      </w:r>
      <w:r w:rsidR="00A9198F">
        <w:t xml:space="preserve"> for</w:t>
      </w:r>
      <w:r w:rsidRPr="0001401C" w:rsidR="00A9198F">
        <w:t xml:space="preserve"> </w:t>
      </w:r>
      <w:r w:rsidR="00C061C0">
        <w:t>Ohioans</w:t>
      </w:r>
      <w:r w:rsidR="00A9198F">
        <w:t xml:space="preserve"> </w:t>
      </w:r>
      <w:r w:rsidRPr="0001401C" w:rsidR="00A9198F">
        <w:t>when</w:t>
      </w:r>
      <w:r w:rsidR="00A9198F">
        <w:t xml:space="preserve"> </w:t>
      </w:r>
      <w:r w:rsidRPr="0001401C" w:rsidR="00A9198F">
        <w:t>their</w:t>
      </w:r>
      <w:r w:rsidR="00A9198F">
        <w:t xml:space="preserve"> </w:t>
      </w:r>
      <w:r w:rsidRPr="0001401C" w:rsidR="00A9198F">
        <w:t>telephone</w:t>
      </w:r>
      <w:r w:rsidR="00A9198F">
        <w:t xml:space="preserve"> </w:t>
      </w:r>
      <w:r w:rsidRPr="0001401C" w:rsidR="00A9198F">
        <w:t>service</w:t>
      </w:r>
      <w:r w:rsidR="00A9198F">
        <w:t xml:space="preserve"> </w:t>
      </w:r>
      <w:r w:rsidRPr="0001401C" w:rsidR="00A9198F">
        <w:t>is</w:t>
      </w:r>
      <w:r w:rsidR="00A9198F">
        <w:t xml:space="preserve"> </w:t>
      </w:r>
      <w:r w:rsidRPr="0001401C" w:rsidR="00A9198F">
        <w:t>withdrawn</w:t>
      </w:r>
      <w:r w:rsidR="00A9198F">
        <w:t xml:space="preserve"> </w:t>
      </w:r>
      <w:r w:rsidRPr="0001401C" w:rsidR="00A9198F">
        <w:t>or</w:t>
      </w:r>
      <w:r w:rsidR="00A9198F">
        <w:t xml:space="preserve"> </w:t>
      </w:r>
      <w:r w:rsidRPr="0001401C" w:rsidR="00A9198F">
        <w:t>discontinued.</w:t>
      </w:r>
      <w:r w:rsidR="00A9198F">
        <w:t xml:space="preserve"> </w:t>
      </w:r>
      <w:r w:rsidRPr="0001401C" w:rsidR="00A9198F">
        <w:t>The</w:t>
      </w:r>
      <w:r w:rsidR="00A9198F">
        <w:t xml:space="preserve"> </w:t>
      </w:r>
      <w:r w:rsidRPr="0001401C" w:rsidR="00A9198F">
        <w:t>PUCO</w:t>
      </w:r>
      <w:r w:rsidR="00A9198F">
        <w:t xml:space="preserve"> </w:t>
      </w:r>
      <w:r w:rsidRPr="0001401C" w:rsidR="00A9198F">
        <w:t>should</w:t>
      </w:r>
      <w:r w:rsidR="00A9198F">
        <w:t xml:space="preserve"> </w:t>
      </w:r>
      <w:r w:rsidRPr="0001401C" w:rsidR="00A9198F">
        <w:t>reject</w:t>
      </w:r>
      <w:r w:rsidR="00A9198F">
        <w:t xml:space="preserve"> </w:t>
      </w:r>
      <w:r w:rsidRPr="0001401C" w:rsidR="00A9198F">
        <w:t>the</w:t>
      </w:r>
      <w:r w:rsidR="00A9198F">
        <w:t>se anti-consumer proposals. T</w:t>
      </w:r>
      <w:r w:rsidRPr="0001401C" w:rsidR="00A9198F">
        <w:t>he</w:t>
      </w:r>
      <w:r w:rsidR="00A9198F">
        <w:t xml:space="preserve"> </w:t>
      </w:r>
      <w:r w:rsidRPr="0001401C" w:rsidR="00A9198F">
        <w:t xml:space="preserve">PUCO should </w:t>
      </w:r>
      <w:r w:rsidR="00A9198F">
        <w:t xml:space="preserve">affirm its 3rd Finding and Order </w:t>
      </w:r>
      <w:r w:rsidR="006254C3">
        <w:t xml:space="preserve">regarding the OTA and OCTA claims. </w:t>
      </w:r>
      <w:r w:rsidR="00A9198F">
        <w:t>The applications for rehearing filed by OTA and OCTA should be denied.</w:t>
      </w:r>
    </w:p>
    <w:p w:rsidR="00EE4641" w:rsidP="008C13F1" w14:paraId="1A5E3D7F" w14:textId="77777777">
      <w:pPr>
        <w:spacing w:line="480" w:lineRule="auto"/>
        <w:ind w:firstLine="720"/>
        <w:rPr>
          <w:bCs/>
        </w:rPr>
        <w:sectPr w:rsidSect="00E979AE">
          <w:footerReference w:type="default" r:id="rId6"/>
          <w:footerReference w:type="first" r:id="rId7"/>
          <w:pgSz w:w="12240" w:h="15840"/>
          <w:pgMar w:top="1440" w:right="1800" w:bottom="1440" w:left="1800" w:header="720" w:footer="720" w:gutter="0"/>
          <w:pgNumType w:start="2"/>
          <w:cols w:space="720"/>
          <w:titlePg/>
          <w:docGrid w:linePitch="360"/>
        </w:sectPr>
      </w:pPr>
      <w:r>
        <w:rPr>
          <w:bCs/>
        </w:rPr>
        <w:t xml:space="preserve">In </w:t>
      </w:r>
      <w:r w:rsidR="00B123B1">
        <w:rPr>
          <w:bCs/>
        </w:rPr>
        <w:t>their</w:t>
      </w:r>
      <w:r>
        <w:rPr>
          <w:bCs/>
        </w:rPr>
        <w:t xml:space="preserve"> application</w:t>
      </w:r>
      <w:r w:rsidR="00B123B1">
        <w:rPr>
          <w:bCs/>
        </w:rPr>
        <w:t>s</w:t>
      </w:r>
      <w:r>
        <w:rPr>
          <w:bCs/>
        </w:rPr>
        <w:t xml:space="preserve"> for rehearing,</w:t>
      </w:r>
      <w:r>
        <w:rPr>
          <w:rStyle w:val="FootnoteReference"/>
          <w:bCs/>
        </w:rPr>
        <w:footnoteReference w:id="2"/>
      </w:r>
      <w:r>
        <w:rPr>
          <w:bCs/>
        </w:rPr>
        <w:t xml:space="preserve"> </w:t>
      </w:r>
      <w:r w:rsidR="006254C3">
        <w:rPr>
          <w:bCs/>
        </w:rPr>
        <w:t>t</w:t>
      </w:r>
      <w:r w:rsidR="000418BC">
        <w:rPr>
          <w:bCs/>
        </w:rPr>
        <w:t>he Ohio Telecom Association (“OTA”)</w:t>
      </w:r>
      <w:r>
        <w:rPr>
          <w:bCs/>
        </w:rPr>
        <w:t xml:space="preserve"> </w:t>
      </w:r>
      <w:r w:rsidR="00B123B1">
        <w:rPr>
          <w:bCs/>
        </w:rPr>
        <w:t>and the Ohio Cable Telecommunication</w:t>
      </w:r>
      <w:r w:rsidR="00911087">
        <w:rPr>
          <w:bCs/>
        </w:rPr>
        <w:t>s</w:t>
      </w:r>
      <w:r w:rsidR="00B123B1">
        <w:rPr>
          <w:bCs/>
        </w:rPr>
        <w:t xml:space="preserve"> Association (“OCTA”) </w:t>
      </w:r>
      <w:r>
        <w:rPr>
          <w:bCs/>
        </w:rPr>
        <w:t>rehash</w:t>
      </w:r>
      <w:r w:rsidR="00B123B1">
        <w:rPr>
          <w:bCs/>
        </w:rPr>
        <w:t xml:space="preserve"> </w:t>
      </w:r>
      <w:r>
        <w:rPr>
          <w:bCs/>
        </w:rPr>
        <w:t>the same</w:t>
      </w:r>
      <w:r w:rsidR="00F86643">
        <w:rPr>
          <w:bCs/>
        </w:rPr>
        <w:t xml:space="preserve"> anti-</w:t>
      </w:r>
    </w:p>
    <w:p w:rsidR="002908DD" w:rsidP="007F661B" w14:paraId="377DC634" w14:textId="2C6A000A">
      <w:pPr>
        <w:spacing w:line="480" w:lineRule="auto"/>
        <w:rPr>
          <w:bCs/>
        </w:rPr>
      </w:pPr>
      <w:r>
        <w:rPr>
          <w:bCs/>
        </w:rPr>
        <w:t>consumer</w:t>
      </w:r>
      <w:r w:rsidR="00EE4641">
        <w:rPr>
          <w:bCs/>
        </w:rPr>
        <w:t xml:space="preserve"> arguments </w:t>
      </w:r>
      <w:r w:rsidR="00B123B1">
        <w:rPr>
          <w:bCs/>
        </w:rPr>
        <w:t xml:space="preserve">they </w:t>
      </w:r>
      <w:r w:rsidR="00EE4641">
        <w:rPr>
          <w:bCs/>
        </w:rPr>
        <w:t xml:space="preserve">made in </w:t>
      </w:r>
      <w:r w:rsidR="00B123B1">
        <w:rPr>
          <w:bCs/>
        </w:rPr>
        <w:t>their</w:t>
      </w:r>
      <w:r w:rsidR="00EE4641">
        <w:rPr>
          <w:bCs/>
        </w:rPr>
        <w:t xml:space="preserve"> </w:t>
      </w:r>
      <w:r w:rsidR="000418BC">
        <w:rPr>
          <w:bCs/>
        </w:rPr>
        <w:t>comments and reply comments in this case</w:t>
      </w:r>
      <w:r w:rsidR="00EE4641">
        <w:rPr>
          <w:bCs/>
        </w:rPr>
        <w:t>.</w:t>
      </w:r>
      <w:r>
        <w:rPr>
          <w:rStyle w:val="FootnoteReference"/>
          <w:bCs/>
        </w:rPr>
        <w:footnoteReference w:id="3"/>
      </w:r>
      <w:r w:rsidR="00EE4641">
        <w:rPr>
          <w:bCs/>
        </w:rPr>
        <w:t xml:space="preserve"> </w:t>
      </w:r>
      <w:r w:rsidR="00821F8B">
        <w:rPr>
          <w:bCs/>
        </w:rPr>
        <w:t xml:space="preserve">The Public </w:t>
      </w:r>
      <w:r w:rsidR="00210572">
        <w:rPr>
          <w:bCs/>
        </w:rPr>
        <w:t>Utilities</w:t>
      </w:r>
      <w:r w:rsidR="00821F8B">
        <w:rPr>
          <w:bCs/>
        </w:rPr>
        <w:t xml:space="preserve"> Commission of Ohio (“</w:t>
      </w:r>
      <w:r w:rsidR="008C131A">
        <w:rPr>
          <w:bCs/>
        </w:rPr>
        <w:t>PUCO</w:t>
      </w:r>
      <w:r w:rsidR="00821F8B">
        <w:rPr>
          <w:bCs/>
        </w:rPr>
        <w:t>”)</w:t>
      </w:r>
      <w:r w:rsidR="008C131A">
        <w:rPr>
          <w:bCs/>
        </w:rPr>
        <w:t xml:space="preserve"> correctl</w:t>
      </w:r>
      <w:r w:rsidR="00604479">
        <w:rPr>
          <w:bCs/>
        </w:rPr>
        <w:t xml:space="preserve">y ruled against </w:t>
      </w:r>
      <w:r w:rsidR="00210572">
        <w:rPr>
          <w:bCs/>
        </w:rPr>
        <w:t>the</w:t>
      </w:r>
      <w:r w:rsidR="00D35B17">
        <w:rPr>
          <w:bCs/>
        </w:rPr>
        <w:t>se</w:t>
      </w:r>
      <w:r w:rsidR="00604479">
        <w:rPr>
          <w:bCs/>
        </w:rPr>
        <w:t xml:space="preserve"> arguments </w:t>
      </w:r>
      <w:r w:rsidR="00EE4641">
        <w:rPr>
          <w:bCs/>
        </w:rPr>
        <w:t>and should do so again here</w:t>
      </w:r>
      <w:r w:rsidR="00C736F2">
        <w:rPr>
          <w:bCs/>
        </w:rPr>
        <w:t>.</w:t>
      </w:r>
      <w:r w:rsidR="00DD3E3C">
        <w:rPr>
          <w:bCs/>
        </w:rPr>
        <w:t xml:space="preserve"> The PUCO should deny </w:t>
      </w:r>
      <w:r w:rsidR="00210572">
        <w:rPr>
          <w:bCs/>
        </w:rPr>
        <w:t xml:space="preserve">the </w:t>
      </w:r>
      <w:r w:rsidR="00DD3E3C">
        <w:rPr>
          <w:bCs/>
        </w:rPr>
        <w:t xml:space="preserve">OTA’s </w:t>
      </w:r>
      <w:r w:rsidR="00D35B17">
        <w:rPr>
          <w:bCs/>
        </w:rPr>
        <w:t xml:space="preserve">and OCTA’s </w:t>
      </w:r>
      <w:r w:rsidR="00DD3E3C">
        <w:rPr>
          <w:bCs/>
        </w:rPr>
        <w:t>application</w:t>
      </w:r>
      <w:r w:rsidR="00D35B17">
        <w:rPr>
          <w:bCs/>
        </w:rPr>
        <w:t>s</w:t>
      </w:r>
      <w:r w:rsidR="00DD3E3C">
        <w:rPr>
          <w:bCs/>
        </w:rPr>
        <w:t xml:space="preserve"> for rehearing.</w:t>
      </w:r>
    </w:p>
    <w:p w:rsidR="007F661B" w:rsidP="007F661B" w14:paraId="5C9D850C" w14:textId="77777777">
      <w:pPr>
        <w:rPr>
          <w:bCs/>
        </w:rPr>
      </w:pPr>
    </w:p>
    <w:p w:rsidR="008062BA" w:rsidP="000875B9" w14:paraId="12EA8DB4" w14:textId="65F1CA38">
      <w:pPr>
        <w:keepNext/>
        <w:keepLines/>
        <w:spacing w:after="240"/>
      </w:pPr>
      <w:r>
        <w:rPr>
          <w:b/>
          <w:bCs/>
        </w:rPr>
        <w:t>II.</w:t>
      </w:r>
      <w:r>
        <w:rPr>
          <w:b/>
          <w:bCs/>
        </w:rPr>
        <w:tab/>
      </w:r>
      <w:r w:rsidR="002B3B8C">
        <w:rPr>
          <w:b/>
          <w:bCs/>
        </w:rPr>
        <w:t>ARGUMENT</w:t>
      </w:r>
    </w:p>
    <w:p w:rsidR="00505872" w:rsidRPr="00C82298" w:rsidP="00505872" w14:paraId="081189EF" w14:textId="56878C2E">
      <w:pPr>
        <w:keepNext/>
        <w:keepLines/>
        <w:spacing w:after="240"/>
        <w:ind w:left="1440" w:hanging="720"/>
        <w:rPr>
          <w:b/>
          <w:bCs/>
        </w:rPr>
      </w:pPr>
      <w:r>
        <w:rPr>
          <w:b/>
          <w:bCs/>
        </w:rPr>
        <w:t>A.</w:t>
      </w:r>
      <w:r>
        <w:rPr>
          <w:b/>
          <w:bCs/>
        </w:rPr>
        <w:tab/>
        <w:t xml:space="preserve">The PUCO </w:t>
      </w:r>
      <w:r w:rsidR="00300B31">
        <w:rPr>
          <w:b/>
          <w:bCs/>
        </w:rPr>
        <w:t>has authority to define “reasonably and comparatively priced voice service</w:t>
      </w:r>
      <w:r w:rsidR="00B07EE2">
        <w:rPr>
          <w:b/>
          <w:bCs/>
        </w:rPr>
        <w:t>.</w:t>
      </w:r>
      <w:r w:rsidR="00300B31">
        <w:rPr>
          <w:b/>
          <w:bCs/>
        </w:rPr>
        <w:t>”</w:t>
      </w:r>
      <w:r w:rsidR="007F661B">
        <w:rPr>
          <w:b/>
          <w:bCs/>
        </w:rPr>
        <w:t xml:space="preserve"> </w:t>
      </w:r>
      <w:r w:rsidR="00300B31">
        <w:rPr>
          <w:b/>
          <w:bCs/>
        </w:rPr>
        <w:t xml:space="preserve">Therefore, the PUCO </w:t>
      </w:r>
      <w:r>
        <w:rPr>
          <w:b/>
          <w:bCs/>
        </w:rPr>
        <w:t xml:space="preserve">should deny </w:t>
      </w:r>
      <w:r w:rsidR="004834A3">
        <w:rPr>
          <w:b/>
          <w:bCs/>
        </w:rPr>
        <w:t>the OTA’s</w:t>
      </w:r>
      <w:r>
        <w:rPr>
          <w:b/>
          <w:bCs/>
        </w:rPr>
        <w:t xml:space="preserve"> </w:t>
      </w:r>
      <w:r w:rsidR="00BF4793">
        <w:rPr>
          <w:b/>
          <w:bCs/>
        </w:rPr>
        <w:t xml:space="preserve">and OCTA’s </w:t>
      </w:r>
      <w:r>
        <w:rPr>
          <w:b/>
          <w:bCs/>
        </w:rPr>
        <w:t>A</w:t>
      </w:r>
      <w:r w:rsidR="00300B31">
        <w:rPr>
          <w:b/>
          <w:bCs/>
        </w:rPr>
        <w:t xml:space="preserve">pplications for </w:t>
      </w:r>
      <w:r>
        <w:rPr>
          <w:b/>
          <w:bCs/>
        </w:rPr>
        <w:t>R</w:t>
      </w:r>
      <w:r w:rsidR="00300B31">
        <w:rPr>
          <w:b/>
          <w:bCs/>
        </w:rPr>
        <w:t>ehearing</w:t>
      </w:r>
      <w:r>
        <w:rPr>
          <w:b/>
          <w:bCs/>
        </w:rPr>
        <w:t xml:space="preserve"> </w:t>
      </w:r>
      <w:r w:rsidR="00300B31">
        <w:rPr>
          <w:b/>
          <w:bCs/>
        </w:rPr>
        <w:t xml:space="preserve">that incorrectly rely on </w:t>
      </w:r>
      <w:r w:rsidR="005544A6">
        <w:rPr>
          <w:b/>
          <w:bCs/>
        </w:rPr>
        <w:t>O.A.C. 4901:1-6-21(A)</w:t>
      </w:r>
      <w:r w:rsidR="00300B31">
        <w:rPr>
          <w:b/>
          <w:bCs/>
        </w:rPr>
        <w:t xml:space="preserve"> </w:t>
      </w:r>
      <w:r w:rsidR="00527F64">
        <w:rPr>
          <w:b/>
          <w:bCs/>
        </w:rPr>
        <w:t>to support a theory that the PUCO lacks such authority.</w:t>
      </w:r>
      <w:r w:rsidR="007F661B">
        <w:rPr>
          <w:b/>
          <w:bCs/>
        </w:rPr>
        <w:t xml:space="preserve"> </w:t>
      </w:r>
    </w:p>
    <w:p w:rsidR="009B6147" w:rsidP="009B6147" w14:paraId="704F5441" w14:textId="6F60DF83">
      <w:pPr>
        <w:spacing w:line="480" w:lineRule="auto"/>
        <w:ind w:firstLine="720"/>
        <w:rPr>
          <w:bCs/>
        </w:rPr>
      </w:pPr>
      <w:r>
        <w:rPr>
          <w:bCs/>
        </w:rPr>
        <w:t xml:space="preserve">The OTA requests that the PUCO grant rehearing and conform rule O.A.C. 4901:1-6-21 to OTA’s </w:t>
      </w:r>
      <w:r w:rsidR="006254C3">
        <w:rPr>
          <w:bCs/>
        </w:rPr>
        <w:t>mis</w:t>
      </w:r>
      <w:r>
        <w:rPr>
          <w:bCs/>
        </w:rPr>
        <w:t>interpretation of Ohio law</w:t>
      </w:r>
      <w:r w:rsidR="006254C3">
        <w:rPr>
          <w:bCs/>
        </w:rPr>
        <w:t>.</w:t>
      </w:r>
      <w:r>
        <w:rPr>
          <w:bCs/>
        </w:rPr>
        <w:t xml:space="preserve"> </w:t>
      </w:r>
      <w:r w:rsidR="00D22883">
        <w:rPr>
          <w:bCs/>
        </w:rPr>
        <w:t xml:space="preserve">The </w:t>
      </w:r>
      <w:r w:rsidR="006254C3">
        <w:rPr>
          <w:bCs/>
        </w:rPr>
        <w:t>OTA would</w:t>
      </w:r>
      <w:r>
        <w:rPr>
          <w:bCs/>
        </w:rPr>
        <w:t xml:space="preserve"> delet</w:t>
      </w:r>
      <w:r w:rsidR="006254C3">
        <w:rPr>
          <w:bCs/>
        </w:rPr>
        <w:t>e</w:t>
      </w:r>
      <w:r>
        <w:rPr>
          <w:bCs/>
        </w:rPr>
        <w:t xml:space="preserve"> the last sentence of division (A) and the entirety of divisions (F) and (G).</w:t>
      </w:r>
      <w:r>
        <w:rPr>
          <w:rStyle w:val="FootnoteReference"/>
          <w:bCs/>
        </w:rPr>
        <w:footnoteReference w:id="4"/>
      </w:r>
      <w:r>
        <w:rPr>
          <w:bCs/>
        </w:rPr>
        <w:t xml:space="preserve"> </w:t>
      </w:r>
      <w:r w:rsidR="00D22883">
        <w:rPr>
          <w:bCs/>
        </w:rPr>
        <w:t xml:space="preserve">The </w:t>
      </w:r>
      <w:r>
        <w:rPr>
          <w:bCs/>
        </w:rPr>
        <w:t xml:space="preserve">OTA presents two arguments against the PUCO’s Third Supplemental Finding and Order in this case. </w:t>
      </w:r>
    </w:p>
    <w:p w:rsidR="009B6147" w:rsidP="009B6147" w14:paraId="2E6045B7" w14:textId="1A99629E">
      <w:pPr>
        <w:spacing w:line="480" w:lineRule="auto"/>
        <w:ind w:firstLine="720"/>
        <w:rPr>
          <w:bCs/>
        </w:rPr>
      </w:pPr>
      <w:r>
        <w:rPr>
          <w:bCs/>
        </w:rPr>
        <w:t xml:space="preserve">First, </w:t>
      </w:r>
      <w:r w:rsidR="00D22883">
        <w:rPr>
          <w:bCs/>
        </w:rPr>
        <w:t xml:space="preserve">the </w:t>
      </w:r>
      <w:r>
        <w:rPr>
          <w:bCs/>
        </w:rPr>
        <w:t>OTA argues that the PUCO has no authority to define “reasonably and comparatively priced voice service” in a way that varies from R.C. 4927.10 (B)(3).</w:t>
      </w:r>
      <w:r>
        <w:rPr>
          <w:rStyle w:val="FootnoteReference"/>
          <w:bCs/>
        </w:rPr>
        <w:footnoteReference w:id="5"/>
      </w:r>
      <w:r>
        <w:rPr>
          <w:bCs/>
        </w:rPr>
        <w:t xml:space="preserve"> </w:t>
      </w:r>
    </w:p>
    <w:p w:rsidR="006254C3" w:rsidP="009B6147" w14:paraId="2C060DC5" w14:textId="42EE3D1D">
      <w:pPr>
        <w:spacing w:line="480" w:lineRule="auto"/>
        <w:ind w:firstLine="720"/>
        <w:rPr>
          <w:bCs/>
        </w:rPr>
      </w:pPr>
      <w:r>
        <w:rPr>
          <w:bCs/>
        </w:rPr>
        <w:t xml:space="preserve">Second, </w:t>
      </w:r>
      <w:r w:rsidR="00D22883">
        <w:rPr>
          <w:bCs/>
        </w:rPr>
        <w:t xml:space="preserve">the </w:t>
      </w:r>
      <w:r>
        <w:rPr>
          <w:bCs/>
        </w:rPr>
        <w:t xml:space="preserve">OTA argues that </w:t>
      </w:r>
      <w:r w:rsidRPr="00E4757B">
        <w:rPr>
          <w:bCs/>
        </w:rPr>
        <w:t>the</w:t>
      </w:r>
      <w:r>
        <w:rPr>
          <w:bCs/>
        </w:rPr>
        <w:t xml:space="preserve"> PUCO</w:t>
      </w:r>
      <w:r w:rsidRPr="00E4757B">
        <w:rPr>
          <w:bCs/>
        </w:rPr>
        <w:t xml:space="preserve"> </w:t>
      </w:r>
      <w:r>
        <w:rPr>
          <w:bCs/>
        </w:rPr>
        <w:t>“…</w:t>
      </w:r>
      <w:r w:rsidRPr="00E4757B">
        <w:rPr>
          <w:bCs/>
        </w:rPr>
        <w:t>extended notification and continuation of</w:t>
      </w:r>
      <w:r>
        <w:rPr>
          <w:bCs/>
        </w:rPr>
        <w:t xml:space="preserve"> </w:t>
      </w:r>
      <w:r w:rsidRPr="00E4757B">
        <w:rPr>
          <w:bCs/>
        </w:rPr>
        <w:t>service</w:t>
      </w:r>
      <w:r>
        <w:rPr>
          <w:bCs/>
        </w:rPr>
        <w:t xml:space="preserve"> </w:t>
      </w:r>
      <w:r w:rsidRPr="00E4757B">
        <w:rPr>
          <w:bCs/>
        </w:rPr>
        <w:t>obligations</w:t>
      </w:r>
      <w:r>
        <w:rPr>
          <w:bCs/>
        </w:rPr>
        <w:t xml:space="preserve"> </w:t>
      </w:r>
      <w:r w:rsidRPr="00E4757B">
        <w:rPr>
          <w:bCs/>
        </w:rPr>
        <w:t>to telephone</w:t>
      </w:r>
      <w:r>
        <w:rPr>
          <w:bCs/>
        </w:rPr>
        <w:t xml:space="preserve"> </w:t>
      </w:r>
      <w:r w:rsidRPr="00E4757B">
        <w:rPr>
          <w:bCs/>
        </w:rPr>
        <w:t>companies</w:t>
      </w:r>
      <w:r>
        <w:rPr>
          <w:bCs/>
        </w:rPr>
        <w:t xml:space="preserve"> </w:t>
      </w:r>
      <w:r w:rsidRPr="00E4757B">
        <w:rPr>
          <w:bCs/>
        </w:rPr>
        <w:t>other</w:t>
      </w:r>
      <w:r>
        <w:rPr>
          <w:bCs/>
        </w:rPr>
        <w:t xml:space="preserve"> </w:t>
      </w:r>
      <w:r w:rsidRPr="00E4757B">
        <w:rPr>
          <w:bCs/>
        </w:rPr>
        <w:t>than</w:t>
      </w:r>
      <w:r>
        <w:rPr>
          <w:bCs/>
        </w:rPr>
        <w:t xml:space="preserve"> </w:t>
      </w:r>
      <w:r w:rsidRPr="00E4757B">
        <w:rPr>
          <w:bCs/>
        </w:rPr>
        <w:t>incumbent local</w:t>
      </w:r>
      <w:r>
        <w:rPr>
          <w:bCs/>
        </w:rPr>
        <w:t xml:space="preserve"> </w:t>
      </w:r>
      <w:r w:rsidRPr="00E4757B">
        <w:rPr>
          <w:bCs/>
        </w:rPr>
        <w:t>exchange</w:t>
      </w:r>
      <w:r>
        <w:rPr>
          <w:bCs/>
        </w:rPr>
        <w:t xml:space="preserve"> </w:t>
      </w:r>
      <w:r w:rsidRPr="00E4757B">
        <w:rPr>
          <w:bCs/>
        </w:rPr>
        <w:t>carriers</w:t>
      </w:r>
      <w:r>
        <w:rPr>
          <w:bCs/>
        </w:rPr>
        <w:t xml:space="preserve"> </w:t>
      </w:r>
      <w:r w:rsidRPr="00E4757B">
        <w:rPr>
          <w:bCs/>
        </w:rPr>
        <w:t>including those</w:t>
      </w:r>
      <w:r>
        <w:rPr>
          <w:bCs/>
        </w:rPr>
        <w:t xml:space="preserve"> </w:t>
      </w:r>
      <w:r w:rsidRPr="00E4757B">
        <w:rPr>
          <w:bCs/>
        </w:rPr>
        <w:t>providing voice</w:t>
      </w:r>
      <w:r>
        <w:rPr>
          <w:bCs/>
        </w:rPr>
        <w:t xml:space="preserve"> </w:t>
      </w:r>
      <w:r w:rsidRPr="00E4757B">
        <w:rPr>
          <w:bCs/>
        </w:rPr>
        <w:t>grade</w:t>
      </w:r>
      <w:r>
        <w:rPr>
          <w:bCs/>
        </w:rPr>
        <w:t xml:space="preserve"> </w:t>
      </w:r>
      <w:r w:rsidRPr="00E4757B">
        <w:rPr>
          <w:bCs/>
        </w:rPr>
        <w:t>services</w:t>
      </w:r>
      <w:r>
        <w:rPr>
          <w:bCs/>
        </w:rPr>
        <w:t xml:space="preserve"> </w:t>
      </w:r>
      <w:r w:rsidRPr="00E4757B">
        <w:rPr>
          <w:bCs/>
        </w:rPr>
        <w:t>with voice</w:t>
      </w:r>
      <w:r>
        <w:rPr>
          <w:bCs/>
        </w:rPr>
        <w:t xml:space="preserve"> </w:t>
      </w:r>
      <w:r w:rsidRPr="00E4757B">
        <w:rPr>
          <w:bCs/>
        </w:rPr>
        <w:t>over internet</w:t>
      </w:r>
      <w:r>
        <w:rPr>
          <w:bCs/>
        </w:rPr>
        <w:t xml:space="preserve"> </w:t>
      </w:r>
      <w:r w:rsidRPr="00E4757B">
        <w:rPr>
          <w:bCs/>
        </w:rPr>
        <w:t>protocol</w:t>
      </w:r>
      <w:r>
        <w:rPr>
          <w:bCs/>
        </w:rPr>
        <w:t xml:space="preserve"> </w:t>
      </w:r>
      <w:r w:rsidRPr="00E4757B">
        <w:rPr>
          <w:bCs/>
        </w:rPr>
        <w:t>service</w:t>
      </w:r>
      <w:r>
        <w:rPr>
          <w:bCs/>
        </w:rPr>
        <w:t xml:space="preserve"> </w:t>
      </w:r>
      <w:r w:rsidRPr="00E4757B">
        <w:rPr>
          <w:bCs/>
        </w:rPr>
        <w:t>that</w:t>
      </w:r>
      <w:r>
        <w:rPr>
          <w:bCs/>
        </w:rPr>
        <w:t xml:space="preserve"> </w:t>
      </w:r>
      <w:r w:rsidRPr="00E4757B">
        <w:rPr>
          <w:bCs/>
        </w:rPr>
        <w:t>are</w:t>
      </w:r>
      <w:r>
        <w:rPr>
          <w:bCs/>
        </w:rPr>
        <w:t xml:space="preserve"> </w:t>
      </w:r>
      <w:r w:rsidRPr="00E4757B">
        <w:rPr>
          <w:bCs/>
        </w:rPr>
        <w:t>seeking to withdraw</w:t>
      </w:r>
      <w:r>
        <w:rPr>
          <w:bCs/>
        </w:rPr>
        <w:t xml:space="preserve"> </w:t>
      </w:r>
      <w:r w:rsidRPr="00E4757B">
        <w:rPr>
          <w:bCs/>
        </w:rPr>
        <w:t>or</w:t>
      </w:r>
      <w:r>
        <w:rPr>
          <w:bCs/>
        </w:rPr>
        <w:t xml:space="preserve"> </w:t>
      </w:r>
      <w:r w:rsidRPr="00E4757B">
        <w:rPr>
          <w:bCs/>
        </w:rPr>
        <w:t>abandon voice</w:t>
      </w:r>
      <w:r>
        <w:rPr>
          <w:bCs/>
        </w:rPr>
        <w:t xml:space="preserve"> </w:t>
      </w:r>
      <w:r w:rsidRPr="00E4757B">
        <w:rPr>
          <w:bCs/>
        </w:rPr>
        <w:t>service</w:t>
      </w:r>
      <w:r>
        <w:rPr>
          <w:bCs/>
        </w:rPr>
        <w:t xml:space="preserve"> </w:t>
      </w:r>
      <w:r w:rsidRPr="00E4757B">
        <w:rPr>
          <w:bCs/>
        </w:rPr>
        <w:t>in violation of</w:t>
      </w:r>
      <w:r>
        <w:rPr>
          <w:bCs/>
        </w:rPr>
        <w:t xml:space="preserve"> </w:t>
      </w:r>
      <w:r w:rsidRPr="00E4757B">
        <w:rPr>
          <w:bCs/>
        </w:rPr>
        <w:t>R.C. 4927.07</w:t>
      </w:r>
      <w:r>
        <w:rPr>
          <w:bCs/>
        </w:rPr>
        <w:t xml:space="preserve"> </w:t>
      </w:r>
      <w:r w:rsidRPr="00E4757B">
        <w:rPr>
          <w:bCs/>
        </w:rPr>
        <w:t>and 4927.03.</w:t>
      </w:r>
      <w:r>
        <w:rPr>
          <w:bCs/>
        </w:rPr>
        <w:t>”</w:t>
      </w:r>
      <w:r>
        <w:rPr>
          <w:rStyle w:val="FootnoteReference"/>
          <w:bCs/>
        </w:rPr>
        <w:footnoteReference w:id="6"/>
      </w:r>
      <w:r w:rsidRPr="00E4757B">
        <w:rPr>
          <w:bCs/>
        </w:rPr>
        <w:t xml:space="preserve"> </w:t>
      </w:r>
    </w:p>
    <w:p w:rsidR="009B6147" w:rsidP="009B6147" w14:paraId="3E5F39F3" w14:textId="778B09DB">
      <w:pPr>
        <w:spacing w:line="480" w:lineRule="auto"/>
        <w:ind w:firstLine="720"/>
        <w:rPr>
          <w:bCs/>
        </w:rPr>
      </w:pPr>
      <w:r>
        <w:rPr>
          <w:bCs/>
        </w:rPr>
        <w:t>The OTA is wrong on both counts. The PUCO should again reject the OTA’s arguments and confirm its Third Supplemental Finding and Order.</w:t>
      </w:r>
      <w:r>
        <w:rPr>
          <w:rStyle w:val="FootnoteReference"/>
          <w:bCs/>
        </w:rPr>
        <w:footnoteReference w:id="7"/>
      </w:r>
      <w:r>
        <w:rPr>
          <w:bCs/>
        </w:rPr>
        <w:t xml:space="preserve"> </w:t>
      </w:r>
    </w:p>
    <w:p w:rsidR="00505872" w:rsidP="00963584" w14:paraId="7921B6C6" w14:textId="2DBA27DB">
      <w:pPr>
        <w:spacing w:line="480" w:lineRule="auto"/>
        <w:ind w:firstLine="720"/>
      </w:pPr>
      <w:r>
        <w:t>The Consumer Groups</w:t>
      </w:r>
      <w:r>
        <w:rPr>
          <w:rStyle w:val="FootnoteReference"/>
        </w:rPr>
        <w:footnoteReference w:id="8"/>
      </w:r>
      <w:r w:rsidR="00536975">
        <w:t xml:space="preserve"> </w:t>
      </w:r>
      <w:r w:rsidR="009B6147">
        <w:t>argue</w:t>
      </w:r>
      <w:r w:rsidR="00A9198F">
        <w:t>d</w:t>
      </w:r>
      <w:r w:rsidR="009B6147">
        <w:t xml:space="preserve"> </w:t>
      </w:r>
      <w:r w:rsidR="00536975">
        <w:t>that the PUCO</w:t>
      </w:r>
      <w:r w:rsidR="008F5F82">
        <w:t xml:space="preserve"> Staff’s definition of reasonable and </w:t>
      </w:r>
      <w:r w:rsidR="00BC5636">
        <w:t>comparatively</w:t>
      </w:r>
      <w:r w:rsidR="008F5F82">
        <w:t xml:space="preserve"> price</w:t>
      </w:r>
      <w:r w:rsidR="00300B31">
        <w:t>d</w:t>
      </w:r>
      <w:r w:rsidR="008F5F82">
        <w:t xml:space="preserve"> service is </w:t>
      </w:r>
      <w:r w:rsidR="00686AE0">
        <w:t>unreasonably vague</w:t>
      </w:r>
      <w:r w:rsidR="00A250EB">
        <w:t>.</w:t>
      </w:r>
      <w:r>
        <w:rPr>
          <w:rStyle w:val="FootnoteReference"/>
        </w:rPr>
        <w:footnoteReference w:id="9"/>
      </w:r>
      <w:r w:rsidR="00894345">
        <w:t xml:space="preserve"> </w:t>
      </w:r>
      <w:r w:rsidR="005A4B77">
        <w:t xml:space="preserve">However, </w:t>
      </w:r>
      <w:r w:rsidR="00B71EA9">
        <w:t xml:space="preserve">the Consumer Groups </w:t>
      </w:r>
      <w:r w:rsidR="00686AE0">
        <w:t xml:space="preserve">do not agree with the OTA </w:t>
      </w:r>
      <w:r w:rsidR="00F0527F">
        <w:t xml:space="preserve">and OCTA </w:t>
      </w:r>
      <w:r w:rsidR="00686AE0">
        <w:t xml:space="preserve">that the PUCO is without authority </w:t>
      </w:r>
      <w:r w:rsidR="00BC5636">
        <w:t>to set the definition of what constitutes “reasonably and comparatively priced service.”</w:t>
      </w:r>
      <w:r>
        <w:rPr>
          <w:rStyle w:val="FootnoteReference"/>
        </w:rPr>
        <w:footnoteReference w:id="10"/>
      </w:r>
      <w:r w:rsidR="00BC5636">
        <w:t xml:space="preserve"> </w:t>
      </w:r>
    </w:p>
    <w:p w:rsidR="00E87B12" w:rsidP="00505872" w14:paraId="2482C7EA" w14:textId="459F5516">
      <w:pPr>
        <w:spacing w:line="480" w:lineRule="auto"/>
        <w:ind w:firstLine="720"/>
      </w:pPr>
      <w:r>
        <w:t>As t</w:t>
      </w:r>
      <w:r w:rsidR="00B02F35">
        <w:t xml:space="preserve">he PUCO noted in its </w:t>
      </w:r>
      <w:r w:rsidR="00B71EA9">
        <w:rPr>
          <w:bCs/>
        </w:rPr>
        <w:t>Third Supplemental Finding and Order</w:t>
      </w:r>
      <w:r>
        <w:t xml:space="preserve">, R.C. 4927.10 </w:t>
      </w:r>
      <w:r w:rsidRPr="00B673CB">
        <w:t xml:space="preserve">authorizes the </w:t>
      </w:r>
      <w:r>
        <w:t>PUCO</w:t>
      </w:r>
      <w:r w:rsidRPr="00B673CB">
        <w:t xml:space="preserve"> to define the term </w:t>
      </w:r>
      <w:r>
        <w:t>“</w:t>
      </w:r>
      <w:r w:rsidRPr="00B673CB">
        <w:t>reasonable and comparatively priced voice service</w:t>
      </w:r>
      <w:r w:rsidR="003D7FA3">
        <w:t>.”</w:t>
      </w:r>
      <w:r>
        <w:rPr>
          <w:rStyle w:val="FootnoteReference"/>
        </w:rPr>
        <w:footnoteReference w:id="11"/>
      </w:r>
      <w:r w:rsidRPr="00B673CB">
        <w:t xml:space="preserve"> </w:t>
      </w:r>
      <w:r w:rsidR="003D7FA3">
        <w:t xml:space="preserve">Additionally, </w:t>
      </w:r>
      <w:r w:rsidR="00736DD9">
        <w:t>R.C. 4927.10</w:t>
      </w:r>
      <w:r w:rsidRPr="00B673CB">
        <w:t xml:space="preserve"> </w:t>
      </w:r>
      <w:r w:rsidR="001F476D">
        <w:t xml:space="preserve">states that the PUCO </w:t>
      </w:r>
      <w:r w:rsidRPr="001F476D" w:rsidR="001F476D">
        <w:rPr>
          <w:i/>
          <w:iCs/>
        </w:rPr>
        <w:t>shall</w:t>
      </w:r>
      <w:r w:rsidR="001F476D">
        <w:t xml:space="preserve"> define the term</w:t>
      </w:r>
      <w:r w:rsidR="007A540F">
        <w:t xml:space="preserve"> to </w:t>
      </w:r>
      <w:r w:rsidR="007A540F">
        <w:rPr>
          <w:i/>
          <w:iCs/>
        </w:rPr>
        <w:t>include</w:t>
      </w:r>
      <w:r w:rsidRPr="00B673CB">
        <w:t xml:space="preserve"> </w:t>
      </w:r>
      <w:r w:rsidR="003D7FA3">
        <w:t>“</w:t>
      </w:r>
      <w:r w:rsidRPr="00B673CB">
        <w:t>service that provides voice grade access to the</w:t>
      </w:r>
      <w:r w:rsidR="007A67B8">
        <w:t xml:space="preserve"> </w:t>
      </w:r>
      <w:r w:rsidRPr="00B673CB">
        <w:t>public</w:t>
      </w:r>
      <w:r w:rsidR="007A67B8">
        <w:t xml:space="preserve"> </w:t>
      </w:r>
      <w:r w:rsidRPr="00B673CB">
        <w:t>switched network or its functional equivalent,</w:t>
      </w:r>
      <w:r w:rsidR="007A67B8">
        <w:t xml:space="preserve"> </w:t>
      </w:r>
      <w:r w:rsidRPr="00B673CB">
        <w:t>access to</w:t>
      </w:r>
      <w:r w:rsidR="007A67B8">
        <w:t xml:space="preserve"> </w:t>
      </w:r>
      <w:r w:rsidRPr="00B673CB">
        <w:t>9-1-1, and that it is</w:t>
      </w:r>
      <w:r w:rsidR="007A67B8">
        <w:t xml:space="preserve"> </w:t>
      </w:r>
      <w:r w:rsidRPr="00B673CB">
        <w:t>competitively</w:t>
      </w:r>
      <w:r w:rsidR="007A67B8">
        <w:t xml:space="preserve"> </w:t>
      </w:r>
      <w:r w:rsidRPr="00B673CB">
        <w:t>priced,</w:t>
      </w:r>
      <w:r w:rsidR="007A67B8">
        <w:t xml:space="preserve"> </w:t>
      </w:r>
      <w:r w:rsidRPr="00B673CB">
        <w:t>when</w:t>
      </w:r>
      <w:r w:rsidR="007A67B8">
        <w:t xml:space="preserve"> </w:t>
      </w:r>
      <w:r w:rsidRPr="00B673CB">
        <w:t>considering all the</w:t>
      </w:r>
      <w:r w:rsidR="007A67B8">
        <w:t xml:space="preserve"> </w:t>
      </w:r>
      <w:r w:rsidRPr="00B673CB">
        <w:t>alternatives</w:t>
      </w:r>
      <w:r w:rsidR="007A67B8">
        <w:t xml:space="preserve"> </w:t>
      </w:r>
      <w:r w:rsidRPr="00B673CB">
        <w:t>in</w:t>
      </w:r>
      <w:r w:rsidR="007A67B8">
        <w:t xml:space="preserve"> </w:t>
      </w:r>
      <w:r w:rsidRPr="00B673CB">
        <w:t>the</w:t>
      </w:r>
      <w:r w:rsidR="007A67B8">
        <w:t xml:space="preserve"> </w:t>
      </w:r>
      <w:r w:rsidRPr="00B673CB">
        <w:t>marketplace</w:t>
      </w:r>
      <w:r w:rsidR="007A67B8">
        <w:t xml:space="preserve"> </w:t>
      </w:r>
      <w:r w:rsidRPr="00B673CB">
        <w:t>and their</w:t>
      </w:r>
      <w:r w:rsidR="007A67B8">
        <w:t xml:space="preserve"> </w:t>
      </w:r>
      <w:r w:rsidRPr="00B673CB">
        <w:t>functionalit</w:t>
      </w:r>
      <w:r w:rsidR="009301EA">
        <w:t>ies</w:t>
      </w:r>
      <w:r w:rsidRPr="00B673CB">
        <w:t>.</w:t>
      </w:r>
      <w:r w:rsidR="003D7FA3">
        <w:t xml:space="preserve">” </w:t>
      </w:r>
    </w:p>
    <w:p w:rsidR="00B02F35" w:rsidP="00505872" w14:paraId="7EE0E457" w14:textId="4E6E474A">
      <w:pPr>
        <w:spacing w:line="480" w:lineRule="auto"/>
        <w:ind w:firstLine="720"/>
      </w:pPr>
      <w:r>
        <w:t>T</w:t>
      </w:r>
      <w:r w:rsidR="003D7FA3">
        <w:t>he PUCO</w:t>
      </w:r>
      <w:r>
        <w:t xml:space="preserve"> correctly found</w:t>
      </w:r>
      <w:r w:rsidR="00EA0C39">
        <w:t>, contrary to OTA and OCTA arguments,</w:t>
      </w:r>
      <w:r w:rsidR="003D7FA3">
        <w:t xml:space="preserve"> that t</w:t>
      </w:r>
      <w:r w:rsidRPr="00B673CB" w:rsidR="00B673CB">
        <w:t xml:space="preserve">he statute </w:t>
      </w:r>
      <w:r w:rsidR="003D7FA3">
        <w:t>does not</w:t>
      </w:r>
      <w:r w:rsidR="007A67B8">
        <w:t xml:space="preserve"> </w:t>
      </w:r>
      <w:r w:rsidRPr="00B673CB" w:rsidR="00B673CB">
        <w:t>prohibit</w:t>
      </w:r>
      <w:r>
        <w:t xml:space="preserve"> it</w:t>
      </w:r>
      <w:r w:rsidRPr="00B673CB" w:rsidR="00B673CB">
        <w:t xml:space="preserve"> from establishing specified benchmarks for the purpose of assessing if a voice service</w:t>
      </w:r>
      <w:r w:rsidR="007A67B8">
        <w:t xml:space="preserve"> </w:t>
      </w:r>
      <w:r w:rsidRPr="00B673CB" w:rsidR="00B673CB">
        <w:t xml:space="preserve">is presumptively deemed competitively priced. </w:t>
      </w:r>
      <w:r w:rsidR="007A540F">
        <w:t xml:space="preserve">Instead, the </w:t>
      </w:r>
      <w:r w:rsidR="00B358A4">
        <w:t>l</w:t>
      </w:r>
      <w:r w:rsidR="007A540F">
        <w:t xml:space="preserve">aw </w:t>
      </w:r>
      <w:r w:rsidR="009B6147">
        <w:t xml:space="preserve">states </w:t>
      </w:r>
      <w:r w:rsidR="007A540F">
        <w:t xml:space="preserve">that the PUCO </w:t>
      </w:r>
      <w:r w:rsidR="00D86C7F">
        <w:t>must</w:t>
      </w:r>
      <w:r w:rsidR="007A540F">
        <w:t xml:space="preserve"> inclu</w:t>
      </w:r>
      <w:r w:rsidR="00B162FB">
        <w:t xml:space="preserve">de </w:t>
      </w:r>
      <w:r w:rsidRPr="00D86C7F" w:rsidR="00B162FB">
        <w:rPr>
          <w:i/>
          <w:iCs/>
        </w:rPr>
        <w:t>at a minimum</w:t>
      </w:r>
      <w:r w:rsidR="00B162FB">
        <w:t xml:space="preserve"> “</w:t>
      </w:r>
      <w:r w:rsidRPr="00B673CB" w:rsidR="00B162FB">
        <w:t>service that provides voice grade access to the public switched network or its functional equivalent,</w:t>
      </w:r>
      <w:r w:rsidR="007A67B8">
        <w:t xml:space="preserve"> </w:t>
      </w:r>
      <w:r w:rsidRPr="00B673CB" w:rsidR="00B162FB">
        <w:t>access to 9-1-1, and that it is competitively</w:t>
      </w:r>
      <w:r w:rsidR="007A67B8">
        <w:t xml:space="preserve"> </w:t>
      </w:r>
      <w:r w:rsidRPr="00B673CB" w:rsidR="00B162FB">
        <w:t>priced,</w:t>
      </w:r>
      <w:r w:rsidR="007A67B8">
        <w:t xml:space="preserve"> </w:t>
      </w:r>
      <w:r w:rsidRPr="00B673CB" w:rsidR="00B162FB">
        <w:t>when</w:t>
      </w:r>
      <w:r w:rsidR="007A67B8">
        <w:t xml:space="preserve"> </w:t>
      </w:r>
      <w:r w:rsidRPr="00B673CB" w:rsidR="00B162FB">
        <w:t>considering all the</w:t>
      </w:r>
      <w:r w:rsidR="007A67B8">
        <w:t xml:space="preserve"> </w:t>
      </w:r>
      <w:r w:rsidRPr="00B673CB" w:rsidR="00B162FB">
        <w:t>alternatives</w:t>
      </w:r>
      <w:r w:rsidR="007A67B8">
        <w:t xml:space="preserve"> </w:t>
      </w:r>
      <w:r w:rsidRPr="00B673CB" w:rsidR="00B162FB">
        <w:t>in</w:t>
      </w:r>
      <w:r w:rsidR="007A67B8">
        <w:t xml:space="preserve"> </w:t>
      </w:r>
      <w:r w:rsidRPr="00B673CB" w:rsidR="00B162FB">
        <w:t>the</w:t>
      </w:r>
      <w:r w:rsidR="007A67B8">
        <w:t xml:space="preserve"> </w:t>
      </w:r>
      <w:r w:rsidRPr="00B673CB" w:rsidR="00B162FB">
        <w:t>marketplace</w:t>
      </w:r>
      <w:r w:rsidR="007A67B8">
        <w:t xml:space="preserve"> </w:t>
      </w:r>
      <w:r w:rsidRPr="00B673CB" w:rsidR="00B162FB">
        <w:t>and their</w:t>
      </w:r>
      <w:r w:rsidR="007A67B8">
        <w:t xml:space="preserve"> </w:t>
      </w:r>
      <w:r w:rsidRPr="00B673CB" w:rsidR="00B162FB">
        <w:t>functionalit</w:t>
      </w:r>
      <w:r w:rsidR="00B162FB">
        <w:t xml:space="preserve">ies.” </w:t>
      </w:r>
      <w:r w:rsidR="00752516">
        <w:t>The PUCO is a creature of statute</w:t>
      </w:r>
      <w:r>
        <w:rPr>
          <w:rStyle w:val="FootnoteReference"/>
        </w:rPr>
        <w:footnoteReference w:id="12"/>
      </w:r>
      <w:r w:rsidR="00752516">
        <w:t xml:space="preserve"> and R.C. 4927.10 provides the PUCO’s authority to define “reasonable and comparatively priced voice services.”</w:t>
      </w:r>
    </w:p>
    <w:p w:rsidR="00505872" w:rsidP="00505872" w14:paraId="1D6DB83A" w14:textId="45A31D07">
      <w:pPr>
        <w:spacing w:line="480" w:lineRule="auto"/>
        <w:ind w:firstLine="720"/>
      </w:pPr>
      <w:r>
        <w:t>The</w:t>
      </w:r>
      <w:r w:rsidR="00760ADD">
        <w:t>refore, the</w:t>
      </w:r>
      <w:r>
        <w:t xml:space="preserve"> PUCO </w:t>
      </w:r>
      <w:r w:rsidR="001F0A89">
        <w:t>should deny the OTA’s</w:t>
      </w:r>
      <w:r w:rsidR="005A017A">
        <w:t xml:space="preserve"> and OCTA’s</w:t>
      </w:r>
      <w:r w:rsidR="001F0A89">
        <w:t xml:space="preserve"> application</w:t>
      </w:r>
      <w:r w:rsidR="005A017A">
        <w:t>s</w:t>
      </w:r>
      <w:r w:rsidR="001F0A89">
        <w:t xml:space="preserve"> for rehearing. The PUCO has the statutory </w:t>
      </w:r>
      <w:r w:rsidR="001843A0">
        <w:t>authority</w:t>
      </w:r>
      <w:r w:rsidR="001F0A89">
        <w:t xml:space="preserve"> to set the definition for “</w:t>
      </w:r>
      <w:r w:rsidR="001510DC">
        <w:t>r</w:t>
      </w:r>
      <w:r w:rsidR="001843A0">
        <w:t>easonabl</w:t>
      </w:r>
      <w:r w:rsidR="001510DC">
        <w:t>e</w:t>
      </w:r>
      <w:r w:rsidR="001F0A89">
        <w:t xml:space="preserve"> and competitively priced </w:t>
      </w:r>
      <w:r w:rsidR="000154FA">
        <w:t>voice service.”</w:t>
      </w:r>
    </w:p>
    <w:p w:rsidR="00505872" w:rsidRPr="00EB5A2C" w:rsidP="00505872" w14:paraId="1E64456E" w14:textId="3245F846">
      <w:pPr>
        <w:keepNext/>
        <w:keepLines/>
        <w:spacing w:after="240"/>
        <w:ind w:left="1440" w:hanging="720"/>
        <w:rPr>
          <w:b/>
          <w:bCs/>
        </w:rPr>
      </w:pPr>
      <w:r>
        <w:rPr>
          <w:b/>
          <w:bCs/>
        </w:rPr>
        <w:t>B.</w:t>
      </w:r>
      <w:r>
        <w:rPr>
          <w:b/>
          <w:bCs/>
        </w:rPr>
        <w:tab/>
      </w:r>
      <w:r w:rsidR="00A524DD">
        <w:rPr>
          <w:b/>
          <w:bCs/>
        </w:rPr>
        <w:t>The PUCO should deny OTA’s Second Assignment of Error and OCTA’s Assignments of Error 3-6 because t</w:t>
      </w:r>
      <w:r w:rsidR="002D6E11">
        <w:rPr>
          <w:b/>
          <w:bCs/>
        </w:rPr>
        <w:t xml:space="preserve">he PUCO’s </w:t>
      </w:r>
      <w:r w:rsidR="00EA0C39">
        <w:rPr>
          <w:b/>
          <w:bCs/>
        </w:rPr>
        <w:t>adoption of</w:t>
      </w:r>
      <w:r w:rsidR="00A0224F">
        <w:rPr>
          <w:b/>
          <w:bCs/>
        </w:rPr>
        <w:t xml:space="preserve"> O.A.C. 4901:1-6-21(F) and (G)</w:t>
      </w:r>
      <w:r w:rsidR="00EA0C39">
        <w:rPr>
          <w:b/>
          <w:bCs/>
        </w:rPr>
        <w:t xml:space="preserve"> was lawful,</w:t>
      </w:r>
      <w:r w:rsidR="00B07EE2">
        <w:rPr>
          <w:b/>
          <w:bCs/>
        </w:rPr>
        <w:t xml:space="preserve"> </w:t>
      </w:r>
      <w:r w:rsidR="00A524DD">
        <w:rPr>
          <w:b/>
          <w:bCs/>
        </w:rPr>
        <w:t>and furthers</w:t>
      </w:r>
      <w:r w:rsidR="00900BD5">
        <w:rPr>
          <w:b/>
          <w:bCs/>
        </w:rPr>
        <w:t xml:space="preserve"> consumer protection</w:t>
      </w:r>
      <w:r w:rsidR="00EA0C39">
        <w:rPr>
          <w:b/>
          <w:bCs/>
        </w:rPr>
        <w:t>,</w:t>
      </w:r>
      <w:r w:rsidR="00900BD5">
        <w:rPr>
          <w:b/>
          <w:bCs/>
        </w:rPr>
        <w:t xml:space="preserve"> </w:t>
      </w:r>
      <w:r w:rsidR="00A524DD">
        <w:rPr>
          <w:b/>
          <w:bCs/>
        </w:rPr>
        <w:t>by</w:t>
      </w:r>
      <w:r w:rsidR="00900BD5">
        <w:rPr>
          <w:b/>
          <w:bCs/>
        </w:rPr>
        <w:t xml:space="preserve"> extend</w:t>
      </w:r>
      <w:r w:rsidR="00A524DD">
        <w:rPr>
          <w:b/>
          <w:bCs/>
        </w:rPr>
        <w:t>ing</w:t>
      </w:r>
      <w:r w:rsidR="00900BD5">
        <w:rPr>
          <w:b/>
          <w:bCs/>
        </w:rPr>
        <w:t xml:space="preserve"> notification and continuation of service obligations to </w:t>
      </w:r>
      <w:r w:rsidR="00EA0C39">
        <w:rPr>
          <w:b/>
          <w:bCs/>
        </w:rPr>
        <w:t xml:space="preserve">non-incumbent </w:t>
      </w:r>
      <w:r w:rsidR="00900BD5">
        <w:rPr>
          <w:b/>
          <w:bCs/>
        </w:rPr>
        <w:t xml:space="preserve">telephone companies </w:t>
      </w:r>
      <w:r w:rsidR="002D6E11">
        <w:rPr>
          <w:b/>
          <w:bCs/>
        </w:rPr>
        <w:t>seeking to withdraw or abandon voice service</w:t>
      </w:r>
      <w:r w:rsidR="00B07EE2">
        <w:rPr>
          <w:b/>
          <w:bCs/>
        </w:rPr>
        <w:t>.</w:t>
      </w:r>
      <w:r w:rsidR="009C215E">
        <w:rPr>
          <w:b/>
          <w:bCs/>
        </w:rPr>
        <w:t xml:space="preserve"> </w:t>
      </w:r>
    </w:p>
    <w:p w:rsidR="00F17BB7" w:rsidP="006B039D" w14:paraId="5F3B9F6E" w14:textId="2148C889">
      <w:pPr>
        <w:spacing w:line="480" w:lineRule="auto"/>
        <w:ind w:firstLine="720"/>
      </w:pPr>
      <w:r>
        <w:t xml:space="preserve">The OTA’s Second Assignment of Error </w:t>
      </w:r>
      <w:r w:rsidR="0082592D">
        <w:t xml:space="preserve">and OCTA’s </w:t>
      </w:r>
      <w:r w:rsidR="001E6053">
        <w:t>A</w:t>
      </w:r>
      <w:r w:rsidR="0082592D">
        <w:t xml:space="preserve">ssignments of </w:t>
      </w:r>
      <w:r w:rsidR="001E6053">
        <w:t>E</w:t>
      </w:r>
      <w:r w:rsidR="0082592D">
        <w:t xml:space="preserve">rror 3-6 </w:t>
      </w:r>
      <w:r>
        <w:t xml:space="preserve">argue that the </w:t>
      </w:r>
      <w:r w:rsidR="00C736F2">
        <w:t xml:space="preserve">PUCO erred by </w:t>
      </w:r>
      <w:r w:rsidR="00614B75">
        <w:t>adopting O.A.C. 4901:1-6-21 (F) and (G).</w:t>
      </w:r>
      <w:r>
        <w:rPr>
          <w:rStyle w:val="FootnoteReference"/>
        </w:rPr>
        <w:footnoteReference w:id="13"/>
      </w:r>
      <w:r w:rsidR="00614B75">
        <w:t xml:space="preserve"> </w:t>
      </w:r>
      <w:r w:rsidR="00482741">
        <w:t>The OTA</w:t>
      </w:r>
      <w:r w:rsidR="00B860B3">
        <w:t xml:space="preserve"> and OCTA</w:t>
      </w:r>
      <w:r w:rsidR="00482741">
        <w:t xml:space="preserve"> contend that t</w:t>
      </w:r>
      <w:r w:rsidR="00EE35B5">
        <w:t xml:space="preserve">he PUCO’s adoption of this rule </w:t>
      </w:r>
      <w:r w:rsidR="00EA0C39">
        <w:t xml:space="preserve">unlawfully </w:t>
      </w:r>
      <w:r w:rsidRPr="009C6879" w:rsidR="009C6879">
        <w:t>extend</w:t>
      </w:r>
      <w:r w:rsidR="00EE35B5">
        <w:t>s</w:t>
      </w:r>
      <w:r w:rsidRPr="009C6879" w:rsidR="009C6879">
        <w:t xml:space="preserve"> </w:t>
      </w:r>
      <w:r w:rsidR="009C6879">
        <w:t>“</w:t>
      </w:r>
      <w:r w:rsidRPr="009C6879" w:rsidR="009C6879">
        <w:t>notification and continuation of</w:t>
      </w:r>
      <w:r w:rsidR="007A67B8">
        <w:t xml:space="preserve"> </w:t>
      </w:r>
      <w:r w:rsidRPr="009C6879" w:rsidR="009C6879">
        <w:t>service</w:t>
      </w:r>
      <w:r w:rsidR="007A67B8">
        <w:t xml:space="preserve"> </w:t>
      </w:r>
      <w:r w:rsidRPr="009C6879" w:rsidR="009C6879">
        <w:t>obligations</w:t>
      </w:r>
      <w:r w:rsidR="007A67B8">
        <w:t xml:space="preserve"> </w:t>
      </w:r>
      <w:r w:rsidRPr="009C6879" w:rsidR="009C6879">
        <w:t>to telephone</w:t>
      </w:r>
      <w:r w:rsidR="007A67B8">
        <w:t xml:space="preserve"> </w:t>
      </w:r>
      <w:r w:rsidRPr="009C6879" w:rsidR="009C6879">
        <w:t>companies</w:t>
      </w:r>
      <w:r w:rsidR="007A67B8">
        <w:t xml:space="preserve"> </w:t>
      </w:r>
      <w:r w:rsidRPr="009C6879" w:rsidR="009C6879">
        <w:t>other</w:t>
      </w:r>
      <w:r w:rsidR="007A67B8">
        <w:t xml:space="preserve"> </w:t>
      </w:r>
      <w:r w:rsidRPr="009C6879" w:rsidR="009C6879">
        <w:t>than</w:t>
      </w:r>
      <w:r w:rsidR="007A67B8">
        <w:t xml:space="preserve"> </w:t>
      </w:r>
      <w:r w:rsidRPr="009C6879" w:rsidR="009C6879">
        <w:t>incumbent local</w:t>
      </w:r>
      <w:r w:rsidR="007A67B8">
        <w:t xml:space="preserve"> </w:t>
      </w:r>
      <w:r w:rsidRPr="009C6879" w:rsidR="009C6879">
        <w:t>exchange</w:t>
      </w:r>
      <w:r w:rsidR="007A67B8">
        <w:t xml:space="preserve"> </w:t>
      </w:r>
      <w:r w:rsidRPr="009C6879" w:rsidR="009C6879">
        <w:t>carriers</w:t>
      </w:r>
      <w:r w:rsidR="007A67B8">
        <w:t xml:space="preserve"> </w:t>
      </w:r>
      <w:r w:rsidRPr="009C6879" w:rsidR="009C6879">
        <w:t>including those</w:t>
      </w:r>
      <w:r w:rsidR="007A67B8">
        <w:t xml:space="preserve"> </w:t>
      </w:r>
      <w:r w:rsidRPr="009C6879" w:rsidR="009C6879">
        <w:t>providing voice</w:t>
      </w:r>
      <w:r w:rsidR="007A67B8">
        <w:t xml:space="preserve"> </w:t>
      </w:r>
      <w:r w:rsidRPr="009C6879" w:rsidR="009C6879">
        <w:t>grade</w:t>
      </w:r>
      <w:r w:rsidR="007A67B8">
        <w:t xml:space="preserve"> </w:t>
      </w:r>
      <w:r w:rsidRPr="009C6879" w:rsidR="009C6879">
        <w:t>services</w:t>
      </w:r>
      <w:r w:rsidR="007A67B8">
        <w:t xml:space="preserve"> </w:t>
      </w:r>
      <w:r w:rsidRPr="009C6879" w:rsidR="009C6879">
        <w:t>with voice</w:t>
      </w:r>
      <w:r w:rsidR="007A67B8">
        <w:t xml:space="preserve"> </w:t>
      </w:r>
      <w:r w:rsidRPr="009C6879" w:rsidR="009C6879">
        <w:t>over internet</w:t>
      </w:r>
      <w:r w:rsidR="007A67B8">
        <w:t xml:space="preserve"> </w:t>
      </w:r>
      <w:r w:rsidRPr="009C6879" w:rsidR="009C6879">
        <w:t>protocol</w:t>
      </w:r>
      <w:r w:rsidR="007A67B8">
        <w:t xml:space="preserve"> </w:t>
      </w:r>
      <w:r w:rsidRPr="009C6879" w:rsidR="009C6879">
        <w:t>service</w:t>
      </w:r>
      <w:r w:rsidR="007A67B8">
        <w:t xml:space="preserve"> </w:t>
      </w:r>
      <w:r w:rsidRPr="009C6879" w:rsidR="009C6879">
        <w:t>that</w:t>
      </w:r>
      <w:r w:rsidR="007A67B8">
        <w:t xml:space="preserve"> </w:t>
      </w:r>
      <w:r w:rsidRPr="009C6879" w:rsidR="009C6879">
        <w:t>are</w:t>
      </w:r>
      <w:r w:rsidR="007A67B8">
        <w:t xml:space="preserve"> </w:t>
      </w:r>
      <w:r w:rsidRPr="009C6879" w:rsidR="009C6879">
        <w:t>seeking to withdraw</w:t>
      </w:r>
      <w:r w:rsidR="007A67B8">
        <w:t xml:space="preserve"> </w:t>
      </w:r>
      <w:r w:rsidRPr="009C6879" w:rsidR="009C6879">
        <w:t>or</w:t>
      </w:r>
      <w:r w:rsidR="007A67B8">
        <w:t xml:space="preserve"> </w:t>
      </w:r>
      <w:r w:rsidRPr="009C6879" w:rsidR="009C6879">
        <w:t>abandon voice</w:t>
      </w:r>
      <w:r w:rsidR="007A67B8">
        <w:t xml:space="preserve"> </w:t>
      </w:r>
      <w:r w:rsidRPr="009C6879" w:rsidR="009C6879">
        <w:t>service</w:t>
      </w:r>
      <w:r w:rsidR="007A67B8">
        <w:t xml:space="preserve"> </w:t>
      </w:r>
      <w:r w:rsidRPr="009C6879" w:rsidR="009C6879">
        <w:t>in violation of</w:t>
      </w:r>
      <w:r w:rsidR="007A67B8">
        <w:t xml:space="preserve"> </w:t>
      </w:r>
      <w:r w:rsidRPr="009C6879" w:rsidR="009C6879">
        <w:t>R.C. 4927.07 and 4927.03.</w:t>
      </w:r>
      <w:r w:rsidR="009C6879">
        <w:t>”</w:t>
      </w:r>
      <w:r>
        <w:rPr>
          <w:rStyle w:val="FootnoteReference"/>
        </w:rPr>
        <w:footnoteReference w:id="14"/>
      </w:r>
      <w:r w:rsidRPr="009C6879" w:rsidR="009C6879">
        <w:t xml:space="preserve"> </w:t>
      </w:r>
    </w:p>
    <w:p w:rsidR="00EA0C39" w:rsidP="00EA0C39" w14:paraId="042525F5" w14:textId="77777777">
      <w:pPr>
        <w:spacing w:line="480" w:lineRule="auto"/>
        <w:ind w:firstLine="720"/>
        <w:rPr>
          <w:bCs/>
        </w:rPr>
      </w:pPr>
      <w:r>
        <w:rPr>
          <w:bCs/>
        </w:rPr>
        <w:t>First, OCTA argues that R.C. 4927.03(A) does not authorize new PUCO regulations over voice services and providers, including VoIP.</w:t>
      </w:r>
      <w:r>
        <w:rPr>
          <w:rStyle w:val="FootnoteReference"/>
          <w:bCs/>
        </w:rPr>
        <w:footnoteReference w:id="15"/>
      </w:r>
      <w:r>
        <w:rPr>
          <w:bCs/>
        </w:rPr>
        <w:t xml:space="preserve"> Second, OCTA argues the PUCO’s reliance on R.C. 4927.03(A) is misplaced and lacks the requisite support of record-based facts.</w:t>
      </w:r>
      <w:r>
        <w:rPr>
          <w:rStyle w:val="FootnoteReference"/>
          <w:bCs/>
        </w:rPr>
        <w:footnoteReference w:id="16"/>
      </w:r>
      <w:r>
        <w:rPr>
          <w:bCs/>
        </w:rPr>
        <w:t xml:space="preserve"> Finally, OCTA argues that an extended reach contradicts the PUCO’s recent stated intent to exempt such providers and services from PUCO regulation.</w:t>
      </w:r>
      <w:r>
        <w:rPr>
          <w:rStyle w:val="FootnoteReference"/>
          <w:bCs/>
        </w:rPr>
        <w:footnoteReference w:id="17"/>
      </w:r>
      <w:r>
        <w:rPr>
          <w:bCs/>
        </w:rPr>
        <w:t xml:space="preserve"> </w:t>
      </w:r>
    </w:p>
    <w:p w:rsidR="00FA3125" w:rsidP="002A7B1E" w14:paraId="63B93CC2" w14:textId="2AAFADC5">
      <w:pPr>
        <w:spacing w:line="480" w:lineRule="auto"/>
        <w:ind w:firstLine="720"/>
      </w:pPr>
      <w:r>
        <w:rPr>
          <w:bCs/>
        </w:rPr>
        <w:t>OCTA is wrong on all counts.</w:t>
      </w:r>
      <w:r w:rsidR="00EA0C39">
        <w:rPr>
          <w:bCs/>
        </w:rPr>
        <w:t xml:space="preserve"> </w:t>
      </w:r>
      <w:r>
        <w:rPr>
          <w:bCs/>
        </w:rPr>
        <w:t>The PUCO should again reject the OCTA’s arguments and confirm its Third Supplemental Finding and Order.</w:t>
      </w:r>
      <w:r>
        <w:rPr>
          <w:rStyle w:val="FootnoteReference"/>
          <w:bCs/>
        </w:rPr>
        <w:footnoteReference w:id="18"/>
      </w:r>
      <w:r>
        <w:rPr>
          <w:bCs/>
        </w:rPr>
        <w:t xml:space="preserve"> </w:t>
      </w:r>
      <w:r w:rsidR="00124BF8">
        <w:t xml:space="preserve">The PUCO should deny rehearing </w:t>
      </w:r>
      <w:r w:rsidR="009D451D">
        <w:t xml:space="preserve">on these rule sections for </w:t>
      </w:r>
      <w:r w:rsidR="00047DE9">
        <w:t>consumer</w:t>
      </w:r>
      <w:r w:rsidR="009D451D">
        <w:t xml:space="preserve"> protection.</w:t>
      </w:r>
    </w:p>
    <w:p w:rsidR="00F419A4" w:rsidP="00CF4788" w14:paraId="640F33E0" w14:textId="553CB10D">
      <w:pPr>
        <w:spacing w:line="480" w:lineRule="auto"/>
        <w:ind w:firstLine="720"/>
      </w:pPr>
      <w:r>
        <w:t xml:space="preserve">The PUCO </w:t>
      </w:r>
      <w:r w:rsidR="002F1A79">
        <w:t>lawfully</w:t>
      </w:r>
      <w:r>
        <w:t xml:space="preserve"> determined</w:t>
      </w:r>
      <w:r w:rsidR="002F1A79">
        <w:t xml:space="preserve"> that</w:t>
      </w:r>
      <w:r>
        <w:t xml:space="preserve"> it </w:t>
      </w:r>
      <w:r w:rsidRPr="00047DE9">
        <w:t>should not</w:t>
      </w:r>
      <w:r>
        <w:t xml:space="preserve"> </w:t>
      </w:r>
      <w:r w:rsidRPr="00047DE9">
        <w:t>wait</w:t>
      </w:r>
      <w:r>
        <w:t xml:space="preserve"> </w:t>
      </w:r>
      <w:r w:rsidR="002F1A79">
        <w:t xml:space="preserve">to act </w:t>
      </w:r>
      <w:r w:rsidRPr="00047DE9">
        <w:t>until</w:t>
      </w:r>
      <w:r>
        <w:t xml:space="preserve"> </w:t>
      </w:r>
      <w:r w:rsidRPr="00047DE9">
        <w:t>after</w:t>
      </w:r>
      <w:r>
        <w:t xml:space="preserve"> </w:t>
      </w:r>
      <w:r w:rsidRPr="00047DE9">
        <w:t>an injury</w:t>
      </w:r>
      <w:r>
        <w:t xml:space="preserve"> </w:t>
      </w:r>
      <w:r w:rsidRPr="00047DE9">
        <w:t>or</w:t>
      </w:r>
      <w:r>
        <w:t xml:space="preserve"> </w:t>
      </w:r>
      <w:r w:rsidRPr="00047DE9">
        <w:t>fatality</w:t>
      </w:r>
      <w:r>
        <w:t xml:space="preserve"> to a consumer </w:t>
      </w:r>
      <w:r w:rsidRPr="00047DE9">
        <w:t>has</w:t>
      </w:r>
      <w:r>
        <w:t xml:space="preserve"> </w:t>
      </w:r>
      <w:r w:rsidRPr="00047DE9">
        <w:t>occurred</w:t>
      </w:r>
      <w:r>
        <w:t xml:space="preserve"> for lack of </w:t>
      </w:r>
      <w:r w:rsidR="00FB5BAF">
        <w:t xml:space="preserve">telephone </w:t>
      </w:r>
      <w:r>
        <w:t>service.</w:t>
      </w:r>
      <w:r w:rsidR="007F661B">
        <w:t xml:space="preserve"> </w:t>
      </w:r>
      <w:r w:rsidR="00FB5BAF">
        <w:t>I</w:t>
      </w:r>
      <w:r w:rsidRPr="00047DE9">
        <w:t>nstead,</w:t>
      </w:r>
      <w:r w:rsidR="00FB5BAF">
        <w:t xml:space="preserve"> this consumer concern</w:t>
      </w:r>
      <w:r w:rsidRPr="00047DE9">
        <w:t xml:space="preserve"> must</w:t>
      </w:r>
      <w:r>
        <w:t xml:space="preserve"> </w:t>
      </w:r>
      <w:r w:rsidRPr="00047DE9">
        <w:t>be</w:t>
      </w:r>
      <w:r>
        <w:t xml:space="preserve"> </w:t>
      </w:r>
      <w:r w:rsidRPr="00047DE9">
        <w:t>addressed</w:t>
      </w:r>
      <w:r>
        <w:t xml:space="preserve"> </w:t>
      </w:r>
      <w:r w:rsidRPr="00047DE9">
        <w:t>in</w:t>
      </w:r>
      <w:r>
        <w:t xml:space="preserve"> </w:t>
      </w:r>
      <w:r w:rsidRPr="00047DE9">
        <w:t>this</w:t>
      </w:r>
      <w:r>
        <w:t xml:space="preserve"> </w:t>
      </w:r>
      <w:r w:rsidRPr="00047DE9">
        <w:t>rule</w:t>
      </w:r>
      <w:r>
        <w:t xml:space="preserve"> </w:t>
      </w:r>
      <w:r w:rsidRPr="00047DE9">
        <w:t>proceeding</w:t>
      </w:r>
      <w:r>
        <w:t xml:space="preserve"> </w:t>
      </w:r>
      <w:r w:rsidRPr="00047DE9">
        <w:t>and</w:t>
      </w:r>
      <w:r>
        <w:t xml:space="preserve"> </w:t>
      </w:r>
      <w:r w:rsidRPr="00047DE9">
        <w:t>prior</w:t>
      </w:r>
      <w:r>
        <w:t xml:space="preserve"> </w:t>
      </w:r>
      <w:r w:rsidRPr="00047DE9">
        <w:t>to</w:t>
      </w:r>
      <w:r>
        <w:t xml:space="preserve"> </w:t>
      </w:r>
      <w:r w:rsidRPr="00047DE9">
        <w:t>the</w:t>
      </w:r>
      <w:r>
        <w:t xml:space="preserve"> </w:t>
      </w:r>
      <w:r w:rsidRPr="00047DE9">
        <w:t>filing</w:t>
      </w:r>
      <w:r>
        <w:t xml:space="preserve"> </w:t>
      </w:r>
      <w:r w:rsidRPr="00047DE9">
        <w:t>of</w:t>
      </w:r>
      <w:r>
        <w:t xml:space="preserve"> </w:t>
      </w:r>
      <w:r w:rsidRPr="00047DE9">
        <w:t>the</w:t>
      </w:r>
      <w:r>
        <w:t xml:space="preserve"> </w:t>
      </w:r>
      <w:r w:rsidRPr="00047DE9">
        <w:t>first notice</w:t>
      </w:r>
      <w:r>
        <w:t xml:space="preserve"> </w:t>
      </w:r>
      <w:r w:rsidRPr="00047DE9">
        <w:t>seeking the</w:t>
      </w:r>
      <w:r>
        <w:t xml:space="preserve"> </w:t>
      </w:r>
      <w:r w:rsidRPr="00047DE9">
        <w:t>withdrawal</w:t>
      </w:r>
      <w:r>
        <w:t xml:space="preserve"> </w:t>
      </w:r>
      <w:r w:rsidRPr="00047DE9">
        <w:t>or</w:t>
      </w:r>
      <w:r>
        <w:t xml:space="preserve"> </w:t>
      </w:r>
      <w:r w:rsidRPr="00047DE9">
        <w:t>abandonment</w:t>
      </w:r>
      <w:r>
        <w:t xml:space="preserve"> </w:t>
      </w:r>
      <w:r w:rsidRPr="00047DE9">
        <w:t>of</w:t>
      </w:r>
      <w:r>
        <w:t xml:space="preserve"> </w:t>
      </w:r>
      <w:r w:rsidRPr="00047DE9">
        <w:t xml:space="preserve">voice service. </w:t>
      </w:r>
      <w:r w:rsidR="00FB5BAF">
        <w:t xml:space="preserve">Further, the PUCO </w:t>
      </w:r>
      <w:r w:rsidR="002F1A79">
        <w:t>was</w:t>
      </w:r>
      <w:r w:rsidR="00FB5BAF">
        <w:t xml:space="preserve"> correct in </w:t>
      </w:r>
      <w:r w:rsidR="002F1A79">
        <w:t xml:space="preserve">finding </w:t>
      </w:r>
      <w:r>
        <w:t>that “</w:t>
      </w:r>
      <w:r w:rsidRPr="00482741">
        <w:t>if</w:t>
      </w:r>
      <w:r>
        <w:t xml:space="preserve"> </w:t>
      </w:r>
      <w:r w:rsidRPr="00482741">
        <w:t>the</w:t>
      </w:r>
      <w:r>
        <w:t xml:space="preserve"> </w:t>
      </w:r>
      <w:r w:rsidRPr="00482741">
        <w:t>loss</w:t>
      </w:r>
      <w:r>
        <w:t xml:space="preserve"> </w:t>
      </w:r>
      <w:r w:rsidRPr="00482741">
        <w:t>of</w:t>
      </w:r>
      <w:r>
        <w:t xml:space="preserve"> </w:t>
      </w:r>
      <w:r w:rsidRPr="00482741">
        <w:t>access</w:t>
      </w:r>
      <w:r>
        <w:t xml:space="preserve"> </w:t>
      </w:r>
      <w:r w:rsidRPr="00482741">
        <w:t>to</w:t>
      </w:r>
      <w:r>
        <w:t xml:space="preserve"> </w:t>
      </w:r>
      <w:r w:rsidRPr="00482741">
        <w:t>9-1-1</w:t>
      </w:r>
      <w:r>
        <w:t xml:space="preserve"> </w:t>
      </w:r>
      <w:r w:rsidRPr="00482741">
        <w:t>service</w:t>
      </w:r>
      <w:r>
        <w:t xml:space="preserve"> </w:t>
      </w:r>
      <w:r w:rsidRPr="00482741">
        <w:t>does</w:t>
      </w:r>
      <w:r>
        <w:t xml:space="preserve"> </w:t>
      </w:r>
      <w:r w:rsidRPr="00482741">
        <w:t>not</w:t>
      </w:r>
      <w:r>
        <w:t xml:space="preserve"> </w:t>
      </w:r>
      <w:r w:rsidRPr="00482741">
        <w:t>implicate</w:t>
      </w:r>
      <w:r>
        <w:t xml:space="preserve"> </w:t>
      </w:r>
      <w:r w:rsidRPr="00482741">
        <w:t>the need for</w:t>
      </w:r>
      <w:r>
        <w:t xml:space="preserve"> </w:t>
      </w:r>
      <w:r w:rsidRPr="00482741">
        <w:t>this</w:t>
      </w:r>
      <w:r>
        <w:t xml:space="preserve"> </w:t>
      </w:r>
      <w:r w:rsidRPr="00482741">
        <w:t>Commission</w:t>
      </w:r>
      <w:r>
        <w:t xml:space="preserve"> </w:t>
      </w:r>
      <w:r w:rsidRPr="00482741">
        <w:t>to take</w:t>
      </w:r>
      <w:r>
        <w:t xml:space="preserve"> </w:t>
      </w:r>
      <w:r w:rsidRPr="00482741">
        <w:t>action</w:t>
      </w:r>
      <w:r>
        <w:t xml:space="preserve"> </w:t>
      </w:r>
      <w:r w:rsidRPr="00482741">
        <w:t>to</w:t>
      </w:r>
      <w:r>
        <w:t xml:space="preserve"> </w:t>
      </w:r>
      <w:r w:rsidRPr="00482741">
        <w:t>ensure</w:t>
      </w:r>
      <w:r>
        <w:t xml:space="preserve"> </w:t>
      </w:r>
      <w:r w:rsidRPr="00482741">
        <w:t>the</w:t>
      </w:r>
      <w:r>
        <w:t xml:space="preserve"> </w:t>
      </w:r>
      <w:r w:rsidRPr="00482741">
        <w:t>public</w:t>
      </w:r>
      <w:r>
        <w:t xml:space="preserve"> </w:t>
      </w:r>
      <w:r w:rsidRPr="00482741">
        <w:t>safety</w:t>
      </w:r>
      <w:r>
        <w:t xml:space="preserve"> </w:t>
      </w:r>
      <w:r w:rsidRPr="00482741">
        <w:t>and</w:t>
      </w:r>
      <w:r>
        <w:t xml:space="preserve"> </w:t>
      </w:r>
      <w:r w:rsidRPr="00482741">
        <w:t>welfare,</w:t>
      </w:r>
      <w:r>
        <w:t xml:space="preserve"> </w:t>
      </w:r>
      <w:r w:rsidRPr="00482741">
        <w:t>it is</w:t>
      </w:r>
      <w:r>
        <w:t xml:space="preserve"> </w:t>
      </w:r>
      <w:r w:rsidRPr="00482741">
        <w:t>difficult to imagine</w:t>
      </w:r>
      <w:r>
        <w:t xml:space="preserve"> </w:t>
      </w:r>
      <w:r w:rsidRPr="00482741">
        <w:t>what</w:t>
      </w:r>
      <w:r>
        <w:t xml:space="preserve"> </w:t>
      </w:r>
      <w:r w:rsidRPr="00482741">
        <w:t>other</w:t>
      </w:r>
      <w:r>
        <w:t xml:space="preserve"> </w:t>
      </w:r>
      <w:r w:rsidRPr="00482741">
        <w:t>scenario</w:t>
      </w:r>
      <w:r>
        <w:t xml:space="preserve"> </w:t>
      </w:r>
      <w:r w:rsidRPr="00482741">
        <w:t>would satisfy the</w:t>
      </w:r>
      <w:r>
        <w:t xml:space="preserve"> </w:t>
      </w:r>
      <w:r w:rsidRPr="00482741">
        <w:t>intent of</w:t>
      </w:r>
      <w:r>
        <w:t xml:space="preserve"> </w:t>
      </w:r>
      <w:r w:rsidRPr="00482741">
        <w:t>R.C.</w:t>
      </w:r>
      <w:r>
        <w:t xml:space="preserve"> </w:t>
      </w:r>
      <w:r w:rsidRPr="00482741">
        <w:t>4927.03.</w:t>
      </w:r>
      <w:r>
        <w:t>”</w:t>
      </w:r>
      <w:r>
        <w:rPr>
          <w:rStyle w:val="FootnoteReference"/>
        </w:rPr>
        <w:footnoteReference w:id="19"/>
      </w:r>
      <w:r>
        <w:t xml:space="preserve"> To protect consumers from loss of access to essential 9-1-1 service, the PUCO should deny the OTA’s and OCTA’s applications for rehearing. The PUCO acted</w:t>
      </w:r>
      <w:r w:rsidR="002F1A79">
        <w:t xml:space="preserve"> lawfully</w:t>
      </w:r>
      <w:r>
        <w:t xml:space="preserve"> to protect consumers and it should </w:t>
      </w:r>
      <w:r w:rsidR="002F1A79">
        <w:t>affirm</w:t>
      </w:r>
      <w:r>
        <w:t xml:space="preserve"> its decision.</w:t>
      </w:r>
    </w:p>
    <w:p w:rsidR="00FC0C3A" w:rsidP="006B039D" w14:paraId="100D98EA" w14:textId="6C9CF54B">
      <w:pPr>
        <w:spacing w:line="480" w:lineRule="auto"/>
        <w:ind w:firstLine="720"/>
      </w:pPr>
      <w:r w:rsidRPr="00067472">
        <w:t>When</w:t>
      </w:r>
      <w:r w:rsidR="007A67B8">
        <w:t xml:space="preserve"> </w:t>
      </w:r>
      <w:r w:rsidRPr="00067472">
        <w:t>residential</w:t>
      </w:r>
      <w:r w:rsidR="007A67B8">
        <w:t xml:space="preserve"> </w:t>
      </w:r>
      <w:r w:rsidRPr="00067472">
        <w:t>consumers’</w:t>
      </w:r>
      <w:r w:rsidR="007A67B8">
        <w:t xml:space="preserve"> </w:t>
      </w:r>
      <w:r w:rsidRPr="00067472">
        <w:t>only</w:t>
      </w:r>
      <w:r w:rsidR="007A67B8">
        <w:t xml:space="preserve"> </w:t>
      </w:r>
      <w:r w:rsidRPr="00067472">
        <w:t>access</w:t>
      </w:r>
      <w:r w:rsidR="007A67B8">
        <w:t xml:space="preserve"> </w:t>
      </w:r>
      <w:r w:rsidRPr="00067472">
        <w:t>to</w:t>
      </w:r>
      <w:r w:rsidR="007A67B8">
        <w:t xml:space="preserve"> </w:t>
      </w:r>
      <w:r w:rsidRPr="00067472">
        <w:t>9-1-1</w:t>
      </w:r>
      <w:r w:rsidR="007A67B8">
        <w:t xml:space="preserve"> </w:t>
      </w:r>
      <w:r w:rsidRPr="00067472">
        <w:t>service</w:t>
      </w:r>
      <w:r w:rsidR="007A67B8">
        <w:t xml:space="preserve"> </w:t>
      </w:r>
      <w:r w:rsidRPr="00067472">
        <w:t>is</w:t>
      </w:r>
      <w:r w:rsidR="007A67B8">
        <w:t xml:space="preserve"> </w:t>
      </w:r>
      <w:r w:rsidRPr="00067472">
        <w:t>via</w:t>
      </w:r>
      <w:r w:rsidR="007A67B8">
        <w:t xml:space="preserve"> </w:t>
      </w:r>
      <w:r w:rsidRPr="00067472">
        <w:t>a</w:t>
      </w:r>
      <w:r w:rsidR="007A67B8">
        <w:t xml:space="preserve"> </w:t>
      </w:r>
      <w:r w:rsidRPr="00067472">
        <w:t>voice</w:t>
      </w:r>
      <w:r w:rsidR="007A67B8">
        <w:t xml:space="preserve"> </w:t>
      </w:r>
      <w:r w:rsidRPr="00067472">
        <w:t>service that</w:t>
      </w:r>
      <w:r w:rsidR="007A67B8">
        <w:t xml:space="preserve"> </w:t>
      </w:r>
      <w:r w:rsidRPr="00067472">
        <w:t>is</w:t>
      </w:r>
      <w:r w:rsidR="007A67B8">
        <w:t xml:space="preserve"> </w:t>
      </w:r>
      <w:r w:rsidRPr="00067472">
        <w:t>being</w:t>
      </w:r>
      <w:r w:rsidR="007A67B8">
        <w:t xml:space="preserve"> </w:t>
      </w:r>
      <w:r w:rsidRPr="00067472">
        <w:t>discontinued,</w:t>
      </w:r>
      <w:r w:rsidR="007A67B8">
        <w:t xml:space="preserve"> </w:t>
      </w:r>
      <w:r w:rsidRPr="00067472">
        <w:t>the</w:t>
      </w:r>
      <w:r w:rsidR="007A67B8">
        <w:t xml:space="preserve"> </w:t>
      </w:r>
      <w:r w:rsidRPr="00067472">
        <w:t>PUCO</w:t>
      </w:r>
      <w:r w:rsidR="007A67B8">
        <w:t xml:space="preserve"> </w:t>
      </w:r>
      <w:r w:rsidRPr="00067472">
        <w:t>should</w:t>
      </w:r>
      <w:r w:rsidR="007A67B8">
        <w:t xml:space="preserve"> </w:t>
      </w:r>
      <w:r w:rsidRPr="00067472">
        <w:t>assist</w:t>
      </w:r>
      <w:r w:rsidR="007A67B8">
        <w:t xml:space="preserve"> </w:t>
      </w:r>
      <w:r w:rsidRPr="00067472">
        <w:t>the</w:t>
      </w:r>
      <w:r w:rsidR="007A67B8">
        <w:t xml:space="preserve"> </w:t>
      </w:r>
      <w:r w:rsidRPr="00067472">
        <w:t>consumers</w:t>
      </w:r>
      <w:r w:rsidR="007A67B8">
        <w:t xml:space="preserve"> </w:t>
      </w:r>
      <w:r w:rsidRPr="00067472">
        <w:t>in</w:t>
      </w:r>
      <w:r w:rsidR="007A67B8">
        <w:t xml:space="preserve"> </w:t>
      </w:r>
      <w:r w:rsidRPr="00067472">
        <w:t>finding</w:t>
      </w:r>
      <w:r w:rsidR="007A67B8">
        <w:t xml:space="preserve"> </w:t>
      </w:r>
      <w:r w:rsidRPr="00067472">
        <w:t>a</w:t>
      </w:r>
      <w:r w:rsidR="007A67B8">
        <w:t xml:space="preserve"> </w:t>
      </w:r>
      <w:r w:rsidRPr="00067472">
        <w:t>willing provider</w:t>
      </w:r>
      <w:r w:rsidR="007A67B8">
        <w:t xml:space="preserve"> </w:t>
      </w:r>
      <w:r w:rsidRPr="00067472">
        <w:t>of</w:t>
      </w:r>
      <w:r w:rsidR="007A67B8">
        <w:t xml:space="preserve"> </w:t>
      </w:r>
      <w:r w:rsidRPr="00067472">
        <w:t>service</w:t>
      </w:r>
      <w:r w:rsidR="007A67B8">
        <w:t xml:space="preserve"> </w:t>
      </w:r>
      <w:r w:rsidRPr="00067472">
        <w:t>to</w:t>
      </w:r>
      <w:r w:rsidR="007A67B8">
        <w:t xml:space="preserve"> </w:t>
      </w:r>
      <w:r w:rsidRPr="00067472">
        <w:t>their</w:t>
      </w:r>
      <w:r w:rsidR="007A67B8">
        <w:t xml:space="preserve"> </w:t>
      </w:r>
      <w:r w:rsidRPr="00067472">
        <w:t>homes.</w:t>
      </w:r>
      <w:r>
        <w:rPr>
          <w:rStyle w:val="FootnoteReference"/>
        </w:rPr>
        <w:footnoteReference w:id="20"/>
      </w:r>
      <w:r w:rsidR="007A67B8">
        <w:t xml:space="preserve"> </w:t>
      </w:r>
      <w:r w:rsidRPr="00067472">
        <w:t>This</w:t>
      </w:r>
      <w:r w:rsidR="007A67B8">
        <w:t xml:space="preserve"> </w:t>
      </w:r>
      <w:r w:rsidRPr="00067472">
        <w:t>is</w:t>
      </w:r>
      <w:r w:rsidR="007A67B8">
        <w:t xml:space="preserve"> </w:t>
      </w:r>
      <w:r w:rsidRPr="00067472">
        <w:t>what</w:t>
      </w:r>
      <w:r w:rsidR="007A67B8">
        <w:t xml:space="preserve"> </w:t>
      </w:r>
      <w:r w:rsidRPr="00067472">
        <w:t>the</w:t>
      </w:r>
      <w:r w:rsidR="007A67B8">
        <w:t xml:space="preserve"> </w:t>
      </w:r>
      <w:r w:rsidRPr="00067472">
        <w:t>PUCO</w:t>
      </w:r>
      <w:r w:rsidR="007A67B8">
        <w:t xml:space="preserve"> </w:t>
      </w:r>
      <w:r w:rsidRPr="00067472">
        <w:t>Staff</w:t>
      </w:r>
      <w:r w:rsidR="007A67B8">
        <w:t xml:space="preserve"> </w:t>
      </w:r>
      <w:r w:rsidRPr="00067472">
        <w:t>propos</w:t>
      </w:r>
      <w:r>
        <w:t>ed</w:t>
      </w:r>
      <w:r w:rsidR="007A67B8">
        <w:t xml:space="preserve"> </w:t>
      </w:r>
      <w:r w:rsidRPr="00067472">
        <w:t>in</w:t>
      </w:r>
      <w:r w:rsidR="007A67B8">
        <w:t xml:space="preserve"> </w:t>
      </w:r>
      <w:r w:rsidRPr="00067472">
        <w:t>this</w:t>
      </w:r>
      <w:r w:rsidR="007A67B8">
        <w:t xml:space="preserve"> </w:t>
      </w:r>
      <w:r w:rsidRPr="00067472">
        <w:t>rule</w:t>
      </w:r>
      <w:r w:rsidR="002F1A79">
        <w:t xml:space="preserve"> </w:t>
      </w:r>
      <w:r w:rsidRPr="006120E1">
        <w:t>—</w:t>
      </w:r>
      <w:r w:rsidR="002F1A79">
        <w:t xml:space="preserve"> </w:t>
      </w:r>
      <w:r>
        <w:t xml:space="preserve">and </w:t>
      </w:r>
      <w:r w:rsidR="002F1A79">
        <w:t>it is what</w:t>
      </w:r>
      <w:r>
        <w:t xml:space="preserve"> the PUCO adopted in its Order</w:t>
      </w:r>
      <w:r w:rsidRPr="00067472">
        <w:t xml:space="preserve">. </w:t>
      </w:r>
      <w:r w:rsidR="002F1A79">
        <w:t xml:space="preserve">In Joint </w:t>
      </w:r>
      <w:r w:rsidR="002E526F">
        <w:t xml:space="preserve">Consumer </w:t>
      </w:r>
      <w:r w:rsidR="002F1A79">
        <w:t xml:space="preserve">Comments, we recommended that </w:t>
      </w:r>
      <w:r w:rsidRPr="00067472" w:rsidR="002F1A79">
        <w:t>the</w:t>
      </w:r>
      <w:r w:rsidR="002F1A79">
        <w:t xml:space="preserve"> </w:t>
      </w:r>
      <w:r w:rsidRPr="00067472" w:rsidR="002F1A79">
        <w:t>PUCO</w:t>
      </w:r>
      <w:r w:rsidR="002F1A79">
        <w:t xml:space="preserve"> </w:t>
      </w:r>
      <w:r w:rsidRPr="00067472" w:rsidR="002F1A79">
        <w:t>must</w:t>
      </w:r>
      <w:r w:rsidR="002F1A79">
        <w:t xml:space="preserve"> </w:t>
      </w:r>
      <w:r w:rsidRPr="00067472" w:rsidR="002F1A79">
        <w:t>assist</w:t>
      </w:r>
      <w:r w:rsidR="002F1A79">
        <w:t xml:space="preserve"> </w:t>
      </w:r>
      <w:r w:rsidR="002E526F">
        <w:t>a</w:t>
      </w:r>
      <w:r w:rsidRPr="00067472" w:rsidR="002F1A79">
        <w:t xml:space="preserve"> </w:t>
      </w:r>
      <w:r w:rsidR="002E526F">
        <w:t xml:space="preserve">telephone </w:t>
      </w:r>
      <w:r w:rsidRPr="00067472" w:rsidR="002F1A79">
        <w:t>company’s</w:t>
      </w:r>
      <w:r w:rsidR="002F1A79">
        <w:t xml:space="preserve"> </w:t>
      </w:r>
      <w:r w:rsidRPr="00067472" w:rsidR="002F1A79">
        <w:t>basic</w:t>
      </w:r>
      <w:r w:rsidR="002F1A79">
        <w:t xml:space="preserve"> </w:t>
      </w:r>
      <w:r w:rsidRPr="00067472" w:rsidR="002F1A79">
        <w:t>service</w:t>
      </w:r>
      <w:r w:rsidR="002F1A79">
        <w:t xml:space="preserve"> </w:t>
      </w:r>
      <w:r w:rsidRPr="00067472" w:rsidR="002F1A79">
        <w:t>consumers</w:t>
      </w:r>
      <w:r w:rsidR="002F1A79">
        <w:t xml:space="preserve"> </w:t>
      </w:r>
      <w:r w:rsidRPr="00067472" w:rsidR="002F1A79">
        <w:t>in</w:t>
      </w:r>
      <w:r w:rsidR="002F1A79">
        <w:t xml:space="preserve"> </w:t>
      </w:r>
      <w:r w:rsidRPr="00067472" w:rsidR="002F1A79">
        <w:t>finding</w:t>
      </w:r>
      <w:r w:rsidR="002F1A79">
        <w:t xml:space="preserve"> </w:t>
      </w:r>
      <w:r w:rsidRPr="00067472" w:rsidR="002F1A79">
        <w:t>a</w:t>
      </w:r>
      <w:r w:rsidR="002F1A79">
        <w:t xml:space="preserve"> </w:t>
      </w:r>
      <w:r w:rsidRPr="00067472" w:rsidR="002F1A79">
        <w:t>new</w:t>
      </w:r>
      <w:r w:rsidR="002F1A79">
        <w:t xml:space="preserve"> </w:t>
      </w:r>
      <w:r w:rsidRPr="00067472" w:rsidR="002F1A79">
        <w:t>and</w:t>
      </w:r>
      <w:r w:rsidR="002F1A79">
        <w:t xml:space="preserve"> </w:t>
      </w:r>
      <w:r w:rsidRPr="00067472" w:rsidR="002F1A79">
        <w:t>willing</w:t>
      </w:r>
      <w:r w:rsidR="002F1A79">
        <w:t xml:space="preserve"> </w:t>
      </w:r>
      <w:r w:rsidRPr="00067472" w:rsidR="002F1A79">
        <w:t>provider</w:t>
      </w:r>
      <w:r w:rsidR="002F1A79">
        <w:t xml:space="preserve"> </w:t>
      </w:r>
      <w:r w:rsidRPr="00067472" w:rsidR="002F1A79">
        <w:t>for</w:t>
      </w:r>
      <w:r w:rsidR="002F1A79">
        <w:t xml:space="preserve"> </w:t>
      </w:r>
      <w:r w:rsidRPr="00067472" w:rsidR="002F1A79">
        <w:t>such service</w:t>
      </w:r>
      <w:r w:rsidR="002E526F">
        <w:t>,</w:t>
      </w:r>
      <w:r w:rsidRPr="002E526F" w:rsidR="002E526F">
        <w:t xml:space="preserve"> </w:t>
      </w:r>
      <w:r w:rsidR="002E526F">
        <w:t>i</w:t>
      </w:r>
      <w:r w:rsidRPr="00067472" w:rsidR="002E526F">
        <w:t>f a</w:t>
      </w:r>
      <w:r w:rsidR="002E526F">
        <w:t xml:space="preserve"> </w:t>
      </w:r>
      <w:r w:rsidRPr="00067472" w:rsidR="002E526F">
        <w:t>telephone</w:t>
      </w:r>
      <w:r w:rsidR="002E526F">
        <w:t xml:space="preserve"> </w:t>
      </w:r>
      <w:r w:rsidRPr="00067472" w:rsidR="002E526F">
        <w:t>company</w:t>
      </w:r>
      <w:r w:rsidR="002E526F">
        <w:t xml:space="preserve"> </w:t>
      </w:r>
      <w:r w:rsidRPr="00067472" w:rsidR="002E526F">
        <w:t>withdraws</w:t>
      </w:r>
      <w:r w:rsidR="002E526F">
        <w:t xml:space="preserve"> </w:t>
      </w:r>
      <w:r w:rsidRPr="00067472" w:rsidR="002E526F">
        <w:t>basic</w:t>
      </w:r>
      <w:r w:rsidR="002E526F">
        <w:t xml:space="preserve"> </w:t>
      </w:r>
      <w:r w:rsidRPr="00067472" w:rsidR="002E526F">
        <w:t>service</w:t>
      </w:r>
      <w:r w:rsidRPr="00067472" w:rsidR="002F1A79">
        <w:t>.</w:t>
      </w:r>
      <w:r>
        <w:rPr>
          <w:rStyle w:val="FootnoteReference"/>
        </w:rPr>
        <w:footnoteReference w:id="21"/>
      </w:r>
      <w:r w:rsidR="002F1A79">
        <w:t xml:space="preserve"> This is because</w:t>
      </w:r>
      <w:r w:rsidR="002E526F">
        <w:t>, for consumer protection,</w:t>
      </w:r>
      <w:r w:rsidR="002F1A79">
        <w:t xml:space="preserve"> r</w:t>
      </w:r>
      <w:r w:rsidRPr="00067472" w:rsidR="002F1A79">
        <w:t>esidential</w:t>
      </w:r>
      <w:r w:rsidR="002F1A79">
        <w:t xml:space="preserve"> </w:t>
      </w:r>
      <w:r w:rsidRPr="00067472" w:rsidR="002F1A79">
        <w:t>consumers</w:t>
      </w:r>
      <w:r w:rsidR="002F1A79">
        <w:t xml:space="preserve"> </w:t>
      </w:r>
      <w:r w:rsidRPr="00067472" w:rsidR="002F1A79">
        <w:t>of</w:t>
      </w:r>
      <w:r w:rsidR="002F1A79">
        <w:t xml:space="preserve"> the </w:t>
      </w:r>
      <w:r w:rsidRPr="00067472" w:rsidR="002F1A79">
        <w:t>voice</w:t>
      </w:r>
      <w:r w:rsidR="002F1A79">
        <w:t xml:space="preserve"> </w:t>
      </w:r>
      <w:r w:rsidRPr="00067472" w:rsidR="002F1A79">
        <w:t>service</w:t>
      </w:r>
      <w:r w:rsidR="002F1A79">
        <w:t xml:space="preserve"> </w:t>
      </w:r>
      <w:r w:rsidRPr="00067472" w:rsidR="002F1A79">
        <w:t>that</w:t>
      </w:r>
      <w:r w:rsidR="002F1A79">
        <w:t xml:space="preserve"> </w:t>
      </w:r>
      <w:r w:rsidRPr="00067472" w:rsidR="002F1A79">
        <w:t>is</w:t>
      </w:r>
      <w:r w:rsidR="002F1A79">
        <w:t xml:space="preserve"> </w:t>
      </w:r>
      <w:r w:rsidRPr="00067472" w:rsidR="002F1A79">
        <w:t>being</w:t>
      </w:r>
      <w:r w:rsidR="002F1A79">
        <w:t xml:space="preserve"> </w:t>
      </w:r>
      <w:r w:rsidRPr="00067472" w:rsidR="002F1A79">
        <w:t>withdrawn</w:t>
      </w:r>
      <w:r w:rsidR="002F1A79">
        <w:t xml:space="preserve"> </w:t>
      </w:r>
      <w:r w:rsidRPr="00067472" w:rsidR="002F1A79">
        <w:t>should</w:t>
      </w:r>
      <w:r w:rsidR="002F1A79">
        <w:t xml:space="preserve"> </w:t>
      </w:r>
      <w:r w:rsidRPr="00067472" w:rsidR="002F1A79">
        <w:t>be treated</w:t>
      </w:r>
      <w:r w:rsidR="002F1A79">
        <w:t xml:space="preserve"> </w:t>
      </w:r>
      <w:r w:rsidRPr="00067472" w:rsidR="002F1A79">
        <w:t>the</w:t>
      </w:r>
      <w:r w:rsidR="002F1A79">
        <w:t xml:space="preserve"> </w:t>
      </w:r>
      <w:r w:rsidRPr="00067472" w:rsidR="002F1A79">
        <w:t>same</w:t>
      </w:r>
      <w:r w:rsidR="002F1A79">
        <w:t xml:space="preserve"> </w:t>
      </w:r>
      <w:r w:rsidRPr="00067472" w:rsidR="002F1A79">
        <w:t>as</w:t>
      </w:r>
      <w:r w:rsidR="002F1A79">
        <w:t xml:space="preserve"> </w:t>
      </w:r>
      <w:r w:rsidRPr="00067472" w:rsidR="002F1A79">
        <w:t>residential</w:t>
      </w:r>
      <w:r w:rsidR="002F1A79">
        <w:t xml:space="preserve"> </w:t>
      </w:r>
      <w:r w:rsidRPr="00067472" w:rsidR="002F1A79">
        <w:t>consumers</w:t>
      </w:r>
      <w:r w:rsidR="002F1A79">
        <w:t xml:space="preserve"> </w:t>
      </w:r>
      <w:r w:rsidRPr="00067472" w:rsidR="002F1A79">
        <w:t>of</w:t>
      </w:r>
      <w:r w:rsidR="002F1A79">
        <w:t xml:space="preserve"> </w:t>
      </w:r>
      <w:r w:rsidRPr="00067472" w:rsidR="002F1A79">
        <w:t>basic</w:t>
      </w:r>
      <w:r w:rsidR="002F1A79">
        <w:t xml:space="preserve"> </w:t>
      </w:r>
      <w:r w:rsidRPr="00067472" w:rsidR="002F1A79">
        <w:t>service</w:t>
      </w:r>
      <w:r w:rsidR="002F1A79">
        <w:t xml:space="preserve"> </w:t>
      </w:r>
      <w:r w:rsidRPr="00067472" w:rsidR="002F1A79">
        <w:t>that</w:t>
      </w:r>
      <w:r w:rsidR="002F1A79">
        <w:t xml:space="preserve"> </w:t>
      </w:r>
      <w:r w:rsidRPr="00067472" w:rsidR="002F1A79">
        <w:t>is</w:t>
      </w:r>
      <w:r w:rsidR="002F1A79">
        <w:t xml:space="preserve"> </w:t>
      </w:r>
      <w:r w:rsidRPr="00067472" w:rsidR="002F1A79">
        <w:t>being</w:t>
      </w:r>
      <w:r w:rsidR="002F1A79">
        <w:t xml:space="preserve"> </w:t>
      </w:r>
      <w:r w:rsidRPr="00067472" w:rsidR="002F1A79">
        <w:t>withdrawn</w:t>
      </w:r>
      <w:r w:rsidR="002E526F">
        <w:t>.</w:t>
      </w:r>
      <w:r w:rsidR="002F1A79">
        <w:t xml:space="preserve"> </w:t>
      </w:r>
      <w:r w:rsidR="002E526F">
        <w:t xml:space="preserve">The </w:t>
      </w:r>
      <w:r w:rsidRPr="00067472" w:rsidR="002F1A79">
        <w:t>proposed</w:t>
      </w:r>
      <w:r w:rsidR="002F1A79">
        <w:t xml:space="preserve"> </w:t>
      </w:r>
      <w:r w:rsidRPr="00067472" w:rsidR="002F1A79">
        <w:t>rule</w:t>
      </w:r>
      <w:r w:rsidR="002F1A79">
        <w:t xml:space="preserve"> </w:t>
      </w:r>
      <w:r w:rsidRPr="00067472" w:rsidR="002F1A79">
        <w:t>supports</w:t>
      </w:r>
      <w:r w:rsidR="002E526F">
        <w:t xml:space="preserve"> that approach</w:t>
      </w:r>
      <w:r w:rsidRPr="00067472" w:rsidR="002F1A79">
        <w:t>.</w:t>
      </w:r>
      <w:r>
        <w:rPr>
          <w:rStyle w:val="FootnoteReference"/>
        </w:rPr>
        <w:footnoteReference w:id="22"/>
      </w:r>
      <w:r w:rsidR="002F1A79">
        <w:t xml:space="preserve"> </w:t>
      </w:r>
      <w:r w:rsidR="002E526F">
        <w:t>Ohioans</w:t>
      </w:r>
      <w:r w:rsidR="002F1A79">
        <w:t xml:space="preserve">’ </w:t>
      </w:r>
      <w:r w:rsidRPr="00067472" w:rsidR="002F1A79">
        <w:t>health</w:t>
      </w:r>
      <w:r w:rsidR="002F1A79">
        <w:t xml:space="preserve"> </w:t>
      </w:r>
      <w:r w:rsidRPr="00067472" w:rsidR="002F1A79">
        <w:t>and</w:t>
      </w:r>
      <w:r w:rsidR="002F1A79">
        <w:t xml:space="preserve"> </w:t>
      </w:r>
      <w:r w:rsidRPr="00067472" w:rsidR="002F1A79">
        <w:t>safety</w:t>
      </w:r>
      <w:r w:rsidR="002F1A79">
        <w:t xml:space="preserve"> </w:t>
      </w:r>
      <w:r w:rsidRPr="00067472" w:rsidR="002F1A79">
        <w:t>should</w:t>
      </w:r>
      <w:r w:rsidR="002F1A79">
        <w:t xml:space="preserve"> </w:t>
      </w:r>
      <w:r w:rsidRPr="00067472" w:rsidR="002F1A79">
        <w:t>not</w:t>
      </w:r>
      <w:r w:rsidR="002F1A79">
        <w:t xml:space="preserve"> </w:t>
      </w:r>
      <w:r w:rsidRPr="00067472" w:rsidR="002F1A79">
        <w:t>be</w:t>
      </w:r>
      <w:r w:rsidR="002F1A79">
        <w:t xml:space="preserve"> </w:t>
      </w:r>
      <w:r w:rsidRPr="00067472" w:rsidR="002F1A79">
        <w:t>jeopardized</w:t>
      </w:r>
      <w:r w:rsidR="002F1A79">
        <w:t xml:space="preserve"> </w:t>
      </w:r>
      <w:r w:rsidR="002E526F">
        <w:t>when</w:t>
      </w:r>
      <w:r w:rsidRPr="00067472" w:rsidR="002F1A79">
        <w:t xml:space="preserve"> their</w:t>
      </w:r>
      <w:r w:rsidR="002F1A79">
        <w:t xml:space="preserve"> </w:t>
      </w:r>
      <w:r w:rsidRPr="00067472" w:rsidR="002F1A79">
        <w:t>voice</w:t>
      </w:r>
      <w:r w:rsidR="002F1A79">
        <w:t xml:space="preserve"> </w:t>
      </w:r>
      <w:r w:rsidRPr="00067472" w:rsidR="002F1A79">
        <w:t>service</w:t>
      </w:r>
      <w:r w:rsidR="002F1A79">
        <w:t xml:space="preserve"> </w:t>
      </w:r>
      <w:r w:rsidRPr="00067472" w:rsidR="002F1A79">
        <w:t>provider</w:t>
      </w:r>
      <w:r w:rsidR="002F1A79">
        <w:t xml:space="preserve"> </w:t>
      </w:r>
      <w:r w:rsidRPr="00067472" w:rsidR="002F1A79">
        <w:t>would</w:t>
      </w:r>
      <w:r w:rsidR="002F1A79">
        <w:t xml:space="preserve"> </w:t>
      </w:r>
      <w:r w:rsidRPr="00067472" w:rsidR="002F1A79">
        <w:t>prefer</w:t>
      </w:r>
      <w:r w:rsidR="002F1A79">
        <w:t xml:space="preserve"> </w:t>
      </w:r>
      <w:r w:rsidRPr="00067472" w:rsidR="002F1A79">
        <w:t>to</w:t>
      </w:r>
      <w:r w:rsidR="002F1A79">
        <w:t xml:space="preserve"> </w:t>
      </w:r>
      <w:r w:rsidRPr="00067472" w:rsidR="002F1A79">
        <w:t>no</w:t>
      </w:r>
      <w:r w:rsidR="002F1A79">
        <w:t xml:space="preserve"> </w:t>
      </w:r>
      <w:r w:rsidRPr="00067472" w:rsidR="002F1A79">
        <w:t>longer</w:t>
      </w:r>
      <w:r w:rsidR="002F1A79">
        <w:t xml:space="preserve"> </w:t>
      </w:r>
      <w:r w:rsidRPr="00067472" w:rsidR="002F1A79">
        <w:t>serve</w:t>
      </w:r>
      <w:r w:rsidR="002F1A79">
        <w:t xml:space="preserve"> </w:t>
      </w:r>
      <w:r w:rsidRPr="00067472" w:rsidR="002F1A79">
        <w:t>them.</w:t>
      </w:r>
      <w:r>
        <w:rPr>
          <w:rStyle w:val="FootnoteReference"/>
        </w:rPr>
        <w:footnoteReference w:id="23"/>
      </w:r>
      <w:r w:rsidR="007F661B">
        <w:t xml:space="preserve"> </w:t>
      </w:r>
    </w:p>
    <w:p w:rsidR="003C79C4" w:rsidP="002A7B1E" w14:paraId="59B34791" w14:textId="0C900017">
      <w:pPr>
        <w:spacing w:line="480" w:lineRule="auto"/>
        <w:ind w:firstLine="720"/>
      </w:pPr>
      <w:r>
        <w:t xml:space="preserve">As the PUCO pointed out in its </w:t>
      </w:r>
      <w:r>
        <w:rPr>
          <w:bCs/>
        </w:rPr>
        <w:t xml:space="preserve">Third Supplemental Finding and Order, </w:t>
      </w:r>
      <w:r>
        <w:t xml:space="preserve">, the PUCO must </w:t>
      </w:r>
      <w:r w:rsidR="002E526F">
        <w:t xml:space="preserve">ensure </w:t>
      </w:r>
      <w:r w:rsidR="00733A3B">
        <w:t xml:space="preserve">that </w:t>
      </w:r>
      <w:r w:rsidR="00047DE9">
        <w:t>an</w:t>
      </w:r>
      <w:r w:rsidRPr="00047DE9" w:rsidR="00047DE9">
        <w:t xml:space="preserve"> </w:t>
      </w:r>
      <w:r w:rsidR="00047DE9">
        <w:t>incumbent local exchange company’s</w:t>
      </w:r>
      <w:r w:rsidRPr="00047DE9" w:rsidR="00047DE9">
        <w:t xml:space="preserve"> </w:t>
      </w:r>
      <w:r w:rsidR="00537F0D">
        <w:t>“</w:t>
      </w:r>
      <w:r w:rsidRPr="00047DE9" w:rsidR="00047DE9">
        <w:t>residential subscribers will continue to have access to 9-1-1 service</w:t>
      </w:r>
      <w:r w:rsidR="007A67B8">
        <w:t xml:space="preserve"> </w:t>
      </w:r>
      <w:r w:rsidRPr="00047DE9" w:rsidR="00047DE9">
        <w:t>subsequent to the</w:t>
      </w:r>
      <w:r w:rsidR="007A67B8">
        <w:t xml:space="preserve"> </w:t>
      </w:r>
      <w:r w:rsidRPr="00047DE9" w:rsidR="00047DE9">
        <w:t>ILEC</w:t>
      </w:r>
      <w:r w:rsidR="007A67B8">
        <w:t xml:space="preserve"> </w:t>
      </w:r>
      <w:r w:rsidRPr="00047DE9" w:rsidR="00047DE9">
        <w:t>abandoning</w:t>
      </w:r>
      <w:r w:rsidR="007A67B8">
        <w:t xml:space="preserve"> </w:t>
      </w:r>
      <w:r w:rsidRPr="00047DE9" w:rsidR="00047DE9">
        <w:t>the</w:t>
      </w:r>
      <w:r w:rsidR="007A67B8">
        <w:t xml:space="preserve"> </w:t>
      </w:r>
      <w:r w:rsidRPr="00047DE9" w:rsidR="00047DE9">
        <w:t>offering</w:t>
      </w:r>
      <w:r w:rsidR="007A67B8">
        <w:t xml:space="preserve"> </w:t>
      </w:r>
      <w:r w:rsidRPr="00047DE9" w:rsidR="00047DE9">
        <w:t>of</w:t>
      </w:r>
      <w:r w:rsidR="007A67B8">
        <w:t xml:space="preserve"> </w:t>
      </w:r>
      <w:r w:rsidR="00047DE9">
        <w:t>basic local exchange services (“</w:t>
      </w:r>
      <w:r w:rsidRPr="00047DE9" w:rsidR="00047DE9">
        <w:t>BLES</w:t>
      </w:r>
      <w:r w:rsidR="00047DE9">
        <w:t>”)</w:t>
      </w:r>
      <w:r w:rsidRPr="00047DE9" w:rsidR="00047DE9">
        <w:t>,</w:t>
      </w:r>
      <w:r w:rsidR="007A67B8">
        <w:t xml:space="preserve"> </w:t>
      </w:r>
      <w:r w:rsidRPr="00047DE9" w:rsidR="00047DE9">
        <w:t>and even</w:t>
      </w:r>
      <w:r w:rsidR="007A67B8">
        <w:t xml:space="preserve"> </w:t>
      </w:r>
      <w:r w:rsidRPr="00047DE9" w:rsidR="00047DE9">
        <w:t>prior</w:t>
      </w:r>
      <w:r w:rsidR="007A67B8">
        <w:t xml:space="preserve"> </w:t>
      </w:r>
      <w:r w:rsidRPr="00047DE9" w:rsidR="00047DE9">
        <w:t>to the</w:t>
      </w:r>
      <w:r w:rsidR="007A67B8">
        <w:t xml:space="preserve"> </w:t>
      </w:r>
      <w:r w:rsidRPr="00047DE9" w:rsidR="00047DE9">
        <w:t>last voice</w:t>
      </w:r>
      <w:r w:rsidR="007A67B8">
        <w:t xml:space="preserve"> </w:t>
      </w:r>
      <w:r w:rsidRPr="00047DE9" w:rsidR="00047DE9">
        <w:t>service</w:t>
      </w:r>
      <w:r w:rsidR="007A67B8">
        <w:t xml:space="preserve"> </w:t>
      </w:r>
      <w:r w:rsidRPr="00047DE9" w:rsidR="00047DE9">
        <w:t>provider</w:t>
      </w:r>
      <w:r w:rsidR="007A67B8">
        <w:t xml:space="preserve"> </w:t>
      </w:r>
      <w:r w:rsidRPr="00047DE9" w:rsidR="00047DE9">
        <w:t>withdrawing</w:t>
      </w:r>
      <w:r w:rsidR="007A67B8">
        <w:t xml:space="preserve"> </w:t>
      </w:r>
      <w:r w:rsidRPr="00047DE9" w:rsidR="00047DE9">
        <w:t>or</w:t>
      </w:r>
      <w:r w:rsidR="007A67B8">
        <w:t xml:space="preserve"> </w:t>
      </w:r>
      <w:r w:rsidRPr="00047DE9" w:rsidR="00047DE9">
        <w:t>abandoning voice</w:t>
      </w:r>
      <w:r w:rsidR="007A67B8">
        <w:t xml:space="preserve"> </w:t>
      </w:r>
      <w:r w:rsidRPr="00047DE9" w:rsidR="00047DE9">
        <w:t>service.</w:t>
      </w:r>
      <w:r w:rsidR="00537F0D">
        <w:t>”</w:t>
      </w:r>
      <w:r>
        <w:rPr>
          <w:rStyle w:val="FootnoteReference"/>
        </w:rPr>
        <w:footnoteReference w:id="24"/>
      </w:r>
      <w:r w:rsidRPr="00047DE9" w:rsidR="00047DE9">
        <w:t xml:space="preserve"> </w:t>
      </w:r>
    </w:p>
    <w:p w:rsidR="007F661B" w:rsidRPr="00455EF5" w:rsidP="007F661B" w14:paraId="5ED7186C" w14:textId="77777777">
      <w:pPr>
        <w:ind w:firstLine="720"/>
      </w:pPr>
    </w:p>
    <w:p w:rsidR="00E93417" w:rsidP="0069311F" w14:paraId="165B050D" w14:textId="41782555">
      <w:pPr>
        <w:pStyle w:val="Heading1"/>
      </w:pPr>
      <w:bookmarkStart w:id="0" w:name="_Toc15564919"/>
      <w:bookmarkStart w:id="1" w:name="_Toc86409522"/>
      <w:r>
        <w:t>I</w:t>
      </w:r>
      <w:r w:rsidR="002562F9">
        <w:t>I</w:t>
      </w:r>
      <w:r>
        <w:t>I</w:t>
      </w:r>
      <w:r w:rsidRPr="001A197E">
        <w:t>.</w:t>
      </w:r>
      <w:r w:rsidRPr="001A197E">
        <w:tab/>
      </w:r>
      <w:bookmarkEnd w:id="0"/>
      <w:bookmarkEnd w:id="1"/>
      <w:r w:rsidR="00EE2A4A">
        <w:t>CONCLUSION</w:t>
      </w:r>
    </w:p>
    <w:p w:rsidR="007F661B" w:rsidP="00E93417" w14:paraId="5C3C3C5A" w14:textId="5D74DF17">
      <w:pPr>
        <w:spacing w:line="480" w:lineRule="auto"/>
        <w:ind w:firstLine="720"/>
      </w:pPr>
      <w:r w:rsidRPr="0001401C">
        <w:t>The</w:t>
      </w:r>
      <w:r w:rsidR="007A67B8">
        <w:t xml:space="preserve"> </w:t>
      </w:r>
      <w:r w:rsidRPr="0001401C">
        <w:t>PUCO’s</w:t>
      </w:r>
      <w:r w:rsidR="007A67B8">
        <w:t xml:space="preserve"> </w:t>
      </w:r>
      <w:r w:rsidRPr="0001401C">
        <w:t>rules</w:t>
      </w:r>
      <w:r w:rsidR="007A67B8">
        <w:t xml:space="preserve"> </w:t>
      </w:r>
      <w:r w:rsidRPr="0001401C">
        <w:t>should</w:t>
      </w:r>
      <w:r w:rsidR="007A67B8">
        <w:t xml:space="preserve"> </w:t>
      </w:r>
      <w:r w:rsidRPr="0001401C">
        <w:t>protect</w:t>
      </w:r>
      <w:r w:rsidR="007A67B8">
        <w:t xml:space="preserve"> </w:t>
      </w:r>
      <w:r w:rsidR="002E526F">
        <w:t xml:space="preserve">Ohioans </w:t>
      </w:r>
      <w:r w:rsidRPr="0001401C">
        <w:t>when</w:t>
      </w:r>
      <w:r w:rsidR="007A67B8">
        <w:t xml:space="preserve"> </w:t>
      </w:r>
      <w:r w:rsidRPr="0001401C">
        <w:t>their</w:t>
      </w:r>
      <w:r w:rsidR="007A67B8">
        <w:t xml:space="preserve"> </w:t>
      </w:r>
      <w:r w:rsidRPr="0001401C">
        <w:t>telephone</w:t>
      </w:r>
      <w:r w:rsidR="007A67B8">
        <w:t xml:space="preserve"> </w:t>
      </w:r>
      <w:r w:rsidRPr="0001401C">
        <w:t>service</w:t>
      </w:r>
      <w:r w:rsidR="007A67B8">
        <w:t xml:space="preserve"> </w:t>
      </w:r>
      <w:r w:rsidRPr="0001401C">
        <w:t>is</w:t>
      </w:r>
      <w:r w:rsidR="007A67B8">
        <w:t xml:space="preserve"> </w:t>
      </w:r>
      <w:r w:rsidRPr="0001401C">
        <w:t>being withdrawn</w:t>
      </w:r>
      <w:r w:rsidR="007A67B8">
        <w:t xml:space="preserve"> </w:t>
      </w:r>
      <w:r w:rsidRPr="0001401C">
        <w:t>or</w:t>
      </w:r>
      <w:r w:rsidR="007A67B8">
        <w:t xml:space="preserve"> </w:t>
      </w:r>
      <w:r w:rsidRPr="0001401C">
        <w:t>discontinued.</w:t>
      </w:r>
      <w:r w:rsidR="007A67B8">
        <w:t xml:space="preserve"> </w:t>
      </w:r>
      <w:r w:rsidR="00E031C6">
        <w:t>For all the reasons stated above, t</w:t>
      </w:r>
      <w:r w:rsidR="00C4659E">
        <w:t>he OTA’s</w:t>
      </w:r>
      <w:r w:rsidR="00F16459">
        <w:t xml:space="preserve"> and OCTA’s</w:t>
      </w:r>
      <w:r w:rsidR="00C736F2">
        <w:t xml:space="preserve"> application</w:t>
      </w:r>
      <w:r w:rsidR="00F16459">
        <w:t>s</w:t>
      </w:r>
      <w:r w:rsidR="00C736F2">
        <w:t xml:space="preserve"> for rehearing should be denied.</w:t>
      </w:r>
    </w:p>
    <w:p w:rsidR="007F661B" w14:paraId="679F69DE" w14:textId="77777777">
      <w:r>
        <w:br w:type="page"/>
      </w:r>
    </w:p>
    <w:p w:rsidR="00E93417" w:rsidRPr="001A197E" w:rsidP="00401647" w14:paraId="1F410DBD" w14:textId="59B0D716">
      <w:pPr>
        <w:spacing w:line="480" w:lineRule="auto"/>
        <w:ind w:firstLine="3870"/>
      </w:pPr>
      <w:r w:rsidRPr="001A197E">
        <w:t>Respectfully submitted,</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0"/>
        <w:gridCol w:w="4140"/>
      </w:tblGrid>
      <w:tr w14:paraId="3BB5DFF8" w14:textId="77777777" w:rsidTr="00401647">
        <w:tblPrEx>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500" w:type="dxa"/>
            <w:vMerge w:val="restart"/>
          </w:tcPr>
          <w:p w:rsidR="003F1DD4" w:rsidRPr="001A197E" w:rsidP="003F1DD4" w14:paraId="4622B4CE" w14:textId="77777777">
            <w:pPr>
              <w:ind w:left="3600" w:hanging="3615"/>
            </w:pPr>
            <w:r w:rsidRPr="001A197E">
              <w:t>Bruce Weston (0016973)</w:t>
            </w:r>
          </w:p>
          <w:p w:rsidR="003F1DD4" w:rsidRPr="001A197E" w:rsidP="003F1DD4" w14:paraId="3C7F20B9" w14:textId="3DFE2149">
            <w:r w:rsidRPr="001A197E">
              <w:t xml:space="preserve">Ohio Consumers’ Counsel </w:t>
            </w:r>
          </w:p>
          <w:p w:rsidR="003F1DD4" w:rsidRPr="001A197E" w:rsidP="009B3EF0" w14:paraId="74172388" w14:textId="77777777">
            <w:pPr>
              <w:ind w:right="1344"/>
            </w:pPr>
          </w:p>
          <w:p w:rsidR="003F1DD4" w:rsidRPr="001A197E" w:rsidP="003F1DD4" w14:paraId="36BB1FCD" w14:textId="4F03B99C">
            <w:pPr>
              <w:pStyle w:val="EndnoteText"/>
              <w:ind w:left="3600" w:hanging="3615"/>
              <w:rPr>
                <w:rFonts w:ascii="Times New Roman" w:hAnsi="Times New Roman"/>
                <w:szCs w:val="24"/>
              </w:rPr>
            </w:pPr>
            <w:r w:rsidRPr="001A197E">
              <w:rPr>
                <w:rFonts w:ascii="Times New Roman" w:hAnsi="Times New Roman"/>
                <w:i/>
                <w:szCs w:val="24"/>
                <w:u w:val="single"/>
              </w:rPr>
              <w:t xml:space="preserve">/s/ </w:t>
            </w:r>
            <w:r>
              <w:rPr>
                <w:rFonts w:ascii="Times New Roman" w:hAnsi="Times New Roman"/>
                <w:i/>
                <w:szCs w:val="24"/>
                <w:u w:val="single"/>
              </w:rPr>
              <w:t>Ambrosia E. Wilson</w:t>
            </w:r>
          </w:p>
          <w:p w:rsidR="003F1DD4" w:rsidRPr="001A197E" w:rsidP="003F1DD4" w14:paraId="43BFDE01" w14:textId="77777777">
            <w:pPr>
              <w:ind w:left="-15"/>
            </w:pPr>
            <w:r>
              <w:t xml:space="preserve">Ambrosia E. Wilson </w:t>
            </w:r>
            <w:r w:rsidRPr="001A197E">
              <w:t>(00</w:t>
            </w:r>
            <w:r>
              <w:t>96598</w:t>
            </w:r>
            <w:r w:rsidRPr="001A197E">
              <w:t>)</w:t>
            </w:r>
          </w:p>
          <w:p w:rsidR="003F1DD4" w:rsidRPr="001A197E" w:rsidP="003F1DD4" w14:paraId="32B4A0BC" w14:textId="77777777">
            <w:r w:rsidRPr="001A197E">
              <w:t>Counsel of Record</w:t>
            </w:r>
          </w:p>
          <w:p w:rsidR="003F1DD4" w:rsidP="003F1DD4" w14:paraId="56871401" w14:textId="450FD651">
            <w:pPr>
              <w:ind w:left="4320" w:hanging="4335"/>
            </w:pPr>
            <w:r w:rsidRPr="001A197E">
              <w:t>Assistant Consumers’ Counsel</w:t>
            </w:r>
          </w:p>
          <w:p w:rsidR="00401647" w:rsidRPr="001A197E" w:rsidP="003F1DD4" w14:paraId="0B9DB892" w14:textId="77777777">
            <w:pPr>
              <w:ind w:left="4320" w:hanging="4335"/>
            </w:pPr>
          </w:p>
          <w:p w:rsidR="003F1DD4" w:rsidRPr="001A197E" w:rsidP="003F1DD4" w14:paraId="17173DB0" w14:textId="77777777">
            <w:pPr>
              <w:ind w:left="4320" w:hanging="4335"/>
              <w:rPr>
                <w:b/>
              </w:rPr>
            </w:pPr>
            <w:r w:rsidRPr="001A197E">
              <w:rPr>
                <w:b/>
              </w:rPr>
              <w:t>Office of the Ohio Consumers’ Counsel</w:t>
            </w:r>
          </w:p>
          <w:p w:rsidR="003F1DD4" w:rsidRPr="001A197E" w:rsidP="003F1DD4" w14:paraId="71A63BD0" w14:textId="77777777">
            <w:pPr>
              <w:ind w:left="4320" w:hanging="4335"/>
            </w:pPr>
            <w:r w:rsidRPr="001A197E">
              <w:t xml:space="preserve">65 East State Street, </w:t>
            </w:r>
            <w:r>
              <w:t>Suite 700</w:t>
            </w:r>
          </w:p>
          <w:p w:rsidR="003F1DD4" w:rsidRPr="001A197E" w:rsidP="003F1DD4" w14:paraId="11518138" w14:textId="77777777">
            <w:pPr>
              <w:ind w:left="4320" w:hanging="4335"/>
            </w:pPr>
            <w:r w:rsidRPr="001A197E">
              <w:t>Columbus, Ohio 43215</w:t>
            </w:r>
          </w:p>
          <w:p w:rsidR="003F1DD4" w:rsidRPr="001A197E" w:rsidP="003F1DD4" w14:paraId="7ED6EF1F" w14:textId="77777777">
            <w:pPr>
              <w:ind w:left="4320" w:hanging="4335"/>
            </w:pPr>
            <w:r w:rsidRPr="001A197E">
              <w:t>Telephone [</w:t>
            </w:r>
            <w:r>
              <w:t>Wilson</w:t>
            </w:r>
            <w:r w:rsidRPr="001A197E">
              <w:t>]: (614) 466-</w:t>
            </w:r>
            <w:r>
              <w:t>1292</w:t>
            </w:r>
          </w:p>
          <w:p w:rsidR="003F1DD4" w:rsidRPr="001A197E" w:rsidP="003F1DD4" w14:paraId="16A077CB" w14:textId="77777777">
            <w:pPr>
              <w:ind w:left="4320" w:hanging="4335"/>
            </w:pPr>
            <w:hyperlink r:id="rId8" w:history="1">
              <w:r w:rsidRPr="001828B8" w:rsidR="00EE4641">
                <w:rPr>
                  <w:rStyle w:val="Hyperlink"/>
                </w:rPr>
                <w:t>ambrosia.wilson@occ.ohio.gov</w:t>
              </w:r>
            </w:hyperlink>
            <w:r w:rsidR="00EE4641">
              <w:t xml:space="preserve"> </w:t>
            </w:r>
          </w:p>
          <w:p w:rsidR="003F1DD4" w:rsidRPr="001A197E" w:rsidP="003F1DD4" w14:paraId="25206038" w14:textId="77777777">
            <w:pPr>
              <w:ind w:left="4320" w:hanging="4335"/>
            </w:pPr>
            <w:r w:rsidRPr="001A197E">
              <w:t>(willing to accept service by e-mail)</w:t>
            </w:r>
          </w:p>
          <w:p w:rsidR="003F1DD4" w:rsidP="007B3C55" w14:paraId="79B78E72" w14:textId="77777777">
            <w:pPr>
              <w:ind w:hanging="4335"/>
            </w:pPr>
          </w:p>
          <w:p w:rsidR="003F1DD4" w:rsidRPr="004C3EBD" w:rsidP="007B3C55" w14:paraId="11E0AE51" w14:textId="77777777"/>
          <w:p w:rsidR="003F1DD4" w:rsidP="007B3C55" w14:paraId="3FB7A90B" w14:textId="77777777">
            <w:pPr>
              <w:rPr>
                <w:color w:val="000000"/>
              </w:rPr>
            </w:pPr>
            <w:r>
              <w:rPr>
                <w:i/>
                <w:iCs/>
                <w:color w:val="000000"/>
                <w:u w:val="single"/>
              </w:rPr>
              <w:t>/</w:t>
            </w:r>
            <w:r w:rsidRPr="00F90752">
              <w:rPr>
                <w:i/>
                <w:iCs/>
                <w:color w:val="000000"/>
                <w:u w:val="single"/>
              </w:rPr>
              <w:t xml:space="preserve">s/ Ellis Jacobs </w:t>
            </w:r>
          </w:p>
          <w:p w:rsidR="003F1DD4" w:rsidP="007B3C55" w14:paraId="03DCE4FD" w14:textId="77777777">
            <w:pPr>
              <w:rPr>
                <w:color w:val="000000"/>
              </w:rPr>
            </w:pPr>
            <w:r>
              <w:rPr>
                <w:color w:val="000000"/>
              </w:rPr>
              <w:t>Ellis Jacobs (0017435)</w:t>
            </w:r>
          </w:p>
          <w:p w:rsidR="003F1DD4" w:rsidRPr="005F3E32" w:rsidP="007B3C55" w14:paraId="4C497728" w14:textId="77777777">
            <w:pPr>
              <w:rPr>
                <w:b/>
                <w:bCs/>
                <w:color w:val="000000"/>
              </w:rPr>
            </w:pPr>
            <w:r w:rsidRPr="005F3E32">
              <w:rPr>
                <w:b/>
                <w:bCs/>
                <w:color w:val="000000"/>
              </w:rPr>
              <w:t>Advocates for Basic Legal Equality, Inc.</w:t>
            </w:r>
          </w:p>
          <w:p w:rsidR="003F1DD4" w:rsidP="007B3C55" w14:paraId="396D0AAE" w14:textId="77777777">
            <w:pPr>
              <w:rPr>
                <w:color w:val="000000"/>
              </w:rPr>
            </w:pPr>
            <w:r>
              <w:rPr>
                <w:color w:val="000000"/>
              </w:rPr>
              <w:t>130 West Second St., Ste 700 East</w:t>
            </w:r>
          </w:p>
          <w:p w:rsidR="003F1DD4" w:rsidP="007B3C55" w14:paraId="273F8430" w14:textId="77777777">
            <w:pPr>
              <w:rPr>
                <w:color w:val="000000"/>
              </w:rPr>
            </w:pPr>
            <w:r>
              <w:rPr>
                <w:color w:val="000000"/>
              </w:rPr>
              <w:t>Dayton, OH 45402</w:t>
            </w:r>
          </w:p>
          <w:p w:rsidR="003F1DD4" w:rsidP="007B3C55" w14:paraId="4ABEEA25" w14:textId="77777777">
            <w:pPr>
              <w:rPr>
                <w:color w:val="000000"/>
              </w:rPr>
            </w:pPr>
            <w:r>
              <w:rPr>
                <w:color w:val="000000"/>
              </w:rPr>
              <w:t>Direct: (937) 535-4419</w:t>
            </w:r>
          </w:p>
          <w:p w:rsidR="003F1DD4" w:rsidP="007B3C55" w14:paraId="19297CF0" w14:textId="77777777">
            <w:pPr>
              <w:rPr>
                <w:color w:val="000000"/>
              </w:rPr>
            </w:pPr>
            <w:r>
              <w:rPr>
                <w:color w:val="000000"/>
              </w:rPr>
              <w:t>Fax: (937) 535-4600</w:t>
            </w:r>
          </w:p>
          <w:p w:rsidR="003F1DD4" w:rsidP="007B3C55" w14:paraId="67AAC173" w14:textId="77777777">
            <w:pPr>
              <w:rPr>
                <w:color w:val="000000"/>
              </w:rPr>
            </w:pPr>
            <w:hyperlink r:id="rId9" w:history="1">
              <w:r w:rsidRPr="008B340D" w:rsidR="00EE4641">
                <w:rPr>
                  <w:rStyle w:val="Hyperlink"/>
                </w:rPr>
                <w:t>ejacobs@ablelaw.</w:t>
              </w:r>
              <w:r w:rsidR="00EE4641">
                <w:rPr>
                  <w:rStyle w:val="Hyperlink"/>
                </w:rPr>
                <w:t>org</w:t>
              </w:r>
            </w:hyperlink>
          </w:p>
          <w:p w:rsidR="003F1DD4" w:rsidP="007B3C55" w14:paraId="1CCC56CF" w14:textId="77777777">
            <w:pPr>
              <w:rPr>
                <w:color w:val="000000"/>
              </w:rPr>
            </w:pPr>
            <w:r>
              <w:rPr>
                <w:color w:val="000000"/>
              </w:rPr>
              <w:t xml:space="preserve">website: </w:t>
            </w:r>
            <w:hyperlink r:id="rId10" w:history="1">
              <w:r w:rsidRPr="008B340D">
                <w:rPr>
                  <w:rStyle w:val="Hyperlink"/>
                </w:rPr>
                <w:t>www.ablelaw.org</w:t>
              </w:r>
            </w:hyperlink>
          </w:p>
          <w:p w:rsidR="003F1DD4" w:rsidP="007B3C55" w14:paraId="662B0A9B" w14:textId="73A41D2C"/>
          <w:p w:rsidR="000558CD" w:rsidRPr="00156B08" w:rsidP="000558CD" w14:paraId="6F627E80" w14:textId="77777777">
            <w:pPr>
              <w:shd w:val="clear" w:color="auto" w:fill="FFFFFF"/>
              <w:rPr>
                <w:i/>
                <w:iCs/>
                <w:color w:val="000000"/>
                <w:u w:val="single"/>
              </w:rPr>
            </w:pPr>
            <w:r>
              <w:rPr>
                <w:i/>
                <w:iCs/>
                <w:color w:val="000000"/>
                <w:u w:val="single"/>
              </w:rPr>
              <w:t>/s/ Michael Walters</w:t>
            </w:r>
            <w:r>
              <w:rPr>
                <w:i/>
                <w:iCs/>
                <w:color w:val="000000"/>
                <w:u w:val="single"/>
              </w:rPr>
              <w:tab/>
            </w:r>
          </w:p>
          <w:p w:rsidR="000558CD" w:rsidP="000558CD" w14:paraId="309BD755" w14:textId="77777777">
            <w:pPr>
              <w:shd w:val="clear" w:color="auto" w:fill="FFFFFF"/>
              <w:rPr>
                <w:color w:val="000000"/>
              </w:rPr>
            </w:pPr>
            <w:r>
              <w:rPr>
                <w:color w:val="000000"/>
              </w:rPr>
              <w:t>Michael Walters</w:t>
            </w:r>
            <w:r w:rsidRPr="004C3EBD">
              <w:rPr>
                <w:color w:val="000000"/>
              </w:rPr>
              <w:t> </w:t>
            </w:r>
            <w:r>
              <w:rPr>
                <w:color w:val="000000"/>
              </w:rPr>
              <w:t>(0068921)</w:t>
            </w:r>
          </w:p>
          <w:p w:rsidR="000558CD" w:rsidRPr="004C3EBD" w:rsidP="000558CD" w14:paraId="65A0A1D5" w14:textId="77777777">
            <w:pPr>
              <w:shd w:val="clear" w:color="auto" w:fill="FFFFFF"/>
              <w:rPr>
                <w:color w:val="000000"/>
              </w:rPr>
            </w:pPr>
            <w:r>
              <w:rPr>
                <w:color w:val="000000"/>
              </w:rPr>
              <w:t>Legal Hotline Managing Attorney</w:t>
            </w:r>
          </w:p>
          <w:p w:rsidR="000558CD" w:rsidRPr="004C3EBD" w:rsidP="000558CD" w14:paraId="5E6D4CEE" w14:textId="77777777">
            <w:pPr>
              <w:shd w:val="clear" w:color="auto" w:fill="FFFFFF"/>
              <w:rPr>
                <w:b/>
                <w:bCs/>
                <w:color w:val="000000"/>
              </w:rPr>
            </w:pPr>
            <w:r>
              <w:rPr>
                <w:b/>
                <w:bCs/>
                <w:color w:val="000000"/>
              </w:rPr>
              <w:t>Pro Seniors, Inc.</w:t>
            </w:r>
          </w:p>
          <w:p w:rsidR="000558CD" w:rsidRPr="004C3EBD" w:rsidP="000558CD" w14:paraId="222D3D86" w14:textId="77777777">
            <w:pPr>
              <w:shd w:val="clear" w:color="auto" w:fill="FFFFFF"/>
              <w:rPr>
                <w:color w:val="000000"/>
              </w:rPr>
            </w:pPr>
            <w:r>
              <w:rPr>
                <w:color w:val="000000"/>
              </w:rPr>
              <w:t>7162 Reading Road, Suite 1150</w:t>
            </w:r>
          </w:p>
          <w:p w:rsidR="000558CD" w:rsidP="000558CD" w14:paraId="3C9E0935" w14:textId="77777777">
            <w:pPr>
              <w:shd w:val="clear" w:color="auto" w:fill="FFFFFF"/>
              <w:rPr>
                <w:color w:val="000000"/>
              </w:rPr>
            </w:pPr>
            <w:r>
              <w:rPr>
                <w:color w:val="000000"/>
              </w:rPr>
              <w:t>Cincinnati</w:t>
            </w:r>
            <w:r w:rsidRPr="004C3EBD">
              <w:rPr>
                <w:color w:val="000000"/>
              </w:rPr>
              <w:t xml:space="preserve">, OH </w:t>
            </w:r>
            <w:r>
              <w:rPr>
                <w:color w:val="000000"/>
              </w:rPr>
              <w:t>45237</w:t>
            </w:r>
          </w:p>
          <w:p w:rsidR="000558CD" w:rsidRPr="004C3EBD" w:rsidP="000558CD" w14:paraId="15D413B1" w14:textId="77777777">
            <w:pPr>
              <w:shd w:val="clear" w:color="auto" w:fill="FFFFFF"/>
              <w:rPr>
                <w:color w:val="000000"/>
              </w:rPr>
            </w:pPr>
            <w:r>
              <w:rPr>
                <w:color w:val="000000"/>
              </w:rPr>
              <w:t>Telephone: (513) 458-5532</w:t>
            </w:r>
          </w:p>
          <w:p w:rsidR="000558CD" w:rsidP="000558CD" w14:paraId="04043430" w14:textId="77777777">
            <w:hyperlink r:id="rId11" w:history="1">
              <w:r w:rsidRPr="007614A8" w:rsidR="00EE4641">
                <w:rPr>
                  <w:rStyle w:val="Hyperlink"/>
                </w:rPr>
                <w:t>mwalters@proseniors.org</w:t>
              </w:r>
            </w:hyperlink>
          </w:p>
          <w:p w:rsidR="000558CD" w:rsidRPr="004C3EBD" w:rsidP="007B3C55" w14:paraId="7A000F93" w14:textId="77777777"/>
          <w:p w:rsidR="003F1DD4" w:rsidRPr="004C3EBD" w:rsidP="007B3C55" w14:paraId="1C42BA1F" w14:textId="77777777"/>
        </w:tc>
        <w:tc>
          <w:tcPr>
            <w:tcW w:w="4140" w:type="dxa"/>
          </w:tcPr>
          <w:p w:rsidR="003F1DD4" w:rsidRPr="00156B08" w:rsidP="007B3C55" w14:paraId="46EAFA9F" w14:textId="77777777">
            <w:pPr>
              <w:rPr>
                <w:i/>
                <w:iCs/>
                <w:u w:val="single"/>
              </w:rPr>
            </w:pPr>
            <w:r>
              <w:rPr>
                <w:i/>
                <w:iCs/>
                <w:u w:val="single"/>
              </w:rPr>
              <w:t>/s/ Susan Jagers</w:t>
            </w:r>
          </w:p>
          <w:p w:rsidR="003F1DD4" w:rsidRPr="004C3EBD" w:rsidP="007B3C55" w14:paraId="3F9D8AEA" w14:textId="77777777">
            <w:r w:rsidRPr="004C3EBD">
              <w:t>Susan Jagers (0061678)</w:t>
            </w:r>
          </w:p>
          <w:p w:rsidR="003F1DD4" w:rsidRPr="004C3EBD" w:rsidP="007B3C55" w14:paraId="19E71517" w14:textId="77777777">
            <w:pPr>
              <w:rPr>
                <w:b/>
                <w:bCs/>
              </w:rPr>
            </w:pPr>
            <w:r w:rsidRPr="004C3EBD">
              <w:rPr>
                <w:b/>
                <w:bCs/>
              </w:rPr>
              <w:t>Ohio Poverty Law Center</w:t>
            </w:r>
          </w:p>
          <w:p w:rsidR="003F1DD4" w:rsidRPr="004C3EBD" w:rsidP="007B3C55" w14:paraId="5120E447" w14:textId="77777777">
            <w:r w:rsidRPr="004C3EBD">
              <w:t>1108 City Park Ave. Suite 200</w:t>
            </w:r>
          </w:p>
          <w:p w:rsidR="003F1DD4" w:rsidRPr="004C3EBD" w:rsidP="007B3C55" w14:paraId="75E25839" w14:textId="77777777">
            <w:r w:rsidRPr="004C3EBD">
              <w:t>Columbus, OH 43206</w:t>
            </w:r>
          </w:p>
          <w:p w:rsidR="003F1DD4" w:rsidRPr="004C3EBD" w:rsidP="007B3C55" w14:paraId="075F7A26" w14:textId="77777777">
            <w:r w:rsidRPr="004C3EBD">
              <w:t>614-824-2501</w:t>
            </w:r>
          </w:p>
          <w:p w:rsidR="003F1DD4" w:rsidRPr="004C3EBD" w:rsidP="007B3C55" w14:paraId="74DDA598" w14:textId="77777777">
            <w:pPr>
              <w:rPr>
                <w:rStyle w:val="Hyperlink"/>
              </w:rPr>
            </w:pPr>
            <w:hyperlink r:id="rId12" w:history="1">
              <w:r w:rsidRPr="004C3EBD" w:rsidR="00EE4641">
                <w:rPr>
                  <w:rStyle w:val="Hyperlink"/>
                </w:rPr>
                <w:t>sjagers@ohiopovertylaw.org</w:t>
              </w:r>
            </w:hyperlink>
          </w:p>
          <w:p w:rsidR="003F1DD4" w:rsidRPr="004C3EBD" w:rsidP="007B3C55" w14:paraId="7626B559" w14:textId="77777777">
            <w:r w:rsidRPr="004C3EBD">
              <w:rPr>
                <w:color w:val="000000"/>
              </w:rPr>
              <w:t>(will accept service via e-mail)</w:t>
            </w:r>
          </w:p>
          <w:p w:rsidR="003F1DD4" w:rsidRPr="004C3EBD" w:rsidP="007B3C55" w14:paraId="4607FE5C" w14:textId="77777777"/>
        </w:tc>
      </w:tr>
      <w:tr w14:paraId="2697E38B" w14:textId="77777777" w:rsidTr="00401647">
        <w:tblPrEx>
          <w:tblW w:w="8640" w:type="dxa"/>
          <w:tblLayout w:type="fixed"/>
          <w:tblLook w:val="04A0"/>
        </w:tblPrEx>
        <w:tc>
          <w:tcPr>
            <w:tcW w:w="4500" w:type="dxa"/>
            <w:vMerge/>
          </w:tcPr>
          <w:p w:rsidR="003F1DD4" w:rsidRPr="004C3EBD" w:rsidP="007B3C55" w14:paraId="4B5E110C" w14:textId="77777777"/>
        </w:tc>
        <w:tc>
          <w:tcPr>
            <w:tcW w:w="4140" w:type="dxa"/>
          </w:tcPr>
          <w:p w:rsidR="003F1DD4" w:rsidRPr="00156B08" w:rsidP="007B3C55" w14:paraId="72C0DF09" w14:textId="77777777">
            <w:pPr>
              <w:rPr>
                <w:i/>
                <w:iCs/>
                <w:color w:val="000000"/>
                <w:u w:val="single"/>
              </w:rPr>
            </w:pPr>
            <w:r>
              <w:rPr>
                <w:i/>
                <w:iCs/>
                <w:color w:val="000000"/>
                <w:u w:val="single"/>
              </w:rPr>
              <w:t>/s/ Peggy P. Lee</w:t>
            </w:r>
          </w:p>
          <w:p w:rsidR="003F1DD4" w:rsidP="007B3C55" w14:paraId="6C3948C3" w14:textId="4500A6E7">
            <w:pPr>
              <w:rPr>
                <w:color w:val="000000"/>
              </w:rPr>
            </w:pPr>
            <w:r w:rsidRPr="004C3EBD">
              <w:rPr>
                <w:color w:val="000000"/>
              </w:rPr>
              <w:t xml:space="preserve">Peggy P. Lee </w:t>
            </w:r>
            <w:r w:rsidR="00401647">
              <w:rPr>
                <w:color w:val="000000"/>
              </w:rPr>
              <w:t>(</w:t>
            </w:r>
            <w:r w:rsidRPr="004C3EBD">
              <w:rPr>
                <w:color w:val="000000"/>
              </w:rPr>
              <w:t>0067912</w:t>
            </w:r>
            <w:r w:rsidR="00401647">
              <w:rPr>
                <w:color w:val="000000"/>
              </w:rPr>
              <w:t>)</w:t>
            </w:r>
          </w:p>
          <w:p w:rsidR="003F1DD4" w:rsidRPr="004C3EBD" w:rsidP="007B3C55" w14:paraId="6CA961A4" w14:textId="77777777">
            <w:pPr>
              <w:rPr>
                <w:color w:val="000000"/>
              </w:rPr>
            </w:pPr>
            <w:r>
              <w:rPr>
                <w:color w:val="000000"/>
              </w:rPr>
              <w:t>Senior Staff Attorney II</w:t>
            </w:r>
          </w:p>
          <w:p w:rsidR="003F1DD4" w:rsidRPr="004C3EBD" w:rsidP="007B3C55" w14:paraId="3913B3B6" w14:textId="77777777">
            <w:pPr>
              <w:rPr>
                <w:b/>
                <w:bCs/>
                <w:color w:val="000000"/>
              </w:rPr>
            </w:pPr>
            <w:r w:rsidRPr="004C3EBD">
              <w:rPr>
                <w:b/>
                <w:bCs/>
                <w:color w:val="000000"/>
              </w:rPr>
              <w:t>Southeastern Ohio Legal Services</w:t>
            </w:r>
          </w:p>
          <w:p w:rsidR="003F1DD4" w:rsidRPr="004C3EBD" w:rsidP="007B3C55" w14:paraId="43E20C95" w14:textId="77777777">
            <w:pPr>
              <w:rPr>
                <w:color w:val="000000"/>
              </w:rPr>
            </w:pPr>
            <w:r w:rsidRPr="004C3EBD">
              <w:rPr>
                <w:color w:val="000000"/>
              </w:rPr>
              <w:t>964 E State St</w:t>
            </w:r>
          </w:p>
          <w:p w:rsidR="003F1DD4" w:rsidP="007B3C55" w14:paraId="52098433" w14:textId="77777777">
            <w:pPr>
              <w:rPr>
                <w:color w:val="000000"/>
              </w:rPr>
            </w:pPr>
            <w:r w:rsidRPr="004C3EBD">
              <w:rPr>
                <w:color w:val="000000"/>
              </w:rPr>
              <w:t>Athens, OH  45701</w:t>
            </w:r>
          </w:p>
          <w:p w:rsidR="003F1DD4" w:rsidP="007B3C55" w14:paraId="52216AB9" w14:textId="77777777">
            <w:pPr>
              <w:rPr>
                <w:color w:val="000000"/>
              </w:rPr>
            </w:pPr>
            <w:r>
              <w:rPr>
                <w:color w:val="000000"/>
              </w:rPr>
              <w:t>740.594.3558</w:t>
            </w:r>
          </w:p>
          <w:p w:rsidR="003F1DD4" w:rsidP="007B3C55" w14:paraId="67081F02" w14:textId="77777777">
            <w:pPr>
              <w:rPr>
                <w:color w:val="000000"/>
              </w:rPr>
            </w:pPr>
            <w:r>
              <w:rPr>
                <w:color w:val="000000"/>
              </w:rPr>
              <w:t>Direct: 614.827.0516</w:t>
            </w:r>
          </w:p>
          <w:p w:rsidR="003F1DD4" w:rsidRPr="004C3EBD" w:rsidP="007B3C55" w14:paraId="3D9A8DD5" w14:textId="77777777">
            <w:pPr>
              <w:rPr>
                <w:color w:val="000000"/>
              </w:rPr>
            </w:pPr>
            <w:r>
              <w:rPr>
                <w:color w:val="000000"/>
              </w:rPr>
              <w:t>Fax: 740.594.3791</w:t>
            </w:r>
          </w:p>
          <w:p w:rsidR="003F1DD4" w:rsidP="007B3C55" w14:paraId="6D3FF2C0" w14:textId="77777777">
            <w:pPr>
              <w:rPr>
                <w:rStyle w:val="Hyperlink"/>
              </w:rPr>
            </w:pPr>
            <w:hyperlink r:id="rId13" w:tooltip="mailto:plee@seols.org" w:history="1">
              <w:r w:rsidRPr="004C3EBD" w:rsidR="00EE4641">
                <w:rPr>
                  <w:rStyle w:val="Hyperlink"/>
                </w:rPr>
                <w:t>plee@seols.org</w:t>
              </w:r>
            </w:hyperlink>
          </w:p>
          <w:p w:rsidR="003F1DD4" w:rsidRPr="004C3EBD" w:rsidP="007B3C55" w14:paraId="4950AFCD" w14:textId="77777777">
            <w:pPr>
              <w:rPr>
                <w:color w:val="000000"/>
              </w:rPr>
            </w:pPr>
            <w:r>
              <w:rPr>
                <w:rStyle w:val="Hyperlink"/>
              </w:rPr>
              <w:t>(will accept service via e-mail)</w:t>
            </w:r>
          </w:p>
          <w:p w:rsidR="003F1DD4" w:rsidRPr="004C3EBD" w:rsidP="007B3C55" w14:paraId="377535A6" w14:textId="77777777">
            <w:pPr>
              <w:shd w:val="clear" w:color="auto" w:fill="FFFFFF"/>
            </w:pPr>
          </w:p>
        </w:tc>
      </w:tr>
      <w:tr w14:paraId="6085BEEB" w14:textId="77777777" w:rsidTr="00401647">
        <w:tblPrEx>
          <w:tblW w:w="8640" w:type="dxa"/>
          <w:tblLayout w:type="fixed"/>
          <w:tblLook w:val="04A0"/>
        </w:tblPrEx>
        <w:tc>
          <w:tcPr>
            <w:tcW w:w="4500" w:type="dxa"/>
            <w:vMerge/>
          </w:tcPr>
          <w:p w:rsidR="003F1DD4" w:rsidRPr="004C3EBD" w:rsidP="007B3C55" w14:paraId="2C0114DA" w14:textId="77777777">
            <w:pPr>
              <w:rPr>
                <w:i/>
                <w:iCs/>
                <w:color w:val="000000"/>
                <w:u w:val="single"/>
              </w:rPr>
            </w:pPr>
          </w:p>
        </w:tc>
        <w:tc>
          <w:tcPr>
            <w:tcW w:w="4140" w:type="dxa"/>
          </w:tcPr>
          <w:p w:rsidR="003F1DD4" w:rsidRPr="00156B08" w:rsidP="007B3C55" w14:paraId="4089C25E" w14:textId="77777777">
            <w:pPr>
              <w:shd w:val="clear" w:color="auto" w:fill="FFFFFF"/>
              <w:rPr>
                <w:i/>
                <w:iCs/>
                <w:color w:val="000000"/>
                <w:u w:val="single"/>
              </w:rPr>
            </w:pPr>
            <w:r>
              <w:rPr>
                <w:i/>
                <w:iCs/>
                <w:color w:val="000000"/>
                <w:u w:val="single"/>
              </w:rPr>
              <w:t>/s/ Melissa Baker Linville</w:t>
            </w:r>
          </w:p>
          <w:p w:rsidR="003F1DD4" w:rsidP="007B3C55" w14:paraId="7FF25B73" w14:textId="77777777">
            <w:pPr>
              <w:shd w:val="clear" w:color="auto" w:fill="FFFFFF"/>
              <w:rPr>
                <w:color w:val="000000"/>
              </w:rPr>
            </w:pPr>
            <w:r w:rsidRPr="004C3EBD">
              <w:rPr>
                <w:color w:val="000000"/>
              </w:rPr>
              <w:t xml:space="preserve">Melissa </w:t>
            </w:r>
            <w:r>
              <w:rPr>
                <w:color w:val="000000"/>
              </w:rPr>
              <w:t xml:space="preserve">Baker </w:t>
            </w:r>
            <w:r w:rsidRPr="004C3EBD">
              <w:rPr>
                <w:color w:val="000000"/>
              </w:rPr>
              <w:t>Linville </w:t>
            </w:r>
            <w:r>
              <w:rPr>
                <w:color w:val="000000"/>
              </w:rPr>
              <w:t>(0088163)</w:t>
            </w:r>
          </w:p>
          <w:p w:rsidR="003F1DD4" w:rsidRPr="004C3EBD" w:rsidP="007B3C55" w14:paraId="0FAB39AD" w14:textId="77777777">
            <w:pPr>
              <w:shd w:val="clear" w:color="auto" w:fill="FFFFFF"/>
              <w:rPr>
                <w:color w:val="000000"/>
              </w:rPr>
            </w:pPr>
            <w:r>
              <w:rPr>
                <w:color w:val="000000"/>
              </w:rPr>
              <w:t>Staff Attorney</w:t>
            </w:r>
          </w:p>
          <w:p w:rsidR="003F1DD4" w:rsidRPr="004C3EBD" w:rsidP="007B3C55" w14:paraId="36D04EBB" w14:textId="77777777">
            <w:pPr>
              <w:shd w:val="clear" w:color="auto" w:fill="FFFFFF"/>
              <w:rPr>
                <w:b/>
                <w:bCs/>
                <w:color w:val="000000"/>
              </w:rPr>
            </w:pPr>
            <w:r w:rsidRPr="004C3EBD">
              <w:rPr>
                <w:b/>
                <w:bCs/>
                <w:color w:val="000000"/>
              </w:rPr>
              <w:t>The Legal Aid Society of Columbus </w:t>
            </w:r>
          </w:p>
          <w:p w:rsidR="003F1DD4" w:rsidRPr="004C3EBD" w:rsidP="007B3C55" w14:paraId="70692E34" w14:textId="77777777">
            <w:pPr>
              <w:shd w:val="clear" w:color="auto" w:fill="FFFFFF"/>
              <w:rPr>
                <w:color w:val="000000"/>
              </w:rPr>
            </w:pPr>
            <w:r w:rsidRPr="004C3EBD">
              <w:rPr>
                <w:color w:val="000000"/>
              </w:rPr>
              <w:t>1108 City Park Ave. </w:t>
            </w:r>
          </w:p>
          <w:p w:rsidR="003F1DD4" w:rsidP="007B3C55" w14:paraId="0E1E6BAB" w14:textId="77777777">
            <w:pPr>
              <w:shd w:val="clear" w:color="auto" w:fill="FFFFFF"/>
              <w:rPr>
                <w:color w:val="000000"/>
              </w:rPr>
            </w:pPr>
            <w:r w:rsidRPr="004C3EBD">
              <w:rPr>
                <w:color w:val="000000"/>
              </w:rPr>
              <w:t>Columbus, OH 43206</w:t>
            </w:r>
          </w:p>
          <w:p w:rsidR="003F1DD4" w:rsidRPr="004C3EBD" w:rsidP="007B3C55" w14:paraId="40152C74" w14:textId="77777777">
            <w:pPr>
              <w:shd w:val="clear" w:color="auto" w:fill="FFFFFF"/>
              <w:rPr>
                <w:color w:val="000000"/>
              </w:rPr>
            </w:pPr>
            <w:r>
              <w:rPr>
                <w:color w:val="000000"/>
              </w:rPr>
              <w:t>(614) 737-0155</w:t>
            </w:r>
          </w:p>
          <w:p w:rsidR="003F1DD4" w:rsidP="007B3C55" w14:paraId="075733DD" w14:textId="77777777">
            <w:pPr>
              <w:shd w:val="clear" w:color="auto" w:fill="FFFFFF"/>
              <w:rPr>
                <w:rStyle w:val="Hyperlink"/>
              </w:rPr>
            </w:pPr>
            <w:hyperlink r:id="rId14" w:history="1">
              <w:r w:rsidRPr="004C3EBD" w:rsidR="00EE4641">
                <w:rPr>
                  <w:rStyle w:val="Hyperlink"/>
                </w:rPr>
                <w:t>Mlinville@columbuslegalaid.org</w:t>
              </w:r>
            </w:hyperlink>
          </w:p>
          <w:p w:rsidR="003F1DD4" w:rsidP="007B3C55" w14:paraId="376D50F8" w14:textId="77777777">
            <w:pPr>
              <w:shd w:val="clear" w:color="auto" w:fill="FFFFFF"/>
              <w:rPr>
                <w:rStyle w:val="Hyperlink"/>
              </w:rPr>
            </w:pPr>
          </w:p>
          <w:p w:rsidR="003F1DD4" w:rsidP="007B3C55" w14:paraId="77C80FF5" w14:textId="77777777">
            <w:pPr>
              <w:ind w:left="3600"/>
            </w:pPr>
          </w:p>
          <w:p w:rsidR="003F1DD4" w:rsidRPr="004C3EBD" w:rsidP="000558CD" w14:paraId="48F7ABC7" w14:textId="77777777">
            <w:pPr>
              <w:rPr>
                <w:i/>
                <w:iCs/>
                <w:u w:val="single"/>
              </w:rPr>
            </w:pPr>
          </w:p>
        </w:tc>
      </w:tr>
    </w:tbl>
    <w:p w:rsidR="007F661B" w:rsidP="00E93417" w14:paraId="608F9B1D" w14:textId="77777777">
      <w:pPr>
        <w:tabs>
          <w:tab w:val="left" w:pos="4680"/>
        </w:tabs>
        <w:ind w:firstLine="720"/>
      </w:pPr>
    </w:p>
    <w:p w:rsidR="007F661B" w:rsidRPr="001A197E" w:rsidP="00E93417" w14:paraId="765D7339" w14:textId="7E3208FC">
      <w:pPr>
        <w:tabs>
          <w:tab w:val="left" w:pos="4680"/>
        </w:tabs>
        <w:ind w:firstLine="720"/>
        <w:sectPr w:rsidSect="00E979AE">
          <w:footerReference w:type="first" r:id="rId15"/>
          <w:pgSz w:w="12240" w:h="15840"/>
          <w:pgMar w:top="1440" w:right="1800" w:bottom="1440" w:left="1800" w:header="720" w:footer="720" w:gutter="0"/>
          <w:pgNumType w:start="2"/>
          <w:cols w:space="720"/>
          <w:titlePg/>
          <w:docGrid w:linePitch="360"/>
        </w:sectPr>
      </w:pPr>
    </w:p>
    <w:p w:rsidR="00E93417" w:rsidRPr="001A197E" w:rsidP="00E93417" w14:paraId="7A1A5AD3" w14:textId="77777777">
      <w:pPr>
        <w:tabs>
          <w:tab w:val="left" w:pos="4680"/>
        </w:tabs>
        <w:jc w:val="center"/>
        <w:rPr>
          <w:b/>
          <w:u w:val="single"/>
        </w:rPr>
      </w:pPr>
      <w:r w:rsidRPr="001A197E">
        <w:rPr>
          <w:b/>
          <w:u w:val="single"/>
        </w:rPr>
        <w:t>CERTIFICATE OF SERVICE</w:t>
      </w:r>
    </w:p>
    <w:p w:rsidR="00E93417" w:rsidRPr="001A197E" w:rsidP="00E93417" w14:paraId="601B3A13" w14:textId="77777777">
      <w:pPr>
        <w:jc w:val="center"/>
      </w:pPr>
    </w:p>
    <w:p w:rsidR="00E93417" w:rsidRPr="001A197E" w:rsidP="00E93417" w14:paraId="0F8FDAA0" w14:textId="4DE183CE">
      <w:pPr>
        <w:suppressAutoHyphens/>
        <w:spacing w:line="480" w:lineRule="auto"/>
        <w:ind w:firstLine="720"/>
        <w:rPr>
          <w:spacing w:val="-3"/>
        </w:rPr>
      </w:pPr>
      <w:r w:rsidRPr="001A197E">
        <w:t xml:space="preserve">It is hereby certified that a true copy of the foregoing </w:t>
      </w:r>
      <w:r w:rsidR="00F860CB">
        <w:rPr>
          <w:iCs/>
        </w:rPr>
        <w:t>Memorandum Contra</w:t>
      </w:r>
      <w:r w:rsidRPr="001A197E">
        <w:t xml:space="preserve"> was served by electronic transmission upon the parties below this </w:t>
      </w:r>
      <w:r w:rsidR="002562F9">
        <w:t>22nd</w:t>
      </w:r>
      <w:r w:rsidRPr="001A197E">
        <w:t xml:space="preserve"> day of </w:t>
      </w:r>
      <w:r w:rsidR="002562F9">
        <w:t>February</w:t>
      </w:r>
      <w:r w:rsidRPr="001A197E" w:rsidR="000B7FAE">
        <w:t xml:space="preserve"> 202</w:t>
      </w:r>
      <w:r w:rsidR="002562F9">
        <w:t>2</w:t>
      </w:r>
      <w:r w:rsidRPr="001A197E">
        <w:t>.</w:t>
      </w:r>
    </w:p>
    <w:p w:rsidR="00E93417" w:rsidRPr="001A197E" w:rsidP="00E93417" w14:paraId="1CC2D8EF" w14:textId="77777777">
      <w:pPr>
        <w:pStyle w:val="EndnoteText"/>
        <w:widowControl/>
        <w:tabs>
          <w:tab w:val="left" w:pos="-720"/>
        </w:tabs>
        <w:suppressAutoHyphens/>
        <w:rPr>
          <w:rFonts w:ascii="Times New Roman" w:hAnsi="Times New Roman"/>
          <w:spacing w:val="-3"/>
          <w:szCs w:val="24"/>
        </w:rPr>
      </w:pPr>
    </w:p>
    <w:p w:rsidR="00E93417" w:rsidP="00E93417" w14:paraId="7A091420" w14:textId="1DCEAB6A">
      <w:pPr>
        <w:pStyle w:val="EndnoteText"/>
        <w:widowControl/>
        <w:rPr>
          <w:rFonts w:ascii="Times New Roman" w:hAnsi="Times New Roman"/>
          <w:szCs w:val="24"/>
        </w:rPr>
      </w:pPr>
      <w:r w:rsidRPr="001A197E">
        <w:rPr>
          <w:rFonts w:ascii="Times New Roman" w:hAnsi="Times New Roman"/>
          <w:szCs w:val="24"/>
        </w:rPr>
        <w:tab/>
      </w:r>
      <w:r w:rsidRPr="001A197E">
        <w:rPr>
          <w:rFonts w:ascii="Times New Roman" w:hAnsi="Times New Roman"/>
          <w:szCs w:val="24"/>
        </w:rPr>
        <w:tab/>
      </w:r>
      <w:r w:rsidRPr="001A197E">
        <w:rPr>
          <w:rFonts w:ascii="Times New Roman" w:hAnsi="Times New Roman"/>
          <w:szCs w:val="24"/>
        </w:rPr>
        <w:tab/>
      </w:r>
      <w:r w:rsidRPr="001A197E">
        <w:rPr>
          <w:rFonts w:ascii="Times New Roman" w:hAnsi="Times New Roman"/>
          <w:szCs w:val="24"/>
        </w:rPr>
        <w:tab/>
      </w:r>
      <w:r w:rsidRPr="001A197E">
        <w:rPr>
          <w:rFonts w:ascii="Times New Roman" w:hAnsi="Times New Roman"/>
          <w:szCs w:val="24"/>
        </w:rPr>
        <w:tab/>
      </w:r>
      <w:r w:rsidRPr="001A197E">
        <w:rPr>
          <w:rFonts w:ascii="Times New Roman" w:hAnsi="Times New Roman"/>
          <w:szCs w:val="24"/>
        </w:rPr>
        <w:tab/>
      </w:r>
      <w:r w:rsidRPr="001A197E">
        <w:rPr>
          <w:rFonts w:ascii="Times New Roman" w:hAnsi="Times New Roman"/>
          <w:szCs w:val="24"/>
        </w:rPr>
        <w:tab/>
      </w:r>
      <w:r w:rsidRPr="001A197E">
        <w:rPr>
          <w:rFonts w:ascii="Times New Roman" w:hAnsi="Times New Roman"/>
          <w:i/>
          <w:szCs w:val="24"/>
          <w:u w:val="single"/>
        </w:rPr>
        <w:t xml:space="preserve">/s/ </w:t>
      </w:r>
      <w:r w:rsidR="002562F9">
        <w:rPr>
          <w:rFonts w:ascii="Times New Roman" w:hAnsi="Times New Roman"/>
          <w:i/>
          <w:szCs w:val="24"/>
          <w:u w:val="single"/>
        </w:rPr>
        <w:t>Ambrosia E. Wilson</w:t>
      </w:r>
      <w:r w:rsidRPr="001A197E">
        <w:rPr>
          <w:rFonts w:ascii="Times New Roman" w:hAnsi="Times New Roman"/>
          <w:i/>
          <w:szCs w:val="24"/>
          <w:u w:val="single"/>
        </w:rPr>
        <w:tab/>
      </w:r>
      <w:r w:rsidRPr="001A197E">
        <w:rPr>
          <w:rFonts w:ascii="Times New Roman" w:hAnsi="Times New Roman"/>
          <w:szCs w:val="24"/>
        </w:rPr>
        <w:tab/>
      </w:r>
      <w:r w:rsidRPr="001A197E">
        <w:rPr>
          <w:rFonts w:ascii="Times New Roman" w:hAnsi="Times New Roman"/>
          <w:szCs w:val="24"/>
        </w:rPr>
        <w:tab/>
      </w:r>
      <w:r w:rsidRPr="001A197E">
        <w:rPr>
          <w:rFonts w:ascii="Times New Roman" w:hAnsi="Times New Roman"/>
          <w:szCs w:val="24"/>
        </w:rPr>
        <w:tab/>
      </w:r>
      <w:r w:rsidRPr="001A197E">
        <w:rPr>
          <w:rFonts w:ascii="Times New Roman" w:hAnsi="Times New Roman"/>
          <w:szCs w:val="24"/>
        </w:rPr>
        <w:tab/>
      </w:r>
      <w:r w:rsidRPr="001A197E">
        <w:rPr>
          <w:rFonts w:ascii="Times New Roman" w:hAnsi="Times New Roman"/>
          <w:szCs w:val="24"/>
        </w:rPr>
        <w:tab/>
      </w:r>
      <w:r w:rsidRPr="001A197E">
        <w:rPr>
          <w:rFonts w:ascii="Times New Roman" w:hAnsi="Times New Roman"/>
          <w:szCs w:val="24"/>
        </w:rPr>
        <w:tab/>
      </w:r>
      <w:r w:rsidRPr="001A197E">
        <w:rPr>
          <w:rFonts w:ascii="Times New Roman" w:hAnsi="Times New Roman"/>
          <w:szCs w:val="24"/>
        </w:rPr>
        <w:tab/>
      </w:r>
      <w:r w:rsidRPr="001A197E">
        <w:rPr>
          <w:rFonts w:ascii="Times New Roman" w:hAnsi="Times New Roman"/>
          <w:szCs w:val="24"/>
        </w:rPr>
        <w:tab/>
        <w:t xml:space="preserve">Counsel of Record </w:t>
      </w:r>
    </w:p>
    <w:p w:rsidR="004D53C2" w:rsidRPr="001A197E" w:rsidP="00E93417" w14:paraId="1C92C03A" w14:textId="77777777">
      <w:pPr>
        <w:pStyle w:val="EndnoteText"/>
        <w:widowControl/>
        <w:rPr>
          <w:rFonts w:ascii="Times New Roman" w:hAnsi="Times New Roman"/>
          <w:szCs w:val="24"/>
        </w:rPr>
      </w:pPr>
    </w:p>
    <w:p w:rsidR="004D53C2" w:rsidRPr="004D53C2" w:rsidP="004D53C2" w14:paraId="466BA0E6" w14:textId="77777777">
      <w:pPr>
        <w:pStyle w:val="CommentText"/>
        <w:rPr>
          <w:sz w:val="24"/>
          <w:szCs w:val="24"/>
        </w:rPr>
      </w:pPr>
      <w:r w:rsidRPr="004D53C2">
        <w:rPr>
          <w:sz w:val="24"/>
          <w:szCs w:val="24"/>
        </w:rPr>
        <w:t>The PUCO’s e-filing system will electronically serve notice of the filing of this document on the following parties:</w:t>
      </w:r>
    </w:p>
    <w:p w:rsidR="00E93417" w:rsidRPr="001A197E" w:rsidP="00E93417" w14:paraId="03120791" w14:textId="77777777">
      <w:pPr>
        <w:jc w:val="center"/>
        <w:rPr>
          <w:b/>
          <w:u w:val="single"/>
        </w:rPr>
      </w:pPr>
    </w:p>
    <w:p w:rsidR="00690518" w:rsidRPr="00C12AC1" w:rsidP="00690518" w14:paraId="54C64712" w14:textId="77777777">
      <w:pPr>
        <w:jc w:val="center"/>
        <w:rPr>
          <w:b/>
          <w:u w:val="single"/>
        </w:rPr>
      </w:pPr>
      <w:r w:rsidRPr="00C12AC1">
        <w:rPr>
          <w:b/>
          <w:u w:val="single"/>
        </w:rPr>
        <w:t>SERVICE LIST</w:t>
      </w:r>
    </w:p>
    <w:p w:rsidR="00690518" w:rsidRPr="00C12AC1" w:rsidP="00690518" w14:paraId="55A15667" w14:textId="77777777">
      <w:pPr>
        <w:jc w:val="center"/>
        <w:rPr>
          <w:b/>
          <w:u w:val="single"/>
        </w:rPr>
      </w:pPr>
    </w:p>
    <w:p w:rsidR="00690518" w:rsidRPr="00C12AC1" w:rsidP="00690518" w14:paraId="297C9798" w14:textId="77777777">
      <w:pPr>
        <w:jc w:val="center"/>
        <w:rPr>
          <w:rFonts w:eastAsia="Calibri"/>
          <w:b/>
          <w:u w:val="single"/>
        </w:rPr>
      </w:pPr>
    </w:p>
    <w:tbl>
      <w:tblPr>
        <w:tblW w:w="0" w:type="auto"/>
        <w:tblLook w:val="04A0"/>
      </w:tblPr>
      <w:tblGrid>
        <w:gridCol w:w="4302"/>
        <w:gridCol w:w="4338"/>
      </w:tblGrid>
      <w:tr w14:paraId="2ED1C905" w14:textId="77777777" w:rsidTr="001F04E7">
        <w:tblPrEx>
          <w:tblW w:w="0" w:type="auto"/>
          <w:tblLook w:val="04A0"/>
        </w:tblPrEx>
        <w:tc>
          <w:tcPr>
            <w:tcW w:w="4428" w:type="dxa"/>
            <w:shd w:val="clear" w:color="auto" w:fill="auto"/>
          </w:tcPr>
          <w:p w:rsidR="00E979AE" w:rsidRPr="005C67A5" w:rsidP="001F04E7" w14:paraId="7EB4B146" w14:textId="77777777">
            <w:pPr>
              <w:widowControl w:val="0"/>
              <w:autoSpaceDE w:val="0"/>
              <w:autoSpaceDN w:val="0"/>
              <w:adjustRightInd w:val="0"/>
              <w:rPr>
                <w:rFonts w:eastAsia="Calibri"/>
              </w:rPr>
            </w:pPr>
            <w:hyperlink r:id="rId16" w:history="1">
              <w:r w:rsidRPr="00754F2C" w:rsidR="00EE4641">
                <w:rPr>
                  <w:rStyle w:val="Hyperlink"/>
                  <w:rFonts w:eastAsia="Calibri"/>
                </w:rPr>
                <w:t>John.jones@ohioAGO.gov</w:t>
              </w:r>
            </w:hyperlink>
          </w:p>
          <w:p w:rsidR="00E979AE" w:rsidP="001F04E7" w14:paraId="7501B533" w14:textId="77777777">
            <w:pPr>
              <w:widowControl w:val="0"/>
              <w:autoSpaceDE w:val="0"/>
              <w:autoSpaceDN w:val="0"/>
              <w:adjustRightInd w:val="0"/>
            </w:pPr>
            <w:hyperlink r:id="rId17" w:history="1">
              <w:r w:rsidRPr="005C67A5" w:rsidR="00EE4641">
                <w:rPr>
                  <w:rStyle w:val="Hyperlink"/>
                  <w:rFonts w:eastAsia="Calibri"/>
                </w:rPr>
                <w:t>glpetrucci@vorys.com</w:t>
              </w:r>
            </w:hyperlink>
          </w:p>
          <w:p w:rsidR="00E979AE" w:rsidP="001F04E7" w14:paraId="5D915F96" w14:textId="004D914C">
            <w:pPr>
              <w:widowControl w:val="0"/>
              <w:autoSpaceDE w:val="0"/>
              <w:autoSpaceDN w:val="0"/>
              <w:adjustRightInd w:val="0"/>
            </w:pPr>
            <w:hyperlink r:id="rId18" w:history="1">
              <w:r w:rsidR="004D53C2">
                <w:rPr>
                  <w:rStyle w:val="Hyperlink"/>
                </w:rPr>
                <w:t>aasanyal@vorys.com</w:t>
              </w:r>
            </w:hyperlink>
          </w:p>
          <w:p w:rsidR="00E979AE" w:rsidRPr="005C67A5" w:rsidP="001F04E7" w14:paraId="2D0CD349" w14:textId="77777777">
            <w:pPr>
              <w:widowControl w:val="0"/>
              <w:autoSpaceDE w:val="0"/>
              <w:autoSpaceDN w:val="0"/>
              <w:adjustRightInd w:val="0"/>
              <w:rPr>
                <w:rFonts w:eastAsia="Calibri"/>
              </w:rPr>
            </w:pPr>
            <w:hyperlink r:id="rId19" w:history="1">
              <w:r w:rsidRPr="005C67A5" w:rsidR="00EE4641">
                <w:rPr>
                  <w:rStyle w:val="Hyperlink"/>
                  <w:rFonts w:eastAsia="Calibri"/>
                </w:rPr>
                <w:t>dhart@douglasehart.com</w:t>
              </w:r>
            </w:hyperlink>
          </w:p>
          <w:p w:rsidR="00E979AE" w:rsidRPr="005C67A5" w:rsidP="001F04E7" w14:paraId="60127088" w14:textId="77777777">
            <w:pPr>
              <w:widowControl w:val="0"/>
              <w:autoSpaceDE w:val="0"/>
              <w:autoSpaceDN w:val="0"/>
              <w:adjustRightInd w:val="0"/>
              <w:rPr>
                <w:rFonts w:eastAsia="Calibri"/>
              </w:rPr>
            </w:pPr>
            <w:hyperlink r:id="rId20" w:history="1">
              <w:r w:rsidRPr="005C67A5" w:rsidR="00EE4641">
                <w:rPr>
                  <w:rStyle w:val="Hyperlink"/>
                  <w:rFonts w:eastAsia="Calibri"/>
                </w:rPr>
                <w:t>david.vehslage@verizon.com</w:t>
              </w:r>
            </w:hyperlink>
          </w:p>
          <w:p w:rsidR="00E979AE" w:rsidP="001F04E7" w14:paraId="3E740984" w14:textId="2B5658E0">
            <w:pPr>
              <w:widowControl w:val="0"/>
              <w:autoSpaceDE w:val="0"/>
              <w:autoSpaceDN w:val="0"/>
              <w:adjustRightInd w:val="0"/>
              <w:rPr>
                <w:rFonts w:eastAsia="Calibri"/>
                <w:color w:val="0000FF"/>
              </w:rPr>
            </w:pPr>
            <w:hyperlink r:id="rId21" w:history="1">
              <w:r w:rsidRPr="00F470D1" w:rsidR="004D53C2">
                <w:rPr>
                  <w:rStyle w:val="Hyperlink"/>
                  <w:rFonts w:eastAsia="Calibri"/>
                </w:rPr>
                <w:t>fdarr2019@gmail.com</w:t>
              </w:r>
            </w:hyperlink>
          </w:p>
          <w:p w:rsidR="004D53C2" w:rsidP="001F04E7" w14:paraId="56AC8199" w14:textId="710E1A72">
            <w:pPr>
              <w:widowControl w:val="0"/>
              <w:autoSpaceDE w:val="0"/>
              <w:autoSpaceDN w:val="0"/>
              <w:adjustRightInd w:val="0"/>
              <w:rPr>
                <w:rFonts w:eastAsia="Calibri"/>
                <w:color w:val="0000FF"/>
              </w:rPr>
            </w:pPr>
            <w:hyperlink r:id="rId22" w:history="1">
              <w:r w:rsidRPr="00F470D1" w:rsidR="00EE4641">
                <w:rPr>
                  <w:rStyle w:val="Hyperlink"/>
                  <w:rFonts w:eastAsia="Calibri"/>
                </w:rPr>
                <w:t>jonfkelly@sbcglobal.net</w:t>
              </w:r>
            </w:hyperlink>
          </w:p>
          <w:p w:rsidR="004D53C2" w:rsidRPr="005C67A5" w:rsidP="001F04E7" w14:paraId="1EA5CFCB" w14:textId="77777777">
            <w:pPr>
              <w:widowControl w:val="0"/>
              <w:autoSpaceDE w:val="0"/>
              <w:autoSpaceDN w:val="0"/>
              <w:adjustRightInd w:val="0"/>
              <w:rPr>
                <w:rFonts w:eastAsia="Calibri"/>
                <w:color w:val="0000FF"/>
              </w:rPr>
            </w:pPr>
          </w:p>
          <w:p w:rsidR="00E979AE" w:rsidRPr="005C67A5" w:rsidP="001F04E7" w14:paraId="049DED51" w14:textId="77777777">
            <w:pPr>
              <w:widowControl w:val="0"/>
              <w:autoSpaceDE w:val="0"/>
              <w:autoSpaceDN w:val="0"/>
              <w:adjustRightInd w:val="0"/>
              <w:rPr>
                <w:rFonts w:eastAsia="Calibri"/>
                <w:color w:val="0000FF"/>
              </w:rPr>
            </w:pPr>
          </w:p>
          <w:p w:rsidR="00E979AE" w:rsidRPr="005C67A5" w:rsidP="001F04E7" w14:paraId="39A5E02B" w14:textId="77777777">
            <w:pPr>
              <w:widowControl w:val="0"/>
              <w:autoSpaceDE w:val="0"/>
              <w:autoSpaceDN w:val="0"/>
              <w:adjustRightInd w:val="0"/>
              <w:rPr>
                <w:rFonts w:eastAsia="Calibri"/>
              </w:rPr>
            </w:pPr>
            <w:r w:rsidRPr="005C67A5">
              <w:rPr>
                <w:rFonts w:eastAsia="Calibri"/>
              </w:rPr>
              <w:t>Attorney Examiners:</w:t>
            </w:r>
          </w:p>
          <w:p w:rsidR="00E979AE" w:rsidRPr="005C67A5" w:rsidP="001F04E7" w14:paraId="2B959DC0" w14:textId="77777777">
            <w:pPr>
              <w:widowControl w:val="0"/>
              <w:autoSpaceDE w:val="0"/>
              <w:autoSpaceDN w:val="0"/>
              <w:adjustRightInd w:val="0"/>
              <w:rPr>
                <w:rFonts w:eastAsia="Calibri"/>
              </w:rPr>
            </w:pPr>
          </w:p>
          <w:p w:rsidR="00E979AE" w:rsidRPr="005C67A5" w:rsidP="001F04E7" w14:paraId="25D19735" w14:textId="77777777">
            <w:pPr>
              <w:widowControl w:val="0"/>
              <w:autoSpaceDE w:val="0"/>
              <w:autoSpaceDN w:val="0"/>
              <w:adjustRightInd w:val="0"/>
              <w:rPr>
                <w:rFonts w:eastAsia="Calibri"/>
              </w:rPr>
            </w:pPr>
            <w:hyperlink r:id="rId23" w:history="1">
              <w:r w:rsidRPr="005C67A5" w:rsidR="00EE4641">
                <w:rPr>
                  <w:rStyle w:val="Hyperlink"/>
                  <w:rFonts w:eastAsia="Calibri"/>
                </w:rPr>
                <w:t>Jay.agranoff@puc.state.oh.us</w:t>
              </w:r>
            </w:hyperlink>
          </w:p>
          <w:p w:rsidR="00E979AE" w:rsidRPr="005C67A5" w:rsidP="001F04E7" w14:paraId="74A29887" w14:textId="77777777">
            <w:pPr>
              <w:widowControl w:val="0"/>
              <w:autoSpaceDE w:val="0"/>
              <w:autoSpaceDN w:val="0"/>
              <w:adjustRightInd w:val="0"/>
              <w:rPr>
                <w:rFonts w:eastAsia="Calibri"/>
              </w:rPr>
            </w:pPr>
            <w:hyperlink r:id="rId24" w:history="1">
              <w:r w:rsidRPr="005C67A5" w:rsidR="00EE4641">
                <w:rPr>
                  <w:rStyle w:val="Hyperlink"/>
                  <w:rFonts w:eastAsia="Calibri"/>
                </w:rPr>
                <w:t>Jeffrey.jones@puc.state.oh.us</w:t>
              </w:r>
            </w:hyperlink>
          </w:p>
          <w:p w:rsidR="00E979AE" w:rsidRPr="005C67A5" w:rsidP="001F04E7" w14:paraId="1CC26FCD" w14:textId="77777777">
            <w:pPr>
              <w:widowControl w:val="0"/>
              <w:autoSpaceDE w:val="0"/>
              <w:autoSpaceDN w:val="0"/>
              <w:adjustRightInd w:val="0"/>
              <w:rPr>
                <w:b/>
              </w:rPr>
            </w:pPr>
          </w:p>
        </w:tc>
        <w:tc>
          <w:tcPr>
            <w:tcW w:w="4428" w:type="dxa"/>
            <w:shd w:val="clear" w:color="auto" w:fill="auto"/>
          </w:tcPr>
          <w:p w:rsidR="00E979AE" w:rsidRPr="005C67A5" w:rsidP="001F04E7" w14:paraId="6A47CF95" w14:textId="77777777">
            <w:pPr>
              <w:widowControl w:val="0"/>
              <w:autoSpaceDE w:val="0"/>
              <w:autoSpaceDN w:val="0"/>
              <w:adjustRightInd w:val="0"/>
              <w:rPr>
                <w:rFonts w:eastAsia="Calibri"/>
              </w:rPr>
            </w:pPr>
            <w:hyperlink r:id="rId25" w:history="1">
              <w:r w:rsidRPr="005C67A5" w:rsidR="00EE4641">
                <w:rPr>
                  <w:rStyle w:val="Hyperlink"/>
                  <w:rFonts w:eastAsia="Calibri"/>
                </w:rPr>
                <w:t>Patrick.crotty@cinbell.com</w:t>
              </w:r>
            </w:hyperlink>
          </w:p>
          <w:p w:rsidR="00E979AE" w:rsidRPr="005C67A5" w:rsidP="001F04E7" w14:paraId="5FF3653D" w14:textId="77777777">
            <w:pPr>
              <w:widowControl w:val="0"/>
              <w:autoSpaceDE w:val="0"/>
              <w:autoSpaceDN w:val="0"/>
              <w:adjustRightInd w:val="0"/>
              <w:rPr>
                <w:rFonts w:eastAsia="Calibri"/>
              </w:rPr>
            </w:pPr>
            <w:hyperlink r:id="rId26" w:history="1">
              <w:r w:rsidRPr="005C67A5" w:rsidR="00EE4641">
                <w:rPr>
                  <w:rStyle w:val="Hyperlink"/>
                  <w:rFonts w:eastAsia="Calibri"/>
                </w:rPr>
                <w:t>Jk2961@att.com</w:t>
              </w:r>
            </w:hyperlink>
          </w:p>
          <w:p w:rsidR="00E979AE" w:rsidRPr="005C67A5" w:rsidP="001F04E7" w14:paraId="177FB466" w14:textId="77777777">
            <w:pPr>
              <w:widowControl w:val="0"/>
              <w:autoSpaceDE w:val="0"/>
              <w:autoSpaceDN w:val="0"/>
              <w:adjustRightInd w:val="0"/>
              <w:rPr>
                <w:rFonts w:eastAsia="Calibri"/>
              </w:rPr>
            </w:pPr>
            <w:hyperlink r:id="rId27" w:history="1">
              <w:r w:rsidRPr="005C67A5" w:rsidR="00EE4641">
                <w:rPr>
                  <w:rStyle w:val="Hyperlink"/>
                  <w:rFonts w:eastAsia="Calibri"/>
                </w:rPr>
                <w:t>mo2753@att.com</w:t>
              </w:r>
            </w:hyperlink>
          </w:p>
          <w:p w:rsidR="00E979AE" w:rsidRPr="005C67A5" w:rsidP="001F04E7" w14:paraId="19385B5D" w14:textId="77777777">
            <w:pPr>
              <w:widowControl w:val="0"/>
              <w:autoSpaceDE w:val="0"/>
              <w:autoSpaceDN w:val="0"/>
              <w:adjustRightInd w:val="0"/>
              <w:rPr>
                <w:rFonts w:eastAsia="Calibri"/>
              </w:rPr>
            </w:pPr>
            <w:hyperlink r:id="rId28" w:history="1">
              <w:r w:rsidRPr="005C67A5" w:rsidR="00EE4641">
                <w:rPr>
                  <w:rStyle w:val="Hyperlink"/>
                  <w:rFonts w:eastAsia="Calibri"/>
                </w:rPr>
                <w:t>dt1329@att.com</w:t>
              </w:r>
            </w:hyperlink>
          </w:p>
          <w:p w:rsidR="00E979AE" w:rsidRPr="005C67A5" w:rsidP="001F04E7" w14:paraId="2215BC01" w14:textId="77777777">
            <w:pPr>
              <w:widowControl w:val="0"/>
              <w:autoSpaceDE w:val="0"/>
              <w:autoSpaceDN w:val="0"/>
              <w:adjustRightInd w:val="0"/>
              <w:rPr>
                <w:rFonts w:eastAsia="Calibri"/>
              </w:rPr>
            </w:pPr>
            <w:hyperlink r:id="rId29" w:history="1">
              <w:r w:rsidRPr="005C67A5" w:rsidR="00EE4641">
                <w:rPr>
                  <w:rStyle w:val="Hyperlink"/>
                  <w:rFonts w:eastAsia="Calibri"/>
                </w:rPr>
                <w:t>selisar@mwncmh.com</w:t>
              </w:r>
            </w:hyperlink>
          </w:p>
          <w:p w:rsidR="00E979AE" w:rsidP="001F04E7" w14:paraId="36DA3533" w14:textId="720B2707">
            <w:pPr>
              <w:widowControl w:val="0"/>
              <w:autoSpaceDE w:val="0"/>
              <w:autoSpaceDN w:val="0"/>
              <w:adjustRightInd w:val="0"/>
            </w:pPr>
            <w:hyperlink r:id="rId30" w:history="1">
              <w:r w:rsidRPr="00F470D1" w:rsidR="004D53C2">
                <w:rPr>
                  <w:rStyle w:val="Hyperlink"/>
                  <w:rFonts w:eastAsia="Calibri"/>
                </w:rPr>
                <w:t>mpritchard@mcneeslaw.com</w:t>
              </w:r>
            </w:hyperlink>
          </w:p>
          <w:p w:rsidR="00E979AE" w:rsidP="001F04E7" w14:paraId="6C37C043" w14:textId="77777777">
            <w:pPr>
              <w:widowControl w:val="0"/>
              <w:autoSpaceDE w:val="0"/>
              <w:autoSpaceDN w:val="0"/>
              <w:adjustRightInd w:val="0"/>
            </w:pPr>
            <w:hyperlink r:id="rId31" w:history="1">
              <w:r w:rsidRPr="008B0B2F" w:rsidR="00EE4641">
                <w:rPr>
                  <w:rStyle w:val="Hyperlink"/>
                </w:rPr>
                <w:t>mjsettineri@vorys.com</w:t>
              </w:r>
            </w:hyperlink>
          </w:p>
          <w:p w:rsidR="00E979AE" w:rsidRPr="005C67A5" w:rsidP="001F04E7" w14:paraId="31D7C945" w14:textId="77777777">
            <w:pPr>
              <w:widowControl w:val="0"/>
              <w:autoSpaceDE w:val="0"/>
              <w:autoSpaceDN w:val="0"/>
              <w:adjustRightInd w:val="0"/>
              <w:rPr>
                <w:rFonts w:eastAsia="Calibri"/>
              </w:rPr>
            </w:pPr>
            <w:hyperlink r:id="rId32" w:history="1">
              <w:r w:rsidRPr="005C67A5" w:rsidR="00EE4641">
                <w:rPr>
                  <w:rStyle w:val="Hyperlink"/>
                  <w:rFonts w:eastAsia="Calibri"/>
                </w:rPr>
                <w:t>matthew.myers@upnfiber.com</w:t>
              </w:r>
            </w:hyperlink>
          </w:p>
          <w:p w:rsidR="00E979AE" w:rsidRPr="005C67A5" w:rsidP="001F04E7" w14:paraId="3E512A84" w14:textId="77777777">
            <w:pPr>
              <w:widowControl w:val="0"/>
              <w:autoSpaceDE w:val="0"/>
              <w:autoSpaceDN w:val="0"/>
              <w:adjustRightInd w:val="0"/>
              <w:rPr>
                <w:rFonts w:eastAsia="Calibri"/>
              </w:rPr>
            </w:pPr>
            <w:hyperlink r:id="rId33" w:history="1">
              <w:r w:rsidRPr="005C67A5" w:rsidR="00EE4641">
                <w:rPr>
                  <w:rStyle w:val="Hyperlink"/>
                  <w:rFonts w:eastAsia="Calibri"/>
                </w:rPr>
                <w:t>glenn.richards@pillsburylaw.com</w:t>
              </w:r>
            </w:hyperlink>
          </w:p>
          <w:p w:rsidR="00E979AE" w:rsidRPr="005C67A5" w:rsidP="001F04E7" w14:paraId="4AD8EA9C" w14:textId="77777777">
            <w:pPr>
              <w:widowControl w:val="0"/>
              <w:autoSpaceDE w:val="0"/>
              <w:autoSpaceDN w:val="0"/>
              <w:adjustRightInd w:val="0"/>
              <w:rPr>
                <w:rFonts w:eastAsia="Calibri"/>
              </w:rPr>
            </w:pPr>
            <w:hyperlink r:id="rId34" w:history="1">
              <w:r w:rsidRPr="005C67A5" w:rsidR="00EE4641">
                <w:rPr>
                  <w:rStyle w:val="Hyperlink"/>
                  <w:rFonts w:eastAsia="Calibri"/>
                </w:rPr>
                <w:t>cblend@porterwright.com</w:t>
              </w:r>
            </w:hyperlink>
          </w:p>
          <w:p w:rsidR="00E979AE" w:rsidRPr="005C67A5" w:rsidP="001F04E7" w14:paraId="7EAD48A5" w14:textId="77777777">
            <w:pPr>
              <w:widowControl w:val="0"/>
              <w:autoSpaceDE w:val="0"/>
              <w:autoSpaceDN w:val="0"/>
              <w:adjustRightInd w:val="0"/>
              <w:rPr>
                <w:rFonts w:eastAsia="Calibri"/>
                <w:color w:val="0000FF"/>
              </w:rPr>
            </w:pPr>
            <w:r w:rsidRPr="005C67A5">
              <w:rPr>
                <w:rFonts w:eastAsia="Calibri"/>
                <w:color w:val="0000FF"/>
              </w:rPr>
              <w:t xml:space="preserve"> </w:t>
            </w:r>
          </w:p>
          <w:p w:rsidR="00E979AE" w:rsidRPr="005C67A5" w:rsidP="001F04E7" w14:paraId="58C8EA4F" w14:textId="77777777">
            <w:pPr>
              <w:widowControl w:val="0"/>
              <w:autoSpaceDE w:val="0"/>
              <w:autoSpaceDN w:val="0"/>
              <w:adjustRightInd w:val="0"/>
              <w:rPr>
                <w:b/>
              </w:rPr>
            </w:pPr>
          </w:p>
        </w:tc>
      </w:tr>
    </w:tbl>
    <w:p w:rsidR="00E93417" w:rsidRPr="001A197E" w:rsidP="00E93417" w14:paraId="296C5237" w14:textId="77777777">
      <w:pPr>
        <w:pStyle w:val="CommentText"/>
        <w:rPr>
          <w:b/>
          <w:sz w:val="24"/>
          <w:szCs w:val="24"/>
          <w:u w:val="single"/>
        </w:rPr>
      </w:pPr>
    </w:p>
    <w:sectPr w:rsidSect="00E979AE">
      <w:footerReference w:type="first" r:id="rId35"/>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62279195"/>
      <w:docPartObj>
        <w:docPartGallery w:val="Page Numbers (Bottom of Page)"/>
        <w:docPartUnique/>
      </w:docPartObj>
    </w:sdtPr>
    <w:sdtEndPr>
      <w:rPr>
        <w:noProof/>
      </w:rPr>
    </w:sdtEndPr>
    <w:sdtContent>
      <w:p w:rsidR="007F661B" w14:paraId="518E3503" w14:textId="77B9E4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79AE" w14:paraId="37E93DEA" w14:textId="6C10CFA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6223940"/>
      <w:docPartObj>
        <w:docPartGallery w:val="Page Numbers (Bottom of Page)"/>
        <w:docPartUnique/>
      </w:docPartObj>
    </w:sdtPr>
    <w:sdtEndPr>
      <w:rPr>
        <w:noProof/>
      </w:rPr>
    </w:sdtEndPr>
    <w:sdtContent>
      <w:p w:rsidR="007F661B" w14:paraId="46D9B339" w14:textId="06B9A1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3417" w14:paraId="08D7978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D0545" w14:paraId="56ADBB01" w14:textId="77777777">
      <w:r>
        <w:separator/>
      </w:r>
    </w:p>
  </w:footnote>
  <w:footnote w:type="continuationSeparator" w:id="1">
    <w:p w:rsidR="00CD0545" w14:paraId="32A9368C" w14:textId="77777777">
      <w:r>
        <w:continuationSeparator/>
      </w:r>
    </w:p>
  </w:footnote>
  <w:footnote w:id="2">
    <w:p w:rsidR="00194ED0" w:rsidRPr="00752516" w:rsidP="00BE2C96" w14:paraId="4D0AEA19" w14:textId="04D1D98A">
      <w:pPr>
        <w:pStyle w:val="FootnoteText"/>
        <w:spacing w:after="120"/>
        <w:rPr>
          <w:rFonts w:ascii="Times New Roman" w:hAnsi="Times New Roman"/>
        </w:rPr>
      </w:pPr>
      <w:r w:rsidRPr="00752516">
        <w:rPr>
          <w:rStyle w:val="FootnoteReference"/>
          <w:rFonts w:ascii="Times New Roman" w:hAnsi="Times New Roman"/>
        </w:rPr>
        <w:footnoteRef/>
      </w:r>
      <w:r w:rsidRPr="00752516">
        <w:rPr>
          <w:rFonts w:ascii="Times New Roman" w:hAnsi="Times New Roman"/>
        </w:rPr>
        <w:t xml:space="preserve"> Application for Rehearing </w:t>
      </w:r>
      <w:r w:rsidRPr="00752516" w:rsidR="005970A9">
        <w:rPr>
          <w:rFonts w:ascii="Times New Roman" w:hAnsi="Times New Roman"/>
        </w:rPr>
        <w:t xml:space="preserve">of the Ohio Telecom Association </w:t>
      </w:r>
      <w:r w:rsidRPr="00752516">
        <w:rPr>
          <w:rFonts w:ascii="Times New Roman" w:hAnsi="Times New Roman"/>
        </w:rPr>
        <w:t>(</w:t>
      </w:r>
      <w:r w:rsidRPr="00752516" w:rsidR="00F2111D">
        <w:rPr>
          <w:rFonts w:ascii="Times New Roman" w:hAnsi="Times New Roman"/>
        </w:rPr>
        <w:t>February 11, 2022</w:t>
      </w:r>
      <w:r w:rsidRPr="00752516">
        <w:rPr>
          <w:rFonts w:ascii="Times New Roman" w:hAnsi="Times New Roman"/>
        </w:rPr>
        <w:t>)</w:t>
      </w:r>
      <w:r w:rsidRPr="00752516" w:rsidR="003E0AAE">
        <w:rPr>
          <w:rFonts w:ascii="Times New Roman" w:hAnsi="Times New Roman"/>
        </w:rPr>
        <w:t xml:space="preserve"> (“OTA’s AFR”)</w:t>
      </w:r>
      <w:r w:rsidRPr="00752516" w:rsidR="00B123B1">
        <w:rPr>
          <w:rFonts w:ascii="Times New Roman" w:hAnsi="Times New Roman"/>
        </w:rPr>
        <w:t>; Application for Rehearing of the Ohio Cable Telecommunication Association (February 11, 2022) (OCTA’s AFR)</w:t>
      </w:r>
      <w:r w:rsidRPr="00752516" w:rsidR="003C79C4">
        <w:rPr>
          <w:rFonts w:ascii="Times New Roman" w:hAnsi="Times New Roman"/>
        </w:rPr>
        <w:t>.</w:t>
      </w:r>
    </w:p>
  </w:footnote>
  <w:footnote w:id="3">
    <w:p w:rsidR="00194ED0" w:rsidRPr="00752516" w:rsidP="00BE2C96" w14:paraId="347C62DC" w14:textId="529EF884">
      <w:pPr>
        <w:pStyle w:val="FootnoteText"/>
        <w:spacing w:after="120"/>
        <w:rPr>
          <w:rFonts w:ascii="Times New Roman" w:hAnsi="Times New Roman"/>
        </w:rPr>
      </w:pPr>
      <w:r w:rsidRPr="00752516">
        <w:rPr>
          <w:rStyle w:val="FootnoteReference"/>
          <w:rFonts w:ascii="Times New Roman" w:hAnsi="Times New Roman"/>
        </w:rPr>
        <w:footnoteRef/>
      </w:r>
      <w:r w:rsidRPr="00752516">
        <w:rPr>
          <w:rFonts w:ascii="Times New Roman" w:hAnsi="Times New Roman"/>
        </w:rPr>
        <w:t xml:space="preserve"> </w:t>
      </w:r>
      <w:r w:rsidRPr="00752516" w:rsidR="00F2111D">
        <w:rPr>
          <w:rFonts w:ascii="Times New Roman" w:hAnsi="Times New Roman"/>
        </w:rPr>
        <w:t>Comments of the Ohio Telecom Association</w:t>
      </w:r>
      <w:r w:rsidRPr="00752516">
        <w:rPr>
          <w:rFonts w:ascii="Times New Roman" w:hAnsi="Times New Roman"/>
        </w:rPr>
        <w:t xml:space="preserve"> (</w:t>
      </w:r>
      <w:r w:rsidRPr="00752516" w:rsidR="00342636">
        <w:rPr>
          <w:rFonts w:ascii="Times New Roman" w:hAnsi="Times New Roman"/>
        </w:rPr>
        <w:t>September 1</w:t>
      </w:r>
      <w:r w:rsidRPr="00752516">
        <w:rPr>
          <w:rFonts w:ascii="Times New Roman" w:hAnsi="Times New Roman"/>
        </w:rPr>
        <w:t>, 2021) (“</w:t>
      </w:r>
      <w:r w:rsidRPr="00752516" w:rsidR="00342636">
        <w:rPr>
          <w:rFonts w:ascii="Times New Roman" w:hAnsi="Times New Roman"/>
        </w:rPr>
        <w:t>OTA Comments</w:t>
      </w:r>
      <w:r w:rsidRPr="00752516">
        <w:rPr>
          <w:rFonts w:ascii="Times New Roman" w:hAnsi="Times New Roman"/>
        </w:rPr>
        <w:t>”)</w:t>
      </w:r>
      <w:r w:rsidRPr="00752516" w:rsidR="00342636">
        <w:rPr>
          <w:rFonts w:ascii="Times New Roman" w:hAnsi="Times New Roman"/>
        </w:rPr>
        <w:t xml:space="preserve">; </w:t>
      </w:r>
      <w:r w:rsidRPr="00752516" w:rsidR="00B123B1">
        <w:rPr>
          <w:rFonts w:ascii="Times New Roman" w:hAnsi="Times New Roman"/>
        </w:rPr>
        <w:t xml:space="preserve">Comments of the Ohio Cable Telecommunications Association (September 1, 2021) (“OCTA Comments”); </w:t>
      </w:r>
      <w:r w:rsidRPr="00752516" w:rsidR="00342636">
        <w:rPr>
          <w:rFonts w:ascii="Times New Roman" w:hAnsi="Times New Roman"/>
        </w:rPr>
        <w:t>Reply Comments of the Ohio Telecom Association (</w:t>
      </w:r>
      <w:r w:rsidRPr="00752516" w:rsidR="00EF6401">
        <w:rPr>
          <w:rFonts w:ascii="Times New Roman" w:hAnsi="Times New Roman"/>
        </w:rPr>
        <w:t>September 10, 2021) (“OTA Reply Comments”)</w:t>
      </w:r>
      <w:r w:rsidRPr="00752516" w:rsidR="00B123B1">
        <w:rPr>
          <w:rFonts w:ascii="Times New Roman" w:hAnsi="Times New Roman"/>
        </w:rPr>
        <w:t xml:space="preserve"> Reply Comments of the Ohio Cable Telecom Association (September 10, 2021) (“OCTA Reply Comments”)</w:t>
      </w:r>
      <w:r w:rsidRPr="00752516" w:rsidR="00911087">
        <w:rPr>
          <w:rFonts w:ascii="Times New Roman" w:hAnsi="Times New Roman"/>
        </w:rPr>
        <w:t>.</w:t>
      </w:r>
    </w:p>
  </w:footnote>
  <w:footnote w:id="4">
    <w:p w:rsidR="009B6147" w:rsidRPr="00752516" w:rsidP="00BE2C96" w14:paraId="663EE928" w14:textId="77777777">
      <w:pPr>
        <w:pStyle w:val="FootnoteText"/>
        <w:spacing w:after="120"/>
        <w:rPr>
          <w:rFonts w:ascii="Times New Roman" w:hAnsi="Times New Roman"/>
        </w:rPr>
      </w:pPr>
      <w:r w:rsidRPr="00752516">
        <w:rPr>
          <w:rStyle w:val="FootnoteReference"/>
          <w:rFonts w:ascii="Times New Roman" w:hAnsi="Times New Roman"/>
        </w:rPr>
        <w:footnoteRef/>
      </w:r>
      <w:r w:rsidRPr="00752516">
        <w:rPr>
          <w:rFonts w:ascii="Times New Roman" w:hAnsi="Times New Roman"/>
        </w:rPr>
        <w:t xml:space="preserve"> OTA’s AFR at 2.</w:t>
      </w:r>
    </w:p>
  </w:footnote>
  <w:footnote w:id="5">
    <w:p w:rsidR="009B6147" w:rsidRPr="00752516" w:rsidP="00BE2C96" w14:paraId="1683811F" w14:textId="77777777">
      <w:pPr>
        <w:pStyle w:val="FootnoteText"/>
        <w:spacing w:after="120"/>
        <w:rPr>
          <w:rFonts w:ascii="Times New Roman" w:hAnsi="Times New Roman"/>
        </w:rPr>
      </w:pPr>
      <w:r w:rsidRPr="00752516">
        <w:rPr>
          <w:rStyle w:val="FootnoteReference"/>
          <w:rFonts w:ascii="Times New Roman" w:hAnsi="Times New Roman"/>
        </w:rPr>
        <w:footnoteRef/>
      </w:r>
      <w:r w:rsidRPr="00752516">
        <w:rPr>
          <w:rFonts w:ascii="Times New Roman" w:hAnsi="Times New Roman"/>
        </w:rPr>
        <w:t xml:space="preserve"> </w:t>
      </w:r>
      <w:r w:rsidRPr="00752516">
        <w:rPr>
          <w:rFonts w:ascii="Times New Roman" w:hAnsi="Times New Roman"/>
          <w:i/>
          <w:iCs/>
        </w:rPr>
        <w:t>Id.</w:t>
      </w:r>
      <w:r w:rsidRPr="00752516">
        <w:rPr>
          <w:rFonts w:ascii="Times New Roman" w:hAnsi="Times New Roman"/>
        </w:rPr>
        <w:t xml:space="preserve"> at 1.</w:t>
      </w:r>
    </w:p>
  </w:footnote>
  <w:footnote w:id="6">
    <w:p w:rsidR="009B6147" w:rsidRPr="00752516" w:rsidP="00BE2C96" w14:paraId="4DFD30B7" w14:textId="77777777">
      <w:pPr>
        <w:pStyle w:val="FootnoteText"/>
        <w:spacing w:after="120"/>
        <w:rPr>
          <w:rFonts w:ascii="Times New Roman" w:hAnsi="Times New Roman"/>
        </w:rPr>
      </w:pPr>
      <w:r w:rsidRPr="00752516">
        <w:rPr>
          <w:rStyle w:val="FootnoteReference"/>
          <w:rFonts w:ascii="Times New Roman" w:hAnsi="Times New Roman"/>
        </w:rPr>
        <w:footnoteRef/>
      </w:r>
      <w:r w:rsidRPr="00752516">
        <w:rPr>
          <w:rFonts w:ascii="Times New Roman" w:hAnsi="Times New Roman"/>
        </w:rPr>
        <w:t xml:space="preserve"> </w:t>
      </w:r>
      <w:r w:rsidRPr="00752516">
        <w:rPr>
          <w:rFonts w:ascii="Times New Roman" w:hAnsi="Times New Roman"/>
          <w:i/>
          <w:iCs/>
        </w:rPr>
        <w:t>Id.</w:t>
      </w:r>
    </w:p>
  </w:footnote>
  <w:footnote w:id="7">
    <w:p w:rsidR="009B6147" w:rsidRPr="00752516" w:rsidP="00BE2C96" w14:paraId="0542CE00" w14:textId="77777777">
      <w:pPr>
        <w:pStyle w:val="FootnoteText"/>
        <w:spacing w:after="120"/>
        <w:rPr>
          <w:rFonts w:ascii="Times New Roman" w:hAnsi="Times New Roman"/>
        </w:rPr>
      </w:pPr>
      <w:r w:rsidRPr="00752516">
        <w:rPr>
          <w:rStyle w:val="FootnoteReference"/>
          <w:rFonts w:ascii="Times New Roman" w:hAnsi="Times New Roman"/>
        </w:rPr>
        <w:footnoteRef/>
      </w:r>
      <w:r w:rsidRPr="00752516">
        <w:rPr>
          <w:rFonts w:ascii="Times New Roman" w:hAnsi="Times New Roman"/>
        </w:rPr>
        <w:t xml:space="preserve"> Third Supplemental Finding and Order at (January 12, 2022) (the “3</w:t>
      </w:r>
      <w:r w:rsidRPr="00752516">
        <w:rPr>
          <w:rFonts w:ascii="Times New Roman" w:hAnsi="Times New Roman"/>
          <w:vertAlign w:val="superscript"/>
        </w:rPr>
        <w:t>rd</w:t>
      </w:r>
      <w:r w:rsidRPr="00752516">
        <w:rPr>
          <w:rFonts w:ascii="Times New Roman" w:hAnsi="Times New Roman"/>
        </w:rPr>
        <w:t xml:space="preserve"> F&amp;O”).</w:t>
      </w:r>
    </w:p>
  </w:footnote>
  <w:footnote w:id="8">
    <w:p w:rsidR="00114EA2" w:rsidP="00BE2C96" w14:paraId="0BFA0F3D" w14:textId="487E99F1">
      <w:pPr>
        <w:spacing w:after="120"/>
      </w:pPr>
      <w:r w:rsidRPr="00BE2C96">
        <w:rPr>
          <w:rStyle w:val="FootnoteReference"/>
          <w:sz w:val="20"/>
          <w:szCs w:val="20"/>
        </w:rPr>
        <w:footnoteRef/>
      </w:r>
      <w:r>
        <w:t xml:space="preserve"> </w:t>
      </w:r>
      <w:r w:rsidRPr="00BE2C96">
        <w:rPr>
          <w:color w:val="000000"/>
          <w:sz w:val="20"/>
          <w:szCs w:val="20"/>
        </w:rPr>
        <w:t xml:space="preserve">Advocates For Basic Legal Equality, Inc.; The Legal Aid Society </w:t>
      </w:r>
      <w:r w:rsidR="00A9198F">
        <w:rPr>
          <w:color w:val="000000"/>
          <w:sz w:val="20"/>
          <w:szCs w:val="20"/>
        </w:rPr>
        <w:t>o</w:t>
      </w:r>
      <w:r w:rsidRPr="00BE2C96">
        <w:rPr>
          <w:color w:val="000000"/>
          <w:sz w:val="20"/>
          <w:szCs w:val="20"/>
        </w:rPr>
        <w:t xml:space="preserve">f Columbus; </w:t>
      </w:r>
      <w:r w:rsidRPr="00BE2C96">
        <w:rPr>
          <w:sz w:val="20"/>
          <w:szCs w:val="20"/>
        </w:rPr>
        <w:t xml:space="preserve">Office Of The Ohio Consumers’ Counsel; Ohio Poverty Law Center; </w:t>
      </w:r>
      <w:r w:rsidRPr="00BE2C96">
        <w:rPr>
          <w:color w:val="000000"/>
          <w:sz w:val="20"/>
          <w:szCs w:val="20"/>
        </w:rPr>
        <w:t>Pro Seniors, Inc.; and Southeastern Ohio Legal Services</w:t>
      </w:r>
      <w:r w:rsidRPr="00BE2C96" w:rsidR="00271E13">
        <w:rPr>
          <w:color w:val="000000"/>
          <w:sz w:val="20"/>
          <w:szCs w:val="20"/>
        </w:rPr>
        <w:t xml:space="preserve"> (jointly, the “Consumer Groups”).</w:t>
      </w:r>
    </w:p>
  </w:footnote>
  <w:footnote w:id="9">
    <w:p w:rsidR="00894345" w:rsidRPr="00752516" w:rsidP="00BE2C96" w14:paraId="3FD0AD58" w14:textId="206396F8">
      <w:pPr>
        <w:pStyle w:val="FootnoteText"/>
        <w:spacing w:after="120"/>
        <w:rPr>
          <w:rFonts w:ascii="Times New Roman" w:hAnsi="Times New Roman"/>
        </w:rPr>
      </w:pPr>
      <w:r w:rsidRPr="00752516">
        <w:rPr>
          <w:rStyle w:val="FootnoteReference"/>
          <w:rFonts w:ascii="Times New Roman" w:hAnsi="Times New Roman"/>
        </w:rPr>
        <w:footnoteRef/>
      </w:r>
      <w:r w:rsidRPr="00752516">
        <w:rPr>
          <w:rFonts w:ascii="Times New Roman" w:hAnsi="Times New Roman"/>
        </w:rPr>
        <w:t xml:space="preserve"> Consumer Groups’ Initial Comments (September 1, 2021) (“</w:t>
      </w:r>
      <w:r w:rsidR="00A51501">
        <w:rPr>
          <w:rFonts w:ascii="Times New Roman" w:hAnsi="Times New Roman"/>
        </w:rPr>
        <w:t>Consumer Groups’</w:t>
      </w:r>
      <w:r w:rsidRPr="00752516">
        <w:rPr>
          <w:rFonts w:ascii="Times New Roman" w:hAnsi="Times New Roman"/>
        </w:rPr>
        <w:t xml:space="preserve"> Initial Comments”); Consumer Groups’ Reply Comments (September 10, 2021) (“</w:t>
      </w:r>
      <w:r w:rsidR="00A51501">
        <w:rPr>
          <w:rFonts w:ascii="Times New Roman" w:hAnsi="Times New Roman"/>
        </w:rPr>
        <w:t>Consumer Groups’</w:t>
      </w:r>
      <w:r w:rsidR="002B0577">
        <w:rPr>
          <w:rFonts w:ascii="Times New Roman" w:hAnsi="Times New Roman"/>
        </w:rPr>
        <w:t xml:space="preserve"> </w:t>
      </w:r>
      <w:r w:rsidRPr="00752516">
        <w:rPr>
          <w:rFonts w:ascii="Times New Roman" w:hAnsi="Times New Roman"/>
        </w:rPr>
        <w:t>Reply Comments”).</w:t>
      </w:r>
    </w:p>
  </w:footnote>
  <w:footnote w:id="10">
    <w:p w:rsidR="00BC5636" w:rsidRPr="00752516" w:rsidP="00BE2C96" w14:paraId="48BE8881" w14:textId="422D7401">
      <w:pPr>
        <w:pStyle w:val="FootnoteText"/>
        <w:spacing w:after="120"/>
        <w:rPr>
          <w:rFonts w:ascii="Times New Roman" w:hAnsi="Times New Roman"/>
        </w:rPr>
      </w:pPr>
      <w:r w:rsidRPr="00752516">
        <w:rPr>
          <w:rStyle w:val="FootnoteReference"/>
          <w:rFonts w:ascii="Times New Roman" w:hAnsi="Times New Roman"/>
        </w:rPr>
        <w:footnoteRef/>
      </w:r>
      <w:r w:rsidRPr="00752516">
        <w:rPr>
          <w:rFonts w:ascii="Times New Roman" w:hAnsi="Times New Roman"/>
        </w:rPr>
        <w:t xml:space="preserve"> </w:t>
      </w:r>
      <w:r w:rsidR="00A51501">
        <w:rPr>
          <w:rFonts w:ascii="Times New Roman" w:hAnsi="Times New Roman"/>
        </w:rPr>
        <w:t>Consumer Groups’</w:t>
      </w:r>
      <w:r w:rsidRPr="00752516" w:rsidR="00A51501">
        <w:rPr>
          <w:rFonts w:ascii="Times New Roman" w:hAnsi="Times New Roman"/>
        </w:rPr>
        <w:t xml:space="preserve"> </w:t>
      </w:r>
      <w:r w:rsidRPr="00752516">
        <w:rPr>
          <w:rFonts w:ascii="Times New Roman" w:hAnsi="Times New Roman"/>
        </w:rPr>
        <w:t>Initial Comments at 4</w:t>
      </w:r>
      <w:r w:rsidRPr="00752516" w:rsidR="000173BF">
        <w:rPr>
          <w:rFonts w:ascii="Times New Roman" w:hAnsi="Times New Roman"/>
        </w:rPr>
        <w:t>.</w:t>
      </w:r>
    </w:p>
  </w:footnote>
  <w:footnote w:id="11">
    <w:p w:rsidR="00B55B02" w:rsidRPr="00752516" w:rsidP="00BE2C96" w14:paraId="503BBE74" w14:textId="20B8FDEC">
      <w:pPr>
        <w:pStyle w:val="FootnoteText"/>
        <w:spacing w:after="120"/>
        <w:rPr>
          <w:rFonts w:ascii="Times New Roman" w:hAnsi="Times New Roman"/>
        </w:rPr>
      </w:pPr>
      <w:r w:rsidRPr="00752516">
        <w:rPr>
          <w:rStyle w:val="FootnoteReference"/>
          <w:rFonts w:ascii="Times New Roman" w:hAnsi="Times New Roman"/>
        </w:rPr>
        <w:footnoteRef/>
      </w:r>
      <w:r w:rsidRPr="00752516">
        <w:rPr>
          <w:rFonts w:ascii="Times New Roman" w:hAnsi="Times New Roman"/>
        </w:rPr>
        <w:t xml:space="preserve"> </w:t>
      </w:r>
      <w:r w:rsidRPr="00752516" w:rsidR="00C229B3">
        <w:rPr>
          <w:rFonts w:ascii="Times New Roman" w:hAnsi="Times New Roman"/>
        </w:rPr>
        <w:t>3</w:t>
      </w:r>
      <w:r w:rsidRPr="00752516" w:rsidR="00C229B3">
        <w:rPr>
          <w:rFonts w:ascii="Times New Roman" w:hAnsi="Times New Roman"/>
          <w:vertAlign w:val="superscript"/>
        </w:rPr>
        <w:t>rd</w:t>
      </w:r>
      <w:r w:rsidRPr="00752516" w:rsidR="00C229B3">
        <w:rPr>
          <w:rFonts w:ascii="Times New Roman" w:hAnsi="Times New Roman"/>
        </w:rPr>
        <w:t xml:space="preserve"> F&amp;O at </w:t>
      </w:r>
      <w:r w:rsidRPr="00752516" w:rsidR="00C15BAA">
        <w:rPr>
          <w:rFonts w:ascii="Times New Roman" w:hAnsi="Times New Roman"/>
        </w:rPr>
        <w:t>¶49.</w:t>
      </w:r>
    </w:p>
  </w:footnote>
  <w:footnote w:id="12">
    <w:p w:rsidR="00752516" w:rsidRPr="002A7B1E" w:rsidP="00BE2C96" w14:paraId="573E2A88" w14:textId="6C897CA9">
      <w:pPr>
        <w:pStyle w:val="FootnoteText"/>
        <w:spacing w:after="120"/>
        <w:rPr>
          <w:rFonts w:ascii="Times New Roman" w:hAnsi="Times New Roman"/>
        </w:rPr>
      </w:pPr>
      <w:r w:rsidRPr="002A7B1E">
        <w:rPr>
          <w:rStyle w:val="FootnoteReference"/>
          <w:rFonts w:ascii="Times New Roman" w:hAnsi="Times New Roman"/>
        </w:rPr>
        <w:footnoteRef/>
      </w:r>
      <w:r w:rsidRPr="002A7B1E">
        <w:rPr>
          <w:rFonts w:ascii="Times New Roman" w:hAnsi="Times New Roman"/>
        </w:rPr>
        <w:t xml:space="preserve"> </w:t>
      </w:r>
      <w:r w:rsidRPr="002A7B1E">
        <w:rPr>
          <w:rFonts w:ascii="Times New Roman" w:hAnsi="Times New Roman"/>
          <w:i/>
          <w:iCs/>
        </w:rPr>
        <w:t>See, e.g., Columbus S. Power Co. v. PUCO</w:t>
      </w:r>
      <w:r w:rsidRPr="002A7B1E">
        <w:rPr>
          <w:rFonts w:ascii="Times New Roman" w:hAnsi="Times New Roman"/>
        </w:rPr>
        <w:t>, 67 Ohio St.3d 535, 537 (1993).</w:t>
      </w:r>
    </w:p>
  </w:footnote>
  <w:footnote w:id="13">
    <w:p w:rsidR="00614B75" w:rsidRPr="00752516" w:rsidP="00BE2C96" w14:paraId="500F70BC" w14:textId="60EC0A56">
      <w:pPr>
        <w:pStyle w:val="FootnoteText"/>
        <w:spacing w:after="120"/>
        <w:rPr>
          <w:rFonts w:ascii="Times New Roman" w:hAnsi="Times New Roman"/>
        </w:rPr>
      </w:pPr>
      <w:r w:rsidRPr="00752516">
        <w:rPr>
          <w:rStyle w:val="FootnoteReference"/>
          <w:rFonts w:ascii="Times New Roman" w:hAnsi="Times New Roman"/>
        </w:rPr>
        <w:footnoteRef/>
      </w:r>
      <w:r w:rsidRPr="00752516">
        <w:rPr>
          <w:rFonts w:ascii="Times New Roman" w:hAnsi="Times New Roman"/>
        </w:rPr>
        <w:t xml:space="preserve"> OTA’s AFR at 10</w:t>
      </w:r>
      <w:r w:rsidRPr="00752516" w:rsidR="0082592D">
        <w:rPr>
          <w:rFonts w:ascii="Times New Roman" w:hAnsi="Times New Roman"/>
        </w:rPr>
        <w:t xml:space="preserve">; OCTA’s AFR at </w:t>
      </w:r>
      <w:r w:rsidRPr="00752516" w:rsidR="001E6053">
        <w:rPr>
          <w:rFonts w:ascii="Times New Roman" w:hAnsi="Times New Roman"/>
        </w:rPr>
        <w:t>7.</w:t>
      </w:r>
    </w:p>
  </w:footnote>
  <w:footnote w:id="14">
    <w:p w:rsidR="00EE35B5" w:rsidRPr="00752516" w:rsidP="00BE2C96" w14:paraId="1642391B" w14:textId="0EB9F31E">
      <w:pPr>
        <w:pStyle w:val="FootnoteText"/>
        <w:spacing w:after="120"/>
        <w:rPr>
          <w:rFonts w:ascii="Times New Roman" w:hAnsi="Times New Roman"/>
          <w:i/>
          <w:iCs/>
        </w:rPr>
      </w:pPr>
      <w:r w:rsidRPr="00752516">
        <w:rPr>
          <w:rStyle w:val="FootnoteReference"/>
          <w:rFonts w:ascii="Times New Roman" w:hAnsi="Times New Roman"/>
        </w:rPr>
        <w:footnoteRef/>
      </w:r>
      <w:r w:rsidRPr="00752516">
        <w:rPr>
          <w:rFonts w:ascii="Times New Roman" w:hAnsi="Times New Roman"/>
        </w:rPr>
        <w:t xml:space="preserve"> </w:t>
      </w:r>
      <w:r w:rsidRPr="00752516">
        <w:rPr>
          <w:rFonts w:ascii="Times New Roman" w:hAnsi="Times New Roman"/>
          <w:i/>
          <w:iCs/>
        </w:rPr>
        <w:t>Id.</w:t>
      </w:r>
    </w:p>
  </w:footnote>
  <w:footnote w:id="15">
    <w:p w:rsidR="00F17BB7" w:rsidRPr="00752516" w:rsidP="00BE2C96" w14:paraId="378530D6" w14:textId="77777777">
      <w:pPr>
        <w:pStyle w:val="FootnoteText"/>
        <w:spacing w:after="120"/>
        <w:rPr>
          <w:rFonts w:ascii="Times New Roman" w:hAnsi="Times New Roman"/>
        </w:rPr>
      </w:pPr>
      <w:r w:rsidRPr="00752516">
        <w:rPr>
          <w:rStyle w:val="FootnoteReference"/>
          <w:rFonts w:ascii="Times New Roman" w:hAnsi="Times New Roman"/>
        </w:rPr>
        <w:footnoteRef/>
      </w:r>
      <w:r w:rsidRPr="00752516">
        <w:rPr>
          <w:rFonts w:ascii="Times New Roman" w:hAnsi="Times New Roman"/>
        </w:rPr>
        <w:t xml:space="preserve"> OCTA’s AFR at 8-9.</w:t>
      </w:r>
    </w:p>
  </w:footnote>
  <w:footnote w:id="16">
    <w:p w:rsidR="00F17BB7" w:rsidRPr="00752516" w:rsidP="00BE2C96" w14:paraId="0BAF50F2" w14:textId="77777777">
      <w:pPr>
        <w:pStyle w:val="FootnoteText"/>
        <w:spacing w:after="120"/>
        <w:rPr>
          <w:rFonts w:ascii="Times New Roman" w:hAnsi="Times New Roman"/>
        </w:rPr>
      </w:pPr>
      <w:r w:rsidRPr="00752516">
        <w:rPr>
          <w:rStyle w:val="FootnoteReference"/>
          <w:rFonts w:ascii="Times New Roman" w:hAnsi="Times New Roman"/>
        </w:rPr>
        <w:footnoteRef/>
      </w:r>
      <w:r w:rsidRPr="00752516">
        <w:rPr>
          <w:rFonts w:ascii="Times New Roman" w:hAnsi="Times New Roman"/>
        </w:rPr>
        <w:t xml:space="preserve"> </w:t>
      </w:r>
      <w:r w:rsidRPr="00752516">
        <w:rPr>
          <w:rFonts w:ascii="Times New Roman" w:hAnsi="Times New Roman"/>
          <w:i/>
          <w:iCs/>
        </w:rPr>
        <w:t>Id</w:t>
      </w:r>
      <w:r w:rsidRPr="00752516">
        <w:rPr>
          <w:rFonts w:ascii="Times New Roman" w:hAnsi="Times New Roman"/>
        </w:rPr>
        <w:t>. at 9-13.</w:t>
      </w:r>
    </w:p>
  </w:footnote>
  <w:footnote w:id="17">
    <w:p w:rsidR="00F17BB7" w:rsidRPr="00752516" w:rsidP="00BE2C96" w14:paraId="5FC1072A" w14:textId="77777777">
      <w:pPr>
        <w:pStyle w:val="FootnoteText"/>
        <w:spacing w:after="120"/>
        <w:rPr>
          <w:rFonts w:ascii="Times New Roman" w:hAnsi="Times New Roman"/>
        </w:rPr>
      </w:pPr>
      <w:r w:rsidRPr="00752516">
        <w:rPr>
          <w:rStyle w:val="FootnoteReference"/>
          <w:rFonts w:ascii="Times New Roman" w:hAnsi="Times New Roman"/>
        </w:rPr>
        <w:footnoteRef/>
      </w:r>
      <w:r w:rsidRPr="00752516">
        <w:rPr>
          <w:rFonts w:ascii="Times New Roman" w:hAnsi="Times New Roman"/>
        </w:rPr>
        <w:t xml:space="preserve"> </w:t>
      </w:r>
      <w:r w:rsidRPr="00752516">
        <w:rPr>
          <w:rFonts w:ascii="Times New Roman" w:hAnsi="Times New Roman"/>
          <w:i/>
          <w:iCs/>
        </w:rPr>
        <w:t>Id</w:t>
      </w:r>
      <w:r w:rsidRPr="00752516">
        <w:rPr>
          <w:rFonts w:ascii="Times New Roman" w:hAnsi="Times New Roman"/>
        </w:rPr>
        <w:t>. at 13-15.</w:t>
      </w:r>
    </w:p>
  </w:footnote>
  <w:footnote w:id="18">
    <w:p w:rsidR="00F17BB7" w:rsidRPr="00752516" w:rsidP="00BE2C96" w14:paraId="0B3CB964" w14:textId="01CE4553">
      <w:pPr>
        <w:pStyle w:val="FootnoteText"/>
        <w:spacing w:after="120"/>
        <w:rPr>
          <w:rFonts w:ascii="Times New Roman" w:hAnsi="Times New Roman"/>
        </w:rPr>
      </w:pPr>
      <w:r w:rsidRPr="00752516">
        <w:rPr>
          <w:rStyle w:val="FootnoteReference"/>
          <w:rFonts w:ascii="Times New Roman" w:hAnsi="Times New Roman"/>
        </w:rPr>
        <w:footnoteRef/>
      </w:r>
      <w:r w:rsidRPr="00752516">
        <w:rPr>
          <w:rFonts w:ascii="Times New Roman" w:hAnsi="Times New Roman"/>
        </w:rPr>
        <w:t xml:space="preserve"> 3</w:t>
      </w:r>
      <w:r w:rsidRPr="00752516">
        <w:rPr>
          <w:rFonts w:ascii="Times New Roman" w:hAnsi="Times New Roman"/>
          <w:vertAlign w:val="superscript"/>
        </w:rPr>
        <w:t>rd</w:t>
      </w:r>
      <w:r w:rsidRPr="00752516">
        <w:rPr>
          <w:rFonts w:ascii="Times New Roman" w:hAnsi="Times New Roman"/>
        </w:rPr>
        <w:t xml:space="preserve"> F&amp;O</w:t>
      </w:r>
      <w:r w:rsidR="00141527">
        <w:rPr>
          <w:rFonts w:ascii="Times New Roman" w:hAnsi="Times New Roman"/>
        </w:rPr>
        <w:t xml:space="preserve"> at ¶56.</w:t>
      </w:r>
    </w:p>
  </w:footnote>
  <w:footnote w:id="19">
    <w:p w:rsidR="00F419A4" w:rsidRPr="00752516" w:rsidP="00BE2C96" w14:paraId="453C0637" w14:textId="77777777">
      <w:pPr>
        <w:pStyle w:val="FootnoteText"/>
        <w:spacing w:after="120"/>
        <w:rPr>
          <w:rFonts w:ascii="Times New Roman" w:hAnsi="Times New Roman"/>
        </w:rPr>
      </w:pPr>
      <w:r w:rsidRPr="00752516">
        <w:rPr>
          <w:rStyle w:val="FootnoteReference"/>
          <w:rFonts w:ascii="Times New Roman" w:hAnsi="Times New Roman"/>
        </w:rPr>
        <w:footnoteRef/>
      </w:r>
      <w:r w:rsidRPr="00752516">
        <w:rPr>
          <w:rFonts w:ascii="Times New Roman" w:hAnsi="Times New Roman"/>
        </w:rPr>
        <w:t xml:space="preserve"> </w:t>
      </w:r>
      <w:r w:rsidRPr="00752516">
        <w:rPr>
          <w:rFonts w:ascii="Times New Roman" w:hAnsi="Times New Roman"/>
          <w:i/>
          <w:iCs/>
        </w:rPr>
        <w:t xml:space="preserve">Id. </w:t>
      </w:r>
      <w:r w:rsidRPr="00752516">
        <w:rPr>
          <w:rFonts w:ascii="Times New Roman" w:hAnsi="Times New Roman"/>
        </w:rPr>
        <w:t>at ¶56.</w:t>
      </w:r>
    </w:p>
  </w:footnote>
  <w:footnote w:id="20">
    <w:p w:rsidR="00466223" w:rsidRPr="00752516" w:rsidP="00BE2C96" w14:paraId="6D4B5448" w14:textId="37485A82">
      <w:pPr>
        <w:pStyle w:val="FootnoteText"/>
        <w:spacing w:after="120"/>
        <w:rPr>
          <w:rFonts w:ascii="Times New Roman" w:hAnsi="Times New Roman"/>
        </w:rPr>
      </w:pPr>
      <w:r w:rsidRPr="00752516">
        <w:rPr>
          <w:rStyle w:val="FootnoteReference"/>
          <w:rFonts w:ascii="Times New Roman" w:hAnsi="Times New Roman"/>
        </w:rPr>
        <w:footnoteRef/>
      </w:r>
      <w:r w:rsidRPr="00752516">
        <w:rPr>
          <w:rFonts w:ascii="Times New Roman" w:hAnsi="Times New Roman"/>
        </w:rPr>
        <w:t xml:space="preserve"> </w:t>
      </w:r>
      <w:r w:rsidRPr="00752516">
        <w:rPr>
          <w:rFonts w:ascii="Times New Roman" w:hAnsi="Times New Roman"/>
          <w:i/>
          <w:iCs/>
        </w:rPr>
        <w:t>Id.</w:t>
      </w:r>
    </w:p>
  </w:footnote>
  <w:footnote w:id="21">
    <w:p w:rsidR="002F1A79" w:rsidRPr="00752516" w:rsidP="00BE2C96" w14:paraId="101DDDD9" w14:textId="6062FC01">
      <w:pPr>
        <w:pStyle w:val="FootnoteText"/>
        <w:spacing w:after="120"/>
        <w:rPr>
          <w:rFonts w:ascii="Times New Roman" w:hAnsi="Times New Roman"/>
        </w:rPr>
      </w:pPr>
      <w:r w:rsidRPr="00752516">
        <w:rPr>
          <w:rStyle w:val="FootnoteReference"/>
          <w:rFonts w:ascii="Times New Roman" w:hAnsi="Times New Roman"/>
        </w:rPr>
        <w:footnoteRef/>
      </w:r>
      <w:r w:rsidRPr="00752516">
        <w:rPr>
          <w:rFonts w:ascii="Times New Roman" w:hAnsi="Times New Roman"/>
        </w:rPr>
        <w:t xml:space="preserve"> </w:t>
      </w:r>
      <w:r w:rsidR="002B0577">
        <w:rPr>
          <w:rFonts w:ascii="Times New Roman" w:hAnsi="Times New Roman"/>
        </w:rPr>
        <w:t>Consumer Groups’</w:t>
      </w:r>
      <w:r w:rsidRPr="00752516">
        <w:rPr>
          <w:rFonts w:ascii="Times New Roman" w:hAnsi="Times New Roman"/>
        </w:rPr>
        <w:t xml:space="preserve"> </w:t>
      </w:r>
      <w:r w:rsidR="002B0577">
        <w:rPr>
          <w:rFonts w:ascii="Times New Roman" w:hAnsi="Times New Roman"/>
        </w:rPr>
        <w:t>Initial C</w:t>
      </w:r>
      <w:r w:rsidRPr="00752516">
        <w:rPr>
          <w:rFonts w:ascii="Times New Roman" w:hAnsi="Times New Roman"/>
        </w:rPr>
        <w:t>omments at 6.</w:t>
      </w:r>
    </w:p>
  </w:footnote>
  <w:footnote w:id="22">
    <w:p w:rsidR="002F1A79" w:rsidRPr="00752516" w:rsidP="00BE2C96" w14:paraId="64D4929D" w14:textId="77777777">
      <w:pPr>
        <w:pStyle w:val="FootnoteText"/>
        <w:spacing w:after="120"/>
        <w:rPr>
          <w:rFonts w:ascii="Times New Roman" w:hAnsi="Times New Roman"/>
          <w:i/>
          <w:iCs/>
        </w:rPr>
      </w:pPr>
      <w:r w:rsidRPr="00752516">
        <w:rPr>
          <w:rStyle w:val="FootnoteReference"/>
          <w:rFonts w:ascii="Times New Roman" w:hAnsi="Times New Roman"/>
        </w:rPr>
        <w:footnoteRef/>
      </w:r>
      <w:r w:rsidRPr="00752516">
        <w:rPr>
          <w:rFonts w:ascii="Times New Roman" w:hAnsi="Times New Roman"/>
        </w:rPr>
        <w:t xml:space="preserve"> </w:t>
      </w:r>
      <w:r w:rsidRPr="00752516">
        <w:rPr>
          <w:rFonts w:ascii="Times New Roman" w:hAnsi="Times New Roman"/>
          <w:i/>
          <w:iCs/>
        </w:rPr>
        <w:t>Id.</w:t>
      </w:r>
    </w:p>
  </w:footnote>
  <w:footnote w:id="23">
    <w:p w:rsidR="002F1A79" w:rsidRPr="00752516" w:rsidP="00BE2C96" w14:paraId="4A09877F" w14:textId="77777777">
      <w:pPr>
        <w:pStyle w:val="FootnoteText"/>
        <w:spacing w:after="120"/>
        <w:rPr>
          <w:rFonts w:ascii="Times New Roman" w:hAnsi="Times New Roman"/>
        </w:rPr>
      </w:pPr>
      <w:r w:rsidRPr="00752516">
        <w:rPr>
          <w:rStyle w:val="FootnoteReference"/>
          <w:rFonts w:ascii="Times New Roman" w:hAnsi="Times New Roman"/>
        </w:rPr>
        <w:footnoteRef/>
      </w:r>
      <w:r w:rsidRPr="00752516">
        <w:rPr>
          <w:rFonts w:ascii="Times New Roman" w:hAnsi="Times New Roman"/>
        </w:rPr>
        <w:t xml:space="preserve"> </w:t>
      </w:r>
      <w:r w:rsidRPr="00752516">
        <w:rPr>
          <w:rFonts w:ascii="Times New Roman" w:hAnsi="Times New Roman"/>
          <w:i/>
          <w:iCs/>
        </w:rPr>
        <w:t>Id.</w:t>
      </w:r>
    </w:p>
  </w:footnote>
  <w:footnote w:id="24">
    <w:p w:rsidR="00537F0D" w:rsidRPr="00752516" w:rsidP="00BE2C96" w14:paraId="2EC50968" w14:textId="7E00EBC3">
      <w:pPr>
        <w:pStyle w:val="FootnoteText"/>
        <w:spacing w:after="120"/>
        <w:rPr>
          <w:rFonts w:ascii="Times New Roman" w:hAnsi="Times New Roman"/>
        </w:rPr>
      </w:pPr>
      <w:r w:rsidRPr="00752516">
        <w:rPr>
          <w:rStyle w:val="FootnoteReference"/>
          <w:rFonts w:ascii="Times New Roman" w:hAnsi="Times New Roman"/>
        </w:rPr>
        <w:footnoteRef/>
      </w:r>
      <w:r w:rsidRPr="00752516">
        <w:rPr>
          <w:rFonts w:ascii="Times New Roman" w:hAnsi="Times New Roman"/>
        </w:rPr>
        <w:t xml:space="preserve"> 3</w:t>
      </w:r>
      <w:r w:rsidRPr="00752516">
        <w:rPr>
          <w:rFonts w:ascii="Times New Roman" w:hAnsi="Times New Roman"/>
          <w:vertAlign w:val="superscript"/>
        </w:rPr>
        <w:t>r</w:t>
      </w:r>
      <w:r w:rsidRPr="00752516" w:rsidR="00C736F2">
        <w:rPr>
          <w:rFonts w:ascii="Times New Roman" w:hAnsi="Times New Roman"/>
          <w:vertAlign w:val="superscript"/>
        </w:rPr>
        <w:t>d</w:t>
      </w:r>
      <w:r w:rsidRPr="00752516">
        <w:rPr>
          <w:rFonts w:ascii="Times New Roman" w:hAnsi="Times New Roman"/>
        </w:rPr>
        <w:t xml:space="preserve"> F&amp;O at ¶54.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940406"/>
    <w:multiLevelType w:val="multilevel"/>
    <w:tmpl w:val="72EE6F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9B4727B"/>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BE4B7D"/>
    <w:multiLevelType w:val="hybridMultilevel"/>
    <w:tmpl w:val="9966477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55B052E"/>
    <w:multiLevelType w:val="hybridMultilevel"/>
    <w:tmpl w:val="28BC3D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5E3307D"/>
    <w:multiLevelType w:val="hybridMultilevel"/>
    <w:tmpl w:val="B4CA57E0"/>
    <w:lvl w:ilvl="0">
      <w:start w:val="1"/>
      <w:numFmt w:val="decimal"/>
      <w:lvlText w:val="%1."/>
      <w:lvlJc w:val="left"/>
      <w:pPr>
        <w:ind w:hanging="692"/>
      </w:pPr>
      <w:rPr>
        <w:rFonts w:ascii="Times New Roman" w:eastAsia="Times New Roman" w:hAnsi="Times New Roman" w:hint="default"/>
        <w:color w:val="1F1F1F"/>
        <w:w w:val="102"/>
        <w:sz w:val="23"/>
        <w:szCs w:val="23"/>
      </w:rPr>
    </w:lvl>
    <w:lvl w:ilvl="1">
      <w:start w:val="1"/>
      <w:numFmt w:val="lowerLetter"/>
      <w:lvlText w:val="%2)"/>
      <w:lvlJc w:val="left"/>
      <w:pPr>
        <w:ind w:hanging="717"/>
      </w:pPr>
      <w:rPr>
        <w:rFonts w:ascii="Times New Roman" w:eastAsia="Times New Roman" w:hAnsi="Times New Roman" w:hint="default"/>
        <w:color w:val="131313"/>
        <w:w w:val="101"/>
        <w:sz w:val="23"/>
        <w:szCs w:val="23"/>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31217279"/>
    <w:multiLevelType w:val="hybridMultilevel"/>
    <w:tmpl w:val="4F98CEA0"/>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ascii="Times New Roman" w:hAnsi="Times New Roman" w:cs="Times New Roman" w:hint="default"/>
        <w:sz w:val="24"/>
        <w:szCs w:val="24"/>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643699A"/>
    <w:multiLevelType w:val="hybridMultilevel"/>
    <w:tmpl w:val="3698B21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7340E0B"/>
    <w:multiLevelType w:val="hybridMultilevel"/>
    <w:tmpl w:val="F7006E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BE91B5D"/>
    <w:multiLevelType w:val="hybridMultilevel"/>
    <w:tmpl w:val="278C71E2"/>
    <w:lvl w:ilvl="0">
      <w:start w:val="1"/>
      <w:numFmt w:val="upperRoman"/>
      <w:lvlText w:val="%1."/>
      <w:lvlJc w:val="left"/>
      <w:pPr>
        <w:ind w:left="162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20A2DAD"/>
    <w:multiLevelType w:val="multilevel"/>
    <w:tmpl w:val="0E1813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CAD4714"/>
    <w:multiLevelType w:val="hybridMultilevel"/>
    <w:tmpl w:val="1ACC73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1B25E5F"/>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1D948CF"/>
    <w:multiLevelType w:val="hybridMultilevel"/>
    <w:tmpl w:val="F3EAF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9C23BCF"/>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81556F"/>
    <w:multiLevelType w:val="hybridMultilevel"/>
    <w:tmpl w:val="72B4BF9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62CC6ABE"/>
    <w:multiLevelType w:val="hybridMultilevel"/>
    <w:tmpl w:val="9ABEFA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6A522FA"/>
    <w:multiLevelType w:val="hybridMultilevel"/>
    <w:tmpl w:val="D72405A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80B30E9"/>
    <w:multiLevelType w:val="hybridMultilevel"/>
    <w:tmpl w:val="248462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A550D85"/>
    <w:multiLevelType w:val="hybridMultilevel"/>
    <w:tmpl w:val="F98881D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1BE606F"/>
    <w:multiLevelType w:val="hybridMultilevel"/>
    <w:tmpl w:val="42123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A42978"/>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3AE1D95"/>
    <w:multiLevelType w:val="hybridMultilevel"/>
    <w:tmpl w:val="F84653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3FE1D7D"/>
    <w:multiLevelType w:val="hybridMultilevel"/>
    <w:tmpl w:val="E15C06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6A271A3"/>
    <w:multiLevelType w:val="hybridMultilevel"/>
    <w:tmpl w:val="8432F2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BBE7E2F"/>
    <w:multiLevelType w:val="hybridMultilevel"/>
    <w:tmpl w:val="35C8B2B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22"/>
  </w:num>
  <w:num w:numId="4">
    <w:abstractNumId w:val="0"/>
  </w:num>
  <w:num w:numId="5">
    <w:abstractNumId w:val="18"/>
  </w:num>
  <w:num w:numId="6">
    <w:abstractNumId w:val="9"/>
  </w:num>
  <w:num w:numId="7">
    <w:abstractNumId w:val="11"/>
  </w:num>
  <w:num w:numId="8">
    <w:abstractNumId w:val="20"/>
  </w:num>
  <w:num w:numId="9">
    <w:abstractNumId w:val="13"/>
  </w:num>
  <w:num w:numId="10">
    <w:abstractNumId w:val="1"/>
  </w:num>
  <w:num w:numId="11">
    <w:abstractNumId w:val="4"/>
  </w:num>
  <w:num w:numId="12">
    <w:abstractNumId w:val="8"/>
  </w:num>
  <w:num w:numId="13">
    <w:abstractNumId w:val="6"/>
  </w:num>
  <w:num w:numId="14">
    <w:abstractNumId w:val="3"/>
  </w:num>
  <w:num w:numId="15">
    <w:abstractNumId w:val="25"/>
  </w:num>
  <w:num w:numId="16">
    <w:abstractNumId w:val="1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5"/>
  </w:num>
  <w:num w:numId="21">
    <w:abstractNumId w:val="23"/>
  </w:num>
  <w:num w:numId="22">
    <w:abstractNumId w:val="10"/>
  </w:num>
  <w:num w:numId="23">
    <w:abstractNumId w:val="24"/>
  </w:num>
  <w:num w:numId="24">
    <w:abstractNumId w:val="17"/>
  </w:num>
  <w:num w:numId="25">
    <w:abstractNumId w:val="14"/>
  </w:num>
  <w:num w:numId="26">
    <w:abstractNumId w:val="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defaultTabStop w:val="720"/>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2A"/>
    <w:rsid w:val="000002F7"/>
    <w:rsid w:val="00003408"/>
    <w:rsid w:val="000060DE"/>
    <w:rsid w:val="0001401C"/>
    <w:rsid w:val="000154FA"/>
    <w:rsid w:val="00016C11"/>
    <w:rsid w:val="000173BF"/>
    <w:rsid w:val="00017623"/>
    <w:rsid w:val="0002361B"/>
    <w:rsid w:val="00024B50"/>
    <w:rsid w:val="00026C95"/>
    <w:rsid w:val="00033993"/>
    <w:rsid w:val="000405BD"/>
    <w:rsid w:val="00040FF0"/>
    <w:rsid w:val="000418BC"/>
    <w:rsid w:val="0004585F"/>
    <w:rsid w:val="00047DE9"/>
    <w:rsid w:val="000521C0"/>
    <w:rsid w:val="000558CD"/>
    <w:rsid w:val="00062236"/>
    <w:rsid w:val="0006645C"/>
    <w:rsid w:val="00067472"/>
    <w:rsid w:val="00076456"/>
    <w:rsid w:val="00083AC2"/>
    <w:rsid w:val="000855CF"/>
    <w:rsid w:val="000875B9"/>
    <w:rsid w:val="0008796C"/>
    <w:rsid w:val="000A60B3"/>
    <w:rsid w:val="000B0B50"/>
    <w:rsid w:val="000B3AB6"/>
    <w:rsid w:val="000B7FAE"/>
    <w:rsid w:val="000C7EC3"/>
    <w:rsid w:val="000D1DF6"/>
    <w:rsid w:val="000F3D32"/>
    <w:rsid w:val="00103D9B"/>
    <w:rsid w:val="00113DF9"/>
    <w:rsid w:val="00114EA2"/>
    <w:rsid w:val="00116881"/>
    <w:rsid w:val="0012326E"/>
    <w:rsid w:val="00123E53"/>
    <w:rsid w:val="00124BF8"/>
    <w:rsid w:val="00130946"/>
    <w:rsid w:val="00131244"/>
    <w:rsid w:val="001315A7"/>
    <w:rsid w:val="00141527"/>
    <w:rsid w:val="001510DC"/>
    <w:rsid w:val="00156B08"/>
    <w:rsid w:val="001625D0"/>
    <w:rsid w:val="00162621"/>
    <w:rsid w:val="00175415"/>
    <w:rsid w:val="001828B8"/>
    <w:rsid w:val="001829F8"/>
    <w:rsid w:val="001843A0"/>
    <w:rsid w:val="0019350E"/>
    <w:rsid w:val="00193A8E"/>
    <w:rsid w:val="00194ED0"/>
    <w:rsid w:val="001A197E"/>
    <w:rsid w:val="001A3487"/>
    <w:rsid w:val="001B20B7"/>
    <w:rsid w:val="001B7464"/>
    <w:rsid w:val="001D5586"/>
    <w:rsid w:val="001E019C"/>
    <w:rsid w:val="001E34AD"/>
    <w:rsid w:val="001E6053"/>
    <w:rsid w:val="001E6DE4"/>
    <w:rsid w:val="001F04E7"/>
    <w:rsid w:val="001F0A89"/>
    <w:rsid w:val="001F476D"/>
    <w:rsid w:val="00210572"/>
    <w:rsid w:val="002143A3"/>
    <w:rsid w:val="00214FBE"/>
    <w:rsid w:val="00223D45"/>
    <w:rsid w:val="00232F5F"/>
    <w:rsid w:val="002463AF"/>
    <w:rsid w:val="0024749C"/>
    <w:rsid w:val="00247C07"/>
    <w:rsid w:val="00255543"/>
    <w:rsid w:val="002562F9"/>
    <w:rsid w:val="00257C5C"/>
    <w:rsid w:val="002608A7"/>
    <w:rsid w:val="00271E13"/>
    <w:rsid w:val="002769AA"/>
    <w:rsid w:val="00284D21"/>
    <w:rsid w:val="002908DD"/>
    <w:rsid w:val="002A46F9"/>
    <w:rsid w:val="002A7A20"/>
    <w:rsid w:val="002A7B1E"/>
    <w:rsid w:val="002B0577"/>
    <w:rsid w:val="002B3B8C"/>
    <w:rsid w:val="002B77F6"/>
    <w:rsid w:val="002C00A4"/>
    <w:rsid w:val="002C6499"/>
    <w:rsid w:val="002C7AA6"/>
    <w:rsid w:val="002D4554"/>
    <w:rsid w:val="002D6E11"/>
    <w:rsid w:val="002E526F"/>
    <w:rsid w:val="002F1A79"/>
    <w:rsid w:val="002F4680"/>
    <w:rsid w:val="002F6F88"/>
    <w:rsid w:val="00300B31"/>
    <w:rsid w:val="00304974"/>
    <w:rsid w:val="00305E10"/>
    <w:rsid w:val="003200F3"/>
    <w:rsid w:val="003324FC"/>
    <w:rsid w:val="003360C6"/>
    <w:rsid w:val="003415CD"/>
    <w:rsid w:val="00342636"/>
    <w:rsid w:val="00344F92"/>
    <w:rsid w:val="00345312"/>
    <w:rsid w:val="00347E87"/>
    <w:rsid w:val="0035214D"/>
    <w:rsid w:val="00352B72"/>
    <w:rsid w:val="00361FCA"/>
    <w:rsid w:val="003841B1"/>
    <w:rsid w:val="003846C6"/>
    <w:rsid w:val="00391FF9"/>
    <w:rsid w:val="003A1251"/>
    <w:rsid w:val="003A2883"/>
    <w:rsid w:val="003B6DCB"/>
    <w:rsid w:val="003C48CA"/>
    <w:rsid w:val="003C79C4"/>
    <w:rsid w:val="003D1C61"/>
    <w:rsid w:val="003D7FA3"/>
    <w:rsid w:val="003E0AAE"/>
    <w:rsid w:val="003E46D6"/>
    <w:rsid w:val="003E633A"/>
    <w:rsid w:val="003F1DD4"/>
    <w:rsid w:val="003F27BA"/>
    <w:rsid w:val="003F3C0A"/>
    <w:rsid w:val="003F55E5"/>
    <w:rsid w:val="00401647"/>
    <w:rsid w:val="00401752"/>
    <w:rsid w:val="004027E9"/>
    <w:rsid w:val="00403CFE"/>
    <w:rsid w:val="00407BEF"/>
    <w:rsid w:val="004172FB"/>
    <w:rsid w:val="00430B86"/>
    <w:rsid w:val="00431564"/>
    <w:rsid w:val="00455EF5"/>
    <w:rsid w:val="00466223"/>
    <w:rsid w:val="00477395"/>
    <w:rsid w:val="004775E3"/>
    <w:rsid w:val="00482741"/>
    <w:rsid w:val="004834A3"/>
    <w:rsid w:val="004A18FA"/>
    <w:rsid w:val="004A3019"/>
    <w:rsid w:val="004B1FA3"/>
    <w:rsid w:val="004B3140"/>
    <w:rsid w:val="004C08B5"/>
    <w:rsid w:val="004C1897"/>
    <w:rsid w:val="004C3636"/>
    <w:rsid w:val="004C3EBD"/>
    <w:rsid w:val="004D2095"/>
    <w:rsid w:val="004D53C2"/>
    <w:rsid w:val="004D5D1A"/>
    <w:rsid w:val="004F1C7F"/>
    <w:rsid w:val="004F28ED"/>
    <w:rsid w:val="004F461C"/>
    <w:rsid w:val="004F56C8"/>
    <w:rsid w:val="00500A25"/>
    <w:rsid w:val="0050170A"/>
    <w:rsid w:val="00505872"/>
    <w:rsid w:val="00514373"/>
    <w:rsid w:val="005202D5"/>
    <w:rsid w:val="005208A0"/>
    <w:rsid w:val="005224D3"/>
    <w:rsid w:val="00527F64"/>
    <w:rsid w:val="00534011"/>
    <w:rsid w:val="0053442C"/>
    <w:rsid w:val="00534924"/>
    <w:rsid w:val="00535ADF"/>
    <w:rsid w:val="00536975"/>
    <w:rsid w:val="00537F0D"/>
    <w:rsid w:val="0054016D"/>
    <w:rsid w:val="00545C1A"/>
    <w:rsid w:val="00553013"/>
    <w:rsid w:val="005544A6"/>
    <w:rsid w:val="0055521D"/>
    <w:rsid w:val="00556951"/>
    <w:rsid w:val="00561209"/>
    <w:rsid w:val="0057030E"/>
    <w:rsid w:val="00573422"/>
    <w:rsid w:val="00575C74"/>
    <w:rsid w:val="005769DC"/>
    <w:rsid w:val="005970A9"/>
    <w:rsid w:val="005A017A"/>
    <w:rsid w:val="005A2CD6"/>
    <w:rsid w:val="005A4B77"/>
    <w:rsid w:val="005B5725"/>
    <w:rsid w:val="005B5D77"/>
    <w:rsid w:val="005C5C63"/>
    <w:rsid w:val="005C67A5"/>
    <w:rsid w:val="005C7B01"/>
    <w:rsid w:val="005C7C76"/>
    <w:rsid w:val="005E75F1"/>
    <w:rsid w:val="005F002C"/>
    <w:rsid w:val="005F3E32"/>
    <w:rsid w:val="005F5A42"/>
    <w:rsid w:val="00601A71"/>
    <w:rsid w:val="00604479"/>
    <w:rsid w:val="006120E1"/>
    <w:rsid w:val="00614B75"/>
    <w:rsid w:val="00616815"/>
    <w:rsid w:val="0061752F"/>
    <w:rsid w:val="00620A7A"/>
    <w:rsid w:val="006221DF"/>
    <w:rsid w:val="00625065"/>
    <w:rsid w:val="006254C3"/>
    <w:rsid w:val="00630987"/>
    <w:rsid w:val="00636911"/>
    <w:rsid w:val="00641B56"/>
    <w:rsid w:val="006509BF"/>
    <w:rsid w:val="00652CF2"/>
    <w:rsid w:val="00670868"/>
    <w:rsid w:val="00684D2E"/>
    <w:rsid w:val="00686AE0"/>
    <w:rsid w:val="00690518"/>
    <w:rsid w:val="00690CC7"/>
    <w:rsid w:val="0069311F"/>
    <w:rsid w:val="006963C4"/>
    <w:rsid w:val="0069786B"/>
    <w:rsid w:val="006A0D43"/>
    <w:rsid w:val="006A3B73"/>
    <w:rsid w:val="006B039D"/>
    <w:rsid w:val="006B2961"/>
    <w:rsid w:val="006D198E"/>
    <w:rsid w:val="00702583"/>
    <w:rsid w:val="0071120E"/>
    <w:rsid w:val="00711991"/>
    <w:rsid w:val="007170E7"/>
    <w:rsid w:val="00723774"/>
    <w:rsid w:val="00726108"/>
    <w:rsid w:val="007311BB"/>
    <w:rsid w:val="00733A3B"/>
    <w:rsid w:val="00734BCE"/>
    <w:rsid w:val="00736DD9"/>
    <w:rsid w:val="00744D17"/>
    <w:rsid w:val="00745DE7"/>
    <w:rsid w:val="00752516"/>
    <w:rsid w:val="00754F2C"/>
    <w:rsid w:val="0075795A"/>
    <w:rsid w:val="00760ADD"/>
    <w:rsid w:val="007614A8"/>
    <w:rsid w:val="0076448C"/>
    <w:rsid w:val="00764A2A"/>
    <w:rsid w:val="00766F32"/>
    <w:rsid w:val="00775F2F"/>
    <w:rsid w:val="007775FF"/>
    <w:rsid w:val="00782190"/>
    <w:rsid w:val="00795577"/>
    <w:rsid w:val="007956C5"/>
    <w:rsid w:val="007A540F"/>
    <w:rsid w:val="007A67B8"/>
    <w:rsid w:val="007B3C55"/>
    <w:rsid w:val="007B4DC6"/>
    <w:rsid w:val="007B6834"/>
    <w:rsid w:val="007C3D67"/>
    <w:rsid w:val="007D55C6"/>
    <w:rsid w:val="007D6D90"/>
    <w:rsid w:val="007E3682"/>
    <w:rsid w:val="007F661B"/>
    <w:rsid w:val="00801F09"/>
    <w:rsid w:val="008062BA"/>
    <w:rsid w:val="00814E04"/>
    <w:rsid w:val="00821F8B"/>
    <w:rsid w:val="0082592D"/>
    <w:rsid w:val="008335A0"/>
    <w:rsid w:val="008437F0"/>
    <w:rsid w:val="00844498"/>
    <w:rsid w:val="00850AFF"/>
    <w:rsid w:val="008558A3"/>
    <w:rsid w:val="008646B9"/>
    <w:rsid w:val="00865EC9"/>
    <w:rsid w:val="008746F0"/>
    <w:rsid w:val="00877F37"/>
    <w:rsid w:val="00894345"/>
    <w:rsid w:val="0089613F"/>
    <w:rsid w:val="008B0B2F"/>
    <w:rsid w:val="008B0D54"/>
    <w:rsid w:val="008B340D"/>
    <w:rsid w:val="008C0B52"/>
    <w:rsid w:val="008C0C84"/>
    <w:rsid w:val="008C131A"/>
    <w:rsid w:val="008C13F1"/>
    <w:rsid w:val="008C3D4F"/>
    <w:rsid w:val="008D2180"/>
    <w:rsid w:val="008D526E"/>
    <w:rsid w:val="008F5F82"/>
    <w:rsid w:val="00900BD5"/>
    <w:rsid w:val="00911087"/>
    <w:rsid w:val="00925605"/>
    <w:rsid w:val="009301EA"/>
    <w:rsid w:val="0093258D"/>
    <w:rsid w:val="0094215B"/>
    <w:rsid w:val="0094553D"/>
    <w:rsid w:val="0094700B"/>
    <w:rsid w:val="0095594C"/>
    <w:rsid w:val="00963584"/>
    <w:rsid w:val="009715AF"/>
    <w:rsid w:val="0097179C"/>
    <w:rsid w:val="0098305E"/>
    <w:rsid w:val="0098664E"/>
    <w:rsid w:val="009901CF"/>
    <w:rsid w:val="00990BBD"/>
    <w:rsid w:val="009B1F20"/>
    <w:rsid w:val="009B3EF0"/>
    <w:rsid w:val="009B6147"/>
    <w:rsid w:val="009B65E2"/>
    <w:rsid w:val="009B6DF9"/>
    <w:rsid w:val="009B7736"/>
    <w:rsid w:val="009C0142"/>
    <w:rsid w:val="009C215E"/>
    <w:rsid w:val="009C6879"/>
    <w:rsid w:val="009D174A"/>
    <w:rsid w:val="009D27B2"/>
    <w:rsid w:val="009D451D"/>
    <w:rsid w:val="009E40EA"/>
    <w:rsid w:val="009E687F"/>
    <w:rsid w:val="009F255A"/>
    <w:rsid w:val="00A0224F"/>
    <w:rsid w:val="00A040C6"/>
    <w:rsid w:val="00A10472"/>
    <w:rsid w:val="00A13575"/>
    <w:rsid w:val="00A149FA"/>
    <w:rsid w:val="00A223CC"/>
    <w:rsid w:val="00A22979"/>
    <w:rsid w:val="00A250EB"/>
    <w:rsid w:val="00A27016"/>
    <w:rsid w:val="00A33E89"/>
    <w:rsid w:val="00A36FBF"/>
    <w:rsid w:val="00A402E3"/>
    <w:rsid w:val="00A415A1"/>
    <w:rsid w:val="00A42685"/>
    <w:rsid w:val="00A43137"/>
    <w:rsid w:val="00A4512B"/>
    <w:rsid w:val="00A51501"/>
    <w:rsid w:val="00A524DD"/>
    <w:rsid w:val="00A52650"/>
    <w:rsid w:val="00A67CEF"/>
    <w:rsid w:val="00A74590"/>
    <w:rsid w:val="00A74CE2"/>
    <w:rsid w:val="00A76A24"/>
    <w:rsid w:val="00A823A2"/>
    <w:rsid w:val="00A838AE"/>
    <w:rsid w:val="00A84905"/>
    <w:rsid w:val="00A9198F"/>
    <w:rsid w:val="00AB5E84"/>
    <w:rsid w:val="00AB6B13"/>
    <w:rsid w:val="00AC1E6C"/>
    <w:rsid w:val="00AD59BC"/>
    <w:rsid w:val="00AD5FF0"/>
    <w:rsid w:val="00AE4CE5"/>
    <w:rsid w:val="00AE60E2"/>
    <w:rsid w:val="00AF0024"/>
    <w:rsid w:val="00AF5665"/>
    <w:rsid w:val="00AF658E"/>
    <w:rsid w:val="00AF65D5"/>
    <w:rsid w:val="00B02F35"/>
    <w:rsid w:val="00B07EE2"/>
    <w:rsid w:val="00B123B1"/>
    <w:rsid w:val="00B151EB"/>
    <w:rsid w:val="00B161EC"/>
    <w:rsid w:val="00B162FB"/>
    <w:rsid w:val="00B318AC"/>
    <w:rsid w:val="00B358A4"/>
    <w:rsid w:val="00B54E74"/>
    <w:rsid w:val="00B55A3C"/>
    <w:rsid w:val="00B55B02"/>
    <w:rsid w:val="00B63A48"/>
    <w:rsid w:val="00B673CB"/>
    <w:rsid w:val="00B71EA9"/>
    <w:rsid w:val="00B71F9C"/>
    <w:rsid w:val="00B832B9"/>
    <w:rsid w:val="00B860B3"/>
    <w:rsid w:val="00B8767A"/>
    <w:rsid w:val="00B911B7"/>
    <w:rsid w:val="00B93962"/>
    <w:rsid w:val="00B93DE9"/>
    <w:rsid w:val="00BA2A03"/>
    <w:rsid w:val="00BB0780"/>
    <w:rsid w:val="00BB0EAA"/>
    <w:rsid w:val="00BB364B"/>
    <w:rsid w:val="00BC228D"/>
    <w:rsid w:val="00BC5636"/>
    <w:rsid w:val="00BC792A"/>
    <w:rsid w:val="00BD3FE5"/>
    <w:rsid w:val="00BE2BAC"/>
    <w:rsid w:val="00BE2C96"/>
    <w:rsid w:val="00BF2F93"/>
    <w:rsid w:val="00BF4793"/>
    <w:rsid w:val="00C0206E"/>
    <w:rsid w:val="00C061C0"/>
    <w:rsid w:val="00C12AC1"/>
    <w:rsid w:val="00C15BAA"/>
    <w:rsid w:val="00C229B3"/>
    <w:rsid w:val="00C4659E"/>
    <w:rsid w:val="00C53BAA"/>
    <w:rsid w:val="00C646F4"/>
    <w:rsid w:val="00C71DDA"/>
    <w:rsid w:val="00C736F2"/>
    <w:rsid w:val="00C764B3"/>
    <w:rsid w:val="00C82298"/>
    <w:rsid w:val="00C82507"/>
    <w:rsid w:val="00CA1AA9"/>
    <w:rsid w:val="00CA42A9"/>
    <w:rsid w:val="00CA55BD"/>
    <w:rsid w:val="00CA7E66"/>
    <w:rsid w:val="00CC27C5"/>
    <w:rsid w:val="00CC37CD"/>
    <w:rsid w:val="00CC3ABC"/>
    <w:rsid w:val="00CC3D7F"/>
    <w:rsid w:val="00CD0545"/>
    <w:rsid w:val="00CD725A"/>
    <w:rsid w:val="00CE66BE"/>
    <w:rsid w:val="00CF4788"/>
    <w:rsid w:val="00D13A14"/>
    <w:rsid w:val="00D2238C"/>
    <w:rsid w:val="00D22883"/>
    <w:rsid w:val="00D248DC"/>
    <w:rsid w:val="00D35B17"/>
    <w:rsid w:val="00D45990"/>
    <w:rsid w:val="00D511B2"/>
    <w:rsid w:val="00D603DD"/>
    <w:rsid w:val="00D86C7F"/>
    <w:rsid w:val="00D90168"/>
    <w:rsid w:val="00D9122F"/>
    <w:rsid w:val="00D97A66"/>
    <w:rsid w:val="00DC3192"/>
    <w:rsid w:val="00DC3F76"/>
    <w:rsid w:val="00DC7C54"/>
    <w:rsid w:val="00DD3E3C"/>
    <w:rsid w:val="00DD5A5D"/>
    <w:rsid w:val="00DD6231"/>
    <w:rsid w:val="00E01BD2"/>
    <w:rsid w:val="00E031C6"/>
    <w:rsid w:val="00E04184"/>
    <w:rsid w:val="00E12547"/>
    <w:rsid w:val="00E1257E"/>
    <w:rsid w:val="00E1565E"/>
    <w:rsid w:val="00E43769"/>
    <w:rsid w:val="00E4757B"/>
    <w:rsid w:val="00E73294"/>
    <w:rsid w:val="00E80AA1"/>
    <w:rsid w:val="00E82EE9"/>
    <w:rsid w:val="00E87B12"/>
    <w:rsid w:val="00E90568"/>
    <w:rsid w:val="00E93417"/>
    <w:rsid w:val="00E979AE"/>
    <w:rsid w:val="00EA0C39"/>
    <w:rsid w:val="00EA4F17"/>
    <w:rsid w:val="00EB5A2C"/>
    <w:rsid w:val="00EC35B0"/>
    <w:rsid w:val="00EC6CF0"/>
    <w:rsid w:val="00EE2A4A"/>
    <w:rsid w:val="00EE35B5"/>
    <w:rsid w:val="00EE410E"/>
    <w:rsid w:val="00EE4641"/>
    <w:rsid w:val="00EF0E46"/>
    <w:rsid w:val="00EF187F"/>
    <w:rsid w:val="00EF3864"/>
    <w:rsid w:val="00EF6401"/>
    <w:rsid w:val="00F0136A"/>
    <w:rsid w:val="00F0527F"/>
    <w:rsid w:val="00F1414A"/>
    <w:rsid w:val="00F16459"/>
    <w:rsid w:val="00F17BB7"/>
    <w:rsid w:val="00F2111D"/>
    <w:rsid w:val="00F23127"/>
    <w:rsid w:val="00F2454B"/>
    <w:rsid w:val="00F37F8E"/>
    <w:rsid w:val="00F419A4"/>
    <w:rsid w:val="00F42390"/>
    <w:rsid w:val="00F46BB0"/>
    <w:rsid w:val="00F470D1"/>
    <w:rsid w:val="00F520C5"/>
    <w:rsid w:val="00F61C56"/>
    <w:rsid w:val="00F64F8D"/>
    <w:rsid w:val="00F706A0"/>
    <w:rsid w:val="00F84FA0"/>
    <w:rsid w:val="00F860CB"/>
    <w:rsid w:val="00F86643"/>
    <w:rsid w:val="00F90752"/>
    <w:rsid w:val="00FA3125"/>
    <w:rsid w:val="00FA4108"/>
    <w:rsid w:val="00FB5BAF"/>
    <w:rsid w:val="00FB73F0"/>
    <w:rsid w:val="00FC0C3A"/>
    <w:rsid w:val="00FE11BD"/>
    <w:rsid w:val="00FE2951"/>
    <w:rsid w:val="00FF52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641"/>
    <w:rPr>
      <w:sz w:val="24"/>
      <w:szCs w:val="24"/>
      <w:lang w:bidi="en-US"/>
    </w:rPr>
  </w:style>
  <w:style w:type="paragraph" w:styleId="Heading1">
    <w:name w:val="heading 1"/>
    <w:basedOn w:val="Normal"/>
    <w:next w:val="Normal"/>
    <w:link w:val="Heading1Char"/>
    <w:autoRedefine/>
    <w:uiPriority w:val="9"/>
    <w:qFormat/>
    <w:rsid w:val="0069311F"/>
    <w:pPr>
      <w:keepNext/>
      <w:spacing w:after="240"/>
      <w:ind w:left="720" w:hanging="720"/>
      <w:outlineLvl w:val="0"/>
    </w:pPr>
    <w:rPr>
      <w:rFonts w:ascii="Times New Roman Bold" w:hAnsi="Times New Roman Bold"/>
      <w:b/>
      <w:bCs/>
      <w:kern w:val="32"/>
    </w:rPr>
  </w:style>
  <w:style w:type="paragraph" w:styleId="Heading2">
    <w:name w:val="heading 2"/>
    <w:basedOn w:val="Normal"/>
    <w:next w:val="Normal"/>
    <w:link w:val="Heading2Char"/>
    <w:autoRedefine/>
    <w:uiPriority w:val="9"/>
    <w:qFormat/>
    <w:rsid w:val="00E1257E"/>
    <w:pPr>
      <w:keepNext/>
      <w:keepLines/>
      <w:spacing w:after="240"/>
      <w:ind w:left="1440" w:hanging="720"/>
      <w:outlineLvl w:val="1"/>
    </w:pPr>
    <w:rPr>
      <w:rFonts w:ascii="Times New Roman Bold" w:hAnsi="Times New Roman Bold"/>
      <w:b/>
      <w:bCs/>
      <w:iCs/>
      <w:szCs w:val="28"/>
    </w:rPr>
  </w:style>
  <w:style w:type="paragraph" w:styleId="Heading3">
    <w:name w:val="heading 3"/>
    <w:basedOn w:val="Normal"/>
    <w:next w:val="Normal"/>
    <w:link w:val="Heading3Char"/>
    <w:autoRedefine/>
    <w:uiPriority w:val="9"/>
    <w:qFormat/>
    <w:rsid w:val="00067600"/>
    <w:pPr>
      <w:keepNext/>
      <w:spacing w:after="240"/>
      <w:ind w:left="2160" w:hanging="720"/>
      <w:outlineLvl w:val="2"/>
    </w:pPr>
    <w:rPr>
      <w:rFonts w:ascii="Times New Roman Bold" w:hAnsi="Times New Roman Bold"/>
      <w:b/>
      <w:bCs/>
    </w:rPr>
  </w:style>
  <w:style w:type="paragraph" w:styleId="Heading4">
    <w:name w:val="heading 4"/>
    <w:basedOn w:val="Normal"/>
    <w:next w:val="Normal"/>
    <w:link w:val="Heading4Char"/>
    <w:autoRedefine/>
    <w:uiPriority w:val="9"/>
    <w:qFormat/>
    <w:rsid w:val="00AA7A3D"/>
    <w:pPr>
      <w:keepNext/>
      <w:keepLines/>
      <w:spacing w:after="240"/>
      <w:ind w:left="2880" w:hanging="720"/>
      <w:outlineLvl w:val="3"/>
    </w:pPr>
    <w:rPr>
      <w:b/>
      <w:bCs/>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11F"/>
    <w:rPr>
      <w:rFonts w:ascii="Times New Roman Bold" w:hAnsi="Times New Roman Bold"/>
      <w:b/>
      <w:bCs/>
      <w:kern w:val="32"/>
      <w:sz w:val="24"/>
      <w:szCs w:val="24"/>
      <w:lang w:bidi="en-US"/>
    </w:rPr>
  </w:style>
  <w:style w:type="character" w:customStyle="1" w:styleId="Heading2Char">
    <w:name w:val="Heading 2 Char"/>
    <w:link w:val="Heading2"/>
    <w:uiPriority w:val="9"/>
    <w:rsid w:val="00E1257E"/>
    <w:rPr>
      <w:rFonts w:ascii="Times New Roman Bold" w:hAnsi="Times New Roman Bold"/>
      <w:b/>
      <w:bCs/>
      <w:iCs/>
      <w:sz w:val="24"/>
      <w:szCs w:val="28"/>
      <w:lang w:bidi="en-US"/>
    </w:rPr>
  </w:style>
  <w:style w:type="character" w:customStyle="1" w:styleId="Heading3Char">
    <w:name w:val="Heading 3 Char"/>
    <w:link w:val="Heading3"/>
    <w:uiPriority w:val="9"/>
    <w:rsid w:val="00067600"/>
    <w:rPr>
      <w:rFonts w:ascii="Times New Roman Bold" w:hAnsi="Times New Roman Bold"/>
      <w:b/>
      <w:bCs/>
      <w:sz w:val="24"/>
      <w:szCs w:val="24"/>
      <w:lang w:bidi="en-US"/>
    </w:rPr>
  </w:style>
  <w:style w:type="character" w:customStyle="1" w:styleId="Heading4Char">
    <w:name w:val="Heading 4 Char"/>
    <w:link w:val="Heading4"/>
    <w:uiPriority w:val="9"/>
    <w:rsid w:val="00AA7A3D"/>
    <w:rPr>
      <w:b/>
      <w:bCs/>
      <w:sz w:val="24"/>
      <w:szCs w:val="28"/>
      <w:lang w:bidi="en-US"/>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Times New Roman" w:eastAsia="Times New Roman" w:hAnsi="Times New Roman"/>
    </w:rPr>
  </w:style>
  <w:style w:type="paragraph" w:styleId="Title">
    <w:name w:val="Title"/>
    <w:basedOn w:val="Normal"/>
    <w:next w:val="Normal"/>
    <w:link w:val="TitleChar"/>
    <w:uiPriority w:val="10"/>
    <w:qFormat/>
    <w:pPr>
      <w:spacing w:before="240" w:after="60"/>
      <w:jc w:val="center"/>
      <w:outlineLvl w:val="0"/>
    </w:pPr>
    <w:rPr>
      <w:b/>
      <w:bCs/>
      <w:kern w:val="28"/>
      <w:sz w:val="32"/>
      <w:szCs w:val="32"/>
    </w:rPr>
  </w:style>
  <w:style w:type="character" w:customStyle="1" w:styleId="TitleChar">
    <w:name w:val="Title Char"/>
    <w:link w:val="Title"/>
    <w:uiPriority w:val="10"/>
    <w:rPr>
      <w:rFonts w:ascii="Times New Roman" w:eastAsia="Times New Roman" w:hAnsi="Times New Roman"/>
      <w:b/>
      <w:bCs/>
      <w:kern w:val="28"/>
      <w:sz w:val="32"/>
      <w:szCs w:val="32"/>
    </w:rPr>
  </w:style>
  <w:style w:type="paragraph" w:styleId="Subtitle">
    <w:name w:val="Subtitle"/>
    <w:basedOn w:val="Normal"/>
    <w:next w:val="Normal"/>
    <w:link w:val="SubtitleChar"/>
    <w:uiPriority w:val="11"/>
    <w:qFormat/>
    <w:pPr>
      <w:spacing w:after="60"/>
      <w:jc w:val="center"/>
      <w:outlineLvl w:val="1"/>
    </w:pPr>
  </w:style>
  <w:style w:type="character" w:customStyle="1" w:styleId="SubtitleChar">
    <w:name w:val="Subtitle Char"/>
    <w:link w:val="Subtitle"/>
    <w:uiPriority w:val="11"/>
    <w:rPr>
      <w:rFonts w:ascii="Times New Roman" w:eastAsia="Times New Roman" w:hAnsi="Times New Roman"/>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Times New Roman" w:eastAsia="Times New Roman" w:hAnsi="Times New Roman"/>
      <w:b/>
      <w:i/>
      <w:sz w:val="24"/>
      <w:szCs w:val="24"/>
    </w:rPr>
  </w:style>
  <w:style w:type="paragraph" w:styleId="TOCHeading">
    <w:name w:val="TOC Heading"/>
    <w:basedOn w:val="Heading1"/>
    <w:next w:val="Normal"/>
    <w:uiPriority w:val="39"/>
    <w:qFormat/>
    <w:pPr>
      <w:outlineLvl w:val="9"/>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aliases w:val="Char1"/>
    <w:basedOn w:val="Normal"/>
    <w:link w:val="FooterChar"/>
    <w:uiPriority w:val="99"/>
    <w:unhideWhenUsed/>
    <w:pPr>
      <w:tabs>
        <w:tab w:val="center" w:pos="4680"/>
        <w:tab w:val="right" w:pos="9360"/>
      </w:tabs>
    </w:pPr>
  </w:style>
  <w:style w:type="character" w:customStyle="1" w:styleId="FooterChar">
    <w:name w:val="Footer Char"/>
    <w:aliases w:val="Char1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FileStampAtCursor">
    <w:name w:val="*LBFileStampAtCursor"/>
    <w:aliases w:val="FSC"/>
    <w:rsid w:val="00BF3101"/>
    <w:rPr>
      <w:rFonts w:ascii="Arial" w:hAnsi="Arial" w:cs="Times New Roman"/>
      <w:sz w:val="12"/>
      <w:szCs w:val="32"/>
    </w:rPr>
  </w:style>
  <w:style w:type="paragraph" w:customStyle="1" w:styleId="LBFileStampAtEnd">
    <w:name w:val="*LBFileStampAtEnd"/>
    <w:aliases w:val="FSE"/>
    <w:basedOn w:val="Normal"/>
    <w:rsid w:val="00BF3101"/>
    <w:pPr>
      <w:spacing w:before="360"/>
    </w:pPr>
    <w:rPr>
      <w:rFonts w:ascii="Arial" w:hAnsi="Arial"/>
      <w:sz w:val="12"/>
      <w:szCs w:val="32"/>
      <w:lang w:bidi="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bidi="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BodyText">
    <w:name w:val="Body Text"/>
    <w:basedOn w:val="Normal"/>
    <w:link w:val="BodyTextChar"/>
    <w:uiPriority w:val="1"/>
    <w:qFormat/>
    <w:rsid w:val="00B21C72"/>
    <w:pPr>
      <w:widowControl w:val="0"/>
      <w:ind w:left="100"/>
    </w:pPr>
    <w:rPr>
      <w:lang w:bidi="ar-SA"/>
    </w:rPr>
  </w:style>
  <w:style w:type="character" w:customStyle="1" w:styleId="BodyTextChar">
    <w:name w:val="Body Text Char"/>
    <w:link w:val="BodyText"/>
    <w:uiPriority w:val="1"/>
    <w:rsid w:val="00B21C72"/>
    <w:rPr>
      <w:sz w:val="24"/>
      <w:szCs w:val="24"/>
    </w:rPr>
  </w:style>
  <w:style w:type="paragraph" w:styleId="HTMLPreformatted">
    <w:name w:val="HTML Preformatted"/>
    <w:basedOn w:val="Normal"/>
    <w:link w:val="HTMLPreformattedChar"/>
    <w:rsid w:val="00B2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bidi="ar-SA"/>
    </w:rPr>
  </w:style>
  <w:style w:type="character" w:customStyle="1" w:styleId="HTMLPreformattedChar">
    <w:name w:val="HTML Preformatted Char"/>
    <w:link w:val="HTMLPreformatted"/>
    <w:uiPriority w:val="99"/>
    <w:rsid w:val="00B21C72"/>
    <w:rPr>
      <w:rFonts w:ascii="Courier New" w:eastAsia="Courier New" w:hAnsi="Courier New" w:cs="Courier New"/>
    </w:rPr>
  </w:style>
  <w:style w:type="paragraph" w:styleId="EndnoteText">
    <w:name w:val="endnote text"/>
    <w:basedOn w:val="Normal"/>
    <w:link w:val="EndnoteTextChar"/>
    <w:semiHidden/>
    <w:rsid w:val="00D618AF"/>
    <w:pPr>
      <w:widowControl w:val="0"/>
    </w:pPr>
    <w:rPr>
      <w:rFonts w:ascii="Courier New" w:hAnsi="Courier New"/>
      <w:szCs w:val="20"/>
      <w:lang w:bidi="ar-SA"/>
    </w:rPr>
  </w:style>
  <w:style w:type="character" w:customStyle="1" w:styleId="EndnoteTextChar">
    <w:name w:val="Endnote Text Char"/>
    <w:link w:val="EndnoteText"/>
    <w:semiHidden/>
    <w:rsid w:val="00D618AF"/>
    <w:rPr>
      <w:rFonts w:ascii="Courier New" w:hAnsi="Courier New"/>
      <w:sz w:val="24"/>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635194"/>
    <w:rPr>
      <w:rFonts w:ascii="Calibri" w:eastAsia="Calibri" w:hAnsi="Calibri"/>
      <w:sz w:val="20"/>
      <w:szCs w:val="20"/>
      <w:lang w:bidi="ar-SA"/>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link w:val="FootnoteText"/>
    <w:uiPriority w:val="99"/>
    <w:rsid w:val="00635194"/>
    <w:rPr>
      <w:rFonts w:ascii="Calibri" w:eastAsia="Calibri" w:hAnsi="Calibri"/>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unhideWhenUsed/>
    <w:qFormat/>
    <w:rsid w:val="00635194"/>
    <w:rPr>
      <w:vertAlign w:val="superscript"/>
    </w:rPr>
  </w:style>
  <w:style w:type="character" w:customStyle="1" w:styleId="Mention1">
    <w:name w:val="Mention1"/>
    <w:uiPriority w:val="99"/>
    <w:semiHidden/>
    <w:unhideWhenUsed/>
    <w:rsid w:val="00635194"/>
    <w:rPr>
      <w:color w:val="2B579A"/>
      <w:shd w:val="clear" w:color="auto" w:fill="E6E6E6"/>
    </w:rPr>
  </w:style>
  <w:style w:type="paragraph" w:styleId="Revision">
    <w:name w:val="Revision"/>
    <w:hidden/>
    <w:uiPriority w:val="99"/>
    <w:semiHidden/>
    <w:rsid w:val="00E84D0E"/>
    <w:rPr>
      <w:sz w:val="24"/>
      <w:szCs w:val="24"/>
      <w:lang w:bidi="en-US"/>
    </w:rPr>
  </w:style>
  <w:style w:type="paragraph" w:customStyle="1" w:styleId="xmsolistparagraph">
    <w:name w:val="x_msolistparagraph"/>
    <w:basedOn w:val="Normal"/>
    <w:rsid w:val="00C44776"/>
    <w:pPr>
      <w:ind w:left="720"/>
    </w:pPr>
    <w:rPr>
      <w:rFonts w:ascii="Calibri" w:eastAsia="Calibri" w:hAnsi="Calibri" w:cs="Calibri"/>
      <w:sz w:val="22"/>
      <w:szCs w:val="22"/>
      <w:lang w:bidi="ar-SA"/>
    </w:rPr>
  </w:style>
  <w:style w:type="character" w:customStyle="1" w:styleId="UnresolvedMention1">
    <w:name w:val="Unresolved Mention1"/>
    <w:uiPriority w:val="99"/>
    <w:semiHidden/>
    <w:unhideWhenUsed/>
    <w:rsid w:val="00D8084C"/>
    <w:rPr>
      <w:color w:val="605E5C"/>
      <w:shd w:val="clear" w:color="auto" w:fill="E1DFDD"/>
    </w:rPr>
  </w:style>
  <w:style w:type="paragraph" w:styleId="TOC4">
    <w:name w:val="toc 4"/>
    <w:basedOn w:val="Normal"/>
    <w:next w:val="Normal"/>
    <w:autoRedefine/>
    <w:uiPriority w:val="39"/>
    <w:unhideWhenUsed/>
    <w:qFormat/>
    <w:rsid w:val="00671CC6"/>
    <w:pPr>
      <w:tabs>
        <w:tab w:val="decimal" w:leader="dot" w:pos="8640"/>
      </w:tabs>
      <w:spacing w:after="240"/>
      <w:ind w:left="2880" w:hanging="720"/>
    </w:pPr>
  </w:style>
  <w:style w:type="paragraph" w:styleId="TOC1">
    <w:name w:val="toc 1"/>
    <w:basedOn w:val="Normal"/>
    <w:next w:val="Normal"/>
    <w:autoRedefine/>
    <w:uiPriority w:val="39"/>
    <w:unhideWhenUsed/>
    <w:qFormat/>
    <w:rsid w:val="00257C5C"/>
    <w:pPr>
      <w:tabs>
        <w:tab w:val="decimal" w:leader="dot" w:pos="9360"/>
      </w:tabs>
      <w:spacing w:after="240"/>
      <w:ind w:left="720" w:hanging="720"/>
      <w:outlineLvl w:val="0"/>
    </w:pPr>
    <w:rPr>
      <w:caps/>
    </w:rPr>
  </w:style>
  <w:style w:type="paragraph" w:styleId="TOC2">
    <w:name w:val="toc 2"/>
    <w:basedOn w:val="Normal"/>
    <w:next w:val="Normal"/>
    <w:autoRedefine/>
    <w:uiPriority w:val="39"/>
    <w:unhideWhenUsed/>
    <w:qFormat/>
    <w:rsid w:val="00257C5C"/>
    <w:pPr>
      <w:tabs>
        <w:tab w:val="decimal" w:leader="dot" w:pos="9360"/>
      </w:tabs>
      <w:spacing w:after="240"/>
      <w:ind w:left="1440" w:hanging="720"/>
      <w:outlineLvl w:val="1"/>
    </w:pPr>
  </w:style>
  <w:style w:type="paragraph" w:styleId="TOC3">
    <w:name w:val="toc 3"/>
    <w:basedOn w:val="Normal"/>
    <w:next w:val="Normal"/>
    <w:autoRedefine/>
    <w:uiPriority w:val="39"/>
    <w:unhideWhenUsed/>
    <w:qFormat/>
    <w:rsid w:val="00671CC6"/>
    <w:pPr>
      <w:tabs>
        <w:tab w:val="decimal" w:leader="dot" w:pos="8640"/>
      </w:tabs>
      <w:spacing w:after="240"/>
      <w:ind w:left="2160" w:hanging="720"/>
      <w:outlineLvl w:val="2"/>
    </w:pPr>
  </w:style>
  <w:style w:type="paragraph" w:customStyle="1" w:styleId="Default">
    <w:name w:val="Default"/>
    <w:rsid w:val="00690518"/>
    <w:pPr>
      <w:autoSpaceDE w:val="0"/>
      <w:autoSpaceDN w:val="0"/>
      <w:adjustRightInd w:val="0"/>
    </w:pPr>
    <w:rPr>
      <w:rFonts w:ascii="Palatino Linotype" w:hAnsi="Palatino Linotype" w:cs="Palatino Linotype"/>
      <w:color w:val="000000"/>
      <w:sz w:val="24"/>
      <w:szCs w:val="24"/>
    </w:rPr>
  </w:style>
  <w:style w:type="character" w:customStyle="1" w:styleId="UnresolvedMention2">
    <w:name w:val="Unresolved Mention2"/>
    <w:basedOn w:val="DefaultParagraphFont"/>
    <w:uiPriority w:val="99"/>
    <w:rsid w:val="00256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ablelaw.org" TargetMode="External" /><Relationship Id="rId11" Type="http://schemas.openxmlformats.org/officeDocument/2006/relationships/hyperlink" Target="mailto:mwalters@proseniors.org" TargetMode="External" /><Relationship Id="rId12" Type="http://schemas.openxmlformats.org/officeDocument/2006/relationships/hyperlink" Target="mailto:sjagers@ohiopovertylaw.org" TargetMode="External" /><Relationship Id="rId13" Type="http://schemas.openxmlformats.org/officeDocument/2006/relationships/hyperlink" Target="mailto:plee@seols.org" TargetMode="External" /><Relationship Id="rId14" Type="http://schemas.openxmlformats.org/officeDocument/2006/relationships/hyperlink" Target="mailto:Mlinville@columbuslegalaid.org" TargetMode="External" /><Relationship Id="rId15" Type="http://schemas.openxmlformats.org/officeDocument/2006/relationships/footer" Target="footer3.xml" /><Relationship Id="rId16" Type="http://schemas.openxmlformats.org/officeDocument/2006/relationships/hyperlink" Target="mailto:John.jones@ohioAGO.gov" TargetMode="External" /><Relationship Id="rId17" Type="http://schemas.openxmlformats.org/officeDocument/2006/relationships/hyperlink" Target="mailto:glpetrucci@vorys.com" TargetMode="External" /><Relationship Id="rId18" Type="http://schemas.openxmlformats.org/officeDocument/2006/relationships/hyperlink" Target="mailto:smhoward@vorys.com" TargetMode="External" /><Relationship Id="rId19" Type="http://schemas.openxmlformats.org/officeDocument/2006/relationships/hyperlink" Target="mailto:dhart@douglasehart.com" TargetMode="External" /><Relationship Id="rId2" Type="http://schemas.openxmlformats.org/officeDocument/2006/relationships/settings" Target="settings.xml" /><Relationship Id="rId20" Type="http://schemas.openxmlformats.org/officeDocument/2006/relationships/hyperlink" Target="mailto:david.vehslage@verizon.com" TargetMode="External" /><Relationship Id="rId21" Type="http://schemas.openxmlformats.org/officeDocument/2006/relationships/hyperlink" Target="mailto:fdarr2019@gmail.com" TargetMode="External" /><Relationship Id="rId22" Type="http://schemas.openxmlformats.org/officeDocument/2006/relationships/hyperlink" Target="mailto:jonfkelly@sbcglobal.net" TargetMode="External" /><Relationship Id="rId23" Type="http://schemas.openxmlformats.org/officeDocument/2006/relationships/hyperlink" Target="mailto:Jay.agranoff@puc.state.oh.us" TargetMode="External" /><Relationship Id="rId24" Type="http://schemas.openxmlformats.org/officeDocument/2006/relationships/hyperlink" Target="mailto:Jeffrey.jones@puc.state.oh.us" TargetMode="External" /><Relationship Id="rId25" Type="http://schemas.openxmlformats.org/officeDocument/2006/relationships/hyperlink" Target="mailto:Patrick.crotty@cinbell.com" TargetMode="External" /><Relationship Id="rId26" Type="http://schemas.openxmlformats.org/officeDocument/2006/relationships/hyperlink" Target="mailto:Jk2961@att.com" TargetMode="External" /><Relationship Id="rId27" Type="http://schemas.openxmlformats.org/officeDocument/2006/relationships/hyperlink" Target="mailto:mo2753@att.com" TargetMode="External" /><Relationship Id="rId28" Type="http://schemas.openxmlformats.org/officeDocument/2006/relationships/hyperlink" Target="mailto:dt1329@att.com" TargetMode="External" /><Relationship Id="rId29" Type="http://schemas.openxmlformats.org/officeDocument/2006/relationships/hyperlink" Target="mailto:selisar@mwncmh.com" TargetMode="External" /><Relationship Id="rId3" Type="http://schemas.openxmlformats.org/officeDocument/2006/relationships/webSettings" Target="webSettings.xml" /><Relationship Id="rId30" Type="http://schemas.openxmlformats.org/officeDocument/2006/relationships/hyperlink" Target="mailto:mpritchard@mcneeslaw.com" TargetMode="External" /><Relationship Id="rId31" Type="http://schemas.openxmlformats.org/officeDocument/2006/relationships/hyperlink" Target="mailto:mjsettineri@vorys.com" TargetMode="External" /><Relationship Id="rId32" Type="http://schemas.openxmlformats.org/officeDocument/2006/relationships/hyperlink" Target="mailto:matthew.myers@upnfiber.com" TargetMode="External" /><Relationship Id="rId33" Type="http://schemas.openxmlformats.org/officeDocument/2006/relationships/hyperlink" Target="mailto:glenn.richards@pillsburylaw.com" TargetMode="External" /><Relationship Id="rId34" Type="http://schemas.openxmlformats.org/officeDocument/2006/relationships/hyperlink" Target="mailto:cblend@porterwright.com" TargetMode="External" /><Relationship Id="rId35" Type="http://schemas.openxmlformats.org/officeDocument/2006/relationships/footer" Target="footer4.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mailto:ambrosia.wilson@occ.ohio.gov" TargetMode="External" /><Relationship Id="rId9" Type="http://schemas.openxmlformats.org/officeDocument/2006/relationships/hyperlink" Target="mailto:ejacobs@ablelaw.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0D24B-E644-417D-AC98-038BA127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2022-02-22T19:52:03Z</dcterms:created>
  <dcterms:modified xsi:type="dcterms:W3CDTF">2022-02-22T19:52:03Z</dcterms:modified>
</cp:coreProperties>
</file>