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84E88" w:rsidP="009E28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p>
    <w:p w:rsidR="009E2898" w:rsidRPr="00C5582B" w:rsidP="009E28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C5582B">
        <w:rPr>
          <w:rFonts w:ascii="Times New Roman" w:hAnsi="Times New Roman" w:cs="Times New Roman"/>
          <w:b/>
          <w:bCs/>
          <w:sz w:val="24"/>
          <w:szCs w:val="24"/>
        </w:rPr>
        <w:t>BEFORE</w:t>
      </w:r>
    </w:p>
    <w:p w:rsidR="009E2898" w:rsidRPr="00C5582B" w:rsidP="009E2898">
      <w:pPr>
        <w:pStyle w:val="HTMLPreformatted"/>
        <w:jc w:val="center"/>
        <w:rPr>
          <w:rFonts w:ascii="Times New Roman" w:hAnsi="Times New Roman" w:cs="Times New Roman"/>
          <w:b/>
          <w:bCs/>
          <w:sz w:val="24"/>
          <w:szCs w:val="24"/>
        </w:rPr>
      </w:pPr>
      <w:r w:rsidRPr="00C5582B">
        <w:rPr>
          <w:rFonts w:ascii="Times New Roman" w:hAnsi="Times New Roman" w:cs="Times New Roman"/>
          <w:b/>
          <w:bCs/>
          <w:sz w:val="24"/>
          <w:szCs w:val="24"/>
        </w:rPr>
        <w:t>THE PUBLIC UTILITIES COMMISSION OF OHIO</w:t>
      </w:r>
    </w:p>
    <w:p w:rsidR="009E2898" w:rsidRPr="00C5582B" w:rsidP="009E2898">
      <w:pPr>
        <w:pStyle w:val="HTMLPreformatted"/>
        <w:jc w:val="center"/>
        <w:rPr>
          <w:rFonts w:ascii="Times New Roman" w:hAnsi="Times New Roman" w:cs="Times New Roman"/>
          <w:b/>
          <w:bCs/>
          <w:sz w:val="24"/>
          <w:szCs w:val="24"/>
        </w:rPr>
      </w:pPr>
    </w:p>
    <w:tbl>
      <w:tblPr>
        <w:tblW w:w="9468" w:type="dxa"/>
        <w:tblLook w:val="01E0"/>
      </w:tblPr>
      <w:tblGrid>
        <w:gridCol w:w="4518"/>
        <w:gridCol w:w="480"/>
        <w:gridCol w:w="4470"/>
      </w:tblGrid>
      <w:tr w:rsidTr="00923EA1">
        <w:tblPrEx>
          <w:tblW w:w="9468" w:type="dxa"/>
          <w:tblLook w:val="01E0"/>
        </w:tblPrEx>
        <w:trPr>
          <w:trHeight w:val="807"/>
        </w:trPr>
        <w:tc>
          <w:tcPr>
            <w:tcW w:w="4518" w:type="dxa"/>
          </w:tcPr>
          <w:p w:rsidR="009E2898" w:rsidRPr="00C5582B" w:rsidP="00923EA1">
            <w:pPr>
              <w:autoSpaceDE w:val="0"/>
              <w:autoSpaceDN w:val="0"/>
              <w:adjustRightInd w:val="0"/>
              <w:rPr>
                <w:szCs w:val="24"/>
              </w:rPr>
            </w:pPr>
            <w:r w:rsidRPr="00C5582B">
              <w:rPr>
                <w:szCs w:val="24"/>
              </w:rPr>
              <w:t>In the Matter of the Procurement of Standard Service Offer Generation as Part of the Fourth Electric Security Plan for Customers of Ohio Edison Company, the Cleveland Electric Illuminating Company, and The Toledo Edison Company.</w:t>
            </w:r>
          </w:p>
          <w:p w:rsidR="009E2898" w:rsidRPr="00C5582B" w:rsidP="00923EA1">
            <w:pPr>
              <w:autoSpaceDE w:val="0"/>
              <w:autoSpaceDN w:val="0"/>
              <w:adjustRightInd w:val="0"/>
              <w:rPr>
                <w:szCs w:val="24"/>
              </w:rPr>
            </w:pPr>
          </w:p>
          <w:p w:rsidR="009E2898" w:rsidRPr="00C5582B" w:rsidP="00923EA1">
            <w:pPr>
              <w:autoSpaceDE w:val="0"/>
              <w:autoSpaceDN w:val="0"/>
              <w:adjustRightInd w:val="0"/>
              <w:rPr>
                <w:szCs w:val="24"/>
              </w:rPr>
            </w:pPr>
            <w:r w:rsidRPr="00C5582B">
              <w:rPr>
                <w:szCs w:val="24"/>
              </w:rPr>
              <w:t>In the Matter of the Procurement of Standard Service Offer Generation for Customers of the Dayton Power and Light Company.</w:t>
            </w:r>
          </w:p>
          <w:p w:rsidR="009E2898" w:rsidRPr="00C5582B" w:rsidP="00923EA1">
            <w:pPr>
              <w:autoSpaceDE w:val="0"/>
              <w:autoSpaceDN w:val="0"/>
              <w:adjustRightInd w:val="0"/>
              <w:rPr>
                <w:szCs w:val="24"/>
              </w:rPr>
            </w:pPr>
          </w:p>
          <w:p w:rsidR="009E2898" w:rsidRPr="00C5582B" w:rsidP="00923EA1">
            <w:pPr>
              <w:autoSpaceDE w:val="0"/>
              <w:autoSpaceDN w:val="0"/>
              <w:adjustRightInd w:val="0"/>
              <w:rPr>
                <w:szCs w:val="24"/>
              </w:rPr>
            </w:pPr>
            <w:r w:rsidRPr="00C5582B">
              <w:rPr>
                <w:szCs w:val="24"/>
              </w:rPr>
              <w:t>In the Matter of the Procurement of Standard Service Offer Generation for Customers of Ohio Power Company.</w:t>
            </w:r>
          </w:p>
          <w:p w:rsidR="009E2898" w:rsidRPr="00C5582B" w:rsidP="00923EA1">
            <w:pPr>
              <w:autoSpaceDE w:val="0"/>
              <w:autoSpaceDN w:val="0"/>
              <w:adjustRightInd w:val="0"/>
              <w:rPr>
                <w:szCs w:val="24"/>
              </w:rPr>
            </w:pPr>
          </w:p>
        </w:tc>
        <w:tc>
          <w:tcPr>
            <w:tcW w:w="480" w:type="dxa"/>
          </w:tcPr>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tc>
        <w:tc>
          <w:tcPr>
            <w:tcW w:w="4470" w:type="dxa"/>
          </w:tcPr>
          <w:p w:rsidR="009E2898" w:rsidRPr="00C5582B" w:rsidP="00923EA1">
            <w:pPr>
              <w:autoSpaceDE w:val="0"/>
              <w:autoSpaceDN w:val="0"/>
              <w:adjustRightInd w:val="0"/>
              <w:rPr>
                <w:szCs w:val="24"/>
                <w:lang w:val="es-MX"/>
              </w:rPr>
            </w:pPr>
          </w:p>
          <w:p w:rsidR="009E2898" w:rsidRPr="00C5582B" w:rsidP="00923EA1">
            <w:pPr>
              <w:autoSpaceDE w:val="0"/>
              <w:autoSpaceDN w:val="0"/>
              <w:adjustRightInd w:val="0"/>
              <w:rPr>
                <w:szCs w:val="24"/>
                <w:lang w:val="es-MX"/>
              </w:rPr>
            </w:pPr>
          </w:p>
          <w:p w:rsidR="009E2898" w:rsidRPr="00C5582B" w:rsidP="00923EA1">
            <w:pPr>
              <w:autoSpaceDE w:val="0"/>
              <w:autoSpaceDN w:val="0"/>
              <w:adjustRightInd w:val="0"/>
              <w:rPr>
                <w:szCs w:val="24"/>
                <w:lang w:val="es-MX"/>
              </w:rPr>
            </w:pPr>
            <w:r w:rsidRPr="00C5582B">
              <w:rPr>
                <w:szCs w:val="24"/>
                <w:lang w:val="es-MX"/>
              </w:rPr>
              <w:t>Case No. 16-776-EL-UNC</w:t>
            </w:r>
          </w:p>
          <w:p w:rsidR="009E2898" w:rsidRPr="00C5582B" w:rsidP="00923EA1">
            <w:pPr>
              <w:autoSpaceDE w:val="0"/>
              <w:autoSpaceDN w:val="0"/>
              <w:adjustRightInd w:val="0"/>
              <w:rPr>
                <w:szCs w:val="24"/>
                <w:lang w:val="es-MX"/>
              </w:rPr>
            </w:pPr>
          </w:p>
          <w:p w:rsidR="009E2898" w:rsidRPr="00C5582B" w:rsidP="00923EA1">
            <w:pPr>
              <w:autoSpaceDE w:val="0"/>
              <w:autoSpaceDN w:val="0"/>
              <w:adjustRightInd w:val="0"/>
              <w:rPr>
                <w:szCs w:val="24"/>
                <w:lang w:val="es-MX"/>
              </w:rPr>
            </w:pPr>
          </w:p>
          <w:p w:rsidR="009E2898" w:rsidRPr="00C5582B" w:rsidP="00923EA1">
            <w:pPr>
              <w:autoSpaceDE w:val="0"/>
              <w:autoSpaceDN w:val="0"/>
              <w:adjustRightInd w:val="0"/>
              <w:rPr>
                <w:szCs w:val="24"/>
                <w:lang w:val="es-MX"/>
              </w:rPr>
            </w:pPr>
          </w:p>
          <w:p w:rsidR="009E2898" w:rsidRPr="00C5582B" w:rsidP="00923EA1">
            <w:pPr>
              <w:autoSpaceDE w:val="0"/>
              <w:autoSpaceDN w:val="0"/>
              <w:adjustRightInd w:val="0"/>
              <w:rPr>
                <w:szCs w:val="24"/>
                <w:lang w:val="es-MX"/>
              </w:rPr>
            </w:pPr>
          </w:p>
          <w:p w:rsidR="009E2898" w:rsidRPr="00C5582B" w:rsidP="00923EA1">
            <w:pPr>
              <w:rPr>
                <w:szCs w:val="24"/>
                <w:lang w:val="es-MX"/>
              </w:rPr>
            </w:pPr>
          </w:p>
          <w:p w:rsidR="009E2898" w:rsidRPr="00C5582B" w:rsidP="00923EA1">
            <w:pPr>
              <w:rPr>
                <w:szCs w:val="24"/>
                <w:lang w:val="es-MX"/>
              </w:rPr>
            </w:pPr>
            <w:r w:rsidRPr="00C5582B">
              <w:rPr>
                <w:szCs w:val="24"/>
                <w:lang w:val="es-MX"/>
              </w:rPr>
              <w:t>Case No. 17-957-EL-UNC</w:t>
            </w:r>
          </w:p>
          <w:p w:rsidR="009E2898" w:rsidRPr="00C5582B" w:rsidP="00923EA1">
            <w:pPr>
              <w:rPr>
                <w:szCs w:val="24"/>
                <w:lang w:val="es-MX"/>
              </w:rPr>
            </w:pPr>
          </w:p>
          <w:p w:rsidR="009E2898" w:rsidRPr="00C5582B" w:rsidP="00923EA1">
            <w:pPr>
              <w:rPr>
                <w:szCs w:val="24"/>
                <w:lang w:val="es-MX"/>
              </w:rPr>
            </w:pPr>
          </w:p>
          <w:p w:rsidR="009E2898" w:rsidRPr="00C5582B" w:rsidP="00923EA1">
            <w:pPr>
              <w:rPr>
                <w:szCs w:val="24"/>
                <w:lang w:val="es-MX"/>
              </w:rPr>
            </w:pPr>
          </w:p>
          <w:p w:rsidR="009E2898" w:rsidRPr="00C5582B" w:rsidP="00923EA1">
            <w:pPr>
              <w:rPr>
                <w:szCs w:val="24"/>
                <w:lang w:val="es-MX"/>
              </w:rPr>
            </w:pPr>
          </w:p>
          <w:p w:rsidR="009E2898" w:rsidRPr="00C5582B" w:rsidP="00923EA1">
            <w:pPr>
              <w:autoSpaceDE w:val="0"/>
              <w:autoSpaceDN w:val="0"/>
              <w:adjustRightInd w:val="0"/>
              <w:rPr>
                <w:szCs w:val="24"/>
              </w:rPr>
            </w:pPr>
            <w:r w:rsidRPr="00C5582B">
              <w:rPr>
                <w:szCs w:val="24"/>
              </w:rPr>
              <w:t>Case No. 17-2391-EL-UNC</w:t>
            </w:r>
          </w:p>
          <w:p w:rsidR="009E2898" w:rsidRPr="00C5582B" w:rsidP="00923EA1">
            <w:pPr>
              <w:rPr>
                <w:szCs w:val="24"/>
              </w:rPr>
            </w:pPr>
          </w:p>
        </w:tc>
      </w:tr>
      <w:tr w:rsidTr="00923EA1">
        <w:tblPrEx>
          <w:tblW w:w="9468" w:type="dxa"/>
          <w:tblLook w:val="01E0"/>
        </w:tblPrEx>
        <w:trPr>
          <w:trHeight w:val="807"/>
        </w:trPr>
        <w:tc>
          <w:tcPr>
            <w:tcW w:w="4518" w:type="dxa"/>
          </w:tcPr>
          <w:p w:rsidR="009E2898" w:rsidRPr="00C5582B" w:rsidP="00923EA1">
            <w:pPr>
              <w:autoSpaceDE w:val="0"/>
              <w:autoSpaceDN w:val="0"/>
              <w:adjustRightInd w:val="0"/>
              <w:rPr>
                <w:szCs w:val="24"/>
              </w:rPr>
            </w:pPr>
            <w:r w:rsidRPr="00C5582B">
              <w:rPr>
                <w:szCs w:val="24"/>
              </w:rPr>
              <w:t>In the Matter of the Procurement of Standard Service Offer Generation for Customers of Duke Energy Ohio, Inc.</w:t>
            </w:r>
          </w:p>
        </w:tc>
        <w:tc>
          <w:tcPr>
            <w:tcW w:w="480" w:type="dxa"/>
          </w:tcPr>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E2898" w:rsidRPr="00C5582B" w:rsidP="00923EA1">
            <w:pPr>
              <w:pStyle w:val="HTMLPreformatted"/>
              <w:rPr>
                <w:rFonts w:ascii="Times New Roman" w:hAnsi="Times New Roman" w:cs="Times New Roman"/>
                <w:sz w:val="24"/>
                <w:szCs w:val="24"/>
              </w:rPr>
            </w:pPr>
          </w:p>
        </w:tc>
        <w:tc>
          <w:tcPr>
            <w:tcW w:w="4470" w:type="dxa"/>
          </w:tcPr>
          <w:p w:rsidR="009E2898" w:rsidRPr="00C5582B" w:rsidP="00923EA1">
            <w:pPr>
              <w:autoSpaceDE w:val="0"/>
              <w:autoSpaceDN w:val="0"/>
              <w:adjustRightInd w:val="0"/>
              <w:rPr>
                <w:szCs w:val="24"/>
              </w:rPr>
            </w:pPr>
          </w:p>
          <w:p w:rsidR="009E2898" w:rsidRPr="00C5582B" w:rsidP="00923EA1">
            <w:pPr>
              <w:rPr>
                <w:szCs w:val="24"/>
              </w:rPr>
            </w:pPr>
            <w:r w:rsidRPr="00C5582B">
              <w:rPr>
                <w:szCs w:val="24"/>
              </w:rPr>
              <w:t>Case No. 18-6000-EL-UNC</w:t>
            </w:r>
          </w:p>
        </w:tc>
      </w:tr>
    </w:tbl>
    <w:p w:rsidR="009E2898" w:rsidRPr="00C5582B" w:rsidP="009E2898">
      <w:pPr>
        <w:pStyle w:val="HTMLPreformatted"/>
        <w:pBdr>
          <w:top w:val="single" w:sz="12" w:space="1" w:color="auto"/>
        </w:pBdr>
        <w:rPr>
          <w:rFonts w:ascii="Times New Roman" w:hAnsi="Times New Roman" w:cs="Times New Roman"/>
          <w:sz w:val="24"/>
          <w:szCs w:val="24"/>
        </w:rPr>
      </w:pPr>
    </w:p>
    <w:p w:rsidR="009E2898" w:rsidRPr="00C5582B" w:rsidP="009E2898">
      <w:pPr>
        <w:jc w:val="center"/>
        <w:rPr>
          <w:b/>
          <w:bCs/>
          <w:szCs w:val="24"/>
        </w:rPr>
      </w:pPr>
      <w:r>
        <w:rPr>
          <w:b/>
          <w:bCs/>
          <w:szCs w:val="24"/>
        </w:rPr>
        <w:t>APPLICATION FOR REHEARING</w:t>
      </w:r>
    </w:p>
    <w:p w:rsidR="009E2898" w:rsidRPr="00C5582B" w:rsidP="009E2898">
      <w:pPr>
        <w:jc w:val="center"/>
        <w:rPr>
          <w:b/>
          <w:bCs/>
          <w:szCs w:val="24"/>
        </w:rPr>
      </w:pPr>
      <w:r w:rsidRPr="00C5582B">
        <w:rPr>
          <w:b/>
          <w:bCs/>
          <w:szCs w:val="24"/>
        </w:rPr>
        <w:t>BY</w:t>
      </w:r>
    </w:p>
    <w:p w:rsidR="009E2898" w:rsidRPr="00C5582B" w:rsidP="009E2898">
      <w:pPr>
        <w:jc w:val="center"/>
        <w:rPr>
          <w:b/>
          <w:bCs/>
          <w:szCs w:val="24"/>
        </w:rPr>
      </w:pPr>
      <w:r w:rsidRPr="00C5582B">
        <w:rPr>
          <w:b/>
          <w:bCs/>
          <w:szCs w:val="24"/>
        </w:rPr>
        <w:t>THE OFFICE OF THE OHIO CONSUMERS’ COUNSEL</w:t>
      </w:r>
    </w:p>
    <w:p w:rsidR="009E2898" w:rsidRPr="00C5582B" w:rsidP="009E2898">
      <w:pPr>
        <w:pBdr>
          <w:bottom w:val="single" w:sz="12" w:space="1" w:color="auto"/>
        </w:pBdr>
        <w:tabs>
          <w:tab w:val="left" w:pos="4320"/>
        </w:tabs>
        <w:rPr>
          <w:szCs w:val="24"/>
        </w:rPr>
      </w:pPr>
    </w:p>
    <w:p w:rsidR="009E2898" w:rsidP="009E2898">
      <w:pPr>
        <w:pStyle w:val="Footer"/>
        <w:tabs>
          <w:tab w:val="left" w:pos="4320"/>
          <w:tab w:val="clear" w:pos="8640"/>
        </w:tabs>
        <w:ind w:left="4320"/>
        <w:rPr>
          <w:sz w:val="24"/>
          <w:szCs w:val="24"/>
        </w:rPr>
      </w:pPr>
    </w:p>
    <w:p w:rsidR="009E2898" w:rsidRPr="00C5582B" w:rsidP="009E2898">
      <w:pPr>
        <w:pStyle w:val="Footer"/>
        <w:tabs>
          <w:tab w:val="left" w:pos="4320"/>
          <w:tab w:val="clear" w:pos="8640"/>
        </w:tabs>
        <w:ind w:left="4320"/>
        <w:rPr>
          <w:sz w:val="24"/>
          <w:szCs w:val="24"/>
        </w:rPr>
      </w:pPr>
      <w:r w:rsidRPr="00C5582B">
        <w:rPr>
          <w:sz w:val="24"/>
          <w:szCs w:val="24"/>
        </w:rPr>
        <w:t>Bruce Weston (0016973)</w:t>
      </w:r>
    </w:p>
    <w:p w:rsidR="009E2898" w:rsidRPr="00C5582B" w:rsidP="009E2898">
      <w:pPr>
        <w:tabs>
          <w:tab w:val="left" w:pos="4320"/>
        </w:tabs>
        <w:ind w:left="4320"/>
        <w:rPr>
          <w:szCs w:val="24"/>
        </w:rPr>
      </w:pPr>
      <w:r w:rsidRPr="00C5582B">
        <w:rPr>
          <w:szCs w:val="24"/>
        </w:rPr>
        <w:t>Ohio Consumers’ Counsel</w:t>
      </w:r>
    </w:p>
    <w:p w:rsidR="009E2898" w:rsidP="009E2898">
      <w:pPr>
        <w:tabs>
          <w:tab w:val="left" w:pos="4320"/>
        </w:tabs>
        <w:ind w:left="4320"/>
        <w:rPr>
          <w:szCs w:val="24"/>
        </w:rPr>
      </w:pPr>
    </w:p>
    <w:p w:rsidR="009E2898" w:rsidRPr="00C5582B" w:rsidP="009E2898">
      <w:pPr>
        <w:tabs>
          <w:tab w:val="left" w:pos="4320"/>
        </w:tabs>
        <w:rPr>
          <w:szCs w:val="24"/>
        </w:rPr>
      </w:pPr>
      <w:r w:rsidRPr="00C5582B">
        <w:rPr>
          <w:szCs w:val="24"/>
        </w:rPr>
        <w:tab/>
        <w:t>Christopher Healey (0086027)</w:t>
      </w:r>
    </w:p>
    <w:p w:rsidR="009E2898" w:rsidRPr="00C5582B" w:rsidP="009E2898">
      <w:pPr>
        <w:tabs>
          <w:tab w:val="left" w:pos="4320"/>
        </w:tabs>
        <w:rPr>
          <w:szCs w:val="24"/>
        </w:rPr>
      </w:pPr>
      <w:r w:rsidRPr="00C5582B">
        <w:rPr>
          <w:szCs w:val="24"/>
        </w:rPr>
        <w:tab/>
        <w:t>Counsel of Record</w:t>
      </w:r>
    </w:p>
    <w:p w:rsidR="009E2898" w:rsidRPr="00C5582B" w:rsidP="009E2898">
      <w:pPr>
        <w:tabs>
          <w:tab w:val="left" w:pos="4320"/>
        </w:tabs>
        <w:rPr>
          <w:szCs w:val="24"/>
        </w:rPr>
      </w:pPr>
      <w:r w:rsidRPr="00C5582B">
        <w:rPr>
          <w:szCs w:val="24"/>
        </w:rPr>
        <w:tab/>
        <w:t>William Michael (0070921)</w:t>
      </w:r>
    </w:p>
    <w:p w:rsidR="009E2898" w:rsidRPr="00C5582B" w:rsidP="009E2898">
      <w:pPr>
        <w:tabs>
          <w:tab w:val="left" w:pos="4320"/>
        </w:tabs>
        <w:ind w:left="4320"/>
        <w:rPr>
          <w:szCs w:val="24"/>
        </w:rPr>
      </w:pPr>
      <w:r w:rsidRPr="00C5582B">
        <w:rPr>
          <w:szCs w:val="24"/>
        </w:rPr>
        <w:t>Assistant Consumers’ Counsel</w:t>
      </w:r>
    </w:p>
    <w:p w:rsidR="009E2898" w:rsidRPr="00C5582B" w:rsidP="009E2898">
      <w:pPr>
        <w:spacing w:before="120"/>
        <w:ind w:left="4320"/>
        <w:rPr>
          <w:b/>
          <w:szCs w:val="24"/>
        </w:rPr>
      </w:pPr>
      <w:r w:rsidRPr="00C5582B">
        <w:rPr>
          <w:b/>
          <w:szCs w:val="24"/>
        </w:rPr>
        <w:t>Office of the Ohio Consumers’ Counsel</w:t>
      </w:r>
    </w:p>
    <w:p w:rsidR="009E2898" w:rsidRPr="00C5582B" w:rsidP="009E2898">
      <w:pPr>
        <w:ind w:left="4320"/>
        <w:rPr>
          <w:szCs w:val="24"/>
        </w:rPr>
      </w:pPr>
      <w:r w:rsidRPr="00C5582B">
        <w:rPr>
          <w:szCs w:val="24"/>
        </w:rPr>
        <w:t>65 East State Street, 7th Floor</w:t>
      </w:r>
    </w:p>
    <w:p w:rsidR="009E2898" w:rsidRPr="00C5582B" w:rsidP="009E2898">
      <w:pPr>
        <w:ind w:left="4320"/>
        <w:rPr>
          <w:b/>
          <w:szCs w:val="24"/>
        </w:rPr>
      </w:pPr>
      <w:r w:rsidRPr="00C5582B">
        <w:rPr>
          <w:szCs w:val="24"/>
        </w:rPr>
        <w:t>Columbus, Ohio 43215</w:t>
      </w:r>
    </w:p>
    <w:p w:rsidR="009E2898" w:rsidRPr="00C5582B" w:rsidP="009E2898">
      <w:pPr>
        <w:autoSpaceDE w:val="0"/>
        <w:autoSpaceDN w:val="0"/>
        <w:adjustRightInd w:val="0"/>
        <w:ind w:left="4320"/>
        <w:rPr>
          <w:szCs w:val="24"/>
        </w:rPr>
      </w:pPr>
      <w:r w:rsidRPr="00C5582B">
        <w:rPr>
          <w:szCs w:val="24"/>
        </w:rPr>
        <w:t>Telephone [Healey]: (614) 466-9571</w:t>
      </w:r>
    </w:p>
    <w:p w:rsidR="009E2898" w:rsidRPr="00C5582B" w:rsidP="009E2898">
      <w:pPr>
        <w:autoSpaceDE w:val="0"/>
        <w:autoSpaceDN w:val="0"/>
        <w:adjustRightInd w:val="0"/>
        <w:ind w:left="4320"/>
        <w:rPr>
          <w:szCs w:val="24"/>
        </w:rPr>
      </w:pPr>
      <w:r w:rsidRPr="00C5582B">
        <w:rPr>
          <w:szCs w:val="24"/>
        </w:rPr>
        <w:t>Telephone [Michael]: (614) 466-1291</w:t>
      </w:r>
    </w:p>
    <w:p w:rsidR="009E2898" w:rsidP="009E2898">
      <w:pPr>
        <w:autoSpaceDE w:val="0"/>
        <w:autoSpaceDN w:val="0"/>
        <w:adjustRightInd w:val="0"/>
        <w:ind w:left="4320"/>
      </w:pPr>
      <w:hyperlink r:id="rId6" w:history="1">
        <w:r w:rsidRPr="00D21C4F" w:rsidR="00DD7138">
          <w:rPr>
            <w:rStyle w:val="Hyperlink"/>
            <w:szCs w:val="24"/>
          </w:rPr>
          <w:t>christopher.healey@occ.ohio.gov</w:t>
        </w:r>
      </w:hyperlink>
    </w:p>
    <w:p w:rsidR="00B77F84" w:rsidRPr="00C5582B" w:rsidP="009E2898">
      <w:pPr>
        <w:autoSpaceDE w:val="0"/>
        <w:autoSpaceDN w:val="0"/>
        <w:adjustRightInd w:val="0"/>
        <w:ind w:left="4320"/>
        <w:rPr>
          <w:rStyle w:val="Hyperlink"/>
          <w:szCs w:val="24"/>
        </w:rPr>
      </w:pPr>
      <w:hyperlink r:id="rId7" w:history="1">
        <w:r w:rsidRPr="00D21C4F" w:rsidR="002D5FB3">
          <w:rPr>
            <w:rStyle w:val="Hyperlink"/>
          </w:rPr>
          <w:t>william.michael@occ.ohio.gov</w:t>
        </w:r>
      </w:hyperlink>
      <w:r w:rsidR="00D90EF8">
        <w:t xml:space="preserve"> </w:t>
      </w:r>
    </w:p>
    <w:p w:rsidR="009E2898" w:rsidP="009E2898">
      <w:pPr>
        <w:rPr>
          <w:szCs w:val="24"/>
        </w:rPr>
      </w:pPr>
      <w:r>
        <w:rPr>
          <w:szCs w:val="24"/>
        </w:rPr>
        <w:t>August 14, 2020</w:t>
      </w:r>
      <w:r>
        <w:rPr>
          <w:szCs w:val="24"/>
        </w:rPr>
        <w:tab/>
      </w:r>
      <w:r>
        <w:rPr>
          <w:szCs w:val="24"/>
        </w:rPr>
        <w:tab/>
      </w:r>
      <w:r>
        <w:rPr>
          <w:szCs w:val="24"/>
        </w:rPr>
        <w:tab/>
      </w:r>
      <w:r>
        <w:rPr>
          <w:szCs w:val="24"/>
        </w:rPr>
        <w:tab/>
      </w:r>
      <w:r w:rsidRPr="00C5582B">
        <w:rPr>
          <w:szCs w:val="24"/>
        </w:rPr>
        <w:t>(</w:t>
      </w:r>
      <w:r>
        <w:rPr>
          <w:szCs w:val="24"/>
        </w:rPr>
        <w:t>w</w:t>
      </w:r>
      <w:r w:rsidRPr="00C5582B">
        <w:rPr>
          <w:szCs w:val="24"/>
        </w:rPr>
        <w:t>illing to accept service by e-mail)</w:t>
      </w:r>
      <w:r w:rsidRPr="00C5582B">
        <w:rPr>
          <w:szCs w:val="24"/>
        </w:rPr>
        <w:tab/>
      </w:r>
    </w:p>
    <w:p w:rsidR="009E2898" w:rsidP="009E2898">
      <w:pPr>
        <w:rPr>
          <w:szCs w:val="24"/>
        </w:rPr>
      </w:pPr>
    </w:p>
    <w:p w:rsidR="009E2898" w:rsidP="009E2898">
      <w:pPr>
        <w:rPr>
          <w:szCs w:val="24"/>
        </w:rPr>
        <w:sectPr w:rsidSect="002F1813">
          <w:footerReference w:type="default" r:id="rId8"/>
          <w:footerReference w:type="first" r:id="rId9"/>
          <w:pgSz w:w="12240" w:h="15840"/>
          <w:pgMar w:top="1440" w:right="1440" w:bottom="1440" w:left="1440" w:header="720" w:footer="720" w:gutter="0"/>
          <w:pgNumType w:start="1"/>
          <w:cols w:space="720"/>
          <w:titlePg/>
          <w:docGrid w:linePitch="65"/>
        </w:sectPr>
      </w:pPr>
    </w:p>
    <w:p w:rsidR="00AB176E" w:rsidRPr="00C5582B" w:rsidP="00AB1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C5582B">
        <w:rPr>
          <w:rFonts w:ascii="Times New Roman" w:hAnsi="Times New Roman" w:cs="Times New Roman"/>
          <w:b/>
          <w:bCs/>
          <w:sz w:val="24"/>
          <w:szCs w:val="24"/>
        </w:rPr>
        <w:t>BEFORE</w:t>
      </w:r>
    </w:p>
    <w:p w:rsidR="00AB176E" w:rsidRPr="00C5582B" w:rsidP="00AB176E">
      <w:pPr>
        <w:pStyle w:val="HTMLPreformatted"/>
        <w:jc w:val="center"/>
        <w:rPr>
          <w:rFonts w:ascii="Times New Roman" w:hAnsi="Times New Roman" w:cs="Times New Roman"/>
          <w:b/>
          <w:bCs/>
          <w:sz w:val="24"/>
          <w:szCs w:val="24"/>
        </w:rPr>
      </w:pPr>
      <w:r w:rsidRPr="00C5582B">
        <w:rPr>
          <w:rFonts w:ascii="Times New Roman" w:hAnsi="Times New Roman" w:cs="Times New Roman"/>
          <w:b/>
          <w:bCs/>
          <w:sz w:val="24"/>
          <w:szCs w:val="24"/>
        </w:rPr>
        <w:t>THE PUBLIC UTILITIES COMMISSION OF OHIO</w:t>
      </w:r>
    </w:p>
    <w:p w:rsidR="00E52C50" w:rsidRPr="00C5582B" w:rsidP="00AB176E">
      <w:pPr>
        <w:pStyle w:val="HTMLPreformatted"/>
        <w:jc w:val="center"/>
        <w:rPr>
          <w:rFonts w:ascii="Times New Roman" w:hAnsi="Times New Roman" w:cs="Times New Roman"/>
          <w:b/>
          <w:bCs/>
          <w:sz w:val="24"/>
          <w:szCs w:val="24"/>
        </w:rPr>
      </w:pPr>
    </w:p>
    <w:tbl>
      <w:tblPr>
        <w:tblW w:w="9468" w:type="dxa"/>
        <w:tblLook w:val="01E0"/>
      </w:tblPr>
      <w:tblGrid>
        <w:gridCol w:w="4518"/>
        <w:gridCol w:w="480"/>
        <w:gridCol w:w="4470"/>
      </w:tblGrid>
      <w:tr w:rsidTr="002F1813">
        <w:tblPrEx>
          <w:tblW w:w="9468" w:type="dxa"/>
          <w:tblLook w:val="01E0"/>
        </w:tblPrEx>
        <w:trPr>
          <w:trHeight w:val="807"/>
        </w:trPr>
        <w:tc>
          <w:tcPr>
            <w:tcW w:w="4518" w:type="dxa"/>
          </w:tcPr>
          <w:p w:rsidR="00E52C50" w:rsidRPr="00C5582B">
            <w:pPr>
              <w:autoSpaceDE w:val="0"/>
              <w:autoSpaceDN w:val="0"/>
              <w:adjustRightInd w:val="0"/>
              <w:rPr>
                <w:szCs w:val="24"/>
              </w:rPr>
            </w:pPr>
            <w:r w:rsidRPr="00C5582B">
              <w:rPr>
                <w:szCs w:val="24"/>
              </w:rPr>
              <w:t>In the Matter of the Procurement of Standard Service Offer Generation as Part of the Fourth Electric Security Plan for Customers of Ohio Edison Company, the Cleveland Electric Illuminating Company, and The Toledo Edison Company.</w:t>
            </w:r>
          </w:p>
          <w:p w:rsidR="00E52C50" w:rsidRPr="00C5582B">
            <w:pPr>
              <w:autoSpaceDE w:val="0"/>
              <w:autoSpaceDN w:val="0"/>
              <w:adjustRightInd w:val="0"/>
              <w:rPr>
                <w:szCs w:val="24"/>
              </w:rPr>
            </w:pPr>
          </w:p>
          <w:p w:rsidR="00E52C50" w:rsidRPr="00C5582B">
            <w:pPr>
              <w:autoSpaceDE w:val="0"/>
              <w:autoSpaceDN w:val="0"/>
              <w:adjustRightInd w:val="0"/>
              <w:rPr>
                <w:szCs w:val="24"/>
              </w:rPr>
            </w:pPr>
            <w:r w:rsidRPr="00C5582B">
              <w:rPr>
                <w:szCs w:val="24"/>
              </w:rPr>
              <w:t>In the Matter of the Procurement of Standard Service Offer Generation for Customers of the Dayton Power and Light Company.</w:t>
            </w:r>
          </w:p>
          <w:p w:rsidR="00E52C50" w:rsidRPr="00C5582B">
            <w:pPr>
              <w:autoSpaceDE w:val="0"/>
              <w:autoSpaceDN w:val="0"/>
              <w:adjustRightInd w:val="0"/>
              <w:rPr>
                <w:szCs w:val="24"/>
              </w:rPr>
            </w:pPr>
          </w:p>
          <w:p w:rsidR="00E52C50" w:rsidRPr="00C5582B" w:rsidP="00E52C50">
            <w:pPr>
              <w:autoSpaceDE w:val="0"/>
              <w:autoSpaceDN w:val="0"/>
              <w:adjustRightInd w:val="0"/>
              <w:rPr>
                <w:szCs w:val="24"/>
              </w:rPr>
            </w:pPr>
            <w:r w:rsidRPr="00C5582B">
              <w:rPr>
                <w:szCs w:val="24"/>
              </w:rPr>
              <w:t>In the Matter of the Procurement of Standard Service Offer Generation for Customers of Ohio Power Company.</w:t>
            </w:r>
          </w:p>
          <w:p w:rsidR="00E52C50" w:rsidRPr="00C5582B">
            <w:pPr>
              <w:autoSpaceDE w:val="0"/>
              <w:autoSpaceDN w:val="0"/>
              <w:adjustRightInd w:val="0"/>
              <w:rPr>
                <w:szCs w:val="24"/>
              </w:rPr>
            </w:pPr>
          </w:p>
        </w:tc>
        <w:tc>
          <w:tcPr>
            <w:tcW w:w="480" w:type="dxa"/>
          </w:tcPr>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tc>
        <w:tc>
          <w:tcPr>
            <w:tcW w:w="4470" w:type="dxa"/>
          </w:tcPr>
          <w:p w:rsidR="00E52C50" w:rsidRPr="00C5582B">
            <w:pPr>
              <w:autoSpaceDE w:val="0"/>
              <w:autoSpaceDN w:val="0"/>
              <w:adjustRightInd w:val="0"/>
              <w:rPr>
                <w:szCs w:val="24"/>
                <w:lang w:val="es-MX"/>
              </w:rPr>
            </w:pPr>
          </w:p>
          <w:p w:rsidR="002F1813" w:rsidRPr="00C5582B">
            <w:pPr>
              <w:autoSpaceDE w:val="0"/>
              <w:autoSpaceDN w:val="0"/>
              <w:adjustRightInd w:val="0"/>
              <w:rPr>
                <w:szCs w:val="24"/>
                <w:lang w:val="es-MX"/>
              </w:rPr>
            </w:pPr>
          </w:p>
          <w:p w:rsidR="00E52C50" w:rsidRPr="00C5582B">
            <w:pPr>
              <w:autoSpaceDE w:val="0"/>
              <w:autoSpaceDN w:val="0"/>
              <w:adjustRightInd w:val="0"/>
              <w:rPr>
                <w:szCs w:val="24"/>
                <w:lang w:val="es-MX"/>
              </w:rPr>
            </w:pPr>
            <w:r w:rsidRPr="00C5582B">
              <w:rPr>
                <w:szCs w:val="24"/>
                <w:lang w:val="es-MX"/>
              </w:rPr>
              <w:t>Case No. 16-776-EL-UNC</w:t>
            </w:r>
          </w:p>
          <w:p w:rsidR="00E52C50" w:rsidRPr="00C5582B">
            <w:pPr>
              <w:autoSpaceDE w:val="0"/>
              <w:autoSpaceDN w:val="0"/>
              <w:adjustRightInd w:val="0"/>
              <w:rPr>
                <w:szCs w:val="24"/>
                <w:lang w:val="es-MX"/>
              </w:rPr>
            </w:pPr>
          </w:p>
          <w:p w:rsidR="00E52C50" w:rsidRPr="00C5582B">
            <w:pPr>
              <w:autoSpaceDE w:val="0"/>
              <w:autoSpaceDN w:val="0"/>
              <w:adjustRightInd w:val="0"/>
              <w:rPr>
                <w:szCs w:val="24"/>
                <w:lang w:val="es-MX"/>
              </w:rPr>
            </w:pPr>
          </w:p>
          <w:p w:rsidR="00E52C50" w:rsidRPr="00C5582B">
            <w:pPr>
              <w:autoSpaceDE w:val="0"/>
              <w:autoSpaceDN w:val="0"/>
              <w:adjustRightInd w:val="0"/>
              <w:rPr>
                <w:szCs w:val="24"/>
                <w:lang w:val="es-MX"/>
              </w:rPr>
            </w:pPr>
          </w:p>
          <w:p w:rsidR="00E52C50" w:rsidRPr="00C5582B">
            <w:pPr>
              <w:autoSpaceDE w:val="0"/>
              <w:autoSpaceDN w:val="0"/>
              <w:adjustRightInd w:val="0"/>
              <w:rPr>
                <w:szCs w:val="24"/>
                <w:lang w:val="es-MX"/>
              </w:rPr>
            </w:pPr>
          </w:p>
          <w:p w:rsidR="00E52C50" w:rsidRPr="00C5582B">
            <w:pPr>
              <w:rPr>
                <w:szCs w:val="24"/>
                <w:lang w:val="es-MX"/>
              </w:rPr>
            </w:pPr>
          </w:p>
          <w:p w:rsidR="00E52C50" w:rsidRPr="00C5582B">
            <w:pPr>
              <w:rPr>
                <w:szCs w:val="24"/>
                <w:lang w:val="es-MX"/>
              </w:rPr>
            </w:pPr>
            <w:r w:rsidRPr="00C5582B">
              <w:rPr>
                <w:szCs w:val="24"/>
                <w:lang w:val="es-MX"/>
              </w:rPr>
              <w:t>Case No. 17-957-EL-UNC</w:t>
            </w:r>
          </w:p>
          <w:p w:rsidR="00E52C50" w:rsidRPr="00C5582B" w:rsidP="00E52C50">
            <w:pPr>
              <w:rPr>
                <w:szCs w:val="24"/>
                <w:lang w:val="es-MX"/>
              </w:rPr>
            </w:pPr>
          </w:p>
          <w:p w:rsidR="00E52C50" w:rsidRPr="00C5582B" w:rsidP="00E52C50">
            <w:pPr>
              <w:rPr>
                <w:szCs w:val="24"/>
                <w:lang w:val="es-MX"/>
              </w:rPr>
            </w:pPr>
          </w:p>
          <w:p w:rsidR="00E52C50" w:rsidRPr="00C5582B" w:rsidP="00E52C50">
            <w:pPr>
              <w:rPr>
                <w:szCs w:val="24"/>
                <w:lang w:val="es-MX"/>
              </w:rPr>
            </w:pPr>
          </w:p>
          <w:p w:rsidR="00E52C50" w:rsidRPr="00C5582B" w:rsidP="00E52C50">
            <w:pPr>
              <w:rPr>
                <w:szCs w:val="24"/>
                <w:lang w:val="es-MX"/>
              </w:rPr>
            </w:pPr>
          </w:p>
          <w:p w:rsidR="00E52C50" w:rsidRPr="00C5582B" w:rsidP="00E52C50">
            <w:pPr>
              <w:autoSpaceDE w:val="0"/>
              <w:autoSpaceDN w:val="0"/>
              <w:adjustRightInd w:val="0"/>
              <w:rPr>
                <w:szCs w:val="24"/>
              </w:rPr>
            </w:pPr>
            <w:r w:rsidRPr="00C5582B">
              <w:rPr>
                <w:szCs w:val="24"/>
              </w:rPr>
              <w:t>Case No. 17-2391-EL-UNC</w:t>
            </w:r>
          </w:p>
          <w:p w:rsidR="00E52C50" w:rsidRPr="00C5582B" w:rsidP="00E52C50">
            <w:pPr>
              <w:rPr>
                <w:szCs w:val="24"/>
              </w:rPr>
            </w:pPr>
          </w:p>
        </w:tc>
      </w:tr>
      <w:tr w:rsidTr="002F1813">
        <w:tblPrEx>
          <w:tblW w:w="9468" w:type="dxa"/>
          <w:tblLook w:val="01E0"/>
        </w:tblPrEx>
        <w:trPr>
          <w:trHeight w:val="807"/>
        </w:trPr>
        <w:tc>
          <w:tcPr>
            <w:tcW w:w="4518" w:type="dxa"/>
          </w:tcPr>
          <w:p w:rsidR="00E52C50" w:rsidRPr="00C5582B" w:rsidP="009B1AE8">
            <w:pPr>
              <w:autoSpaceDE w:val="0"/>
              <w:autoSpaceDN w:val="0"/>
              <w:adjustRightInd w:val="0"/>
              <w:rPr>
                <w:szCs w:val="24"/>
              </w:rPr>
            </w:pPr>
            <w:r w:rsidRPr="00C5582B">
              <w:rPr>
                <w:szCs w:val="24"/>
              </w:rPr>
              <w:t xml:space="preserve">In the Matter of the Procurement of Standard Service Offer Generation for Customers of </w:t>
            </w:r>
            <w:r w:rsidRPr="00C5582B" w:rsidR="009B1AE8">
              <w:rPr>
                <w:szCs w:val="24"/>
              </w:rPr>
              <w:t>Duke Energy Ohio, Inc.</w:t>
            </w:r>
          </w:p>
        </w:tc>
        <w:tc>
          <w:tcPr>
            <w:tcW w:w="480" w:type="dxa"/>
          </w:tcPr>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rsidP="009B1AE8">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494019" w:rsidRPr="00C5582B" w:rsidP="009B1AE8">
            <w:pPr>
              <w:pStyle w:val="HTMLPreformatted"/>
              <w:rPr>
                <w:rFonts w:ascii="Times New Roman" w:hAnsi="Times New Roman" w:cs="Times New Roman"/>
                <w:sz w:val="24"/>
                <w:szCs w:val="24"/>
              </w:rPr>
            </w:pPr>
          </w:p>
        </w:tc>
        <w:tc>
          <w:tcPr>
            <w:tcW w:w="4470" w:type="dxa"/>
          </w:tcPr>
          <w:p w:rsidR="00E52C50" w:rsidRPr="00C5582B">
            <w:pPr>
              <w:autoSpaceDE w:val="0"/>
              <w:autoSpaceDN w:val="0"/>
              <w:adjustRightInd w:val="0"/>
              <w:rPr>
                <w:szCs w:val="24"/>
              </w:rPr>
            </w:pPr>
          </w:p>
          <w:p w:rsidR="00E52C50" w:rsidRPr="00C5582B" w:rsidP="009B1AE8">
            <w:pPr>
              <w:rPr>
                <w:szCs w:val="24"/>
              </w:rPr>
            </w:pPr>
            <w:r w:rsidRPr="00C5582B">
              <w:rPr>
                <w:szCs w:val="24"/>
              </w:rPr>
              <w:t>Case No. 18-6000-EL-UNC</w:t>
            </w:r>
          </w:p>
        </w:tc>
      </w:tr>
    </w:tbl>
    <w:p w:rsidR="00AB176E" w:rsidRPr="00C5582B" w:rsidP="00AB176E">
      <w:pPr>
        <w:pStyle w:val="HTMLPreformatted"/>
        <w:pBdr>
          <w:top w:val="single" w:sz="12" w:space="1" w:color="auto"/>
        </w:pBdr>
        <w:rPr>
          <w:rFonts w:ascii="Times New Roman" w:hAnsi="Times New Roman" w:cs="Times New Roman"/>
          <w:sz w:val="24"/>
          <w:szCs w:val="24"/>
        </w:rPr>
      </w:pPr>
    </w:p>
    <w:p w:rsidR="00AB176E" w:rsidRPr="00C5582B" w:rsidP="00AB176E">
      <w:pPr>
        <w:jc w:val="center"/>
        <w:rPr>
          <w:b/>
          <w:bCs/>
          <w:szCs w:val="24"/>
        </w:rPr>
      </w:pPr>
      <w:r>
        <w:rPr>
          <w:b/>
          <w:bCs/>
          <w:szCs w:val="24"/>
        </w:rPr>
        <w:t>APPLICATION FOR REHEARING</w:t>
      </w:r>
    </w:p>
    <w:p w:rsidR="00AB176E" w:rsidRPr="00C5582B" w:rsidP="00AB176E">
      <w:pPr>
        <w:jc w:val="center"/>
        <w:rPr>
          <w:b/>
          <w:bCs/>
          <w:szCs w:val="24"/>
        </w:rPr>
      </w:pPr>
      <w:r w:rsidRPr="00C5582B">
        <w:rPr>
          <w:b/>
          <w:bCs/>
          <w:szCs w:val="24"/>
        </w:rPr>
        <w:t>BY</w:t>
      </w:r>
    </w:p>
    <w:p w:rsidR="00AB176E" w:rsidRPr="00C5582B" w:rsidP="00AB176E">
      <w:pPr>
        <w:jc w:val="center"/>
        <w:rPr>
          <w:b/>
          <w:bCs/>
          <w:szCs w:val="24"/>
        </w:rPr>
      </w:pPr>
      <w:r w:rsidRPr="00C5582B">
        <w:rPr>
          <w:b/>
          <w:bCs/>
          <w:szCs w:val="24"/>
        </w:rPr>
        <w:t>THE OFFICE OF THE OHIO CONSUMERS’ COUNSEL</w:t>
      </w:r>
    </w:p>
    <w:p w:rsidR="00AB176E" w:rsidRPr="00C5582B" w:rsidP="00AB176E">
      <w:pPr>
        <w:pBdr>
          <w:bottom w:val="single" w:sz="12" w:space="1" w:color="auto"/>
        </w:pBdr>
        <w:tabs>
          <w:tab w:val="left" w:pos="4320"/>
        </w:tabs>
        <w:rPr>
          <w:szCs w:val="24"/>
        </w:rPr>
      </w:pPr>
    </w:p>
    <w:p w:rsidR="00C512E8" w:rsidRPr="00C5582B" w:rsidP="00AB176E">
      <w:pPr>
        <w:pStyle w:val="BodyTextIndent3"/>
        <w:spacing w:line="240" w:lineRule="auto"/>
        <w:ind w:left="4320" w:firstLine="0"/>
        <w:rPr>
          <w:szCs w:val="24"/>
        </w:rPr>
      </w:pPr>
    </w:p>
    <w:p w:rsidR="002F1813" w:rsidP="00220825">
      <w:pPr>
        <w:pStyle w:val="Footer"/>
        <w:tabs>
          <w:tab w:val="clear" w:pos="4320"/>
          <w:tab w:val="clear" w:pos="8640"/>
        </w:tabs>
        <w:spacing w:line="480" w:lineRule="auto"/>
        <w:ind w:firstLine="720"/>
        <w:rPr>
          <w:sz w:val="24"/>
          <w:szCs w:val="24"/>
        </w:rPr>
      </w:pPr>
      <w:r>
        <w:rPr>
          <w:sz w:val="24"/>
          <w:szCs w:val="24"/>
        </w:rPr>
        <w:t>Based primarily on the recommendation of Energy Harbor, Inc.—</w:t>
      </w:r>
      <w:r w:rsidR="004A037D">
        <w:rPr>
          <w:sz w:val="24"/>
          <w:szCs w:val="24"/>
        </w:rPr>
        <w:t>f</w:t>
      </w:r>
      <w:r>
        <w:rPr>
          <w:sz w:val="24"/>
          <w:szCs w:val="24"/>
        </w:rPr>
        <w:t xml:space="preserve">ormerly known as FirstEnergy Solutions—the PUCO approved a </w:t>
      </w:r>
      <w:r w:rsidR="00FE6039">
        <w:rPr>
          <w:sz w:val="24"/>
          <w:szCs w:val="24"/>
        </w:rPr>
        <w:t>process that changes how</w:t>
      </w:r>
      <w:r>
        <w:rPr>
          <w:sz w:val="24"/>
          <w:szCs w:val="24"/>
        </w:rPr>
        <w:t xml:space="preserve"> </w:t>
      </w:r>
      <w:r w:rsidR="004A037D">
        <w:rPr>
          <w:sz w:val="24"/>
          <w:szCs w:val="24"/>
        </w:rPr>
        <w:t xml:space="preserve">utilities </w:t>
      </w:r>
      <w:r>
        <w:rPr>
          <w:sz w:val="24"/>
          <w:szCs w:val="24"/>
        </w:rPr>
        <w:t>run their standard service offer (“SSO”) auctions</w:t>
      </w:r>
      <w:r w:rsidR="004A037D">
        <w:rPr>
          <w:sz w:val="24"/>
          <w:szCs w:val="24"/>
        </w:rPr>
        <w:t>, but not in a good way.</w:t>
      </w:r>
      <w:r>
        <w:rPr>
          <w:sz w:val="24"/>
          <w:szCs w:val="24"/>
        </w:rPr>
        <w:t xml:space="preserve"> These auctions have been one of the few bright spots for electric consumers in Ohio because they allow customers the benefit of market competition and low prices for electric generation. Unfortunately for consumers, the PUCO’s July 17, 2020 Finding and Order (the “Order”) threatens to upend the SSO auction process</w:t>
      </w:r>
      <w:r w:rsidR="00B56B22">
        <w:rPr>
          <w:sz w:val="24"/>
          <w:szCs w:val="24"/>
        </w:rPr>
        <w:t xml:space="preserve"> by</w:t>
      </w:r>
      <w:r>
        <w:rPr>
          <w:sz w:val="24"/>
          <w:szCs w:val="24"/>
        </w:rPr>
        <w:t xml:space="preserve"> introduc</w:t>
      </w:r>
      <w:r w:rsidR="00B56B22">
        <w:rPr>
          <w:sz w:val="24"/>
          <w:szCs w:val="24"/>
        </w:rPr>
        <w:t xml:space="preserve">ing </w:t>
      </w:r>
      <w:r>
        <w:rPr>
          <w:sz w:val="24"/>
          <w:szCs w:val="24"/>
        </w:rPr>
        <w:t xml:space="preserve">additional </w:t>
      </w:r>
      <w:r w:rsidR="00A74385">
        <w:rPr>
          <w:sz w:val="24"/>
          <w:szCs w:val="24"/>
        </w:rPr>
        <w:t xml:space="preserve">uncertainty and </w:t>
      </w:r>
      <w:r>
        <w:rPr>
          <w:sz w:val="24"/>
          <w:szCs w:val="24"/>
        </w:rPr>
        <w:t>risk into the process</w:t>
      </w:r>
      <w:r w:rsidR="00B326AC">
        <w:rPr>
          <w:sz w:val="24"/>
          <w:szCs w:val="24"/>
        </w:rPr>
        <w:t xml:space="preserve">. That uncertainty and risk </w:t>
      </w:r>
      <w:r w:rsidR="00A74385">
        <w:rPr>
          <w:sz w:val="24"/>
          <w:szCs w:val="24"/>
        </w:rPr>
        <w:t>will</w:t>
      </w:r>
      <w:r>
        <w:rPr>
          <w:sz w:val="24"/>
          <w:szCs w:val="24"/>
        </w:rPr>
        <w:t xml:space="preserve"> </w:t>
      </w:r>
      <w:r w:rsidR="00B56B22">
        <w:rPr>
          <w:sz w:val="24"/>
          <w:szCs w:val="24"/>
        </w:rPr>
        <w:t xml:space="preserve">likely </w:t>
      </w:r>
      <w:r>
        <w:rPr>
          <w:sz w:val="24"/>
          <w:szCs w:val="24"/>
        </w:rPr>
        <w:t>result in higher prices for consumers.</w:t>
      </w:r>
    </w:p>
    <w:p w:rsidR="00F06E10" w:rsidP="00220825">
      <w:pPr>
        <w:pStyle w:val="Footer"/>
        <w:tabs>
          <w:tab w:val="clear" w:pos="4320"/>
          <w:tab w:val="clear" w:pos="8640"/>
        </w:tabs>
        <w:spacing w:line="480" w:lineRule="auto"/>
        <w:ind w:firstLine="720"/>
        <w:rPr>
          <w:sz w:val="24"/>
          <w:szCs w:val="24"/>
        </w:rPr>
      </w:pPr>
      <w:r>
        <w:rPr>
          <w:sz w:val="24"/>
          <w:szCs w:val="24"/>
        </w:rPr>
        <w:t xml:space="preserve">The PUCO should modify the Order on rehearing. The PUCO should largely keep the current SSO auction process intact, where energy suppliers bid against each other to provide energy and capacity to SSO customers at market rates. Only a slight change to the SSO auction process is necessary (modifying near-term auctions to reflect known capacity prices in 2021 and 2022) to account for current uncertainty about when the next PJM Interconnection capacity auction (the </w:t>
      </w:r>
      <w:r w:rsidR="00B56B22">
        <w:rPr>
          <w:sz w:val="24"/>
          <w:szCs w:val="24"/>
        </w:rPr>
        <w:t>B</w:t>
      </w:r>
      <w:r>
        <w:rPr>
          <w:sz w:val="24"/>
          <w:szCs w:val="24"/>
        </w:rPr>
        <w:t xml:space="preserve">ase </w:t>
      </w:r>
      <w:r w:rsidR="00B56B22">
        <w:rPr>
          <w:sz w:val="24"/>
          <w:szCs w:val="24"/>
        </w:rPr>
        <w:t>R</w:t>
      </w:r>
      <w:r>
        <w:rPr>
          <w:sz w:val="24"/>
          <w:szCs w:val="24"/>
        </w:rPr>
        <w:t xml:space="preserve">esidual </w:t>
      </w:r>
      <w:r w:rsidR="00B56B22">
        <w:rPr>
          <w:sz w:val="24"/>
          <w:szCs w:val="24"/>
        </w:rPr>
        <w:t>A</w:t>
      </w:r>
      <w:r>
        <w:rPr>
          <w:sz w:val="24"/>
          <w:szCs w:val="24"/>
        </w:rPr>
        <w:t>uction)</w:t>
      </w:r>
      <w:r w:rsidR="00FE6039">
        <w:rPr>
          <w:sz w:val="24"/>
          <w:szCs w:val="24"/>
        </w:rPr>
        <w:t xml:space="preserve"> will take place</w:t>
      </w:r>
      <w:r>
        <w:rPr>
          <w:sz w:val="24"/>
          <w:szCs w:val="24"/>
        </w:rPr>
        <w:t>. The PUCO has already addressed this issue by modifying the Fall 2020 and Spring 2021 SSO auctions to include only a 12-month energy and capacity product based on currently-known capacity prices for 2021 and 2022.</w:t>
      </w:r>
      <w:r>
        <w:rPr>
          <w:rStyle w:val="FootnoteReference"/>
          <w:sz w:val="24"/>
          <w:szCs w:val="24"/>
        </w:rPr>
        <w:footnoteReference w:id="2"/>
      </w:r>
      <w:r>
        <w:rPr>
          <w:sz w:val="24"/>
          <w:szCs w:val="24"/>
        </w:rPr>
        <w:t xml:space="preserve"> Nothing further is required</w:t>
      </w:r>
      <w:r w:rsidR="002C106E">
        <w:rPr>
          <w:sz w:val="24"/>
          <w:szCs w:val="24"/>
        </w:rPr>
        <w:t xml:space="preserve"> at this time</w:t>
      </w:r>
      <w:r>
        <w:rPr>
          <w:sz w:val="24"/>
          <w:szCs w:val="24"/>
        </w:rPr>
        <w:t>.</w:t>
      </w:r>
    </w:p>
    <w:p w:rsidR="00F16238" w:rsidP="00220825">
      <w:pPr>
        <w:pStyle w:val="Footer"/>
        <w:tabs>
          <w:tab w:val="clear" w:pos="4320"/>
          <w:tab w:val="clear" w:pos="8640"/>
        </w:tabs>
        <w:spacing w:line="480" w:lineRule="auto"/>
        <w:ind w:firstLine="720"/>
        <w:rPr>
          <w:sz w:val="24"/>
          <w:szCs w:val="24"/>
        </w:rPr>
      </w:pPr>
      <w:r>
        <w:rPr>
          <w:sz w:val="24"/>
          <w:szCs w:val="24"/>
        </w:rPr>
        <w:t>Yet the PUCO went much further, introducing a new dual-auction process that is similar to the approach endorsed by Energy Harbor</w:t>
      </w:r>
      <w:r w:rsidR="00FE6039">
        <w:rPr>
          <w:sz w:val="24"/>
          <w:szCs w:val="24"/>
        </w:rPr>
        <w:t>.</w:t>
      </w:r>
      <w:r w:rsidR="004A037D">
        <w:rPr>
          <w:sz w:val="24"/>
          <w:szCs w:val="24"/>
        </w:rPr>
        <w:t xml:space="preserve"> </w:t>
      </w:r>
      <w:r w:rsidR="008245D4">
        <w:rPr>
          <w:sz w:val="24"/>
          <w:szCs w:val="24"/>
        </w:rPr>
        <w:t>It</w:t>
      </w:r>
      <w:r>
        <w:rPr>
          <w:sz w:val="24"/>
          <w:szCs w:val="24"/>
        </w:rPr>
        <w:t xml:space="preserve"> requir</w:t>
      </w:r>
      <w:r w:rsidR="008245D4">
        <w:rPr>
          <w:sz w:val="24"/>
          <w:szCs w:val="24"/>
        </w:rPr>
        <w:t>es</w:t>
      </w:r>
      <w:r>
        <w:rPr>
          <w:sz w:val="24"/>
          <w:szCs w:val="24"/>
        </w:rPr>
        <w:t xml:space="preserve"> suppliers to offer capacity at a fixed price</w:t>
      </w:r>
      <w:r w:rsidR="00FE6039">
        <w:rPr>
          <w:sz w:val="24"/>
          <w:szCs w:val="24"/>
        </w:rPr>
        <w:t xml:space="preserve"> for a period of four years, </w:t>
      </w:r>
      <w:r>
        <w:rPr>
          <w:sz w:val="24"/>
          <w:szCs w:val="24"/>
        </w:rPr>
        <w:t>which would extend beyond the term of electric utilities’ currently-approved electric security plans</w:t>
      </w:r>
      <w:r w:rsidR="00B56B22">
        <w:rPr>
          <w:sz w:val="24"/>
          <w:szCs w:val="24"/>
        </w:rPr>
        <w:t xml:space="preserve"> and any current capacity auction process administered by PJM</w:t>
      </w:r>
      <w:r>
        <w:rPr>
          <w:sz w:val="24"/>
          <w:szCs w:val="24"/>
        </w:rPr>
        <w:t xml:space="preserve">. In this regard, the Order is unlawful and unreasonable. </w:t>
      </w:r>
    </w:p>
    <w:p w:rsidR="00220825" w:rsidP="00220825">
      <w:pPr>
        <w:pStyle w:val="Footer"/>
        <w:tabs>
          <w:tab w:val="clear" w:pos="4320"/>
          <w:tab w:val="clear" w:pos="8640"/>
        </w:tabs>
        <w:spacing w:line="480" w:lineRule="auto"/>
        <w:ind w:firstLine="720"/>
        <w:rPr>
          <w:sz w:val="24"/>
          <w:szCs w:val="24"/>
        </w:rPr>
      </w:pPr>
      <w:r>
        <w:rPr>
          <w:sz w:val="24"/>
          <w:szCs w:val="24"/>
        </w:rPr>
        <w:t>On rehearing, the PUCO should modify the Order to eliminate the dual-auction process because it is unlawful and unreasonable in the following respects:</w:t>
      </w:r>
    </w:p>
    <w:p w:rsidR="00933745" w:rsidRPr="00F06E10" w:rsidP="00F91CC9">
      <w:pPr>
        <w:pStyle w:val="Footer"/>
        <w:keepNext/>
        <w:keepLines/>
        <w:tabs>
          <w:tab w:val="clear" w:pos="4320"/>
          <w:tab w:val="clear" w:pos="8640"/>
        </w:tabs>
        <w:spacing w:after="240"/>
        <w:ind w:left="720"/>
        <w:rPr>
          <w:sz w:val="24"/>
          <w:szCs w:val="24"/>
        </w:rPr>
      </w:pPr>
      <w:r w:rsidRPr="00F06E10">
        <w:rPr>
          <w:sz w:val="24"/>
          <w:szCs w:val="24"/>
          <w:u w:val="single"/>
        </w:rPr>
        <w:t>Assignment of Error</w:t>
      </w:r>
      <w:r w:rsidRPr="00F06E10" w:rsidR="00313D50">
        <w:rPr>
          <w:sz w:val="24"/>
          <w:szCs w:val="24"/>
          <w:u w:val="single"/>
        </w:rPr>
        <w:t xml:space="preserve"> 1</w:t>
      </w:r>
      <w:r w:rsidR="00B326AC">
        <w:rPr>
          <w:sz w:val="24"/>
          <w:szCs w:val="24"/>
        </w:rPr>
        <w:t xml:space="preserve">: The PUCO erred by approving terms for </w:t>
      </w:r>
      <w:r w:rsidRPr="00F06E10" w:rsidR="00B326AC">
        <w:rPr>
          <w:sz w:val="24"/>
          <w:szCs w:val="24"/>
        </w:rPr>
        <w:t>SSO auction</w:t>
      </w:r>
      <w:r w:rsidR="00B326AC">
        <w:rPr>
          <w:sz w:val="24"/>
          <w:szCs w:val="24"/>
        </w:rPr>
        <w:t>s</w:t>
      </w:r>
      <w:r w:rsidRPr="00F06E10" w:rsidR="00B326AC">
        <w:rPr>
          <w:sz w:val="24"/>
          <w:szCs w:val="24"/>
        </w:rPr>
        <w:t xml:space="preserve"> that extend beyond th</w:t>
      </w:r>
      <w:r w:rsidR="00B326AC">
        <w:rPr>
          <w:sz w:val="24"/>
          <w:szCs w:val="24"/>
        </w:rPr>
        <w:t>e</w:t>
      </w:r>
      <w:r w:rsidRPr="00F06E10" w:rsidR="00B326AC">
        <w:rPr>
          <w:sz w:val="24"/>
          <w:szCs w:val="24"/>
        </w:rPr>
        <w:t xml:space="preserve"> electric utilities’ currently-approved electric security plans</w:t>
      </w:r>
      <w:r w:rsidR="00B326AC">
        <w:rPr>
          <w:sz w:val="24"/>
          <w:szCs w:val="24"/>
        </w:rPr>
        <w:t>, which violates R.C. 4928.143.</w:t>
      </w:r>
    </w:p>
    <w:p w:rsidR="00373458" w:rsidRPr="00F06E10" w:rsidP="00F91CC9">
      <w:pPr>
        <w:pStyle w:val="Footer"/>
        <w:tabs>
          <w:tab w:val="clear" w:pos="4320"/>
          <w:tab w:val="clear" w:pos="8640"/>
        </w:tabs>
        <w:spacing w:after="240"/>
        <w:ind w:left="720"/>
        <w:rPr>
          <w:sz w:val="24"/>
          <w:szCs w:val="24"/>
        </w:rPr>
      </w:pPr>
      <w:r w:rsidRPr="00F06E10">
        <w:rPr>
          <w:sz w:val="24"/>
          <w:szCs w:val="24"/>
          <w:u w:val="single"/>
        </w:rPr>
        <w:t>Assignment of Error</w:t>
      </w:r>
      <w:r w:rsidRPr="00F06E10" w:rsidR="00313D50">
        <w:rPr>
          <w:sz w:val="24"/>
          <w:szCs w:val="24"/>
          <w:u w:val="single"/>
        </w:rPr>
        <w:t xml:space="preserve"> 2</w:t>
      </w:r>
      <w:r w:rsidR="00D43E0D">
        <w:rPr>
          <w:sz w:val="24"/>
          <w:szCs w:val="24"/>
        </w:rPr>
        <w:t xml:space="preserve">: The PUCO erred </w:t>
      </w:r>
      <w:r w:rsidRPr="00F06E10" w:rsidR="00D43E0D">
        <w:rPr>
          <w:sz w:val="24"/>
          <w:szCs w:val="24"/>
        </w:rPr>
        <w:t>because the record does not support the PUCO’s ruling, and the PUCO did not adequately justify its modification of prior orders</w:t>
      </w:r>
      <w:r w:rsidR="00D43E0D">
        <w:rPr>
          <w:sz w:val="24"/>
          <w:szCs w:val="24"/>
        </w:rPr>
        <w:t xml:space="preserve">, thus violating </w:t>
      </w:r>
      <w:r w:rsidRPr="00F06E10" w:rsidR="003971D8">
        <w:rPr>
          <w:sz w:val="24"/>
          <w:szCs w:val="24"/>
        </w:rPr>
        <w:t>R.C. 4903.09 and Supreme Court of Ohio precedent.</w:t>
      </w:r>
    </w:p>
    <w:p w:rsidR="00220825" w:rsidRPr="00B77F84" w:rsidP="00B77F84">
      <w:pPr>
        <w:pStyle w:val="Footer"/>
        <w:tabs>
          <w:tab w:val="clear" w:pos="4320"/>
          <w:tab w:val="clear" w:pos="8640"/>
        </w:tabs>
        <w:spacing w:after="240"/>
        <w:ind w:left="720"/>
        <w:rPr>
          <w:sz w:val="24"/>
          <w:szCs w:val="24"/>
        </w:rPr>
      </w:pPr>
      <w:r w:rsidRPr="00F06E10">
        <w:rPr>
          <w:sz w:val="24"/>
          <w:szCs w:val="24"/>
          <w:u w:val="single"/>
        </w:rPr>
        <w:t>Assignment of Error</w:t>
      </w:r>
      <w:r w:rsidRPr="00F06E10" w:rsidR="00313D50">
        <w:rPr>
          <w:sz w:val="24"/>
          <w:szCs w:val="24"/>
          <w:u w:val="single"/>
        </w:rPr>
        <w:t xml:space="preserve"> 3</w:t>
      </w:r>
      <w:r w:rsidR="00D43E0D">
        <w:rPr>
          <w:sz w:val="24"/>
          <w:szCs w:val="24"/>
        </w:rPr>
        <w:t xml:space="preserve">: The PUCO erred by amending </w:t>
      </w:r>
      <w:r w:rsidR="00B77F84">
        <w:rPr>
          <w:sz w:val="24"/>
          <w:szCs w:val="24"/>
        </w:rPr>
        <w:t xml:space="preserve">the SSO auction process to </w:t>
      </w:r>
      <w:r w:rsidRPr="00F06E10" w:rsidR="00B77F84">
        <w:rPr>
          <w:sz w:val="24"/>
          <w:szCs w:val="24"/>
        </w:rPr>
        <w:t>add unnecessary complexity and uncertainty</w:t>
      </w:r>
      <w:r w:rsidR="00B77F84">
        <w:rPr>
          <w:sz w:val="24"/>
          <w:szCs w:val="24"/>
        </w:rPr>
        <w:t xml:space="preserve">, thus threatening to increase prices for consumers who have </w:t>
      </w:r>
      <w:r w:rsidRPr="00F06E10" w:rsidR="00B77F84">
        <w:rPr>
          <w:sz w:val="24"/>
          <w:szCs w:val="24"/>
        </w:rPr>
        <w:t xml:space="preserve">historically </w:t>
      </w:r>
      <w:r w:rsidR="00B77F84">
        <w:rPr>
          <w:sz w:val="24"/>
          <w:szCs w:val="24"/>
        </w:rPr>
        <w:t>benefitted from</w:t>
      </w:r>
      <w:r w:rsidRPr="00F06E10" w:rsidR="00B77F84">
        <w:rPr>
          <w:sz w:val="24"/>
          <w:szCs w:val="24"/>
        </w:rPr>
        <w:t xml:space="preserve"> low, market-based </w:t>
      </w:r>
      <w:r w:rsidR="00B77F84">
        <w:rPr>
          <w:sz w:val="24"/>
          <w:szCs w:val="24"/>
        </w:rPr>
        <w:t xml:space="preserve">SSO </w:t>
      </w:r>
      <w:r w:rsidRPr="00F06E10" w:rsidR="00B77F84">
        <w:rPr>
          <w:sz w:val="24"/>
          <w:szCs w:val="24"/>
        </w:rPr>
        <w:t>prices for electric generation service.</w:t>
      </w:r>
      <w:r>
        <w:rPr>
          <w:szCs w:val="24"/>
        </w:rPr>
        <w:br w:type="page"/>
      </w:r>
    </w:p>
    <w:p w:rsidR="00F91CC9" w:rsidP="00AB176E">
      <w:pPr>
        <w:pStyle w:val="Footer"/>
        <w:tabs>
          <w:tab w:val="left" w:pos="4320"/>
          <w:tab w:val="clear" w:pos="8640"/>
        </w:tabs>
        <w:ind w:left="4320"/>
        <w:rPr>
          <w:sz w:val="24"/>
          <w:szCs w:val="24"/>
        </w:rPr>
      </w:pPr>
      <w:r>
        <w:rPr>
          <w:sz w:val="24"/>
          <w:szCs w:val="24"/>
        </w:rPr>
        <w:t>Respectfully submitted</w:t>
      </w:r>
    </w:p>
    <w:p w:rsidR="00F91CC9" w:rsidP="00AB176E">
      <w:pPr>
        <w:pStyle w:val="Footer"/>
        <w:tabs>
          <w:tab w:val="left" w:pos="4320"/>
          <w:tab w:val="clear" w:pos="8640"/>
        </w:tabs>
        <w:ind w:left="4320"/>
        <w:rPr>
          <w:sz w:val="24"/>
          <w:szCs w:val="24"/>
        </w:rPr>
      </w:pPr>
    </w:p>
    <w:p w:rsidR="00AB176E" w:rsidRPr="00C5582B" w:rsidP="00AB176E">
      <w:pPr>
        <w:pStyle w:val="Footer"/>
        <w:tabs>
          <w:tab w:val="left" w:pos="4320"/>
          <w:tab w:val="clear" w:pos="8640"/>
        </w:tabs>
        <w:ind w:left="4320"/>
        <w:rPr>
          <w:sz w:val="24"/>
          <w:szCs w:val="24"/>
        </w:rPr>
      </w:pPr>
      <w:r w:rsidRPr="00C5582B">
        <w:rPr>
          <w:sz w:val="24"/>
          <w:szCs w:val="24"/>
        </w:rPr>
        <w:t>Bruce Weston (0016973)</w:t>
      </w:r>
    </w:p>
    <w:p w:rsidR="00AB176E" w:rsidRPr="00C5582B" w:rsidP="00AB176E">
      <w:pPr>
        <w:tabs>
          <w:tab w:val="left" w:pos="4320"/>
        </w:tabs>
        <w:ind w:left="4320"/>
        <w:rPr>
          <w:szCs w:val="24"/>
        </w:rPr>
      </w:pPr>
      <w:r w:rsidRPr="00C5582B">
        <w:rPr>
          <w:szCs w:val="24"/>
        </w:rPr>
        <w:t>Ohio Consumers’ Counsel</w:t>
      </w:r>
    </w:p>
    <w:p w:rsidR="00AB176E" w:rsidP="00AB176E">
      <w:pPr>
        <w:tabs>
          <w:tab w:val="left" w:pos="4320"/>
        </w:tabs>
        <w:ind w:left="4320"/>
        <w:rPr>
          <w:szCs w:val="24"/>
        </w:rPr>
      </w:pPr>
    </w:p>
    <w:p w:rsidR="00F91CC9" w:rsidRPr="00F91CC9" w:rsidP="00AB176E">
      <w:pPr>
        <w:tabs>
          <w:tab w:val="left" w:pos="4320"/>
        </w:tabs>
        <w:ind w:left="4320"/>
        <w:rPr>
          <w:i/>
          <w:iCs/>
          <w:szCs w:val="24"/>
          <w:u w:val="single"/>
        </w:rPr>
      </w:pPr>
      <w:r>
        <w:rPr>
          <w:i/>
          <w:iCs/>
          <w:szCs w:val="24"/>
          <w:u w:val="single"/>
        </w:rPr>
        <w:t>/s/ Christopher Healey</w:t>
      </w:r>
      <w:r w:rsidR="00B77F84">
        <w:rPr>
          <w:i/>
          <w:iCs/>
          <w:szCs w:val="24"/>
          <w:u w:val="single"/>
        </w:rPr>
        <w:tab/>
      </w:r>
      <w:r w:rsidR="00B77F84">
        <w:rPr>
          <w:i/>
          <w:iCs/>
          <w:szCs w:val="24"/>
          <w:u w:val="single"/>
        </w:rPr>
        <w:tab/>
      </w:r>
      <w:r w:rsidR="00B77F84">
        <w:rPr>
          <w:i/>
          <w:iCs/>
          <w:szCs w:val="24"/>
          <w:u w:val="single"/>
        </w:rPr>
        <w:tab/>
      </w:r>
    </w:p>
    <w:p w:rsidR="00AB176E" w:rsidRPr="00C5582B" w:rsidP="00AB176E">
      <w:pPr>
        <w:tabs>
          <w:tab w:val="left" w:pos="4320"/>
        </w:tabs>
        <w:rPr>
          <w:szCs w:val="24"/>
        </w:rPr>
      </w:pPr>
      <w:r w:rsidRPr="00C5582B">
        <w:rPr>
          <w:szCs w:val="24"/>
        </w:rPr>
        <w:tab/>
      </w:r>
      <w:r w:rsidRPr="00C5582B" w:rsidR="00494019">
        <w:rPr>
          <w:szCs w:val="24"/>
        </w:rPr>
        <w:t>Christopher Healey (0086027)</w:t>
      </w:r>
    </w:p>
    <w:p w:rsidR="00AB176E" w:rsidRPr="00C5582B" w:rsidP="00AB176E">
      <w:pPr>
        <w:tabs>
          <w:tab w:val="left" w:pos="4320"/>
        </w:tabs>
        <w:rPr>
          <w:szCs w:val="24"/>
        </w:rPr>
      </w:pPr>
      <w:r w:rsidRPr="00C5582B">
        <w:rPr>
          <w:szCs w:val="24"/>
        </w:rPr>
        <w:tab/>
        <w:t>Counsel of Record</w:t>
      </w:r>
    </w:p>
    <w:p w:rsidR="00494019" w:rsidRPr="00C5582B" w:rsidP="00AB176E">
      <w:pPr>
        <w:tabs>
          <w:tab w:val="left" w:pos="4320"/>
        </w:tabs>
        <w:rPr>
          <w:szCs w:val="24"/>
        </w:rPr>
      </w:pPr>
      <w:r w:rsidRPr="00C5582B">
        <w:rPr>
          <w:szCs w:val="24"/>
        </w:rPr>
        <w:tab/>
        <w:t>William Michael (0070921)</w:t>
      </w:r>
    </w:p>
    <w:p w:rsidR="00AB176E" w:rsidRPr="00C5582B" w:rsidP="00AB176E">
      <w:pPr>
        <w:tabs>
          <w:tab w:val="left" w:pos="4320"/>
        </w:tabs>
        <w:ind w:left="4320"/>
        <w:rPr>
          <w:szCs w:val="24"/>
        </w:rPr>
      </w:pPr>
      <w:r w:rsidRPr="00C5582B">
        <w:rPr>
          <w:szCs w:val="24"/>
        </w:rPr>
        <w:t>Assistant Consumers’ Counsel</w:t>
      </w:r>
    </w:p>
    <w:p w:rsidR="00AB176E" w:rsidRPr="00C5582B" w:rsidP="00AB176E">
      <w:pPr>
        <w:spacing w:before="120"/>
        <w:ind w:left="4320"/>
        <w:rPr>
          <w:b/>
          <w:szCs w:val="24"/>
        </w:rPr>
      </w:pPr>
      <w:r w:rsidRPr="00C5582B">
        <w:rPr>
          <w:b/>
          <w:szCs w:val="24"/>
        </w:rPr>
        <w:t>Office of the Ohio Consumers’ Counsel</w:t>
      </w:r>
    </w:p>
    <w:p w:rsidR="00AB176E" w:rsidRPr="00C5582B" w:rsidP="00AB176E">
      <w:pPr>
        <w:ind w:left="4320"/>
        <w:rPr>
          <w:szCs w:val="24"/>
        </w:rPr>
      </w:pPr>
      <w:r w:rsidRPr="00C5582B">
        <w:rPr>
          <w:szCs w:val="24"/>
        </w:rPr>
        <w:t>65 East State Street, 7th Floor</w:t>
      </w:r>
    </w:p>
    <w:p w:rsidR="00AB176E" w:rsidRPr="00C5582B" w:rsidP="00AB176E">
      <w:pPr>
        <w:ind w:left="4320"/>
        <w:rPr>
          <w:b/>
          <w:szCs w:val="24"/>
        </w:rPr>
      </w:pPr>
      <w:r w:rsidRPr="00C5582B">
        <w:rPr>
          <w:szCs w:val="24"/>
        </w:rPr>
        <w:t>Columbus, Ohio 43215</w:t>
      </w:r>
    </w:p>
    <w:p w:rsidR="00AB176E" w:rsidRPr="00C5582B" w:rsidP="00AB176E">
      <w:pPr>
        <w:autoSpaceDE w:val="0"/>
        <w:autoSpaceDN w:val="0"/>
        <w:adjustRightInd w:val="0"/>
        <w:ind w:left="4320"/>
        <w:rPr>
          <w:szCs w:val="24"/>
        </w:rPr>
      </w:pPr>
      <w:r w:rsidRPr="00C5582B">
        <w:rPr>
          <w:szCs w:val="24"/>
        </w:rPr>
        <w:t>Telephone</w:t>
      </w:r>
      <w:r w:rsidRPr="00C5582B" w:rsidR="00B70D23">
        <w:rPr>
          <w:szCs w:val="24"/>
        </w:rPr>
        <w:t xml:space="preserve"> [</w:t>
      </w:r>
      <w:r w:rsidRPr="00C5582B" w:rsidR="00494019">
        <w:rPr>
          <w:szCs w:val="24"/>
        </w:rPr>
        <w:t>Healey</w:t>
      </w:r>
      <w:r w:rsidRPr="00C5582B" w:rsidR="00B70D23">
        <w:rPr>
          <w:szCs w:val="24"/>
        </w:rPr>
        <w:t>]</w:t>
      </w:r>
      <w:r w:rsidRPr="00C5582B">
        <w:rPr>
          <w:szCs w:val="24"/>
        </w:rPr>
        <w:t xml:space="preserve">: (614) </w:t>
      </w:r>
      <w:r w:rsidRPr="00C5582B" w:rsidR="00494019">
        <w:rPr>
          <w:szCs w:val="24"/>
        </w:rPr>
        <w:t>466-9571</w:t>
      </w:r>
    </w:p>
    <w:p w:rsidR="00494019" w:rsidRPr="00C5582B" w:rsidP="00AB176E">
      <w:pPr>
        <w:autoSpaceDE w:val="0"/>
        <w:autoSpaceDN w:val="0"/>
        <w:adjustRightInd w:val="0"/>
        <w:ind w:left="4320"/>
        <w:rPr>
          <w:szCs w:val="24"/>
        </w:rPr>
      </w:pPr>
      <w:r w:rsidRPr="00C5582B">
        <w:rPr>
          <w:szCs w:val="24"/>
        </w:rPr>
        <w:t>Telephone [Michael]: (614) 466-1291</w:t>
      </w:r>
    </w:p>
    <w:p w:rsidR="00B70D23" w:rsidP="00AB176E">
      <w:pPr>
        <w:autoSpaceDE w:val="0"/>
        <w:autoSpaceDN w:val="0"/>
        <w:adjustRightInd w:val="0"/>
        <w:ind w:left="4320"/>
      </w:pPr>
      <w:hyperlink r:id="rId6" w:history="1">
        <w:r w:rsidRPr="00D21C4F" w:rsidR="00DD7138">
          <w:rPr>
            <w:rStyle w:val="Hyperlink"/>
            <w:szCs w:val="24"/>
          </w:rPr>
          <w:t>christopher.healey@occ.ohio.gov</w:t>
        </w:r>
      </w:hyperlink>
    </w:p>
    <w:p w:rsidR="00B77F84" w:rsidRPr="00C5582B" w:rsidP="00AB176E">
      <w:pPr>
        <w:autoSpaceDE w:val="0"/>
        <w:autoSpaceDN w:val="0"/>
        <w:adjustRightInd w:val="0"/>
        <w:ind w:left="4320"/>
        <w:rPr>
          <w:rStyle w:val="Hyperlink"/>
          <w:szCs w:val="24"/>
        </w:rPr>
      </w:pPr>
      <w:hyperlink r:id="rId7" w:history="1">
        <w:r w:rsidRPr="00D21C4F" w:rsidR="00DD7138">
          <w:rPr>
            <w:rStyle w:val="Hyperlink"/>
          </w:rPr>
          <w:t>william.michael@occ.ohio.gov</w:t>
        </w:r>
      </w:hyperlink>
      <w:r w:rsidR="00D90EF8">
        <w:t xml:space="preserve"> </w:t>
      </w:r>
    </w:p>
    <w:p w:rsidR="00D50E23" w:rsidP="00C512E8">
      <w:pPr>
        <w:rPr>
          <w:szCs w:val="24"/>
        </w:rPr>
      </w:pPr>
      <w:r>
        <w:rPr>
          <w:szCs w:val="24"/>
        </w:rPr>
        <w:tab/>
      </w:r>
      <w:r>
        <w:rPr>
          <w:szCs w:val="24"/>
        </w:rPr>
        <w:tab/>
      </w:r>
      <w:r>
        <w:rPr>
          <w:szCs w:val="24"/>
        </w:rPr>
        <w:tab/>
      </w:r>
      <w:r w:rsidRPr="00C5582B" w:rsidR="00C512E8">
        <w:rPr>
          <w:szCs w:val="24"/>
        </w:rPr>
        <w:tab/>
      </w:r>
      <w:r w:rsidRPr="00C5582B" w:rsidR="00C512E8">
        <w:rPr>
          <w:szCs w:val="24"/>
        </w:rPr>
        <w:tab/>
      </w:r>
      <w:r w:rsidRPr="00C5582B" w:rsidR="003C1FA6">
        <w:rPr>
          <w:szCs w:val="24"/>
        </w:rPr>
        <w:tab/>
      </w:r>
      <w:r w:rsidRPr="00C5582B" w:rsidR="00A05FF9">
        <w:rPr>
          <w:szCs w:val="24"/>
        </w:rPr>
        <w:t>(</w:t>
      </w:r>
      <w:r w:rsidR="00220825">
        <w:rPr>
          <w:szCs w:val="24"/>
        </w:rPr>
        <w:t>w</w:t>
      </w:r>
      <w:r w:rsidRPr="00C5582B" w:rsidR="00A05FF9">
        <w:rPr>
          <w:szCs w:val="24"/>
        </w:rPr>
        <w:t>illing to accept service by e-mail)</w:t>
      </w:r>
      <w:r w:rsidRPr="00C5582B" w:rsidR="00A05FF9">
        <w:rPr>
          <w:szCs w:val="24"/>
        </w:rPr>
        <w:tab/>
      </w:r>
    </w:p>
    <w:p w:rsidR="009E2898" w:rsidP="00C512E8">
      <w:pPr>
        <w:rPr>
          <w:szCs w:val="24"/>
        </w:rPr>
      </w:pPr>
    </w:p>
    <w:p w:rsidR="009E2898" w:rsidP="00C512E8">
      <w:pPr>
        <w:rPr>
          <w:szCs w:val="24"/>
        </w:rPr>
      </w:pPr>
    </w:p>
    <w:p w:rsidR="009E2898" w:rsidP="00C512E8">
      <w:pPr>
        <w:rPr>
          <w:szCs w:val="24"/>
        </w:rPr>
      </w:pPr>
    </w:p>
    <w:p w:rsidR="009E2898" w:rsidP="00C512E8">
      <w:pPr>
        <w:rPr>
          <w:szCs w:val="24"/>
        </w:rPr>
      </w:pPr>
    </w:p>
    <w:p w:rsidR="009E2898" w:rsidP="00C512E8">
      <w:pPr>
        <w:rPr>
          <w:szCs w:val="24"/>
        </w:rPr>
      </w:pPr>
    </w:p>
    <w:p w:rsidR="009E2898" w:rsidP="00C512E8">
      <w:pPr>
        <w:rPr>
          <w:szCs w:val="24"/>
        </w:rPr>
      </w:pPr>
    </w:p>
    <w:p w:rsidR="009E2898" w:rsidP="00C512E8">
      <w:pPr>
        <w:rPr>
          <w:szCs w:val="24"/>
        </w:rPr>
      </w:pPr>
    </w:p>
    <w:p w:rsidR="009E2898" w:rsidP="00C512E8">
      <w:pPr>
        <w:rPr>
          <w:szCs w:val="24"/>
        </w:rPr>
      </w:pPr>
    </w:p>
    <w:p w:rsidR="009E2898" w:rsidP="00C512E8">
      <w:pPr>
        <w:rPr>
          <w:szCs w:val="24"/>
        </w:rPr>
        <w:sectPr w:rsidSect="002F18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65"/>
        </w:sectPr>
      </w:pPr>
    </w:p>
    <w:p w:rsidR="009E2898" w:rsidRPr="009E2898" w:rsidP="009E2898">
      <w:pPr>
        <w:jc w:val="center"/>
        <w:rPr>
          <w:b/>
          <w:bCs/>
          <w:szCs w:val="24"/>
          <w:u w:val="single"/>
        </w:rPr>
      </w:pPr>
      <w:r w:rsidRPr="009E2898">
        <w:rPr>
          <w:b/>
          <w:bCs/>
          <w:szCs w:val="24"/>
          <w:u w:val="single"/>
        </w:rPr>
        <w:t>TABLE OF CONTENTS</w:t>
      </w:r>
    </w:p>
    <w:p w:rsidR="009E2898" w:rsidP="009E2898">
      <w:pPr>
        <w:jc w:val="center"/>
        <w:rPr>
          <w:szCs w:val="24"/>
        </w:rPr>
      </w:pPr>
    </w:p>
    <w:p w:rsidR="009E2898" w:rsidP="009E2898">
      <w:pPr>
        <w:jc w:val="center"/>
        <w:rPr>
          <w:b/>
          <w:bCs/>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E2898">
        <w:rPr>
          <w:b/>
          <w:bCs/>
          <w:szCs w:val="24"/>
        </w:rPr>
        <w:t>PAGE</w:t>
      </w:r>
    </w:p>
    <w:p w:rsidR="009E2898" w:rsidP="009E2898">
      <w:pPr>
        <w:jc w:val="center"/>
        <w:rPr>
          <w:b/>
          <w:bCs/>
          <w:szCs w:val="24"/>
        </w:rPr>
      </w:pPr>
    </w:p>
    <w:p w:rsidR="002D5FB3">
      <w:pPr>
        <w:pStyle w:val="TOC1"/>
        <w:rPr>
          <w:rFonts w:asciiTheme="minorHAnsi" w:eastAsiaTheme="minorEastAsia" w:hAnsiTheme="minorHAnsi" w:cstheme="minorBidi"/>
          <w:caps w:val="0"/>
          <w:noProof/>
          <w:sz w:val="22"/>
          <w:szCs w:val="22"/>
        </w:rPr>
      </w:pPr>
      <w:r>
        <w:rPr>
          <w:b/>
          <w:bCs/>
          <w:caps w:val="0"/>
          <w:szCs w:val="24"/>
        </w:rPr>
        <w:fldChar w:fldCharType="begin"/>
      </w:r>
      <w:r w:rsidR="009E2898">
        <w:rPr>
          <w:b/>
          <w:bCs/>
          <w:caps w:val="0"/>
          <w:szCs w:val="24"/>
        </w:rPr>
        <w:instrText xml:space="preserve"> TOC \o "1-2" \h \z \u </w:instrText>
      </w:r>
      <w:r>
        <w:rPr>
          <w:b/>
          <w:bCs/>
          <w:caps w:val="0"/>
          <w:szCs w:val="24"/>
        </w:rPr>
        <w:fldChar w:fldCharType="separate"/>
      </w:r>
      <w:hyperlink w:anchor="_Toc48286724" w:history="1">
        <w:r w:rsidRPr="00447FEB">
          <w:rPr>
            <w:rStyle w:val="Hyperlink"/>
            <w:noProof/>
          </w:rPr>
          <w:t>i.</w:t>
        </w:r>
        <w:r>
          <w:rPr>
            <w:rFonts w:asciiTheme="minorHAnsi" w:eastAsiaTheme="minorEastAsia" w:hAnsiTheme="minorHAnsi" w:cstheme="minorBidi"/>
            <w:caps w:val="0"/>
            <w:noProof/>
            <w:sz w:val="22"/>
            <w:szCs w:val="22"/>
          </w:rPr>
          <w:tab/>
        </w:r>
        <w:r w:rsidRPr="00447FEB">
          <w:rPr>
            <w:rStyle w:val="Hyperlink"/>
            <w:noProof/>
          </w:rPr>
          <w:t>ASSIGNMENTS OF ERROR</w:t>
        </w:r>
        <w:r>
          <w:rPr>
            <w:noProof/>
            <w:webHidden/>
          </w:rPr>
          <w:tab/>
        </w:r>
        <w:r>
          <w:rPr>
            <w:noProof/>
            <w:webHidden/>
          </w:rPr>
          <w:fldChar w:fldCharType="begin"/>
        </w:r>
        <w:r>
          <w:rPr>
            <w:noProof/>
            <w:webHidden/>
          </w:rPr>
          <w:instrText xml:space="preserve"> PAGEREF _Toc48286724 \h </w:instrText>
        </w:r>
        <w:r>
          <w:rPr>
            <w:noProof/>
            <w:webHidden/>
          </w:rPr>
          <w:fldChar w:fldCharType="separate"/>
        </w:r>
        <w:r>
          <w:rPr>
            <w:noProof/>
            <w:webHidden/>
          </w:rPr>
          <w:t>2</w:t>
        </w:r>
        <w:r>
          <w:rPr>
            <w:noProof/>
            <w:webHidden/>
          </w:rPr>
          <w:fldChar w:fldCharType="end"/>
        </w:r>
      </w:hyperlink>
    </w:p>
    <w:p w:rsidR="002D5FB3">
      <w:pPr>
        <w:pStyle w:val="TOC2"/>
        <w:rPr>
          <w:rFonts w:asciiTheme="minorHAnsi" w:eastAsiaTheme="minorEastAsia" w:hAnsiTheme="minorHAnsi" w:cstheme="minorBidi"/>
          <w:noProof/>
          <w:sz w:val="22"/>
          <w:szCs w:val="22"/>
        </w:rPr>
      </w:pPr>
      <w:hyperlink w:anchor="_Toc48286725" w:history="1">
        <w:r w:rsidRPr="00447FEB" w:rsidR="00D90EF8">
          <w:rPr>
            <w:rStyle w:val="Hyperlink"/>
            <w:noProof/>
          </w:rPr>
          <w:t>Assignment of Error 1: The PUCO erred by approving terms for SSO auctions that extend beyond the electric utilities’ currently-approved electric security plans, which violates R.C. 4928.143.</w:t>
        </w:r>
        <w:r w:rsidR="00D90EF8">
          <w:rPr>
            <w:noProof/>
            <w:webHidden/>
          </w:rPr>
          <w:tab/>
        </w:r>
        <w:r w:rsidR="00D90EF8">
          <w:rPr>
            <w:noProof/>
            <w:webHidden/>
          </w:rPr>
          <w:fldChar w:fldCharType="begin"/>
        </w:r>
        <w:r w:rsidR="00D90EF8">
          <w:rPr>
            <w:noProof/>
            <w:webHidden/>
          </w:rPr>
          <w:instrText xml:space="preserve"> PAGEREF _Toc48286725 \h </w:instrText>
        </w:r>
        <w:r w:rsidR="00D90EF8">
          <w:rPr>
            <w:noProof/>
            <w:webHidden/>
          </w:rPr>
          <w:fldChar w:fldCharType="separate"/>
        </w:r>
        <w:r w:rsidR="00D90EF8">
          <w:rPr>
            <w:noProof/>
            <w:webHidden/>
          </w:rPr>
          <w:t>2</w:t>
        </w:r>
        <w:r w:rsidR="00D90EF8">
          <w:rPr>
            <w:noProof/>
            <w:webHidden/>
          </w:rPr>
          <w:fldChar w:fldCharType="end"/>
        </w:r>
      </w:hyperlink>
    </w:p>
    <w:p w:rsidR="002D5FB3">
      <w:pPr>
        <w:pStyle w:val="TOC2"/>
        <w:rPr>
          <w:rFonts w:asciiTheme="minorHAnsi" w:eastAsiaTheme="minorEastAsia" w:hAnsiTheme="minorHAnsi" w:cstheme="minorBidi"/>
          <w:noProof/>
          <w:sz w:val="22"/>
          <w:szCs w:val="22"/>
        </w:rPr>
      </w:pPr>
      <w:hyperlink w:anchor="_Toc48286726" w:history="1">
        <w:r w:rsidRPr="00447FEB" w:rsidR="00D90EF8">
          <w:rPr>
            <w:rStyle w:val="Hyperlink"/>
            <w:noProof/>
          </w:rPr>
          <w:t xml:space="preserve">Assignment of Error 2: The PUCO erred because the record does not support the </w:t>
        </w:r>
        <w:r w:rsidR="00D90EF8">
          <w:rPr>
            <w:rStyle w:val="Hyperlink"/>
            <w:noProof/>
          </w:rPr>
          <w:br/>
        </w:r>
        <w:r w:rsidRPr="00447FEB" w:rsidR="00D90EF8">
          <w:rPr>
            <w:rStyle w:val="Hyperlink"/>
            <w:noProof/>
          </w:rPr>
          <w:t xml:space="preserve">PUCO’s ruling, and the PUCO did not adequately justify its modification of prior </w:t>
        </w:r>
        <w:r w:rsidR="00D90EF8">
          <w:rPr>
            <w:rStyle w:val="Hyperlink"/>
            <w:noProof/>
          </w:rPr>
          <w:br/>
        </w:r>
        <w:r w:rsidRPr="00447FEB" w:rsidR="00D90EF8">
          <w:rPr>
            <w:rStyle w:val="Hyperlink"/>
            <w:noProof/>
          </w:rPr>
          <w:t>orders, thus violating R.C. 4903.09 and Supreme Court of Ohio precedent.</w:t>
        </w:r>
        <w:r w:rsidR="00D90EF8">
          <w:rPr>
            <w:noProof/>
            <w:webHidden/>
          </w:rPr>
          <w:tab/>
        </w:r>
        <w:r w:rsidR="00D90EF8">
          <w:rPr>
            <w:noProof/>
            <w:webHidden/>
          </w:rPr>
          <w:fldChar w:fldCharType="begin"/>
        </w:r>
        <w:r w:rsidR="00D90EF8">
          <w:rPr>
            <w:noProof/>
            <w:webHidden/>
          </w:rPr>
          <w:instrText xml:space="preserve"> PAGEREF _Toc48286726 \h </w:instrText>
        </w:r>
        <w:r w:rsidR="00D90EF8">
          <w:rPr>
            <w:noProof/>
            <w:webHidden/>
          </w:rPr>
          <w:fldChar w:fldCharType="separate"/>
        </w:r>
        <w:r w:rsidR="00D90EF8">
          <w:rPr>
            <w:noProof/>
            <w:webHidden/>
          </w:rPr>
          <w:t>4</w:t>
        </w:r>
        <w:r w:rsidR="00D90EF8">
          <w:rPr>
            <w:noProof/>
            <w:webHidden/>
          </w:rPr>
          <w:fldChar w:fldCharType="end"/>
        </w:r>
      </w:hyperlink>
    </w:p>
    <w:p w:rsidR="002D5FB3">
      <w:pPr>
        <w:pStyle w:val="TOC2"/>
        <w:rPr>
          <w:rFonts w:asciiTheme="minorHAnsi" w:eastAsiaTheme="minorEastAsia" w:hAnsiTheme="minorHAnsi" w:cstheme="minorBidi"/>
          <w:noProof/>
          <w:sz w:val="22"/>
          <w:szCs w:val="22"/>
        </w:rPr>
      </w:pPr>
      <w:hyperlink w:anchor="_Toc48286727" w:history="1">
        <w:r w:rsidRPr="00447FEB" w:rsidR="00D90EF8">
          <w:rPr>
            <w:rStyle w:val="Hyperlink"/>
            <w:noProof/>
          </w:rPr>
          <w:t xml:space="preserve">Assignment of Error 3: The PUCO erred by amending the SSO auction process to </w:t>
        </w:r>
        <w:r w:rsidR="00D90EF8">
          <w:rPr>
            <w:rStyle w:val="Hyperlink"/>
            <w:noProof/>
          </w:rPr>
          <w:br/>
        </w:r>
        <w:r w:rsidRPr="00447FEB" w:rsidR="00D90EF8">
          <w:rPr>
            <w:rStyle w:val="Hyperlink"/>
            <w:noProof/>
          </w:rPr>
          <w:t>add unnecessary complexity and uncertainty, thus threatening to increase prices for consumers who have historically benefitted from low, market-based SSO prices for electric generation service.</w:t>
        </w:r>
        <w:r w:rsidR="00D90EF8">
          <w:rPr>
            <w:noProof/>
            <w:webHidden/>
          </w:rPr>
          <w:tab/>
        </w:r>
        <w:r w:rsidR="00D90EF8">
          <w:rPr>
            <w:noProof/>
            <w:webHidden/>
          </w:rPr>
          <w:fldChar w:fldCharType="begin"/>
        </w:r>
        <w:r w:rsidR="00D90EF8">
          <w:rPr>
            <w:noProof/>
            <w:webHidden/>
          </w:rPr>
          <w:instrText xml:space="preserve"> PAGEREF _Toc48286727 \h </w:instrText>
        </w:r>
        <w:r w:rsidR="00D90EF8">
          <w:rPr>
            <w:noProof/>
            <w:webHidden/>
          </w:rPr>
          <w:fldChar w:fldCharType="separate"/>
        </w:r>
        <w:r w:rsidR="00D90EF8">
          <w:rPr>
            <w:noProof/>
            <w:webHidden/>
          </w:rPr>
          <w:t>8</w:t>
        </w:r>
        <w:r w:rsidR="00D90EF8">
          <w:rPr>
            <w:noProof/>
            <w:webHidden/>
          </w:rPr>
          <w:fldChar w:fldCharType="end"/>
        </w:r>
      </w:hyperlink>
    </w:p>
    <w:p w:rsidR="002D5FB3">
      <w:pPr>
        <w:pStyle w:val="TOC1"/>
        <w:rPr>
          <w:rFonts w:asciiTheme="minorHAnsi" w:eastAsiaTheme="minorEastAsia" w:hAnsiTheme="minorHAnsi" w:cstheme="minorBidi"/>
          <w:caps w:val="0"/>
          <w:noProof/>
          <w:sz w:val="22"/>
          <w:szCs w:val="22"/>
        </w:rPr>
      </w:pPr>
      <w:hyperlink w:anchor="_Toc48286728" w:history="1">
        <w:r w:rsidRPr="00447FEB" w:rsidR="00D90EF8">
          <w:rPr>
            <w:rStyle w:val="Hyperlink"/>
            <w:noProof/>
          </w:rPr>
          <w:t>II.</w:t>
        </w:r>
        <w:r w:rsidR="00D90EF8">
          <w:rPr>
            <w:rFonts w:asciiTheme="minorHAnsi" w:eastAsiaTheme="minorEastAsia" w:hAnsiTheme="minorHAnsi" w:cstheme="minorBidi"/>
            <w:caps w:val="0"/>
            <w:noProof/>
            <w:sz w:val="22"/>
            <w:szCs w:val="22"/>
          </w:rPr>
          <w:tab/>
        </w:r>
        <w:r w:rsidRPr="00447FEB" w:rsidR="00D90EF8">
          <w:rPr>
            <w:rStyle w:val="Hyperlink"/>
            <w:noProof/>
          </w:rPr>
          <w:t>CONCLUSION</w:t>
        </w:r>
        <w:r w:rsidR="00D90EF8">
          <w:rPr>
            <w:noProof/>
            <w:webHidden/>
          </w:rPr>
          <w:tab/>
        </w:r>
        <w:r w:rsidR="00D90EF8">
          <w:rPr>
            <w:noProof/>
            <w:webHidden/>
          </w:rPr>
          <w:fldChar w:fldCharType="begin"/>
        </w:r>
        <w:r w:rsidR="00D90EF8">
          <w:rPr>
            <w:noProof/>
            <w:webHidden/>
          </w:rPr>
          <w:instrText xml:space="preserve"> PAGEREF _Toc48286728 \h </w:instrText>
        </w:r>
        <w:r w:rsidR="00D90EF8">
          <w:rPr>
            <w:noProof/>
            <w:webHidden/>
          </w:rPr>
          <w:fldChar w:fldCharType="separate"/>
        </w:r>
        <w:r w:rsidR="00D90EF8">
          <w:rPr>
            <w:noProof/>
            <w:webHidden/>
          </w:rPr>
          <w:t>11</w:t>
        </w:r>
        <w:r w:rsidR="00D90EF8">
          <w:rPr>
            <w:noProof/>
            <w:webHidden/>
          </w:rPr>
          <w:fldChar w:fldCharType="end"/>
        </w:r>
      </w:hyperlink>
    </w:p>
    <w:p w:rsidR="009E2898" w:rsidP="009E2898">
      <w:pPr>
        <w:jc w:val="center"/>
        <w:rPr>
          <w:b/>
          <w:bCs/>
          <w:szCs w:val="24"/>
        </w:rPr>
      </w:pPr>
      <w:r>
        <w:rPr>
          <w:b/>
          <w:bCs/>
          <w:caps/>
          <w:szCs w:val="24"/>
        </w:rPr>
        <w:fldChar w:fldCharType="end"/>
      </w: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P="009E2898">
      <w:pPr>
        <w:jc w:val="center"/>
        <w:rPr>
          <w:b/>
          <w:bCs/>
          <w:szCs w:val="24"/>
        </w:rPr>
      </w:pPr>
    </w:p>
    <w:p w:rsidR="009E2898" w:rsidRPr="00C5582B" w:rsidP="009E2898">
      <w:pPr>
        <w:jc w:val="center"/>
        <w:rPr>
          <w:szCs w:val="24"/>
        </w:rPr>
        <w:sectPr w:rsidSect="009E2898">
          <w:footerReference w:type="first" r:id="rId16"/>
          <w:pgSz w:w="12240" w:h="15840"/>
          <w:pgMar w:top="1440" w:right="1440" w:bottom="1440" w:left="1440" w:header="720" w:footer="720" w:gutter="0"/>
          <w:pgNumType w:fmt="lowerRoman" w:start="1"/>
          <w:cols w:space="720"/>
          <w:titlePg/>
          <w:docGrid w:linePitch="65"/>
        </w:sectPr>
      </w:pPr>
    </w:p>
    <w:p w:rsidR="00220825" w:rsidRPr="00C5582B" w:rsidP="002208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1" w:name="_Toc36475797"/>
      <w:r w:rsidRPr="00C5582B">
        <w:rPr>
          <w:rFonts w:ascii="Times New Roman" w:hAnsi="Times New Roman" w:cs="Times New Roman"/>
          <w:b/>
          <w:bCs/>
          <w:sz w:val="24"/>
          <w:szCs w:val="24"/>
        </w:rPr>
        <w:t>BEFORE</w:t>
      </w:r>
    </w:p>
    <w:p w:rsidR="00220825" w:rsidRPr="00C5582B" w:rsidP="00220825">
      <w:pPr>
        <w:pStyle w:val="HTMLPreformatted"/>
        <w:jc w:val="center"/>
        <w:rPr>
          <w:rFonts w:ascii="Times New Roman" w:hAnsi="Times New Roman" w:cs="Times New Roman"/>
          <w:sz w:val="24"/>
          <w:szCs w:val="24"/>
        </w:rPr>
      </w:pPr>
      <w:r w:rsidRPr="00C5582B">
        <w:rPr>
          <w:rFonts w:ascii="Times New Roman" w:hAnsi="Times New Roman" w:cs="Times New Roman"/>
          <w:b/>
          <w:bCs/>
          <w:sz w:val="24"/>
          <w:szCs w:val="24"/>
        </w:rPr>
        <w:t>THE PUBLIC UTILITIES COMMISSION OF OHIO</w:t>
      </w:r>
    </w:p>
    <w:p w:rsidR="00220825" w:rsidRPr="00C5582B" w:rsidP="00220825">
      <w:pPr>
        <w:pStyle w:val="HTMLPreformatted"/>
        <w:jc w:val="center"/>
        <w:rPr>
          <w:rFonts w:ascii="Times New Roman" w:hAnsi="Times New Roman" w:cs="Times New Roman"/>
          <w:b/>
          <w:bCs/>
          <w:sz w:val="24"/>
          <w:szCs w:val="24"/>
        </w:rPr>
      </w:pPr>
      <w:r w:rsidRPr="00C5582B">
        <w:rPr>
          <w:rFonts w:ascii="Times New Roman" w:hAnsi="Times New Roman" w:cs="Times New Roman"/>
          <w:b/>
          <w:bCs/>
          <w:sz w:val="24"/>
          <w:szCs w:val="24"/>
        </w:rPr>
        <w:t xml:space="preserve"> </w:t>
      </w:r>
    </w:p>
    <w:tbl>
      <w:tblPr>
        <w:tblW w:w="9092" w:type="dxa"/>
        <w:tblLook w:val="01E0"/>
      </w:tblPr>
      <w:tblGrid>
        <w:gridCol w:w="3972"/>
        <w:gridCol w:w="480"/>
        <w:gridCol w:w="4640"/>
      </w:tblGrid>
      <w:tr w:rsidTr="00EC7EE3">
        <w:tblPrEx>
          <w:tblW w:w="9092" w:type="dxa"/>
          <w:tblLook w:val="01E0"/>
        </w:tblPrEx>
        <w:trPr>
          <w:trHeight w:val="807"/>
        </w:trPr>
        <w:tc>
          <w:tcPr>
            <w:tcW w:w="3972" w:type="dxa"/>
          </w:tcPr>
          <w:p w:rsidR="00220825" w:rsidRPr="00C5582B" w:rsidP="00EC7EE3">
            <w:pPr>
              <w:autoSpaceDE w:val="0"/>
              <w:autoSpaceDN w:val="0"/>
              <w:adjustRightInd w:val="0"/>
              <w:rPr>
                <w:szCs w:val="24"/>
              </w:rPr>
            </w:pPr>
            <w:r w:rsidRPr="00C5582B">
              <w:rPr>
                <w:szCs w:val="24"/>
              </w:rPr>
              <w:t>In the Matter of the Procurement of Standard Service Offer Generation as Part of the Fourth Electric Security Plan for Customers of Ohio Edison Company, the Cleveland Electric Illuminating Company, and The Toledo Edison Company.</w:t>
            </w:r>
          </w:p>
          <w:p w:rsidR="00220825" w:rsidRPr="00C5582B" w:rsidP="00EC7EE3">
            <w:pPr>
              <w:autoSpaceDE w:val="0"/>
              <w:autoSpaceDN w:val="0"/>
              <w:adjustRightInd w:val="0"/>
              <w:rPr>
                <w:szCs w:val="24"/>
              </w:rPr>
            </w:pPr>
          </w:p>
          <w:p w:rsidR="00220825" w:rsidRPr="00C5582B" w:rsidP="00EC7EE3">
            <w:pPr>
              <w:autoSpaceDE w:val="0"/>
              <w:autoSpaceDN w:val="0"/>
              <w:adjustRightInd w:val="0"/>
              <w:rPr>
                <w:szCs w:val="24"/>
              </w:rPr>
            </w:pPr>
            <w:r w:rsidRPr="00C5582B">
              <w:rPr>
                <w:szCs w:val="24"/>
              </w:rPr>
              <w:t>In the Matter of the Procurement of Standard Service Offer Generation for Customers of the Dayton Power and Light Company.</w:t>
            </w:r>
          </w:p>
          <w:p w:rsidR="00220825" w:rsidRPr="00C5582B" w:rsidP="00EC7EE3">
            <w:pPr>
              <w:autoSpaceDE w:val="0"/>
              <w:autoSpaceDN w:val="0"/>
              <w:adjustRightInd w:val="0"/>
              <w:rPr>
                <w:szCs w:val="24"/>
              </w:rPr>
            </w:pPr>
          </w:p>
          <w:p w:rsidR="00220825" w:rsidRPr="00C5582B" w:rsidP="00EC7EE3">
            <w:pPr>
              <w:autoSpaceDE w:val="0"/>
              <w:autoSpaceDN w:val="0"/>
              <w:adjustRightInd w:val="0"/>
              <w:rPr>
                <w:szCs w:val="24"/>
              </w:rPr>
            </w:pPr>
            <w:r w:rsidRPr="00C5582B">
              <w:rPr>
                <w:szCs w:val="24"/>
              </w:rPr>
              <w:t>In the Matter of the Procurement of Standard Service Offer Generation for Customers of Ohio Power Company.</w:t>
            </w:r>
          </w:p>
          <w:p w:rsidR="00220825" w:rsidRPr="00C5582B" w:rsidP="00EC7EE3">
            <w:pPr>
              <w:autoSpaceDE w:val="0"/>
              <w:autoSpaceDN w:val="0"/>
              <w:adjustRightInd w:val="0"/>
              <w:rPr>
                <w:szCs w:val="24"/>
              </w:rPr>
            </w:pPr>
          </w:p>
        </w:tc>
        <w:tc>
          <w:tcPr>
            <w:tcW w:w="480" w:type="dxa"/>
          </w:tcPr>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tc>
        <w:tc>
          <w:tcPr>
            <w:tcW w:w="4640" w:type="dxa"/>
          </w:tcPr>
          <w:p w:rsidR="00220825" w:rsidRPr="00C5582B" w:rsidP="00EC7EE3">
            <w:pPr>
              <w:autoSpaceDE w:val="0"/>
              <w:autoSpaceDN w:val="0"/>
              <w:adjustRightInd w:val="0"/>
              <w:rPr>
                <w:szCs w:val="24"/>
                <w:lang w:val="es-MX"/>
              </w:rPr>
            </w:pPr>
          </w:p>
          <w:p w:rsidR="00220825" w:rsidRPr="00C5582B" w:rsidP="00EC7EE3">
            <w:pPr>
              <w:autoSpaceDE w:val="0"/>
              <w:autoSpaceDN w:val="0"/>
              <w:adjustRightInd w:val="0"/>
              <w:rPr>
                <w:szCs w:val="24"/>
                <w:lang w:val="es-MX"/>
              </w:rPr>
            </w:pPr>
            <w:r w:rsidRPr="00C5582B">
              <w:rPr>
                <w:szCs w:val="24"/>
                <w:lang w:val="es-MX"/>
              </w:rPr>
              <w:t>Case No. 16-776-EL-UNC</w:t>
            </w:r>
          </w:p>
          <w:p w:rsidR="00220825" w:rsidRPr="00C5582B" w:rsidP="00EC7EE3">
            <w:pPr>
              <w:autoSpaceDE w:val="0"/>
              <w:autoSpaceDN w:val="0"/>
              <w:adjustRightInd w:val="0"/>
              <w:rPr>
                <w:szCs w:val="24"/>
                <w:lang w:val="es-MX"/>
              </w:rPr>
            </w:pPr>
          </w:p>
          <w:p w:rsidR="00220825" w:rsidRPr="00C5582B" w:rsidP="00EC7EE3">
            <w:pPr>
              <w:autoSpaceDE w:val="0"/>
              <w:autoSpaceDN w:val="0"/>
              <w:adjustRightInd w:val="0"/>
              <w:rPr>
                <w:szCs w:val="24"/>
                <w:lang w:val="es-MX"/>
              </w:rPr>
            </w:pPr>
          </w:p>
          <w:p w:rsidR="00220825" w:rsidRPr="00C5582B" w:rsidP="00EC7EE3">
            <w:pPr>
              <w:autoSpaceDE w:val="0"/>
              <w:autoSpaceDN w:val="0"/>
              <w:adjustRightInd w:val="0"/>
              <w:rPr>
                <w:szCs w:val="24"/>
                <w:lang w:val="es-MX"/>
              </w:rPr>
            </w:pPr>
          </w:p>
          <w:p w:rsidR="00220825" w:rsidRPr="00C5582B" w:rsidP="00EC7EE3">
            <w:pPr>
              <w:autoSpaceDE w:val="0"/>
              <w:autoSpaceDN w:val="0"/>
              <w:adjustRightInd w:val="0"/>
              <w:rPr>
                <w:szCs w:val="24"/>
                <w:lang w:val="es-MX"/>
              </w:rPr>
            </w:pPr>
          </w:p>
          <w:p w:rsidR="00220825" w:rsidRPr="00C5582B" w:rsidP="00EC7EE3">
            <w:pPr>
              <w:rPr>
                <w:szCs w:val="24"/>
                <w:lang w:val="es-MX"/>
              </w:rPr>
            </w:pPr>
          </w:p>
          <w:p w:rsidR="00220825" w:rsidRPr="00C5582B" w:rsidP="00EC7EE3">
            <w:pPr>
              <w:rPr>
                <w:szCs w:val="24"/>
                <w:lang w:val="es-MX"/>
              </w:rPr>
            </w:pPr>
          </w:p>
          <w:p w:rsidR="00220825" w:rsidRPr="00C5582B" w:rsidP="00EC7EE3">
            <w:pPr>
              <w:rPr>
                <w:szCs w:val="24"/>
                <w:lang w:val="es-MX"/>
              </w:rPr>
            </w:pPr>
          </w:p>
          <w:p w:rsidR="00220825" w:rsidRPr="00C5582B" w:rsidP="00EC7EE3">
            <w:pPr>
              <w:rPr>
                <w:szCs w:val="24"/>
                <w:lang w:val="es-MX"/>
              </w:rPr>
            </w:pPr>
            <w:r w:rsidRPr="00C5582B">
              <w:rPr>
                <w:szCs w:val="24"/>
                <w:lang w:val="es-MX"/>
              </w:rPr>
              <w:t>Case No. 17-957-EL-UNC</w:t>
            </w:r>
          </w:p>
          <w:p w:rsidR="00220825" w:rsidRPr="00C5582B" w:rsidP="00EC7EE3">
            <w:pPr>
              <w:rPr>
                <w:szCs w:val="24"/>
                <w:lang w:val="es-MX"/>
              </w:rPr>
            </w:pPr>
          </w:p>
          <w:p w:rsidR="00220825" w:rsidRPr="00C5582B" w:rsidP="00EC7EE3">
            <w:pPr>
              <w:rPr>
                <w:szCs w:val="24"/>
                <w:lang w:val="es-MX"/>
              </w:rPr>
            </w:pPr>
          </w:p>
          <w:p w:rsidR="00220825" w:rsidRPr="00C5582B" w:rsidP="00EC7EE3">
            <w:pPr>
              <w:rPr>
                <w:szCs w:val="24"/>
                <w:lang w:val="es-MX"/>
              </w:rPr>
            </w:pPr>
          </w:p>
          <w:p w:rsidR="00220825" w:rsidRPr="00C5582B" w:rsidP="00EC7EE3">
            <w:pPr>
              <w:rPr>
                <w:szCs w:val="24"/>
                <w:lang w:val="es-MX"/>
              </w:rPr>
            </w:pPr>
          </w:p>
          <w:p w:rsidR="00220825" w:rsidRPr="00C5582B" w:rsidP="00EC7EE3">
            <w:pPr>
              <w:autoSpaceDE w:val="0"/>
              <w:autoSpaceDN w:val="0"/>
              <w:adjustRightInd w:val="0"/>
              <w:rPr>
                <w:szCs w:val="24"/>
              </w:rPr>
            </w:pPr>
            <w:r w:rsidRPr="00C5582B">
              <w:rPr>
                <w:szCs w:val="24"/>
              </w:rPr>
              <w:t>Case No. 17-2391-EL-UNC</w:t>
            </w:r>
          </w:p>
          <w:p w:rsidR="00220825" w:rsidRPr="00C5582B" w:rsidP="00EC7EE3">
            <w:pPr>
              <w:rPr>
                <w:szCs w:val="24"/>
              </w:rPr>
            </w:pPr>
          </w:p>
        </w:tc>
      </w:tr>
      <w:tr w:rsidTr="00EC7EE3">
        <w:tblPrEx>
          <w:tblW w:w="9092" w:type="dxa"/>
          <w:tblLook w:val="01E0"/>
        </w:tblPrEx>
        <w:trPr>
          <w:trHeight w:val="807"/>
        </w:trPr>
        <w:tc>
          <w:tcPr>
            <w:tcW w:w="3972" w:type="dxa"/>
          </w:tcPr>
          <w:p w:rsidR="00220825" w:rsidRPr="00C5582B" w:rsidP="00EC7EE3">
            <w:pPr>
              <w:autoSpaceDE w:val="0"/>
              <w:autoSpaceDN w:val="0"/>
              <w:adjustRightInd w:val="0"/>
              <w:rPr>
                <w:szCs w:val="24"/>
              </w:rPr>
            </w:pPr>
            <w:r w:rsidRPr="00C5582B">
              <w:rPr>
                <w:szCs w:val="24"/>
              </w:rPr>
              <w:t>In the Matter of the Procurement of Standard Service Offer Generation for Customers of Duke Energy Ohio, Inc.</w:t>
            </w:r>
          </w:p>
        </w:tc>
        <w:tc>
          <w:tcPr>
            <w:tcW w:w="480" w:type="dxa"/>
          </w:tcPr>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220825" w:rsidRPr="00C5582B" w:rsidP="00EC7EE3">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tc>
        <w:tc>
          <w:tcPr>
            <w:tcW w:w="4640" w:type="dxa"/>
          </w:tcPr>
          <w:p w:rsidR="00220825" w:rsidRPr="00C5582B" w:rsidP="00EC7EE3">
            <w:pPr>
              <w:autoSpaceDE w:val="0"/>
              <w:autoSpaceDN w:val="0"/>
              <w:adjustRightInd w:val="0"/>
              <w:rPr>
                <w:szCs w:val="24"/>
              </w:rPr>
            </w:pPr>
          </w:p>
          <w:p w:rsidR="00220825" w:rsidRPr="00C5582B" w:rsidP="00EC7EE3">
            <w:pPr>
              <w:rPr>
                <w:szCs w:val="24"/>
              </w:rPr>
            </w:pPr>
            <w:r w:rsidRPr="00C5582B">
              <w:rPr>
                <w:szCs w:val="24"/>
              </w:rPr>
              <w:t>Case No. 18-6000-EL-UNC</w:t>
            </w:r>
          </w:p>
        </w:tc>
      </w:tr>
    </w:tbl>
    <w:p w:rsidR="00220825" w:rsidRPr="00C5582B" w:rsidP="00220825">
      <w:pPr>
        <w:pStyle w:val="HTMLPreformatted"/>
        <w:rPr>
          <w:rFonts w:ascii="Times New Roman" w:hAnsi="Times New Roman" w:cs="Times New Roman"/>
          <w:sz w:val="24"/>
          <w:szCs w:val="24"/>
        </w:rPr>
      </w:pPr>
    </w:p>
    <w:p w:rsidR="00220825" w:rsidRPr="00C5582B" w:rsidP="00220825">
      <w:pPr>
        <w:pStyle w:val="HTMLPreformatted"/>
        <w:pBdr>
          <w:top w:val="single" w:sz="12" w:space="1" w:color="auto"/>
        </w:pBdr>
        <w:rPr>
          <w:rFonts w:ascii="Times New Roman" w:hAnsi="Times New Roman" w:cs="Times New Roman"/>
          <w:sz w:val="24"/>
          <w:szCs w:val="24"/>
        </w:rPr>
      </w:pPr>
    </w:p>
    <w:p w:rsidR="00220825" w:rsidRPr="00C5582B" w:rsidP="00220825">
      <w:pPr>
        <w:jc w:val="center"/>
        <w:rPr>
          <w:b/>
          <w:bCs/>
          <w:szCs w:val="24"/>
        </w:rPr>
      </w:pPr>
      <w:r>
        <w:rPr>
          <w:b/>
          <w:bCs/>
          <w:szCs w:val="24"/>
        </w:rPr>
        <w:t>MEMORANDUM IN SUPPORT OF APPLICATION FOR REHEARING</w:t>
      </w:r>
    </w:p>
    <w:p w:rsidR="00220825" w:rsidRPr="00C5582B" w:rsidP="00220825">
      <w:pPr>
        <w:jc w:val="center"/>
        <w:rPr>
          <w:b/>
          <w:bCs/>
          <w:szCs w:val="24"/>
        </w:rPr>
      </w:pPr>
      <w:r w:rsidRPr="00C5582B">
        <w:rPr>
          <w:b/>
          <w:bCs/>
          <w:szCs w:val="24"/>
        </w:rPr>
        <w:t>BY</w:t>
      </w:r>
    </w:p>
    <w:p w:rsidR="00220825" w:rsidRPr="00C5582B" w:rsidP="00220825">
      <w:pPr>
        <w:jc w:val="center"/>
        <w:rPr>
          <w:b/>
          <w:bCs/>
          <w:szCs w:val="24"/>
        </w:rPr>
      </w:pPr>
      <w:r w:rsidRPr="00C5582B">
        <w:rPr>
          <w:b/>
          <w:bCs/>
          <w:szCs w:val="24"/>
        </w:rPr>
        <w:t>THE OFFICE OF THE OHIO CONSUMERS’ COUNSEL</w:t>
      </w:r>
    </w:p>
    <w:p w:rsidR="00220825" w:rsidRPr="00C5582B" w:rsidP="00220825">
      <w:pPr>
        <w:pBdr>
          <w:bottom w:val="single" w:sz="12" w:space="1" w:color="auto"/>
        </w:pBdr>
        <w:tabs>
          <w:tab w:val="left" w:pos="4320"/>
        </w:tabs>
        <w:rPr>
          <w:szCs w:val="24"/>
        </w:rPr>
      </w:pPr>
    </w:p>
    <w:p w:rsidR="00220825" w:rsidRPr="00C5582B" w:rsidP="00220825">
      <w:pPr>
        <w:tabs>
          <w:tab w:val="left" w:pos="4320"/>
        </w:tabs>
        <w:rPr>
          <w:szCs w:val="24"/>
        </w:rPr>
      </w:pPr>
    </w:p>
    <w:p w:rsidR="002C106E" w:rsidP="00541AB6">
      <w:pPr>
        <w:pStyle w:val="FootnoteText"/>
        <w:spacing w:after="0" w:line="480" w:lineRule="auto"/>
        <w:ind w:firstLine="720"/>
        <w:rPr>
          <w:sz w:val="24"/>
          <w:szCs w:val="24"/>
        </w:rPr>
      </w:pPr>
      <w:r w:rsidRPr="00C5582B">
        <w:rPr>
          <w:sz w:val="24"/>
          <w:szCs w:val="24"/>
        </w:rPr>
        <w:t xml:space="preserve">The use of competitive bidding to obtain electricity </w:t>
      </w:r>
      <w:r w:rsidRPr="00C5582B" w:rsidR="004D6DD7">
        <w:rPr>
          <w:sz w:val="24"/>
          <w:szCs w:val="24"/>
        </w:rPr>
        <w:t xml:space="preserve">from suppliers </w:t>
      </w:r>
      <w:r w:rsidRPr="00C5582B">
        <w:rPr>
          <w:sz w:val="24"/>
          <w:szCs w:val="24"/>
        </w:rPr>
        <w:t xml:space="preserve">by utilities for </w:t>
      </w:r>
      <w:r w:rsidR="008245D4">
        <w:rPr>
          <w:sz w:val="24"/>
          <w:szCs w:val="24"/>
        </w:rPr>
        <w:t>th</w:t>
      </w:r>
      <w:r w:rsidR="00D502C6">
        <w:rPr>
          <w:sz w:val="24"/>
          <w:szCs w:val="24"/>
        </w:rPr>
        <w:t>e</w:t>
      </w:r>
      <w:r w:rsidR="008245D4">
        <w:rPr>
          <w:sz w:val="24"/>
          <w:szCs w:val="24"/>
        </w:rPr>
        <w:t>ir</w:t>
      </w:r>
      <w:r w:rsidRPr="00C5582B" w:rsidR="008245D4">
        <w:rPr>
          <w:sz w:val="24"/>
          <w:szCs w:val="24"/>
        </w:rPr>
        <w:t xml:space="preserve"> </w:t>
      </w:r>
      <w:r w:rsidRPr="00C5582B">
        <w:rPr>
          <w:sz w:val="24"/>
          <w:szCs w:val="24"/>
        </w:rPr>
        <w:t>standard service offer customers has been one of the few bright spot</w:t>
      </w:r>
      <w:r w:rsidRPr="00C5582B" w:rsidR="004D6DD7">
        <w:rPr>
          <w:sz w:val="24"/>
          <w:szCs w:val="24"/>
        </w:rPr>
        <w:t>s</w:t>
      </w:r>
      <w:r w:rsidRPr="00C5582B">
        <w:rPr>
          <w:sz w:val="24"/>
          <w:szCs w:val="24"/>
        </w:rPr>
        <w:t xml:space="preserve"> of </w:t>
      </w:r>
      <w:r w:rsidRPr="00C5582B" w:rsidR="00E41B11">
        <w:rPr>
          <w:sz w:val="24"/>
          <w:szCs w:val="24"/>
        </w:rPr>
        <w:t xml:space="preserve">the SSO </w:t>
      </w:r>
      <w:r w:rsidRPr="00C5582B" w:rsidR="00E53D99">
        <w:rPr>
          <w:sz w:val="24"/>
          <w:szCs w:val="24"/>
        </w:rPr>
        <w:t xml:space="preserve">regulatory framework </w:t>
      </w:r>
      <w:r w:rsidRPr="00C5582B">
        <w:rPr>
          <w:sz w:val="24"/>
          <w:szCs w:val="24"/>
        </w:rPr>
        <w:t xml:space="preserve">in Ohio. </w:t>
      </w:r>
      <w:r w:rsidRPr="00C5582B" w:rsidR="002F1813">
        <w:rPr>
          <w:sz w:val="24"/>
          <w:szCs w:val="24"/>
        </w:rPr>
        <w:t>T</w:t>
      </w:r>
      <w:r w:rsidRPr="00C5582B" w:rsidR="002612A4">
        <w:rPr>
          <w:sz w:val="24"/>
          <w:szCs w:val="24"/>
        </w:rPr>
        <w:t xml:space="preserve">he </w:t>
      </w:r>
      <w:r w:rsidRPr="00C5582B" w:rsidR="00E53D99">
        <w:rPr>
          <w:sz w:val="24"/>
          <w:szCs w:val="24"/>
        </w:rPr>
        <w:t xml:space="preserve">competitive auction for </w:t>
      </w:r>
      <w:r w:rsidRPr="00C5582B" w:rsidR="002612A4">
        <w:rPr>
          <w:sz w:val="24"/>
          <w:szCs w:val="24"/>
        </w:rPr>
        <w:t>SSO supply ha</w:t>
      </w:r>
      <w:r w:rsidRPr="00C5582B" w:rsidR="00E41B11">
        <w:rPr>
          <w:sz w:val="24"/>
          <w:szCs w:val="24"/>
        </w:rPr>
        <w:t>s</w:t>
      </w:r>
      <w:r w:rsidRPr="00C5582B" w:rsidR="002612A4">
        <w:rPr>
          <w:sz w:val="24"/>
          <w:szCs w:val="24"/>
        </w:rPr>
        <w:t xml:space="preserve"> worked well as </w:t>
      </w:r>
      <w:r w:rsidRPr="00C5582B" w:rsidR="00E53D99">
        <w:rPr>
          <w:sz w:val="24"/>
          <w:szCs w:val="24"/>
        </w:rPr>
        <w:t xml:space="preserve">demonstrated </w:t>
      </w:r>
      <w:r w:rsidRPr="00C5582B" w:rsidR="002612A4">
        <w:rPr>
          <w:sz w:val="24"/>
          <w:szCs w:val="24"/>
        </w:rPr>
        <w:t xml:space="preserve">by the record low electricity prices </w:t>
      </w:r>
      <w:r w:rsidRPr="00C5582B" w:rsidR="00E53D99">
        <w:rPr>
          <w:sz w:val="24"/>
          <w:szCs w:val="24"/>
        </w:rPr>
        <w:t xml:space="preserve">in </w:t>
      </w:r>
      <w:r w:rsidRPr="00C5582B" w:rsidR="002612A4">
        <w:rPr>
          <w:sz w:val="24"/>
          <w:szCs w:val="24"/>
        </w:rPr>
        <w:t>recent auctions</w:t>
      </w:r>
      <w:r w:rsidRPr="00C5582B" w:rsidR="004D6DD7">
        <w:rPr>
          <w:sz w:val="24"/>
          <w:szCs w:val="24"/>
        </w:rPr>
        <w:t xml:space="preserve"> and the steady decline in generation costs </w:t>
      </w:r>
      <w:r w:rsidRPr="00C5582B" w:rsidR="00E53D99">
        <w:rPr>
          <w:sz w:val="24"/>
          <w:szCs w:val="24"/>
        </w:rPr>
        <w:t xml:space="preserve">paid by </w:t>
      </w:r>
      <w:r w:rsidRPr="00C5582B" w:rsidR="00933135">
        <w:rPr>
          <w:sz w:val="24"/>
          <w:szCs w:val="24"/>
        </w:rPr>
        <w:t xml:space="preserve">SSO </w:t>
      </w:r>
      <w:r w:rsidRPr="00C5582B" w:rsidR="004D6DD7">
        <w:rPr>
          <w:sz w:val="24"/>
          <w:szCs w:val="24"/>
        </w:rPr>
        <w:t>customers</w:t>
      </w:r>
      <w:r w:rsidRPr="00C5582B" w:rsidR="002612A4">
        <w:rPr>
          <w:sz w:val="24"/>
          <w:szCs w:val="24"/>
        </w:rPr>
        <w:t>.</w:t>
      </w:r>
      <w:r>
        <w:rPr>
          <w:rStyle w:val="FootnoteReference"/>
          <w:sz w:val="24"/>
          <w:szCs w:val="24"/>
        </w:rPr>
        <w:footnoteReference w:id="3"/>
      </w:r>
      <w:r w:rsidRPr="00C5582B" w:rsidR="002612A4">
        <w:rPr>
          <w:sz w:val="24"/>
          <w:szCs w:val="24"/>
        </w:rPr>
        <w:t xml:space="preserve"> </w:t>
      </w:r>
      <w:r w:rsidRPr="00C5582B">
        <w:rPr>
          <w:sz w:val="24"/>
          <w:szCs w:val="24"/>
        </w:rPr>
        <w:t>Now</w:t>
      </w:r>
      <w:r w:rsidRPr="00C5582B" w:rsidR="00541AB6">
        <w:rPr>
          <w:sz w:val="24"/>
          <w:szCs w:val="24"/>
        </w:rPr>
        <w:t>, however,</w:t>
      </w:r>
      <w:r>
        <w:rPr>
          <w:sz w:val="24"/>
          <w:szCs w:val="24"/>
        </w:rPr>
        <w:t xml:space="preserve"> the PUCO is potentially upending that process by adopting a new process proposed by Energy Harbor f/k/a FirstEnergy Solutions.</w:t>
      </w:r>
      <w:r w:rsidR="004A037D">
        <w:rPr>
          <w:sz w:val="24"/>
          <w:szCs w:val="24"/>
        </w:rPr>
        <w:t xml:space="preserve"> (FirstEnergy Solution is </w:t>
      </w:r>
      <w:r w:rsidR="00591BE0">
        <w:rPr>
          <w:sz w:val="24"/>
          <w:szCs w:val="24"/>
        </w:rPr>
        <w:t>potentially</w:t>
      </w:r>
      <w:r w:rsidR="004A037D">
        <w:rPr>
          <w:sz w:val="24"/>
          <w:szCs w:val="24"/>
        </w:rPr>
        <w:t xml:space="preserve"> embroiled in a</w:t>
      </w:r>
      <w:r w:rsidR="00591BE0">
        <w:rPr>
          <w:sz w:val="24"/>
          <w:szCs w:val="24"/>
        </w:rPr>
        <w:t>n alleged</w:t>
      </w:r>
      <w:r w:rsidR="004A037D">
        <w:rPr>
          <w:sz w:val="24"/>
          <w:szCs w:val="24"/>
        </w:rPr>
        <w:t xml:space="preserve"> corrupt</w:t>
      </w:r>
      <w:r w:rsidR="00BA36B1">
        <w:rPr>
          <w:sz w:val="24"/>
          <w:szCs w:val="24"/>
        </w:rPr>
        <w:t xml:space="preserve"> pay</w:t>
      </w:r>
      <w:r w:rsidR="00F178B4">
        <w:rPr>
          <w:sz w:val="24"/>
          <w:szCs w:val="24"/>
        </w:rPr>
        <w:t>-</w:t>
      </w:r>
      <w:r w:rsidR="00BA36B1">
        <w:rPr>
          <w:sz w:val="24"/>
          <w:szCs w:val="24"/>
        </w:rPr>
        <w:t>to</w:t>
      </w:r>
      <w:r w:rsidR="00F178B4">
        <w:rPr>
          <w:sz w:val="24"/>
          <w:szCs w:val="24"/>
        </w:rPr>
        <w:t>-</w:t>
      </w:r>
      <w:r w:rsidR="00BA36B1">
        <w:rPr>
          <w:sz w:val="24"/>
          <w:szCs w:val="24"/>
        </w:rPr>
        <w:t xml:space="preserve">play </w:t>
      </w:r>
      <w:r w:rsidR="004A037D">
        <w:rPr>
          <w:sz w:val="24"/>
          <w:szCs w:val="24"/>
        </w:rPr>
        <w:t>scandal never before seen in this state related to legislation (H</w:t>
      </w:r>
      <w:r w:rsidR="00FE6039">
        <w:rPr>
          <w:sz w:val="24"/>
          <w:szCs w:val="24"/>
        </w:rPr>
        <w:t>ouse Bill</w:t>
      </w:r>
      <w:r w:rsidR="004A037D">
        <w:rPr>
          <w:sz w:val="24"/>
          <w:szCs w:val="24"/>
        </w:rPr>
        <w:t xml:space="preserve"> 6) that gave them </w:t>
      </w:r>
      <w:r w:rsidR="00FE6039">
        <w:rPr>
          <w:sz w:val="24"/>
          <w:szCs w:val="24"/>
        </w:rPr>
        <w:t>more than $1</w:t>
      </w:r>
      <w:r w:rsidR="00BA36B1">
        <w:rPr>
          <w:sz w:val="24"/>
          <w:szCs w:val="24"/>
        </w:rPr>
        <w:t xml:space="preserve"> billion in subsidies, paid for by </w:t>
      </w:r>
      <w:r w:rsidR="00FE6039">
        <w:rPr>
          <w:sz w:val="24"/>
          <w:szCs w:val="24"/>
        </w:rPr>
        <w:t>Ohioans).</w:t>
      </w:r>
    </w:p>
    <w:p w:rsidR="002C106E" w:rsidRPr="00E45C75" w:rsidP="00541AB6">
      <w:pPr>
        <w:pStyle w:val="FootnoteText"/>
        <w:spacing w:after="0" w:line="480" w:lineRule="auto"/>
        <w:ind w:firstLine="720"/>
        <w:rPr>
          <w:sz w:val="24"/>
          <w:szCs w:val="24"/>
        </w:rPr>
      </w:pPr>
      <w:r>
        <w:rPr>
          <w:sz w:val="24"/>
          <w:szCs w:val="24"/>
        </w:rPr>
        <w:t>Under the new process, customers could begin paying for capacity based on long-term, fixed prices offered by competitive suppliers. This long-term product increases risk</w:t>
      </w:r>
      <w:r w:rsidR="00BA36B1">
        <w:rPr>
          <w:sz w:val="24"/>
          <w:szCs w:val="24"/>
        </w:rPr>
        <w:t xml:space="preserve"> (and consequently increases price) </w:t>
      </w:r>
      <w:r>
        <w:rPr>
          <w:sz w:val="24"/>
          <w:szCs w:val="24"/>
        </w:rPr>
        <w:t xml:space="preserve">based on the inherent uncertainty in predicting future capacity prices. Thus, while the PUCO’s stated goal might be to “lock in” low prices, its chosen process </w:t>
      </w:r>
      <w:r w:rsidR="00F178B4">
        <w:rPr>
          <w:sz w:val="24"/>
          <w:szCs w:val="24"/>
        </w:rPr>
        <w:t xml:space="preserve">will likely </w:t>
      </w:r>
      <w:r>
        <w:rPr>
          <w:sz w:val="24"/>
          <w:szCs w:val="24"/>
        </w:rPr>
        <w:t xml:space="preserve">have the opposite result of locking in </w:t>
      </w:r>
      <w:r w:rsidRPr="00E45C75">
        <w:rPr>
          <w:sz w:val="24"/>
          <w:szCs w:val="24"/>
        </w:rPr>
        <w:t>higher</w:t>
      </w:r>
      <w:r>
        <w:rPr>
          <w:sz w:val="24"/>
          <w:szCs w:val="24"/>
        </w:rPr>
        <w:t xml:space="preserve"> prices rather than letting the market dictate generation rates</w:t>
      </w:r>
      <w:r w:rsidR="00F178B4">
        <w:rPr>
          <w:sz w:val="24"/>
          <w:szCs w:val="24"/>
        </w:rPr>
        <w:t xml:space="preserve"> </w:t>
      </w:r>
      <w:r w:rsidR="00112C2C">
        <w:rPr>
          <w:sz w:val="24"/>
          <w:szCs w:val="24"/>
        </w:rPr>
        <w:t xml:space="preserve">paid by </w:t>
      </w:r>
      <w:r w:rsidR="00F178B4">
        <w:rPr>
          <w:sz w:val="24"/>
          <w:szCs w:val="24"/>
        </w:rPr>
        <w:t>consumers</w:t>
      </w:r>
      <w:r>
        <w:rPr>
          <w:sz w:val="24"/>
          <w:szCs w:val="24"/>
        </w:rPr>
        <w:t>, as the General Assembly intended.</w:t>
      </w:r>
    </w:p>
    <w:p w:rsidR="00C5582B" w:rsidP="00E45C75">
      <w:pPr>
        <w:pStyle w:val="FootnoteText"/>
        <w:spacing w:after="0" w:line="480" w:lineRule="auto"/>
        <w:ind w:firstLine="720"/>
        <w:rPr>
          <w:sz w:val="24"/>
          <w:szCs w:val="24"/>
        </w:rPr>
      </w:pPr>
      <w:r>
        <w:rPr>
          <w:sz w:val="24"/>
          <w:szCs w:val="24"/>
        </w:rPr>
        <w:t xml:space="preserve">On rehearing, the PUCO should eliminate the “dual auction” approach found in paragraph 35 of the Order. </w:t>
      </w:r>
      <w:r w:rsidR="008245D4">
        <w:rPr>
          <w:sz w:val="24"/>
          <w:szCs w:val="24"/>
        </w:rPr>
        <w:t>The</w:t>
      </w:r>
      <w:r>
        <w:rPr>
          <w:sz w:val="24"/>
          <w:szCs w:val="24"/>
        </w:rPr>
        <w:t xml:space="preserve"> PUCO should continue with its </w:t>
      </w:r>
      <w:r w:rsidR="00FE6039">
        <w:rPr>
          <w:sz w:val="24"/>
          <w:szCs w:val="24"/>
        </w:rPr>
        <w:t xml:space="preserve">plan for </w:t>
      </w:r>
      <w:r>
        <w:rPr>
          <w:sz w:val="24"/>
          <w:szCs w:val="24"/>
        </w:rPr>
        <w:t>Fall 2020 and Spring 2021 auctions</w:t>
      </w:r>
      <w:r w:rsidR="00FE6039">
        <w:rPr>
          <w:sz w:val="24"/>
          <w:szCs w:val="24"/>
        </w:rPr>
        <w:t xml:space="preserve"> to</w:t>
      </w:r>
      <w:r>
        <w:rPr>
          <w:sz w:val="24"/>
          <w:szCs w:val="24"/>
        </w:rPr>
        <w:t xml:space="preserve"> proceed with a 12-month product only. Subsequent auctions will very likely take place after the next PJM base residual auction has occurred, at which point such auctions can continue to operate based on known capacity prices.</w:t>
      </w:r>
    </w:p>
    <w:p w:rsidR="00F91CC9" w:rsidRPr="00C5582B" w:rsidP="00F91CC9">
      <w:pPr>
        <w:pStyle w:val="FootnoteText"/>
        <w:spacing w:after="0"/>
        <w:ind w:firstLine="720"/>
        <w:rPr>
          <w:sz w:val="24"/>
          <w:szCs w:val="24"/>
        </w:rPr>
      </w:pPr>
    </w:p>
    <w:p w:rsidR="005E2783" w:rsidRPr="00451D1C" w:rsidP="002F1813">
      <w:pPr>
        <w:pStyle w:val="Heading1"/>
      </w:pPr>
      <w:bookmarkStart w:id="2" w:name="_Toc19287248"/>
      <w:bookmarkStart w:id="3" w:name="_Toc36475798"/>
      <w:bookmarkStart w:id="4" w:name="_Toc41654437"/>
      <w:bookmarkStart w:id="5" w:name="_Toc41654517"/>
      <w:bookmarkStart w:id="6" w:name="_Toc48286724"/>
      <w:bookmarkEnd w:id="1"/>
      <w:r w:rsidRPr="00C5582B">
        <w:t>i.</w:t>
      </w:r>
      <w:r w:rsidRPr="00C5582B">
        <w:tab/>
      </w:r>
      <w:bookmarkEnd w:id="2"/>
      <w:bookmarkEnd w:id="3"/>
      <w:bookmarkEnd w:id="4"/>
      <w:bookmarkEnd w:id="5"/>
      <w:r w:rsidR="008B6E3F">
        <w:t>ASSIGNME</w:t>
      </w:r>
      <w:r w:rsidRPr="00451D1C" w:rsidR="008B6E3F">
        <w:t>NTS OF ERROR</w:t>
      </w:r>
      <w:bookmarkEnd w:id="6"/>
    </w:p>
    <w:p w:rsidR="00BF5895" w:rsidP="009E2898">
      <w:pPr>
        <w:pStyle w:val="Heading2"/>
      </w:pPr>
      <w:bookmarkStart w:id="7" w:name="_Toc48286725"/>
      <w:bookmarkStart w:id="8" w:name="_Toc36475799"/>
      <w:bookmarkStart w:id="9" w:name="_Toc19287249"/>
      <w:r>
        <w:rPr>
          <w:u w:val="single"/>
        </w:rPr>
        <w:t>Assignment of Error 1</w:t>
      </w:r>
      <w:r w:rsidR="00F91CC9">
        <w:t xml:space="preserve">: </w:t>
      </w:r>
      <w:r w:rsidR="00B77F84">
        <w:t xml:space="preserve">The PUCO erred by approving terms for </w:t>
      </w:r>
      <w:r w:rsidRPr="00F06E10" w:rsidR="00B77F84">
        <w:t>SSO auction</w:t>
      </w:r>
      <w:r w:rsidR="00B77F84">
        <w:t>s</w:t>
      </w:r>
      <w:r w:rsidRPr="00F06E10" w:rsidR="00B77F84">
        <w:t xml:space="preserve"> that extend beyond th</w:t>
      </w:r>
      <w:r w:rsidR="00B77F84">
        <w:t>e</w:t>
      </w:r>
      <w:r w:rsidRPr="00F06E10" w:rsidR="00B77F84">
        <w:t xml:space="preserve"> electric utilities’ currently-approved electric security plans</w:t>
      </w:r>
      <w:r w:rsidR="00B77F84">
        <w:t>, which violates R.C. 4928.143.</w:t>
      </w:r>
      <w:bookmarkEnd w:id="7"/>
    </w:p>
    <w:p w:rsidR="00BF5895" w:rsidP="00E74BD2">
      <w:pPr>
        <w:pStyle w:val="FootnoteText"/>
        <w:spacing w:after="0" w:line="480" w:lineRule="auto"/>
        <w:ind w:firstLine="720"/>
        <w:rPr>
          <w:sz w:val="24"/>
          <w:szCs w:val="24"/>
        </w:rPr>
      </w:pPr>
      <w:r>
        <w:rPr>
          <w:sz w:val="24"/>
          <w:szCs w:val="24"/>
        </w:rPr>
        <w:t xml:space="preserve">As the Order acknowledges, the PUCO’s </w:t>
      </w:r>
      <w:r w:rsidR="005552BA">
        <w:rPr>
          <w:sz w:val="24"/>
          <w:szCs w:val="24"/>
        </w:rPr>
        <w:t>modified SSO auction process</w:t>
      </w:r>
      <w:r>
        <w:rPr>
          <w:sz w:val="24"/>
          <w:szCs w:val="24"/>
        </w:rPr>
        <w:t xml:space="preserve"> “extends beyond the terms of the EDUs’ existing [electric security plans].”</w:t>
      </w:r>
      <w:r>
        <w:rPr>
          <w:rStyle w:val="FootnoteReference"/>
          <w:sz w:val="24"/>
          <w:szCs w:val="24"/>
        </w:rPr>
        <w:footnoteReference w:id="4"/>
      </w:r>
      <w:r>
        <w:rPr>
          <w:sz w:val="24"/>
          <w:szCs w:val="24"/>
        </w:rPr>
        <w:t xml:space="preserve"> </w:t>
      </w:r>
      <w:r w:rsidR="00BA36B1">
        <w:rPr>
          <w:sz w:val="24"/>
          <w:szCs w:val="24"/>
        </w:rPr>
        <w:t>For that very reason, t</w:t>
      </w:r>
      <w:r w:rsidR="008245D4">
        <w:rPr>
          <w:sz w:val="24"/>
          <w:szCs w:val="24"/>
        </w:rPr>
        <w:t xml:space="preserve">he modified SSO auction process </w:t>
      </w:r>
      <w:r>
        <w:rPr>
          <w:sz w:val="24"/>
          <w:szCs w:val="24"/>
        </w:rPr>
        <w:t>is unlawful.</w:t>
      </w:r>
      <w:r w:rsidR="00F178B4">
        <w:rPr>
          <w:sz w:val="24"/>
          <w:szCs w:val="24"/>
        </w:rPr>
        <w:t xml:space="preserve"> The </w:t>
      </w:r>
      <w:r w:rsidR="00D01700">
        <w:rPr>
          <w:sz w:val="24"/>
          <w:szCs w:val="24"/>
        </w:rPr>
        <w:t>Order’s</w:t>
      </w:r>
      <w:r w:rsidR="00F178B4">
        <w:rPr>
          <w:sz w:val="24"/>
          <w:szCs w:val="24"/>
        </w:rPr>
        <w:t xml:space="preserve"> auction process also extends beyond PJM</w:t>
      </w:r>
      <w:r w:rsidR="00D01700">
        <w:rPr>
          <w:sz w:val="24"/>
          <w:szCs w:val="24"/>
        </w:rPr>
        <w:t>’</w:t>
      </w:r>
      <w:r w:rsidR="00F178B4">
        <w:rPr>
          <w:sz w:val="24"/>
          <w:szCs w:val="24"/>
        </w:rPr>
        <w:t>s traditional three-year out capacity auction</w:t>
      </w:r>
      <w:r w:rsidRPr="00D01700" w:rsidR="00D01700">
        <w:rPr>
          <w:sz w:val="24"/>
          <w:szCs w:val="24"/>
        </w:rPr>
        <w:t xml:space="preserve"> </w:t>
      </w:r>
      <w:r w:rsidR="00D01700">
        <w:rPr>
          <w:sz w:val="24"/>
          <w:szCs w:val="24"/>
        </w:rPr>
        <w:t>method</w:t>
      </w:r>
      <w:r w:rsidR="00F178B4">
        <w:rPr>
          <w:sz w:val="24"/>
          <w:szCs w:val="24"/>
        </w:rPr>
        <w:t xml:space="preserve">. SSO bidders, therefore, will be required to guess at what those future prices </w:t>
      </w:r>
      <w:r w:rsidR="00923EA1">
        <w:rPr>
          <w:sz w:val="24"/>
          <w:szCs w:val="24"/>
        </w:rPr>
        <w:t>might</w:t>
      </w:r>
      <w:r w:rsidR="00F178B4">
        <w:rPr>
          <w:sz w:val="24"/>
          <w:szCs w:val="24"/>
        </w:rPr>
        <w:t xml:space="preserve"> be</w:t>
      </w:r>
      <w:r w:rsidR="00591BE0">
        <w:rPr>
          <w:sz w:val="24"/>
          <w:szCs w:val="24"/>
        </w:rPr>
        <w:t>, even if PJM resumes its capacity auctions before the SSO auctions take place</w:t>
      </w:r>
      <w:r w:rsidR="00F178B4">
        <w:rPr>
          <w:sz w:val="24"/>
          <w:szCs w:val="24"/>
        </w:rPr>
        <w:t xml:space="preserve">. This needless uncertainty will result in additional risk for SSO </w:t>
      </w:r>
      <w:r w:rsidR="00A16450">
        <w:rPr>
          <w:sz w:val="24"/>
          <w:szCs w:val="24"/>
        </w:rPr>
        <w:t>participants</w:t>
      </w:r>
      <w:r w:rsidR="00F178B4">
        <w:rPr>
          <w:sz w:val="24"/>
          <w:szCs w:val="24"/>
        </w:rPr>
        <w:t xml:space="preserve">, which will </w:t>
      </w:r>
      <w:r w:rsidR="00923EA1">
        <w:rPr>
          <w:sz w:val="24"/>
          <w:szCs w:val="24"/>
        </w:rPr>
        <w:t xml:space="preserve">almost certainly </w:t>
      </w:r>
      <w:r w:rsidR="00D01700">
        <w:rPr>
          <w:sz w:val="24"/>
          <w:szCs w:val="24"/>
        </w:rPr>
        <w:t>translate</w:t>
      </w:r>
      <w:r w:rsidR="00F178B4">
        <w:rPr>
          <w:sz w:val="24"/>
          <w:szCs w:val="24"/>
        </w:rPr>
        <w:t xml:space="preserve"> in</w:t>
      </w:r>
      <w:r w:rsidR="00D01700">
        <w:rPr>
          <w:sz w:val="24"/>
          <w:szCs w:val="24"/>
        </w:rPr>
        <w:t xml:space="preserve">to </w:t>
      </w:r>
      <w:r w:rsidR="00F178B4">
        <w:rPr>
          <w:sz w:val="24"/>
          <w:szCs w:val="24"/>
        </w:rPr>
        <w:t>higher price</w:t>
      </w:r>
      <w:r w:rsidR="00003F68">
        <w:rPr>
          <w:sz w:val="24"/>
          <w:szCs w:val="24"/>
        </w:rPr>
        <w:t>s</w:t>
      </w:r>
      <w:r w:rsidR="00F178B4">
        <w:rPr>
          <w:sz w:val="24"/>
          <w:szCs w:val="24"/>
        </w:rPr>
        <w:t xml:space="preserve"> for consumers. </w:t>
      </w:r>
      <w:r w:rsidR="00003F68">
        <w:rPr>
          <w:sz w:val="24"/>
          <w:szCs w:val="24"/>
        </w:rPr>
        <w:t>This is m</w:t>
      </w:r>
      <w:r w:rsidR="00F178B4">
        <w:rPr>
          <w:sz w:val="24"/>
          <w:szCs w:val="24"/>
        </w:rPr>
        <w:t>ost likely the motivation for Energy Harbor’s proposal in this proceeding</w:t>
      </w:r>
      <w:r w:rsidR="00003F68">
        <w:rPr>
          <w:sz w:val="24"/>
          <w:szCs w:val="24"/>
        </w:rPr>
        <w:t xml:space="preserve"> (</w:t>
      </w:r>
      <w:r w:rsidRPr="00210E65" w:rsidR="00210E65">
        <w:rPr>
          <w:i/>
          <w:iCs/>
          <w:sz w:val="24"/>
          <w:szCs w:val="24"/>
        </w:rPr>
        <w:t>i.e</w:t>
      </w:r>
      <w:r w:rsidR="00003F68">
        <w:rPr>
          <w:sz w:val="24"/>
          <w:szCs w:val="24"/>
        </w:rPr>
        <w:t xml:space="preserve">., more profits </w:t>
      </w:r>
      <w:r w:rsidR="00D01700">
        <w:rPr>
          <w:sz w:val="24"/>
          <w:szCs w:val="24"/>
        </w:rPr>
        <w:t>by</w:t>
      </w:r>
      <w:r w:rsidR="00003F68">
        <w:rPr>
          <w:sz w:val="24"/>
          <w:szCs w:val="24"/>
        </w:rPr>
        <w:t xml:space="preserve"> </w:t>
      </w:r>
      <w:r w:rsidR="00112C2C">
        <w:rPr>
          <w:sz w:val="24"/>
          <w:szCs w:val="24"/>
        </w:rPr>
        <w:t xml:space="preserve">charging </w:t>
      </w:r>
      <w:r w:rsidR="00003F68">
        <w:rPr>
          <w:sz w:val="24"/>
          <w:szCs w:val="24"/>
        </w:rPr>
        <w:t xml:space="preserve">higher prices </w:t>
      </w:r>
      <w:r w:rsidR="00112C2C">
        <w:rPr>
          <w:sz w:val="24"/>
          <w:szCs w:val="24"/>
        </w:rPr>
        <w:t xml:space="preserve">to </w:t>
      </w:r>
      <w:r w:rsidR="00FE6039">
        <w:rPr>
          <w:sz w:val="24"/>
          <w:szCs w:val="24"/>
        </w:rPr>
        <w:t>consumers).</w:t>
      </w:r>
    </w:p>
    <w:p w:rsidR="00933745" w:rsidP="00E74BD2">
      <w:pPr>
        <w:pStyle w:val="FootnoteText"/>
        <w:spacing w:after="0" w:line="480" w:lineRule="auto"/>
        <w:ind w:firstLine="720"/>
        <w:rPr>
          <w:sz w:val="24"/>
          <w:szCs w:val="24"/>
        </w:rPr>
      </w:pPr>
      <w:r>
        <w:rPr>
          <w:sz w:val="24"/>
          <w:szCs w:val="24"/>
        </w:rPr>
        <w:t>It is well established that the PUCO is a creature of statute that can exercise only that authority granted to it by the Ohio General Assembly.</w:t>
      </w:r>
      <w:r>
        <w:rPr>
          <w:rStyle w:val="FootnoteReference"/>
          <w:sz w:val="24"/>
          <w:szCs w:val="24"/>
        </w:rPr>
        <w:footnoteReference w:id="5"/>
      </w:r>
      <w:r w:rsidR="005552BA">
        <w:rPr>
          <w:sz w:val="24"/>
          <w:szCs w:val="24"/>
        </w:rPr>
        <w:t xml:space="preserve"> The question then becomes what statute authorizes the PUCO to mandate an approach to SSO auctions</w:t>
      </w:r>
      <w:r w:rsidR="00BA36B1">
        <w:rPr>
          <w:sz w:val="24"/>
          <w:szCs w:val="24"/>
        </w:rPr>
        <w:t xml:space="preserve">, outside the parameters of an electric security plan application, </w:t>
      </w:r>
      <w:r w:rsidR="005552BA">
        <w:rPr>
          <w:sz w:val="24"/>
          <w:szCs w:val="24"/>
        </w:rPr>
        <w:t xml:space="preserve">that extends beyond the terms of the utilities’ currently-approved standard service offers. The PUCO cites no such statutory authority in the Order, instead attempting to justify </w:t>
      </w:r>
      <w:r w:rsidR="009B3AE9">
        <w:rPr>
          <w:sz w:val="24"/>
          <w:szCs w:val="24"/>
        </w:rPr>
        <w:t xml:space="preserve">its </w:t>
      </w:r>
      <w:r w:rsidR="005552BA">
        <w:rPr>
          <w:sz w:val="24"/>
          <w:szCs w:val="24"/>
        </w:rPr>
        <w:t>decision based on its assertion that doing so “will provide stability to customers by taking action to lock-in historically low prices observed in recent auctions and thereby attempt to manage price volatility risks.”</w:t>
      </w:r>
      <w:r>
        <w:rPr>
          <w:rStyle w:val="FootnoteReference"/>
          <w:sz w:val="24"/>
          <w:szCs w:val="24"/>
        </w:rPr>
        <w:footnoteReference w:id="6"/>
      </w:r>
      <w:r w:rsidR="00AE7AF2">
        <w:rPr>
          <w:sz w:val="24"/>
          <w:szCs w:val="24"/>
        </w:rPr>
        <w:t xml:space="preserve"> But no statute authorizes the PUCO to take such action simply because the PUCO believes that it would provide stability.</w:t>
      </w:r>
      <w:r>
        <w:rPr>
          <w:rStyle w:val="FootnoteReference"/>
          <w:sz w:val="24"/>
          <w:szCs w:val="24"/>
        </w:rPr>
        <w:footnoteReference w:id="7"/>
      </w:r>
    </w:p>
    <w:p w:rsidR="00300A45" w:rsidP="00E74BD2">
      <w:pPr>
        <w:pStyle w:val="FootnoteText"/>
        <w:spacing w:after="0" w:line="480" w:lineRule="auto"/>
        <w:ind w:firstLine="720"/>
        <w:rPr>
          <w:sz w:val="24"/>
          <w:szCs w:val="24"/>
        </w:rPr>
      </w:pPr>
      <w:r>
        <w:rPr>
          <w:sz w:val="24"/>
          <w:szCs w:val="24"/>
        </w:rPr>
        <w:t xml:space="preserve">Nor is any such authority found in R.C. Chapter 4928. Under R.C. 4928.141, electric utilities are required to provide a standard service offer </w:t>
      </w:r>
      <w:r w:rsidR="00AE7AF2">
        <w:rPr>
          <w:sz w:val="24"/>
          <w:szCs w:val="24"/>
        </w:rPr>
        <w:t xml:space="preserve">under either a market rate offer (under R.C. 4928.142) or an electric security plan (under R.C. 4928.143). And notably, a standard service offer can </w:t>
      </w:r>
      <w:r w:rsidR="00AE7AF2">
        <w:rPr>
          <w:i/>
          <w:sz w:val="24"/>
          <w:szCs w:val="24"/>
        </w:rPr>
        <w:t>only</w:t>
      </w:r>
      <w:r w:rsidR="00AE7AF2">
        <w:rPr>
          <w:sz w:val="24"/>
          <w:szCs w:val="24"/>
        </w:rPr>
        <w:t xml:space="preserve"> be approved as part of a market rate offer or electric security plan</w:t>
      </w:r>
      <w:r w:rsidR="009B3AE9">
        <w:rPr>
          <w:sz w:val="24"/>
          <w:szCs w:val="24"/>
        </w:rPr>
        <w:t>.</w:t>
      </w:r>
      <w:r w:rsidR="00AE7AF2">
        <w:rPr>
          <w:sz w:val="24"/>
          <w:szCs w:val="24"/>
        </w:rPr>
        <w:t xml:space="preserve"> R.C. 4928.141(A) provides that “[o]nly a standard service offer authorized in accordance with section 4928.142 or 4928.143 of the Revised Code, shall serve as the utility’s standard service offer for the purpose of compliance with this section; and that standard service offer shall serve as the utility’s default standard service offer for the purpose of section 4928.14 of the Revised Code.”</w:t>
      </w:r>
    </w:p>
    <w:p w:rsidR="00AE7AF2" w:rsidRPr="00AE7AF2" w:rsidP="00E74BD2">
      <w:pPr>
        <w:pStyle w:val="FootnoteText"/>
        <w:spacing w:after="0" w:line="480" w:lineRule="auto"/>
        <w:ind w:firstLine="720"/>
        <w:rPr>
          <w:sz w:val="24"/>
          <w:szCs w:val="24"/>
        </w:rPr>
      </w:pPr>
      <w:r>
        <w:rPr>
          <w:sz w:val="24"/>
          <w:szCs w:val="24"/>
        </w:rPr>
        <w:t xml:space="preserve">By approving standard service offer auction requirements that extend beyond the term of utilities’ current electric security plans, the PUCO has effectively approved a standard service offer that is </w:t>
      </w:r>
      <w:r>
        <w:rPr>
          <w:i/>
          <w:sz w:val="24"/>
          <w:szCs w:val="24"/>
        </w:rPr>
        <w:t>not</w:t>
      </w:r>
      <w:r>
        <w:rPr>
          <w:sz w:val="24"/>
          <w:szCs w:val="24"/>
        </w:rPr>
        <w:t xml:space="preserve"> part of a market rate offer or an electric security plan. This violates the plain language of R.C. 4928.141(A) and thus is unlawful</w:t>
      </w:r>
      <w:r w:rsidR="00FE6039">
        <w:rPr>
          <w:sz w:val="24"/>
          <w:szCs w:val="24"/>
        </w:rPr>
        <w:t>—</w:t>
      </w:r>
      <w:r w:rsidR="00F248AF">
        <w:rPr>
          <w:sz w:val="24"/>
          <w:szCs w:val="24"/>
        </w:rPr>
        <w:t>the PUCO has no jurisdiction to approve the plan outside the confines of the law. A</w:t>
      </w:r>
      <w:r>
        <w:rPr>
          <w:sz w:val="24"/>
          <w:szCs w:val="24"/>
        </w:rPr>
        <w:t xml:space="preserve">pproval of a standard service offer must be explicitly tied to a market rate offer or an electric security plan. </w:t>
      </w:r>
      <w:r w:rsidR="00F248AF">
        <w:rPr>
          <w:sz w:val="24"/>
          <w:szCs w:val="24"/>
        </w:rPr>
        <w:t>I</w:t>
      </w:r>
      <w:r w:rsidR="00FE6039">
        <w:rPr>
          <w:sz w:val="24"/>
          <w:szCs w:val="24"/>
        </w:rPr>
        <w:t>t was not here. The PUCO erred.</w:t>
      </w:r>
    </w:p>
    <w:p w:rsidR="00B94E84" w:rsidRPr="00B94E84" w:rsidP="009E2898">
      <w:pPr>
        <w:pStyle w:val="Heading2"/>
      </w:pPr>
      <w:bookmarkStart w:id="10" w:name="_Toc48286726"/>
      <w:r>
        <w:rPr>
          <w:u w:val="single"/>
        </w:rPr>
        <w:t xml:space="preserve">Assignment of Error </w:t>
      </w:r>
      <w:r w:rsidR="00BF5895">
        <w:rPr>
          <w:u w:val="single"/>
        </w:rPr>
        <w:t>2</w:t>
      </w:r>
      <w:r w:rsidR="00F91CC9">
        <w:t xml:space="preserve">: </w:t>
      </w:r>
      <w:r w:rsidR="00B77F84">
        <w:t xml:space="preserve">The PUCO erred </w:t>
      </w:r>
      <w:r w:rsidRPr="00F06E10" w:rsidR="00B77F84">
        <w:t>because the record does not support the PUCO’s ruling, and the PUCO did not adequately justify its modification of prior orders</w:t>
      </w:r>
      <w:r w:rsidR="00B77F84">
        <w:t xml:space="preserve">, thus violating </w:t>
      </w:r>
      <w:r w:rsidRPr="00F06E10" w:rsidR="00B77F84">
        <w:t>R.C. 4903.09 and Supreme Court of Ohio precedent.</w:t>
      </w:r>
      <w:bookmarkEnd w:id="10"/>
    </w:p>
    <w:p w:rsidR="00CE2675" w:rsidP="00E74BD2">
      <w:pPr>
        <w:pStyle w:val="FootnoteText"/>
        <w:spacing w:after="0" w:line="480" w:lineRule="auto"/>
        <w:ind w:firstLine="720"/>
        <w:rPr>
          <w:sz w:val="24"/>
          <w:szCs w:val="24"/>
        </w:rPr>
      </w:pPr>
      <w:r>
        <w:rPr>
          <w:sz w:val="24"/>
          <w:szCs w:val="24"/>
        </w:rPr>
        <w:t>R.C. 4903.09 requires the PUCO to file “findings of fact and written opinions setting forth the reasons prompting the decisions arrived at, based upon said findings of fact.” R.C. 4903.09 “requires the commission to explain its decisions and identify in sufficient detail the record evidence upon which its orders are based.”</w:t>
      </w:r>
      <w:r>
        <w:rPr>
          <w:rStyle w:val="FootnoteReference"/>
          <w:sz w:val="24"/>
          <w:szCs w:val="24"/>
        </w:rPr>
        <w:footnoteReference w:id="8"/>
      </w:r>
      <w:r>
        <w:rPr>
          <w:sz w:val="24"/>
          <w:szCs w:val="24"/>
        </w:rPr>
        <w:t xml:space="preserve"> Further, the PUCO “abuses its discretion if it decides an issue without adequate record support.”</w:t>
      </w:r>
      <w:r>
        <w:rPr>
          <w:rStyle w:val="FootnoteReference"/>
          <w:sz w:val="24"/>
          <w:szCs w:val="24"/>
        </w:rPr>
        <w:footnoteReference w:id="9"/>
      </w:r>
      <w:r>
        <w:rPr>
          <w:sz w:val="24"/>
          <w:szCs w:val="24"/>
        </w:rPr>
        <w:t xml:space="preserve"> </w:t>
      </w:r>
    </w:p>
    <w:p w:rsidR="00F248AF" w:rsidP="00F248AF">
      <w:pPr>
        <w:pStyle w:val="FootnoteText"/>
        <w:spacing w:after="0" w:line="480" w:lineRule="auto"/>
        <w:ind w:firstLine="720"/>
        <w:rPr>
          <w:sz w:val="24"/>
          <w:szCs w:val="24"/>
        </w:rPr>
      </w:pPr>
      <w:r>
        <w:rPr>
          <w:sz w:val="24"/>
          <w:szCs w:val="24"/>
        </w:rPr>
        <w:t xml:space="preserve">The </w:t>
      </w:r>
      <w:r w:rsidR="00EA20A5">
        <w:rPr>
          <w:sz w:val="24"/>
          <w:szCs w:val="24"/>
        </w:rPr>
        <w:t xml:space="preserve">Supreme Court of Ohio </w:t>
      </w:r>
      <w:r>
        <w:rPr>
          <w:sz w:val="24"/>
          <w:szCs w:val="24"/>
        </w:rPr>
        <w:t xml:space="preserve">long ago held that </w:t>
      </w:r>
      <w:r w:rsidR="00EA20A5">
        <w:rPr>
          <w:sz w:val="24"/>
          <w:szCs w:val="24"/>
        </w:rPr>
        <w:t xml:space="preserve">the PUCO </w:t>
      </w:r>
      <w:r>
        <w:rPr>
          <w:sz w:val="24"/>
          <w:szCs w:val="24"/>
        </w:rPr>
        <w:t>must</w:t>
      </w:r>
      <w:r w:rsidR="00EA20A5">
        <w:rPr>
          <w:sz w:val="24"/>
          <w:szCs w:val="24"/>
        </w:rPr>
        <w:t xml:space="preserve"> </w:t>
      </w:r>
      <w:r>
        <w:rPr>
          <w:sz w:val="24"/>
          <w:szCs w:val="24"/>
        </w:rPr>
        <w:t>“respect its own precedents in its decisions to assure the predictability which is essential in all areas of law, including administrative law.”</w:t>
      </w:r>
      <w:r>
        <w:rPr>
          <w:rStyle w:val="FootnoteReference"/>
          <w:sz w:val="24"/>
          <w:szCs w:val="24"/>
        </w:rPr>
        <w:footnoteReference w:id="10"/>
      </w:r>
      <w:r>
        <w:rPr>
          <w:sz w:val="24"/>
          <w:szCs w:val="24"/>
        </w:rPr>
        <w:t xml:space="preserve"> In that same decision, the Court noted, however, that the PUCO “should be willing to change its position when the need therefor is clear and it is shown that prior decisions are in error.”</w:t>
      </w:r>
      <w:r>
        <w:rPr>
          <w:rStyle w:val="FootnoteReference"/>
          <w:sz w:val="24"/>
          <w:szCs w:val="24"/>
        </w:rPr>
        <w:footnoteReference w:id="11"/>
      </w:r>
      <w:r w:rsidR="004F78B1">
        <w:rPr>
          <w:sz w:val="24"/>
          <w:szCs w:val="24"/>
        </w:rPr>
        <w:t xml:space="preserve"> More recently, the Court has </w:t>
      </w:r>
      <w:r w:rsidR="005A35F7">
        <w:rPr>
          <w:sz w:val="24"/>
          <w:szCs w:val="24"/>
        </w:rPr>
        <w:t>stated</w:t>
      </w:r>
      <w:r w:rsidR="004F78B1">
        <w:rPr>
          <w:sz w:val="24"/>
          <w:szCs w:val="24"/>
        </w:rPr>
        <w:t xml:space="preserve"> that the PUCO’s “modification power ... is not without limits.”</w:t>
      </w:r>
      <w:r>
        <w:rPr>
          <w:rStyle w:val="FootnoteReference"/>
          <w:sz w:val="24"/>
          <w:szCs w:val="24"/>
        </w:rPr>
        <w:footnoteReference w:id="12"/>
      </w:r>
      <w:r w:rsidR="004F78B1">
        <w:rPr>
          <w:sz w:val="24"/>
          <w:szCs w:val="24"/>
        </w:rPr>
        <w:t xml:space="preserve"> When modifying prior orders</w:t>
      </w:r>
      <w:r w:rsidR="00FE0EF5">
        <w:rPr>
          <w:sz w:val="24"/>
          <w:szCs w:val="24"/>
        </w:rPr>
        <w:t>, the PUCO must explain why it has changed course, and “the new course also must be substantively reasonable and lawful.”</w:t>
      </w:r>
      <w:r>
        <w:rPr>
          <w:rStyle w:val="FootnoteReference"/>
          <w:sz w:val="24"/>
          <w:szCs w:val="24"/>
        </w:rPr>
        <w:footnoteReference w:id="13"/>
      </w:r>
    </w:p>
    <w:p w:rsidR="00210E65" w:rsidP="00210E65">
      <w:pPr>
        <w:pStyle w:val="FootnoteText"/>
        <w:spacing w:after="0" w:line="480" w:lineRule="auto"/>
        <w:rPr>
          <w:sz w:val="24"/>
          <w:szCs w:val="24"/>
        </w:rPr>
      </w:pPr>
      <w:r>
        <w:rPr>
          <w:sz w:val="24"/>
          <w:szCs w:val="24"/>
        </w:rPr>
        <w:t xml:space="preserve"> Here</w:t>
      </w:r>
      <w:r w:rsidR="00591BE0">
        <w:rPr>
          <w:sz w:val="24"/>
          <w:szCs w:val="24"/>
        </w:rPr>
        <w:t>, the new course</w:t>
      </w:r>
      <w:r>
        <w:rPr>
          <w:sz w:val="24"/>
          <w:szCs w:val="24"/>
        </w:rPr>
        <w:t xml:space="preserve"> is neither</w:t>
      </w:r>
      <w:r w:rsidR="00591BE0">
        <w:rPr>
          <w:sz w:val="24"/>
          <w:szCs w:val="24"/>
        </w:rPr>
        <w:t xml:space="preserve"> reasonable nor lawful</w:t>
      </w:r>
      <w:r w:rsidR="005A35F7">
        <w:rPr>
          <w:sz w:val="24"/>
          <w:szCs w:val="24"/>
        </w:rPr>
        <w:t>.</w:t>
      </w:r>
    </w:p>
    <w:p w:rsidR="00130F5D" w:rsidP="00E74BD2">
      <w:pPr>
        <w:pStyle w:val="FootnoteText"/>
        <w:spacing w:after="0" w:line="480" w:lineRule="auto"/>
        <w:ind w:firstLine="720"/>
        <w:rPr>
          <w:sz w:val="24"/>
          <w:szCs w:val="24"/>
        </w:rPr>
      </w:pPr>
      <w:r>
        <w:rPr>
          <w:sz w:val="24"/>
          <w:szCs w:val="24"/>
        </w:rPr>
        <w:t xml:space="preserve">The Order violates R.C. 4903.09 because there is insufficient record evidence to support </w:t>
      </w:r>
      <w:r w:rsidR="009B3AE9">
        <w:rPr>
          <w:sz w:val="24"/>
          <w:szCs w:val="24"/>
        </w:rPr>
        <w:t>the PUCO’s</w:t>
      </w:r>
      <w:r>
        <w:rPr>
          <w:sz w:val="24"/>
          <w:szCs w:val="24"/>
        </w:rPr>
        <w:t xml:space="preserve"> substantial change</w:t>
      </w:r>
      <w:r w:rsidR="00421737">
        <w:rPr>
          <w:sz w:val="24"/>
          <w:szCs w:val="24"/>
        </w:rPr>
        <w:t xml:space="preserve"> to the SSO auction process.</w:t>
      </w:r>
      <w:r w:rsidR="00FE0EF5">
        <w:rPr>
          <w:sz w:val="24"/>
          <w:szCs w:val="24"/>
        </w:rPr>
        <w:t xml:space="preserve"> And it violates Supreme Court precedent </w:t>
      </w:r>
      <w:r w:rsidR="000B193E">
        <w:rPr>
          <w:sz w:val="24"/>
          <w:szCs w:val="24"/>
        </w:rPr>
        <w:t>because the PUCO’s new course of action is substantively unreasonable and unlawful.</w:t>
      </w:r>
    </w:p>
    <w:p w:rsidR="000B193E" w:rsidP="00C76C92">
      <w:pPr>
        <w:pStyle w:val="FootnoteText"/>
        <w:spacing w:after="0" w:line="480" w:lineRule="auto"/>
        <w:ind w:firstLine="720"/>
        <w:rPr>
          <w:color w:val="201F1E"/>
          <w:sz w:val="24"/>
          <w:szCs w:val="24"/>
        </w:rPr>
      </w:pPr>
      <w:r>
        <w:rPr>
          <w:sz w:val="24"/>
          <w:szCs w:val="24"/>
        </w:rPr>
        <w:t xml:space="preserve">For each of Ohio’s electric distribution utilities, the PUCO has </w:t>
      </w:r>
      <w:r w:rsidR="00CF3301">
        <w:rPr>
          <w:sz w:val="24"/>
          <w:szCs w:val="24"/>
        </w:rPr>
        <w:t xml:space="preserve">previously </w:t>
      </w:r>
      <w:r>
        <w:rPr>
          <w:sz w:val="24"/>
          <w:szCs w:val="24"/>
        </w:rPr>
        <w:t xml:space="preserve">approved an SSO auction process </w:t>
      </w:r>
      <w:r w:rsidR="00F248AF">
        <w:rPr>
          <w:sz w:val="24"/>
          <w:szCs w:val="24"/>
        </w:rPr>
        <w:t xml:space="preserve">under each of the </w:t>
      </w:r>
      <w:r w:rsidR="00923EA1">
        <w:rPr>
          <w:sz w:val="24"/>
          <w:szCs w:val="24"/>
        </w:rPr>
        <w:t>utilities’</w:t>
      </w:r>
      <w:r w:rsidR="00F248AF">
        <w:rPr>
          <w:sz w:val="24"/>
          <w:szCs w:val="24"/>
        </w:rPr>
        <w:t xml:space="preserve"> filed and approved electric security plans. Those plans are the sole avenue for </w:t>
      </w:r>
      <w:r>
        <w:rPr>
          <w:sz w:val="24"/>
          <w:szCs w:val="24"/>
        </w:rPr>
        <w:t xml:space="preserve">suppliers to </w:t>
      </w:r>
      <w:r w:rsidR="00F248AF">
        <w:rPr>
          <w:sz w:val="24"/>
          <w:szCs w:val="24"/>
        </w:rPr>
        <w:t>establish a standard</w:t>
      </w:r>
      <w:r w:rsidR="00923EA1">
        <w:rPr>
          <w:sz w:val="24"/>
          <w:szCs w:val="24"/>
        </w:rPr>
        <w:t xml:space="preserve"> service</w:t>
      </w:r>
      <w:r w:rsidR="005A35F7">
        <w:rPr>
          <w:sz w:val="24"/>
          <w:szCs w:val="24"/>
        </w:rPr>
        <w:t xml:space="preserve"> offer. </w:t>
      </w:r>
      <w:r w:rsidRPr="00F73BB4" w:rsidR="00C76C92">
        <w:rPr>
          <w:color w:val="201F1E"/>
          <w:sz w:val="24"/>
          <w:szCs w:val="24"/>
        </w:rPr>
        <w:t xml:space="preserve">The current SSO auctions with a combination of one-year, two-year, and three-year delivery periods have already </w:t>
      </w:r>
      <w:r w:rsidR="00F248AF">
        <w:rPr>
          <w:color w:val="201F1E"/>
          <w:sz w:val="24"/>
          <w:szCs w:val="24"/>
        </w:rPr>
        <w:t xml:space="preserve">been approved and are </w:t>
      </w:r>
      <w:r w:rsidRPr="00F73BB4" w:rsidR="00C76C92">
        <w:rPr>
          <w:color w:val="201F1E"/>
          <w:sz w:val="24"/>
          <w:szCs w:val="24"/>
        </w:rPr>
        <w:t>provid</w:t>
      </w:r>
      <w:r w:rsidR="00F248AF">
        <w:rPr>
          <w:color w:val="201F1E"/>
          <w:sz w:val="24"/>
          <w:szCs w:val="24"/>
        </w:rPr>
        <w:t>ing</w:t>
      </w:r>
      <w:r w:rsidRPr="00F73BB4" w:rsidR="00C76C92">
        <w:rPr>
          <w:color w:val="201F1E"/>
          <w:sz w:val="24"/>
          <w:szCs w:val="24"/>
        </w:rPr>
        <w:t xml:space="preserve"> certain price stability and supply reliability for customers and, at the same time, reflect the changing market prices and expectations.</w:t>
      </w:r>
      <w:r w:rsidR="00C76C92">
        <w:rPr>
          <w:color w:val="201F1E"/>
          <w:sz w:val="24"/>
          <w:szCs w:val="24"/>
        </w:rPr>
        <w:t xml:space="preserve"> </w:t>
      </w:r>
      <w:r w:rsidR="005A35F7">
        <w:rPr>
          <w:color w:val="201F1E"/>
          <w:sz w:val="24"/>
          <w:szCs w:val="24"/>
        </w:rPr>
        <w:t>And</w:t>
      </w:r>
      <w:r w:rsidR="00923EA1">
        <w:rPr>
          <w:color w:val="201F1E"/>
          <w:sz w:val="24"/>
          <w:szCs w:val="24"/>
        </w:rPr>
        <w:t xml:space="preserve"> as mentioned earlier, these delivery periods are within the existing parameters for PJM’s traditional administration of the Base Residual Auction for capacity</w:t>
      </w:r>
      <w:r w:rsidR="00463249">
        <w:rPr>
          <w:color w:val="201F1E"/>
          <w:sz w:val="24"/>
          <w:szCs w:val="24"/>
        </w:rPr>
        <w:t>, thereby reducing risk for SSO auction participants</w:t>
      </w:r>
      <w:r w:rsidR="00591BE0">
        <w:rPr>
          <w:color w:val="201F1E"/>
          <w:sz w:val="24"/>
          <w:szCs w:val="24"/>
        </w:rPr>
        <w:t>—</w:t>
      </w:r>
      <w:r w:rsidR="00463249">
        <w:rPr>
          <w:color w:val="201F1E"/>
          <w:sz w:val="24"/>
          <w:szCs w:val="24"/>
        </w:rPr>
        <w:t>which translates into lower prices for consumers.</w:t>
      </w:r>
    </w:p>
    <w:p w:rsidR="00421737" w:rsidP="00C76C92">
      <w:pPr>
        <w:pStyle w:val="FootnoteText"/>
        <w:spacing w:after="0" w:line="480" w:lineRule="auto"/>
        <w:ind w:firstLine="720"/>
        <w:rPr>
          <w:sz w:val="24"/>
          <w:szCs w:val="24"/>
        </w:rPr>
      </w:pPr>
      <w:r>
        <w:rPr>
          <w:sz w:val="24"/>
          <w:szCs w:val="24"/>
        </w:rPr>
        <w:t>These auction processes were approved in heavily-litigated, heavily-vetted electric security plan cases, often involving dozens of parties, long negotiations, numerous witnesses, hearings, and extensive briefing. These cases have not always resulted in good results for consumers overall, but the SSO auction processes have</w:t>
      </w:r>
      <w:r w:rsidR="005A35F7">
        <w:rPr>
          <w:sz w:val="24"/>
          <w:szCs w:val="24"/>
        </w:rPr>
        <w:t xml:space="preserve"> worked well</w:t>
      </w:r>
      <w:r>
        <w:rPr>
          <w:sz w:val="24"/>
          <w:szCs w:val="24"/>
        </w:rPr>
        <w:t xml:space="preserve"> for consumers</w:t>
      </w:r>
      <w:r w:rsidR="00D502C6">
        <w:rPr>
          <w:sz w:val="24"/>
          <w:szCs w:val="24"/>
        </w:rPr>
        <w:t xml:space="preserve">. </w:t>
      </w:r>
      <w:r w:rsidR="009B3AE9">
        <w:rPr>
          <w:sz w:val="24"/>
          <w:szCs w:val="24"/>
        </w:rPr>
        <w:t>T</w:t>
      </w:r>
      <w:r>
        <w:rPr>
          <w:sz w:val="24"/>
          <w:szCs w:val="24"/>
        </w:rPr>
        <w:t xml:space="preserve">hose processes have been refined over a number of years to reach their current form. </w:t>
      </w:r>
      <w:r w:rsidR="00C76C92">
        <w:rPr>
          <w:sz w:val="24"/>
          <w:szCs w:val="24"/>
        </w:rPr>
        <w:t xml:space="preserve">Low wholesale market prices resulting from competition </w:t>
      </w:r>
      <w:r w:rsidR="00591BE0">
        <w:rPr>
          <w:sz w:val="24"/>
          <w:szCs w:val="24"/>
        </w:rPr>
        <w:t>are</w:t>
      </w:r>
      <w:r w:rsidR="00112C2C">
        <w:rPr>
          <w:sz w:val="24"/>
          <w:szCs w:val="24"/>
        </w:rPr>
        <w:t xml:space="preserve"> intended to </w:t>
      </w:r>
      <w:r w:rsidR="00C76C92">
        <w:rPr>
          <w:sz w:val="24"/>
          <w:szCs w:val="24"/>
        </w:rPr>
        <w:t xml:space="preserve">result in lower SSO prices for consumers. </w:t>
      </w:r>
      <w:r>
        <w:rPr>
          <w:sz w:val="24"/>
          <w:szCs w:val="24"/>
        </w:rPr>
        <w:t xml:space="preserve">The current uncertainty regarding PJM’s capacity auctions aside, there is simply no indication that the SSO auction process </w:t>
      </w:r>
      <w:r w:rsidR="005A35F7">
        <w:rPr>
          <w:sz w:val="24"/>
          <w:szCs w:val="24"/>
        </w:rPr>
        <w:t>is ripe for substantial change.</w:t>
      </w:r>
    </w:p>
    <w:p w:rsidR="000B193E" w:rsidP="00E74BD2">
      <w:pPr>
        <w:pStyle w:val="FootnoteText"/>
        <w:spacing w:after="0" w:line="480" w:lineRule="auto"/>
        <w:ind w:firstLine="720"/>
        <w:rPr>
          <w:sz w:val="24"/>
          <w:szCs w:val="24"/>
        </w:rPr>
      </w:pPr>
      <w:r>
        <w:rPr>
          <w:sz w:val="24"/>
          <w:szCs w:val="24"/>
        </w:rPr>
        <w:t xml:space="preserve">Yet now, </w:t>
      </w:r>
      <w:r w:rsidR="00C76C92">
        <w:rPr>
          <w:sz w:val="24"/>
          <w:szCs w:val="24"/>
        </w:rPr>
        <w:t>the Order seeks to radically change the way in which SSO prices are set without a single witness testifying, without a hearing, and without the development of any factual record whatsoever.</w:t>
      </w:r>
      <w:r>
        <w:rPr>
          <w:sz w:val="24"/>
          <w:szCs w:val="24"/>
        </w:rPr>
        <w:t xml:space="preserve"> T</w:t>
      </w:r>
      <w:r w:rsidR="00C76C92">
        <w:rPr>
          <w:sz w:val="24"/>
          <w:szCs w:val="24"/>
        </w:rPr>
        <w:t xml:space="preserve">he PUCO’s chosen approach is not supported by </w:t>
      </w:r>
      <w:r w:rsidR="00C76C92">
        <w:rPr>
          <w:i/>
          <w:sz w:val="24"/>
          <w:szCs w:val="24"/>
        </w:rPr>
        <w:t>any</w:t>
      </w:r>
      <w:r w:rsidR="00C76C92">
        <w:rPr>
          <w:sz w:val="24"/>
          <w:szCs w:val="24"/>
        </w:rPr>
        <w:t xml:space="preserve"> of the electric distribution utilities, </w:t>
      </w:r>
      <w:r w:rsidR="00C76C92">
        <w:rPr>
          <w:i/>
          <w:sz w:val="24"/>
          <w:szCs w:val="24"/>
        </w:rPr>
        <w:t>any</w:t>
      </w:r>
      <w:r w:rsidR="00C76C92">
        <w:rPr>
          <w:sz w:val="24"/>
          <w:szCs w:val="24"/>
        </w:rPr>
        <w:t xml:space="preserve"> of the parties representing customers (residential or otherwise), or the PUCO Staff.</w:t>
      </w:r>
      <w:r>
        <w:rPr>
          <w:sz w:val="24"/>
          <w:szCs w:val="24"/>
        </w:rPr>
        <w:t xml:space="preserve"> </w:t>
      </w:r>
      <w:r w:rsidR="00C76C92">
        <w:rPr>
          <w:sz w:val="24"/>
          <w:szCs w:val="24"/>
        </w:rPr>
        <w:t xml:space="preserve">Instead, the Order </w:t>
      </w:r>
      <w:r>
        <w:rPr>
          <w:sz w:val="24"/>
          <w:szCs w:val="24"/>
        </w:rPr>
        <w:t>appears to be based exclusively on the recommendations in comments filed by Energy Harbor, LLC (formerly known as FirstEnergy Solutions)</w:t>
      </w:r>
      <w:r>
        <w:rPr>
          <w:rStyle w:val="FootnoteReference"/>
          <w:color w:val="201F1E"/>
        </w:rPr>
        <w:footnoteReference w:id="14"/>
      </w:r>
      <w:r>
        <w:rPr>
          <w:sz w:val="24"/>
          <w:szCs w:val="24"/>
        </w:rPr>
        <w:t xml:space="preserve">—the entity that owns two nuclear power plants that received a bailout under House Bill 6 and which are the subject of an ongoing major political </w:t>
      </w:r>
      <w:r w:rsidR="009B3AE9">
        <w:rPr>
          <w:sz w:val="24"/>
          <w:szCs w:val="24"/>
        </w:rPr>
        <w:t xml:space="preserve">and legal </w:t>
      </w:r>
      <w:r>
        <w:rPr>
          <w:sz w:val="24"/>
          <w:szCs w:val="24"/>
        </w:rPr>
        <w:t>scandal in Ohio.</w:t>
      </w:r>
      <w:r>
        <w:rPr>
          <w:rStyle w:val="FootnoteReference"/>
          <w:sz w:val="24"/>
          <w:szCs w:val="24"/>
        </w:rPr>
        <w:footnoteReference w:id="15"/>
      </w:r>
    </w:p>
    <w:p w:rsidR="000B193E" w:rsidP="00E74BD2">
      <w:pPr>
        <w:pStyle w:val="FootnoteText"/>
        <w:spacing w:after="0" w:line="480" w:lineRule="auto"/>
        <w:ind w:firstLine="720"/>
        <w:rPr>
          <w:sz w:val="24"/>
          <w:szCs w:val="24"/>
        </w:rPr>
      </w:pPr>
      <w:r>
        <w:rPr>
          <w:sz w:val="24"/>
          <w:szCs w:val="24"/>
        </w:rPr>
        <w:t xml:space="preserve">There is virtually no evidence that Ohio’s SSO auction process needs to be overhauled. Indeed, there is no </w:t>
      </w:r>
      <w:r>
        <w:rPr>
          <w:i/>
          <w:sz w:val="24"/>
          <w:szCs w:val="24"/>
        </w:rPr>
        <w:t>record</w:t>
      </w:r>
      <w:r>
        <w:rPr>
          <w:sz w:val="24"/>
          <w:szCs w:val="24"/>
        </w:rPr>
        <w:t xml:space="preserve"> evidence whatsoever </w:t>
      </w:r>
      <w:r w:rsidR="00463249">
        <w:rPr>
          <w:sz w:val="24"/>
          <w:szCs w:val="24"/>
        </w:rPr>
        <w:t xml:space="preserve">because </w:t>
      </w:r>
      <w:r>
        <w:rPr>
          <w:sz w:val="24"/>
          <w:szCs w:val="24"/>
        </w:rPr>
        <w:t>the PUCO did not hold a hearing and did not allow parties to file testimony or cross examine witnesses. In support of the new SSO procedure, the PUCO cites two factors: uncertainty regarding when PJM’s future capacity auctions will occur, and “low wholesale market energy prices” in recent auctions.</w:t>
      </w:r>
      <w:r>
        <w:rPr>
          <w:rStyle w:val="FootnoteReference"/>
          <w:sz w:val="24"/>
          <w:szCs w:val="24"/>
        </w:rPr>
        <w:footnoteReference w:id="16"/>
      </w:r>
      <w:r>
        <w:rPr>
          <w:sz w:val="24"/>
          <w:szCs w:val="24"/>
        </w:rPr>
        <w:t xml:space="preserve"> But neither of these factors sufficiently explains why the PUCO would dispose of the current SSO auction process in favor of Energy Harbor’s preferred approach.</w:t>
      </w:r>
    </w:p>
    <w:p w:rsidR="000B193E" w:rsidP="00E74BD2">
      <w:pPr>
        <w:pStyle w:val="FootnoteText"/>
        <w:spacing w:after="0" w:line="480" w:lineRule="auto"/>
        <w:ind w:firstLine="720"/>
        <w:rPr>
          <w:sz w:val="24"/>
          <w:szCs w:val="24"/>
        </w:rPr>
      </w:pPr>
      <w:r>
        <w:rPr>
          <w:sz w:val="24"/>
          <w:szCs w:val="24"/>
        </w:rPr>
        <w:t>First, uncertainty regarding PJM’s capacity auctions can be handled in the short term by proceeding with auctions for 12-month products only based on 2021/2022 capacity prices, which are already known. The Order acknowledges this by requiring Fall 2020 and Spring 2021 auctions to do precisely this.</w:t>
      </w:r>
    </w:p>
    <w:p w:rsidR="000B193E" w:rsidP="00E74BD2">
      <w:pPr>
        <w:pStyle w:val="FootnoteText"/>
        <w:spacing w:after="0" w:line="480" w:lineRule="auto"/>
        <w:ind w:firstLine="720"/>
        <w:rPr>
          <w:sz w:val="24"/>
          <w:szCs w:val="24"/>
        </w:rPr>
      </w:pPr>
      <w:r>
        <w:rPr>
          <w:sz w:val="24"/>
          <w:szCs w:val="24"/>
        </w:rPr>
        <w:t>Second, issues regarding PJM’s capacity auctions are likely to be resolved in time for Fall 2021 SSO auctions. By Fall 2021, PJM will very likely have held at least the base residual auction for 2022/2023, so the Fall 2021 SSO auctions can proceed in a similar fashion, with suppliers offering a product based on known capacity products.</w:t>
      </w:r>
    </w:p>
    <w:p w:rsidR="000B193E" w:rsidP="00E74BD2">
      <w:pPr>
        <w:pStyle w:val="FootnoteText"/>
        <w:spacing w:after="0" w:line="480" w:lineRule="auto"/>
        <w:ind w:firstLine="720"/>
        <w:rPr>
          <w:sz w:val="24"/>
          <w:szCs w:val="24"/>
        </w:rPr>
      </w:pPr>
      <w:r>
        <w:rPr>
          <w:sz w:val="24"/>
          <w:szCs w:val="24"/>
        </w:rPr>
        <w:t xml:space="preserve">Third, “low wholesale market energy prices” </w:t>
      </w:r>
      <w:r w:rsidR="003B23A3">
        <w:rPr>
          <w:sz w:val="24"/>
          <w:szCs w:val="24"/>
        </w:rPr>
        <w:t>cannot</w:t>
      </w:r>
      <w:r>
        <w:rPr>
          <w:sz w:val="24"/>
          <w:szCs w:val="24"/>
        </w:rPr>
        <w:t xml:space="preserve"> explain the PUCO’s deviation from the current process to the new Energy Harbor process. When wholesale prices are low, that informs </w:t>
      </w:r>
      <w:r w:rsidR="00566838">
        <w:rPr>
          <w:sz w:val="24"/>
          <w:szCs w:val="24"/>
        </w:rPr>
        <w:t xml:space="preserve">participants </w:t>
      </w:r>
      <w:r>
        <w:rPr>
          <w:sz w:val="24"/>
          <w:szCs w:val="24"/>
        </w:rPr>
        <w:t xml:space="preserve">in the SSO auctions and results in lower SSO prices paid by consumers. The current mechanism already accounts for fluctuations in wholesale market prices because bidders take those prices into account when </w:t>
      </w:r>
      <w:r w:rsidR="00566838">
        <w:rPr>
          <w:sz w:val="24"/>
          <w:szCs w:val="24"/>
        </w:rPr>
        <w:t>offering into the SSO auctions</w:t>
      </w:r>
      <w:r>
        <w:rPr>
          <w:sz w:val="24"/>
          <w:szCs w:val="24"/>
        </w:rPr>
        <w:t>. There is no support for the PUCO’s claim that low wholesale prices have “changed the circumstances under which the EDUs’ ESPs were originally approved.”</w:t>
      </w:r>
      <w:r>
        <w:rPr>
          <w:rStyle w:val="FootnoteReference"/>
          <w:sz w:val="24"/>
          <w:szCs w:val="24"/>
        </w:rPr>
        <w:footnoteReference w:id="17"/>
      </w:r>
      <w:r>
        <w:rPr>
          <w:sz w:val="24"/>
          <w:szCs w:val="24"/>
        </w:rPr>
        <w:t xml:space="preserve"> </w:t>
      </w:r>
      <w:r w:rsidR="009848D1">
        <w:rPr>
          <w:sz w:val="24"/>
          <w:szCs w:val="24"/>
        </w:rPr>
        <w:t xml:space="preserve">Further, the electric distribution utilities’ current </w:t>
      </w:r>
      <w:r w:rsidR="001A15DC">
        <w:rPr>
          <w:sz w:val="24"/>
          <w:szCs w:val="24"/>
        </w:rPr>
        <w:t xml:space="preserve">SSO auction processes </w:t>
      </w:r>
      <w:r w:rsidR="009848D1">
        <w:rPr>
          <w:sz w:val="24"/>
          <w:szCs w:val="24"/>
        </w:rPr>
        <w:t>were all approved in the past four years (2016 for FirstEnergy,</w:t>
      </w:r>
      <w:r>
        <w:rPr>
          <w:rStyle w:val="FootnoteReference"/>
          <w:sz w:val="24"/>
          <w:szCs w:val="24"/>
        </w:rPr>
        <w:footnoteReference w:id="18"/>
      </w:r>
      <w:r w:rsidR="009848D1">
        <w:rPr>
          <w:sz w:val="24"/>
          <w:szCs w:val="24"/>
        </w:rPr>
        <w:t xml:space="preserve"> </w:t>
      </w:r>
      <w:r w:rsidR="001A15DC">
        <w:rPr>
          <w:sz w:val="24"/>
          <w:szCs w:val="24"/>
        </w:rPr>
        <w:t>2018</w:t>
      </w:r>
      <w:r w:rsidR="009848D1">
        <w:rPr>
          <w:sz w:val="24"/>
          <w:szCs w:val="24"/>
        </w:rPr>
        <w:t xml:space="preserve"> for AEP,</w:t>
      </w:r>
      <w:r>
        <w:rPr>
          <w:rStyle w:val="FootnoteReference"/>
          <w:sz w:val="24"/>
          <w:szCs w:val="24"/>
        </w:rPr>
        <w:footnoteReference w:id="19"/>
      </w:r>
      <w:r w:rsidR="009848D1">
        <w:rPr>
          <w:sz w:val="24"/>
          <w:szCs w:val="24"/>
        </w:rPr>
        <w:t xml:space="preserve"> 2018 for Duke</w:t>
      </w:r>
      <w:r w:rsidR="001A15DC">
        <w:rPr>
          <w:sz w:val="24"/>
          <w:szCs w:val="24"/>
        </w:rPr>
        <w:t>,</w:t>
      </w:r>
      <w:r>
        <w:rPr>
          <w:rStyle w:val="FootnoteReference"/>
          <w:sz w:val="24"/>
          <w:szCs w:val="24"/>
        </w:rPr>
        <w:footnoteReference w:id="20"/>
      </w:r>
      <w:r w:rsidR="003B23A3">
        <w:rPr>
          <w:sz w:val="24"/>
          <w:szCs w:val="24"/>
        </w:rPr>
        <w:t xml:space="preserve"> and 2019 for DP&amp;L</w:t>
      </w:r>
      <w:r>
        <w:rPr>
          <w:rStyle w:val="FootnoteReference"/>
          <w:sz w:val="24"/>
          <w:szCs w:val="24"/>
        </w:rPr>
        <w:footnoteReference w:id="21"/>
      </w:r>
      <w:r w:rsidR="009848D1">
        <w:rPr>
          <w:sz w:val="24"/>
          <w:szCs w:val="24"/>
        </w:rPr>
        <w:t xml:space="preserve">), when wholesale prices were already low. Thus, there is no factual basis for the PUCO’s conclusion that low wholesale prices are a new development in comparison to the approval of electric utilities’ current </w:t>
      </w:r>
      <w:r w:rsidR="003B23A3">
        <w:rPr>
          <w:sz w:val="24"/>
          <w:szCs w:val="24"/>
        </w:rPr>
        <w:t>SSO auction processes</w:t>
      </w:r>
      <w:r w:rsidR="009848D1">
        <w:rPr>
          <w:sz w:val="24"/>
          <w:szCs w:val="24"/>
        </w:rPr>
        <w:t>.</w:t>
      </w:r>
    </w:p>
    <w:p w:rsidR="000B193E" w:rsidP="00E74BD2">
      <w:pPr>
        <w:pStyle w:val="FootnoteText"/>
        <w:spacing w:after="0" w:line="480" w:lineRule="auto"/>
        <w:ind w:firstLine="720"/>
        <w:rPr>
          <w:sz w:val="24"/>
          <w:szCs w:val="24"/>
        </w:rPr>
      </w:pPr>
      <w:r>
        <w:rPr>
          <w:sz w:val="24"/>
          <w:szCs w:val="24"/>
        </w:rPr>
        <w:t>While it is true that under certain circumstances, the PUCO may modify past orders, this is not one of those circumstances. The PUCO failed to adequately explain the basis for its modifications and what little factual record there is in this case (comments but no testimony or hearing) does not support a radical change in the electric distribution utilities tried-and-true SSO auction process. Thus, the Order violates R.C. 4903.09 and Supreme Court of Ohio precedent</w:t>
      </w:r>
      <w:r w:rsidR="005A35F7">
        <w:rPr>
          <w:sz w:val="24"/>
          <w:szCs w:val="24"/>
        </w:rPr>
        <w:t>,</w:t>
      </w:r>
      <w:r>
        <w:rPr>
          <w:sz w:val="24"/>
          <w:szCs w:val="24"/>
        </w:rPr>
        <w:t xml:space="preserve"> and it should be modified on rehearing.</w:t>
      </w:r>
    </w:p>
    <w:p w:rsidR="00451D1C" w:rsidRPr="00451D1C" w:rsidP="009E2898">
      <w:pPr>
        <w:pStyle w:val="Heading2"/>
      </w:pPr>
      <w:bookmarkStart w:id="11" w:name="_Toc48286727"/>
      <w:r w:rsidRPr="00F91CC9">
        <w:rPr>
          <w:u w:val="single"/>
        </w:rPr>
        <w:t>Assignment of Error 3</w:t>
      </w:r>
      <w:r w:rsidR="00F91CC9">
        <w:t xml:space="preserve">: </w:t>
      </w:r>
      <w:r w:rsidR="00B77F84">
        <w:t xml:space="preserve">The PUCO erred by amending the SSO auction process to </w:t>
      </w:r>
      <w:r w:rsidRPr="00F06E10" w:rsidR="00B77F84">
        <w:t>add unnecessary complexity and uncertainty</w:t>
      </w:r>
      <w:r w:rsidR="00B77F84">
        <w:t xml:space="preserve">, thus threatening to increase prices for consumers who have </w:t>
      </w:r>
      <w:r w:rsidRPr="00F06E10" w:rsidR="00B77F84">
        <w:t xml:space="preserve">historically </w:t>
      </w:r>
      <w:r w:rsidR="00B77F84">
        <w:t>benefitted from</w:t>
      </w:r>
      <w:r w:rsidRPr="00F06E10" w:rsidR="00B77F84">
        <w:t xml:space="preserve"> low, market-based </w:t>
      </w:r>
      <w:r w:rsidR="00B77F84">
        <w:t xml:space="preserve">SSO </w:t>
      </w:r>
      <w:r w:rsidRPr="00F06E10" w:rsidR="00B77F84">
        <w:t>prices for electric generation service.</w:t>
      </w:r>
      <w:bookmarkEnd w:id="11"/>
    </w:p>
    <w:p w:rsidR="00451D1C" w:rsidP="00E74BD2">
      <w:pPr>
        <w:pStyle w:val="FootnoteText"/>
        <w:spacing w:after="0" w:line="480" w:lineRule="auto"/>
        <w:ind w:firstLine="720"/>
        <w:rPr>
          <w:sz w:val="24"/>
          <w:szCs w:val="24"/>
        </w:rPr>
      </w:pPr>
      <w:r>
        <w:rPr>
          <w:sz w:val="24"/>
          <w:szCs w:val="24"/>
        </w:rPr>
        <w:t>More than 20 years ago, the Ohio General Assembly passed Senate Bill 3, setting Ohio on a path to a market-based approach to electricity generation. Today, one of the best results of that decision for consumers is the availability of auction-based, market prices for generation resulting from standard service offer auctions.</w:t>
      </w:r>
      <w:r w:rsidR="00EC7EE3">
        <w:rPr>
          <w:sz w:val="24"/>
          <w:szCs w:val="24"/>
        </w:rPr>
        <w:t xml:space="preserve"> In these auctions, </w:t>
      </w:r>
      <w:r w:rsidR="000D6E8B">
        <w:rPr>
          <w:sz w:val="24"/>
          <w:szCs w:val="24"/>
        </w:rPr>
        <w:t>suppliers</w:t>
      </w:r>
      <w:r w:rsidR="00EC7EE3">
        <w:rPr>
          <w:sz w:val="24"/>
          <w:szCs w:val="24"/>
        </w:rPr>
        <w:t xml:space="preserve"> compete with each other to provide the best prices for consumers.</w:t>
      </w:r>
      <w:r w:rsidR="000D6E8B">
        <w:rPr>
          <w:sz w:val="24"/>
          <w:szCs w:val="24"/>
        </w:rPr>
        <w:t xml:space="preserve"> The Order threatens to upend this process by adding unnecessary uncertainty and thereby risk </w:t>
      </w:r>
      <w:r w:rsidR="00566838">
        <w:rPr>
          <w:sz w:val="24"/>
          <w:szCs w:val="24"/>
        </w:rPr>
        <w:t xml:space="preserve">and </w:t>
      </w:r>
      <w:r w:rsidR="000D6E8B">
        <w:rPr>
          <w:sz w:val="24"/>
          <w:szCs w:val="24"/>
        </w:rPr>
        <w:t>higher prices</w:t>
      </w:r>
      <w:r w:rsidR="00566838">
        <w:rPr>
          <w:sz w:val="24"/>
          <w:szCs w:val="24"/>
        </w:rPr>
        <w:t xml:space="preserve"> for consumers</w:t>
      </w:r>
      <w:r w:rsidR="000D6E8B">
        <w:rPr>
          <w:sz w:val="24"/>
          <w:szCs w:val="24"/>
        </w:rPr>
        <w:t>.</w:t>
      </w:r>
    </w:p>
    <w:p w:rsidR="000D6E8B" w:rsidP="00E74BD2">
      <w:pPr>
        <w:pStyle w:val="FootnoteText"/>
        <w:spacing w:after="0" w:line="480" w:lineRule="auto"/>
        <w:ind w:firstLine="720"/>
        <w:rPr>
          <w:sz w:val="24"/>
          <w:szCs w:val="24"/>
        </w:rPr>
      </w:pPr>
      <w:r>
        <w:rPr>
          <w:sz w:val="24"/>
          <w:szCs w:val="24"/>
        </w:rPr>
        <w:t xml:space="preserve">The PUCO is rightfully concerned by PJM’s recent inability to perform its capacity auctions as a result of uncertainty </w:t>
      </w:r>
      <w:r w:rsidR="00566838">
        <w:rPr>
          <w:sz w:val="24"/>
          <w:szCs w:val="24"/>
        </w:rPr>
        <w:t xml:space="preserve">and inaction </w:t>
      </w:r>
      <w:r>
        <w:rPr>
          <w:sz w:val="24"/>
          <w:szCs w:val="24"/>
        </w:rPr>
        <w:t xml:space="preserve">at FERC. At the same time, the most recent </w:t>
      </w:r>
      <w:r w:rsidR="00566838">
        <w:rPr>
          <w:sz w:val="24"/>
          <w:szCs w:val="24"/>
        </w:rPr>
        <w:t>B</w:t>
      </w:r>
      <w:r>
        <w:rPr>
          <w:sz w:val="24"/>
          <w:szCs w:val="24"/>
        </w:rPr>
        <w:t xml:space="preserve">ase </w:t>
      </w:r>
      <w:r w:rsidR="00566838">
        <w:rPr>
          <w:sz w:val="24"/>
          <w:szCs w:val="24"/>
        </w:rPr>
        <w:t>R</w:t>
      </w:r>
      <w:r>
        <w:rPr>
          <w:sz w:val="24"/>
          <w:szCs w:val="24"/>
        </w:rPr>
        <w:t xml:space="preserve">esidual </w:t>
      </w:r>
      <w:r w:rsidR="00566838">
        <w:rPr>
          <w:sz w:val="24"/>
          <w:szCs w:val="24"/>
        </w:rPr>
        <w:t>A</w:t>
      </w:r>
      <w:r>
        <w:rPr>
          <w:sz w:val="24"/>
          <w:szCs w:val="24"/>
        </w:rPr>
        <w:t>uction procured capacity for 2021/2022.</w:t>
      </w:r>
      <w:r>
        <w:rPr>
          <w:rStyle w:val="FootnoteReference"/>
          <w:sz w:val="24"/>
          <w:szCs w:val="24"/>
        </w:rPr>
        <w:footnoteReference w:id="22"/>
      </w:r>
      <w:r>
        <w:rPr>
          <w:sz w:val="24"/>
          <w:szCs w:val="24"/>
        </w:rPr>
        <w:t xml:space="preserve"> Thus, capacity prices are known for the next two years. The PUCO acknowledged this in its Order by providing that Fall 2020 and Spring 2021 SSO auctions can proceed with a full</w:t>
      </w:r>
      <w:r w:rsidR="009B3AE9">
        <w:rPr>
          <w:sz w:val="24"/>
          <w:szCs w:val="24"/>
        </w:rPr>
        <w:t>-</w:t>
      </w:r>
      <w:r>
        <w:rPr>
          <w:sz w:val="24"/>
          <w:szCs w:val="24"/>
        </w:rPr>
        <w:t>requirements (</w:t>
      </w:r>
      <w:r>
        <w:rPr>
          <w:i/>
          <w:sz w:val="24"/>
          <w:szCs w:val="24"/>
        </w:rPr>
        <w:t>i.e.</w:t>
      </w:r>
      <w:r>
        <w:rPr>
          <w:sz w:val="24"/>
          <w:szCs w:val="24"/>
        </w:rPr>
        <w:t>, energy and capacity) 12-month product. By using a 12-month product, SSO auction bidders can bid based on the known capacity prices for 2021 and 2022. The Order’s decision to use a 12-month product for Fall 2020 and Spring 2021 SSO auctions makes sense.</w:t>
      </w:r>
    </w:p>
    <w:p w:rsidR="000D6E8B" w:rsidP="00E74BD2">
      <w:pPr>
        <w:pStyle w:val="FootnoteText"/>
        <w:spacing w:after="0" w:line="480" w:lineRule="auto"/>
        <w:ind w:firstLine="720"/>
        <w:rPr>
          <w:sz w:val="24"/>
          <w:szCs w:val="24"/>
        </w:rPr>
      </w:pPr>
      <w:r>
        <w:rPr>
          <w:sz w:val="24"/>
          <w:szCs w:val="24"/>
        </w:rPr>
        <w:t>For future SSO auctions (starting in Fall 2021), however, the Order</w:t>
      </w:r>
      <w:r w:rsidR="00457343">
        <w:rPr>
          <w:sz w:val="24"/>
          <w:szCs w:val="24"/>
        </w:rPr>
        <w:t xml:space="preserve"> requires electric utilities to use a “dual auction.”</w:t>
      </w:r>
      <w:r>
        <w:rPr>
          <w:rStyle w:val="FootnoteReference"/>
          <w:sz w:val="24"/>
          <w:szCs w:val="24"/>
        </w:rPr>
        <w:footnoteReference w:id="23"/>
      </w:r>
      <w:r w:rsidR="00457343">
        <w:rPr>
          <w:sz w:val="24"/>
          <w:szCs w:val="24"/>
        </w:rPr>
        <w:t xml:space="preserve"> In one part of the dual auction, suppliers will offer a full requirements product (energy and capacity). The Order requires such offers to use June 2021 capacity prices as a “proxy” price, and then there will be a true up when the actual capacity prices are known.</w:t>
      </w:r>
      <w:r>
        <w:rPr>
          <w:rStyle w:val="FootnoteReference"/>
          <w:sz w:val="24"/>
          <w:szCs w:val="24"/>
        </w:rPr>
        <w:footnoteReference w:id="24"/>
      </w:r>
      <w:r w:rsidR="00457343">
        <w:rPr>
          <w:sz w:val="24"/>
          <w:szCs w:val="24"/>
        </w:rPr>
        <w:t xml:space="preserve"> This process appears to be similar to the one proposed by FirstEnergy in its comments. It differs from the PUCO Staff’s and OCC’s preferred option of using a zero</w:t>
      </w:r>
      <w:r w:rsidR="002D5FB3">
        <w:rPr>
          <w:sz w:val="24"/>
          <w:szCs w:val="24"/>
        </w:rPr>
        <w:t>-</w:t>
      </w:r>
      <w:r w:rsidR="00457343">
        <w:rPr>
          <w:sz w:val="24"/>
          <w:szCs w:val="24"/>
        </w:rPr>
        <w:t xml:space="preserve">proxy price instead of a proxy price based on June 2021 capacity prices. But generally, this approach </w:t>
      </w:r>
      <w:r w:rsidR="00566838">
        <w:rPr>
          <w:sz w:val="24"/>
          <w:szCs w:val="24"/>
        </w:rPr>
        <w:t xml:space="preserve">also </w:t>
      </w:r>
      <w:r w:rsidR="00457343">
        <w:rPr>
          <w:sz w:val="24"/>
          <w:szCs w:val="24"/>
        </w:rPr>
        <w:t xml:space="preserve">minimizes risk for consumers because it guarantees that they will pay the actual </w:t>
      </w:r>
      <w:r w:rsidR="00566838">
        <w:rPr>
          <w:sz w:val="24"/>
          <w:szCs w:val="24"/>
        </w:rPr>
        <w:t xml:space="preserve">known </w:t>
      </w:r>
      <w:r w:rsidR="00457343">
        <w:rPr>
          <w:sz w:val="24"/>
          <w:szCs w:val="24"/>
        </w:rPr>
        <w:t xml:space="preserve">capacity prices that result from future PJM </w:t>
      </w:r>
      <w:r w:rsidR="00566838">
        <w:rPr>
          <w:sz w:val="24"/>
          <w:szCs w:val="24"/>
        </w:rPr>
        <w:t>B</w:t>
      </w:r>
      <w:r w:rsidR="00457343">
        <w:rPr>
          <w:sz w:val="24"/>
          <w:szCs w:val="24"/>
        </w:rPr>
        <w:t xml:space="preserve">ase </w:t>
      </w:r>
      <w:r w:rsidR="00566838">
        <w:rPr>
          <w:sz w:val="24"/>
          <w:szCs w:val="24"/>
        </w:rPr>
        <w:t>R</w:t>
      </w:r>
      <w:r w:rsidR="00457343">
        <w:rPr>
          <w:sz w:val="24"/>
          <w:szCs w:val="24"/>
        </w:rPr>
        <w:t xml:space="preserve">esidual </w:t>
      </w:r>
      <w:r w:rsidR="00566838">
        <w:rPr>
          <w:sz w:val="24"/>
          <w:szCs w:val="24"/>
        </w:rPr>
        <w:t>A</w:t>
      </w:r>
      <w:r w:rsidR="00457343">
        <w:rPr>
          <w:sz w:val="24"/>
          <w:szCs w:val="24"/>
        </w:rPr>
        <w:t xml:space="preserve">uctions. It would also have the effect of reducing the risk imposed on bidders (because there is no uncertainty about capacity prices), and lower risk </w:t>
      </w:r>
      <w:r w:rsidR="00B94E84">
        <w:rPr>
          <w:sz w:val="24"/>
          <w:szCs w:val="24"/>
        </w:rPr>
        <w:t xml:space="preserve">generally </w:t>
      </w:r>
      <w:r w:rsidR="00457343">
        <w:rPr>
          <w:sz w:val="24"/>
          <w:szCs w:val="24"/>
        </w:rPr>
        <w:t>means lower prices.</w:t>
      </w:r>
    </w:p>
    <w:p w:rsidR="00457343" w:rsidP="00E74BD2">
      <w:pPr>
        <w:pStyle w:val="FootnoteText"/>
        <w:spacing w:after="0" w:line="480" w:lineRule="auto"/>
        <w:ind w:firstLine="720"/>
        <w:rPr>
          <w:sz w:val="24"/>
          <w:szCs w:val="24"/>
        </w:rPr>
      </w:pPr>
      <w:r>
        <w:rPr>
          <w:sz w:val="24"/>
          <w:szCs w:val="24"/>
        </w:rPr>
        <w:t>The second part of the dual auction, however, requires suppliers to offer energy and capacity separately. It appears that bidders would be required to offer a fixed capacity price for a period of four years.</w:t>
      </w:r>
      <w:r>
        <w:rPr>
          <w:rStyle w:val="FootnoteReference"/>
          <w:sz w:val="24"/>
          <w:szCs w:val="24"/>
        </w:rPr>
        <w:footnoteReference w:id="25"/>
      </w:r>
      <w:r>
        <w:rPr>
          <w:sz w:val="24"/>
          <w:szCs w:val="24"/>
        </w:rPr>
        <w:t xml:space="preserve"> The problem with this approach is that it introduces unnecessary uncertainty into the process. While it might be true that capacity prices are currently low, requiring bidders to offer a fixed capacity price for four years introduces new risks to the bidding process. A bidder faced with the uncertainty of future capacity prices will increase its bid to account for that risk—they will not simply assume that capacity prices will remain low and bid the current capacity price. As history has shown, capacity prices </w:t>
      </w:r>
      <w:r w:rsidR="00566838">
        <w:rPr>
          <w:sz w:val="24"/>
          <w:szCs w:val="24"/>
        </w:rPr>
        <w:t>are</w:t>
      </w:r>
      <w:r>
        <w:rPr>
          <w:sz w:val="24"/>
          <w:szCs w:val="24"/>
        </w:rPr>
        <w:t xml:space="preserve"> volatile.</w:t>
      </w:r>
      <w:r>
        <w:rPr>
          <w:rStyle w:val="FootnoteReference"/>
          <w:sz w:val="24"/>
          <w:szCs w:val="24"/>
        </w:rPr>
        <w:footnoteReference w:id="26"/>
      </w:r>
      <w:r>
        <w:rPr>
          <w:sz w:val="24"/>
          <w:szCs w:val="24"/>
        </w:rPr>
        <w:t xml:space="preserve"> Over a four-year period, bidders might expect similar volatility and increase their bids to account for this uncertainty. That risk would be shared by consumers who would pay higher SSO rates.</w:t>
      </w:r>
    </w:p>
    <w:p w:rsidR="00D3556B" w:rsidP="00E74BD2">
      <w:pPr>
        <w:pStyle w:val="FootnoteText"/>
        <w:spacing w:after="0" w:line="480" w:lineRule="auto"/>
        <w:ind w:firstLine="720"/>
        <w:rPr>
          <w:sz w:val="24"/>
          <w:szCs w:val="24"/>
        </w:rPr>
      </w:pPr>
      <w:r>
        <w:rPr>
          <w:sz w:val="24"/>
          <w:szCs w:val="24"/>
        </w:rPr>
        <w:t xml:space="preserve">Another problem with this approach is that it is likely to be wholly unnecessary. While PJM’s recent </w:t>
      </w:r>
      <w:r w:rsidR="00566838">
        <w:rPr>
          <w:sz w:val="24"/>
          <w:szCs w:val="24"/>
        </w:rPr>
        <w:t>B</w:t>
      </w:r>
      <w:r>
        <w:rPr>
          <w:sz w:val="24"/>
          <w:szCs w:val="24"/>
        </w:rPr>
        <w:t xml:space="preserve">ase </w:t>
      </w:r>
      <w:r w:rsidR="00566838">
        <w:rPr>
          <w:sz w:val="24"/>
          <w:szCs w:val="24"/>
        </w:rPr>
        <w:t>R</w:t>
      </w:r>
      <w:r>
        <w:rPr>
          <w:sz w:val="24"/>
          <w:szCs w:val="24"/>
        </w:rPr>
        <w:t xml:space="preserve">esidual </w:t>
      </w:r>
      <w:r w:rsidR="00566838">
        <w:rPr>
          <w:sz w:val="24"/>
          <w:szCs w:val="24"/>
        </w:rPr>
        <w:t>A</w:t>
      </w:r>
      <w:r>
        <w:rPr>
          <w:sz w:val="24"/>
          <w:szCs w:val="24"/>
        </w:rPr>
        <w:t xml:space="preserve">uctions have been delayed, it </w:t>
      </w:r>
      <w:r w:rsidR="005728B6">
        <w:rPr>
          <w:sz w:val="24"/>
          <w:szCs w:val="24"/>
        </w:rPr>
        <w:t>is</w:t>
      </w:r>
      <w:r>
        <w:rPr>
          <w:sz w:val="24"/>
          <w:szCs w:val="24"/>
        </w:rPr>
        <w:t xml:space="preserve"> unlikely that they will continue to be delayed beyond Fall 2021. As the Order acknowledges, the Fall 2020 and Spring 2021 SSO auctions can proceed with auctions for a full requirements 12-month product based on known capacity prices. The PUCO’s new dual-auction process would not be implemented until Fall 2021. By that time, it is likely that the next base residual auction will have taken place and the capacity prices applicable to the Fall 2021 auction will be known. Thus, the Fall 2021 auctions should be able to proceed based on known capacity prices without the need for a proxy price and without the need for a separate, long-term capacity product.</w:t>
      </w:r>
    </w:p>
    <w:p w:rsidR="00D502C6" w:rsidP="00E74BD2">
      <w:pPr>
        <w:pStyle w:val="FootnoteText"/>
        <w:spacing w:after="0" w:line="480" w:lineRule="auto"/>
        <w:ind w:firstLine="720"/>
        <w:rPr>
          <w:sz w:val="24"/>
          <w:szCs w:val="24"/>
        </w:rPr>
      </w:pPr>
      <w:r>
        <w:rPr>
          <w:sz w:val="24"/>
          <w:szCs w:val="24"/>
        </w:rPr>
        <w:t>Finally, the PUCO’s dual-auction process is vague in that it provides no details on how the PUCO will decide to implement a bid or not. The Order states that the two auctions “will run simultaneously” and that the PUCO “will select the bid to be implemented or reject the results of both auctions.”</w:t>
      </w:r>
      <w:r>
        <w:rPr>
          <w:rStyle w:val="FootnoteReference"/>
          <w:sz w:val="24"/>
          <w:szCs w:val="24"/>
        </w:rPr>
        <w:footnoteReference w:id="27"/>
      </w:r>
      <w:r>
        <w:rPr>
          <w:sz w:val="24"/>
          <w:szCs w:val="24"/>
        </w:rPr>
        <w:t xml:space="preserve"> But the Order says nothing about what factors the PUCO will consider or how it will evaluate the various </w:t>
      </w:r>
      <w:r w:rsidR="00566838">
        <w:rPr>
          <w:sz w:val="24"/>
          <w:szCs w:val="24"/>
        </w:rPr>
        <w:t xml:space="preserve">competing </w:t>
      </w:r>
      <w:r>
        <w:rPr>
          <w:sz w:val="24"/>
          <w:szCs w:val="24"/>
        </w:rPr>
        <w:t xml:space="preserve">bids. This </w:t>
      </w:r>
      <w:r w:rsidR="00150CDA">
        <w:rPr>
          <w:sz w:val="24"/>
          <w:szCs w:val="24"/>
        </w:rPr>
        <w:t>additional uncertainty from the PUCO’s chosen approach is unreasonable.</w:t>
      </w:r>
    </w:p>
    <w:p w:rsidR="00D3556B" w:rsidP="00E74BD2">
      <w:pPr>
        <w:pStyle w:val="FootnoteText"/>
        <w:spacing w:after="0" w:line="480" w:lineRule="auto"/>
        <w:ind w:firstLine="720"/>
        <w:rPr>
          <w:sz w:val="24"/>
          <w:szCs w:val="24"/>
        </w:rPr>
      </w:pPr>
      <w:r>
        <w:rPr>
          <w:sz w:val="24"/>
          <w:szCs w:val="24"/>
        </w:rPr>
        <w:t>Rather than introducing the unnecessarily complex dual auction, the PUCO should instead (i) implement its proposed plan for a 12-month product for Fall 2020 and Spring 2021 SSO auctions, and (ii) plan to proceed with Fall 2021 SSO auctions and beyond based on the results of future base residual auction results, just as it has in the past. If base residual auctions continue to be delayed such that Fall 2021 SSO auctions cannot proceed based on known capacity prices</w:t>
      </w:r>
      <w:r w:rsidR="00B94E84">
        <w:rPr>
          <w:sz w:val="24"/>
          <w:szCs w:val="24"/>
        </w:rPr>
        <w:t xml:space="preserve"> (which is unlikely in the first place)</w:t>
      </w:r>
      <w:r>
        <w:rPr>
          <w:sz w:val="24"/>
          <w:szCs w:val="24"/>
        </w:rPr>
        <w:t xml:space="preserve">, then the PUCO’s plan to use the June 2021 capacity price as a proxy is reasonable and should be adopted. </w:t>
      </w:r>
      <w:r w:rsidR="00A16450">
        <w:rPr>
          <w:sz w:val="24"/>
          <w:szCs w:val="24"/>
        </w:rPr>
        <w:t>That proxy price can be adjusted accordingly (</w:t>
      </w:r>
      <w:r w:rsidRPr="00210E65" w:rsidR="00210E65">
        <w:rPr>
          <w:i/>
          <w:iCs/>
          <w:sz w:val="24"/>
          <w:szCs w:val="24"/>
        </w:rPr>
        <w:t>i.e</w:t>
      </w:r>
      <w:r w:rsidR="00A16450">
        <w:rPr>
          <w:sz w:val="24"/>
          <w:szCs w:val="24"/>
        </w:rPr>
        <w:t xml:space="preserve">. up or down) after actual prices are known. </w:t>
      </w:r>
      <w:r>
        <w:rPr>
          <w:sz w:val="24"/>
          <w:szCs w:val="24"/>
        </w:rPr>
        <w:t>There is simply no need for the alternative approach of an auction involving long-term, fixed capacity prices.</w:t>
      </w:r>
    </w:p>
    <w:p w:rsidR="005E2783" w:rsidRPr="00C5582B" w:rsidP="002F1813">
      <w:pPr>
        <w:pStyle w:val="Heading1"/>
      </w:pPr>
      <w:bookmarkStart w:id="12" w:name="_Toc19287254"/>
      <w:bookmarkStart w:id="13" w:name="_Toc36475804"/>
      <w:bookmarkStart w:id="14" w:name="_Toc41654444"/>
      <w:bookmarkStart w:id="15" w:name="_Toc41654524"/>
      <w:bookmarkStart w:id="16" w:name="_Toc48286728"/>
      <w:bookmarkEnd w:id="8"/>
      <w:bookmarkEnd w:id="9"/>
      <w:r w:rsidRPr="00C5582B">
        <w:t>I</w:t>
      </w:r>
      <w:r w:rsidR="00313D50">
        <w:t>I</w:t>
      </w:r>
      <w:r w:rsidRPr="00C5582B">
        <w:t>.</w:t>
      </w:r>
      <w:r w:rsidRPr="00C5582B">
        <w:tab/>
        <w:t>CONCLUSION</w:t>
      </w:r>
      <w:bookmarkEnd w:id="12"/>
      <w:bookmarkEnd w:id="13"/>
      <w:bookmarkEnd w:id="14"/>
      <w:bookmarkEnd w:id="15"/>
      <w:bookmarkEnd w:id="16"/>
    </w:p>
    <w:p w:rsidR="009917E6" w:rsidP="009E4849">
      <w:pPr>
        <w:pStyle w:val="FootnoteText"/>
        <w:spacing w:after="0" w:line="480" w:lineRule="auto"/>
        <w:ind w:firstLine="720"/>
        <w:rPr>
          <w:color w:val="000000"/>
          <w:sz w:val="24"/>
          <w:szCs w:val="24"/>
          <w:lang w:eastAsia="zh-CN"/>
        </w:rPr>
      </w:pPr>
      <w:r>
        <w:rPr>
          <w:color w:val="000000"/>
          <w:sz w:val="24"/>
          <w:szCs w:val="24"/>
          <w:lang w:eastAsia="zh-CN"/>
        </w:rPr>
        <w:t xml:space="preserve">The Order is unlawful and unreasonable. There is no basis for </w:t>
      </w:r>
      <w:r w:rsidR="005A35F7">
        <w:rPr>
          <w:color w:val="000000"/>
          <w:sz w:val="24"/>
          <w:szCs w:val="24"/>
          <w:lang w:eastAsia="zh-CN"/>
        </w:rPr>
        <w:t>the PUCO to dramatically alter</w:t>
      </w:r>
      <w:r>
        <w:rPr>
          <w:color w:val="000000"/>
          <w:sz w:val="24"/>
          <w:szCs w:val="24"/>
          <w:lang w:eastAsia="zh-CN"/>
        </w:rPr>
        <w:t xml:space="preserve"> Ohio</w:t>
      </w:r>
      <w:r w:rsidR="00DE09B3">
        <w:rPr>
          <w:color w:val="000000"/>
          <w:sz w:val="24"/>
          <w:szCs w:val="24"/>
          <w:lang w:eastAsia="zh-CN"/>
        </w:rPr>
        <w:t xml:space="preserve">’s competitive SSO auctions. Customers have benefitted from the market-based approach to SSO auctions, and they should continue to do so without the unnecessary modifications set forth in the Order. </w:t>
      </w:r>
    </w:p>
    <w:p w:rsidR="009917E6" w:rsidP="009E4849">
      <w:pPr>
        <w:pStyle w:val="FootnoteText"/>
        <w:spacing w:after="0" w:line="480" w:lineRule="auto"/>
        <w:ind w:firstLine="720"/>
        <w:rPr>
          <w:color w:val="000000"/>
          <w:sz w:val="24"/>
          <w:szCs w:val="24"/>
          <w:lang w:eastAsia="zh-CN"/>
        </w:rPr>
      </w:pPr>
    </w:p>
    <w:p w:rsidR="009E2898" w:rsidP="00494019">
      <w:pPr>
        <w:pStyle w:val="Footer"/>
        <w:tabs>
          <w:tab w:val="left" w:pos="4320"/>
          <w:tab w:val="clear" w:pos="8640"/>
        </w:tabs>
        <w:ind w:left="4320"/>
        <w:rPr>
          <w:sz w:val="24"/>
          <w:szCs w:val="24"/>
        </w:rPr>
      </w:pPr>
      <w:r>
        <w:rPr>
          <w:sz w:val="24"/>
          <w:szCs w:val="24"/>
        </w:rPr>
        <w:t>Respectfully submitted,</w:t>
      </w:r>
    </w:p>
    <w:p w:rsidR="009E2898" w:rsidP="00494019">
      <w:pPr>
        <w:pStyle w:val="Footer"/>
        <w:tabs>
          <w:tab w:val="left" w:pos="4320"/>
          <w:tab w:val="clear" w:pos="8640"/>
        </w:tabs>
        <w:ind w:left="4320"/>
        <w:rPr>
          <w:sz w:val="24"/>
          <w:szCs w:val="24"/>
        </w:rPr>
      </w:pPr>
    </w:p>
    <w:p w:rsidR="00494019" w:rsidRPr="00C5582B" w:rsidP="00494019">
      <w:pPr>
        <w:pStyle w:val="Footer"/>
        <w:tabs>
          <w:tab w:val="left" w:pos="4320"/>
          <w:tab w:val="clear" w:pos="8640"/>
        </w:tabs>
        <w:ind w:left="4320"/>
        <w:rPr>
          <w:sz w:val="24"/>
          <w:szCs w:val="24"/>
        </w:rPr>
      </w:pPr>
      <w:r w:rsidRPr="00C5582B">
        <w:rPr>
          <w:sz w:val="24"/>
          <w:szCs w:val="24"/>
        </w:rPr>
        <w:t>Bruce Weston (0016973)</w:t>
      </w:r>
    </w:p>
    <w:p w:rsidR="00494019" w:rsidRPr="00C5582B" w:rsidP="00494019">
      <w:pPr>
        <w:tabs>
          <w:tab w:val="left" w:pos="4320"/>
        </w:tabs>
        <w:ind w:left="4320"/>
        <w:rPr>
          <w:szCs w:val="24"/>
        </w:rPr>
      </w:pPr>
      <w:r w:rsidRPr="00C5582B">
        <w:rPr>
          <w:szCs w:val="24"/>
        </w:rPr>
        <w:t>Ohio Consumers’ Counsel</w:t>
      </w:r>
    </w:p>
    <w:p w:rsidR="00494019" w:rsidRPr="00C5582B" w:rsidP="00494019">
      <w:pPr>
        <w:tabs>
          <w:tab w:val="left" w:pos="4320"/>
        </w:tabs>
        <w:ind w:left="4320"/>
        <w:rPr>
          <w:szCs w:val="24"/>
        </w:rPr>
      </w:pPr>
    </w:p>
    <w:p w:rsidR="005B0356" w:rsidRPr="00C5582B" w:rsidP="00494019">
      <w:pPr>
        <w:tabs>
          <w:tab w:val="left" w:pos="4320"/>
        </w:tabs>
        <w:ind w:left="4320"/>
        <w:rPr>
          <w:i/>
          <w:iCs/>
          <w:szCs w:val="24"/>
          <w:u w:val="single"/>
        </w:rPr>
      </w:pPr>
      <w:r w:rsidRPr="00C5582B">
        <w:rPr>
          <w:i/>
          <w:iCs/>
          <w:szCs w:val="24"/>
          <w:u w:val="single"/>
        </w:rPr>
        <w:t>/s/ Christopher Healey</w:t>
      </w:r>
      <w:r w:rsidR="00114D53">
        <w:rPr>
          <w:i/>
          <w:iCs/>
          <w:szCs w:val="24"/>
          <w:u w:val="single"/>
        </w:rPr>
        <w:tab/>
      </w:r>
      <w:r w:rsidR="00114D53">
        <w:rPr>
          <w:i/>
          <w:iCs/>
          <w:szCs w:val="24"/>
          <w:u w:val="single"/>
        </w:rPr>
        <w:tab/>
      </w:r>
      <w:r w:rsidR="00114D53">
        <w:rPr>
          <w:i/>
          <w:iCs/>
          <w:szCs w:val="24"/>
          <w:u w:val="single"/>
        </w:rPr>
        <w:tab/>
      </w:r>
    </w:p>
    <w:p w:rsidR="00494019" w:rsidRPr="00C5582B" w:rsidP="00494019">
      <w:pPr>
        <w:tabs>
          <w:tab w:val="left" w:pos="4320"/>
        </w:tabs>
        <w:rPr>
          <w:szCs w:val="24"/>
        </w:rPr>
      </w:pPr>
      <w:r w:rsidRPr="00C5582B">
        <w:rPr>
          <w:szCs w:val="24"/>
        </w:rPr>
        <w:tab/>
        <w:t>Christopher Healey (0086027)</w:t>
      </w:r>
    </w:p>
    <w:p w:rsidR="00494019" w:rsidRPr="00C5582B" w:rsidP="00494019">
      <w:pPr>
        <w:tabs>
          <w:tab w:val="left" w:pos="4320"/>
        </w:tabs>
        <w:rPr>
          <w:szCs w:val="24"/>
        </w:rPr>
      </w:pPr>
      <w:r w:rsidRPr="00C5582B">
        <w:rPr>
          <w:szCs w:val="24"/>
        </w:rPr>
        <w:tab/>
        <w:t>Counsel of Record</w:t>
      </w:r>
    </w:p>
    <w:p w:rsidR="00494019" w:rsidRPr="00C5582B" w:rsidP="00494019">
      <w:pPr>
        <w:tabs>
          <w:tab w:val="left" w:pos="4320"/>
        </w:tabs>
        <w:rPr>
          <w:szCs w:val="24"/>
        </w:rPr>
      </w:pPr>
      <w:r w:rsidRPr="00C5582B">
        <w:rPr>
          <w:szCs w:val="24"/>
        </w:rPr>
        <w:tab/>
        <w:t>William Michael (0070921)</w:t>
      </w:r>
    </w:p>
    <w:p w:rsidR="00494019" w:rsidRPr="00C5582B" w:rsidP="00494019">
      <w:pPr>
        <w:tabs>
          <w:tab w:val="left" w:pos="4320"/>
        </w:tabs>
        <w:ind w:left="4320"/>
        <w:rPr>
          <w:szCs w:val="24"/>
        </w:rPr>
      </w:pPr>
      <w:r w:rsidRPr="00C5582B">
        <w:rPr>
          <w:szCs w:val="24"/>
        </w:rPr>
        <w:t>Assistant Consumers’ Counsel</w:t>
      </w:r>
    </w:p>
    <w:p w:rsidR="00494019" w:rsidRPr="00C5582B" w:rsidP="00494019">
      <w:pPr>
        <w:spacing w:before="120"/>
        <w:ind w:left="4320"/>
        <w:rPr>
          <w:b/>
          <w:szCs w:val="24"/>
        </w:rPr>
      </w:pPr>
      <w:r w:rsidRPr="00C5582B">
        <w:rPr>
          <w:b/>
          <w:szCs w:val="24"/>
        </w:rPr>
        <w:t>Office of the Ohio Consumers’ Counsel</w:t>
      </w:r>
    </w:p>
    <w:p w:rsidR="00494019" w:rsidRPr="00C5582B" w:rsidP="00494019">
      <w:pPr>
        <w:ind w:left="4320"/>
        <w:rPr>
          <w:szCs w:val="24"/>
        </w:rPr>
      </w:pPr>
      <w:r w:rsidRPr="00C5582B">
        <w:rPr>
          <w:szCs w:val="24"/>
        </w:rPr>
        <w:t>65 East State Street, 7th Floor</w:t>
      </w:r>
    </w:p>
    <w:p w:rsidR="00494019" w:rsidRPr="00C5582B" w:rsidP="00494019">
      <w:pPr>
        <w:ind w:left="4320"/>
        <w:rPr>
          <w:b/>
          <w:szCs w:val="24"/>
        </w:rPr>
      </w:pPr>
      <w:r w:rsidRPr="00C5582B">
        <w:rPr>
          <w:szCs w:val="24"/>
        </w:rPr>
        <w:t>Columbus, Ohio 43215</w:t>
      </w:r>
    </w:p>
    <w:p w:rsidR="00494019" w:rsidRPr="00C5582B" w:rsidP="00494019">
      <w:pPr>
        <w:autoSpaceDE w:val="0"/>
        <w:autoSpaceDN w:val="0"/>
        <w:adjustRightInd w:val="0"/>
        <w:ind w:left="4320"/>
        <w:rPr>
          <w:szCs w:val="24"/>
        </w:rPr>
      </w:pPr>
      <w:r w:rsidRPr="00C5582B">
        <w:rPr>
          <w:szCs w:val="24"/>
        </w:rPr>
        <w:t>Telephone [Healey]: (614) 466-9571</w:t>
      </w:r>
    </w:p>
    <w:p w:rsidR="00494019" w:rsidRPr="00C5582B" w:rsidP="00494019">
      <w:pPr>
        <w:autoSpaceDE w:val="0"/>
        <w:autoSpaceDN w:val="0"/>
        <w:adjustRightInd w:val="0"/>
        <w:ind w:left="4320"/>
        <w:rPr>
          <w:szCs w:val="24"/>
        </w:rPr>
      </w:pPr>
      <w:r w:rsidRPr="00C5582B">
        <w:rPr>
          <w:szCs w:val="24"/>
        </w:rPr>
        <w:t>Telephone [Michael]: (614) 466-1291</w:t>
      </w:r>
    </w:p>
    <w:p w:rsidR="00494019" w:rsidRPr="00C5582B" w:rsidP="00494019">
      <w:pPr>
        <w:autoSpaceDE w:val="0"/>
        <w:autoSpaceDN w:val="0"/>
        <w:adjustRightInd w:val="0"/>
        <w:ind w:left="4320"/>
        <w:rPr>
          <w:rStyle w:val="Hyperlink"/>
          <w:szCs w:val="24"/>
        </w:rPr>
      </w:pPr>
      <w:hyperlink r:id="rId6" w:history="1">
        <w:r w:rsidRPr="00D21C4F" w:rsidR="002D5FB3">
          <w:rPr>
            <w:rStyle w:val="Hyperlink"/>
            <w:szCs w:val="24"/>
          </w:rPr>
          <w:t>christopher.healey@occ.ohio.gov</w:t>
        </w:r>
      </w:hyperlink>
    </w:p>
    <w:p w:rsidR="00494019" w:rsidRPr="00C5582B" w:rsidP="00494019">
      <w:pPr>
        <w:autoSpaceDE w:val="0"/>
        <w:autoSpaceDN w:val="0"/>
        <w:adjustRightInd w:val="0"/>
        <w:ind w:left="4320"/>
        <w:rPr>
          <w:rStyle w:val="Hyperlink"/>
          <w:szCs w:val="24"/>
        </w:rPr>
      </w:pPr>
      <w:hyperlink r:id="rId7" w:history="1">
        <w:r w:rsidRPr="00D21C4F" w:rsidR="002D5FB3">
          <w:rPr>
            <w:rStyle w:val="Hyperlink"/>
            <w:szCs w:val="24"/>
          </w:rPr>
          <w:t>william.michael@occ.ohio.gov</w:t>
        </w:r>
      </w:hyperlink>
    </w:p>
    <w:p w:rsidR="00494019" w:rsidRPr="00C5582B" w:rsidP="00494019">
      <w:pPr>
        <w:rPr>
          <w:szCs w:val="24"/>
        </w:rPr>
        <w:sectPr w:rsidSect="002F181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65"/>
        </w:sectPr>
      </w:pP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t>(</w:t>
      </w:r>
      <w:r w:rsidR="002D5FB3">
        <w:rPr>
          <w:szCs w:val="24"/>
        </w:rPr>
        <w:t>w</w:t>
      </w:r>
      <w:r w:rsidRPr="00C5582B">
        <w:rPr>
          <w:szCs w:val="24"/>
        </w:rPr>
        <w:t>illing to accept service by e-mail)</w:t>
      </w:r>
      <w:r w:rsidRPr="00C5582B">
        <w:rPr>
          <w:szCs w:val="24"/>
        </w:rPr>
        <w:tab/>
      </w:r>
    </w:p>
    <w:p w:rsidR="00FF7A8A" w:rsidRPr="00C5582B" w:rsidP="005E2783">
      <w:pPr>
        <w:jc w:val="center"/>
        <w:rPr>
          <w:b/>
          <w:bCs/>
          <w:szCs w:val="24"/>
          <w:u w:val="single"/>
        </w:rPr>
      </w:pPr>
      <w:r w:rsidRPr="00C5582B">
        <w:rPr>
          <w:b/>
          <w:bCs/>
          <w:szCs w:val="24"/>
          <w:u w:val="single"/>
        </w:rPr>
        <w:t>CERTIFICATE OF SERVICE</w:t>
      </w:r>
    </w:p>
    <w:p w:rsidR="00FF7A8A" w:rsidRPr="00C5582B">
      <w:pPr>
        <w:spacing w:line="480" w:lineRule="atLeast"/>
        <w:rPr>
          <w:szCs w:val="24"/>
        </w:rPr>
      </w:pPr>
      <w:r w:rsidRPr="00C5582B">
        <w:rPr>
          <w:szCs w:val="24"/>
        </w:rPr>
        <w:tab/>
        <w:t xml:space="preserve">I hereby certify that a copy of </w:t>
      </w:r>
      <w:r w:rsidR="0074603A">
        <w:rPr>
          <w:szCs w:val="24"/>
        </w:rPr>
        <w:t>this Application for Rehearing</w:t>
      </w:r>
      <w:r w:rsidRPr="00C5582B" w:rsidR="005E2783">
        <w:rPr>
          <w:szCs w:val="24"/>
        </w:rPr>
        <w:t xml:space="preserve"> </w:t>
      </w:r>
      <w:r w:rsidRPr="00C5582B">
        <w:rPr>
          <w:szCs w:val="24"/>
        </w:rPr>
        <w:t xml:space="preserve">was served on the persons stated below via electronic transmission, this </w:t>
      </w:r>
      <w:r w:rsidR="0074603A">
        <w:rPr>
          <w:szCs w:val="24"/>
        </w:rPr>
        <w:t>14</w:t>
      </w:r>
      <w:r w:rsidRPr="00C5582B" w:rsidR="003F3BC1">
        <w:rPr>
          <w:szCs w:val="24"/>
        </w:rPr>
        <w:t>th</w:t>
      </w:r>
      <w:r w:rsidRPr="00C5582B" w:rsidR="00C66D1E">
        <w:rPr>
          <w:szCs w:val="24"/>
        </w:rPr>
        <w:t xml:space="preserve"> </w:t>
      </w:r>
      <w:r w:rsidRPr="00C5582B">
        <w:rPr>
          <w:szCs w:val="24"/>
        </w:rPr>
        <w:t xml:space="preserve">day of </w:t>
      </w:r>
      <w:r w:rsidR="0074603A">
        <w:rPr>
          <w:szCs w:val="24"/>
        </w:rPr>
        <w:t>August</w:t>
      </w:r>
      <w:r w:rsidRPr="00C5582B" w:rsidR="00E74BD2">
        <w:rPr>
          <w:szCs w:val="24"/>
        </w:rPr>
        <w:t xml:space="preserve"> </w:t>
      </w:r>
      <w:r w:rsidRPr="00C5582B" w:rsidR="005E2783">
        <w:rPr>
          <w:szCs w:val="24"/>
        </w:rPr>
        <w:t>20</w:t>
      </w:r>
      <w:r w:rsidRPr="00C5582B" w:rsidR="00C327D4">
        <w:rPr>
          <w:szCs w:val="24"/>
        </w:rPr>
        <w:t>20</w:t>
      </w:r>
      <w:r w:rsidRPr="00C5582B">
        <w:rPr>
          <w:szCs w:val="24"/>
        </w:rPr>
        <w:t>.</w:t>
      </w:r>
    </w:p>
    <w:p w:rsidR="00FF7A8A" w:rsidRPr="00C5582B">
      <w:pPr>
        <w:spacing w:line="480" w:lineRule="atLeast"/>
        <w:rPr>
          <w:szCs w:val="24"/>
        </w:rPr>
      </w:pPr>
    </w:p>
    <w:p w:rsidR="00FF7A8A" w:rsidRPr="00C5582B" w:rsidP="00FF7A8A">
      <w:pPr>
        <w:tabs>
          <w:tab w:val="left" w:pos="4320"/>
        </w:tabs>
        <w:rPr>
          <w:szCs w:val="24"/>
        </w:rPr>
      </w:pPr>
      <w:r w:rsidRPr="00C5582B">
        <w:rPr>
          <w:szCs w:val="24"/>
        </w:rPr>
        <w:tab/>
      </w:r>
      <w:r w:rsidRPr="00C5582B">
        <w:rPr>
          <w:i/>
          <w:szCs w:val="24"/>
          <w:u w:val="single"/>
        </w:rPr>
        <w:t xml:space="preserve">/s/ </w:t>
      </w:r>
      <w:r w:rsidRPr="00C5582B" w:rsidR="00494019">
        <w:rPr>
          <w:i/>
          <w:szCs w:val="24"/>
          <w:u w:val="single"/>
        </w:rPr>
        <w:t>Christopher Healey</w:t>
      </w:r>
    </w:p>
    <w:p w:rsidR="00FF7A8A" w:rsidRPr="00C5582B">
      <w:pPr>
        <w:tabs>
          <w:tab w:val="left" w:pos="4320"/>
        </w:tabs>
        <w:rPr>
          <w:szCs w:val="24"/>
        </w:rPr>
      </w:pPr>
      <w:r w:rsidRPr="00C5582B">
        <w:rPr>
          <w:szCs w:val="24"/>
        </w:rPr>
        <w:tab/>
      </w:r>
      <w:r w:rsidRPr="00C5582B" w:rsidR="00494019">
        <w:rPr>
          <w:szCs w:val="24"/>
        </w:rPr>
        <w:t>Christopher Healey</w:t>
      </w:r>
    </w:p>
    <w:p w:rsidR="00FF7A8A" w:rsidRPr="00C5582B">
      <w:pPr>
        <w:tabs>
          <w:tab w:val="left" w:pos="4320"/>
        </w:tabs>
        <w:rPr>
          <w:szCs w:val="24"/>
        </w:rPr>
      </w:pPr>
      <w:r w:rsidRPr="00C5582B">
        <w:rPr>
          <w:szCs w:val="24"/>
        </w:rPr>
        <w:tab/>
        <w:t>Assistant Consumers</w:t>
      </w:r>
      <w:r w:rsidRPr="00C5582B" w:rsidR="00AB176E">
        <w:rPr>
          <w:szCs w:val="24"/>
        </w:rPr>
        <w:t>’</w:t>
      </w:r>
      <w:r w:rsidRPr="00C5582B">
        <w:rPr>
          <w:szCs w:val="24"/>
        </w:rPr>
        <w:t xml:space="preserve"> Counsel</w:t>
      </w:r>
    </w:p>
    <w:p w:rsidR="00FF7A8A" w:rsidRPr="00C5582B">
      <w:pPr>
        <w:pStyle w:val="CommentSubject"/>
        <w:rPr>
          <w:szCs w:val="24"/>
        </w:rPr>
      </w:pPr>
    </w:p>
    <w:p w:rsidR="005D07BA" w:rsidRPr="00C5582B" w:rsidP="005D07BA">
      <w:pPr>
        <w:rPr>
          <w:szCs w:val="24"/>
        </w:rPr>
      </w:pPr>
      <w:r w:rsidRPr="00C5582B">
        <w:rPr>
          <w:szCs w:val="24"/>
        </w:rPr>
        <w:t>The PUCO’s e-filing system will electronically serve notice of the filing of this document on the following parties:</w:t>
      </w:r>
    </w:p>
    <w:p w:rsidR="00FF7A8A" w:rsidRPr="00C5582B">
      <w:pPr>
        <w:pStyle w:val="CommentText"/>
      </w:pPr>
    </w:p>
    <w:p w:rsidR="00C327D4" w:rsidRPr="00C5582B">
      <w:pPr>
        <w:pStyle w:val="CommentText"/>
        <w:jc w:val="center"/>
        <w:rPr>
          <w:b/>
          <w:u w:val="single"/>
        </w:rPr>
      </w:pPr>
    </w:p>
    <w:p w:rsidR="00FF7A8A" w:rsidRPr="00C5582B">
      <w:pPr>
        <w:pStyle w:val="CommentText"/>
        <w:jc w:val="center"/>
        <w:rPr>
          <w:b/>
          <w:u w:val="single"/>
        </w:rPr>
      </w:pPr>
      <w:r w:rsidRPr="00C5582B">
        <w:rPr>
          <w:b/>
          <w:u w:val="single"/>
        </w:rPr>
        <w:t>SERVICE LIST</w:t>
      </w:r>
    </w:p>
    <w:p w:rsidR="00C327D4" w:rsidRPr="00C5582B">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rsidTr="007557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494019" w:rsidRPr="00C5582B" w:rsidP="00494019">
            <w:pPr>
              <w:rPr>
                <w:szCs w:val="24"/>
              </w:rPr>
            </w:pPr>
            <w:hyperlink r:id="rId23" w:history="1">
              <w:r w:rsidRPr="000A17BC" w:rsidR="00D90EF8">
                <w:rPr>
                  <w:rStyle w:val="Hyperlink"/>
                  <w:szCs w:val="24"/>
                </w:rPr>
                <w:t>Thomas.lindgren@ohioattoreygeneral.gov</w:t>
              </w:r>
            </w:hyperlink>
          </w:p>
          <w:p w:rsidR="00D90EF8" w:rsidRPr="00D90EF8" w:rsidP="00D90EF8">
            <w:pPr>
              <w:spacing w:line="259" w:lineRule="auto"/>
              <w:rPr>
                <w:color w:val="0000FF"/>
                <w:szCs w:val="24"/>
                <w:u w:val="single"/>
              </w:rPr>
            </w:pPr>
            <w:hyperlink r:id="rId24" w:history="1">
              <w:r w:rsidRPr="00D90EF8">
                <w:rPr>
                  <w:color w:val="0000FF"/>
                  <w:szCs w:val="24"/>
                  <w:u w:val="single"/>
                </w:rPr>
                <w:t>Steven.beeler@ohioattorneygeneral.gov</w:t>
              </w:r>
            </w:hyperlink>
          </w:p>
          <w:p w:rsidR="00494019" w:rsidRPr="00C5582B" w:rsidP="00494019">
            <w:pPr>
              <w:rPr>
                <w:color w:val="0000FF"/>
                <w:szCs w:val="24"/>
              </w:rPr>
            </w:pPr>
          </w:p>
          <w:p w:rsidR="00C327D4" w:rsidRPr="00C5582B" w:rsidP="00C327D4">
            <w:pPr>
              <w:pStyle w:val="CommentText"/>
              <w:rPr>
                <w:bCs/>
                <w:u w:val="single"/>
              </w:rPr>
            </w:pPr>
          </w:p>
          <w:p w:rsidR="00C327D4" w:rsidRPr="00C5582B" w:rsidP="00C327D4">
            <w:pPr>
              <w:pStyle w:val="CommentText"/>
              <w:rPr>
                <w:bCs/>
                <w:u w:val="single"/>
              </w:rPr>
            </w:pPr>
          </w:p>
          <w:p w:rsidR="00C327D4" w:rsidRPr="00C5582B" w:rsidP="00C327D4">
            <w:pPr>
              <w:pStyle w:val="CommentText"/>
              <w:rPr>
                <w:bCs/>
                <w:u w:val="single"/>
              </w:rPr>
            </w:pPr>
            <w:r w:rsidRPr="00C5582B">
              <w:rPr>
                <w:bCs/>
                <w:u w:val="single"/>
              </w:rPr>
              <w:t>Attorney Exam</w:t>
            </w:r>
            <w:r w:rsidRPr="00C5582B" w:rsidR="001554D6">
              <w:rPr>
                <w:bCs/>
                <w:u w:val="single"/>
              </w:rPr>
              <w:t>iners:</w:t>
            </w:r>
          </w:p>
          <w:p w:rsidR="00494019" w:rsidRPr="00C5582B" w:rsidP="00494019">
            <w:pPr>
              <w:rPr>
                <w:szCs w:val="24"/>
              </w:rPr>
            </w:pPr>
            <w:hyperlink r:id="rId25" w:history="1">
              <w:r w:rsidRPr="00C5582B" w:rsidR="00FE04E5">
                <w:rPr>
                  <w:rStyle w:val="Hyperlink"/>
                  <w:szCs w:val="24"/>
                </w:rPr>
                <w:t>Megan.addison@puco.ohio.gov</w:t>
              </w:r>
            </w:hyperlink>
          </w:p>
          <w:p w:rsidR="00494019" w:rsidRPr="00C5582B" w:rsidP="00494019">
            <w:pPr>
              <w:rPr>
                <w:szCs w:val="24"/>
              </w:rPr>
            </w:pPr>
            <w:hyperlink r:id="rId26" w:history="1">
              <w:r w:rsidRPr="00C5582B" w:rsidR="00FE04E5">
                <w:rPr>
                  <w:rStyle w:val="Hyperlink"/>
                  <w:szCs w:val="24"/>
                </w:rPr>
                <w:t>Nicholas.walstra@puco.ohio.gov</w:t>
              </w:r>
            </w:hyperlink>
          </w:p>
          <w:p w:rsidR="00494019" w:rsidRPr="00C5582B" w:rsidP="00494019">
            <w:pPr>
              <w:rPr>
                <w:szCs w:val="24"/>
              </w:rPr>
            </w:pPr>
            <w:hyperlink r:id="rId27" w:history="1">
              <w:r w:rsidRPr="00C5582B" w:rsidR="00FE04E5">
                <w:rPr>
                  <w:rStyle w:val="Hyperlink"/>
                  <w:szCs w:val="24"/>
                </w:rPr>
                <w:t>Lauren.augostini@puco.ohio.goc</w:t>
              </w:r>
            </w:hyperlink>
          </w:p>
          <w:p w:rsidR="00494019" w:rsidRPr="00C5582B" w:rsidP="00494019">
            <w:pPr>
              <w:rPr>
                <w:szCs w:val="24"/>
              </w:rPr>
            </w:pPr>
            <w:hyperlink r:id="rId28" w:history="1">
              <w:r w:rsidRPr="00C5582B" w:rsidR="00FE04E5">
                <w:rPr>
                  <w:rStyle w:val="Hyperlink"/>
                  <w:szCs w:val="24"/>
                </w:rPr>
                <w:t>Patricia.schabo@puco.ohio.gov</w:t>
              </w:r>
            </w:hyperlink>
          </w:p>
          <w:p w:rsidR="00494019" w:rsidRPr="00C5582B" w:rsidP="00494019">
            <w:pPr>
              <w:rPr>
                <w:szCs w:val="24"/>
              </w:rPr>
            </w:pPr>
            <w:hyperlink r:id="rId29" w:history="1">
              <w:r w:rsidRPr="000A17BC" w:rsidR="00D90EF8">
                <w:rPr>
                  <w:rStyle w:val="Hyperlink"/>
                  <w:szCs w:val="24"/>
                </w:rPr>
                <w:t>Gregory.price@puco.ohio.gov</w:t>
              </w:r>
            </w:hyperlink>
          </w:p>
          <w:p w:rsidR="00494019" w:rsidRPr="00C5582B" w:rsidP="00494019">
            <w:pPr>
              <w:rPr>
                <w:szCs w:val="24"/>
              </w:rPr>
            </w:pPr>
            <w:hyperlink r:id="rId30" w:history="1">
              <w:r w:rsidRPr="00C5582B" w:rsidR="00FE04E5">
                <w:rPr>
                  <w:rStyle w:val="Hyperlink"/>
                  <w:szCs w:val="24"/>
                </w:rPr>
                <w:t>Sarah.parrot@puco.ohio.gov</w:t>
              </w:r>
            </w:hyperlink>
          </w:p>
          <w:p w:rsidR="00494019" w:rsidRPr="00C5582B" w:rsidP="00494019">
            <w:pPr>
              <w:rPr>
                <w:szCs w:val="24"/>
              </w:rPr>
            </w:pPr>
            <w:hyperlink r:id="rId31" w:history="1">
              <w:r w:rsidRPr="00C5582B" w:rsidR="00FE04E5">
                <w:rPr>
                  <w:rStyle w:val="Hyperlink"/>
                  <w:szCs w:val="24"/>
                </w:rPr>
                <w:t>Greta.see@puco.ohio.gov</w:t>
              </w:r>
            </w:hyperlink>
          </w:p>
          <w:p w:rsidR="00D90EF8" w:rsidRPr="00D90EF8" w:rsidP="00D90EF8">
            <w:pPr>
              <w:spacing w:line="259" w:lineRule="auto"/>
              <w:rPr>
                <w:rFonts w:eastAsiaTheme="minorHAnsi"/>
                <w:bCs/>
                <w:szCs w:val="24"/>
              </w:rPr>
            </w:pPr>
            <w:r w:rsidRPr="00D90EF8">
              <w:rPr>
                <w:rFonts w:eastAsiaTheme="minorHAnsi"/>
                <w:bCs/>
                <w:color w:val="0000FF"/>
                <w:szCs w:val="24"/>
                <w:u w:val="single"/>
              </w:rPr>
              <w:t>Michael.williams@puco.ohio.gov</w:t>
            </w:r>
          </w:p>
          <w:p w:rsidR="00D90EF8" w:rsidRPr="00D90EF8" w:rsidP="00D90EF8">
            <w:pPr>
              <w:spacing w:after="160" w:line="259" w:lineRule="auto"/>
              <w:rPr>
                <w:rFonts w:ascii="Times-Roman" w:hAnsi="Times-Roman" w:eastAsiaTheme="minorHAnsi" w:cs="Times-Roman"/>
                <w:color w:val="0000FF"/>
                <w:szCs w:val="24"/>
                <w:u w:val="single"/>
              </w:rPr>
            </w:pPr>
            <w:hyperlink r:id="rId32" w:history="1">
              <w:r w:rsidRPr="00D90EF8">
                <w:rPr>
                  <w:rFonts w:ascii="Times-Roman" w:hAnsi="Times-Roman" w:eastAsiaTheme="minorHAnsi" w:cs="Times-Roman"/>
                  <w:color w:val="0000FF"/>
                  <w:szCs w:val="24"/>
                  <w:u w:val="single"/>
                </w:rPr>
                <w:t>Matthew.sandor@puco.ohio.gov</w:t>
              </w:r>
            </w:hyperlink>
          </w:p>
          <w:p w:rsidR="001554D6" w:rsidRPr="00C5582B" w:rsidP="00C327D4">
            <w:pPr>
              <w:pStyle w:val="CommentText"/>
              <w:rPr>
                <w:bCs/>
                <w:u w:val="single"/>
              </w:rPr>
            </w:pPr>
          </w:p>
          <w:p w:rsidR="001554D6" w:rsidRPr="00C5582B" w:rsidP="00C327D4">
            <w:pPr>
              <w:pStyle w:val="CommentText"/>
              <w:rPr>
                <w:bCs/>
                <w:u w:val="single"/>
              </w:rPr>
            </w:pPr>
          </w:p>
          <w:p w:rsidR="001554D6" w:rsidRPr="00C5582B" w:rsidP="00C327D4">
            <w:pPr>
              <w:pStyle w:val="CommentText"/>
              <w:rPr>
                <w:bCs/>
                <w:u w:val="single"/>
              </w:rPr>
            </w:pPr>
          </w:p>
          <w:p w:rsidR="001554D6" w:rsidRPr="00C5582B" w:rsidP="00C327D4">
            <w:pPr>
              <w:pStyle w:val="CommentText"/>
              <w:rPr>
                <w:bCs/>
                <w:u w:val="single"/>
              </w:rPr>
            </w:pPr>
          </w:p>
        </w:tc>
        <w:tc>
          <w:tcPr>
            <w:tcW w:w="4315" w:type="dxa"/>
          </w:tcPr>
          <w:p w:rsidR="00494019" w:rsidRPr="00C5582B" w:rsidP="00494019">
            <w:pPr>
              <w:rPr>
                <w:szCs w:val="24"/>
              </w:rPr>
            </w:pPr>
            <w:hyperlink r:id="rId33" w:history="1">
              <w:r w:rsidRPr="00C5582B" w:rsidR="00FE04E5">
                <w:rPr>
                  <w:rStyle w:val="Hyperlink"/>
                  <w:szCs w:val="24"/>
                </w:rPr>
                <w:t>Rocco.dascenzo@duke-energy.com</w:t>
              </w:r>
            </w:hyperlink>
          </w:p>
          <w:p w:rsidR="00494019" w:rsidRPr="00C5582B" w:rsidP="00494019">
            <w:pPr>
              <w:rPr>
                <w:szCs w:val="24"/>
              </w:rPr>
            </w:pPr>
            <w:hyperlink r:id="rId34" w:history="1">
              <w:r w:rsidRPr="00C5582B" w:rsidR="00FE04E5">
                <w:rPr>
                  <w:rStyle w:val="Hyperlink"/>
                  <w:szCs w:val="24"/>
                </w:rPr>
                <w:t>Jeanne.kingery@duke-energy.com</w:t>
              </w:r>
            </w:hyperlink>
          </w:p>
          <w:p w:rsidR="00494019" w:rsidRPr="00C5582B" w:rsidP="00494019">
            <w:pPr>
              <w:rPr>
                <w:szCs w:val="24"/>
              </w:rPr>
            </w:pPr>
            <w:hyperlink r:id="rId35" w:history="1">
              <w:r w:rsidRPr="00C5582B" w:rsidR="00FE04E5">
                <w:rPr>
                  <w:rStyle w:val="Hyperlink"/>
                  <w:szCs w:val="24"/>
                </w:rPr>
                <w:t>Larisa.vaysman@duke-energy.com</w:t>
              </w:r>
            </w:hyperlink>
          </w:p>
          <w:p w:rsidR="00494019" w:rsidRPr="00C5582B" w:rsidP="00494019">
            <w:pPr>
              <w:rPr>
                <w:szCs w:val="24"/>
              </w:rPr>
            </w:pPr>
            <w:hyperlink r:id="rId36" w:history="1">
              <w:r w:rsidRPr="00C5582B" w:rsidR="00FE04E5">
                <w:rPr>
                  <w:rStyle w:val="Hyperlink"/>
                  <w:szCs w:val="24"/>
                </w:rPr>
                <w:t>Joe.oliker@igs.com</w:t>
              </w:r>
            </w:hyperlink>
          </w:p>
          <w:p w:rsidR="00494019" w:rsidRPr="00C5582B" w:rsidP="00494019">
            <w:pPr>
              <w:rPr>
                <w:szCs w:val="24"/>
              </w:rPr>
            </w:pPr>
            <w:hyperlink r:id="rId37" w:history="1">
              <w:r w:rsidRPr="00C5582B" w:rsidR="00FE04E5">
                <w:rPr>
                  <w:rStyle w:val="Hyperlink"/>
                  <w:szCs w:val="24"/>
                </w:rPr>
                <w:t>Michael.nugent@igs.com</w:t>
              </w:r>
            </w:hyperlink>
          </w:p>
          <w:p w:rsidR="00494019" w:rsidRPr="00C5582B" w:rsidP="00494019">
            <w:pPr>
              <w:rPr>
                <w:szCs w:val="24"/>
              </w:rPr>
            </w:pPr>
            <w:hyperlink r:id="rId38" w:history="1">
              <w:r w:rsidRPr="00C5582B" w:rsidR="00FE04E5">
                <w:rPr>
                  <w:rStyle w:val="Hyperlink"/>
                  <w:szCs w:val="24"/>
                </w:rPr>
                <w:t>Bethany.allen@igs.com</w:t>
              </w:r>
            </w:hyperlink>
          </w:p>
          <w:p w:rsidR="00494019" w:rsidRPr="00C5582B" w:rsidP="00494019">
            <w:pPr>
              <w:autoSpaceDE w:val="0"/>
              <w:autoSpaceDN w:val="0"/>
              <w:adjustRightInd w:val="0"/>
              <w:rPr>
                <w:color w:val="0000FF"/>
                <w:szCs w:val="24"/>
              </w:rPr>
            </w:pPr>
            <w:hyperlink r:id="rId39" w:history="1">
              <w:r w:rsidRPr="00C5582B" w:rsidR="00FE04E5">
                <w:rPr>
                  <w:rStyle w:val="Hyperlink"/>
                  <w:szCs w:val="24"/>
                </w:rPr>
                <w:t>talexander@calfee.co</w:t>
              </w:r>
            </w:hyperlink>
            <w:r w:rsidR="00D90EF8">
              <w:rPr>
                <w:rStyle w:val="Hyperlink"/>
                <w:szCs w:val="24"/>
              </w:rPr>
              <w:t>m</w:t>
            </w:r>
          </w:p>
          <w:p w:rsidR="00494019" w:rsidRPr="00C5582B" w:rsidP="00494019">
            <w:pPr>
              <w:rPr>
                <w:color w:val="0000FF"/>
                <w:szCs w:val="24"/>
              </w:rPr>
            </w:pPr>
            <w:hyperlink r:id="rId40" w:history="1">
              <w:r w:rsidRPr="000A17BC" w:rsidR="00D90EF8">
                <w:rPr>
                  <w:rStyle w:val="Hyperlink"/>
                  <w:szCs w:val="24"/>
                </w:rPr>
                <w:t>khehmeyer@calfee.com</w:t>
              </w:r>
            </w:hyperlink>
          </w:p>
          <w:p w:rsidR="00494019" w:rsidRPr="00C5582B" w:rsidP="00494019">
            <w:pPr>
              <w:rPr>
                <w:color w:val="0563C2"/>
                <w:szCs w:val="24"/>
              </w:rPr>
            </w:pPr>
            <w:hyperlink r:id="rId41" w:history="1">
              <w:r w:rsidRPr="00C5582B" w:rsidR="00FE04E5">
                <w:rPr>
                  <w:rStyle w:val="Hyperlink"/>
                  <w:szCs w:val="24"/>
                </w:rPr>
                <w:t>rendris@firstenergycorp.com</w:t>
              </w:r>
            </w:hyperlink>
          </w:p>
          <w:p w:rsidR="00494019" w:rsidRPr="00C5582B" w:rsidP="00494019">
            <w:pPr>
              <w:autoSpaceDE w:val="0"/>
              <w:autoSpaceDN w:val="0"/>
              <w:adjustRightInd w:val="0"/>
              <w:rPr>
                <w:color w:val="0000FF"/>
                <w:szCs w:val="24"/>
              </w:rPr>
            </w:pPr>
            <w:hyperlink r:id="rId42" w:history="1">
              <w:r w:rsidRPr="00C5582B" w:rsidR="00FE04E5">
                <w:rPr>
                  <w:rStyle w:val="Hyperlink"/>
                  <w:szCs w:val="24"/>
                </w:rPr>
                <w:t>mkurtz@BKLlawfirm.com</w:t>
              </w:r>
            </w:hyperlink>
          </w:p>
          <w:p w:rsidR="00494019" w:rsidRPr="00C5582B" w:rsidP="00494019">
            <w:pPr>
              <w:autoSpaceDE w:val="0"/>
              <w:autoSpaceDN w:val="0"/>
              <w:adjustRightInd w:val="0"/>
              <w:rPr>
                <w:color w:val="0000FF"/>
                <w:szCs w:val="24"/>
              </w:rPr>
            </w:pPr>
            <w:hyperlink r:id="rId43" w:history="1">
              <w:r w:rsidRPr="00C5582B" w:rsidR="00FE04E5">
                <w:rPr>
                  <w:rStyle w:val="Hyperlink"/>
                  <w:szCs w:val="24"/>
                </w:rPr>
                <w:t>kboehm@BKLlawfirm.com</w:t>
              </w:r>
            </w:hyperlink>
          </w:p>
          <w:p w:rsidR="00494019" w:rsidRPr="00C5582B" w:rsidP="00494019">
            <w:pPr>
              <w:rPr>
                <w:color w:val="0000FF"/>
                <w:szCs w:val="24"/>
              </w:rPr>
            </w:pPr>
            <w:hyperlink r:id="rId44" w:history="1">
              <w:r w:rsidRPr="00C5582B" w:rsidR="00FE04E5">
                <w:rPr>
                  <w:rStyle w:val="Hyperlink"/>
                  <w:szCs w:val="24"/>
                </w:rPr>
                <w:t>jkylercohn@BKLlawfirm.com</w:t>
              </w:r>
            </w:hyperlink>
          </w:p>
          <w:p w:rsidR="00494019" w:rsidRPr="00C5582B" w:rsidP="00494019">
            <w:pPr>
              <w:rPr>
                <w:color w:val="0000FF"/>
                <w:szCs w:val="24"/>
              </w:rPr>
            </w:pPr>
            <w:hyperlink r:id="rId45" w:history="1">
              <w:r w:rsidRPr="00C5582B" w:rsidR="00FE04E5">
                <w:rPr>
                  <w:rStyle w:val="Hyperlink"/>
                  <w:szCs w:val="24"/>
                </w:rPr>
                <w:t>Michael.schuler@aes.com</w:t>
              </w:r>
            </w:hyperlink>
          </w:p>
          <w:p w:rsidR="00494019" w:rsidRPr="00C5582B" w:rsidP="00494019">
            <w:pPr>
              <w:rPr>
                <w:color w:val="0000FF"/>
                <w:szCs w:val="24"/>
              </w:rPr>
            </w:pPr>
            <w:hyperlink r:id="rId46" w:history="1">
              <w:r w:rsidRPr="00C5582B" w:rsidR="00FE04E5">
                <w:rPr>
                  <w:rStyle w:val="Hyperlink"/>
                  <w:szCs w:val="24"/>
                </w:rPr>
                <w:t>stnourse@aep.com</w:t>
              </w:r>
            </w:hyperlink>
          </w:p>
          <w:p w:rsidR="001554D6" w:rsidP="001554D6">
            <w:pPr>
              <w:pStyle w:val="CommentText"/>
              <w:rPr>
                <w:bCs/>
                <w:color w:val="0000FF"/>
                <w:u w:val="single"/>
              </w:rPr>
            </w:pPr>
            <w:hyperlink r:id="rId47" w:history="1">
              <w:r w:rsidRPr="000A17BC" w:rsidR="00D90EF8">
                <w:rPr>
                  <w:rStyle w:val="Hyperlink"/>
                  <w:bCs/>
                </w:rPr>
                <w:t>whitt@whitt-sturtevant.com</w:t>
              </w:r>
            </w:hyperlink>
          </w:p>
          <w:p w:rsidR="00D90EF8" w:rsidP="001554D6">
            <w:pPr>
              <w:pStyle w:val="CommentText"/>
              <w:rPr>
                <w:bCs/>
              </w:rPr>
            </w:pPr>
            <w:hyperlink r:id="rId48" w:history="1">
              <w:r w:rsidRPr="000A17BC">
                <w:rPr>
                  <w:rStyle w:val="Hyperlink"/>
                  <w:bCs/>
                </w:rPr>
                <w:t>fykes@whitt-sturtevant.com</w:t>
              </w:r>
            </w:hyperlink>
          </w:p>
          <w:p w:rsidR="00D90EF8" w:rsidP="001554D6">
            <w:pPr>
              <w:pStyle w:val="CommentText"/>
              <w:rPr>
                <w:bCs/>
              </w:rPr>
            </w:pPr>
            <w:hyperlink r:id="rId49" w:history="1">
              <w:r w:rsidRPr="000A17BC">
                <w:rPr>
                  <w:rStyle w:val="Hyperlink"/>
                  <w:bCs/>
                </w:rPr>
                <w:t>glpetrucci@vorys.com</w:t>
              </w:r>
            </w:hyperlink>
          </w:p>
          <w:p w:rsidR="00D90EF8" w:rsidRPr="00D90EF8" w:rsidP="001554D6">
            <w:pPr>
              <w:pStyle w:val="CommentText"/>
              <w:rPr>
                <w:bCs/>
                <w:color w:val="0000FF"/>
                <w:u w:val="single"/>
              </w:rPr>
            </w:pPr>
          </w:p>
        </w:tc>
      </w:tr>
    </w:tbl>
    <w:p w:rsidR="00C327D4" w:rsidRPr="00C5582B">
      <w:pPr>
        <w:pStyle w:val="CommentText"/>
        <w:jc w:val="center"/>
        <w:rPr>
          <w:b/>
          <w:u w:val="single"/>
        </w:rPr>
      </w:pPr>
    </w:p>
    <w:p w:rsidR="00FF7A8A" w:rsidRPr="00C5582B">
      <w:pPr>
        <w:pStyle w:val="CommentText"/>
        <w:jc w:val="center"/>
        <w:rPr>
          <w:b/>
          <w:u w:val="single"/>
        </w:rPr>
      </w:pPr>
    </w:p>
    <w:p w:rsidR="00884F92" w:rsidRPr="00C5582B" w:rsidP="00884F92">
      <w:pPr>
        <w:rPr>
          <w:szCs w:val="24"/>
        </w:rPr>
      </w:pPr>
    </w:p>
    <w:p w:rsidR="00140BDC" w:rsidRPr="00C5582B" w:rsidP="00884F92">
      <w:pPr>
        <w:rPr>
          <w:szCs w:val="24"/>
        </w:rPr>
      </w:pPr>
    </w:p>
    <w:p w:rsidR="00140BDC" w:rsidRPr="00C5582B" w:rsidP="00884F92">
      <w:pPr>
        <w:rPr>
          <w:szCs w:val="24"/>
        </w:rPr>
      </w:pPr>
    </w:p>
    <w:sectPr w:rsidSect="002F1813">
      <w:headerReference w:type="first" r:id="rId50"/>
      <w:footerReference w:type="first" r:id="rId51"/>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6883607"/>
      <w:docPartObj>
        <w:docPartGallery w:val="Page Numbers (Bottom of Page)"/>
        <w:docPartUnique/>
      </w:docPartObj>
    </w:sdtPr>
    <w:sdtEndPr>
      <w:rPr>
        <w:noProof/>
        <w:sz w:val="24"/>
        <w:szCs w:val="24"/>
      </w:rPr>
    </w:sdtEndPr>
    <w:sdtContent>
      <w:p w:rsidR="00B77F84" w:rsidRPr="00D10C68">
        <w:pPr>
          <w:pStyle w:val="Footer"/>
          <w:jc w:val="center"/>
          <w:rPr>
            <w:sz w:val="24"/>
            <w:szCs w:val="24"/>
          </w:rPr>
        </w:pPr>
        <w:r w:rsidRPr="00D10C68">
          <w:rPr>
            <w:sz w:val="24"/>
            <w:szCs w:val="24"/>
          </w:rPr>
          <w:fldChar w:fldCharType="begin"/>
        </w:r>
        <w:r w:rsidRPr="00D10C68">
          <w:rPr>
            <w:sz w:val="24"/>
            <w:szCs w:val="24"/>
          </w:rPr>
          <w:instrText xml:space="preserve"> PAGE   \* MERGEFORMAT </w:instrText>
        </w:r>
        <w:r w:rsidRPr="00D10C68">
          <w:rPr>
            <w:sz w:val="24"/>
            <w:szCs w:val="24"/>
          </w:rPr>
          <w:fldChar w:fldCharType="separate"/>
        </w:r>
        <w:r w:rsidRPr="00D10C68">
          <w:rPr>
            <w:noProof/>
            <w:sz w:val="24"/>
            <w:szCs w:val="24"/>
          </w:rPr>
          <w:t>3</w:t>
        </w:r>
        <w:r w:rsidRPr="00D10C68">
          <w:rPr>
            <w:noProof/>
            <w:sz w:val="24"/>
            <w:szCs w:val="24"/>
          </w:rPr>
          <w:fldChar w:fldCharType="end"/>
        </w:r>
      </w:p>
    </w:sdtContent>
  </w:sdt>
  <w:p w:rsidR="00B77F8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7753578"/>
      <w:docPartObj>
        <w:docPartGallery w:val="Page Numbers (Bottom of Page)"/>
        <w:docPartUnique/>
      </w:docPartObj>
    </w:sdtPr>
    <w:sdtEndPr>
      <w:rPr>
        <w:noProof/>
        <w:sz w:val="24"/>
        <w:szCs w:val="24"/>
      </w:rPr>
    </w:sdtEndPr>
    <w:sdtContent>
      <w:p w:rsidR="00B77F84" w:rsidRPr="00FE04E5">
        <w:pPr>
          <w:pStyle w:val="Footer"/>
          <w:jc w:val="center"/>
          <w:rPr>
            <w:sz w:val="24"/>
            <w:szCs w:val="24"/>
          </w:rPr>
        </w:pPr>
        <w:r w:rsidRPr="00FE04E5">
          <w:rPr>
            <w:sz w:val="24"/>
            <w:szCs w:val="24"/>
          </w:rPr>
          <w:fldChar w:fldCharType="begin"/>
        </w:r>
        <w:r w:rsidRPr="00FE04E5">
          <w:rPr>
            <w:sz w:val="24"/>
            <w:szCs w:val="24"/>
          </w:rPr>
          <w:instrText xml:space="preserve"> PAGE   \* MERGEFORMAT </w:instrText>
        </w:r>
        <w:r w:rsidRPr="00FE04E5">
          <w:rPr>
            <w:sz w:val="24"/>
            <w:szCs w:val="24"/>
          </w:rPr>
          <w:fldChar w:fldCharType="separate"/>
        </w:r>
        <w:r w:rsidR="005A35F7">
          <w:rPr>
            <w:noProof/>
            <w:sz w:val="24"/>
            <w:szCs w:val="24"/>
          </w:rPr>
          <w:t>13</w:t>
        </w:r>
        <w:r w:rsidRPr="00FE04E5">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4529907"/>
      <w:docPartObj>
        <w:docPartGallery w:val="Page Numbers (Bottom of Page)"/>
        <w:docPartUnique/>
      </w:docPartObj>
    </w:sdtPr>
    <w:sdtEndPr>
      <w:rPr>
        <w:noProof/>
      </w:rPr>
    </w:sdtEndPr>
    <w:sdtContent>
      <w:p w:rsidR="00B77F84">
        <w:pPr>
          <w:pStyle w:val="Footer"/>
          <w:jc w:val="center"/>
        </w:pPr>
      </w:p>
    </w:sdtContent>
  </w:sdt>
  <w:p w:rsidR="00B77F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3144846"/>
      <w:docPartObj>
        <w:docPartGallery w:val="Page Numbers (Bottom of Page)"/>
        <w:docPartUnique/>
      </w:docPartObj>
    </w:sdtPr>
    <w:sdtEndPr>
      <w:rPr>
        <w:noProof/>
        <w:sz w:val="24"/>
        <w:szCs w:val="24"/>
      </w:rPr>
    </w:sdtEndPr>
    <w:sdtContent>
      <w:p w:rsidR="00B77F84" w:rsidRPr="00D10C68">
        <w:pPr>
          <w:pStyle w:val="Footer"/>
          <w:jc w:val="center"/>
          <w:rPr>
            <w:sz w:val="24"/>
            <w:szCs w:val="24"/>
          </w:rPr>
        </w:pPr>
        <w:r w:rsidRPr="00D10C68">
          <w:rPr>
            <w:sz w:val="24"/>
            <w:szCs w:val="24"/>
          </w:rPr>
          <w:fldChar w:fldCharType="begin"/>
        </w:r>
        <w:r w:rsidRPr="00D10C68">
          <w:rPr>
            <w:sz w:val="24"/>
            <w:szCs w:val="24"/>
          </w:rPr>
          <w:instrText xml:space="preserve"> PAGE   \* MERGEFORMAT </w:instrText>
        </w:r>
        <w:r w:rsidRPr="00D10C68">
          <w:rPr>
            <w:sz w:val="24"/>
            <w:szCs w:val="24"/>
          </w:rPr>
          <w:fldChar w:fldCharType="separate"/>
        </w:r>
        <w:r w:rsidR="00FE6039">
          <w:rPr>
            <w:noProof/>
            <w:sz w:val="24"/>
            <w:szCs w:val="24"/>
          </w:rPr>
          <w:t>3</w:t>
        </w:r>
        <w:r w:rsidRPr="00D10C68">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Footer"/>
      <w:jc w:val="center"/>
    </w:pPr>
  </w:p>
  <w:p w:rsidR="00B77F8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3871814"/>
      <w:docPartObj>
        <w:docPartGallery w:val="Page Numbers (Bottom of Page)"/>
        <w:docPartUnique/>
      </w:docPartObj>
    </w:sdtPr>
    <w:sdtEndPr>
      <w:rPr>
        <w:noProof/>
        <w:sz w:val="24"/>
        <w:szCs w:val="24"/>
      </w:rPr>
    </w:sdtEndPr>
    <w:sdtContent>
      <w:p w:rsidR="00B77F84" w:rsidRPr="002D5FB3">
        <w:pPr>
          <w:pStyle w:val="Footer"/>
          <w:jc w:val="center"/>
          <w:rPr>
            <w:sz w:val="24"/>
            <w:szCs w:val="24"/>
          </w:rPr>
        </w:pPr>
        <w:r w:rsidRPr="002D5FB3">
          <w:rPr>
            <w:sz w:val="24"/>
            <w:szCs w:val="24"/>
          </w:rPr>
          <w:fldChar w:fldCharType="begin"/>
        </w:r>
        <w:r w:rsidRPr="002D5FB3">
          <w:rPr>
            <w:sz w:val="24"/>
            <w:szCs w:val="24"/>
          </w:rPr>
          <w:instrText xml:space="preserve"> PAGE   \* MERGEFORMAT </w:instrText>
        </w:r>
        <w:r w:rsidRPr="002D5FB3">
          <w:rPr>
            <w:sz w:val="24"/>
            <w:szCs w:val="24"/>
          </w:rPr>
          <w:fldChar w:fldCharType="separate"/>
        </w:r>
        <w:r w:rsidRPr="002D5FB3" w:rsidR="00FE6039">
          <w:rPr>
            <w:noProof/>
            <w:sz w:val="24"/>
            <w:szCs w:val="24"/>
          </w:rPr>
          <w:t>i</w:t>
        </w:r>
        <w:r w:rsidRPr="002D5FB3">
          <w:rPr>
            <w:noProof/>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6825895"/>
      <w:docPartObj>
        <w:docPartGallery w:val="Page Numbers (Bottom of Page)"/>
        <w:docPartUnique/>
      </w:docPartObj>
    </w:sdtPr>
    <w:sdtEndPr>
      <w:rPr>
        <w:noProof/>
        <w:sz w:val="24"/>
        <w:szCs w:val="24"/>
      </w:rPr>
    </w:sdtEndPr>
    <w:sdtContent>
      <w:p w:rsidR="00B77F84" w:rsidRPr="00C5582B">
        <w:pPr>
          <w:pStyle w:val="Footer"/>
          <w:jc w:val="center"/>
          <w:rPr>
            <w:sz w:val="24"/>
            <w:szCs w:val="24"/>
          </w:rPr>
        </w:pPr>
        <w:r w:rsidRPr="00C5582B">
          <w:rPr>
            <w:sz w:val="24"/>
            <w:szCs w:val="24"/>
          </w:rPr>
          <w:fldChar w:fldCharType="begin"/>
        </w:r>
        <w:r w:rsidRPr="00C5582B">
          <w:rPr>
            <w:sz w:val="24"/>
            <w:szCs w:val="24"/>
          </w:rPr>
          <w:instrText xml:space="preserve"> PAGE   \* MERGEFORMAT </w:instrText>
        </w:r>
        <w:r w:rsidRPr="00C5582B">
          <w:rPr>
            <w:sz w:val="24"/>
            <w:szCs w:val="24"/>
          </w:rPr>
          <w:fldChar w:fldCharType="separate"/>
        </w:r>
        <w:r w:rsidR="005A35F7">
          <w:rPr>
            <w:noProof/>
            <w:sz w:val="24"/>
            <w:szCs w:val="24"/>
          </w:rPr>
          <w:t>12</w:t>
        </w:r>
        <w:r w:rsidRPr="00C5582B">
          <w:rPr>
            <w:noProof/>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7302943"/>
      <w:docPartObj>
        <w:docPartGallery w:val="Page Numbers (Bottom of Page)"/>
        <w:docPartUnique/>
      </w:docPartObj>
    </w:sdtPr>
    <w:sdtEndPr>
      <w:rPr>
        <w:noProof/>
        <w:sz w:val="24"/>
        <w:szCs w:val="24"/>
      </w:rPr>
    </w:sdtEndPr>
    <w:sdtContent>
      <w:p w:rsidR="00B77F84" w:rsidRPr="00D10C68">
        <w:pPr>
          <w:pStyle w:val="Footer"/>
          <w:jc w:val="center"/>
          <w:rPr>
            <w:sz w:val="24"/>
            <w:szCs w:val="24"/>
          </w:rPr>
        </w:pPr>
        <w:r w:rsidRPr="00D10C68">
          <w:rPr>
            <w:sz w:val="24"/>
            <w:szCs w:val="24"/>
          </w:rPr>
          <w:fldChar w:fldCharType="begin"/>
        </w:r>
        <w:r w:rsidRPr="00D10C68">
          <w:rPr>
            <w:sz w:val="24"/>
            <w:szCs w:val="24"/>
          </w:rPr>
          <w:instrText xml:space="preserve"> PAGE   \* MERGEFORMAT </w:instrText>
        </w:r>
        <w:r w:rsidRPr="00D10C68">
          <w:rPr>
            <w:sz w:val="24"/>
            <w:szCs w:val="24"/>
          </w:rPr>
          <w:fldChar w:fldCharType="separate"/>
        </w:r>
        <w:r w:rsidR="00FE6039">
          <w:rPr>
            <w:noProof/>
            <w:sz w:val="24"/>
            <w:szCs w:val="24"/>
          </w:rPr>
          <w:t>1</w:t>
        </w:r>
        <w:r w:rsidRPr="00D10C68">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71200">
      <w:r>
        <w:separator/>
      </w:r>
    </w:p>
  </w:footnote>
  <w:footnote w:type="continuationSeparator" w:id="1">
    <w:p w:rsidR="00D71200">
      <w:r>
        <w:continuationSeparator/>
      </w:r>
    </w:p>
  </w:footnote>
  <w:footnote w:id="2">
    <w:p w:rsidR="00B77F84" w:rsidRPr="00CF6224">
      <w:pPr>
        <w:pStyle w:val="FootnoteText"/>
      </w:pPr>
      <w:r w:rsidRPr="00CF6224">
        <w:rPr>
          <w:rStyle w:val="FootnoteReference"/>
        </w:rPr>
        <w:footnoteRef/>
      </w:r>
      <w:r w:rsidRPr="00CF6224">
        <w:t xml:space="preserve"> </w:t>
      </w:r>
      <w:r w:rsidRPr="00CF6224">
        <w:rPr>
          <w:i/>
        </w:rPr>
        <w:t>See</w:t>
      </w:r>
      <w:r w:rsidRPr="00CF6224">
        <w:t xml:space="preserve"> Order ¶ 35.</w:t>
      </w:r>
    </w:p>
  </w:footnote>
  <w:footnote w:id="3">
    <w:p w:rsidR="00FE6039" w:rsidRPr="00CF6224" w:rsidP="00FE6039">
      <w:pPr>
        <w:pStyle w:val="FootnoteText"/>
      </w:pPr>
      <w:r w:rsidRPr="00CF6224">
        <w:rPr>
          <w:rStyle w:val="FootnoteReference"/>
        </w:rPr>
        <w:footnoteRef/>
      </w:r>
      <w:r w:rsidRPr="00CF6224">
        <w:t xml:space="preserve"> </w:t>
      </w:r>
      <w:r w:rsidRPr="00CF6224">
        <w:rPr>
          <w:i/>
        </w:rPr>
        <w:t xml:space="preserve">See, e.g., </w:t>
      </w:r>
      <w:hyperlink r:id="rId1" w:history="1">
        <w:r w:rsidRPr="00CF6224">
          <w:rPr>
            <w:rStyle w:val="Hyperlink"/>
          </w:rPr>
          <w:t>https://www.legislature.ohio.gov/download?key=8111&amp;format=pdf</w:t>
        </w:r>
      </w:hyperlink>
      <w:r w:rsidRPr="00CF6224">
        <w:t>. Specifically, the PJM Wholesale rate has declined from approximately $0.08/kWh in 2008 to approximately $0.05/kWh in 2016.</w:t>
      </w:r>
    </w:p>
  </w:footnote>
  <w:footnote w:id="4">
    <w:p w:rsidR="00B77F84" w:rsidRPr="00CF6224" w:rsidP="00933745">
      <w:pPr>
        <w:pStyle w:val="FootnoteText"/>
      </w:pPr>
      <w:r w:rsidRPr="00CF6224">
        <w:rPr>
          <w:rStyle w:val="FootnoteReference"/>
        </w:rPr>
        <w:footnoteRef/>
      </w:r>
      <w:r w:rsidRPr="00CF6224">
        <w:t xml:space="preserve"> Order ¶ 37.</w:t>
      </w:r>
    </w:p>
  </w:footnote>
  <w:footnote w:id="5">
    <w:p w:rsidR="00B77F84" w:rsidRPr="00CF6224">
      <w:pPr>
        <w:pStyle w:val="FootnoteText"/>
      </w:pPr>
      <w:r w:rsidRPr="00CF6224">
        <w:rPr>
          <w:rStyle w:val="FootnoteReference"/>
        </w:rPr>
        <w:footnoteRef/>
      </w:r>
      <w:r w:rsidRPr="00CF6224">
        <w:t xml:space="preserve"> </w:t>
      </w:r>
      <w:r w:rsidRPr="00CF6224">
        <w:rPr>
          <w:i/>
        </w:rPr>
        <w:t>Disc. Cellular, Inc. v. PUCO</w:t>
      </w:r>
      <w:r w:rsidRPr="00CF6224">
        <w:t>, 112 Ohio St.3d 360, 373 (2007) (“The PUCO, as a creature of statute, has no authority to act beyond its statutory powers.”).</w:t>
      </w:r>
    </w:p>
  </w:footnote>
  <w:footnote w:id="6">
    <w:p w:rsidR="00B77F84" w:rsidRPr="00CF6224">
      <w:pPr>
        <w:pStyle w:val="FootnoteText"/>
      </w:pPr>
      <w:r w:rsidRPr="00CF6224">
        <w:rPr>
          <w:rStyle w:val="FootnoteReference"/>
        </w:rPr>
        <w:footnoteRef/>
      </w:r>
      <w:r w:rsidRPr="00CF6224">
        <w:t xml:space="preserve"> Order ¶ 37.</w:t>
      </w:r>
    </w:p>
  </w:footnote>
  <w:footnote w:id="7">
    <w:p w:rsidR="00B77F84" w:rsidRPr="00CF6224">
      <w:pPr>
        <w:pStyle w:val="FootnoteText"/>
      </w:pPr>
      <w:r w:rsidRPr="00CF6224">
        <w:rPr>
          <w:rStyle w:val="FootnoteReference"/>
        </w:rPr>
        <w:footnoteRef/>
      </w:r>
      <w:r w:rsidRPr="00CF6224">
        <w:t xml:space="preserve"> </w:t>
      </w:r>
      <w:r w:rsidRPr="00CF6224">
        <w:rPr>
          <w:i/>
        </w:rPr>
        <w:t>See, e.g.</w:t>
      </w:r>
      <w:r w:rsidRPr="00CF6224">
        <w:t xml:space="preserve">, </w:t>
      </w:r>
      <w:r w:rsidRPr="00CF6224">
        <w:rPr>
          <w:i/>
          <w:iCs/>
        </w:rPr>
        <w:t>Time Warner v. PUC</w:t>
      </w:r>
      <w:r w:rsidRPr="00CF6224">
        <w:t>, 75 Ohio St.3d 229, 241, 661 N.E.2d 1097 (striking down PUCO order as beyond PUCO authority even though it was founded in sound public policy)</w:t>
      </w:r>
      <w:r w:rsidR="002475E2">
        <w:t>.</w:t>
      </w:r>
    </w:p>
  </w:footnote>
  <w:footnote w:id="8">
    <w:p w:rsidR="00B77F84" w:rsidRPr="00CF6224">
      <w:pPr>
        <w:pStyle w:val="FootnoteText"/>
      </w:pPr>
      <w:r w:rsidRPr="00CF6224">
        <w:rPr>
          <w:rStyle w:val="FootnoteReference"/>
        </w:rPr>
        <w:footnoteRef/>
      </w:r>
      <w:r w:rsidRPr="00CF6224">
        <w:t xml:space="preserve"> </w:t>
      </w:r>
      <w:r w:rsidRPr="00CF6224">
        <w:rPr>
          <w:i/>
        </w:rPr>
        <w:t>In re Ohio Edison Co.</w:t>
      </w:r>
      <w:r w:rsidRPr="00CF6224">
        <w:t xml:space="preserve">, 158 Ohio St.3d 27, 37 (2019) (Donnelly, dissenting in part and concurring in judgment only) (citing </w:t>
      </w:r>
      <w:r w:rsidRPr="00CF6224">
        <w:rPr>
          <w:i/>
        </w:rPr>
        <w:t>MCI Telecommunications Corp. v. PUCO</w:t>
      </w:r>
      <w:r w:rsidRPr="00CF6224">
        <w:t>, 32 Ohio St.3d 306, 311-12 (1987).</w:t>
      </w:r>
    </w:p>
  </w:footnote>
  <w:footnote w:id="9">
    <w:p w:rsidR="00B77F84" w:rsidRPr="00CF6224">
      <w:pPr>
        <w:pStyle w:val="FootnoteText"/>
      </w:pPr>
      <w:r w:rsidRPr="00CF6224">
        <w:rPr>
          <w:rStyle w:val="FootnoteReference"/>
        </w:rPr>
        <w:footnoteRef/>
      </w:r>
      <w:r w:rsidRPr="00CF6224">
        <w:t xml:space="preserve"> </w:t>
      </w:r>
      <w:r w:rsidRPr="00CF6224">
        <w:rPr>
          <w:i/>
        </w:rPr>
        <w:t>Id.</w:t>
      </w:r>
    </w:p>
  </w:footnote>
  <w:footnote w:id="10">
    <w:p w:rsidR="00B77F84" w:rsidRPr="00CF6224">
      <w:pPr>
        <w:pStyle w:val="FootnoteText"/>
      </w:pPr>
      <w:r w:rsidRPr="00CF6224">
        <w:rPr>
          <w:rStyle w:val="FootnoteReference"/>
        </w:rPr>
        <w:footnoteRef/>
      </w:r>
      <w:r w:rsidRPr="00CF6224">
        <w:t xml:space="preserve"> </w:t>
      </w:r>
      <w:r w:rsidRPr="00CF6224">
        <w:rPr>
          <w:i/>
        </w:rPr>
        <w:t>Cleveland Elec. Illuminating Co. v. PUCO</w:t>
      </w:r>
      <w:r w:rsidRPr="00CF6224">
        <w:t>, 42 Ohio St.2d 403, 431 (1975).</w:t>
      </w:r>
    </w:p>
  </w:footnote>
  <w:footnote w:id="11">
    <w:p w:rsidR="00B77F84" w:rsidRPr="00CF6224">
      <w:pPr>
        <w:pStyle w:val="FootnoteText"/>
      </w:pPr>
      <w:r w:rsidRPr="00CF6224">
        <w:rPr>
          <w:rStyle w:val="FootnoteReference"/>
        </w:rPr>
        <w:footnoteRef/>
      </w:r>
      <w:r w:rsidRPr="00CF6224">
        <w:t xml:space="preserve"> </w:t>
      </w:r>
      <w:r w:rsidRPr="00CF6224">
        <w:rPr>
          <w:i/>
        </w:rPr>
        <w:t>Id.</w:t>
      </w:r>
    </w:p>
  </w:footnote>
  <w:footnote w:id="12">
    <w:p w:rsidR="00B77F84" w:rsidRPr="00CF6224">
      <w:pPr>
        <w:pStyle w:val="FootnoteText"/>
      </w:pPr>
      <w:r w:rsidRPr="00CF6224">
        <w:rPr>
          <w:rStyle w:val="FootnoteReference"/>
        </w:rPr>
        <w:footnoteRef/>
      </w:r>
      <w:r w:rsidRPr="00CF6224">
        <w:t xml:space="preserve"> </w:t>
      </w:r>
      <w:r w:rsidRPr="00CF6224">
        <w:rPr>
          <w:i/>
        </w:rPr>
        <w:t>In re Ohio Power Co.</w:t>
      </w:r>
      <w:r w:rsidRPr="00CF6224">
        <w:t>, 144 Ohio St</w:t>
      </w:r>
      <w:r w:rsidR="002D5FB3">
        <w:t>.</w:t>
      </w:r>
      <w:r w:rsidRPr="00CF6224">
        <w:t>3d 1, 5 (2015).</w:t>
      </w:r>
    </w:p>
  </w:footnote>
  <w:footnote w:id="13">
    <w:p w:rsidR="00B77F84" w:rsidRPr="00CF6224" w:rsidP="00F248AF">
      <w:pPr>
        <w:pStyle w:val="FootnoteText"/>
      </w:pPr>
      <w:r w:rsidRPr="00CF6224">
        <w:rPr>
          <w:rStyle w:val="FootnoteReference"/>
        </w:rPr>
        <w:footnoteRef/>
      </w:r>
      <w:r w:rsidRPr="00CF6224">
        <w:t xml:space="preserve"> </w:t>
      </w:r>
      <w:r w:rsidRPr="00CF6224">
        <w:rPr>
          <w:i/>
        </w:rPr>
        <w:t>Id.</w:t>
      </w:r>
      <w:r w:rsidRPr="00CF6224">
        <w:t xml:space="preserve"> at 5 (quoting </w:t>
      </w:r>
      <w:r w:rsidRPr="00CF6224">
        <w:rPr>
          <w:i/>
        </w:rPr>
        <w:t>In re Application of Columbus S. Power Co.</w:t>
      </w:r>
      <w:r w:rsidRPr="00CF6224">
        <w:t>, 128 Ohio St.3d 512 (2011)).</w:t>
      </w:r>
    </w:p>
  </w:footnote>
  <w:footnote w:id="14">
    <w:p w:rsidR="00B77F84" w:rsidRPr="00CF6224" w:rsidP="000B193E">
      <w:pPr>
        <w:pStyle w:val="FootnoteText"/>
      </w:pPr>
      <w:r w:rsidRPr="00CF6224">
        <w:rPr>
          <w:rStyle w:val="FootnoteReference"/>
        </w:rPr>
        <w:footnoteRef/>
      </w:r>
      <w:r w:rsidRPr="00CF6224">
        <w:t xml:space="preserve"> </w:t>
      </w:r>
      <w:r w:rsidRPr="00CF6224">
        <w:rPr>
          <w:i/>
          <w:iCs/>
        </w:rPr>
        <w:t xml:space="preserve">See </w:t>
      </w:r>
      <w:r w:rsidRPr="00CF6224">
        <w:t>Comments of Energy Harbor LLC at 2-3 (Apr</w:t>
      </w:r>
      <w:r w:rsidRPr="00CF6224" w:rsidR="00CF6224">
        <w:t>.</w:t>
      </w:r>
      <w:r w:rsidRPr="00CF6224">
        <w:t xml:space="preserve"> 16, 2020).</w:t>
      </w:r>
    </w:p>
  </w:footnote>
  <w:footnote w:id="15">
    <w:p w:rsidR="00B77F84" w:rsidRPr="00CF6224">
      <w:pPr>
        <w:pStyle w:val="FootnoteText"/>
      </w:pPr>
      <w:r w:rsidRPr="00CF6224">
        <w:rPr>
          <w:rStyle w:val="FootnoteReference"/>
        </w:rPr>
        <w:footnoteRef/>
      </w:r>
      <w:r w:rsidRPr="00CF6224">
        <w:t xml:space="preserve"> </w:t>
      </w:r>
      <w:r w:rsidRPr="00CF6224">
        <w:rPr>
          <w:i/>
        </w:rPr>
        <w:t xml:space="preserve">See </w:t>
      </w:r>
      <w:hyperlink r:id="rId2" w:history="1">
        <w:r w:rsidRPr="00CF6224">
          <w:rPr>
            <w:rStyle w:val="Hyperlink"/>
          </w:rPr>
          <w:t>https://www.dispatch.com/news/20200802/how-fbi-says-larry-householder-plotted-return-to-power-with-utility-companyrsquos-support</w:t>
        </w:r>
      </w:hyperlink>
      <w:r w:rsidRPr="00CF6224">
        <w:rPr>
          <w:i/>
        </w:rPr>
        <w:t>.</w:t>
      </w:r>
    </w:p>
  </w:footnote>
  <w:footnote w:id="16">
    <w:p w:rsidR="00B77F84" w:rsidRPr="00CF6224">
      <w:pPr>
        <w:pStyle w:val="FootnoteText"/>
      </w:pPr>
      <w:r w:rsidRPr="00CF6224">
        <w:rPr>
          <w:rStyle w:val="FootnoteReference"/>
        </w:rPr>
        <w:footnoteRef/>
      </w:r>
      <w:r w:rsidRPr="00CF6224">
        <w:t xml:space="preserve"> Order ¶ 34.</w:t>
      </w:r>
    </w:p>
  </w:footnote>
  <w:footnote w:id="17">
    <w:p w:rsidR="00B77F84" w:rsidRPr="00CF6224">
      <w:pPr>
        <w:pStyle w:val="FootnoteText"/>
      </w:pPr>
      <w:r w:rsidRPr="00CF6224">
        <w:rPr>
          <w:rStyle w:val="FootnoteReference"/>
        </w:rPr>
        <w:footnoteRef/>
      </w:r>
      <w:r w:rsidRPr="00CF6224">
        <w:t xml:space="preserve"> Order ¶ 34.</w:t>
      </w:r>
    </w:p>
  </w:footnote>
  <w:footnote w:id="18">
    <w:p w:rsidR="00B77F84" w:rsidRPr="00CF6224">
      <w:pPr>
        <w:pStyle w:val="FootnoteText"/>
      </w:pPr>
      <w:r w:rsidRPr="00CF6224">
        <w:rPr>
          <w:rStyle w:val="FootnoteReference"/>
        </w:rPr>
        <w:footnoteRef/>
      </w:r>
      <w:r w:rsidRPr="00CF6224">
        <w:t xml:space="preserve"> Case No. 14-1297-EL-SSO, Opinion &amp; Order (Mar. 31, 2016).</w:t>
      </w:r>
    </w:p>
  </w:footnote>
  <w:footnote w:id="19">
    <w:p w:rsidR="00B77F84" w:rsidRPr="00CF6224">
      <w:pPr>
        <w:pStyle w:val="FootnoteText"/>
      </w:pPr>
      <w:r w:rsidRPr="00CF6224">
        <w:rPr>
          <w:rStyle w:val="FootnoteReference"/>
        </w:rPr>
        <w:footnoteRef/>
      </w:r>
      <w:r w:rsidRPr="00CF6224">
        <w:t xml:space="preserve"> Case No. 16-1852-EL-SSO, Opinion &amp; Order (Apr. 25, 2018).</w:t>
      </w:r>
    </w:p>
  </w:footnote>
  <w:footnote w:id="20">
    <w:p w:rsidR="00B77F84" w:rsidRPr="00CF6224">
      <w:pPr>
        <w:pStyle w:val="FootnoteText"/>
      </w:pPr>
      <w:r w:rsidRPr="00CF6224">
        <w:rPr>
          <w:rStyle w:val="FootnoteReference"/>
        </w:rPr>
        <w:footnoteRef/>
      </w:r>
      <w:r w:rsidRPr="00CF6224">
        <w:t xml:space="preserve"> Case No. 17-1263-EL-SSO, Opinion &amp; Order (Dec. 19, 2018).</w:t>
      </w:r>
    </w:p>
  </w:footnote>
  <w:footnote w:id="21">
    <w:p w:rsidR="00B77F84" w:rsidRPr="00CF6224">
      <w:pPr>
        <w:pStyle w:val="FootnoteText"/>
      </w:pPr>
      <w:r w:rsidRPr="00CF6224">
        <w:rPr>
          <w:rStyle w:val="FootnoteReference"/>
        </w:rPr>
        <w:footnoteRef/>
      </w:r>
      <w:r w:rsidRPr="00CF6224">
        <w:t xml:space="preserve"> Case No. 08-1094-EL-SSO, Second Finding &amp; Order (Dec. 18, 2019) (continuing DP&amp;L’s current SSO auction process after DP&amp;L withdrew its third electric security plan and reverted to its first electric security plan).</w:t>
      </w:r>
    </w:p>
  </w:footnote>
  <w:footnote w:id="22">
    <w:p w:rsidR="00B77F84" w:rsidRPr="00CF6224">
      <w:pPr>
        <w:pStyle w:val="FootnoteText"/>
      </w:pPr>
      <w:r w:rsidRPr="00CF6224">
        <w:rPr>
          <w:rStyle w:val="FootnoteReference"/>
        </w:rPr>
        <w:footnoteRef/>
      </w:r>
      <w:r w:rsidRPr="00CF6224">
        <w:t xml:space="preserve"> </w:t>
      </w:r>
      <w:r w:rsidRPr="00CF6224">
        <w:rPr>
          <w:i/>
        </w:rPr>
        <w:t>See</w:t>
      </w:r>
      <w:r w:rsidRPr="00CF6224">
        <w:t xml:space="preserve"> </w:t>
      </w:r>
      <w:hyperlink r:id="rId3" w:history="1">
        <w:r w:rsidRPr="00CF6224">
          <w:rPr>
            <w:rStyle w:val="Hyperlink"/>
          </w:rPr>
          <w:t>https://www.pjm.com/-/media/markets-ops/rpm/rpm-auction-info/2021-2022/2021-2022-base-residual-auction-report.ashx</w:t>
        </w:r>
      </w:hyperlink>
      <w:r w:rsidRPr="00CF6224">
        <w:t>.</w:t>
      </w:r>
    </w:p>
  </w:footnote>
  <w:footnote w:id="23">
    <w:p w:rsidR="00B77F84" w:rsidRPr="00CF6224">
      <w:pPr>
        <w:pStyle w:val="FootnoteText"/>
      </w:pPr>
      <w:r w:rsidRPr="00CF6224">
        <w:rPr>
          <w:rStyle w:val="FootnoteReference"/>
        </w:rPr>
        <w:footnoteRef/>
      </w:r>
      <w:r w:rsidRPr="00CF6224">
        <w:t xml:space="preserve"> Order ¶ 35.</w:t>
      </w:r>
    </w:p>
  </w:footnote>
  <w:footnote w:id="24">
    <w:p w:rsidR="00B77F84" w:rsidRPr="00CF6224">
      <w:pPr>
        <w:pStyle w:val="FootnoteText"/>
      </w:pPr>
      <w:r w:rsidRPr="00CF6224">
        <w:rPr>
          <w:rStyle w:val="FootnoteReference"/>
        </w:rPr>
        <w:footnoteRef/>
      </w:r>
      <w:r w:rsidRPr="00CF6224">
        <w:t xml:space="preserve"> Order ¶ 35.</w:t>
      </w:r>
    </w:p>
  </w:footnote>
  <w:footnote w:id="25">
    <w:p w:rsidR="00B77F84" w:rsidRPr="00CF6224">
      <w:pPr>
        <w:pStyle w:val="FootnoteText"/>
      </w:pPr>
      <w:r w:rsidRPr="00CF6224">
        <w:rPr>
          <w:rStyle w:val="FootnoteReference"/>
        </w:rPr>
        <w:footnoteRef/>
      </w:r>
      <w:r w:rsidRPr="00CF6224">
        <w:t xml:space="preserve"> Order ¶ 35.</w:t>
      </w:r>
    </w:p>
  </w:footnote>
  <w:footnote w:id="26">
    <w:p w:rsidR="00B77F84" w:rsidRPr="00CF6224">
      <w:pPr>
        <w:pStyle w:val="FootnoteText"/>
      </w:pPr>
      <w:r w:rsidRPr="00CF6224">
        <w:rPr>
          <w:rStyle w:val="FootnoteReference"/>
        </w:rPr>
        <w:footnoteRef/>
      </w:r>
      <w:r w:rsidRPr="00CF6224">
        <w:t xml:space="preserve"> </w:t>
      </w:r>
      <w:r w:rsidRPr="00CF6224">
        <w:rPr>
          <w:i/>
        </w:rPr>
        <w:t>See</w:t>
      </w:r>
      <w:r w:rsidRPr="00CF6224">
        <w:t xml:space="preserve"> </w:t>
      </w:r>
      <w:hyperlink r:id="rId4" w:history="1">
        <w:r w:rsidRPr="00CF6224">
          <w:rPr>
            <w:rStyle w:val="Hyperlink"/>
          </w:rPr>
          <w:t>https://www.pjm.com/-/media/markets-ops/rpm/rpm-auction-info/rpm-auctions-resource-clearing-price-summary.ashx?la=en</w:t>
        </w:r>
      </w:hyperlink>
      <w:r w:rsidRPr="00CF6224">
        <w:t xml:space="preserve">. </w:t>
      </w:r>
    </w:p>
  </w:footnote>
  <w:footnote w:id="27">
    <w:p w:rsidR="00B77F84" w:rsidRPr="00CF6224">
      <w:pPr>
        <w:pStyle w:val="FootnoteText"/>
      </w:pPr>
      <w:r w:rsidRPr="00CF6224">
        <w:rPr>
          <w:rStyle w:val="FootnoteReference"/>
        </w:rPr>
        <w:footnoteRef/>
      </w:r>
      <w:r w:rsidRPr="00CF6224">
        <w:t xml:space="preserve"> Order ¶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4CECB6"/>
    <w:lvl w:ilvl="0">
      <w:start w:val="1"/>
      <w:numFmt w:val="decimal"/>
      <w:lvlText w:val="%1."/>
      <w:lvlJc w:val="left"/>
      <w:pPr>
        <w:tabs>
          <w:tab w:val="num" w:pos="1440"/>
        </w:tabs>
        <w:ind w:left="1440" w:hanging="360"/>
      </w:pPr>
    </w:lvl>
  </w:abstractNum>
  <w:abstractNum w:abstractNumId="1">
    <w:nsid w:val="FFFFFF7D"/>
    <w:multiLevelType w:val="singleLevel"/>
    <w:tmpl w:val="95649394"/>
    <w:lvl w:ilvl="0">
      <w:start w:val="1"/>
      <w:numFmt w:val="decimal"/>
      <w:lvlText w:val="%1."/>
      <w:lvlJc w:val="left"/>
      <w:pPr>
        <w:tabs>
          <w:tab w:val="num" w:pos="1440"/>
        </w:tabs>
        <w:ind w:left="1440" w:hanging="360"/>
      </w:pPr>
    </w:lvl>
  </w:abstractNum>
  <w:abstractNum w:abstractNumId="2">
    <w:nsid w:val="FFFFFF7E"/>
    <w:multiLevelType w:val="singleLevel"/>
    <w:tmpl w:val="42CE420E"/>
    <w:lvl w:ilvl="0">
      <w:start w:val="1"/>
      <w:numFmt w:val="decimal"/>
      <w:lvlText w:val="%1."/>
      <w:lvlJc w:val="left"/>
      <w:pPr>
        <w:tabs>
          <w:tab w:val="num" w:pos="1080"/>
        </w:tabs>
        <w:ind w:left="1080" w:hanging="360"/>
      </w:pPr>
    </w:lvl>
  </w:abstractNum>
  <w:abstractNum w:abstractNumId="3">
    <w:nsid w:val="FFFFFF7F"/>
    <w:multiLevelType w:val="singleLevel"/>
    <w:tmpl w:val="0BB68282"/>
    <w:lvl w:ilvl="0">
      <w:start w:val="1"/>
      <w:numFmt w:val="decimal"/>
      <w:lvlText w:val="%1."/>
      <w:lvlJc w:val="left"/>
      <w:pPr>
        <w:tabs>
          <w:tab w:val="num" w:pos="720"/>
        </w:tabs>
        <w:ind w:left="720" w:hanging="360"/>
      </w:pPr>
    </w:lvl>
  </w:abstractNum>
  <w:abstractNum w:abstractNumId="4">
    <w:nsid w:val="FFFFFF80"/>
    <w:multiLevelType w:val="singleLevel"/>
    <w:tmpl w:val="98F80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9C72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481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AE22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E569810"/>
    <w:lvl w:ilvl="0">
      <w:start w:val="1"/>
      <w:numFmt w:val="decimal"/>
      <w:lvlText w:val="%1."/>
      <w:lvlJc w:val="left"/>
      <w:pPr>
        <w:tabs>
          <w:tab w:val="num" w:pos="360"/>
        </w:tabs>
        <w:ind w:left="360" w:hanging="360"/>
      </w:pPr>
    </w:lvl>
  </w:abstractNum>
  <w:abstractNum w:abstractNumId="9">
    <w:nsid w:val="FFFFFF89"/>
    <w:multiLevelType w:val="singleLevel"/>
    <w:tmpl w:val="1548EE38"/>
    <w:lvl w:ilvl="0">
      <w:start w:val="1"/>
      <w:numFmt w:val="bullet"/>
      <w:lvlText w:val=""/>
      <w:lvlJc w:val="left"/>
      <w:pPr>
        <w:tabs>
          <w:tab w:val="num" w:pos="360"/>
        </w:tabs>
        <w:ind w:left="360" w:hanging="360"/>
      </w:pPr>
      <w:rPr>
        <w:rFonts w:ascii="Symbol" w:hAnsi="Symbol" w:hint="default"/>
      </w:rPr>
    </w:lvl>
  </w:abstractNum>
  <w:abstractNum w:abstractNumId="10">
    <w:nsid w:val="08EB4F95"/>
    <w:multiLevelType w:val="hybridMultilevel"/>
    <w:tmpl w:val="289A0DB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A116718"/>
    <w:multiLevelType w:val="hybridMultilevel"/>
    <w:tmpl w:val="430A50C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F80267"/>
    <w:multiLevelType w:val="hybridMultilevel"/>
    <w:tmpl w:val="A246F39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FB000A"/>
    <w:multiLevelType w:val="hybridMultilevel"/>
    <w:tmpl w:val="9894D54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885253"/>
    <w:multiLevelType w:val="hybridMultilevel"/>
    <w:tmpl w:val="B39AACB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7357091"/>
    <w:multiLevelType w:val="hybridMultilevel"/>
    <w:tmpl w:val="C8E47F50"/>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01E5635"/>
    <w:multiLevelType w:val="hybridMultilevel"/>
    <w:tmpl w:val="F2124F6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28F5B88"/>
    <w:multiLevelType w:val="hybridMultilevel"/>
    <w:tmpl w:val="19F8A63A"/>
    <w:lvl w:ilvl="0">
      <w:start w:val="1"/>
      <w:numFmt w:val="upperLetter"/>
      <w:lvlText w:val="%1."/>
      <w:lvlJc w:val="left"/>
      <w:pPr>
        <w:ind w:left="1080" w:hanging="360"/>
      </w:pPr>
      <w:rPr>
        <w:rFonts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5121ED3"/>
    <w:multiLevelType w:val="hybridMultilevel"/>
    <w:tmpl w:val="B8042666"/>
    <w:lvl w:ilvl="0">
      <w:start w:val="1"/>
      <w:numFmt w:val="upperLetter"/>
      <w:lvlText w:val="%1."/>
      <w:lvlJc w:val="left"/>
      <w:pPr>
        <w:ind w:left="65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6AF047BB"/>
    <w:multiLevelType w:val="hybridMultilevel"/>
    <w:tmpl w:val="6860841C"/>
    <w:lvl w:ilvl="0">
      <w:start w:val="1"/>
      <w:numFmt w:val="upp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33156C"/>
    <w:multiLevelType w:val="hybridMultilevel"/>
    <w:tmpl w:val="B6009F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9"/>
  </w:num>
  <w:num w:numId="2">
    <w:abstractNumId w:val="18"/>
  </w:num>
  <w:num w:numId="3">
    <w:abstractNumId w:val="23"/>
  </w:num>
  <w:num w:numId="4">
    <w:abstractNumId w:val="20"/>
  </w:num>
  <w:num w:numId="5">
    <w:abstractNumId w:val="12"/>
  </w:num>
  <w:num w:numId="6">
    <w:abstractNumId w:val="26"/>
  </w:num>
  <w:num w:numId="7">
    <w:abstractNumId w:val="14"/>
  </w:num>
  <w:num w:numId="8">
    <w:abstractNumId w:val="17"/>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3"/>
  </w:num>
  <w:num w:numId="22">
    <w:abstractNumId w:val="10"/>
  </w:num>
  <w:num w:numId="23">
    <w:abstractNumId w:val="24"/>
  </w:num>
  <w:num w:numId="24">
    <w:abstractNumId w:val="11"/>
  </w:num>
  <w:num w:numId="25">
    <w:abstractNumId w:val="16"/>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2A4912"/>
    <w:rsid w:val="00003F68"/>
    <w:rsid w:val="00005048"/>
    <w:rsid w:val="00005193"/>
    <w:rsid w:val="00011094"/>
    <w:rsid w:val="000119C7"/>
    <w:rsid w:val="0001273A"/>
    <w:rsid w:val="00013F4A"/>
    <w:rsid w:val="000143F8"/>
    <w:rsid w:val="00017976"/>
    <w:rsid w:val="00023C41"/>
    <w:rsid w:val="000247EB"/>
    <w:rsid w:val="000265F0"/>
    <w:rsid w:val="000304AA"/>
    <w:rsid w:val="00030B61"/>
    <w:rsid w:val="000338E4"/>
    <w:rsid w:val="0004389B"/>
    <w:rsid w:val="0004627B"/>
    <w:rsid w:val="00057257"/>
    <w:rsid w:val="0007145B"/>
    <w:rsid w:val="00083BA1"/>
    <w:rsid w:val="00083C3A"/>
    <w:rsid w:val="00084E88"/>
    <w:rsid w:val="000874C3"/>
    <w:rsid w:val="00090566"/>
    <w:rsid w:val="00094550"/>
    <w:rsid w:val="00097890"/>
    <w:rsid w:val="000A17BC"/>
    <w:rsid w:val="000A4E25"/>
    <w:rsid w:val="000A68B5"/>
    <w:rsid w:val="000B193E"/>
    <w:rsid w:val="000B1EF8"/>
    <w:rsid w:val="000B226C"/>
    <w:rsid w:val="000B432B"/>
    <w:rsid w:val="000B4A71"/>
    <w:rsid w:val="000B5BC7"/>
    <w:rsid w:val="000C3E1E"/>
    <w:rsid w:val="000D6E8B"/>
    <w:rsid w:val="000D6F7D"/>
    <w:rsid w:val="000E1261"/>
    <w:rsid w:val="000E1AE6"/>
    <w:rsid w:val="000E4A6D"/>
    <w:rsid w:val="000F4819"/>
    <w:rsid w:val="000F52B6"/>
    <w:rsid w:val="000F5416"/>
    <w:rsid w:val="000F74EB"/>
    <w:rsid w:val="000F7F46"/>
    <w:rsid w:val="001015C6"/>
    <w:rsid w:val="00104F9C"/>
    <w:rsid w:val="001125AB"/>
    <w:rsid w:val="00112C2C"/>
    <w:rsid w:val="00113710"/>
    <w:rsid w:val="00114D53"/>
    <w:rsid w:val="00114DC6"/>
    <w:rsid w:val="001160ED"/>
    <w:rsid w:val="001256C7"/>
    <w:rsid w:val="00130E2A"/>
    <w:rsid w:val="00130F5D"/>
    <w:rsid w:val="0013175A"/>
    <w:rsid w:val="00132D92"/>
    <w:rsid w:val="00133096"/>
    <w:rsid w:val="00140BDC"/>
    <w:rsid w:val="00140EE5"/>
    <w:rsid w:val="00150CDA"/>
    <w:rsid w:val="00150DBD"/>
    <w:rsid w:val="00154233"/>
    <w:rsid w:val="00154D67"/>
    <w:rsid w:val="001554D6"/>
    <w:rsid w:val="00157C4B"/>
    <w:rsid w:val="0016406F"/>
    <w:rsid w:val="0016572B"/>
    <w:rsid w:val="001670E0"/>
    <w:rsid w:val="001733EE"/>
    <w:rsid w:val="00174784"/>
    <w:rsid w:val="0017681D"/>
    <w:rsid w:val="0018167E"/>
    <w:rsid w:val="001868C2"/>
    <w:rsid w:val="00186959"/>
    <w:rsid w:val="00193BCF"/>
    <w:rsid w:val="00196172"/>
    <w:rsid w:val="00196A9E"/>
    <w:rsid w:val="00197671"/>
    <w:rsid w:val="001A15DC"/>
    <w:rsid w:val="001B4CED"/>
    <w:rsid w:val="001C3584"/>
    <w:rsid w:val="001C5CCD"/>
    <w:rsid w:val="001D051B"/>
    <w:rsid w:val="001D23DE"/>
    <w:rsid w:val="001D3653"/>
    <w:rsid w:val="001E102C"/>
    <w:rsid w:val="001E471D"/>
    <w:rsid w:val="001F3DF9"/>
    <w:rsid w:val="001F563B"/>
    <w:rsid w:val="001F7F4B"/>
    <w:rsid w:val="00201259"/>
    <w:rsid w:val="002024D0"/>
    <w:rsid w:val="0020336B"/>
    <w:rsid w:val="00210E65"/>
    <w:rsid w:val="00215A99"/>
    <w:rsid w:val="00220825"/>
    <w:rsid w:val="00220AA7"/>
    <w:rsid w:val="00222A84"/>
    <w:rsid w:val="00224D84"/>
    <w:rsid w:val="0022509A"/>
    <w:rsid w:val="00230F68"/>
    <w:rsid w:val="00231635"/>
    <w:rsid w:val="00241A42"/>
    <w:rsid w:val="002426B0"/>
    <w:rsid w:val="00246CDA"/>
    <w:rsid w:val="002475E2"/>
    <w:rsid w:val="002518D0"/>
    <w:rsid w:val="00253F65"/>
    <w:rsid w:val="002560B2"/>
    <w:rsid w:val="002603E6"/>
    <w:rsid w:val="002612A4"/>
    <w:rsid w:val="002715EA"/>
    <w:rsid w:val="00273FB5"/>
    <w:rsid w:val="002759E0"/>
    <w:rsid w:val="00276880"/>
    <w:rsid w:val="00277895"/>
    <w:rsid w:val="00280C93"/>
    <w:rsid w:val="00282F46"/>
    <w:rsid w:val="00285929"/>
    <w:rsid w:val="00286FC4"/>
    <w:rsid w:val="002910CE"/>
    <w:rsid w:val="00293597"/>
    <w:rsid w:val="00295F11"/>
    <w:rsid w:val="0029623A"/>
    <w:rsid w:val="002A2329"/>
    <w:rsid w:val="002A4912"/>
    <w:rsid w:val="002A6E8A"/>
    <w:rsid w:val="002A6FA5"/>
    <w:rsid w:val="002B1B2E"/>
    <w:rsid w:val="002C106E"/>
    <w:rsid w:val="002C4BE6"/>
    <w:rsid w:val="002C7CDD"/>
    <w:rsid w:val="002D3955"/>
    <w:rsid w:val="002D5FB3"/>
    <w:rsid w:val="002E0D81"/>
    <w:rsid w:val="002E1BCC"/>
    <w:rsid w:val="002E2D9E"/>
    <w:rsid w:val="002F0BD8"/>
    <w:rsid w:val="002F1813"/>
    <w:rsid w:val="002F7CFC"/>
    <w:rsid w:val="00300A45"/>
    <w:rsid w:val="00302789"/>
    <w:rsid w:val="00307DB1"/>
    <w:rsid w:val="0031163A"/>
    <w:rsid w:val="00313D50"/>
    <w:rsid w:val="0031697A"/>
    <w:rsid w:val="003177D6"/>
    <w:rsid w:val="00321A79"/>
    <w:rsid w:val="00322818"/>
    <w:rsid w:val="00327E3C"/>
    <w:rsid w:val="00355A7D"/>
    <w:rsid w:val="003663B9"/>
    <w:rsid w:val="003731D3"/>
    <w:rsid w:val="00373458"/>
    <w:rsid w:val="003837B6"/>
    <w:rsid w:val="003858DE"/>
    <w:rsid w:val="00386843"/>
    <w:rsid w:val="003951E8"/>
    <w:rsid w:val="003959A5"/>
    <w:rsid w:val="003971D8"/>
    <w:rsid w:val="003A118C"/>
    <w:rsid w:val="003A40B6"/>
    <w:rsid w:val="003A5894"/>
    <w:rsid w:val="003A7671"/>
    <w:rsid w:val="003B1EE4"/>
    <w:rsid w:val="003B23A3"/>
    <w:rsid w:val="003B2AFF"/>
    <w:rsid w:val="003B7A97"/>
    <w:rsid w:val="003C02EB"/>
    <w:rsid w:val="003C07EF"/>
    <w:rsid w:val="003C1FA6"/>
    <w:rsid w:val="003C2478"/>
    <w:rsid w:val="003C435B"/>
    <w:rsid w:val="003E439A"/>
    <w:rsid w:val="003E7176"/>
    <w:rsid w:val="003F3BC1"/>
    <w:rsid w:val="003F4EB0"/>
    <w:rsid w:val="003F5591"/>
    <w:rsid w:val="003F7317"/>
    <w:rsid w:val="003F7F05"/>
    <w:rsid w:val="00403659"/>
    <w:rsid w:val="0040468E"/>
    <w:rsid w:val="00404C83"/>
    <w:rsid w:val="00421737"/>
    <w:rsid w:val="00421CC1"/>
    <w:rsid w:val="00423741"/>
    <w:rsid w:val="00424354"/>
    <w:rsid w:val="0042567D"/>
    <w:rsid w:val="004327FB"/>
    <w:rsid w:val="0043537C"/>
    <w:rsid w:val="0044408E"/>
    <w:rsid w:val="00444213"/>
    <w:rsid w:val="0044523F"/>
    <w:rsid w:val="00447FEB"/>
    <w:rsid w:val="00451D1C"/>
    <w:rsid w:val="004533EE"/>
    <w:rsid w:val="004572AF"/>
    <w:rsid w:val="00457343"/>
    <w:rsid w:val="00462010"/>
    <w:rsid w:val="00463249"/>
    <w:rsid w:val="00472D6A"/>
    <w:rsid w:val="00475DBE"/>
    <w:rsid w:val="00480232"/>
    <w:rsid w:val="00494019"/>
    <w:rsid w:val="00494FB7"/>
    <w:rsid w:val="00495368"/>
    <w:rsid w:val="004957A4"/>
    <w:rsid w:val="00495B85"/>
    <w:rsid w:val="0049632D"/>
    <w:rsid w:val="004967CD"/>
    <w:rsid w:val="004A037D"/>
    <w:rsid w:val="004A39C0"/>
    <w:rsid w:val="004B1806"/>
    <w:rsid w:val="004B1E75"/>
    <w:rsid w:val="004C4F34"/>
    <w:rsid w:val="004C6C83"/>
    <w:rsid w:val="004C75DC"/>
    <w:rsid w:val="004D025C"/>
    <w:rsid w:val="004D307B"/>
    <w:rsid w:val="004D6DD7"/>
    <w:rsid w:val="004D7701"/>
    <w:rsid w:val="004E4361"/>
    <w:rsid w:val="004F2C59"/>
    <w:rsid w:val="004F4AE7"/>
    <w:rsid w:val="004F5201"/>
    <w:rsid w:val="004F6808"/>
    <w:rsid w:val="004F78B1"/>
    <w:rsid w:val="00502CE2"/>
    <w:rsid w:val="005051A6"/>
    <w:rsid w:val="00506898"/>
    <w:rsid w:val="00511156"/>
    <w:rsid w:val="0052062C"/>
    <w:rsid w:val="0052065C"/>
    <w:rsid w:val="00535E14"/>
    <w:rsid w:val="00541AB6"/>
    <w:rsid w:val="00541CD7"/>
    <w:rsid w:val="0054275F"/>
    <w:rsid w:val="00543835"/>
    <w:rsid w:val="00546E38"/>
    <w:rsid w:val="00551204"/>
    <w:rsid w:val="00552FFC"/>
    <w:rsid w:val="005552BA"/>
    <w:rsid w:val="005627D5"/>
    <w:rsid w:val="00566838"/>
    <w:rsid w:val="005728B6"/>
    <w:rsid w:val="0058302B"/>
    <w:rsid w:val="005873A4"/>
    <w:rsid w:val="00587ED3"/>
    <w:rsid w:val="00587F08"/>
    <w:rsid w:val="00591BE0"/>
    <w:rsid w:val="005929A0"/>
    <w:rsid w:val="00595B0C"/>
    <w:rsid w:val="00595D31"/>
    <w:rsid w:val="005977D4"/>
    <w:rsid w:val="00597B69"/>
    <w:rsid w:val="005A06C0"/>
    <w:rsid w:val="005A304E"/>
    <w:rsid w:val="005A35F7"/>
    <w:rsid w:val="005A5320"/>
    <w:rsid w:val="005B0356"/>
    <w:rsid w:val="005B679C"/>
    <w:rsid w:val="005C3308"/>
    <w:rsid w:val="005C6ED8"/>
    <w:rsid w:val="005D07BA"/>
    <w:rsid w:val="005D0DA5"/>
    <w:rsid w:val="005D0E65"/>
    <w:rsid w:val="005D3DDE"/>
    <w:rsid w:val="005D6922"/>
    <w:rsid w:val="005E2783"/>
    <w:rsid w:val="005E2B14"/>
    <w:rsid w:val="005E303A"/>
    <w:rsid w:val="005E524D"/>
    <w:rsid w:val="005E5386"/>
    <w:rsid w:val="005F5AB5"/>
    <w:rsid w:val="00601764"/>
    <w:rsid w:val="006032C3"/>
    <w:rsid w:val="0060359E"/>
    <w:rsid w:val="006100E2"/>
    <w:rsid w:val="0061021C"/>
    <w:rsid w:val="00613F30"/>
    <w:rsid w:val="006154BF"/>
    <w:rsid w:val="00622DFF"/>
    <w:rsid w:val="006358D0"/>
    <w:rsid w:val="00653FD1"/>
    <w:rsid w:val="00654B6E"/>
    <w:rsid w:val="006719BC"/>
    <w:rsid w:val="00676461"/>
    <w:rsid w:val="006811F4"/>
    <w:rsid w:val="00681CA7"/>
    <w:rsid w:val="00682C8D"/>
    <w:rsid w:val="00691CD6"/>
    <w:rsid w:val="00693E1A"/>
    <w:rsid w:val="00693EE2"/>
    <w:rsid w:val="0069673C"/>
    <w:rsid w:val="006C1D31"/>
    <w:rsid w:val="006C27E6"/>
    <w:rsid w:val="006C4F56"/>
    <w:rsid w:val="006C7380"/>
    <w:rsid w:val="006D0D3F"/>
    <w:rsid w:val="006D3BEF"/>
    <w:rsid w:val="006D6FB4"/>
    <w:rsid w:val="006E1C3F"/>
    <w:rsid w:val="006E6A76"/>
    <w:rsid w:val="006F135D"/>
    <w:rsid w:val="006F152B"/>
    <w:rsid w:val="00711F1F"/>
    <w:rsid w:val="007434C4"/>
    <w:rsid w:val="0074603A"/>
    <w:rsid w:val="0074719C"/>
    <w:rsid w:val="00755797"/>
    <w:rsid w:val="007563C1"/>
    <w:rsid w:val="007602F1"/>
    <w:rsid w:val="00760B9E"/>
    <w:rsid w:val="007636B3"/>
    <w:rsid w:val="007654A9"/>
    <w:rsid w:val="00772073"/>
    <w:rsid w:val="00776F2E"/>
    <w:rsid w:val="00785B37"/>
    <w:rsid w:val="00790EEC"/>
    <w:rsid w:val="0079147E"/>
    <w:rsid w:val="00794749"/>
    <w:rsid w:val="007A00ED"/>
    <w:rsid w:val="007A6E93"/>
    <w:rsid w:val="007B0122"/>
    <w:rsid w:val="007B2F12"/>
    <w:rsid w:val="007B3475"/>
    <w:rsid w:val="007B3716"/>
    <w:rsid w:val="007B43A0"/>
    <w:rsid w:val="007B5E68"/>
    <w:rsid w:val="007B7282"/>
    <w:rsid w:val="007D6CF3"/>
    <w:rsid w:val="007D7B6F"/>
    <w:rsid w:val="00801D1E"/>
    <w:rsid w:val="00802E08"/>
    <w:rsid w:val="0080458E"/>
    <w:rsid w:val="00805844"/>
    <w:rsid w:val="008245D4"/>
    <w:rsid w:val="008338B7"/>
    <w:rsid w:val="00835600"/>
    <w:rsid w:val="00836110"/>
    <w:rsid w:val="00836FD8"/>
    <w:rsid w:val="00846464"/>
    <w:rsid w:val="00846BDE"/>
    <w:rsid w:val="00856633"/>
    <w:rsid w:val="00860B22"/>
    <w:rsid w:val="00873FF9"/>
    <w:rsid w:val="00875CB3"/>
    <w:rsid w:val="00883D23"/>
    <w:rsid w:val="00884F92"/>
    <w:rsid w:val="008A089C"/>
    <w:rsid w:val="008A2BCE"/>
    <w:rsid w:val="008B356C"/>
    <w:rsid w:val="008B6E3F"/>
    <w:rsid w:val="008B73AA"/>
    <w:rsid w:val="008C17BE"/>
    <w:rsid w:val="008C2526"/>
    <w:rsid w:val="008C48CD"/>
    <w:rsid w:val="008C545A"/>
    <w:rsid w:val="008C552D"/>
    <w:rsid w:val="008C5CC0"/>
    <w:rsid w:val="008D325A"/>
    <w:rsid w:val="008D43A2"/>
    <w:rsid w:val="008F4490"/>
    <w:rsid w:val="008F70DE"/>
    <w:rsid w:val="0092250F"/>
    <w:rsid w:val="00923EA1"/>
    <w:rsid w:val="0092526E"/>
    <w:rsid w:val="009271E0"/>
    <w:rsid w:val="00933135"/>
    <w:rsid w:val="00933745"/>
    <w:rsid w:val="0093735A"/>
    <w:rsid w:val="009439C5"/>
    <w:rsid w:val="00951AE6"/>
    <w:rsid w:val="00957780"/>
    <w:rsid w:val="00967323"/>
    <w:rsid w:val="009704B5"/>
    <w:rsid w:val="0097465C"/>
    <w:rsid w:val="00977E8C"/>
    <w:rsid w:val="009848D1"/>
    <w:rsid w:val="009864E6"/>
    <w:rsid w:val="009879EF"/>
    <w:rsid w:val="009917E6"/>
    <w:rsid w:val="0099208C"/>
    <w:rsid w:val="009B1AE8"/>
    <w:rsid w:val="009B2B19"/>
    <w:rsid w:val="009B3AE9"/>
    <w:rsid w:val="009B46D1"/>
    <w:rsid w:val="009B538E"/>
    <w:rsid w:val="009C44F6"/>
    <w:rsid w:val="009C468B"/>
    <w:rsid w:val="009C6DF1"/>
    <w:rsid w:val="009C7645"/>
    <w:rsid w:val="009D1986"/>
    <w:rsid w:val="009D259F"/>
    <w:rsid w:val="009D28F3"/>
    <w:rsid w:val="009E0A24"/>
    <w:rsid w:val="009E2898"/>
    <w:rsid w:val="009E3A31"/>
    <w:rsid w:val="009E3B7F"/>
    <w:rsid w:val="009E4849"/>
    <w:rsid w:val="009E6E8F"/>
    <w:rsid w:val="00A044B5"/>
    <w:rsid w:val="00A05FF9"/>
    <w:rsid w:val="00A07F3D"/>
    <w:rsid w:val="00A10FE6"/>
    <w:rsid w:val="00A11375"/>
    <w:rsid w:val="00A11470"/>
    <w:rsid w:val="00A16450"/>
    <w:rsid w:val="00A240FF"/>
    <w:rsid w:val="00A25355"/>
    <w:rsid w:val="00A25358"/>
    <w:rsid w:val="00A273BF"/>
    <w:rsid w:val="00A277FB"/>
    <w:rsid w:val="00A515CD"/>
    <w:rsid w:val="00A702E3"/>
    <w:rsid w:val="00A71983"/>
    <w:rsid w:val="00A74385"/>
    <w:rsid w:val="00A74C15"/>
    <w:rsid w:val="00A85BB2"/>
    <w:rsid w:val="00A97BC6"/>
    <w:rsid w:val="00AA250C"/>
    <w:rsid w:val="00AA6F50"/>
    <w:rsid w:val="00AA740B"/>
    <w:rsid w:val="00AA7A61"/>
    <w:rsid w:val="00AB176E"/>
    <w:rsid w:val="00AB3B0E"/>
    <w:rsid w:val="00AB44D1"/>
    <w:rsid w:val="00AB572A"/>
    <w:rsid w:val="00AC4B9C"/>
    <w:rsid w:val="00AD4DA3"/>
    <w:rsid w:val="00AE600A"/>
    <w:rsid w:val="00AE7AF2"/>
    <w:rsid w:val="00AE7BE1"/>
    <w:rsid w:val="00AF0DE9"/>
    <w:rsid w:val="00AF6164"/>
    <w:rsid w:val="00B006F6"/>
    <w:rsid w:val="00B030CF"/>
    <w:rsid w:val="00B113F8"/>
    <w:rsid w:val="00B14281"/>
    <w:rsid w:val="00B15757"/>
    <w:rsid w:val="00B17CF6"/>
    <w:rsid w:val="00B227EC"/>
    <w:rsid w:val="00B23376"/>
    <w:rsid w:val="00B2539C"/>
    <w:rsid w:val="00B27C2C"/>
    <w:rsid w:val="00B326AC"/>
    <w:rsid w:val="00B34F90"/>
    <w:rsid w:val="00B35F39"/>
    <w:rsid w:val="00B44A6A"/>
    <w:rsid w:val="00B473A8"/>
    <w:rsid w:val="00B54179"/>
    <w:rsid w:val="00B54A89"/>
    <w:rsid w:val="00B56B22"/>
    <w:rsid w:val="00B571DB"/>
    <w:rsid w:val="00B57A65"/>
    <w:rsid w:val="00B67293"/>
    <w:rsid w:val="00B70D23"/>
    <w:rsid w:val="00B77C62"/>
    <w:rsid w:val="00B77DD5"/>
    <w:rsid w:val="00B77F84"/>
    <w:rsid w:val="00B814B4"/>
    <w:rsid w:val="00B8309A"/>
    <w:rsid w:val="00B87CF5"/>
    <w:rsid w:val="00B92DFC"/>
    <w:rsid w:val="00B94E84"/>
    <w:rsid w:val="00B97B15"/>
    <w:rsid w:val="00BA36B1"/>
    <w:rsid w:val="00BB1BC2"/>
    <w:rsid w:val="00BC110C"/>
    <w:rsid w:val="00BC18D0"/>
    <w:rsid w:val="00BD69F6"/>
    <w:rsid w:val="00BD6ABD"/>
    <w:rsid w:val="00BE2A88"/>
    <w:rsid w:val="00BE5711"/>
    <w:rsid w:val="00BF3FEC"/>
    <w:rsid w:val="00BF5895"/>
    <w:rsid w:val="00C04A16"/>
    <w:rsid w:val="00C20B2D"/>
    <w:rsid w:val="00C22BC0"/>
    <w:rsid w:val="00C2410B"/>
    <w:rsid w:val="00C25764"/>
    <w:rsid w:val="00C327D4"/>
    <w:rsid w:val="00C346E2"/>
    <w:rsid w:val="00C35890"/>
    <w:rsid w:val="00C36328"/>
    <w:rsid w:val="00C364B6"/>
    <w:rsid w:val="00C424F0"/>
    <w:rsid w:val="00C45578"/>
    <w:rsid w:val="00C47163"/>
    <w:rsid w:val="00C47762"/>
    <w:rsid w:val="00C512E8"/>
    <w:rsid w:val="00C5391A"/>
    <w:rsid w:val="00C544EC"/>
    <w:rsid w:val="00C5582B"/>
    <w:rsid w:val="00C56249"/>
    <w:rsid w:val="00C575DB"/>
    <w:rsid w:val="00C62EB4"/>
    <w:rsid w:val="00C6429F"/>
    <w:rsid w:val="00C66D1E"/>
    <w:rsid w:val="00C76244"/>
    <w:rsid w:val="00C7667D"/>
    <w:rsid w:val="00C76C92"/>
    <w:rsid w:val="00C8002E"/>
    <w:rsid w:val="00C805E6"/>
    <w:rsid w:val="00C84893"/>
    <w:rsid w:val="00C8568E"/>
    <w:rsid w:val="00C95ADD"/>
    <w:rsid w:val="00C97379"/>
    <w:rsid w:val="00CA17D4"/>
    <w:rsid w:val="00CB039C"/>
    <w:rsid w:val="00CB53B6"/>
    <w:rsid w:val="00CB6541"/>
    <w:rsid w:val="00CD39B1"/>
    <w:rsid w:val="00CD5574"/>
    <w:rsid w:val="00CD63CD"/>
    <w:rsid w:val="00CE12BF"/>
    <w:rsid w:val="00CE2675"/>
    <w:rsid w:val="00CE60C9"/>
    <w:rsid w:val="00CF3301"/>
    <w:rsid w:val="00CF60F2"/>
    <w:rsid w:val="00CF6224"/>
    <w:rsid w:val="00CF77A2"/>
    <w:rsid w:val="00D01700"/>
    <w:rsid w:val="00D038B9"/>
    <w:rsid w:val="00D0456F"/>
    <w:rsid w:val="00D10C68"/>
    <w:rsid w:val="00D1615C"/>
    <w:rsid w:val="00D17C62"/>
    <w:rsid w:val="00D21C4F"/>
    <w:rsid w:val="00D30181"/>
    <w:rsid w:val="00D30EB7"/>
    <w:rsid w:val="00D314F6"/>
    <w:rsid w:val="00D3556B"/>
    <w:rsid w:val="00D36CC0"/>
    <w:rsid w:val="00D43E0D"/>
    <w:rsid w:val="00D44EEC"/>
    <w:rsid w:val="00D44EF2"/>
    <w:rsid w:val="00D465EA"/>
    <w:rsid w:val="00D502C6"/>
    <w:rsid w:val="00D50E23"/>
    <w:rsid w:val="00D534F9"/>
    <w:rsid w:val="00D53DBA"/>
    <w:rsid w:val="00D573BF"/>
    <w:rsid w:val="00D64FE6"/>
    <w:rsid w:val="00D71200"/>
    <w:rsid w:val="00D71B90"/>
    <w:rsid w:val="00D849F6"/>
    <w:rsid w:val="00D90685"/>
    <w:rsid w:val="00D90EF8"/>
    <w:rsid w:val="00D95717"/>
    <w:rsid w:val="00DA3287"/>
    <w:rsid w:val="00DA52AC"/>
    <w:rsid w:val="00DA52E1"/>
    <w:rsid w:val="00DA6EDD"/>
    <w:rsid w:val="00DA7565"/>
    <w:rsid w:val="00DB7BF1"/>
    <w:rsid w:val="00DD4928"/>
    <w:rsid w:val="00DD7138"/>
    <w:rsid w:val="00DE032C"/>
    <w:rsid w:val="00DE09B3"/>
    <w:rsid w:val="00DE600D"/>
    <w:rsid w:val="00DF4519"/>
    <w:rsid w:val="00DF4683"/>
    <w:rsid w:val="00E00D85"/>
    <w:rsid w:val="00E01D72"/>
    <w:rsid w:val="00E13EE3"/>
    <w:rsid w:val="00E14FBC"/>
    <w:rsid w:val="00E20224"/>
    <w:rsid w:val="00E258AA"/>
    <w:rsid w:val="00E261DF"/>
    <w:rsid w:val="00E26B78"/>
    <w:rsid w:val="00E26D39"/>
    <w:rsid w:val="00E305B9"/>
    <w:rsid w:val="00E338CF"/>
    <w:rsid w:val="00E3421B"/>
    <w:rsid w:val="00E35680"/>
    <w:rsid w:val="00E36D01"/>
    <w:rsid w:val="00E41B11"/>
    <w:rsid w:val="00E44242"/>
    <w:rsid w:val="00E45C75"/>
    <w:rsid w:val="00E518F6"/>
    <w:rsid w:val="00E522CE"/>
    <w:rsid w:val="00E52C50"/>
    <w:rsid w:val="00E53D99"/>
    <w:rsid w:val="00E62086"/>
    <w:rsid w:val="00E65E2F"/>
    <w:rsid w:val="00E74BD2"/>
    <w:rsid w:val="00E7567B"/>
    <w:rsid w:val="00E75DBE"/>
    <w:rsid w:val="00E85399"/>
    <w:rsid w:val="00E91383"/>
    <w:rsid w:val="00E91475"/>
    <w:rsid w:val="00E93C18"/>
    <w:rsid w:val="00E948B0"/>
    <w:rsid w:val="00E96F4B"/>
    <w:rsid w:val="00E9763A"/>
    <w:rsid w:val="00EA20A5"/>
    <w:rsid w:val="00EB293C"/>
    <w:rsid w:val="00EB2B5B"/>
    <w:rsid w:val="00EC042C"/>
    <w:rsid w:val="00EC1068"/>
    <w:rsid w:val="00EC7EE3"/>
    <w:rsid w:val="00EE1981"/>
    <w:rsid w:val="00EE1B6D"/>
    <w:rsid w:val="00EE36F1"/>
    <w:rsid w:val="00EE7054"/>
    <w:rsid w:val="00EF120D"/>
    <w:rsid w:val="00EF16BC"/>
    <w:rsid w:val="00EF1C65"/>
    <w:rsid w:val="00EF3C60"/>
    <w:rsid w:val="00EF784D"/>
    <w:rsid w:val="00F02059"/>
    <w:rsid w:val="00F02896"/>
    <w:rsid w:val="00F058D9"/>
    <w:rsid w:val="00F06E10"/>
    <w:rsid w:val="00F07729"/>
    <w:rsid w:val="00F16238"/>
    <w:rsid w:val="00F178B4"/>
    <w:rsid w:val="00F21A4F"/>
    <w:rsid w:val="00F248AF"/>
    <w:rsid w:val="00F25036"/>
    <w:rsid w:val="00F25160"/>
    <w:rsid w:val="00F2718B"/>
    <w:rsid w:val="00F27BAC"/>
    <w:rsid w:val="00F304C9"/>
    <w:rsid w:val="00F3435F"/>
    <w:rsid w:val="00F36D1A"/>
    <w:rsid w:val="00F4206E"/>
    <w:rsid w:val="00F429C7"/>
    <w:rsid w:val="00F42F62"/>
    <w:rsid w:val="00F506F3"/>
    <w:rsid w:val="00F51B27"/>
    <w:rsid w:val="00F531E7"/>
    <w:rsid w:val="00F63C19"/>
    <w:rsid w:val="00F66CD3"/>
    <w:rsid w:val="00F67813"/>
    <w:rsid w:val="00F73BB4"/>
    <w:rsid w:val="00F75E00"/>
    <w:rsid w:val="00F76B8E"/>
    <w:rsid w:val="00F80A42"/>
    <w:rsid w:val="00F817EE"/>
    <w:rsid w:val="00F83AEB"/>
    <w:rsid w:val="00F91CC9"/>
    <w:rsid w:val="00F94D18"/>
    <w:rsid w:val="00FA58CE"/>
    <w:rsid w:val="00FA58F8"/>
    <w:rsid w:val="00FA6144"/>
    <w:rsid w:val="00FB0D1E"/>
    <w:rsid w:val="00FB204B"/>
    <w:rsid w:val="00FB2A43"/>
    <w:rsid w:val="00FB43B3"/>
    <w:rsid w:val="00FB6CFB"/>
    <w:rsid w:val="00FC122D"/>
    <w:rsid w:val="00FC12BB"/>
    <w:rsid w:val="00FC1B55"/>
    <w:rsid w:val="00FC26A0"/>
    <w:rsid w:val="00FD25D4"/>
    <w:rsid w:val="00FD5C1C"/>
    <w:rsid w:val="00FD649F"/>
    <w:rsid w:val="00FD712E"/>
    <w:rsid w:val="00FE04E5"/>
    <w:rsid w:val="00FE0EF5"/>
    <w:rsid w:val="00FE1F40"/>
    <w:rsid w:val="00FE4C99"/>
    <w:rsid w:val="00FE6039"/>
    <w:rsid w:val="00FF0FF4"/>
    <w:rsid w:val="00FF1D83"/>
    <w:rsid w:val="00FF40F2"/>
    <w:rsid w:val="00FF7A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76E"/>
    <w:rPr>
      <w:sz w:val="24"/>
    </w:rPr>
  </w:style>
  <w:style w:type="paragraph" w:styleId="Heading1">
    <w:name w:val="heading 1"/>
    <w:basedOn w:val="Normal"/>
    <w:next w:val="Normal"/>
    <w:autoRedefine/>
    <w:qFormat/>
    <w:rsid w:val="002F1813"/>
    <w:pPr>
      <w:keepNext/>
      <w:spacing w:after="240"/>
      <w:outlineLvl w:val="0"/>
    </w:pPr>
    <w:rPr>
      <w:b/>
      <w:caps/>
      <w:szCs w:val="24"/>
    </w:rPr>
  </w:style>
  <w:style w:type="paragraph" w:styleId="Heading2">
    <w:name w:val="heading 2"/>
    <w:basedOn w:val="Normal"/>
    <w:next w:val="Normal"/>
    <w:autoRedefine/>
    <w:qFormat/>
    <w:rsid w:val="009E2898"/>
    <w:pPr>
      <w:keepNext/>
      <w:keepLines/>
      <w:widowControl w:val="0"/>
      <w:spacing w:after="240"/>
      <w:ind w:left="720"/>
      <w:outlineLvl w:val="1"/>
    </w:pPr>
    <w:rPr>
      <w:b/>
      <w:bCs/>
      <w:szCs w:val="24"/>
    </w:rPr>
  </w:style>
  <w:style w:type="paragraph" w:styleId="Heading3">
    <w:name w:val="heading 3"/>
    <w:basedOn w:val="Normal"/>
    <w:next w:val="Normal"/>
    <w:qFormat/>
    <w:rsid w:val="00BD6ABD"/>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D6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BD6ABD"/>
    <w:pPr>
      <w:tabs>
        <w:tab w:val="center" w:pos="4320"/>
        <w:tab w:val="right" w:pos="8640"/>
      </w:tabs>
    </w:pPr>
    <w:rPr>
      <w:sz w:val="20"/>
    </w:rPr>
  </w:style>
  <w:style w:type="character" w:styleId="Hyperlink">
    <w:name w:val="Hyperlink"/>
    <w:uiPriority w:val="99"/>
    <w:rsid w:val="00BD6ABD"/>
    <w:rPr>
      <w:color w:val="0000FF"/>
      <w:u w:val="single"/>
    </w:rPr>
  </w:style>
  <w:style w:type="paragraph" w:styleId="FootnoteText">
    <w:name w:val="footnote text"/>
    <w:basedOn w:val="Normal"/>
    <w:link w:val="FootnoteTextChar"/>
    <w:uiPriority w:val="99"/>
    <w:rsid w:val="00250E2C"/>
    <w:pPr>
      <w:spacing w:after="120"/>
    </w:pPr>
    <w:rPr>
      <w:sz w:val="20"/>
    </w:rPr>
  </w:style>
  <w:style w:type="character" w:styleId="FootnoteReference">
    <w:name w:val="footnote reference"/>
    <w:uiPriority w:val="99"/>
    <w:semiHidden/>
    <w:rsid w:val="00BD6ABD"/>
    <w:rPr>
      <w:vertAlign w:val="superscript"/>
    </w:rPr>
  </w:style>
  <w:style w:type="paragraph" w:styleId="BodyTextIndent">
    <w:name w:val="Body Text Indent"/>
    <w:basedOn w:val="Normal"/>
    <w:link w:val="BodyTextIndentChar"/>
    <w:rsid w:val="00BD6ABD"/>
    <w:pPr>
      <w:spacing w:line="480" w:lineRule="auto"/>
      <w:ind w:firstLine="720"/>
    </w:pPr>
  </w:style>
  <w:style w:type="paragraph" w:styleId="BodyTextIndent3">
    <w:name w:val="Body Text Indent 3"/>
    <w:basedOn w:val="Normal"/>
    <w:link w:val="BodyTextIndent3Char"/>
    <w:rsid w:val="00BD6ABD"/>
    <w:pPr>
      <w:spacing w:line="480" w:lineRule="atLeast"/>
      <w:ind w:firstLine="720"/>
    </w:pPr>
  </w:style>
  <w:style w:type="paragraph" w:styleId="BodyTextIndent2">
    <w:name w:val="Body Text Indent 2"/>
    <w:basedOn w:val="Normal"/>
    <w:rsid w:val="00BD6ABD"/>
    <w:pPr>
      <w:tabs>
        <w:tab w:val="left" w:pos="720"/>
      </w:tabs>
      <w:spacing w:before="240" w:after="240"/>
      <w:ind w:left="1464" w:hanging="744"/>
    </w:pPr>
  </w:style>
  <w:style w:type="character" w:styleId="PageNumber">
    <w:name w:val="page number"/>
    <w:basedOn w:val="DefaultParagraphFont"/>
    <w:rsid w:val="00BD6ABD"/>
  </w:style>
  <w:style w:type="paragraph" w:styleId="BodyText">
    <w:name w:val="Body Text"/>
    <w:basedOn w:val="Normal"/>
    <w:link w:val="BodyTextChar"/>
    <w:rsid w:val="00BD6ABD"/>
    <w:pPr>
      <w:jc w:val="both"/>
    </w:pPr>
  </w:style>
  <w:style w:type="paragraph" w:styleId="BlockText">
    <w:name w:val="Block Text"/>
    <w:basedOn w:val="Normal"/>
    <w:rsid w:val="00BD6ABD"/>
    <w:pPr>
      <w:ind w:left="1440" w:right="720"/>
    </w:pPr>
  </w:style>
  <w:style w:type="paragraph" w:styleId="EndnoteText">
    <w:name w:val="endnote text"/>
    <w:basedOn w:val="Normal"/>
    <w:semiHidden/>
    <w:rsid w:val="00BD6ABD"/>
    <w:rPr>
      <w:sz w:val="20"/>
    </w:rPr>
  </w:style>
  <w:style w:type="character" w:styleId="EndnoteReference">
    <w:name w:val="endnote reference"/>
    <w:semiHidden/>
    <w:rsid w:val="00BD6ABD"/>
    <w:rPr>
      <w:vertAlign w:val="superscript"/>
    </w:rPr>
  </w:style>
  <w:style w:type="paragraph" w:styleId="BodyText2">
    <w:name w:val="Body Text 2"/>
    <w:basedOn w:val="Normal"/>
    <w:rsid w:val="00BD6ABD"/>
    <w:pPr>
      <w:spacing w:line="480" w:lineRule="auto"/>
      <w:ind w:right="1440"/>
    </w:pPr>
  </w:style>
  <w:style w:type="paragraph" w:styleId="Header">
    <w:name w:val="header"/>
    <w:basedOn w:val="Normal"/>
    <w:rsid w:val="00BD6ABD"/>
    <w:pPr>
      <w:tabs>
        <w:tab w:val="center" w:pos="4320"/>
        <w:tab w:val="right" w:pos="8640"/>
      </w:tabs>
    </w:pPr>
  </w:style>
  <w:style w:type="paragraph" w:styleId="BalloonText">
    <w:name w:val="Balloon Text"/>
    <w:basedOn w:val="Normal"/>
    <w:semiHidden/>
    <w:rsid w:val="00BD6ABD"/>
    <w:rPr>
      <w:rFonts w:ascii="Lucida Grande" w:hAnsi="Lucida Grande"/>
      <w:sz w:val="18"/>
      <w:szCs w:val="18"/>
    </w:rPr>
  </w:style>
  <w:style w:type="character" w:styleId="CommentReference">
    <w:name w:val="annotation reference"/>
    <w:semiHidden/>
    <w:rsid w:val="00BD6ABD"/>
    <w:rPr>
      <w:sz w:val="18"/>
    </w:rPr>
  </w:style>
  <w:style w:type="paragraph" w:styleId="CommentText">
    <w:name w:val="annotation text"/>
    <w:basedOn w:val="Normal"/>
    <w:semiHidden/>
    <w:rsid w:val="00BD6ABD"/>
    <w:rPr>
      <w:szCs w:val="24"/>
    </w:rPr>
  </w:style>
  <w:style w:type="paragraph" w:styleId="CommentSubject">
    <w:name w:val="annotation subject"/>
    <w:basedOn w:val="CommentText"/>
    <w:next w:val="CommentText"/>
    <w:semiHidden/>
    <w:rsid w:val="00BD6ABD"/>
    <w:rPr>
      <w:szCs w:val="20"/>
    </w:rPr>
  </w:style>
  <w:style w:type="character" w:styleId="FollowedHyperlink">
    <w:name w:val="FollowedHyperlink"/>
    <w:rsid w:val="00BD6ABD"/>
    <w:rPr>
      <w:color w:val="800080"/>
      <w:u w:val="single"/>
    </w:rPr>
  </w:style>
  <w:style w:type="character" w:customStyle="1" w:styleId="term1">
    <w:name w:val="term1"/>
    <w:rsid w:val="00BD6ABD"/>
    <w:rPr>
      <w:b/>
      <w:bCs/>
    </w:rPr>
  </w:style>
  <w:style w:type="table" w:styleId="TableGrid">
    <w:name w:val="Table Grid"/>
    <w:basedOn w:val="TableNormal"/>
    <w:uiPriority w:val="59"/>
    <w:rsid w:val="00BD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D6ABD"/>
    <w:pPr>
      <w:suppressAutoHyphens/>
      <w:spacing w:line="480" w:lineRule="atLeast"/>
      <w:ind w:firstLine="720"/>
    </w:pPr>
    <w:rPr>
      <w:lang w:eastAsia="ar-SA"/>
    </w:rPr>
  </w:style>
  <w:style w:type="character" w:customStyle="1" w:styleId="FootnoteTextChar">
    <w:name w:val="Footnote Text Char"/>
    <w:link w:val="FootnoteText"/>
    <w:uiPriority w:val="99"/>
    <w:locked/>
    <w:rsid w:val="00250E2C"/>
  </w:style>
  <w:style w:type="character" w:customStyle="1" w:styleId="UnresolvedMention1">
    <w:name w:val="Unresolved Mention1"/>
    <w:uiPriority w:val="99"/>
    <w:semiHidden/>
    <w:unhideWhenUsed/>
    <w:rsid w:val="00424354"/>
    <w:rPr>
      <w:color w:val="605E5C"/>
      <w:shd w:val="clear" w:color="auto" w:fill="E1DFDD"/>
    </w:rPr>
  </w:style>
  <w:style w:type="character" w:customStyle="1" w:styleId="BodyTextChar">
    <w:name w:val="Body Text Char"/>
    <w:link w:val="BodyText"/>
    <w:rsid w:val="00250E2C"/>
    <w:rPr>
      <w:sz w:val="24"/>
    </w:rPr>
  </w:style>
  <w:style w:type="character" w:customStyle="1" w:styleId="BodyTextIndentChar">
    <w:name w:val="Body Text Indent Char"/>
    <w:link w:val="BodyTextIndent"/>
    <w:rsid w:val="00250E2C"/>
    <w:rPr>
      <w:sz w:val="24"/>
    </w:rPr>
  </w:style>
  <w:style w:type="paragraph" w:styleId="ListParagraph">
    <w:name w:val="List Paragraph"/>
    <w:basedOn w:val="Normal"/>
    <w:uiPriority w:val="34"/>
    <w:qFormat/>
    <w:rsid w:val="005E2783"/>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AB176E"/>
    <w:rPr>
      <w:rFonts w:ascii="Courier New" w:eastAsia="Courier New" w:hAnsi="Courier New" w:cs="Courier New"/>
    </w:rPr>
  </w:style>
  <w:style w:type="character" w:customStyle="1" w:styleId="FooterChar">
    <w:name w:val="Footer Char"/>
    <w:basedOn w:val="DefaultParagraphFont"/>
    <w:link w:val="Footer"/>
    <w:uiPriority w:val="99"/>
    <w:rsid w:val="00AB176E"/>
  </w:style>
  <w:style w:type="character" w:customStyle="1" w:styleId="BodyTextIndent3Char">
    <w:name w:val="Body Text Indent 3 Char"/>
    <w:basedOn w:val="DefaultParagraphFont"/>
    <w:link w:val="BodyTextIndent3"/>
    <w:rsid w:val="00AB176E"/>
    <w:rPr>
      <w:sz w:val="24"/>
    </w:rPr>
  </w:style>
  <w:style w:type="paragraph" w:styleId="TOC1">
    <w:name w:val="toc 1"/>
    <w:basedOn w:val="Normal"/>
    <w:next w:val="Normal"/>
    <w:autoRedefine/>
    <w:uiPriority w:val="39"/>
    <w:rsid w:val="00C5582B"/>
    <w:pPr>
      <w:tabs>
        <w:tab w:val="decimal" w:leader="dot" w:pos="9360"/>
      </w:tabs>
      <w:spacing w:after="240"/>
      <w:ind w:left="720" w:hanging="720"/>
    </w:pPr>
    <w:rPr>
      <w:caps/>
    </w:rPr>
  </w:style>
  <w:style w:type="paragraph" w:styleId="TOC2">
    <w:name w:val="toc 2"/>
    <w:basedOn w:val="Normal"/>
    <w:next w:val="Normal"/>
    <w:autoRedefine/>
    <w:uiPriority w:val="39"/>
    <w:qFormat/>
    <w:rsid w:val="009E2898"/>
    <w:pPr>
      <w:tabs>
        <w:tab w:val="decimal" w:leader="dot" w:pos="9360"/>
      </w:tabs>
      <w:spacing w:after="240"/>
      <w:ind w:left="720"/>
    </w:pPr>
  </w:style>
  <w:style w:type="character" w:customStyle="1" w:styleId="UnresolvedMention2">
    <w:name w:val="Unresolved Mention2"/>
    <w:basedOn w:val="DefaultParagraphFont"/>
    <w:uiPriority w:val="99"/>
    <w:semiHidden/>
    <w:unhideWhenUsed/>
    <w:rsid w:val="00C327D4"/>
    <w:rPr>
      <w:color w:val="605E5C"/>
      <w:shd w:val="clear" w:color="auto" w:fill="E1DFDD"/>
    </w:rPr>
  </w:style>
  <w:style w:type="paragraph" w:customStyle="1" w:styleId="xmsonormal">
    <w:name w:val="x_msonormal"/>
    <w:basedOn w:val="Normal"/>
    <w:rsid w:val="000304AA"/>
    <w:pPr>
      <w:spacing w:before="100" w:beforeAutospacing="1" w:after="100" w:afterAutospacing="1"/>
    </w:pPr>
    <w:rPr>
      <w:szCs w:val="24"/>
      <w:lang w:eastAsia="zh-CN"/>
    </w:rPr>
  </w:style>
  <w:style w:type="character" w:customStyle="1" w:styleId="UnresolvedMention3">
    <w:name w:val="Unresolved Mention3"/>
    <w:basedOn w:val="DefaultParagraphFont"/>
    <w:uiPriority w:val="99"/>
    <w:semiHidden/>
    <w:unhideWhenUsed/>
    <w:rsid w:val="00494019"/>
    <w:rPr>
      <w:color w:val="605E5C"/>
      <w:shd w:val="clear" w:color="auto" w:fill="E1DFDD"/>
    </w:rPr>
  </w:style>
  <w:style w:type="character" w:customStyle="1" w:styleId="UnresolvedMention4">
    <w:name w:val="Unresolved Mention4"/>
    <w:basedOn w:val="DefaultParagraphFont"/>
    <w:uiPriority w:val="99"/>
    <w:semiHidden/>
    <w:unhideWhenUsed/>
    <w:rsid w:val="00DD7138"/>
    <w:rPr>
      <w:color w:val="605E5C"/>
      <w:shd w:val="clear" w:color="auto" w:fill="E1DFDD"/>
    </w:rPr>
  </w:style>
  <w:style w:type="character" w:customStyle="1" w:styleId="UnresolvedMention">
    <w:name w:val="Unresolved Mention"/>
    <w:basedOn w:val="DefaultParagraphFont"/>
    <w:rsid w:val="00D90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6.xml" /><Relationship Id="rId22" Type="http://schemas.openxmlformats.org/officeDocument/2006/relationships/footer" Target="footer9.xml" /><Relationship Id="rId23" Type="http://schemas.openxmlformats.org/officeDocument/2006/relationships/hyperlink" Target="mailto:Thomas.lindgren@ohioattoreygeneral.gov" TargetMode="External" /><Relationship Id="rId24" Type="http://schemas.openxmlformats.org/officeDocument/2006/relationships/hyperlink" Target="mailto:Steven.beeler@ohioattorneygeneral.gov" TargetMode="External" /><Relationship Id="rId25" Type="http://schemas.openxmlformats.org/officeDocument/2006/relationships/hyperlink" Target="mailto:Megan.addison@puco.ohio.gov" TargetMode="External" /><Relationship Id="rId26" Type="http://schemas.openxmlformats.org/officeDocument/2006/relationships/hyperlink" Target="mailto:Nicholas.walstra@puco.ohio.gov" TargetMode="External" /><Relationship Id="rId27" Type="http://schemas.openxmlformats.org/officeDocument/2006/relationships/hyperlink" Target="mailto:Lauren.augostini@puco.ohio.goc" TargetMode="External" /><Relationship Id="rId28" Type="http://schemas.openxmlformats.org/officeDocument/2006/relationships/hyperlink" Target="mailto:Patricia.schabo@puco.ohio.gov" TargetMode="External" /><Relationship Id="rId29" Type="http://schemas.openxmlformats.org/officeDocument/2006/relationships/hyperlink" Target="mailto:Gregory.price@puco.ohio.gov" TargetMode="External" /><Relationship Id="rId3" Type="http://schemas.openxmlformats.org/officeDocument/2006/relationships/webSettings" Target="webSettings.xml" /><Relationship Id="rId30" Type="http://schemas.openxmlformats.org/officeDocument/2006/relationships/hyperlink" Target="mailto:Sarah.parrot@puco.ohio.gov" TargetMode="External" /><Relationship Id="rId31" Type="http://schemas.openxmlformats.org/officeDocument/2006/relationships/hyperlink" Target="mailto:Greta.see@puco.ohio.gov" TargetMode="External" /><Relationship Id="rId32" Type="http://schemas.openxmlformats.org/officeDocument/2006/relationships/hyperlink" Target="mailto:Matthew.sandor@puco.ohio.gov" TargetMode="External" /><Relationship Id="rId33" Type="http://schemas.openxmlformats.org/officeDocument/2006/relationships/hyperlink" Target="mailto:Rocco.dascenzo@duke-energy.com" TargetMode="External" /><Relationship Id="rId34" Type="http://schemas.openxmlformats.org/officeDocument/2006/relationships/hyperlink" Target="mailto:Jeanne.kingery@duke-energy.com" TargetMode="External" /><Relationship Id="rId35" Type="http://schemas.openxmlformats.org/officeDocument/2006/relationships/hyperlink" Target="mailto:Larisa.vaysman@duke-energy.com" TargetMode="External" /><Relationship Id="rId36" Type="http://schemas.openxmlformats.org/officeDocument/2006/relationships/hyperlink" Target="mailto:Joe.oliker@igs.com" TargetMode="External" /><Relationship Id="rId37" Type="http://schemas.openxmlformats.org/officeDocument/2006/relationships/hyperlink" Target="mailto:Michael.nugent@igs.com" TargetMode="External" /><Relationship Id="rId38" Type="http://schemas.openxmlformats.org/officeDocument/2006/relationships/hyperlink" Target="mailto:Bethany.allen@igs.com" TargetMode="External" /><Relationship Id="rId39" Type="http://schemas.openxmlformats.org/officeDocument/2006/relationships/hyperlink" Target="mailto:talexander@calfee.co" TargetMode="External" /><Relationship Id="rId4" Type="http://schemas.openxmlformats.org/officeDocument/2006/relationships/fontTable" Target="fontTable.xml" /><Relationship Id="rId40" Type="http://schemas.openxmlformats.org/officeDocument/2006/relationships/hyperlink" Target="mailto:khehmeyer@calfee.com" TargetMode="External" /><Relationship Id="rId41" Type="http://schemas.openxmlformats.org/officeDocument/2006/relationships/hyperlink" Target="mailto:rendris@firstenergycorp.com" TargetMode="External" /><Relationship Id="rId42" Type="http://schemas.openxmlformats.org/officeDocument/2006/relationships/hyperlink" Target="mailto:mkurtz@BKLlawfirm.com" TargetMode="External" /><Relationship Id="rId43" Type="http://schemas.openxmlformats.org/officeDocument/2006/relationships/hyperlink" Target="mailto:kboehm@BKLlawfirm.com" TargetMode="External" /><Relationship Id="rId44" Type="http://schemas.openxmlformats.org/officeDocument/2006/relationships/hyperlink" Target="mailto:jkylercohn@BKLlawfirm.com" TargetMode="External" /><Relationship Id="rId45" Type="http://schemas.openxmlformats.org/officeDocument/2006/relationships/hyperlink" Target="mailto:Michael.schuler@aes.com" TargetMode="External" /><Relationship Id="rId46" Type="http://schemas.openxmlformats.org/officeDocument/2006/relationships/hyperlink" Target="mailto:stnourse@aep.com" TargetMode="External" /><Relationship Id="rId47" Type="http://schemas.openxmlformats.org/officeDocument/2006/relationships/hyperlink" Target="mailto:whitt@whitt-sturtevant.com" TargetMode="External" /><Relationship Id="rId48" Type="http://schemas.openxmlformats.org/officeDocument/2006/relationships/hyperlink" Target="mailto:fykes@whitt-sturtevant.com" TargetMode="External" /><Relationship Id="rId49" Type="http://schemas.openxmlformats.org/officeDocument/2006/relationships/hyperlink" Target="mailto:glpetrucci@vorys.com" TargetMode="External" /><Relationship Id="rId5" Type="http://schemas.openxmlformats.org/officeDocument/2006/relationships/customXml" Target="../customXml/item1.xml" /><Relationship Id="rId50" Type="http://schemas.openxmlformats.org/officeDocument/2006/relationships/header" Target="header7.xml" /><Relationship Id="rId51" Type="http://schemas.openxmlformats.org/officeDocument/2006/relationships/footer" Target="footer10.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legislature.ohio.gov/download?key=8111&amp;format=pdf" TargetMode="External" /><Relationship Id="rId2" Type="http://schemas.openxmlformats.org/officeDocument/2006/relationships/hyperlink" Target="https://www.dispatch.com/news/20200802/how-fbi-says-larry-householder-plotted-return-to-power-with-utility-companyrsquos-support" TargetMode="External" /><Relationship Id="rId3" Type="http://schemas.openxmlformats.org/officeDocument/2006/relationships/hyperlink" Target="https://www.pjm.com/-/media/markets-ops/rpm/rpm-auction-info/2021-2022/2021-2022-base-residual-auction-report.ashx" TargetMode="External" /><Relationship Id="rId4" Type="http://schemas.openxmlformats.org/officeDocument/2006/relationships/hyperlink" Target="https://www.pjm.com/-/media/markets-ops/rpm/rpm-auction-info/rpm-auctions-resource-clearing-price-summary.ashx?la=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A568-6219-4940-AEFF-37B12D29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SSO 16-776 AFR 8-6-20.mrw.dfs  (00146133.DOCX;1)</vt:lpstr>
    </vt:vector>
  </TitlesOfParts>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2020-08-14T13:31:37Z</dcterms:created>
  <dcterms:modified xsi:type="dcterms:W3CDTF">2020-08-14T13:31:37Z</dcterms:modified>
</cp:coreProperties>
</file>