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9FD">
        <w:rPr>
          <w:noProof/>
          <w:spacing w:val="-3"/>
          <w:sz w:val="24"/>
          <w:szCs w:val="24"/>
        </w:rPr>
        <w:t>November</w:t>
      </w:r>
      <w:r w:rsidR="006449FD">
        <w:rPr>
          <w:spacing w:val="-3"/>
          <w:sz w:val="24"/>
          <w:szCs w:val="24"/>
        </w:rPr>
        <w:t xml:space="preserve"> 5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D30454" w:rsidP="0064773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October 30</w:t>
      </w:r>
      <w:r w:rsidR="006449FD">
        <w:rPr>
          <w:rFonts w:ascii="Times New Roman" w:hAnsi="Times New Roman"/>
          <w:sz w:val="24"/>
          <w:szCs w:val="24"/>
        </w:rPr>
        <w:t xml:space="preserve">, 2013, the CME Group </w:t>
      </w:r>
      <w:r>
        <w:rPr>
          <w:rFonts w:ascii="Times New Roman" w:hAnsi="Times New Roman"/>
          <w:sz w:val="24"/>
          <w:szCs w:val="24"/>
        </w:rPr>
        <w:t>notified clearing brokers of</w:t>
      </w:r>
      <w:r w:rsidR="006449FD">
        <w:rPr>
          <w:rFonts w:ascii="Times New Roman" w:hAnsi="Times New Roman"/>
          <w:sz w:val="24"/>
          <w:szCs w:val="24"/>
        </w:rPr>
        <w:t xml:space="preserve"> a revision to the NYMEX settle price originally posted for November.  </w:t>
      </w:r>
      <w:r>
        <w:rPr>
          <w:rFonts w:ascii="Times New Roman" w:hAnsi="Times New Roman"/>
          <w:sz w:val="24"/>
          <w:szCs w:val="24"/>
        </w:rPr>
        <w:t>On November 4, 2013, t</w:t>
      </w:r>
      <w:r w:rsidR="006449FD">
        <w:rPr>
          <w:rFonts w:ascii="Times New Roman" w:hAnsi="Times New Roman"/>
          <w:sz w:val="24"/>
          <w:szCs w:val="24"/>
        </w:rPr>
        <w:t xml:space="preserve">he previously posted price of $3.496 per </w:t>
      </w:r>
      <w:proofErr w:type="spellStart"/>
      <w:r w:rsidR="006449FD">
        <w:rPr>
          <w:rFonts w:ascii="Times New Roman" w:hAnsi="Times New Roman"/>
          <w:sz w:val="24"/>
          <w:szCs w:val="24"/>
        </w:rPr>
        <w:t>mcf</w:t>
      </w:r>
      <w:proofErr w:type="spellEnd"/>
      <w:r w:rsidR="006449FD">
        <w:rPr>
          <w:rFonts w:ascii="Times New Roman" w:hAnsi="Times New Roman"/>
          <w:sz w:val="24"/>
          <w:szCs w:val="24"/>
        </w:rPr>
        <w:t xml:space="preserve"> has been revised to $3.497 per </w:t>
      </w:r>
      <w:proofErr w:type="spellStart"/>
      <w:r w:rsidR="006449FD">
        <w:rPr>
          <w:rFonts w:ascii="Times New Roman" w:hAnsi="Times New Roman"/>
          <w:sz w:val="24"/>
          <w:szCs w:val="24"/>
        </w:rPr>
        <w:t>mcf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Platts</w:t>
      </w:r>
      <w:proofErr w:type="spellEnd"/>
      <w:r>
        <w:rPr>
          <w:rFonts w:ascii="Times New Roman" w:hAnsi="Times New Roman"/>
          <w:sz w:val="24"/>
          <w:szCs w:val="24"/>
        </w:rPr>
        <w:t xml:space="preserve"> Gas Daily.  Commensurate with this rate modification, and i</w:t>
      </w:r>
      <w:r w:rsidR="00647736" w:rsidRPr="00882E1C">
        <w:rPr>
          <w:rFonts w:ascii="Times New Roman" w:hAnsi="Times New Roman"/>
          <w:sz w:val="24"/>
          <w:szCs w:val="24"/>
        </w:rPr>
        <w:t xml:space="preserve">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="00647736"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="00647736"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="00647736"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A61F62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904100">
              <w:rPr>
                <w:spacing w:val="-3"/>
                <w:sz w:val="24"/>
                <w:szCs w:val="24"/>
              </w:rPr>
              <w:t xml:space="preserve"> and </w:t>
            </w:r>
            <w:r w:rsidR="00A61F62">
              <w:rPr>
                <w:spacing w:val="-3"/>
                <w:sz w:val="24"/>
                <w:szCs w:val="24"/>
              </w:rPr>
              <w:t>Second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904100" w:rsidP="00A61F62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Fifty-</w:t>
            </w:r>
            <w:r w:rsidR="00A61F62">
              <w:rPr>
                <w:spacing w:val="-3"/>
                <w:sz w:val="24"/>
                <w:szCs w:val="24"/>
              </w:rPr>
              <w:t>Second</w:t>
            </w:r>
            <w:bookmarkStart w:id="0" w:name="_GoBack"/>
            <w:bookmarkEnd w:id="0"/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Tr="00F92E43">
        <w:tc>
          <w:tcPr>
            <w:tcW w:w="979" w:type="dxa"/>
          </w:tcPr>
          <w:p w:rsidR="00E31AED" w:rsidRDefault="00E31AED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E31AED" w:rsidRDefault="00E31AED" w:rsidP="00C34D5A">
            <w:pPr>
              <w:suppressAutoHyphens/>
              <w:rPr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E31AED" w:rsidRPr="00882E1C" w:rsidRDefault="00E31AED" w:rsidP="00C34D5A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E31AED" w:rsidRDefault="00E31AED" w:rsidP="00AD5D9D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/s/ </w:t>
      </w:r>
      <w:r w:rsidR="00D30454">
        <w:rPr>
          <w:spacing w:val="-3"/>
          <w:sz w:val="24"/>
          <w:szCs w:val="24"/>
        </w:rPr>
        <w:t>Shawn Anderson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D30454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Shawn Anderson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B7" w:rsidRDefault="009A70B7">
      <w:r>
        <w:separator/>
      </w:r>
    </w:p>
  </w:endnote>
  <w:endnote w:type="continuationSeparator" w:id="0">
    <w:p w:rsidR="009A70B7" w:rsidRDefault="009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B7" w:rsidRDefault="009A70B7">
      <w:r>
        <w:separator/>
      </w:r>
    </w:p>
  </w:footnote>
  <w:footnote w:type="continuationSeparator" w:id="0">
    <w:p w:rsidR="009A70B7" w:rsidRDefault="009A7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49FD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04100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A70B7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1F62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300C0"/>
    <w:rsid w:val="00D30454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119FA"/>
    <w:rsid w:val="00F24080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2</cp:revision>
  <cp:lastPrinted>2013-03-26T19:41:00Z</cp:lastPrinted>
  <dcterms:created xsi:type="dcterms:W3CDTF">2013-11-05T15:51:00Z</dcterms:created>
  <dcterms:modified xsi:type="dcterms:W3CDTF">2013-11-05T15:51:00Z</dcterms:modified>
</cp:coreProperties>
</file>