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E94D0" w14:textId="77777777" w:rsidR="00836BDA" w:rsidRPr="00B012A9" w:rsidRDefault="00AE52F3" w:rsidP="00D4185C">
      <w:pPr>
        <w:pStyle w:val="HTMLPreformatted"/>
        <w:jc w:val="center"/>
        <w:rPr>
          <w:rFonts w:ascii="Times New Roman" w:hAnsi="Times New Roman" w:cs="Times New Roman"/>
          <w:b/>
          <w:bCs/>
          <w:sz w:val="24"/>
          <w:szCs w:val="24"/>
        </w:rPr>
      </w:pPr>
      <w:r w:rsidRPr="00B012A9">
        <w:rPr>
          <w:rFonts w:ascii="Times New Roman" w:hAnsi="Times New Roman" w:cs="Times New Roman"/>
          <w:b/>
          <w:bCs/>
          <w:sz w:val="24"/>
          <w:szCs w:val="24"/>
        </w:rPr>
        <w:t>BEFORE</w:t>
      </w:r>
    </w:p>
    <w:p w14:paraId="68FF964C" w14:textId="77777777" w:rsidR="00836BDA" w:rsidRPr="00B012A9" w:rsidRDefault="00AE52F3" w:rsidP="00D4185C">
      <w:pPr>
        <w:pStyle w:val="HTMLPreformatted"/>
        <w:jc w:val="center"/>
        <w:rPr>
          <w:rFonts w:ascii="Times New Roman" w:hAnsi="Times New Roman" w:cs="Times New Roman"/>
          <w:sz w:val="24"/>
          <w:szCs w:val="24"/>
        </w:rPr>
      </w:pPr>
      <w:r w:rsidRPr="00B012A9">
        <w:rPr>
          <w:rFonts w:ascii="Times New Roman" w:hAnsi="Times New Roman" w:cs="Times New Roman"/>
          <w:b/>
          <w:bCs/>
          <w:sz w:val="24"/>
          <w:szCs w:val="24"/>
        </w:rPr>
        <w:t>THE PUBLIC UTILITIES COMMISSION OF OHIO</w:t>
      </w:r>
    </w:p>
    <w:p w14:paraId="3035DE4B" w14:textId="77777777" w:rsidR="00836BDA" w:rsidRPr="00B012A9" w:rsidRDefault="00836BDA" w:rsidP="00D4185C">
      <w:pPr>
        <w:pStyle w:val="HTMLPreformatted"/>
        <w:rPr>
          <w:rFonts w:ascii="Times New Roman" w:hAnsi="Times New Roman" w:cs="Times New Roman"/>
          <w:sz w:val="24"/>
          <w:szCs w:val="24"/>
        </w:rPr>
      </w:pPr>
    </w:p>
    <w:tbl>
      <w:tblPr>
        <w:tblW w:w="9092" w:type="dxa"/>
        <w:tblInd w:w="-90" w:type="dxa"/>
        <w:tblLook w:val="01E0" w:firstRow="1" w:lastRow="1" w:firstColumn="1" w:lastColumn="1" w:noHBand="0" w:noVBand="0"/>
      </w:tblPr>
      <w:tblGrid>
        <w:gridCol w:w="4332"/>
        <w:gridCol w:w="618"/>
        <w:gridCol w:w="4142"/>
      </w:tblGrid>
      <w:tr w:rsidR="00052045" w14:paraId="3906F9C8" w14:textId="77777777" w:rsidTr="00EC42D8">
        <w:trPr>
          <w:trHeight w:val="807"/>
        </w:trPr>
        <w:tc>
          <w:tcPr>
            <w:tcW w:w="4332" w:type="dxa"/>
            <w:shd w:val="clear" w:color="auto" w:fill="auto"/>
          </w:tcPr>
          <w:p w14:paraId="09841B83" w14:textId="77777777" w:rsidR="00E22D36" w:rsidRPr="00040BF5" w:rsidRDefault="00AE52F3" w:rsidP="00EC42D8">
            <w:pPr>
              <w:pStyle w:val="HTMLPreformatted"/>
              <w:rPr>
                <w:rFonts w:ascii="Times New Roman" w:hAnsi="Times New Roman" w:cs="Times New Roman"/>
                <w:sz w:val="24"/>
                <w:szCs w:val="24"/>
              </w:rPr>
            </w:pPr>
            <w:r>
              <w:rPr>
                <w:rFonts w:ascii="Times New Roman" w:hAnsi="Times New Roman" w:cs="Times New Roman"/>
                <w:sz w:val="24"/>
                <w:szCs w:val="24"/>
              </w:rPr>
              <w:t>In the Matter of Inspire Energy Holdings, LLC</w:t>
            </w:r>
          </w:p>
        </w:tc>
        <w:tc>
          <w:tcPr>
            <w:tcW w:w="618" w:type="dxa"/>
            <w:shd w:val="clear" w:color="auto" w:fill="auto"/>
          </w:tcPr>
          <w:p w14:paraId="2C20311B" w14:textId="77777777" w:rsidR="00E22D36" w:rsidRPr="00040BF5" w:rsidRDefault="00AE52F3" w:rsidP="00EC42D8">
            <w:pPr>
              <w:pStyle w:val="HTMLPreformatted"/>
              <w:rPr>
                <w:rFonts w:ascii="Times New Roman" w:hAnsi="Times New Roman" w:cs="Times New Roman"/>
                <w:sz w:val="24"/>
                <w:szCs w:val="24"/>
              </w:rPr>
            </w:pPr>
            <w:r w:rsidRPr="00040BF5">
              <w:rPr>
                <w:rFonts w:ascii="Times New Roman" w:hAnsi="Times New Roman" w:cs="Times New Roman"/>
                <w:sz w:val="24"/>
                <w:szCs w:val="24"/>
              </w:rPr>
              <w:t>)</w:t>
            </w:r>
          </w:p>
          <w:p w14:paraId="6A089B58" w14:textId="77777777" w:rsidR="00E22D36" w:rsidRPr="00040BF5" w:rsidRDefault="00AE52F3" w:rsidP="00EC42D8">
            <w:pPr>
              <w:pStyle w:val="HTMLPreformatted"/>
              <w:rPr>
                <w:rFonts w:ascii="Times New Roman" w:hAnsi="Times New Roman" w:cs="Times New Roman"/>
                <w:sz w:val="24"/>
                <w:szCs w:val="24"/>
              </w:rPr>
            </w:pPr>
            <w:r w:rsidRPr="00040BF5">
              <w:rPr>
                <w:rFonts w:ascii="Times New Roman" w:hAnsi="Times New Roman" w:cs="Times New Roman"/>
                <w:sz w:val="24"/>
                <w:szCs w:val="24"/>
              </w:rPr>
              <w:t>)</w:t>
            </w:r>
          </w:p>
          <w:p w14:paraId="673C6432" w14:textId="77777777" w:rsidR="00E22D36" w:rsidRPr="00040BF5" w:rsidRDefault="00E22D36" w:rsidP="00EC42D8">
            <w:pPr>
              <w:pStyle w:val="HTMLPreformatted"/>
              <w:rPr>
                <w:rFonts w:ascii="Times New Roman" w:hAnsi="Times New Roman" w:cs="Times New Roman"/>
                <w:sz w:val="24"/>
                <w:szCs w:val="24"/>
              </w:rPr>
            </w:pPr>
          </w:p>
        </w:tc>
        <w:tc>
          <w:tcPr>
            <w:tcW w:w="4142" w:type="dxa"/>
            <w:shd w:val="clear" w:color="auto" w:fill="auto"/>
          </w:tcPr>
          <w:p w14:paraId="12DCBB37" w14:textId="77777777" w:rsidR="00E22D36" w:rsidRPr="00040BF5" w:rsidRDefault="00AE52F3" w:rsidP="00EC42D8">
            <w:pPr>
              <w:pStyle w:val="HTMLPreformatted"/>
              <w:rPr>
                <w:rFonts w:ascii="Times New Roman" w:hAnsi="Times New Roman" w:cs="Times New Roman"/>
                <w:sz w:val="24"/>
                <w:szCs w:val="24"/>
              </w:rPr>
            </w:pPr>
            <w:r w:rsidRPr="00040BF5">
              <w:rPr>
                <w:rFonts w:ascii="Times New Roman" w:hAnsi="Times New Roman" w:cs="Times New Roman"/>
                <w:sz w:val="24"/>
                <w:szCs w:val="24"/>
              </w:rPr>
              <w:t xml:space="preserve">Case No. </w:t>
            </w:r>
            <w:r>
              <w:rPr>
                <w:rFonts w:ascii="Times New Roman" w:hAnsi="Times New Roman" w:cs="Times New Roman"/>
                <w:sz w:val="24"/>
                <w:szCs w:val="24"/>
              </w:rPr>
              <w:t>23-720-GE-UNC</w:t>
            </w:r>
          </w:p>
        </w:tc>
      </w:tr>
    </w:tbl>
    <w:p w14:paraId="01168CE6" w14:textId="77777777" w:rsidR="00836BDA" w:rsidRPr="00B012A9" w:rsidRDefault="00836BDA" w:rsidP="00D4185C">
      <w:pPr>
        <w:pStyle w:val="HTMLPreformatted"/>
        <w:rPr>
          <w:rFonts w:ascii="Times New Roman" w:hAnsi="Times New Roman" w:cs="Times New Roman"/>
          <w:sz w:val="24"/>
          <w:szCs w:val="24"/>
        </w:rPr>
      </w:pPr>
    </w:p>
    <w:p w14:paraId="592801EF" w14:textId="77777777" w:rsidR="00836BDA" w:rsidRPr="00B012A9" w:rsidRDefault="00836BDA" w:rsidP="00D4185C">
      <w:pPr>
        <w:pStyle w:val="HTMLPreformatted"/>
        <w:pBdr>
          <w:top w:val="single" w:sz="12" w:space="1" w:color="auto"/>
        </w:pBdr>
        <w:rPr>
          <w:rFonts w:ascii="Times New Roman" w:hAnsi="Times New Roman" w:cs="Times New Roman"/>
          <w:sz w:val="24"/>
          <w:szCs w:val="24"/>
        </w:rPr>
      </w:pPr>
    </w:p>
    <w:p w14:paraId="3474001A" w14:textId="0CAE2C92" w:rsidR="00B20BB6" w:rsidRPr="00B012A9" w:rsidRDefault="00AE52F3" w:rsidP="00B20BB6">
      <w:pPr>
        <w:jc w:val="center"/>
        <w:rPr>
          <w:b/>
          <w:bCs/>
          <w:szCs w:val="24"/>
        </w:rPr>
      </w:pPr>
      <w:r w:rsidRPr="00B012A9">
        <w:rPr>
          <w:b/>
          <w:bCs/>
          <w:szCs w:val="24"/>
        </w:rPr>
        <w:t>APPLICATION FOR REHEARING</w:t>
      </w:r>
    </w:p>
    <w:p w14:paraId="7FB6E50D" w14:textId="77777777" w:rsidR="00836BDA" w:rsidRPr="00B012A9" w:rsidRDefault="00AE52F3" w:rsidP="00D4185C">
      <w:pPr>
        <w:jc w:val="center"/>
        <w:rPr>
          <w:b/>
          <w:bCs/>
          <w:szCs w:val="24"/>
        </w:rPr>
      </w:pPr>
      <w:r w:rsidRPr="00B012A9">
        <w:rPr>
          <w:b/>
          <w:bCs/>
          <w:szCs w:val="24"/>
        </w:rPr>
        <w:t>BY</w:t>
      </w:r>
    </w:p>
    <w:p w14:paraId="267E1D55" w14:textId="43EF8A2A" w:rsidR="00836BDA" w:rsidRPr="00B012A9" w:rsidRDefault="00AE52F3" w:rsidP="00D4185C">
      <w:pPr>
        <w:jc w:val="center"/>
        <w:rPr>
          <w:b/>
          <w:bCs/>
          <w:szCs w:val="24"/>
        </w:rPr>
      </w:pPr>
      <w:r w:rsidRPr="00B012A9">
        <w:rPr>
          <w:b/>
          <w:bCs/>
          <w:szCs w:val="24"/>
        </w:rPr>
        <w:t>OFFICE OF THE OHIO CONSUMERS’ COUNSEL</w:t>
      </w:r>
    </w:p>
    <w:p w14:paraId="4F381839" w14:textId="77777777" w:rsidR="00836BDA" w:rsidRPr="00B012A9" w:rsidRDefault="00836BDA" w:rsidP="00D4185C">
      <w:pPr>
        <w:pBdr>
          <w:bottom w:val="single" w:sz="12" w:space="1" w:color="auto"/>
        </w:pBdr>
        <w:tabs>
          <w:tab w:val="left" w:pos="4320"/>
        </w:tabs>
        <w:rPr>
          <w:szCs w:val="24"/>
        </w:rPr>
      </w:pPr>
    </w:p>
    <w:p w14:paraId="52EE639F" w14:textId="77777777" w:rsidR="00FA44E5" w:rsidRDefault="00FA44E5" w:rsidP="00FA44E5">
      <w:pPr>
        <w:pStyle w:val="Footer"/>
        <w:tabs>
          <w:tab w:val="clear" w:pos="8640"/>
          <w:tab w:val="left" w:pos="4320"/>
        </w:tabs>
        <w:spacing w:before="240"/>
        <w:ind w:firstLine="4320"/>
        <w:rPr>
          <w:sz w:val="24"/>
          <w:szCs w:val="24"/>
        </w:rPr>
      </w:pPr>
    </w:p>
    <w:p w14:paraId="3D4F2B86" w14:textId="77777777" w:rsidR="00E22D36" w:rsidRDefault="00E22D36" w:rsidP="00FA44E5">
      <w:pPr>
        <w:pStyle w:val="Footer"/>
        <w:tabs>
          <w:tab w:val="clear" w:pos="8640"/>
          <w:tab w:val="left" w:pos="4320"/>
        </w:tabs>
        <w:spacing w:before="240"/>
        <w:ind w:firstLine="4320"/>
        <w:rPr>
          <w:sz w:val="24"/>
          <w:szCs w:val="24"/>
        </w:rPr>
      </w:pPr>
    </w:p>
    <w:p w14:paraId="0589222C" w14:textId="32932132" w:rsidR="00E22D36" w:rsidRDefault="00E22D36" w:rsidP="00E22D36">
      <w:pPr>
        <w:tabs>
          <w:tab w:val="left" w:pos="4320"/>
        </w:tabs>
        <w:ind w:firstLine="4320"/>
        <w:rPr>
          <w:i/>
          <w:szCs w:val="24"/>
          <w:u w:val="single"/>
        </w:rPr>
      </w:pPr>
    </w:p>
    <w:p w14:paraId="660D4AF4" w14:textId="77777777" w:rsidR="00E22D36" w:rsidRDefault="00E22D36" w:rsidP="00E22D36">
      <w:pPr>
        <w:tabs>
          <w:tab w:val="left" w:pos="4320"/>
        </w:tabs>
        <w:ind w:firstLine="4320"/>
        <w:rPr>
          <w:i/>
          <w:szCs w:val="24"/>
          <w:u w:val="single"/>
        </w:rPr>
      </w:pPr>
    </w:p>
    <w:p w14:paraId="6FA1C36D" w14:textId="77777777" w:rsidR="00E22D36" w:rsidRPr="00204DB6" w:rsidRDefault="00AE52F3" w:rsidP="002C2F40">
      <w:pPr>
        <w:tabs>
          <w:tab w:val="left" w:pos="2776"/>
        </w:tabs>
        <w:ind w:left="4320" w:right="339"/>
      </w:pPr>
      <w:r w:rsidRPr="00204DB6">
        <w:t>Maureen R. Willis (0020847)</w:t>
      </w:r>
    </w:p>
    <w:p w14:paraId="2BD32442" w14:textId="77777777" w:rsidR="00E22D36" w:rsidRPr="00204DB6" w:rsidRDefault="00AE52F3" w:rsidP="002C2F40">
      <w:pPr>
        <w:tabs>
          <w:tab w:val="left" w:pos="2776"/>
        </w:tabs>
        <w:ind w:left="4320" w:right="339"/>
      </w:pPr>
      <w:r w:rsidRPr="00204DB6">
        <w:t>Ohio Consumers’ Counsel</w:t>
      </w:r>
    </w:p>
    <w:p w14:paraId="7A7ABE59" w14:textId="77777777" w:rsidR="00E22D36" w:rsidRDefault="00E22D36" w:rsidP="00E22D36">
      <w:pPr>
        <w:tabs>
          <w:tab w:val="left" w:pos="4320"/>
        </w:tabs>
        <w:ind w:firstLine="4320"/>
        <w:rPr>
          <w:iCs/>
          <w:szCs w:val="24"/>
          <w:u w:val="single"/>
        </w:rPr>
      </w:pPr>
    </w:p>
    <w:p w14:paraId="1641AA13" w14:textId="77777777" w:rsidR="002C2F40" w:rsidRPr="00E22D36" w:rsidRDefault="002C2F40" w:rsidP="00E22D36">
      <w:pPr>
        <w:tabs>
          <w:tab w:val="left" w:pos="4320"/>
        </w:tabs>
        <w:ind w:firstLine="4320"/>
        <w:rPr>
          <w:iCs/>
          <w:szCs w:val="24"/>
          <w:u w:val="single"/>
        </w:rPr>
      </w:pPr>
    </w:p>
    <w:p w14:paraId="78F09F8A" w14:textId="77777777" w:rsidR="00E22D36" w:rsidRPr="00040BF5" w:rsidRDefault="00AE52F3" w:rsidP="00E22D36">
      <w:pPr>
        <w:tabs>
          <w:tab w:val="left" w:pos="4320"/>
        </w:tabs>
        <w:ind w:firstLine="4320"/>
        <w:rPr>
          <w:iCs/>
          <w:szCs w:val="24"/>
        </w:rPr>
      </w:pPr>
      <w:r>
        <w:rPr>
          <w:iCs/>
          <w:szCs w:val="24"/>
        </w:rPr>
        <w:t>Robert Eubanks (0073386)</w:t>
      </w:r>
    </w:p>
    <w:p w14:paraId="42255BC2" w14:textId="77777777" w:rsidR="00E22D36" w:rsidRPr="00040BF5" w:rsidRDefault="00AE52F3" w:rsidP="00E22D36">
      <w:pPr>
        <w:tabs>
          <w:tab w:val="left" w:pos="4320"/>
        </w:tabs>
        <w:ind w:firstLine="4320"/>
        <w:rPr>
          <w:szCs w:val="24"/>
        </w:rPr>
      </w:pPr>
      <w:r w:rsidRPr="00040BF5">
        <w:rPr>
          <w:szCs w:val="24"/>
        </w:rPr>
        <w:t>Counsel of Record</w:t>
      </w:r>
    </w:p>
    <w:p w14:paraId="2E3DE73C" w14:textId="77777777" w:rsidR="00E22D36" w:rsidRPr="00040BF5" w:rsidRDefault="00AE52F3" w:rsidP="00E22D36">
      <w:pPr>
        <w:tabs>
          <w:tab w:val="left" w:pos="4320"/>
        </w:tabs>
        <w:ind w:firstLine="4320"/>
        <w:rPr>
          <w:szCs w:val="24"/>
        </w:rPr>
      </w:pPr>
      <w:r>
        <w:rPr>
          <w:szCs w:val="24"/>
        </w:rPr>
        <w:t xml:space="preserve">Donald J. Kral </w:t>
      </w:r>
      <w:r w:rsidRPr="00040BF5">
        <w:rPr>
          <w:szCs w:val="24"/>
        </w:rPr>
        <w:t>(0018689)</w:t>
      </w:r>
    </w:p>
    <w:p w14:paraId="17DCC6C2" w14:textId="77777777" w:rsidR="00E22D36" w:rsidRPr="00040BF5" w:rsidRDefault="00AE52F3" w:rsidP="00E22D36">
      <w:pPr>
        <w:tabs>
          <w:tab w:val="left" w:pos="4320"/>
        </w:tabs>
        <w:ind w:firstLine="4320"/>
        <w:rPr>
          <w:szCs w:val="24"/>
        </w:rPr>
      </w:pPr>
      <w:r w:rsidRPr="00040BF5">
        <w:rPr>
          <w:szCs w:val="24"/>
        </w:rPr>
        <w:t>Assistant Consumers’ Counsel</w:t>
      </w:r>
    </w:p>
    <w:p w14:paraId="0BC1D1C7" w14:textId="77777777" w:rsidR="00E22D36" w:rsidRPr="00040BF5" w:rsidRDefault="00AE52F3" w:rsidP="00E22D36">
      <w:r w:rsidRPr="00040BF5">
        <w:tab/>
      </w:r>
    </w:p>
    <w:p w14:paraId="259975D8" w14:textId="77777777" w:rsidR="00E22D36" w:rsidRPr="00E22D36" w:rsidRDefault="00AE52F3" w:rsidP="00E22D36">
      <w:pPr>
        <w:ind w:left="4320"/>
        <w:rPr>
          <w:b/>
          <w:bCs/>
        </w:rPr>
      </w:pPr>
      <w:r w:rsidRPr="00E22D36">
        <w:rPr>
          <w:b/>
          <w:bCs/>
        </w:rPr>
        <w:t>Office of the Ohio Consumers’ Counsel</w:t>
      </w:r>
    </w:p>
    <w:p w14:paraId="0B4A9BF0" w14:textId="77777777" w:rsidR="00E22D36" w:rsidRPr="00040BF5" w:rsidRDefault="00AE52F3" w:rsidP="00E22D36">
      <w:pPr>
        <w:ind w:left="4320"/>
        <w:rPr>
          <w:b/>
        </w:rPr>
      </w:pPr>
      <w:r w:rsidRPr="00040BF5">
        <w:t>65 East State Street, Suite 700</w:t>
      </w:r>
    </w:p>
    <w:p w14:paraId="484D1011" w14:textId="77777777" w:rsidR="00E22D36" w:rsidRPr="00040BF5" w:rsidRDefault="00AE52F3" w:rsidP="00E22D36">
      <w:pPr>
        <w:ind w:left="4320"/>
        <w:rPr>
          <w:b/>
        </w:rPr>
      </w:pPr>
      <w:r w:rsidRPr="00040BF5">
        <w:t>Columbus, Ohio 43215</w:t>
      </w:r>
    </w:p>
    <w:p w14:paraId="4F6E39C3" w14:textId="77777777" w:rsidR="00E22D36" w:rsidRPr="00040BF5" w:rsidRDefault="00AE52F3" w:rsidP="00E22D36">
      <w:pPr>
        <w:autoSpaceDE w:val="0"/>
        <w:autoSpaceDN w:val="0"/>
        <w:adjustRightInd w:val="0"/>
        <w:ind w:firstLine="4320"/>
        <w:rPr>
          <w:szCs w:val="24"/>
        </w:rPr>
      </w:pPr>
      <w:r w:rsidRPr="00040BF5">
        <w:rPr>
          <w:szCs w:val="24"/>
        </w:rPr>
        <w:t>Telephone [</w:t>
      </w:r>
      <w:r>
        <w:rPr>
          <w:szCs w:val="24"/>
        </w:rPr>
        <w:t>Eubanks</w:t>
      </w:r>
      <w:r w:rsidRPr="00040BF5">
        <w:rPr>
          <w:szCs w:val="24"/>
        </w:rPr>
        <w:t>] (614) 466-</w:t>
      </w:r>
      <w:r>
        <w:rPr>
          <w:szCs w:val="24"/>
        </w:rPr>
        <w:t>1292</w:t>
      </w:r>
    </w:p>
    <w:p w14:paraId="52AAC2A8" w14:textId="77777777" w:rsidR="00E22D36" w:rsidRPr="00040BF5" w:rsidRDefault="00AE52F3" w:rsidP="00E22D36">
      <w:pPr>
        <w:autoSpaceDE w:val="0"/>
        <w:autoSpaceDN w:val="0"/>
        <w:adjustRightInd w:val="0"/>
        <w:ind w:firstLine="4320"/>
        <w:rPr>
          <w:szCs w:val="24"/>
        </w:rPr>
      </w:pPr>
      <w:r w:rsidRPr="00040BF5">
        <w:rPr>
          <w:szCs w:val="24"/>
        </w:rPr>
        <w:t>Telephone [</w:t>
      </w:r>
      <w:r>
        <w:rPr>
          <w:szCs w:val="24"/>
        </w:rPr>
        <w:t>Kral</w:t>
      </w:r>
      <w:r w:rsidRPr="00040BF5">
        <w:rPr>
          <w:szCs w:val="24"/>
        </w:rPr>
        <w:t>] (614) 466-</w:t>
      </w:r>
      <w:r>
        <w:rPr>
          <w:szCs w:val="24"/>
        </w:rPr>
        <w:t>9571</w:t>
      </w:r>
    </w:p>
    <w:p w14:paraId="7BFA988B" w14:textId="77777777" w:rsidR="00E22D36" w:rsidRPr="00040BF5" w:rsidRDefault="00AE52F3" w:rsidP="00E22D36">
      <w:pPr>
        <w:autoSpaceDE w:val="0"/>
        <w:autoSpaceDN w:val="0"/>
        <w:adjustRightInd w:val="0"/>
        <w:ind w:firstLine="4320"/>
        <w:rPr>
          <w:szCs w:val="24"/>
        </w:rPr>
      </w:pPr>
      <w:hyperlink r:id="rId8" w:history="1">
        <w:r w:rsidR="001A20EB" w:rsidRPr="006F2B11">
          <w:rPr>
            <w:rStyle w:val="Hyperlink"/>
            <w:szCs w:val="24"/>
          </w:rPr>
          <w:t>robert.eubanks@occ.ohio.gov</w:t>
        </w:r>
      </w:hyperlink>
    </w:p>
    <w:p w14:paraId="57BB13D1" w14:textId="77777777" w:rsidR="00E22D36" w:rsidRPr="00040BF5" w:rsidRDefault="00AE52F3" w:rsidP="00E22D36">
      <w:pPr>
        <w:autoSpaceDE w:val="0"/>
        <w:autoSpaceDN w:val="0"/>
        <w:adjustRightInd w:val="0"/>
        <w:ind w:firstLine="4320"/>
        <w:rPr>
          <w:szCs w:val="24"/>
        </w:rPr>
      </w:pPr>
      <w:hyperlink r:id="rId9" w:history="1">
        <w:r w:rsidR="001A20EB" w:rsidRPr="006F2B11">
          <w:rPr>
            <w:rStyle w:val="Hyperlink"/>
            <w:szCs w:val="24"/>
          </w:rPr>
          <w:t>donald.kral@occ.ohio.gov</w:t>
        </w:r>
      </w:hyperlink>
    </w:p>
    <w:p w14:paraId="3EF41490" w14:textId="77777777" w:rsidR="00E22D36" w:rsidRPr="00040BF5" w:rsidRDefault="00AE52F3" w:rsidP="00E22D36">
      <w:pPr>
        <w:ind w:firstLine="4320"/>
        <w:rPr>
          <w:szCs w:val="24"/>
        </w:rPr>
      </w:pPr>
      <w:r w:rsidRPr="00040BF5">
        <w:rPr>
          <w:szCs w:val="24"/>
        </w:rPr>
        <w:t>(willing to accept service by e-mail)</w:t>
      </w:r>
    </w:p>
    <w:p w14:paraId="4623D43B" w14:textId="77777777" w:rsidR="00E22D36" w:rsidRDefault="00E22D36" w:rsidP="00E22D36">
      <w:pPr>
        <w:pStyle w:val="Footer"/>
        <w:tabs>
          <w:tab w:val="clear" w:pos="4320"/>
          <w:tab w:val="clear" w:pos="8640"/>
        </w:tabs>
        <w:spacing w:before="240"/>
        <w:rPr>
          <w:sz w:val="24"/>
          <w:szCs w:val="24"/>
        </w:rPr>
      </w:pPr>
    </w:p>
    <w:p w14:paraId="5B967398" w14:textId="77777777" w:rsidR="00E22D36" w:rsidRDefault="00E22D36" w:rsidP="00E22D36">
      <w:pPr>
        <w:pStyle w:val="Footer"/>
        <w:tabs>
          <w:tab w:val="clear" w:pos="4320"/>
          <w:tab w:val="clear" w:pos="8640"/>
        </w:tabs>
        <w:spacing w:before="240"/>
        <w:rPr>
          <w:sz w:val="24"/>
          <w:szCs w:val="24"/>
        </w:rPr>
      </w:pPr>
    </w:p>
    <w:p w14:paraId="6CAB7F67" w14:textId="0972ECD1" w:rsidR="00E22D36" w:rsidRDefault="00AE52F3" w:rsidP="00E22D36">
      <w:pPr>
        <w:pStyle w:val="Footer"/>
        <w:tabs>
          <w:tab w:val="clear" w:pos="4320"/>
          <w:tab w:val="clear" w:pos="8640"/>
        </w:tabs>
        <w:spacing w:before="240"/>
        <w:rPr>
          <w:sz w:val="24"/>
          <w:szCs w:val="24"/>
        </w:rPr>
        <w:sectPr w:rsidR="00E22D36" w:rsidSect="0016309F">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326"/>
        </w:sectPr>
      </w:pPr>
      <w:r>
        <w:rPr>
          <w:sz w:val="24"/>
          <w:szCs w:val="24"/>
        </w:rPr>
        <w:t>January 12, 2024</w:t>
      </w:r>
    </w:p>
    <w:p w14:paraId="72F1483F" w14:textId="3C81F86A" w:rsidR="00D8474B" w:rsidRPr="00B012A9" w:rsidRDefault="00AE52F3" w:rsidP="00D8474B">
      <w:pPr>
        <w:pStyle w:val="HTMLPreformatted"/>
        <w:jc w:val="center"/>
        <w:rPr>
          <w:rFonts w:ascii="Times New Roman" w:hAnsi="Times New Roman" w:cs="Times New Roman"/>
          <w:b/>
          <w:bCs/>
          <w:sz w:val="24"/>
          <w:szCs w:val="24"/>
        </w:rPr>
      </w:pPr>
      <w:r w:rsidRPr="00B012A9">
        <w:rPr>
          <w:rFonts w:ascii="Times New Roman" w:hAnsi="Times New Roman" w:cs="Times New Roman"/>
          <w:b/>
          <w:bCs/>
          <w:sz w:val="24"/>
          <w:szCs w:val="24"/>
        </w:rPr>
        <w:lastRenderedPageBreak/>
        <w:t>BEFORE</w:t>
      </w:r>
    </w:p>
    <w:p w14:paraId="2D6D8516" w14:textId="77777777" w:rsidR="00D8474B" w:rsidRPr="00B012A9" w:rsidRDefault="00AE52F3" w:rsidP="00D8474B">
      <w:pPr>
        <w:pStyle w:val="HTMLPreformatted"/>
        <w:jc w:val="center"/>
        <w:rPr>
          <w:rFonts w:ascii="Times New Roman" w:hAnsi="Times New Roman" w:cs="Times New Roman"/>
          <w:sz w:val="24"/>
          <w:szCs w:val="24"/>
        </w:rPr>
      </w:pPr>
      <w:r w:rsidRPr="00B012A9">
        <w:rPr>
          <w:rFonts w:ascii="Times New Roman" w:hAnsi="Times New Roman" w:cs="Times New Roman"/>
          <w:b/>
          <w:bCs/>
          <w:sz w:val="24"/>
          <w:szCs w:val="24"/>
        </w:rPr>
        <w:t>THE PUBLIC UTILITIES COMMISSION OF OHIO</w:t>
      </w:r>
    </w:p>
    <w:p w14:paraId="5D975B8E" w14:textId="77777777" w:rsidR="00D8474B" w:rsidRPr="00B012A9" w:rsidRDefault="00D8474B" w:rsidP="00D8474B">
      <w:pPr>
        <w:pStyle w:val="HTMLPreformatted"/>
        <w:rPr>
          <w:rFonts w:ascii="Times New Roman" w:hAnsi="Times New Roman" w:cs="Times New Roman"/>
          <w:sz w:val="24"/>
          <w:szCs w:val="24"/>
        </w:rPr>
      </w:pPr>
    </w:p>
    <w:tbl>
      <w:tblPr>
        <w:tblW w:w="9092" w:type="dxa"/>
        <w:tblInd w:w="-90" w:type="dxa"/>
        <w:tblLook w:val="01E0" w:firstRow="1" w:lastRow="1" w:firstColumn="1" w:lastColumn="1" w:noHBand="0" w:noVBand="0"/>
      </w:tblPr>
      <w:tblGrid>
        <w:gridCol w:w="4332"/>
        <w:gridCol w:w="618"/>
        <w:gridCol w:w="4142"/>
      </w:tblGrid>
      <w:tr w:rsidR="00052045" w14:paraId="35E3FC23" w14:textId="77777777" w:rsidTr="00EC42D8">
        <w:trPr>
          <w:trHeight w:val="807"/>
        </w:trPr>
        <w:tc>
          <w:tcPr>
            <w:tcW w:w="4332" w:type="dxa"/>
            <w:shd w:val="clear" w:color="auto" w:fill="auto"/>
          </w:tcPr>
          <w:p w14:paraId="4268AD8F" w14:textId="77777777" w:rsidR="00E22D36" w:rsidRPr="00040BF5" w:rsidRDefault="00AE52F3" w:rsidP="00EC42D8">
            <w:pPr>
              <w:pStyle w:val="HTMLPreformatted"/>
              <w:rPr>
                <w:rFonts w:ascii="Times New Roman" w:hAnsi="Times New Roman" w:cs="Times New Roman"/>
                <w:sz w:val="24"/>
                <w:szCs w:val="24"/>
              </w:rPr>
            </w:pPr>
            <w:r>
              <w:rPr>
                <w:rFonts w:ascii="Times New Roman" w:hAnsi="Times New Roman" w:cs="Times New Roman"/>
                <w:sz w:val="24"/>
                <w:szCs w:val="24"/>
              </w:rPr>
              <w:t>In the Matter of Inspire Energy Holdings, LLC</w:t>
            </w:r>
          </w:p>
        </w:tc>
        <w:tc>
          <w:tcPr>
            <w:tcW w:w="618" w:type="dxa"/>
            <w:shd w:val="clear" w:color="auto" w:fill="auto"/>
          </w:tcPr>
          <w:p w14:paraId="44D7207D" w14:textId="77777777" w:rsidR="00E22D36" w:rsidRPr="00040BF5" w:rsidRDefault="00AE52F3" w:rsidP="00EC42D8">
            <w:pPr>
              <w:pStyle w:val="HTMLPreformatted"/>
              <w:rPr>
                <w:rFonts w:ascii="Times New Roman" w:hAnsi="Times New Roman" w:cs="Times New Roman"/>
                <w:sz w:val="24"/>
                <w:szCs w:val="24"/>
              </w:rPr>
            </w:pPr>
            <w:r w:rsidRPr="00040BF5">
              <w:rPr>
                <w:rFonts w:ascii="Times New Roman" w:hAnsi="Times New Roman" w:cs="Times New Roman"/>
                <w:sz w:val="24"/>
                <w:szCs w:val="24"/>
              </w:rPr>
              <w:t>)</w:t>
            </w:r>
          </w:p>
          <w:p w14:paraId="0C063793" w14:textId="77777777" w:rsidR="00E22D36" w:rsidRPr="00040BF5" w:rsidRDefault="00AE52F3" w:rsidP="00EC42D8">
            <w:pPr>
              <w:pStyle w:val="HTMLPreformatted"/>
              <w:rPr>
                <w:rFonts w:ascii="Times New Roman" w:hAnsi="Times New Roman" w:cs="Times New Roman"/>
                <w:sz w:val="24"/>
                <w:szCs w:val="24"/>
              </w:rPr>
            </w:pPr>
            <w:r w:rsidRPr="00040BF5">
              <w:rPr>
                <w:rFonts w:ascii="Times New Roman" w:hAnsi="Times New Roman" w:cs="Times New Roman"/>
                <w:sz w:val="24"/>
                <w:szCs w:val="24"/>
              </w:rPr>
              <w:t>)</w:t>
            </w:r>
          </w:p>
          <w:p w14:paraId="658EC5E9" w14:textId="77777777" w:rsidR="00E22D36" w:rsidRPr="00040BF5" w:rsidRDefault="00E22D36" w:rsidP="00EC42D8">
            <w:pPr>
              <w:pStyle w:val="HTMLPreformatted"/>
              <w:rPr>
                <w:rFonts w:ascii="Times New Roman" w:hAnsi="Times New Roman" w:cs="Times New Roman"/>
                <w:sz w:val="24"/>
                <w:szCs w:val="24"/>
              </w:rPr>
            </w:pPr>
          </w:p>
        </w:tc>
        <w:tc>
          <w:tcPr>
            <w:tcW w:w="4142" w:type="dxa"/>
            <w:shd w:val="clear" w:color="auto" w:fill="auto"/>
          </w:tcPr>
          <w:p w14:paraId="314B6EBC" w14:textId="77777777" w:rsidR="00E22D36" w:rsidRPr="00040BF5" w:rsidRDefault="00AE52F3" w:rsidP="00EC42D8">
            <w:pPr>
              <w:pStyle w:val="HTMLPreformatted"/>
              <w:rPr>
                <w:rFonts w:ascii="Times New Roman" w:hAnsi="Times New Roman" w:cs="Times New Roman"/>
                <w:sz w:val="24"/>
                <w:szCs w:val="24"/>
              </w:rPr>
            </w:pPr>
            <w:r w:rsidRPr="00040BF5">
              <w:rPr>
                <w:rFonts w:ascii="Times New Roman" w:hAnsi="Times New Roman" w:cs="Times New Roman"/>
                <w:sz w:val="24"/>
                <w:szCs w:val="24"/>
              </w:rPr>
              <w:t xml:space="preserve">Case No. </w:t>
            </w:r>
            <w:r>
              <w:rPr>
                <w:rFonts w:ascii="Times New Roman" w:hAnsi="Times New Roman" w:cs="Times New Roman"/>
                <w:sz w:val="24"/>
                <w:szCs w:val="24"/>
              </w:rPr>
              <w:t>23-720-GE-UNC</w:t>
            </w:r>
          </w:p>
        </w:tc>
      </w:tr>
    </w:tbl>
    <w:p w14:paraId="60455277" w14:textId="77777777" w:rsidR="00D8474B" w:rsidRPr="00B012A9" w:rsidRDefault="00D8474B" w:rsidP="00D8474B">
      <w:pPr>
        <w:pStyle w:val="HTMLPreformatted"/>
        <w:rPr>
          <w:rFonts w:ascii="Times New Roman" w:hAnsi="Times New Roman" w:cs="Times New Roman"/>
          <w:sz w:val="24"/>
          <w:szCs w:val="24"/>
        </w:rPr>
      </w:pPr>
    </w:p>
    <w:p w14:paraId="5E798774" w14:textId="77777777" w:rsidR="00D8474B" w:rsidRPr="00B012A9" w:rsidRDefault="00D8474B" w:rsidP="00D8474B">
      <w:pPr>
        <w:pStyle w:val="HTMLPreformatted"/>
        <w:pBdr>
          <w:top w:val="single" w:sz="12" w:space="1" w:color="auto"/>
        </w:pBdr>
        <w:rPr>
          <w:rFonts w:ascii="Times New Roman" w:hAnsi="Times New Roman" w:cs="Times New Roman"/>
          <w:sz w:val="24"/>
          <w:szCs w:val="24"/>
        </w:rPr>
      </w:pPr>
    </w:p>
    <w:p w14:paraId="6054E4CC" w14:textId="77777777" w:rsidR="00545D7B" w:rsidRPr="00B012A9" w:rsidRDefault="00AE52F3" w:rsidP="00D8474B">
      <w:pPr>
        <w:jc w:val="center"/>
        <w:rPr>
          <w:b/>
          <w:bCs/>
          <w:szCs w:val="24"/>
        </w:rPr>
      </w:pPr>
      <w:r w:rsidRPr="00B012A9">
        <w:rPr>
          <w:b/>
          <w:bCs/>
          <w:szCs w:val="24"/>
        </w:rPr>
        <w:t>APPLICATION FOR REHEARING</w:t>
      </w:r>
    </w:p>
    <w:p w14:paraId="14D45104" w14:textId="33DA438C" w:rsidR="00D8474B" w:rsidRPr="00B012A9" w:rsidRDefault="00AE52F3" w:rsidP="00D8474B">
      <w:pPr>
        <w:jc w:val="center"/>
        <w:rPr>
          <w:b/>
          <w:bCs/>
          <w:szCs w:val="24"/>
        </w:rPr>
      </w:pPr>
      <w:r w:rsidRPr="00B012A9">
        <w:rPr>
          <w:b/>
          <w:bCs/>
          <w:szCs w:val="24"/>
        </w:rPr>
        <w:t>B</w:t>
      </w:r>
      <w:r w:rsidR="00DB58A9" w:rsidRPr="00B012A9">
        <w:rPr>
          <w:b/>
          <w:bCs/>
          <w:szCs w:val="24"/>
        </w:rPr>
        <w:t>Y</w:t>
      </w:r>
    </w:p>
    <w:p w14:paraId="3034CFF6" w14:textId="77777777" w:rsidR="00D8474B" w:rsidRPr="00B012A9" w:rsidRDefault="00AE52F3" w:rsidP="00D8474B">
      <w:pPr>
        <w:jc w:val="center"/>
        <w:rPr>
          <w:b/>
          <w:bCs/>
          <w:szCs w:val="24"/>
        </w:rPr>
      </w:pPr>
      <w:r w:rsidRPr="00B012A9">
        <w:rPr>
          <w:b/>
          <w:bCs/>
          <w:szCs w:val="24"/>
        </w:rPr>
        <w:t>OFFICE OF THE OHIO CONSUMERS’ COUNSEL</w:t>
      </w:r>
    </w:p>
    <w:p w14:paraId="751ACB1C" w14:textId="77777777" w:rsidR="00D8474B" w:rsidRPr="00B012A9" w:rsidRDefault="00D8474B" w:rsidP="004014B1">
      <w:pPr>
        <w:pBdr>
          <w:bottom w:val="single" w:sz="12" w:space="1" w:color="auto"/>
        </w:pBdr>
        <w:tabs>
          <w:tab w:val="left" w:pos="4320"/>
        </w:tabs>
        <w:spacing w:after="240"/>
        <w:rPr>
          <w:szCs w:val="24"/>
        </w:rPr>
      </w:pPr>
    </w:p>
    <w:p w14:paraId="08E8095A" w14:textId="6BC184E8" w:rsidR="004078BE" w:rsidRDefault="00AE52F3" w:rsidP="004078BE">
      <w:pPr>
        <w:kinsoku w:val="0"/>
        <w:overflowPunct w:val="0"/>
        <w:autoSpaceDE w:val="0"/>
        <w:autoSpaceDN w:val="0"/>
        <w:adjustRightInd w:val="0"/>
        <w:spacing w:line="480" w:lineRule="auto"/>
        <w:ind w:firstLine="720"/>
        <w:rPr>
          <w:szCs w:val="24"/>
        </w:rPr>
      </w:pPr>
      <w:r w:rsidRPr="00AA3DA2">
        <w:rPr>
          <w:szCs w:val="24"/>
        </w:rPr>
        <w:t>This matter involves</w:t>
      </w:r>
      <w:r w:rsidR="001F2A17">
        <w:rPr>
          <w:szCs w:val="24"/>
        </w:rPr>
        <w:t xml:space="preserve"> a </w:t>
      </w:r>
      <w:r>
        <w:rPr>
          <w:szCs w:val="24"/>
        </w:rPr>
        <w:t xml:space="preserve">two-party </w:t>
      </w:r>
      <w:r w:rsidR="001F2A17">
        <w:rPr>
          <w:szCs w:val="24"/>
        </w:rPr>
        <w:t>settlement between the PUCO Staff and energy marketer Inspire Energy Holdings (“Inspire”)</w:t>
      </w:r>
      <w:r w:rsidRPr="00AA3DA2">
        <w:rPr>
          <w:szCs w:val="24"/>
        </w:rPr>
        <w:t xml:space="preserve"> </w:t>
      </w:r>
      <w:r w:rsidR="00FC0D3A">
        <w:rPr>
          <w:szCs w:val="24"/>
        </w:rPr>
        <w:t xml:space="preserve">regarding </w:t>
      </w:r>
      <w:r w:rsidRPr="00AA3DA2">
        <w:rPr>
          <w:szCs w:val="24"/>
        </w:rPr>
        <w:t xml:space="preserve">unconscionable rates being charged to consumers and other misleading, </w:t>
      </w:r>
      <w:proofErr w:type="gramStart"/>
      <w:r w:rsidRPr="00AA3DA2">
        <w:rPr>
          <w:szCs w:val="24"/>
        </w:rPr>
        <w:t>deceptive</w:t>
      </w:r>
      <w:proofErr w:type="gramEnd"/>
      <w:r w:rsidRPr="00AA3DA2">
        <w:rPr>
          <w:szCs w:val="24"/>
        </w:rPr>
        <w:t xml:space="preserve"> and unconscionable practices </w:t>
      </w:r>
      <w:r w:rsidR="00230E34">
        <w:rPr>
          <w:szCs w:val="24"/>
        </w:rPr>
        <w:t>perpetrated against Ohioans</w:t>
      </w:r>
      <w:r w:rsidR="00447E27">
        <w:rPr>
          <w:szCs w:val="24"/>
        </w:rPr>
        <w:t xml:space="preserve"> by </w:t>
      </w:r>
      <w:r w:rsidR="00FC0D3A">
        <w:rPr>
          <w:szCs w:val="24"/>
        </w:rPr>
        <w:t>Inspire</w:t>
      </w:r>
      <w:r w:rsidRPr="00AA3DA2">
        <w:rPr>
          <w:szCs w:val="24"/>
        </w:rPr>
        <w:t>.</w:t>
      </w:r>
      <w:r w:rsidR="00447E27">
        <w:rPr>
          <w:szCs w:val="24"/>
        </w:rPr>
        <w:t xml:space="preserve"> However, no one should be inspired by the PUCO’s </w:t>
      </w:r>
      <w:r w:rsidR="007E4937">
        <w:rPr>
          <w:szCs w:val="24"/>
        </w:rPr>
        <w:t xml:space="preserve">ruling that deprived </w:t>
      </w:r>
      <w:proofErr w:type="gramStart"/>
      <w:r w:rsidR="00447E27">
        <w:rPr>
          <w:szCs w:val="24"/>
        </w:rPr>
        <w:t>consumers</w:t>
      </w:r>
      <w:proofErr w:type="gramEnd"/>
      <w:r w:rsidR="00447E27">
        <w:rPr>
          <w:szCs w:val="24"/>
        </w:rPr>
        <w:t xml:space="preserve"> a voice</w:t>
      </w:r>
      <w:r w:rsidR="007E4937">
        <w:rPr>
          <w:szCs w:val="24"/>
        </w:rPr>
        <w:t xml:space="preserve"> and approved a settlement without</w:t>
      </w:r>
      <w:r>
        <w:rPr>
          <w:szCs w:val="24"/>
        </w:rPr>
        <w:t xml:space="preserve"> supporting testimony and without allowing evidence or argument in opposition to the settlement. OCC, the state’s consumer advocate, was denied intervention </w:t>
      </w:r>
      <w:r w:rsidRPr="00124B8B">
        <w:rPr>
          <w:b/>
          <w:bCs/>
          <w:i/>
          <w:iCs/>
          <w:szCs w:val="24"/>
        </w:rPr>
        <w:t>even though no party</w:t>
      </w:r>
      <w:r>
        <w:rPr>
          <w:szCs w:val="24"/>
        </w:rPr>
        <w:t xml:space="preserve"> </w:t>
      </w:r>
      <w:r w:rsidR="00C84206">
        <w:rPr>
          <w:b/>
          <w:bCs/>
          <w:i/>
          <w:iCs/>
          <w:szCs w:val="24"/>
        </w:rPr>
        <w:t>opposed OCC’s motion to intervene.</w:t>
      </w:r>
      <w:r w:rsidRPr="00AA3DA2">
        <w:rPr>
          <w:szCs w:val="24"/>
        </w:rPr>
        <w:t xml:space="preserve"> </w:t>
      </w:r>
    </w:p>
    <w:p w14:paraId="19F57424" w14:textId="4B5BABAB" w:rsidR="00AA3DA2" w:rsidRDefault="00AE52F3" w:rsidP="004078BE">
      <w:pPr>
        <w:kinsoku w:val="0"/>
        <w:overflowPunct w:val="0"/>
        <w:autoSpaceDE w:val="0"/>
        <w:autoSpaceDN w:val="0"/>
        <w:adjustRightInd w:val="0"/>
        <w:spacing w:line="480" w:lineRule="auto"/>
        <w:ind w:firstLine="720"/>
        <w:rPr>
          <w:szCs w:val="24"/>
        </w:rPr>
      </w:pPr>
      <w:r w:rsidRPr="00AA3DA2">
        <w:rPr>
          <w:szCs w:val="24"/>
        </w:rPr>
        <w:t xml:space="preserve">To uphold its duty to </w:t>
      </w:r>
      <w:r w:rsidR="00FC0D3A">
        <w:rPr>
          <w:szCs w:val="24"/>
        </w:rPr>
        <w:t>consumers</w:t>
      </w:r>
      <w:r w:rsidRPr="00AA3DA2">
        <w:rPr>
          <w:szCs w:val="24"/>
        </w:rPr>
        <w:t xml:space="preserve">, the PUCO must </w:t>
      </w:r>
      <w:r w:rsidR="00C84206">
        <w:rPr>
          <w:szCs w:val="24"/>
        </w:rPr>
        <w:t>do what is right</w:t>
      </w:r>
      <w:r w:rsidR="004078BE">
        <w:rPr>
          <w:szCs w:val="24"/>
        </w:rPr>
        <w:t xml:space="preserve"> by the consumers harmed by Inspire’s unlawful marketing in Ohio. That means the PUCO should (and must)</w:t>
      </w:r>
      <w:r w:rsidR="00C84206">
        <w:rPr>
          <w:szCs w:val="24"/>
        </w:rPr>
        <w:t xml:space="preserve"> </w:t>
      </w:r>
      <w:r w:rsidR="00FC0D3A">
        <w:rPr>
          <w:szCs w:val="24"/>
        </w:rPr>
        <w:t>follow the law (R.C. 4903.221)</w:t>
      </w:r>
      <w:r w:rsidR="004078BE">
        <w:rPr>
          <w:szCs w:val="24"/>
        </w:rPr>
        <w:t xml:space="preserve"> and the PUCO rules</w:t>
      </w:r>
      <w:r w:rsidR="007E7418">
        <w:rPr>
          <w:szCs w:val="24"/>
        </w:rPr>
        <w:t xml:space="preserve"> </w:t>
      </w:r>
      <w:r w:rsidR="00C84206">
        <w:rPr>
          <w:szCs w:val="24"/>
        </w:rPr>
        <w:t xml:space="preserve">and </w:t>
      </w:r>
      <w:r w:rsidRPr="00AA3DA2">
        <w:rPr>
          <w:szCs w:val="24"/>
        </w:rPr>
        <w:t xml:space="preserve">ensure that consumer interests are not sacrificed behind closed doors. Furthermore, the PUCO must let the OCC do its job </w:t>
      </w:r>
      <w:r w:rsidR="004078BE">
        <w:rPr>
          <w:szCs w:val="24"/>
        </w:rPr>
        <w:t xml:space="preserve">of representing consumers </w:t>
      </w:r>
      <w:r w:rsidRPr="00AA3DA2">
        <w:rPr>
          <w:szCs w:val="24"/>
        </w:rPr>
        <w:t>without unnecessary</w:t>
      </w:r>
      <w:r w:rsidR="00FC0D3A">
        <w:rPr>
          <w:szCs w:val="24"/>
        </w:rPr>
        <w:t xml:space="preserve"> </w:t>
      </w:r>
      <w:r w:rsidR="00C84206">
        <w:rPr>
          <w:szCs w:val="24"/>
        </w:rPr>
        <w:t xml:space="preserve">and </w:t>
      </w:r>
      <w:r w:rsidR="00FC0D3A">
        <w:rPr>
          <w:szCs w:val="24"/>
        </w:rPr>
        <w:t>unlawful</w:t>
      </w:r>
      <w:r w:rsidRPr="00AA3DA2">
        <w:rPr>
          <w:szCs w:val="24"/>
        </w:rPr>
        <w:t xml:space="preserve"> roadblocks. </w:t>
      </w:r>
      <w:r w:rsidR="006C32D8">
        <w:rPr>
          <w:szCs w:val="24"/>
        </w:rPr>
        <w:t>T</w:t>
      </w:r>
      <w:r w:rsidRPr="00AA3DA2">
        <w:rPr>
          <w:szCs w:val="24"/>
        </w:rPr>
        <w:t xml:space="preserve">he PUCO </w:t>
      </w:r>
      <w:r w:rsidR="006C32D8">
        <w:rPr>
          <w:szCs w:val="24"/>
        </w:rPr>
        <w:t xml:space="preserve">should </w:t>
      </w:r>
      <w:r w:rsidR="00FC0D3A">
        <w:rPr>
          <w:szCs w:val="24"/>
        </w:rPr>
        <w:t>not deny consumers a voice in this case, through their state legal advocate</w:t>
      </w:r>
      <w:r w:rsidR="006C32D8">
        <w:rPr>
          <w:szCs w:val="24"/>
        </w:rPr>
        <w:t xml:space="preserve"> </w:t>
      </w:r>
      <w:r w:rsidRPr="00AA3DA2">
        <w:rPr>
          <w:szCs w:val="24"/>
        </w:rPr>
        <w:t>OCC</w:t>
      </w:r>
      <w:r w:rsidR="00FC0D3A">
        <w:rPr>
          <w:szCs w:val="24"/>
        </w:rPr>
        <w:t>.</w:t>
      </w:r>
    </w:p>
    <w:p w14:paraId="664A5EFE" w14:textId="4B91D089" w:rsidR="00447E27" w:rsidRPr="00AA3DA2" w:rsidRDefault="00AE52F3" w:rsidP="00447E27">
      <w:pPr>
        <w:kinsoku w:val="0"/>
        <w:overflowPunct w:val="0"/>
        <w:autoSpaceDE w:val="0"/>
        <w:autoSpaceDN w:val="0"/>
        <w:adjustRightInd w:val="0"/>
        <w:spacing w:line="480" w:lineRule="auto"/>
        <w:ind w:firstLine="720"/>
        <w:rPr>
          <w:szCs w:val="24"/>
        </w:rPr>
      </w:pPr>
      <w:r w:rsidRPr="00AA3DA2">
        <w:rPr>
          <w:szCs w:val="24"/>
        </w:rPr>
        <w:t xml:space="preserve">The OCC calls upon the PUCO to grant a rehearing in this matter, rectify its </w:t>
      </w:r>
      <w:r w:rsidR="004078BE">
        <w:rPr>
          <w:szCs w:val="24"/>
        </w:rPr>
        <w:t xml:space="preserve">numerous </w:t>
      </w:r>
      <w:r w:rsidRPr="00AA3DA2">
        <w:rPr>
          <w:szCs w:val="24"/>
        </w:rPr>
        <w:t>procedural errors, and ensure a fair and transparent process that includes:</w:t>
      </w:r>
    </w:p>
    <w:p w14:paraId="67F2F93A" w14:textId="079AC676" w:rsidR="00447E27" w:rsidRPr="00AA3DA2" w:rsidRDefault="00AE52F3" w:rsidP="00CC2BE3">
      <w:pPr>
        <w:numPr>
          <w:ilvl w:val="0"/>
          <w:numId w:val="5"/>
        </w:numPr>
        <w:tabs>
          <w:tab w:val="clear" w:pos="720"/>
        </w:tabs>
        <w:kinsoku w:val="0"/>
        <w:overflowPunct w:val="0"/>
        <w:autoSpaceDE w:val="0"/>
        <w:autoSpaceDN w:val="0"/>
        <w:adjustRightInd w:val="0"/>
        <w:spacing w:line="480" w:lineRule="auto"/>
        <w:ind w:left="1440" w:hanging="720"/>
        <w:rPr>
          <w:szCs w:val="24"/>
        </w:rPr>
      </w:pPr>
      <w:r>
        <w:rPr>
          <w:szCs w:val="24"/>
        </w:rPr>
        <w:lastRenderedPageBreak/>
        <w:t>I</w:t>
      </w:r>
      <w:r w:rsidRPr="00AA3DA2">
        <w:rPr>
          <w:szCs w:val="24"/>
        </w:rPr>
        <w:t>ntervention by the OCC to represent consumer interests</w:t>
      </w:r>
      <w:r w:rsidR="00FC0D3A">
        <w:rPr>
          <w:szCs w:val="24"/>
        </w:rPr>
        <w:t>;</w:t>
      </w:r>
    </w:p>
    <w:p w14:paraId="102B7CDD" w14:textId="3292D6A3" w:rsidR="00230E34" w:rsidRPr="00E92890" w:rsidRDefault="00AE52F3" w:rsidP="00230E34">
      <w:pPr>
        <w:pStyle w:val="ListParagraph"/>
        <w:numPr>
          <w:ilvl w:val="0"/>
          <w:numId w:val="5"/>
        </w:numPr>
        <w:tabs>
          <w:tab w:val="clear" w:pos="720"/>
        </w:tabs>
        <w:kinsoku w:val="0"/>
        <w:overflowPunct w:val="0"/>
        <w:autoSpaceDE w:val="0"/>
        <w:autoSpaceDN w:val="0"/>
        <w:adjustRightInd w:val="0"/>
        <w:spacing w:line="480" w:lineRule="auto"/>
        <w:ind w:firstLine="0"/>
      </w:pPr>
      <w:r>
        <w:t>The opportunity for public testimony</w:t>
      </w:r>
      <w:r w:rsidR="007E7418">
        <w:t>;</w:t>
      </w:r>
    </w:p>
    <w:p w14:paraId="6F5016C3" w14:textId="6EBD9BBF" w:rsidR="00447E27" w:rsidRPr="00AA3DA2" w:rsidRDefault="00AE52F3" w:rsidP="00CC2BE3">
      <w:pPr>
        <w:numPr>
          <w:ilvl w:val="0"/>
          <w:numId w:val="5"/>
        </w:numPr>
        <w:tabs>
          <w:tab w:val="clear" w:pos="720"/>
        </w:tabs>
        <w:kinsoku w:val="0"/>
        <w:overflowPunct w:val="0"/>
        <w:autoSpaceDE w:val="0"/>
        <w:autoSpaceDN w:val="0"/>
        <w:adjustRightInd w:val="0"/>
        <w:spacing w:line="480" w:lineRule="auto"/>
        <w:ind w:left="1440" w:hanging="720"/>
        <w:rPr>
          <w:szCs w:val="24"/>
        </w:rPr>
      </w:pPr>
      <w:r w:rsidRPr="00AA3DA2">
        <w:rPr>
          <w:szCs w:val="24"/>
        </w:rPr>
        <w:t>A procedural schedule</w:t>
      </w:r>
      <w:r>
        <w:rPr>
          <w:szCs w:val="24"/>
        </w:rPr>
        <w:t xml:space="preserve"> with </w:t>
      </w:r>
      <w:r w:rsidR="00FC0D3A">
        <w:rPr>
          <w:szCs w:val="24"/>
        </w:rPr>
        <w:t>discovery so that OCC can review the proposed settlement between the PUCO Staff and Inspire;</w:t>
      </w:r>
    </w:p>
    <w:p w14:paraId="20B385CE" w14:textId="78FDFD0D" w:rsidR="00C12BF9" w:rsidRDefault="00AE52F3" w:rsidP="00CC2BE3">
      <w:pPr>
        <w:numPr>
          <w:ilvl w:val="0"/>
          <w:numId w:val="5"/>
        </w:numPr>
        <w:tabs>
          <w:tab w:val="clear" w:pos="720"/>
        </w:tabs>
        <w:kinsoku w:val="0"/>
        <w:overflowPunct w:val="0"/>
        <w:autoSpaceDE w:val="0"/>
        <w:autoSpaceDN w:val="0"/>
        <w:adjustRightInd w:val="0"/>
        <w:spacing w:line="480" w:lineRule="auto"/>
        <w:ind w:left="1440" w:hanging="720"/>
        <w:rPr>
          <w:szCs w:val="24"/>
        </w:rPr>
      </w:pPr>
      <w:r>
        <w:rPr>
          <w:szCs w:val="24"/>
        </w:rPr>
        <w:t>The filing of testimony of at least one signatory party that supports the settlement</w:t>
      </w:r>
      <w:r w:rsidR="00230E34">
        <w:rPr>
          <w:szCs w:val="24"/>
        </w:rPr>
        <w:t>;</w:t>
      </w:r>
    </w:p>
    <w:p w14:paraId="6E8617DF" w14:textId="28103130" w:rsidR="00447E27" w:rsidRPr="00AA3DA2" w:rsidRDefault="00AE52F3" w:rsidP="00CC2BE3">
      <w:pPr>
        <w:numPr>
          <w:ilvl w:val="0"/>
          <w:numId w:val="5"/>
        </w:numPr>
        <w:tabs>
          <w:tab w:val="clear" w:pos="720"/>
        </w:tabs>
        <w:kinsoku w:val="0"/>
        <w:overflowPunct w:val="0"/>
        <w:autoSpaceDE w:val="0"/>
        <w:autoSpaceDN w:val="0"/>
        <w:adjustRightInd w:val="0"/>
        <w:spacing w:line="480" w:lineRule="auto"/>
        <w:ind w:left="1440" w:hanging="720"/>
        <w:rPr>
          <w:szCs w:val="24"/>
        </w:rPr>
      </w:pPr>
      <w:r w:rsidRPr="00AA3DA2">
        <w:rPr>
          <w:szCs w:val="24"/>
        </w:rPr>
        <w:t>An evidentiary hearing where evidence is properly submitted and examined</w:t>
      </w:r>
      <w:r w:rsidR="00C12BF9">
        <w:rPr>
          <w:szCs w:val="24"/>
        </w:rPr>
        <w:t xml:space="preserve"> and parties that do not join the </w:t>
      </w:r>
      <w:r w:rsidR="00230E34">
        <w:rPr>
          <w:szCs w:val="24"/>
        </w:rPr>
        <w:t>settlement</w:t>
      </w:r>
      <w:r w:rsidR="00C12BF9">
        <w:rPr>
          <w:szCs w:val="24"/>
        </w:rPr>
        <w:t xml:space="preserve"> may offer evidence and/or argument in op</w:t>
      </w:r>
      <w:r w:rsidR="00230E34">
        <w:rPr>
          <w:szCs w:val="24"/>
        </w:rPr>
        <w:t>p</w:t>
      </w:r>
      <w:r w:rsidR="00C12BF9">
        <w:rPr>
          <w:szCs w:val="24"/>
        </w:rPr>
        <w:t>osition</w:t>
      </w:r>
      <w:r w:rsidR="007E7418">
        <w:rPr>
          <w:szCs w:val="24"/>
        </w:rPr>
        <w:t>; and</w:t>
      </w:r>
    </w:p>
    <w:p w14:paraId="3B665DD5" w14:textId="294EA88B" w:rsidR="00447E27" w:rsidRDefault="00AE52F3" w:rsidP="00CC2BE3">
      <w:pPr>
        <w:pStyle w:val="ListParagraph"/>
        <w:numPr>
          <w:ilvl w:val="0"/>
          <w:numId w:val="5"/>
        </w:numPr>
        <w:tabs>
          <w:tab w:val="clear" w:pos="720"/>
        </w:tabs>
        <w:kinsoku w:val="0"/>
        <w:overflowPunct w:val="0"/>
        <w:autoSpaceDE w:val="0"/>
        <w:autoSpaceDN w:val="0"/>
        <w:adjustRightInd w:val="0"/>
        <w:spacing w:line="480" w:lineRule="auto"/>
        <w:ind w:firstLine="0"/>
      </w:pPr>
      <w:r w:rsidRPr="00E92890">
        <w:t>A thorough examination of the evidence and legal arguments.</w:t>
      </w:r>
    </w:p>
    <w:p w14:paraId="382F8072" w14:textId="51D57C6D" w:rsidR="0042350A" w:rsidRPr="00B012A9" w:rsidRDefault="00AE52F3" w:rsidP="00C55606">
      <w:pPr>
        <w:kinsoku w:val="0"/>
        <w:overflowPunct w:val="0"/>
        <w:autoSpaceDE w:val="0"/>
        <w:autoSpaceDN w:val="0"/>
        <w:adjustRightInd w:val="0"/>
        <w:spacing w:line="480" w:lineRule="auto"/>
        <w:ind w:firstLine="720"/>
        <w:rPr>
          <w:szCs w:val="24"/>
        </w:rPr>
      </w:pPr>
      <w:r>
        <w:rPr>
          <w:szCs w:val="24"/>
        </w:rPr>
        <w:t>U</w:t>
      </w:r>
      <w:r w:rsidR="00C2012B" w:rsidRPr="00AA3DA2">
        <w:rPr>
          <w:szCs w:val="24"/>
        </w:rPr>
        <w:t>nder R.C. 4903.10, OCC applies for rehearing of the Order.</w:t>
      </w:r>
      <w:r w:rsidR="00C2012B" w:rsidRPr="00B012A9">
        <w:rPr>
          <w:szCs w:val="24"/>
        </w:rPr>
        <w:t xml:space="preserve"> </w:t>
      </w:r>
      <w:r w:rsidR="00D07026">
        <w:rPr>
          <w:szCs w:val="24"/>
        </w:rPr>
        <w:t>T</w:t>
      </w:r>
      <w:r w:rsidR="00C2012B" w:rsidRPr="00B012A9">
        <w:rPr>
          <w:szCs w:val="24"/>
        </w:rPr>
        <w:t xml:space="preserve">he PUCO’s Order was unlawful and unreasonable in the following respects: </w:t>
      </w:r>
    </w:p>
    <w:p w14:paraId="77E97E23" w14:textId="46DA4E9E" w:rsidR="00865360" w:rsidRDefault="00AE52F3" w:rsidP="0042350A">
      <w:pPr>
        <w:widowControl w:val="0"/>
        <w:ind w:left="720"/>
        <w:rPr>
          <w:szCs w:val="24"/>
        </w:rPr>
      </w:pPr>
      <w:r w:rsidRPr="00E132FF">
        <w:rPr>
          <w:szCs w:val="24"/>
        </w:rPr>
        <w:t xml:space="preserve">ASSIGNMENT OF ERROR 1: </w:t>
      </w:r>
      <w:r w:rsidR="006E1510" w:rsidRPr="006E1510">
        <w:rPr>
          <w:szCs w:val="24"/>
        </w:rPr>
        <w:t xml:space="preserve">The PUCO erred </w:t>
      </w:r>
      <w:r w:rsidR="00C12BF9">
        <w:rPr>
          <w:szCs w:val="24"/>
        </w:rPr>
        <w:t xml:space="preserve">and abused its discretion </w:t>
      </w:r>
      <w:r w:rsidR="006E1510" w:rsidRPr="006E1510">
        <w:rPr>
          <w:szCs w:val="24"/>
        </w:rPr>
        <w:t xml:space="preserve">by </w:t>
      </w:r>
      <w:r w:rsidR="00C55606">
        <w:rPr>
          <w:szCs w:val="24"/>
        </w:rPr>
        <w:t xml:space="preserve">denying </w:t>
      </w:r>
      <w:r w:rsidR="006E1510" w:rsidRPr="006E1510">
        <w:rPr>
          <w:szCs w:val="24"/>
        </w:rPr>
        <w:t>OCC’s motion to intervene</w:t>
      </w:r>
      <w:r w:rsidR="00C55606">
        <w:rPr>
          <w:szCs w:val="24"/>
        </w:rPr>
        <w:t xml:space="preserve"> to advocate for residential utility consumers</w:t>
      </w:r>
      <w:r w:rsidR="004A08AE">
        <w:rPr>
          <w:szCs w:val="24"/>
        </w:rPr>
        <w:t xml:space="preserve"> </w:t>
      </w:r>
      <w:r w:rsidR="00C12BF9">
        <w:rPr>
          <w:szCs w:val="24"/>
        </w:rPr>
        <w:t xml:space="preserve">served by Inspire violating </w:t>
      </w:r>
      <w:r w:rsidR="006E1510" w:rsidRPr="006E1510">
        <w:rPr>
          <w:szCs w:val="24"/>
        </w:rPr>
        <w:t>R.C. 4903.221</w:t>
      </w:r>
      <w:r w:rsidR="00C12BF9">
        <w:rPr>
          <w:szCs w:val="24"/>
        </w:rPr>
        <w:t>,</w:t>
      </w:r>
      <w:r w:rsidR="00C55606">
        <w:rPr>
          <w:szCs w:val="24"/>
        </w:rPr>
        <w:t xml:space="preserve"> Supreme Court of Ohio precedent in </w:t>
      </w:r>
      <w:r w:rsidR="00C55606" w:rsidRPr="00E2616E">
        <w:rPr>
          <w:i/>
          <w:iCs/>
          <w:szCs w:val="24"/>
        </w:rPr>
        <w:t>Ohio Consumers</w:t>
      </w:r>
      <w:r w:rsidR="00C55606">
        <w:rPr>
          <w:i/>
          <w:iCs/>
          <w:szCs w:val="24"/>
        </w:rPr>
        <w:t>’</w:t>
      </w:r>
      <w:r w:rsidR="00C55606" w:rsidRPr="00E2616E">
        <w:rPr>
          <w:i/>
          <w:iCs/>
          <w:szCs w:val="24"/>
        </w:rPr>
        <w:t xml:space="preserve"> Counsel v. PUC</w:t>
      </w:r>
      <w:r w:rsidR="00D90460">
        <w:rPr>
          <w:szCs w:val="24"/>
        </w:rPr>
        <w:t>,</w:t>
      </w:r>
      <w:r>
        <w:rPr>
          <w:rStyle w:val="FootnoteReference"/>
          <w:szCs w:val="24"/>
        </w:rPr>
        <w:footnoteReference w:id="1"/>
      </w:r>
      <w:r w:rsidR="00D90460">
        <w:rPr>
          <w:szCs w:val="24"/>
        </w:rPr>
        <w:t xml:space="preserve"> and O.A.C. 4901-1-11</w:t>
      </w:r>
      <w:r w:rsidR="006E1510" w:rsidRPr="006E1510">
        <w:rPr>
          <w:szCs w:val="24"/>
        </w:rPr>
        <w:t xml:space="preserve">. </w:t>
      </w:r>
      <w:r w:rsidR="00A81260">
        <w:rPr>
          <w:szCs w:val="24"/>
        </w:rPr>
        <w:t>The PUCO also erred in denying intervention and failing to otherwise consider OCC’s interests in its Order resolving the proceeding.</w:t>
      </w:r>
      <w:r w:rsidR="004A08AE">
        <w:rPr>
          <w:szCs w:val="24"/>
        </w:rPr>
        <w:t xml:space="preserve">  </w:t>
      </w:r>
    </w:p>
    <w:p w14:paraId="7E47249A" w14:textId="77777777" w:rsidR="00E132FF" w:rsidRPr="00202CEF" w:rsidRDefault="00E132FF" w:rsidP="0042350A">
      <w:pPr>
        <w:widowControl w:val="0"/>
        <w:ind w:left="720"/>
        <w:rPr>
          <w:szCs w:val="24"/>
        </w:rPr>
      </w:pPr>
    </w:p>
    <w:p w14:paraId="515ACD17" w14:textId="261AAD2C" w:rsidR="00202CEF" w:rsidRDefault="00AE52F3" w:rsidP="0042350A">
      <w:pPr>
        <w:widowControl w:val="0"/>
        <w:ind w:left="720"/>
        <w:rPr>
          <w:szCs w:val="24"/>
        </w:rPr>
      </w:pPr>
      <w:r w:rsidRPr="00E132FF">
        <w:rPr>
          <w:szCs w:val="24"/>
        </w:rPr>
        <w:t xml:space="preserve">ASSIGNMENT OF ERROR 2: </w:t>
      </w:r>
      <w:r w:rsidR="006E1510" w:rsidRPr="006E1510">
        <w:rPr>
          <w:szCs w:val="24"/>
        </w:rPr>
        <w:t>The PUCO erred by</w:t>
      </w:r>
      <w:r w:rsidR="00452C35">
        <w:rPr>
          <w:szCs w:val="24"/>
        </w:rPr>
        <w:t xml:space="preserve"> denying OCC’s motion to intervene when it</w:t>
      </w:r>
      <w:r w:rsidR="00D90460">
        <w:rPr>
          <w:szCs w:val="24"/>
        </w:rPr>
        <w:t xml:space="preserve"> </w:t>
      </w:r>
      <w:r w:rsidR="00452C35">
        <w:rPr>
          <w:szCs w:val="24"/>
        </w:rPr>
        <w:t>unreasonably construed OCC’s interests as mere policy recommendations and ign</w:t>
      </w:r>
      <w:r w:rsidR="00C12BF9">
        <w:rPr>
          <w:szCs w:val="24"/>
        </w:rPr>
        <w:t xml:space="preserve">ored </w:t>
      </w:r>
      <w:r w:rsidR="00D90460">
        <w:rPr>
          <w:szCs w:val="24"/>
        </w:rPr>
        <w:t xml:space="preserve">OCC’s </w:t>
      </w:r>
      <w:r w:rsidR="00C12BF9">
        <w:rPr>
          <w:szCs w:val="24"/>
        </w:rPr>
        <w:t>recommended modifications to the settlement</w:t>
      </w:r>
      <w:r w:rsidR="007E35CA">
        <w:rPr>
          <w:szCs w:val="24"/>
        </w:rPr>
        <w:t>.</w:t>
      </w:r>
      <w:r w:rsidR="004A08AE">
        <w:rPr>
          <w:szCs w:val="24"/>
        </w:rPr>
        <w:t xml:space="preserve"> </w:t>
      </w:r>
      <w:r w:rsidR="007E35CA">
        <w:rPr>
          <w:szCs w:val="24"/>
        </w:rPr>
        <w:t xml:space="preserve">The PUCO violated R.C. 4903.09 when it mistakenly construed OCC’s arguments </w:t>
      </w:r>
      <w:r w:rsidR="00D851BB">
        <w:rPr>
          <w:szCs w:val="24"/>
        </w:rPr>
        <w:t xml:space="preserve">as it </w:t>
      </w:r>
      <w:r w:rsidR="00DC6D02">
        <w:rPr>
          <w:szCs w:val="24"/>
        </w:rPr>
        <w:t>render</w:t>
      </w:r>
      <w:r w:rsidR="00D851BB">
        <w:rPr>
          <w:szCs w:val="24"/>
        </w:rPr>
        <w:t>ed</w:t>
      </w:r>
      <w:r w:rsidR="007E35CA">
        <w:rPr>
          <w:szCs w:val="24"/>
        </w:rPr>
        <w:t xml:space="preserve"> an opinion without </w:t>
      </w:r>
      <w:proofErr w:type="gramStart"/>
      <w:r w:rsidR="007E35CA">
        <w:rPr>
          <w:szCs w:val="24"/>
        </w:rPr>
        <w:t>record</w:t>
      </w:r>
      <w:proofErr w:type="gramEnd"/>
      <w:r w:rsidR="007E35CA">
        <w:rPr>
          <w:szCs w:val="24"/>
        </w:rPr>
        <w:t xml:space="preserve"> support.</w:t>
      </w:r>
    </w:p>
    <w:p w14:paraId="1A8D2B82" w14:textId="77777777" w:rsidR="00E132FF" w:rsidRPr="00202CEF" w:rsidRDefault="00E132FF" w:rsidP="0042350A">
      <w:pPr>
        <w:widowControl w:val="0"/>
        <w:ind w:left="720"/>
        <w:rPr>
          <w:szCs w:val="24"/>
        </w:rPr>
      </w:pPr>
    </w:p>
    <w:p w14:paraId="36620DC9" w14:textId="2922B5D3" w:rsidR="00202CEF" w:rsidRDefault="00AE52F3" w:rsidP="007520ED">
      <w:pPr>
        <w:widowControl w:val="0"/>
        <w:ind w:left="720"/>
        <w:rPr>
          <w:szCs w:val="24"/>
        </w:rPr>
      </w:pPr>
      <w:r w:rsidRPr="00E132FF">
        <w:rPr>
          <w:szCs w:val="24"/>
        </w:rPr>
        <w:t xml:space="preserve">ASSIGNMENT OF ERROR 3: </w:t>
      </w:r>
      <w:r w:rsidR="006E1510" w:rsidRPr="006E1510">
        <w:rPr>
          <w:szCs w:val="24"/>
        </w:rPr>
        <w:t xml:space="preserve">The PUCO erred </w:t>
      </w:r>
      <w:r w:rsidR="004C6C6B">
        <w:rPr>
          <w:szCs w:val="24"/>
        </w:rPr>
        <w:t>when it failed to establish a procedural schedule,</w:t>
      </w:r>
      <w:r w:rsidR="00C856F2">
        <w:rPr>
          <w:szCs w:val="24"/>
        </w:rPr>
        <w:t xml:space="preserve"> providing for due process for Inspire’s consumers</w:t>
      </w:r>
      <w:r w:rsidR="004C6C6B">
        <w:rPr>
          <w:szCs w:val="24"/>
        </w:rPr>
        <w:t xml:space="preserve"> including the opportunity for discovery</w:t>
      </w:r>
      <w:r w:rsidR="00C856F2">
        <w:rPr>
          <w:szCs w:val="24"/>
        </w:rPr>
        <w:t xml:space="preserve"> </w:t>
      </w:r>
      <w:r w:rsidR="004C6C6B">
        <w:rPr>
          <w:szCs w:val="24"/>
        </w:rPr>
        <w:t>and an evidentiary hearing</w:t>
      </w:r>
      <w:r w:rsidR="00C856F2">
        <w:rPr>
          <w:szCs w:val="24"/>
        </w:rPr>
        <w:t xml:space="preserve">. The PUCO </w:t>
      </w:r>
      <w:r w:rsidR="004C6C6B">
        <w:rPr>
          <w:szCs w:val="24"/>
        </w:rPr>
        <w:t xml:space="preserve">unreasonably </w:t>
      </w:r>
      <w:r w:rsidR="006E1510" w:rsidRPr="006E1510">
        <w:rPr>
          <w:szCs w:val="24"/>
        </w:rPr>
        <w:t>depriv</w:t>
      </w:r>
      <w:r w:rsidR="00C856F2">
        <w:rPr>
          <w:szCs w:val="24"/>
        </w:rPr>
        <w:t>ed</w:t>
      </w:r>
      <w:r w:rsidR="006E1510" w:rsidRPr="006E1510">
        <w:rPr>
          <w:szCs w:val="24"/>
        </w:rPr>
        <w:t xml:space="preserve"> </w:t>
      </w:r>
      <w:r w:rsidR="004C6C6B">
        <w:rPr>
          <w:szCs w:val="24"/>
        </w:rPr>
        <w:t xml:space="preserve">Ohio residential </w:t>
      </w:r>
      <w:proofErr w:type="gramStart"/>
      <w:r w:rsidR="004C6C6B">
        <w:rPr>
          <w:szCs w:val="24"/>
        </w:rPr>
        <w:t>consumers</w:t>
      </w:r>
      <w:proofErr w:type="gramEnd"/>
      <w:r w:rsidR="004C6C6B">
        <w:rPr>
          <w:szCs w:val="24"/>
        </w:rPr>
        <w:t xml:space="preserve"> </w:t>
      </w:r>
      <w:r w:rsidR="006E1510" w:rsidRPr="006E1510">
        <w:rPr>
          <w:szCs w:val="24"/>
        </w:rPr>
        <w:t>the opportunity to be heard</w:t>
      </w:r>
      <w:r w:rsidR="004C6C6B">
        <w:rPr>
          <w:szCs w:val="24"/>
        </w:rPr>
        <w:t xml:space="preserve"> through their state legal advocate, OCC, regarding the settlement between the PUCO Staff and Inspire</w:t>
      </w:r>
      <w:r w:rsidR="006E1510" w:rsidRPr="006E1510">
        <w:rPr>
          <w:szCs w:val="24"/>
        </w:rPr>
        <w:t>.</w:t>
      </w:r>
      <w:r w:rsidR="00772274">
        <w:rPr>
          <w:szCs w:val="24"/>
        </w:rPr>
        <w:t xml:space="preserve"> And the PUCO, by failing to hold a hearing</w:t>
      </w:r>
      <w:r w:rsidR="0069209C">
        <w:rPr>
          <w:szCs w:val="24"/>
        </w:rPr>
        <w:t xml:space="preserve"> violated 4901</w:t>
      </w:r>
      <w:r w:rsidR="00230E34">
        <w:rPr>
          <w:szCs w:val="24"/>
        </w:rPr>
        <w:t>:</w:t>
      </w:r>
      <w:r w:rsidR="0069209C">
        <w:rPr>
          <w:szCs w:val="24"/>
        </w:rPr>
        <w:t>1-23-05 and 4901</w:t>
      </w:r>
      <w:r w:rsidR="00230E34">
        <w:rPr>
          <w:szCs w:val="24"/>
        </w:rPr>
        <w:t>:</w:t>
      </w:r>
      <w:r w:rsidR="0069209C">
        <w:rPr>
          <w:szCs w:val="24"/>
        </w:rPr>
        <w:t xml:space="preserve">1-34-06 and </w:t>
      </w:r>
      <w:r w:rsidR="00772274">
        <w:rPr>
          <w:szCs w:val="24"/>
        </w:rPr>
        <w:t>deprived members of the public, not parties to the proceeding, the opportunity to offer testimony, violating 4901-1-27(C).</w:t>
      </w:r>
      <w:r w:rsidR="004A08AE">
        <w:rPr>
          <w:szCs w:val="24"/>
        </w:rPr>
        <w:t xml:space="preserve"> </w:t>
      </w:r>
      <w:r w:rsidR="002219D8">
        <w:rPr>
          <w:szCs w:val="24"/>
        </w:rPr>
        <w:t xml:space="preserve">The </w:t>
      </w:r>
      <w:r w:rsidR="002219D8">
        <w:rPr>
          <w:szCs w:val="24"/>
        </w:rPr>
        <w:lastRenderedPageBreak/>
        <w:t>PUCO also did not comply with its own rules related to settlements (4901-1-30(D)</w:t>
      </w:r>
      <w:r w:rsidR="00DC6D02">
        <w:rPr>
          <w:szCs w:val="24"/>
        </w:rPr>
        <w:t>)</w:t>
      </w:r>
      <w:r w:rsidR="002219D8">
        <w:rPr>
          <w:szCs w:val="24"/>
        </w:rPr>
        <w:t xml:space="preserve"> that requires parties who file a stipulation to file or provide testimony of at least one signatory party that supports the stipulation.</w:t>
      </w:r>
      <w:r w:rsidR="004A08AE">
        <w:rPr>
          <w:szCs w:val="24"/>
        </w:rPr>
        <w:t xml:space="preserve"> </w:t>
      </w:r>
    </w:p>
    <w:p w14:paraId="7E594CDA" w14:textId="77777777" w:rsidR="006E1510" w:rsidRDefault="006E1510" w:rsidP="008275E4">
      <w:pPr>
        <w:widowControl w:val="0"/>
        <w:rPr>
          <w:szCs w:val="24"/>
        </w:rPr>
      </w:pPr>
    </w:p>
    <w:p w14:paraId="0F830734" w14:textId="77777777" w:rsidR="00B47CF2" w:rsidRDefault="00AE52F3" w:rsidP="00B47CF2">
      <w:pPr>
        <w:widowControl w:val="0"/>
        <w:ind w:left="720"/>
        <w:rPr>
          <w:szCs w:val="24"/>
        </w:rPr>
      </w:pPr>
      <w:r w:rsidRPr="00E92890">
        <w:rPr>
          <w:szCs w:val="24"/>
        </w:rPr>
        <w:t xml:space="preserve">ASSIGNMENT OF ERROR </w:t>
      </w:r>
      <w:r>
        <w:rPr>
          <w:szCs w:val="24"/>
        </w:rPr>
        <w:t>4</w:t>
      </w:r>
      <w:r w:rsidRPr="00E92890">
        <w:rPr>
          <w:szCs w:val="24"/>
        </w:rPr>
        <w:t xml:space="preserve">: </w:t>
      </w:r>
      <w:r>
        <w:rPr>
          <w:szCs w:val="24"/>
        </w:rPr>
        <w:t xml:space="preserve">The </w:t>
      </w:r>
      <w:r w:rsidRPr="006E1510">
        <w:rPr>
          <w:szCs w:val="24"/>
        </w:rPr>
        <w:t>PUCO erred</w:t>
      </w:r>
      <w:r>
        <w:rPr>
          <w:szCs w:val="24"/>
        </w:rPr>
        <w:t xml:space="preserve"> in</w:t>
      </w:r>
      <w:r w:rsidRPr="006E1510">
        <w:rPr>
          <w:szCs w:val="24"/>
        </w:rPr>
        <w:t xml:space="preserve"> </w:t>
      </w:r>
      <w:r>
        <w:rPr>
          <w:szCs w:val="24"/>
        </w:rPr>
        <w:t xml:space="preserve">relying on </w:t>
      </w:r>
      <w:r w:rsidRPr="006E1510">
        <w:rPr>
          <w:i/>
          <w:iCs/>
          <w:szCs w:val="24"/>
        </w:rPr>
        <w:t xml:space="preserve">Ohio </w:t>
      </w:r>
      <w:r w:rsidRPr="006E1510">
        <w:rPr>
          <w:i/>
          <w:iCs/>
          <w:szCs w:val="24"/>
        </w:rPr>
        <w:t>Domestic Violence Network</w:t>
      </w:r>
      <w:r>
        <w:rPr>
          <w:i/>
          <w:iCs/>
          <w:szCs w:val="24"/>
        </w:rPr>
        <w:t xml:space="preserve"> v. Pub. Util. Comm.</w:t>
      </w:r>
      <w:r>
        <w:rPr>
          <w:szCs w:val="24"/>
        </w:rPr>
        <w:t xml:space="preserve">, 70 Ohio St.3d 311, 638 N.E.2d 1012 (1994) in </w:t>
      </w:r>
      <w:r w:rsidRPr="006E1510">
        <w:rPr>
          <w:szCs w:val="24"/>
        </w:rPr>
        <w:t>denying the OCC intervention</w:t>
      </w:r>
      <w:r>
        <w:rPr>
          <w:szCs w:val="24"/>
        </w:rPr>
        <w:t xml:space="preserve">, when more recent Supreme Court of Ohio precedent, </w:t>
      </w:r>
      <w:r w:rsidRPr="006E1510">
        <w:rPr>
          <w:i/>
          <w:iCs/>
          <w:szCs w:val="24"/>
        </w:rPr>
        <w:t>Ohio Consumers’ Counsel v. PUC</w:t>
      </w:r>
      <w:r>
        <w:rPr>
          <w:szCs w:val="24"/>
        </w:rPr>
        <w:t>, 2006-Ohio-5853 overrules that case and provides that intervention should be liberally allowed even where the PUCO does not require a hearing.</w:t>
      </w:r>
    </w:p>
    <w:p w14:paraId="30B81E0C" w14:textId="77777777" w:rsidR="00B47CF2" w:rsidRDefault="00B47CF2" w:rsidP="00B47CF2">
      <w:pPr>
        <w:widowControl w:val="0"/>
        <w:ind w:left="720"/>
        <w:rPr>
          <w:szCs w:val="24"/>
        </w:rPr>
      </w:pPr>
    </w:p>
    <w:p w14:paraId="129ECB76" w14:textId="063B5F06" w:rsidR="00230E34" w:rsidRDefault="00AE52F3" w:rsidP="00BF7957">
      <w:pPr>
        <w:ind w:left="720"/>
        <w:rPr>
          <w:b/>
        </w:rPr>
      </w:pPr>
      <w:r w:rsidRPr="00230E34">
        <w:rPr>
          <w:szCs w:val="24"/>
        </w:rPr>
        <w:t xml:space="preserve">ASSIGNMENT OF ERROR </w:t>
      </w:r>
      <w:r w:rsidR="003A1F8D" w:rsidRPr="00230E34">
        <w:rPr>
          <w:szCs w:val="24"/>
        </w:rPr>
        <w:t>5</w:t>
      </w:r>
      <w:r w:rsidRPr="00230E34">
        <w:rPr>
          <w:szCs w:val="24"/>
        </w:rPr>
        <w:t>:</w:t>
      </w:r>
      <w:r w:rsidRPr="00230E34">
        <w:t xml:space="preserve"> The PUCO erred in finding the stipulation reasonable and in finding that the settlement meets the PUCO’s three prong test for approving settlements.</w:t>
      </w:r>
      <w:r w:rsidR="004A08AE">
        <w:rPr>
          <w:b/>
        </w:rPr>
        <w:t xml:space="preserve"> </w:t>
      </w:r>
    </w:p>
    <w:p w14:paraId="57A4D635" w14:textId="77777777" w:rsidR="00BF7957" w:rsidRPr="00230E34" w:rsidRDefault="00BF7957" w:rsidP="00BF7957">
      <w:pPr>
        <w:ind w:left="720"/>
        <w:rPr>
          <w:b/>
        </w:rPr>
      </w:pPr>
    </w:p>
    <w:p w14:paraId="26C78567" w14:textId="1064957F" w:rsidR="00A81260" w:rsidRDefault="00AE52F3" w:rsidP="0042350A">
      <w:pPr>
        <w:widowControl w:val="0"/>
        <w:ind w:left="720"/>
        <w:rPr>
          <w:szCs w:val="24"/>
        </w:rPr>
      </w:pPr>
      <w:r>
        <w:rPr>
          <w:szCs w:val="24"/>
        </w:rPr>
        <w:t xml:space="preserve">ASSIGNMENT OF ERROR </w:t>
      </w:r>
      <w:r w:rsidR="003A1F8D">
        <w:rPr>
          <w:szCs w:val="24"/>
        </w:rPr>
        <w:t>6</w:t>
      </w:r>
      <w:r>
        <w:rPr>
          <w:szCs w:val="24"/>
        </w:rPr>
        <w:t>:</w:t>
      </w:r>
      <w:r w:rsidR="004A08AE">
        <w:rPr>
          <w:szCs w:val="24"/>
        </w:rPr>
        <w:t xml:space="preserve"> </w:t>
      </w:r>
      <w:r>
        <w:rPr>
          <w:szCs w:val="24"/>
        </w:rPr>
        <w:t xml:space="preserve">The PUCO erred in permitting its Staff to circumvent its rules and the laws intended to </w:t>
      </w:r>
      <w:r w:rsidR="00772274">
        <w:rPr>
          <w:szCs w:val="24"/>
        </w:rPr>
        <w:t xml:space="preserve">allow for public proceedings, </w:t>
      </w:r>
      <w:proofErr w:type="gramStart"/>
      <w:r w:rsidR="00772274">
        <w:rPr>
          <w:szCs w:val="24"/>
        </w:rPr>
        <w:t>documents</w:t>
      </w:r>
      <w:proofErr w:type="gramEnd"/>
      <w:r w:rsidR="00772274">
        <w:rPr>
          <w:szCs w:val="24"/>
        </w:rPr>
        <w:t xml:space="preserve"> and records, violating R.C. 4901.12</w:t>
      </w:r>
      <w:r w:rsidR="0069209C">
        <w:rPr>
          <w:szCs w:val="24"/>
        </w:rPr>
        <w:t>.</w:t>
      </w:r>
      <w:r w:rsidR="00772274">
        <w:rPr>
          <w:szCs w:val="24"/>
        </w:rPr>
        <w:t xml:space="preserve"> </w:t>
      </w:r>
    </w:p>
    <w:p w14:paraId="54E4FF67" w14:textId="77777777" w:rsidR="00E92890" w:rsidRPr="00B012A9" w:rsidRDefault="00E92890" w:rsidP="0042350A">
      <w:pPr>
        <w:widowControl w:val="0"/>
        <w:ind w:left="720"/>
        <w:rPr>
          <w:szCs w:val="24"/>
        </w:rPr>
      </w:pPr>
    </w:p>
    <w:p w14:paraId="2B02AE84" w14:textId="351B67EC" w:rsidR="0042350A" w:rsidRDefault="00AE52F3" w:rsidP="00E92890">
      <w:pPr>
        <w:kinsoku w:val="0"/>
        <w:overflowPunct w:val="0"/>
        <w:autoSpaceDE w:val="0"/>
        <w:autoSpaceDN w:val="0"/>
        <w:adjustRightInd w:val="0"/>
        <w:spacing w:line="480" w:lineRule="auto"/>
        <w:ind w:firstLine="720"/>
        <w:rPr>
          <w:szCs w:val="24"/>
        </w:rPr>
      </w:pPr>
      <w:r>
        <w:rPr>
          <w:szCs w:val="24"/>
        </w:rPr>
        <w:t xml:space="preserve">The reasons for OCC’s Application for Rehearing are </w:t>
      </w:r>
      <w:r w:rsidRPr="00B012A9">
        <w:rPr>
          <w:szCs w:val="24"/>
        </w:rPr>
        <w:t>explained more fully in the following memorandum in support</w:t>
      </w:r>
      <w:r w:rsidR="002E2630">
        <w:rPr>
          <w:szCs w:val="24"/>
        </w:rPr>
        <w:t>.</w:t>
      </w:r>
    </w:p>
    <w:p w14:paraId="11987E30" w14:textId="77777777" w:rsidR="00D07026" w:rsidRPr="00B012A9" w:rsidRDefault="00D07026" w:rsidP="0042350A">
      <w:pPr>
        <w:widowControl w:val="0"/>
        <w:ind w:left="720"/>
        <w:rPr>
          <w:szCs w:val="24"/>
        </w:rPr>
      </w:pPr>
    </w:p>
    <w:p w14:paraId="3DAE59A4" w14:textId="77777777" w:rsidR="00DA582E" w:rsidRPr="00B012A9" w:rsidRDefault="00AE52F3" w:rsidP="00DA582E">
      <w:pPr>
        <w:ind w:left="3600" w:firstLine="720"/>
        <w:rPr>
          <w:szCs w:val="24"/>
        </w:rPr>
      </w:pPr>
      <w:r w:rsidRPr="00B012A9">
        <w:rPr>
          <w:szCs w:val="24"/>
        </w:rPr>
        <w:t>Respectfully submitted,</w:t>
      </w:r>
    </w:p>
    <w:p w14:paraId="64B1B753" w14:textId="77777777" w:rsidR="00DA582E" w:rsidRPr="00B012A9" w:rsidRDefault="00DA582E" w:rsidP="00DA582E">
      <w:pPr>
        <w:widowControl w:val="0"/>
        <w:ind w:left="3600"/>
        <w:rPr>
          <w:szCs w:val="24"/>
        </w:rPr>
      </w:pPr>
    </w:p>
    <w:p w14:paraId="10D2E7B0" w14:textId="77777777" w:rsidR="00DA582E" w:rsidRPr="00204DB6" w:rsidRDefault="00AE52F3" w:rsidP="00DA582E">
      <w:pPr>
        <w:tabs>
          <w:tab w:val="left" w:pos="2776"/>
        </w:tabs>
        <w:ind w:left="4320" w:right="339"/>
      </w:pPr>
      <w:r w:rsidRPr="00204DB6">
        <w:t>Maureen R. Willis (0020847)</w:t>
      </w:r>
    </w:p>
    <w:p w14:paraId="060EFA12" w14:textId="77777777" w:rsidR="00DA582E" w:rsidRPr="00204DB6" w:rsidRDefault="00AE52F3" w:rsidP="00DA582E">
      <w:pPr>
        <w:tabs>
          <w:tab w:val="left" w:pos="2776"/>
        </w:tabs>
        <w:ind w:left="4320" w:right="339"/>
      </w:pPr>
      <w:r w:rsidRPr="00204DB6">
        <w:t>Ohio Consumers’ Counsel</w:t>
      </w:r>
    </w:p>
    <w:p w14:paraId="079C41AF" w14:textId="77777777" w:rsidR="00DA582E" w:rsidRDefault="00DA582E" w:rsidP="00DA582E">
      <w:pPr>
        <w:tabs>
          <w:tab w:val="left" w:pos="4320"/>
        </w:tabs>
        <w:ind w:firstLine="4320"/>
        <w:rPr>
          <w:iCs/>
          <w:szCs w:val="24"/>
          <w:u w:val="single"/>
        </w:rPr>
      </w:pPr>
    </w:p>
    <w:p w14:paraId="10909272" w14:textId="77777777" w:rsidR="00DA582E" w:rsidRPr="009B4F2E" w:rsidRDefault="00AE52F3" w:rsidP="00DA582E">
      <w:pPr>
        <w:tabs>
          <w:tab w:val="left" w:pos="4320"/>
        </w:tabs>
        <w:ind w:firstLine="4320"/>
        <w:rPr>
          <w:i/>
          <w:szCs w:val="24"/>
          <w:u w:val="single"/>
        </w:rPr>
      </w:pPr>
      <w:r w:rsidRPr="009B4F2E">
        <w:rPr>
          <w:i/>
          <w:szCs w:val="24"/>
          <w:u w:val="single"/>
        </w:rPr>
        <w:t>/s/ Robert Eubanks</w:t>
      </w:r>
      <w:r>
        <w:rPr>
          <w:i/>
          <w:szCs w:val="24"/>
          <w:u w:val="single"/>
        </w:rPr>
        <w:tab/>
      </w:r>
    </w:p>
    <w:p w14:paraId="154ED7EA" w14:textId="77777777" w:rsidR="00DA582E" w:rsidRPr="00040BF5" w:rsidRDefault="00AE52F3" w:rsidP="00DA582E">
      <w:pPr>
        <w:tabs>
          <w:tab w:val="left" w:pos="4320"/>
        </w:tabs>
        <w:ind w:firstLine="4320"/>
        <w:rPr>
          <w:iCs/>
          <w:szCs w:val="24"/>
        </w:rPr>
      </w:pPr>
      <w:r>
        <w:rPr>
          <w:iCs/>
          <w:szCs w:val="24"/>
        </w:rPr>
        <w:t>Robert Eubanks (0073386)</w:t>
      </w:r>
    </w:p>
    <w:p w14:paraId="0CBDDDD7" w14:textId="77777777" w:rsidR="00DA582E" w:rsidRPr="00040BF5" w:rsidRDefault="00AE52F3" w:rsidP="00DA582E">
      <w:pPr>
        <w:tabs>
          <w:tab w:val="left" w:pos="4320"/>
        </w:tabs>
        <w:ind w:firstLine="4320"/>
        <w:rPr>
          <w:szCs w:val="24"/>
        </w:rPr>
      </w:pPr>
      <w:r w:rsidRPr="00040BF5">
        <w:rPr>
          <w:szCs w:val="24"/>
        </w:rPr>
        <w:t>Counsel of Record</w:t>
      </w:r>
    </w:p>
    <w:p w14:paraId="6AF42C90" w14:textId="77777777" w:rsidR="00DA582E" w:rsidRPr="00040BF5" w:rsidRDefault="00AE52F3" w:rsidP="00DA582E">
      <w:pPr>
        <w:tabs>
          <w:tab w:val="left" w:pos="4320"/>
        </w:tabs>
        <w:ind w:firstLine="4320"/>
        <w:rPr>
          <w:szCs w:val="24"/>
        </w:rPr>
      </w:pPr>
      <w:r>
        <w:rPr>
          <w:szCs w:val="24"/>
        </w:rPr>
        <w:t xml:space="preserve">Donald J. Kral </w:t>
      </w:r>
      <w:r w:rsidRPr="00040BF5">
        <w:rPr>
          <w:szCs w:val="24"/>
        </w:rPr>
        <w:t>(0018689)</w:t>
      </w:r>
    </w:p>
    <w:p w14:paraId="345E77A4" w14:textId="77777777" w:rsidR="00DA582E" w:rsidRPr="00040BF5" w:rsidRDefault="00AE52F3" w:rsidP="00DA582E">
      <w:pPr>
        <w:tabs>
          <w:tab w:val="left" w:pos="4320"/>
        </w:tabs>
        <w:ind w:firstLine="4320"/>
        <w:rPr>
          <w:szCs w:val="24"/>
        </w:rPr>
      </w:pPr>
      <w:r w:rsidRPr="00040BF5">
        <w:rPr>
          <w:szCs w:val="24"/>
        </w:rPr>
        <w:t xml:space="preserve">Assistant Consumers’ </w:t>
      </w:r>
      <w:r w:rsidRPr="00040BF5">
        <w:rPr>
          <w:szCs w:val="24"/>
        </w:rPr>
        <w:t>Counsel</w:t>
      </w:r>
    </w:p>
    <w:p w14:paraId="272094A3" w14:textId="77777777" w:rsidR="00DA582E" w:rsidRPr="00040BF5" w:rsidRDefault="00AE52F3" w:rsidP="00DA582E">
      <w:r w:rsidRPr="00040BF5">
        <w:tab/>
      </w:r>
    </w:p>
    <w:p w14:paraId="27F304B0" w14:textId="77777777" w:rsidR="00DA582E" w:rsidRPr="00E22D36" w:rsidRDefault="00AE52F3" w:rsidP="00DA582E">
      <w:pPr>
        <w:ind w:left="4320"/>
        <w:rPr>
          <w:b/>
          <w:bCs/>
        </w:rPr>
      </w:pPr>
      <w:r w:rsidRPr="00E22D36">
        <w:rPr>
          <w:b/>
          <w:bCs/>
        </w:rPr>
        <w:t>Office of the Ohio Consumers’ Counsel</w:t>
      </w:r>
    </w:p>
    <w:p w14:paraId="310794C0" w14:textId="77777777" w:rsidR="00DA582E" w:rsidRPr="00040BF5" w:rsidRDefault="00AE52F3" w:rsidP="00DA582E">
      <w:pPr>
        <w:ind w:left="4320"/>
        <w:rPr>
          <w:b/>
        </w:rPr>
      </w:pPr>
      <w:r w:rsidRPr="00040BF5">
        <w:t>65 East State Street, Suite 700</w:t>
      </w:r>
    </w:p>
    <w:p w14:paraId="0AE2682A" w14:textId="77777777" w:rsidR="00DA582E" w:rsidRPr="00040BF5" w:rsidRDefault="00AE52F3" w:rsidP="00DA582E">
      <w:pPr>
        <w:ind w:left="4320"/>
        <w:rPr>
          <w:b/>
        </w:rPr>
      </w:pPr>
      <w:r w:rsidRPr="00040BF5">
        <w:t>Columbus, Ohio 43215</w:t>
      </w:r>
    </w:p>
    <w:p w14:paraId="2AC2C1A4" w14:textId="77777777" w:rsidR="00DA582E" w:rsidRPr="00040BF5" w:rsidRDefault="00AE52F3" w:rsidP="00DA582E">
      <w:pPr>
        <w:autoSpaceDE w:val="0"/>
        <w:autoSpaceDN w:val="0"/>
        <w:adjustRightInd w:val="0"/>
        <w:ind w:firstLine="4320"/>
        <w:rPr>
          <w:szCs w:val="24"/>
        </w:rPr>
      </w:pPr>
      <w:r w:rsidRPr="00040BF5">
        <w:rPr>
          <w:szCs w:val="24"/>
        </w:rPr>
        <w:t>Telephone [</w:t>
      </w:r>
      <w:r>
        <w:rPr>
          <w:szCs w:val="24"/>
        </w:rPr>
        <w:t>Eubanks</w:t>
      </w:r>
      <w:r w:rsidRPr="00040BF5">
        <w:rPr>
          <w:szCs w:val="24"/>
        </w:rPr>
        <w:t>] (614) 466-</w:t>
      </w:r>
      <w:r>
        <w:rPr>
          <w:szCs w:val="24"/>
        </w:rPr>
        <w:t>1292</w:t>
      </w:r>
    </w:p>
    <w:p w14:paraId="0C8B74C4" w14:textId="77777777" w:rsidR="00DA582E" w:rsidRPr="00040BF5" w:rsidRDefault="00AE52F3" w:rsidP="00DA582E">
      <w:pPr>
        <w:autoSpaceDE w:val="0"/>
        <w:autoSpaceDN w:val="0"/>
        <w:adjustRightInd w:val="0"/>
        <w:ind w:firstLine="4320"/>
        <w:rPr>
          <w:szCs w:val="24"/>
        </w:rPr>
      </w:pPr>
      <w:r w:rsidRPr="00040BF5">
        <w:rPr>
          <w:szCs w:val="24"/>
        </w:rPr>
        <w:t>Telephone [</w:t>
      </w:r>
      <w:r>
        <w:rPr>
          <w:szCs w:val="24"/>
        </w:rPr>
        <w:t>Kral</w:t>
      </w:r>
      <w:r w:rsidRPr="00040BF5">
        <w:rPr>
          <w:szCs w:val="24"/>
        </w:rPr>
        <w:t>] (614) 466-</w:t>
      </w:r>
      <w:r>
        <w:rPr>
          <w:szCs w:val="24"/>
        </w:rPr>
        <w:t>9571</w:t>
      </w:r>
    </w:p>
    <w:p w14:paraId="5D0B41EB" w14:textId="77777777" w:rsidR="00DA582E" w:rsidRPr="00040BF5" w:rsidRDefault="00AE52F3" w:rsidP="00DA582E">
      <w:pPr>
        <w:autoSpaceDE w:val="0"/>
        <w:autoSpaceDN w:val="0"/>
        <w:adjustRightInd w:val="0"/>
        <w:ind w:firstLine="4320"/>
        <w:rPr>
          <w:szCs w:val="24"/>
        </w:rPr>
      </w:pPr>
      <w:hyperlink r:id="rId16" w:history="1">
        <w:r w:rsidR="001A20EB" w:rsidRPr="006F2B11">
          <w:rPr>
            <w:rStyle w:val="Hyperlink"/>
            <w:szCs w:val="24"/>
          </w:rPr>
          <w:t>robert.eubanks@occ.ohio.gov</w:t>
        </w:r>
      </w:hyperlink>
    </w:p>
    <w:p w14:paraId="13ECAF7D" w14:textId="77777777" w:rsidR="00DA582E" w:rsidRPr="00040BF5" w:rsidRDefault="00AE52F3" w:rsidP="00DA582E">
      <w:pPr>
        <w:autoSpaceDE w:val="0"/>
        <w:autoSpaceDN w:val="0"/>
        <w:adjustRightInd w:val="0"/>
        <w:ind w:firstLine="4320"/>
        <w:rPr>
          <w:szCs w:val="24"/>
        </w:rPr>
      </w:pPr>
      <w:hyperlink r:id="rId17" w:history="1">
        <w:r w:rsidR="001A20EB" w:rsidRPr="006F2B11">
          <w:rPr>
            <w:rStyle w:val="Hyperlink"/>
            <w:szCs w:val="24"/>
          </w:rPr>
          <w:t>donald.kral@occ.ohio.gov</w:t>
        </w:r>
      </w:hyperlink>
    </w:p>
    <w:p w14:paraId="097387E8" w14:textId="77777777" w:rsidR="00DA582E" w:rsidRDefault="00AE52F3" w:rsidP="00DA582E">
      <w:pPr>
        <w:ind w:firstLine="4320"/>
        <w:rPr>
          <w:szCs w:val="24"/>
        </w:rPr>
        <w:sectPr w:rsidR="00DA582E" w:rsidSect="0016309F">
          <w:footerReference w:type="first" r:id="rId18"/>
          <w:pgSz w:w="12240" w:h="15840"/>
          <w:pgMar w:top="1440" w:right="1800" w:bottom="1440" w:left="1800" w:header="720" w:footer="720" w:gutter="0"/>
          <w:pgNumType w:start="1"/>
          <w:cols w:space="720"/>
          <w:titlePg/>
          <w:docGrid w:linePitch="326"/>
        </w:sectPr>
      </w:pPr>
      <w:r w:rsidRPr="00040BF5">
        <w:rPr>
          <w:szCs w:val="24"/>
        </w:rPr>
        <w:t>(willing to accept service by e-mail)</w:t>
      </w:r>
    </w:p>
    <w:p w14:paraId="6BF379BF" w14:textId="77777777" w:rsidR="00453ABC" w:rsidRPr="00B012A9" w:rsidRDefault="00AE52F3" w:rsidP="00453ABC">
      <w:pPr>
        <w:jc w:val="center"/>
        <w:rPr>
          <w:b/>
          <w:bCs/>
          <w:szCs w:val="24"/>
          <w:u w:val="single"/>
        </w:rPr>
      </w:pPr>
      <w:r w:rsidRPr="00B012A9">
        <w:rPr>
          <w:b/>
          <w:bCs/>
          <w:szCs w:val="24"/>
          <w:u w:val="single"/>
        </w:rPr>
        <w:lastRenderedPageBreak/>
        <w:t>TABLE OF CONTENTS</w:t>
      </w:r>
    </w:p>
    <w:p w14:paraId="769276B1" w14:textId="14C28534" w:rsidR="00453ABC" w:rsidRDefault="00AE52F3" w:rsidP="00453ABC">
      <w:pPr>
        <w:tabs>
          <w:tab w:val="left" w:pos="4320"/>
        </w:tabs>
        <w:jc w:val="right"/>
        <w:rPr>
          <w:b/>
          <w:bCs/>
          <w:szCs w:val="24"/>
        </w:rPr>
      </w:pPr>
      <w:r w:rsidRPr="00B012A9">
        <w:rPr>
          <w:b/>
          <w:bCs/>
          <w:szCs w:val="24"/>
        </w:rPr>
        <w:t>PAGE</w:t>
      </w:r>
    </w:p>
    <w:p w14:paraId="057CCCD3" w14:textId="77777777" w:rsidR="00E018CC" w:rsidRPr="00B012A9" w:rsidRDefault="00E018CC" w:rsidP="00453ABC">
      <w:pPr>
        <w:tabs>
          <w:tab w:val="left" w:pos="4320"/>
        </w:tabs>
        <w:jc w:val="right"/>
        <w:rPr>
          <w:b/>
          <w:bCs/>
          <w:szCs w:val="24"/>
        </w:rPr>
      </w:pPr>
    </w:p>
    <w:p w14:paraId="422F5740" w14:textId="74446FB2" w:rsidR="00B47CF2" w:rsidRDefault="00AE52F3">
      <w:pPr>
        <w:pStyle w:val="TOC1"/>
        <w:rPr>
          <w:rFonts w:asciiTheme="minorHAnsi" w:eastAsiaTheme="minorEastAsia" w:hAnsiTheme="minorHAnsi" w:cstheme="minorBidi"/>
          <w:noProof/>
          <w:kern w:val="2"/>
          <w:sz w:val="22"/>
          <w:szCs w:val="22"/>
          <w14:ligatures w14:val="standardContextual"/>
        </w:rPr>
      </w:pPr>
      <w:r>
        <w:rPr>
          <w:szCs w:val="24"/>
        </w:rPr>
        <w:fldChar w:fldCharType="begin"/>
      </w:r>
      <w:r>
        <w:rPr>
          <w:szCs w:val="24"/>
        </w:rPr>
        <w:instrText xml:space="preserve"> TOC \o "1-3" \h \z \u </w:instrText>
      </w:r>
      <w:r>
        <w:rPr>
          <w:szCs w:val="24"/>
        </w:rPr>
        <w:fldChar w:fldCharType="separate"/>
      </w:r>
      <w:hyperlink w:anchor="_Toc155969973" w:history="1">
        <w:r w:rsidRPr="00F0367C">
          <w:rPr>
            <w:rStyle w:val="Hyperlink"/>
            <w:noProof/>
          </w:rPr>
          <w:t>I.</w:t>
        </w:r>
        <w:r>
          <w:rPr>
            <w:rFonts w:asciiTheme="minorHAnsi" w:eastAsiaTheme="minorEastAsia" w:hAnsiTheme="minorHAnsi" w:cstheme="minorBidi"/>
            <w:noProof/>
            <w:kern w:val="2"/>
            <w:sz w:val="22"/>
            <w:szCs w:val="22"/>
            <w14:ligatures w14:val="standardContextual"/>
          </w:rPr>
          <w:tab/>
        </w:r>
        <w:r w:rsidRPr="00F0367C">
          <w:rPr>
            <w:rStyle w:val="Hyperlink"/>
            <w:noProof/>
          </w:rPr>
          <w:t>INTRODUCTION</w:t>
        </w:r>
        <w:r>
          <w:rPr>
            <w:noProof/>
            <w:webHidden/>
          </w:rPr>
          <w:tab/>
        </w:r>
        <w:r>
          <w:rPr>
            <w:noProof/>
            <w:webHidden/>
          </w:rPr>
          <w:fldChar w:fldCharType="begin"/>
        </w:r>
        <w:r>
          <w:rPr>
            <w:noProof/>
            <w:webHidden/>
          </w:rPr>
          <w:instrText xml:space="preserve"> PAGEREF _Toc155969973 \h </w:instrText>
        </w:r>
        <w:r>
          <w:rPr>
            <w:noProof/>
            <w:webHidden/>
          </w:rPr>
        </w:r>
        <w:r>
          <w:rPr>
            <w:noProof/>
            <w:webHidden/>
          </w:rPr>
          <w:fldChar w:fldCharType="separate"/>
        </w:r>
        <w:r>
          <w:rPr>
            <w:noProof/>
            <w:webHidden/>
          </w:rPr>
          <w:t>1</w:t>
        </w:r>
        <w:r>
          <w:rPr>
            <w:noProof/>
            <w:webHidden/>
          </w:rPr>
          <w:fldChar w:fldCharType="end"/>
        </w:r>
      </w:hyperlink>
    </w:p>
    <w:p w14:paraId="2D330AE4" w14:textId="24924DB3" w:rsidR="00B47CF2" w:rsidRDefault="00AE52F3">
      <w:pPr>
        <w:pStyle w:val="TOC1"/>
        <w:rPr>
          <w:rFonts w:asciiTheme="minorHAnsi" w:eastAsiaTheme="minorEastAsia" w:hAnsiTheme="minorHAnsi" w:cstheme="minorBidi"/>
          <w:noProof/>
          <w:kern w:val="2"/>
          <w:sz w:val="22"/>
          <w:szCs w:val="22"/>
          <w14:ligatures w14:val="standardContextual"/>
        </w:rPr>
      </w:pPr>
      <w:hyperlink w:anchor="_Toc155969974" w:history="1">
        <w:r w:rsidRPr="00F0367C">
          <w:rPr>
            <w:rStyle w:val="Hyperlink"/>
            <w:noProof/>
          </w:rPr>
          <w:t>II.</w:t>
        </w:r>
        <w:r>
          <w:rPr>
            <w:rFonts w:asciiTheme="minorHAnsi" w:eastAsiaTheme="minorEastAsia" w:hAnsiTheme="minorHAnsi" w:cstheme="minorBidi"/>
            <w:noProof/>
            <w:kern w:val="2"/>
            <w:sz w:val="22"/>
            <w:szCs w:val="22"/>
            <w14:ligatures w14:val="standardContextual"/>
          </w:rPr>
          <w:tab/>
        </w:r>
        <w:r w:rsidRPr="00F0367C">
          <w:rPr>
            <w:rStyle w:val="Hyperlink"/>
            <w:noProof/>
          </w:rPr>
          <w:t>ASSIGNMENTS OF ERROR</w:t>
        </w:r>
        <w:r>
          <w:rPr>
            <w:noProof/>
            <w:webHidden/>
          </w:rPr>
          <w:tab/>
        </w:r>
        <w:r>
          <w:rPr>
            <w:noProof/>
            <w:webHidden/>
          </w:rPr>
          <w:fldChar w:fldCharType="begin"/>
        </w:r>
        <w:r>
          <w:rPr>
            <w:noProof/>
            <w:webHidden/>
          </w:rPr>
          <w:instrText xml:space="preserve"> PAGEREF _Toc155969974 \h </w:instrText>
        </w:r>
        <w:r>
          <w:rPr>
            <w:noProof/>
            <w:webHidden/>
          </w:rPr>
        </w:r>
        <w:r>
          <w:rPr>
            <w:noProof/>
            <w:webHidden/>
          </w:rPr>
          <w:fldChar w:fldCharType="separate"/>
        </w:r>
        <w:r>
          <w:rPr>
            <w:noProof/>
            <w:webHidden/>
          </w:rPr>
          <w:t>3</w:t>
        </w:r>
        <w:r>
          <w:rPr>
            <w:noProof/>
            <w:webHidden/>
          </w:rPr>
          <w:fldChar w:fldCharType="end"/>
        </w:r>
      </w:hyperlink>
    </w:p>
    <w:p w14:paraId="1A35A219" w14:textId="0F8947DC" w:rsidR="00B47CF2" w:rsidRDefault="00AE52F3">
      <w:pPr>
        <w:pStyle w:val="TOC2"/>
        <w:rPr>
          <w:rFonts w:asciiTheme="minorHAnsi" w:eastAsiaTheme="minorEastAsia" w:hAnsiTheme="minorHAnsi" w:cstheme="minorBidi"/>
          <w:noProof/>
          <w:kern w:val="2"/>
          <w:sz w:val="22"/>
          <w:szCs w:val="22"/>
          <w14:ligatures w14:val="standardContextual"/>
        </w:rPr>
      </w:pPr>
      <w:hyperlink w:anchor="_Toc155969975" w:history="1">
        <w:r w:rsidRPr="00F0367C">
          <w:rPr>
            <w:rStyle w:val="Hyperlink"/>
            <w:noProof/>
          </w:rPr>
          <w:t xml:space="preserve">ASSIGNMENT OF ERROR 1: The PUCO erred and abused its discretion by denying OCC’s motion to intervene to advocate for residential utility consumers served by Inspire violating R.C. 4903.221, Supreme Court of Ohio precedent in </w:t>
        </w:r>
        <w:r w:rsidRPr="00F0367C">
          <w:rPr>
            <w:rStyle w:val="Hyperlink"/>
            <w:i/>
            <w:iCs/>
            <w:noProof/>
          </w:rPr>
          <w:t>Ohio Consumers’ Counsel v. PUC</w:t>
        </w:r>
        <w:r w:rsidRPr="00F0367C">
          <w:rPr>
            <w:rStyle w:val="Hyperlink"/>
            <w:noProof/>
          </w:rPr>
          <w:t>, and O.A.C. 4901-1-11. The PUCO also erred in denying intervention and failing to otherwise consider OCC’s interests in its Order resolving the proceeding.</w:t>
        </w:r>
        <w:r>
          <w:rPr>
            <w:noProof/>
            <w:webHidden/>
          </w:rPr>
          <w:tab/>
        </w:r>
        <w:r>
          <w:rPr>
            <w:noProof/>
            <w:webHidden/>
          </w:rPr>
          <w:fldChar w:fldCharType="begin"/>
        </w:r>
        <w:r>
          <w:rPr>
            <w:noProof/>
            <w:webHidden/>
          </w:rPr>
          <w:instrText xml:space="preserve"> PAGEREF _Toc155969975 \h </w:instrText>
        </w:r>
        <w:r>
          <w:rPr>
            <w:noProof/>
            <w:webHidden/>
          </w:rPr>
        </w:r>
        <w:r>
          <w:rPr>
            <w:noProof/>
            <w:webHidden/>
          </w:rPr>
          <w:fldChar w:fldCharType="separate"/>
        </w:r>
        <w:r>
          <w:rPr>
            <w:noProof/>
            <w:webHidden/>
          </w:rPr>
          <w:t>3</w:t>
        </w:r>
        <w:r>
          <w:rPr>
            <w:noProof/>
            <w:webHidden/>
          </w:rPr>
          <w:fldChar w:fldCharType="end"/>
        </w:r>
      </w:hyperlink>
    </w:p>
    <w:p w14:paraId="169867AF" w14:textId="57BF0C58" w:rsidR="00B47CF2" w:rsidRDefault="00AE52F3">
      <w:pPr>
        <w:pStyle w:val="TOC2"/>
        <w:rPr>
          <w:rFonts w:asciiTheme="minorHAnsi" w:eastAsiaTheme="minorEastAsia" w:hAnsiTheme="minorHAnsi" w:cstheme="minorBidi"/>
          <w:noProof/>
          <w:kern w:val="2"/>
          <w:sz w:val="22"/>
          <w:szCs w:val="22"/>
          <w14:ligatures w14:val="standardContextual"/>
        </w:rPr>
      </w:pPr>
      <w:hyperlink w:anchor="_Toc155969976" w:history="1">
        <w:r w:rsidRPr="00F0367C">
          <w:rPr>
            <w:rStyle w:val="Hyperlink"/>
            <w:bCs/>
            <w:noProof/>
          </w:rPr>
          <w:t xml:space="preserve">ASSIGNMENT OF ERROR 2: </w:t>
        </w:r>
        <w:r w:rsidRPr="00F0367C">
          <w:rPr>
            <w:rStyle w:val="Hyperlink"/>
            <w:noProof/>
          </w:rPr>
          <w:t>The PUCO erred by denying OCC’s motion to intervene when it unreasonably construed OCC’s interests as mere policy recommendations and ignored OCC’s recommended modifications to the settlement. The PUCO violated R.C. 4903.09 when it mistakenly construed OCC’s arguments as it rendered an opinion without record support.</w:t>
        </w:r>
        <w:r>
          <w:rPr>
            <w:noProof/>
            <w:webHidden/>
          </w:rPr>
          <w:tab/>
        </w:r>
        <w:r>
          <w:rPr>
            <w:noProof/>
            <w:webHidden/>
          </w:rPr>
          <w:fldChar w:fldCharType="begin"/>
        </w:r>
        <w:r>
          <w:rPr>
            <w:noProof/>
            <w:webHidden/>
          </w:rPr>
          <w:instrText xml:space="preserve"> PAGEREF _Toc155969976 \h </w:instrText>
        </w:r>
        <w:r>
          <w:rPr>
            <w:noProof/>
            <w:webHidden/>
          </w:rPr>
        </w:r>
        <w:r>
          <w:rPr>
            <w:noProof/>
            <w:webHidden/>
          </w:rPr>
          <w:fldChar w:fldCharType="separate"/>
        </w:r>
        <w:r>
          <w:rPr>
            <w:noProof/>
            <w:webHidden/>
          </w:rPr>
          <w:t>7</w:t>
        </w:r>
        <w:r>
          <w:rPr>
            <w:noProof/>
            <w:webHidden/>
          </w:rPr>
          <w:fldChar w:fldCharType="end"/>
        </w:r>
      </w:hyperlink>
    </w:p>
    <w:p w14:paraId="6FCE6CCD" w14:textId="6F6AEB4F" w:rsidR="00B47CF2" w:rsidRDefault="00AE52F3">
      <w:pPr>
        <w:pStyle w:val="TOC2"/>
        <w:rPr>
          <w:rFonts w:asciiTheme="minorHAnsi" w:eastAsiaTheme="minorEastAsia" w:hAnsiTheme="minorHAnsi" w:cstheme="minorBidi"/>
          <w:noProof/>
          <w:kern w:val="2"/>
          <w:sz w:val="22"/>
          <w:szCs w:val="22"/>
          <w14:ligatures w14:val="standardContextual"/>
        </w:rPr>
      </w:pPr>
      <w:hyperlink w:anchor="_Toc155969977" w:history="1">
        <w:r w:rsidRPr="00F0367C">
          <w:rPr>
            <w:rStyle w:val="Hyperlink"/>
            <w:bCs/>
            <w:noProof/>
          </w:rPr>
          <w:t>ASSIGNMENT OF ERROR 3:</w:t>
        </w:r>
        <w:r w:rsidRPr="00F0367C">
          <w:rPr>
            <w:rStyle w:val="Hyperlink"/>
            <w:noProof/>
          </w:rPr>
          <w:t xml:space="preserve"> The PUCO erred when it failed to establish a procedural schedule, providing for due process for Inspire’s consumers including the opportunity for discovery and an evidentiary hearing. The PUCO unreasonably deprived Ohio residential consumers the opportunity to be heard through their state legal advocate, OCC, regarding the settlement between the PUCO Staff and Inspire. And the PUCO, by failing to hold a hearing violated 4901:1-23-05 and 4901:1-34-06 and deprived members of the public, not parties to the pr</w:t>
        </w:r>
        <w:r w:rsidRPr="00F0367C">
          <w:rPr>
            <w:rStyle w:val="Hyperlink"/>
            <w:noProof/>
          </w:rPr>
          <w:t>oceeding, the opportunity to offer testimony, violating 4901-1-27 (C). The PUCO also did not comply with its own rules related to settlements (4901-1-30(D)) that requires parties who file a stipulation to file or provide testimony of at least one signatory party that supports the stipulation.</w:t>
        </w:r>
        <w:r>
          <w:rPr>
            <w:noProof/>
            <w:webHidden/>
          </w:rPr>
          <w:tab/>
        </w:r>
        <w:r>
          <w:rPr>
            <w:noProof/>
            <w:webHidden/>
          </w:rPr>
          <w:fldChar w:fldCharType="begin"/>
        </w:r>
        <w:r>
          <w:rPr>
            <w:noProof/>
            <w:webHidden/>
          </w:rPr>
          <w:instrText xml:space="preserve"> PAGEREF _Toc155969977 \h </w:instrText>
        </w:r>
        <w:r>
          <w:rPr>
            <w:noProof/>
            <w:webHidden/>
          </w:rPr>
        </w:r>
        <w:r>
          <w:rPr>
            <w:noProof/>
            <w:webHidden/>
          </w:rPr>
          <w:fldChar w:fldCharType="separate"/>
        </w:r>
        <w:r>
          <w:rPr>
            <w:noProof/>
            <w:webHidden/>
          </w:rPr>
          <w:t>8</w:t>
        </w:r>
        <w:r>
          <w:rPr>
            <w:noProof/>
            <w:webHidden/>
          </w:rPr>
          <w:fldChar w:fldCharType="end"/>
        </w:r>
      </w:hyperlink>
    </w:p>
    <w:p w14:paraId="5D30F892" w14:textId="425A5089" w:rsidR="00B47CF2" w:rsidRDefault="00AE52F3">
      <w:pPr>
        <w:pStyle w:val="TOC2"/>
        <w:rPr>
          <w:rFonts w:asciiTheme="minorHAnsi" w:eastAsiaTheme="minorEastAsia" w:hAnsiTheme="minorHAnsi" w:cstheme="minorBidi"/>
          <w:noProof/>
          <w:kern w:val="2"/>
          <w:sz w:val="22"/>
          <w:szCs w:val="22"/>
          <w14:ligatures w14:val="standardContextual"/>
        </w:rPr>
      </w:pPr>
      <w:hyperlink w:anchor="_Toc155969978" w:history="1">
        <w:r w:rsidRPr="00F0367C">
          <w:rPr>
            <w:rStyle w:val="Hyperlink"/>
            <w:noProof/>
          </w:rPr>
          <w:t xml:space="preserve">ASSIGNMENT OF ERROR 4: The PUCO erred in relying on </w:t>
        </w:r>
        <w:r w:rsidRPr="00F0367C">
          <w:rPr>
            <w:rStyle w:val="Hyperlink"/>
            <w:i/>
            <w:iCs/>
            <w:noProof/>
          </w:rPr>
          <w:t>Ohio Domestic Violence Network v. Pub. Util. Comm.</w:t>
        </w:r>
        <w:r w:rsidRPr="00F0367C">
          <w:rPr>
            <w:rStyle w:val="Hyperlink"/>
            <w:noProof/>
          </w:rPr>
          <w:t xml:space="preserve">, 70 Ohio St.3d 311, 638 N.E.2d 1012 (1994) in denying the OCC intervention, when more recent Supreme Court of Ohio precedent, </w:t>
        </w:r>
        <w:r w:rsidRPr="00F0367C">
          <w:rPr>
            <w:rStyle w:val="Hyperlink"/>
            <w:i/>
            <w:iCs/>
            <w:noProof/>
          </w:rPr>
          <w:t>Ohio Consumers’ Counsel v. PUC</w:t>
        </w:r>
        <w:r w:rsidRPr="00F0367C">
          <w:rPr>
            <w:rStyle w:val="Hyperlink"/>
            <w:noProof/>
          </w:rPr>
          <w:t>, 2006-Ohio-5853 overrules that case and provides that intervention should be liberally allowed even where the PUCO does not require a hearing.</w:t>
        </w:r>
        <w:r>
          <w:rPr>
            <w:noProof/>
            <w:webHidden/>
          </w:rPr>
          <w:tab/>
        </w:r>
        <w:r>
          <w:rPr>
            <w:noProof/>
            <w:webHidden/>
          </w:rPr>
          <w:fldChar w:fldCharType="begin"/>
        </w:r>
        <w:r>
          <w:rPr>
            <w:noProof/>
            <w:webHidden/>
          </w:rPr>
          <w:instrText xml:space="preserve"> PAGEREF _Toc155969978 \h </w:instrText>
        </w:r>
        <w:r>
          <w:rPr>
            <w:noProof/>
            <w:webHidden/>
          </w:rPr>
        </w:r>
        <w:r>
          <w:rPr>
            <w:noProof/>
            <w:webHidden/>
          </w:rPr>
          <w:fldChar w:fldCharType="separate"/>
        </w:r>
        <w:r>
          <w:rPr>
            <w:noProof/>
            <w:webHidden/>
          </w:rPr>
          <w:t>12</w:t>
        </w:r>
        <w:r>
          <w:rPr>
            <w:noProof/>
            <w:webHidden/>
          </w:rPr>
          <w:fldChar w:fldCharType="end"/>
        </w:r>
      </w:hyperlink>
    </w:p>
    <w:p w14:paraId="3ABCDBDF" w14:textId="5279DF96" w:rsidR="00B47CF2" w:rsidRDefault="00AE52F3">
      <w:pPr>
        <w:pStyle w:val="TOC2"/>
        <w:rPr>
          <w:rFonts w:asciiTheme="minorHAnsi" w:eastAsiaTheme="minorEastAsia" w:hAnsiTheme="minorHAnsi" w:cstheme="minorBidi"/>
          <w:noProof/>
          <w:kern w:val="2"/>
          <w:sz w:val="22"/>
          <w:szCs w:val="22"/>
          <w14:ligatures w14:val="standardContextual"/>
        </w:rPr>
      </w:pPr>
      <w:hyperlink w:anchor="_Toc155969979" w:history="1">
        <w:r w:rsidRPr="00F0367C">
          <w:rPr>
            <w:rStyle w:val="Hyperlink"/>
            <w:noProof/>
          </w:rPr>
          <w:t>ASSIGNMENT OF ERROR 5: The PUCO erred in finding the stipulation reasonable and in finding that the settlement meets the PUCO’s three-prong test for approving settlements.</w:t>
        </w:r>
        <w:r>
          <w:rPr>
            <w:noProof/>
            <w:webHidden/>
          </w:rPr>
          <w:tab/>
        </w:r>
        <w:r>
          <w:rPr>
            <w:noProof/>
            <w:webHidden/>
          </w:rPr>
          <w:fldChar w:fldCharType="begin"/>
        </w:r>
        <w:r>
          <w:rPr>
            <w:noProof/>
            <w:webHidden/>
          </w:rPr>
          <w:instrText xml:space="preserve"> PAGEREF _Toc155969979 \h </w:instrText>
        </w:r>
        <w:r>
          <w:rPr>
            <w:noProof/>
            <w:webHidden/>
          </w:rPr>
        </w:r>
        <w:r>
          <w:rPr>
            <w:noProof/>
            <w:webHidden/>
          </w:rPr>
          <w:fldChar w:fldCharType="separate"/>
        </w:r>
        <w:r>
          <w:rPr>
            <w:noProof/>
            <w:webHidden/>
          </w:rPr>
          <w:t>13</w:t>
        </w:r>
        <w:r>
          <w:rPr>
            <w:noProof/>
            <w:webHidden/>
          </w:rPr>
          <w:fldChar w:fldCharType="end"/>
        </w:r>
      </w:hyperlink>
    </w:p>
    <w:p w14:paraId="7A4BC3E3" w14:textId="267612C0" w:rsidR="00B47CF2" w:rsidRDefault="00AE52F3">
      <w:pPr>
        <w:pStyle w:val="TOC2"/>
        <w:rPr>
          <w:rFonts w:asciiTheme="minorHAnsi" w:eastAsiaTheme="minorEastAsia" w:hAnsiTheme="minorHAnsi" w:cstheme="minorBidi"/>
          <w:noProof/>
          <w:kern w:val="2"/>
          <w:sz w:val="22"/>
          <w:szCs w:val="22"/>
          <w14:ligatures w14:val="standardContextual"/>
        </w:rPr>
      </w:pPr>
      <w:hyperlink w:anchor="_Toc155969980" w:history="1">
        <w:r w:rsidRPr="00F0367C">
          <w:rPr>
            <w:rStyle w:val="Hyperlink"/>
            <w:noProof/>
          </w:rPr>
          <w:t xml:space="preserve">ASSIGNMENT OF ERROR 6: The PUCO erred in permitting its Staff to circumvent its rules and the laws intended to allow for public proceedings, documents and records, </w:t>
        </w:r>
        <w:r w:rsidRPr="00F0367C">
          <w:rPr>
            <w:rStyle w:val="Hyperlink"/>
            <w:noProof/>
          </w:rPr>
          <w:t>violating R.C. 4901.12.</w:t>
        </w:r>
        <w:r>
          <w:rPr>
            <w:noProof/>
            <w:webHidden/>
          </w:rPr>
          <w:tab/>
        </w:r>
        <w:r>
          <w:rPr>
            <w:noProof/>
            <w:webHidden/>
          </w:rPr>
          <w:fldChar w:fldCharType="begin"/>
        </w:r>
        <w:r>
          <w:rPr>
            <w:noProof/>
            <w:webHidden/>
          </w:rPr>
          <w:instrText xml:space="preserve"> PAGEREF _Toc155969980 \h </w:instrText>
        </w:r>
        <w:r>
          <w:rPr>
            <w:noProof/>
            <w:webHidden/>
          </w:rPr>
        </w:r>
        <w:r>
          <w:rPr>
            <w:noProof/>
            <w:webHidden/>
          </w:rPr>
          <w:fldChar w:fldCharType="separate"/>
        </w:r>
        <w:r>
          <w:rPr>
            <w:noProof/>
            <w:webHidden/>
          </w:rPr>
          <w:t>16</w:t>
        </w:r>
        <w:r>
          <w:rPr>
            <w:noProof/>
            <w:webHidden/>
          </w:rPr>
          <w:fldChar w:fldCharType="end"/>
        </w:r>
      </w:hyperlink>
    </w:p>
    <w:p w14:paraId="47A6DF6A" w14:textId="6D5139FE" w:rsidR="00B47CF2" w:rsidRDefault="00AE52F3">
      <w:pPr>
        <w:pStyle w:val="TOC1"/>
        <w:rPr>
          <w:rFonts w:asciiTheme="minorHAnsi" w:eastAsiaTheme="minorEastAsia" w:hAnsiTheme="minorHAnsi" w:cstheme="minorBidi"/>
          <w:noProof/>
          <w:kern w:val="2"/>
          <w:sz w:val="22"/>
          <w:szCs w:val="22"/>
          <w14:ligatures w14:val="standardContextual"/>
        </w:rPr>
      </w:pPr>
      <w:hyperlink w:anchor="_Toc155969981" w:history="1">
        <w:r w:rsidRPr="00F0367C">
          <w:rPr>
            <w:rStyle w:val="Hyperlink"/>
            <w:noProof/>
          </w:rPr>
          <w:t>III.</w:t>
        </w:r>
        <w:r>
          <w:rPr>
            <w:rFonts w:asciiTheme="minorHAnsi" w:eastAsiaTheme="minorEastAsia" w:hAnsiTheme="minorHAnsi" w:cstheme="minorBidi"/>
            <w:noProof/>
            <w:kern w:val="2"/>
            <w:sz w:val="22"/>
            <w:szCs w:val="22"/>
            <w14:ligatures w14:val="standardContextual"/>
          </w:rPr>
          <w:tab/>
        </w:r>
        <w:r w:rsidRPr="00F0367C">
          <w:rPr>
            <w:rStyle w:val="Hyperlink"/>
            <w:noProof/>
          </w:rPr>
          <w:t>CONCLUSION</w:t>
        </w:r>
        <w:r>
          <w:rPr>
            <w:noProof/>
            <w:webHidden/>
          </w:rPr>
          <w:tab/>
        </w:r>
        <w:r>
          <w:rPr>
            <w:noProof/>
            <w:webHidden/>
          </w:rPr>
          <w:fldChar w:fldCharType="begin"/>
        </w:r>
        <w:r>
          <w:rPr>
            <w:noProof/>
            <w:webHidden/>
          </w:rPr>
          <w:instrText xml:space="preserve"> PAGEREF _Toc155969981 \h </w:instrText>
        </w:r>
        <w:r>
          <w:rPr>
            <w:noProof/>
            <w:webHidden/>
          </w:rPr>
        </w:r>
        <w:r>
          <w:rPr>
            <w:noProof/>
            <w:webHidden/>
          </w:rPr>
          <w:fldChar w:fldCharType="separate"/>
        </w:r>
        <w:r>
          <w:rPr>
            <w:noProof/>
            <w:webHidden/>
          </w:rPr>
          <w:t>18</w:t>
        </w:r>
        <w:r>
          <w:rPr>
            <w:noProof/>
            <w:webHidden/>
          </w:rPr>
          <w:fldChar w:fldCharType="end"/>
        </w:r>
      </w:hyperlink>
    </w:p>
    <w:p w14:paraId="788E1BC2" w14:textId="67D5BA66" w:rsidR="00D76819" w:rsidRPr="00B012A9" w:rsidRDefault="00AE52F3" w:rsidP="00FC3A82">
      <w:pPr>
        <w:pStyle w:val="TOC1"/>
        <w:rPr>
          <w:szCs w:val="24"/>
        </w:rPr>
        <w:sectPr w:rsidR="00D76819" w:rsidRPr="00B012A9" w:rsidSect="0016309F">
          <w:pgSz w:w="12240" w:h="15840"/>
          <w:pgMar w:top="1440" w:right="1800" w:bottom="1440" w:left="1800" w:header="720" w:footer="720" w:gutter="0"/>
          <w:pgNumType w:fmt="lowerRoman" w:start="1"/>
          <w:cols w:space="720"/>
          <w:titlePg/>
          <w:docGrid w:linePitch="326"/>
        </w:sectPr>
      </w:pPr>
      <w:r>
        <w:rPr>
          <w:szCs w:val="24"/>
        </w:rPr>
        <w:fldChar w:fldCharType="end"/>
      </w:r>
    </w:p>
    <w:p w14:paraId="3EB242FA" w14:textId="77777777" w:rsidR="0042350A" w:rsidRPr="00B012A9" w:rsidRDefault="00AE52F3" w:rsidP="0042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Cs w:val="24"/>
        </w:rPr>
      </w:pPr>
      <w:r w:rsidRPr="00B012A9">
        <w:rPr>
          <w:rFonts w:eastAsia="Calibri"/>
          <w:b/>
          <w:bCs/>
          <w:szCs w:val="24"/>
        </w:rPr>
        <w:lastRenderedPageBreak/>
        <w:t>BEFORE</w:t>
      </w:r>
    </w:p>
    <w:p w14:paraId="57C05107" w14:textId="77777777" w:rsidR="0042350A" w:rsidRPr="00B012A9" w:rsidRDefault="00AE52F3" w:rsidP="0042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Cs w:val="24"/>
        </w:rPr>
      </w:pPr>
      <w:r w:rsidRPr="00B012A9">
        <w:rPr>
          <w:rFonts w:eastAsia="Calibri"/>
          <w:b/>
          <w:bCs/>
          <w:szCs w:val="24"/>
        </w:rPr>
        <w:t>THE PUBLIC UTILITIES COMMISSION OF OHIO</w:t>
      </w:r>
    </w:p>
    <w:p w14:paraId="07F15C14" w14:textId="77777777" w:rsidR="0042350A" w:rsidRPr="00B012A9" w:rsidRDefault="0042350A" w:rsidP="0042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Cs w:val="24"/>
        </w:rPr>
      </w:pPr>
    </w:p>
    <w:tbl>
      <w:tblPr>
        <w:tblW w:w="8730" w:type="dxa"/>
        <w:tblLook w:val="01E0" w:firstRow="1" w:lastRow="1" w:firstColumn="1" w:lastColumn="1" w:noHBand="0" w:noVBand="0"/>
      </w:tblPr>
      <w:tblGrid>
        <w:gridCol w:w="4122"/>
        <w:gridCol w:w="720"/>
        <w:gridCol w:w="3888"/>
      </w:tblGrid>
      <w:tr w:rsidR="00052045" w14:paraId="23C407A9" w14:textId="77777777" w:rsidTr="00BA58FC">
        <w:trPr>
          <w:trHeight w:val="1422"/>
        </w:trPr>
        <w:tc>
          <w:tcPr>
            <w:tcW w:w="4122" w:type="dxa"/>
            <w:shd w:val="clear" w:color="auto" w:fill="auto"/>
          </w:tcPr>
          <w:p w14:paraId="088D485A" w14:textId="39D4F571" w:rsidR="00B43911" w:rsidRPr="00B012A9" w:rsidRDefault="00AE52F3" w:rsidP="00EA1F23">
            <w:pPr>
              <w:autoSpaceDE w:val="0"/>
              <w:autoSpaceDN w:val="0"/>
              <w:adjustRightInd w:val="0"/>
              <w:ind w:left="-37" w:right="82"/>
              <w:rPr>
                <w:szCs w:val="24"/>
              </w:rPr>
            </w:pPr>
            <w:r w:rsidRPr="00BA58FC">
              <w:rPr>
                <w:szCs w:val="24"/>
              </w:rPr>
              <w:t>In the Matter of Inspire Energy Holdings, LLC</w:t>
            </w:r>
          </w:p>
        </w:tc>
        <w:tc>
          <w:tcPr>
            <w:tcW w:w="720" w:type="dxa"/>
            <w:shd w:val="clear" w:color="auto" w:fill="auto"/>
          </w:tcPr>
          <w:p w14:paraId="2F1D619D" w14:textId="77777777" w:rsidR="00B43911" w:rsidRPr="00B012A9" w:rsidRDefault="00AE52F3" w:rsidP="00EA1F23">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p w14:paraId="1536915D" w14:textId="77777777" w:rsidR="00B43911" w:rsidRPr="00B012A9" w:rsidRDefault="00AE52F3" w:rsidP="00EA1F23">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p w14:paraId="4483D3F3" w14:textId="6C03D21E" w:rsidR="00B43911" w:rsidRPr="00B012A9" w:rsidRDefault="00B43911" w:rsidP="00B43911">
            <w:pPr>
              <w:pStyle w:val="HTMLPreformatted"/>
              <w:rPr>
                <w:rFonts w:ascii="Times New Roman" w:hAnsi="Times New Roman" w:cs="Times New Roman"/>
                <w:sz w:val="24"/>
                <w:szCs w:val="24"/>
              </w:rPr>
            </w:pPr>
          </w:p>
        </w:tc>
        <w:tc>
          <w:tcPr>
            <w:tcW w:w="3888" w:type="dxa"/>
            <w:shd w:val="clear" w:color="auto" w:fill="auto"/>
          </w:tcPr>
          <w:p w14:paraId="1066F802" w14:textId="6D9EE6CD" w:rsidR="00B43911" w:rsidRPr="00B012A9" w:rsidRDefault="00AE52F3" w:rsidP="00EA1F23">
            <w:pPr>
              <w:pStyle w:val="HTMLPreformatted"/>
              <w:rPr>
                <w:rFonts w:ascii="Times New Roman" w:hAnsi="Times New Roman" w:cs="Times New Roman"/>
                <w:sz w:val="24"/>
                <w:szCs w:val="24"/>
              </w:rPr>
            </w:pPr>
            <w:r w:rsidRPr="00B012A9">
              <w:rPr>
                <w:rFonts w:ascii="Times New Roman" w:hAnsi="Times New Roman" w:cs="Times New Roman"/>
                <w:sz w:val="24"/>
                <w:szCs w:val="24"/>
              </w:rPr>
              <w:t xml:space="preserve">Case No. </w:t>
            </w:r>
            <w:r>
              <w:rPr>
                <w:rFonts w:ascii="Times New Roman" w:hAnsi="Times New Roman" w:cs="Times New Roman"/>
                <w:sz w:val="24"/>
                <w:szCs w:val="24"/>
              </w:rPr>
              <w:t>23-720</w:t>
            </w:r>
            <w:r w:rsidRPr="00B012A9">
              <w:rPr>
                <w:rFonts w:ascii="Times New Roman" w:hAnsi="Times New Roman" w:cs="Times New Roman"/>
                <w:sz w:val="24"/>
                <w:szCs w:val="24"/>
              </w:rPr>
              <w:t>-G</w:t>
            </w:r>
            <w:r>
              <w:rPr>
                <w:rFonts w:ascii="Times New Roman" w:hAnsi="Times New Roman" w:cs="Times New Roman"/>
                <w:sz w:val="24"/>
                <w:szCs w:val="24"/>
              </w:rPr>
              <w:t>E</w:t>
            </w:r>
            <w:r w:rsidRPr="00B012A9">
              <w:rPr>
                <w:rFonts w:ascii="Times New Roman" w:hAnsi="Times New Roman" w:cs="Times New Roman"/>
                <w:sz w:val="24"/>
                <w:szCs w:val="24"/>
              </w:rPr>
              <w:t>-</w:t>
            </w:r>
            <w:r>
              <w:rPr>
                <w:rFonts w:ascii="Times New Roman" w:hAnsi="Times New Roman" w:cs="Times New Roman"/>
                <w:sz w:val="24"/>
                <w:szCs w:val="24"/>
              </w:rPr>
              <w:t>UNC</w:t>
            </w:r>
          </w:p>
          <w:p w14:paraId="59451953" w14:textId="77777777" w:rsidR="00B43911" w:rsidRPr="00B012A9" w:rsidRDefault="00B43911" w:rsidP="00EA1F23">
            <w:pPr>
              <w:pStyle w:val="HTMLPreformatted"/>
              <w:rPr>
                <w:rFonts w:ascii="Times New Roman" w:hAnsi="Times New Roman" w:cs="Times New Roman"/>
                <w:sz w:val="24"/>
                <w:szCs w:val="24"/>
              </w:rPr>
            </w:pPr>
          </w:p>
          <w:p w14:paraId="4AE9729F" w14:textId="4BD60C33" w:rsidR="00B43911" w:rsidRPr="00B012A9" w:rsidRDefault="00B43911" w:rsidP="00EA1F23">
            <w:pPr>
              <w:pStyle w:val="HTMLPreformatted"/>
              <w:rPr>
                <w:rFonts w:ascii="Times New Roman" w:hAnsi="Times New Roman" w:cs="Times New Roman"/>
                <w:sz w:val="24"/>
                <w:szCs w:val="24"/>
              </w:rPr>
            </w:pPr>
          </w:p>
          <w:p w14:paraId="78DF260F" w14:textId="77777777" w:rsidR="00B43911" w:rsidRPr="00B012A9" w:rsidRDefault="00B43911" w:rsidP="00EA1F23">
            <w:pPr>
              <w:pStyle w:val="HTMLPreformatted"/>
              <w:rPr>
                <w:rFonts w:ascii="Times New Roman" w:hAnsi="Times New Roman" w:cs="Times New Roman"/>
                <w:sz w:val="24"/>
                <w:szCs w:val="24"/>
              </w:rPr>
            </w:pPr>
          </w:p>
        </w:tc>
      </w:tr>
    </w:tbl>
    <w:p w14:paraId="06C50579" w14:textId="77777777" w:rsidR="0042350A" w:rsidRPr="00B012A9" w:rsidRDefault="0042350A" w:rsidP="0042350A">
      <w:pPr>
        <w:pBdr>
          <w:bottom w:val="single" w:sz="12" w:space="1" w:color="auto"/>
        </w:pBdr>
        <w:autoSpaceDE w:val="0"/>
        <w:autoSpaceDN w:val="0"/>
        <w:adjustRightInd w:val="0"/>
        <w:rPr>
          <w:rFonts w:eastAsia="Calibri"/>
          <w:szCs w:val="24"/>
        </w:rPr>
      </w:pPr>
    </w:p>
    <w:p w14:paraId="4F6FB4D2" w14:textId="77777777" w:rsidR="0042350A" w:rsidRPr="00B012A9" w:rsidRDefault="0042350A" w:rsidP="0042350A">
      <w:pPr>
        <w:autoSpaceDE w:val="0"/>
        <w:autoSpaceDN w:val="0"/>
        <w:adjustRightInd w:val="0"/>
        <w:rPr>
          <w:rFonts w:eastAsia="Calibri"/>
          <w:szCs w:val="24"/>
        </w:rPr>
      </w:pPr>
    </w:p>
    <w:p w14:paraId="0B78A92B" w14:textId="77777777" w:rsidR="0042350A" w:rsidRPr="00B012A9" w:rsidRDefault="00AE52F3" w:rsidP="0042350A">
      <w:pPr>
        <w:widowControl w:val="0"/>
        <w:jc w:val="center"/>
        <w:rPr>
          <w:b/>
          <w:szCs w:val="24"/>
        </w:rPr>
      </w:pPr>
      <w:r w:rsidRPr="00B012A9">
        <w:rPr>
          <w:b/>
          <w:szCs w:val="24"/>
        </w:rPr>
        <w:t xml:space="preserve">MEMORANDUM IN SUPPORT OF APPLICATION FOR REHEARING </w:t>
      </w:r>
    </w:p>
    <w:p w14:paraId="2EFE9809" w14:textId="77777777" w:rsidR="0042350A" w:rsidRPr="00B012A9" w:rsidRDefault="00AE52F3" w:rsidP="0042350A">
      <w:pPr>
        <w:widowControl w:val="0"/>
        <w:jc w:val="center"/>
        <w:rPr>
          <w:b/>
          <w:szCs w:val="24"/>
        </w:rPr>
      </w:pPr>
      <w:r w:rsidRPr="00B012A9">
        <w:rPr>
          <w:b/>
          <w:szCs w:val="24"/>
        </w:rPr>
        <w:t>BY</w:t>
      </w:r>
    </w:p>
    <w:p w14:paraId="781B5AB2" w14:textId="77777777" w:rsidR="0042350A" w:rsidRPr="00B012A9" w:rsidRDefault="00AE52F3" w:rsidP="0042350A">
      <w:pPr>
        <w:jc w:val="center"/>
        <w:rPr>
          <w:b/>
          <w:szCs w:val="24"/>
        </w:rPr>
      </w:pPr>
      <w:r w:rsidRPr="00B012A9">
        <w:rPr>
          <w:b/>
          <w:szCs w:val="24"/>
        </w:rPr>
        <w:t>OFFICE OF THE OHIO CONSUMERS’ COUNSEL</w:t>
      </w:r>
    </w:p>
    <w:p w14:paraId="4C735F2A" w14:textId="77777777" w:rsidR="0042350A" w:rsidRPr="00B012A9" w:rsidRDefault="0042350A" w:rsidP="00145118">
      <w:pPr>
        <w:pBdr>
          <w:bottom w:val="single" w:sz="12" w:space="1" w:color="auto"/>
        </w:pBdr>
        <w:autoSpaceDE w:val="0"/>
        <w:autoSpaceDN w:val="0"/>
        <w:adjustRightInd w:val="0"/>
        <w:spacing w:after="240"/>
        <w:jc w:val="center"/>
        <w:rPr>
          <w:rFonts w:eastAsia="Calibri"/>
          <w:b/>
          <w:bCs/>
          <w:szCs w:val="24"/>
        </w:rPr>
      </w:pPr>
    </w:p>
    <w:p w14:paraId="0116BBE2" w14:textId="63C4FFB5" w:rsidR="0042350A" w:rsidRPr="00B012A9" w:rsidRDefault="0042350A" w:rsidP="000052C1">
      <w:pPr>
        <w:pStyle w:val="Heading1"/>
        <w:numPr>
          <w:ilvl w:val="0"/>
          <w:numId w:val="0"/>
        </w:numPr>
        <w:spacing w:after="0"/>
      </w:pPr>
    </w:p>
    <w:p w14:paraId="269811F6" w14:textId="21C1E826" w:rsidR="00921BDF" w:rsidRDefault="00AE52F3" w:rsidP="001B75CB">
      <w:pPr>
        <w:pStyle w:val="Heading1"/>
      </w:pPr>
      <w:bookmarkStart w:id="0" w:name="_Toc155969973"/>
      <w:r>
        <w:t>INTRODUCTION</w:t>
      </w:r>
      <w:bookmarkEnd w:id="0"/>
    </w:p>
    <w:p w14:paraId="41E70C8D" w14:textId="1379B945" w:rsidR="0069209C" w:rsidRDefault="00AE52F3" w:rsidP="00921BDF">
      <w:pPr>
        <w:shd w:val="clear" w:color="auto" w:fill="FFFFFF"/>
        <w:spacing w:line="480" w:lineRule="auto"/>
        <w:ind w:firstLine="720"/>
        <w:rPr>
          <w:color w:val="1F1F1F"/>
          <w:szCs w:val="24"/>
        </w:rPr>
      </w:pPr>
      <w:r w:rsidRPr="008B7D6D">
        <w:rPr>
          <w:color w:val="1F1F1F"/>
          <w:szCs w:val="24"/>
        </w:rPr>
        <w:t>The case involves</w:t>
      </w:r>
      <w:r>
        <w:rPr>
          <w:color w:val="1F1F1F"/>
          <w:szCs w:val="24"/>
        </w:rPr>
        <w:t xml:space="preserve"> a settlement </w:t>
      </w:r>
      <w:proofErr w:type="gramStart"/>
      <w:r>
        <w:rPr>
          <w:color w:val="1F1F1F"/>
          <w:szCs w:val="24"/>
        </w:rPr>
        <w:t>entered into</w:t>
      </w:r>
      <w:proofErr w:type="gramEnd"/>
      <w:r>
        <w:rPr>
          <w:color w:val="1F1F1F"/>
          <w:szCs w:val="24"/>
        </w:rPr>
        <w:t xml:space="preserve"> by </w:t>
      </w:r>
      <w:r w:rsidR="00503B43">
        <w:rPr>
          <w:color w:val="1F1F1F"/>
          <w:szCs w:val="24"/>
        </w:rPr>
        <w:t xml:space="preserve">the PUCO’s </w:t>
      </w:r>
      <w:r>
        <w:rPr>
          <w:color w:val="1F1F1F"/>
          <w:szCs w:val="24"/>
        </w:rPr>
        <w:t>Staff and</w:t>
      </w:r>
      <w:r w:rsidR="00503B43">
        <w:rPr>
          <w:color w:val="1F1F1F"/>
          <w:szCs w:val="24"/>
        </w:rPr>
        <w:t xml:space="preserve"> marketer</w:t>
      </w:r>
      <w:r>
        <w:rPr>
          <w:color w:val="1F1F1F"/>
          <w:szCs w:val="24"/>
        </w:rPr>
        <w:t xml:space="preserve"> Inspire to resolve</w:t>
      </w:r>
      <w:r w:rsidRPr="008B7D6D">
        <w:rPr>
          <w:color w:val="1F1F1F"/>
          <w:szCs w:val="24"/>
        </w:rPr>
        <w:t xml:space="preserve"> issues of unfair, deceptive, and unconscionable acts and practices that </w:t>
      </w:r>
      <w:r>
        <w:rPr>
          <w:color w:val="1F1F1F"/>
          <w:szCs w:val="24"/>
        </w:rPr>
        <w:t xml:space="preserve">the PUCO Staff uncovered in its investigation of Inspire. The PUCO’s investigation uncovered evidence of misleading or deceptive statements to </w:t>
      </w:r>
      <w:r w:rsidR="00347752">
        <w:rPr>
          <w:color w:val="1F1F1F"/>
          <w:szCs w:val="24"/>
        </w:rPr>
        <w:t xml:space="preserve">Inspire </w:t>
      </w:r>
      <w:r>
        <w:rPr>
          <w:color w:val="1F1F1F"/>
          <w:szCs w:val="24"/>
        </w:rPr>
        <w:t>customers and instances of Inspire char</w:t>
      </w:r>
      <w:r w:rsidR="00347752">
        <w:rPr>
          <w:color w:val="1F1F1F"/>
          <w:szCs w:val="24"/>
        </w:rPr>
        <w:t>g</w:t>
      </w:r>
      <w:r>
        <w:rPr>
          <w:color w:val="1F1F1F"/>
          <w:szCs w:val="24"/>
        </w:rPr>
        <w:t xml:space="preserve">ing unconscionably high rates –some as high as $699.99 a </w:t>
      </w:r>
      <w:r w:rsidRPr="00495B4C">
        <w:rPr>
          <w:color w:val="1F1F1F"/>
          <w:szCs w:val="24"/>
        </w:rPr>
        <w:t>month for service</w:t>
      </w:r>
      <w:r w:rsidR="00347752" w:rsidRPr="00495B4C">
        <w:rPr>
          <w:color w:val="1F1F1F"/>
          <w:szCs w:val="24"/>
        </w:rPr>
        <w:t>!</w:t>
      </w:r>
      <w:r>
        <w:rPr>
          <w:rStyle w:val="FootnoteReference"/>
          <w:color w:val="1F1F1F"/>
          <w:szCs w:val="24"/>
        </w:rPr>
        <w:footnoteReference w:id="2"/>
      </w:r>
      <w:r w:rsidR="004A08AE">
        <w:rPr>
          <w:color w:val="1F1F1F"/>
          <w:szCs w:val="24"/>
        </w:rPr>
        <w:t xml:space="preserve"> </w:t>
      </w:r>
    </w:p>
    <w:p w14:paraId="119E4428" w14:textId="082CE80C" w:rsidR="00FD5618" w:rsidRDefault="00AE52F3" w:rsidP="00921BDF">
      <w:pPr>
        <w:shd w:val="clear" w:color="auto" w:fill="FFFFFF"/>
        <w:spacing w:line="480" w:lineRule="auto"/>
        <w:ind w:firstLine="720"/>
        <w:rPr>
          <w:color w:val="1F1F1F"/>
          <w:szCs w:val="24"/>
        </w:rPr>
      </w:pPr>
      <w:r>
        <w:rPr>
          <w:color w:val="1F1F1F"/>
          <w:szCs w:val="24"/>
        </w:rPr>
        <w:t>Despite the breadth and depth of the violations uncovered by the PUCO Staff, and the harm to consumers, the PUCO Staff and Inspire managed to reach agreement.</w:t>
      </w:r>
      <w:r w:rsidR="004A08AE">
        <w:rPr>
          <w:color w:val="1F1F1F"/>
          <w:szCs w:val="24"/>
        </w:rPr>
        <w:t xml:space="preserve"> </w:t>
      </w:r>
      <w:r>
        <w:rPr>
          <w:color w:val="1F1F1F"/>
          <w:szCs w:val="24"/>
        </w:rPr>
        <w:t>Their settlement agreement was filed on Sept. 5</w:t>
      </w:r>
      <w:r w:rsidR="00BA4F4F">
        <w:rPr>
          <w:color w:val="1F1F1F"/>
          <w:szCs w:val="24"/>
        </w:rPr>
        <w:t>, 2023</w:t>
      </w:r>
      <w:r>
        <w:rPr>
          <w:color w:val="1F1F1F"/>
          <w:szCs w:val="24"/>
        </w:rPr>
        <w:t xml:space="preserve"> with the PUCO </w:t>
      </w:r>
      <w:proofErr w:type="gramStart"/>
      <w:r>
        <w:rPr>
          <w:color w:val="1F1F1F"/>
          <w:szCs w:val="24"/>
        </w:rPr>
        <w:t>opening up</w:t>
      </w:r>
      <w:proofErr w:type="gramEnd"/>
      <w:r>
        <w:rPr>
          <w:color w:val="1F1F1F"/>
          <w:szCs w:val="24"/>
        </w:rPr>
        <w:t xml:space="preserve"> a docket </w:t>
      </w:r>
      <w:r w:rsidR="002219D8">
        <w:rPr>
          <w:color w:val="1F1F1F"/>
          <w:szCs w:val="24"/>
        </w:rPr>
        <w:t>to accept the settlement with a</w:t>
      </w:r>
      <w:r>
        <w:rPr>
          <w:color w:val="1F1F1F"/>
          <w:szCs w:val="24"/>
        </w:rPr>
        <w:t xml:space="preserve"> case number </w:t>
      </w:r>
      <w:r w:rsidR="002219D8">
        <w:rPr>
          <w:color w:val="1F1F1F"/>
          <w:szCs w:val="24"/>
        </w:rPr>
        <w:t>being assigned</w:t>
      </w:r>
      <w:r>
        <w:rPr>
          <w:color w:val="1F1F1F"/>
          <w:szCs w:val="24"/>
        </w:rPr>
        <w:t xml:space="preserve"> –23-0720-GE-UNC.</w:t>
      </w:r>
      <w:r w:rsidR="004A08AE">
        <w:rPr>
          <w:color w:val="1F1F1F"/>
          <w:szCs w:val="24"/>
        </w:rPr>
        <w:t xml:space="preserve"> </w:t>
      </w:r>
      <w:r>
        <w:rPr>
          <w:color w:val="1F1F1F"/>
          <w:szCs w:val="24"/>
        </w:rPr>
        <w:t xml:space="preserve"> </w:t>
      </w:r>
    </w:p>
    <w:p w14:paraId="50051FC9" w14:textId="4EC5B542" w:rsidR="00FD5618" w:rsidRDefault="00AE52F3" w:rsidP="00921BDF">
      <w:pPr>
        <w:shd w:val="clear" w:color="auto" w:fill="FFFFFF"/>
        <w:spacing w:line="480" w:lineRule="auto"/>
        <w:ind w:firstLine="720"/>
        <w:rPr>
          <w:color w:val="1F1F1F"/>
          <w:szCs w:val="24"/>
        </w:rPr>
      </w:pPr>
      <w:r>
        <w:rPr>
          <w:color w:val="1F1F1F"/>
          <w:szCs w:val="24"/>
        </w:rPr>
        <w:t>The PUCO Staff and Inspire negotiated and agreed to the settlement behind closed doors before the issues ever reached the public docket.</w:t>
      </w:r>
      <w:r w:rsidR="004A08AE">
        <w:rPr>
          <w:color w:val="1F1F1F"/>
          <w:szCs w:val="24"/>
        </w:rPr>
        <w:t xml:space="preserve"> </w:t>
      </w:r>
      <w:r>
        <w:rPr>
          <w:color w:val="1F1F1F"/>
          <w:szCs w:val="24"/>
        </w:rPr>
        <w:t xml:space="preserve">This was the beginning of the dark and disturbing PUCO settlement process purposely shielded from public </w:t>
      </w:r>
      <w:r>
        <w:rPr>
          <w:color w:val="1F1F1F"/>
          <w:szCs w:val="24"/>
        </w:rPr>
        <w:lastRenderedPageBreak/>
        <w:t>scrutiny, without the input of the consumers who were harmed by Inspire and should have had a say.</w:t>
      </w:r>
      <w:r w:rsidR="004A08AE">
        <w:rPr>
          <w:color w:val="1F1F1F"/>
          <w:szCs w:val="24"/>
        </w:rPr>
        <w:t xml:space="preserve"> </w:t>
      </w:r>
      <w:r w:rsidR="002219D8">
        <w:rPr>
          <w:color w:val="1F1F1F"/>
          <w:szCs w:val="24"/>
        </w:rPr>
        <w:t>That process violated R.C. 4901.12</w:t>
      </w:r>
      <w:r w:rsidR="005E277A">
        <w:rPr>
          <w:color w:val="1F1F1F"/>
          <w:szCs w:val="24"/>
        </w:rPr>
        <w:t xml:space="preserve"> which ensures that all PUCO proceedings and documents in its possession are public.</w:t>
      </w:r>
      <w:r w:rsidR="004A08AE">
        <w:rPr>
          <w:color w:val="1F1F1F"/>
          <w:szCs w:val="24"/>
        </w:rPr>
        <w:t xml:space="preserve"> </w:t>
      </w:r>
    </w:p>
    <w:p w14:paraId="35510192" w14:textId="2810BE7E" w:rsidR="00BB48E3" w:rsidRDefault="00AE52F3" w:rsidP="00551783">
      <w:pPr>
        <w:shd w:val="clear" w:color="auto" w:fill="FFFFFF"/>
        <w:spacing w:line="480" w:lineRule="auto"/>
        <w:ind w:firstLine="720"/>
        <w:rPr>
          <w:color w:val="1F1F1F"/>
          <w:szCs w:val="24"/>
        </w:rPr>
      </w:pPr>
      <w:r>
        <w:rPr>
          <w:color w:val="1F1F1F"/>
          <w:szCs w:val="24"/>
        </w:rPr>
        <w:t xml:space="preserve">The cloud of secrecy </w:t>
      </w:r>
      <w:r w:rsidR="008432A8">
        <w:rPr>
          <w:color w:val="1F1F1F"/>
          <w:szCs w:val="24"/>
        </w:rPr>
        <w:t xml:space="preserve">darkened when the </w:t>
      </w:r>
      <w:r>
        <w:rPr>
          <w:color w:val="1F1F1F"/>
          <w:szCs w:val="24"/>
        </w:rPr>
        <w:t>PUCO den</w:t>
      </w:r>
      <w:r w:rsidR="008432A8">
        <w:rPr>
          <w:color w:val="1F1F1F"/>
          <w:szCs w:val="24"/>
        </w:rPr>
        <w:t>ied</w:t>
      </w:r>
      <w:r>
        <w:rPr>
          <w:color w:val="1F1F1F"/>
          <w:szCs w:val="24"/>
        </w:rPr>
        <w:t xml:space="preserve"> OCC intervention, based on </w:t>
      </w:r>
      <w:r w:rsidR="00B552FB">
        <w:rPr>
          <w:color w:val="1F1F1F"/>
          <w:szCs w:val="24"/>
        </w:rPr>
        <w:t>its</w:t>
      </w:r>
      <w:r>
        <w:rPr>
          <w:color w:val="1F1F1F"/>
          <w:szCs w:val="24"/>
        </w:rPr>
        <w:t xml:space="preserve"> disingenuous </w:t>
      </w:r>
      <w:r w:rsidR="00B552FB">
        <w:rPr>
          <w:color w:val="1F1F1F"/>
          <w:szCs w:val="24"/>
        </w:rPr>
        <w:t xml:space="preserve">denial </w:t>
      </w:r>
      <w:r>
        <w:rPr>
          <w:color w:val="1F1F1F"/>
          <w:szCs w:val="24"/>
        </w:rPr>
        <w:t>of OCC’s motion to intervene.</w:t>
      </w:r>
      <w:r w:rsidR="00636839">
        <w:rPr>
          <w:color w:val="1F1F1F"/>
          <w:szCs w:val="24"/>
        </w:rPr>
        <w:t xml:space="preserve"> </w:t>
      </w:r>
      <w:r w:rsidR="00636839" w:rsidRPr="00124B8B">
        <w:rPr>
          <w:b/>
          <w:bCs/>
          <w:i/>
          <w:iCs/>
          <w:color w:val="1F1F1F"/>
          <w:szCs w:val="24"/>
        </w:rPr>
        <w:t>No party even opposed OCC’s intervention!</w:t>
      </w:r>
      <w:r w:rsidR="00013CF4">
        <w:rPr>
          <w:color w:val="1F1F1F"/>
          <w:szCs w:val="24"/>
        </w:rPr>
        <w:t xml:space="preserve"> </w:t>
      </w:r>
      <w:r w:rsidR="00013CF4" w:rsidRPr="00013CF4">
        <w:rPr>
          <w:color w:val="1F1F1F"/>
          <w:szCs w:val="24"/>
        </w:rPr>
        <w:t>And given that the OCC me</w:t>
      </w:r>
      <w:r w:rsidR="00B552FB">
        <w:rPr>
          <w:color w:val="1F1F1F"/>
          <w:szCs w:val="24"/>
        </w:rPr>
        <w:t>e</w:t>
      </w:r>
      <w:r w:rsidR="00013CF4" w:rsidRPr="00013CF4">
        <w:rPr>
          <w:color w:val="1F1F1F"/>
          <w:szCs w:val="24"/>
        </w:rPr>
        <w:t>t</w:t>
      </w:r>
      <w:r w:rsidR="00B552FB">
        <w:rPr>
          <w:color w:val="1F1F1F"/>
          <w:szCs w:val="24"/>
        </w:rPr>
        <w:t>s</w:t>
      </w:r>
      <w:r w:rsidR="00013CF4" w:rsidRPr="00013CF4">
        <w:rPr>
          <w:color w:val="1F1F1F"/>
          <w:szCs w:val="24"/>
        </w:rPr>
        <w:t xml:space="preserve"> every provision of R.C. 4903.221 and Ohio Adm.</w:t>
      </w:r>
      <w:r w:rsidR="00E258A1">
        <w:rPr>
          <w:color w:val="1F1F1F"/>
          <w:szCs w:val="24"/>
        </w:rPr>
        <w:t xml:space="preserve"> </w:t>
      </w:r>
      <w:r w:rsidR="00013CF4" w:rsidRPr="00013CF4">
        <w:rPr>
          <w:color w:val="1F1F1F"/>
          <w:szCs w:val="24"/>
        </w:rPr>
        <w:t xml:space="preserve">Code 4901-1-11 </w:t>
      </w:r>
      <w:r w:rsidR="00013CF4">
        <w:rPr>
          <w:color w:val="1F1F1F"/>
          <w:szCs w:val="24"/>
        </w:rPr>
        <w:t xml:space="preserve">for intervention </w:t>
      </w:r>
      <w:r w:rsidR="00013CF4" w:rsidRPr="00013CF4">
        <w:rPr>
          <w:color w:val="1F1F1F"/>
          <w:szCs w:val="24"/>
        </w:rPr>
        <w:t xml:space="preserve">– </w:t>
      </w:r>
      <w:r w:rsidR="008432A8">
        <w:rPr>
          <w:color w:val="1F1F1F"/>
          <w:szCs w:val="24"/>
        </w:rPr>
        <w:t xml:space="preserve">the PUCO’s denial </w:t>
      </w:r>
      <w:r w:rsidR="00B552FB">
        <w:rPr>
          <w:color w:val="1F1F1F"/>
          <w:szCs w:val="24"/>
        </w:rPr>
        <w:t>of intervention to OCC to protect consumers is</w:t>
      </w:r>
      <w:r w:rsidR="00013CF4" w:rsidRPr="00013CF4">
        <w:rPr>
          <w:color w:val="1F1F1F"/>
          <w:szCs w:val="24"/>
        </w:rPr>
        <w:t xml:space="preserve"> unlawful</w:t>
      </w:r>
      <w:r w:rsidR="00C84206">
        <w:rPr>
          <w:color w:val="1F1F1F"/>
          <w:szCs w:val="24"/>
        </w:rPr>
        <w:t xml:space="preserve"> and unreasonable</w:t>
      </w:r>
      <w:r w:rsidR="00B552FB">
        <w:rPr>
          <w:color w:val="1F1F1F"/>
          <w:szCs w:val="24"/>
        </w:rPr>
        <w:t>.</w:t>
      </w:r>
    </w:p>
    <w:p w14:paraId="3175A73A" w14:textId="2DE7EB2F" w:rsidR="00921BDF" w:rsidRPr="00921BDF" w:rsidRDefault="00AE52F3" w:rsidP="00B552FB">
      <w:pPr>
        <w:shd w:val="clear" w:color="auto" w:fill="FFFFFF"/>
        <w:spacing w:line="480" w:lineRule="auto"/>
        <w:ind w:firstLine="720"/>
        <w:rPr>
          <w:color w:val="1F1F1F"/>
          <w:szCs w:val="24"/>
        </w:rPr>
      </w:pPr>
      <w:r>
        <w:rPr>
          <w:color w:val="1F1F1F"/>
          <w:szCs w:val="24"/>
        </w:rPr>
        <w:t>This shadowy process then end</w:t>
      </w:r>
      <w:r w:rsidR="005E277A">
        <w:rPr>
          <w:color w:val="1F1F1F"/>
          <w:szCs w:val="24"/>
        </w:rPr>
        <w:t>ed</w:t>
      </w:r>
      <w:r>
        <w:rPr>
          <w:color w:val="1F1F1F"/>
          <w:szCs w:val="24"/>
        </w:rPr>
        <w:t xml:space="preserve"> with the PUCO</w:t>
      </w:r>
      <w:r w:rsidR="00636839">
        <w:rPr>
          <w:color w:val="1F1F1F"/>
          <w:szCs w:val="24"/>
        </w:rPr>
        <w:t>’s</w:t>
      </w:r>
      <w:r>
        <w:rPr>
          <w:color w:val="1F1F1F"/>
          <w:szCs w:val="24"/>
        </w:rPr>
        <w:t xml:space="preserve"> </w:t>
      </w:r>
      <w:r w:rsidR="00636839">
        <w:rPr>
          <w:color w:val="1F1F1F"/>
          <w:szCs w:val="24"/>
        </w:rPr>
        <w:t xml:space="preserve">rubber-stamp </w:t>
      </w:r>
      <w:r>
        <w:rPr>
          <w:color w:val="1F1F1F"/>
          <w:szCs w:val="24"/>
        </w:rPr>
        <w:t>approv</w:t>
      </w:r>
      <w:r w:rsidR="00636839">
        <w:rPr>
          <w:color w:val="1F1F1F"/>
          <w:szCs w:val="24"/>
        </w:rPr>
        <w:t>al</w:t>
      </w:r>
      <w:r>
        <w:rPr>
          <w:color w:val="1F1F1F"/>
          <w:szCs w:val="24"/>
        </w:rPr>
        <w:t xml:space="preserve"> </w:t>
      </w:r>
      <w:r w:rsidR="00636839">
        <w:rPr>
          <w:color w:val="1F1F1F"/>
          <w:szCs w:val="24"/>
        </w:rPr>
        <w:t xml:space="preserve">of </w:t>
      </w:r>
      <w:r>
        <w:rPr>
          <w:color w:val="1F1F1F"/>
          <w:szCs w:val="24"/>
        </w:rPr>
        <w:t xml:space="preserve">the </w:t>
      </w:r>
      <w:r w:rsidR="008432A8">
        <w:rPr>
          <w:color w:val="1F1F1F"/>
          <w:szCs w:val="24"/>
        </w:rPr>
        <w:t xml:space="preserve">settlement with </w:t>
      </w:r>
      <w:r w:rsidR="008432A8" w:rsidRPr="00124B8B">
        <w:rPr>
          <w:i/>
          <w:iCs/>
          <w:color w:val="1F1F1F"/>
          <w:szCs w:val="24"/>
        </w:rPr>
        <w:t xml:space="preserve">no </w:t>
      </w:r>
      <w:r w:rsidR="004A4CDE" w:rsidRPr="00124B8B">
        <w:rPr>
          <w:i/>
          <w:iCs/>
          <w:color w:val="1F1F1F"/>
          <w:szCs w:val="24"/>
        </w:rPr>
        <w:t>evidence</w:t>
      </w:r>
      <w:r w:rsidR="00B552FB" w:rsidRPr="00124B8B">
        <w:rPr>
          <w:i/>
          <w:iCs/>
          <w:color w:val="1F1F1F"/>
          <w:szCs w:val="24"/>
        </w:rPr>
        <w:t xml:space="preserve"> whatsoever</w:t>
      </w:r>
      <w:r w:rsidR="00B552FB">
        <w:rPr>
          <w:color w:val="1F1F1F"/>
          <w:szCs w:val="24"/>
        </w:rPr>
        <w:t xml:space="preserve"> to</w:t>
      </w:r>
      <w:r w:rsidR="008432A8">
        <w:rPr>
          <w:color w:val="1F1F1F"/>
          <w:szCs w:val="24"/>
        </w:rPr>
        <w:t xml:space="preserve"> support the settlement, </w:t>
      </w:r>
      <w:r w:rsidR="00AB4108">
        <w:rPr>
          <w:color w:val="1F1F1F"/>
          <w:szCs w:val="24"/>
        </w:rPr>
        <w:t>but for the self-serving statements in the settlement itself.</w:t>
      </w:r>
      <w:r w:rsidR="004A08AE">
        <w:rPr>
          <w:color w:val="1F1F1F"/>
          <w:szCs w:val="24"/>
        </w:rPr>
        <w:t xml:space="preserve"> </w:t>
      </w:r>
      <w:r w:rsidR="00AB4108">
        <w:rPr>
          <w:color w:val="1F1F1F"/>
          <w:szCs w:val="24"/>
        </w:rPr>
        <w:t xml:space="preserve">No party to the settlement </w:t>
      </w:r>
      <w:r w:rsidR="002219D8">
        <w:rPr>
          <w:color w:val="1F1F1F"/>
          <w:szCs w:val="24"/>
        </w:rPr>
        <w:t xml:space="preserve">filed or provided testimony in support of the settlement, violating </w:t>
      </w:r>
      <w:r w:rsidR="008432A8">
        <w:rPr>
          <w:color w:val="1F1F1F"/>
          <w:szCs w:val="24"/>
        </w:rPr>
        <w:t xml:space="preserve">O.A.C. </w:t>
      </w:r>
      <w:r w:rsidR="00B552FB">
        <w:rPr>
          <w:color w:val="1F1F1F"/>
          <w:szCs w:val="24"/>
        </w:rPr>
        <w:t>4901-1-30(D)</w:t>
      </w:r>
      <w:r w:rsidR="004A4CDE">
        <w:rPr>
          <w:color w:val="1F1F1F"/>
          <w:szCs w:val="24"/>
        </w:rPr>
        <w:t xml:space="preserve">. </w:t>
      </w:r>
      <w:r w:rsidR="002219D8">
        <w:rPr>
          <w:color w:val="1F1F1F"/>
          <w:szCs w:val="24"/>
        </w:rPr>
        <w:t>And OCC, who was wrongfully denied party status, was precluded from offering evidence and/or argument opposing the settlement.</w:t>
      </w:r>
      <w:r w:rsidR="005E277A">
        <w:rPr>
          <w:color w:val="1F1F1F"/>
          <w:szCs w:val="24"/>
        </w:rPr>
        <w:t xml:space="preserve"> </w:t>
      </w:r>
    </w:p>
    <w:p w14:paraId="775BD5A6" w14:textId="5DD78450" w:rsidR="00BF7957" w:rsidRDefault="00AE52F3" w:rsidP="00F3237B">
      <w:pPr>
        <w:shd w:val="clear" w:color="auto" w:fill="FFFFFF"/>
        <w:spacing w:line="480" w:lineRule="auto"/>
        <w:ind w:firstLine="720"/>
        <w:rPr>
          <w:color w:val="1F1F1F"/>
          <w:szCs w:val="24"/>
        </w:rPr>
      </w:pPr>
      <w:bookmarkStart w:id="1" w:name="_Hlk155365203"/>
      <w:r>
        <w:rPr>
          <w:color w:val="1F1F1F"/>
          <w:szCs w:val="24"/>
        </w:rPr>
        <w:t xml:space="preserve">Ohio consumers deserve better from their public officials. They deserve </w:t>
      </w:r>
      <w:r w:rsidR="00921BDF" w:rsidRPr="00921BDF">
        <w:rPr>
          <w:color w:val="1F1F1F"/>
          <w:szCs w:val="24"/>
        </w:rPr>
        <w:t>a fair and transparent process</w:t>
      </w:r>
      <w:r w:rsidR="00B552FB">
        <w:rPr>
          <w:color w:val="1F1F1F"/>
          <w:szCs w:val="24"/>
        </w:rPr>
        <w:t>.</w:t>
      </w:r>
      <w:r w:rsidR="004A08AE">
        <w:rPr>
          <w:color w:val="1F1F1F"/>
          <w:szCs w:val="24"/>
        </w:rPr>
        <w:t xml:space="preserve"> </w:t>
      </w:r>
      <w:r w:rsidR="005E277A">
        <w:rPr>
          <w:color w:val="1F1F1F"/>
          <w:szCs w:val="24"/>
        </w:rPr>
        <w:t>They deserve a PUCO that abides by the law instead of side-stepping it.</w:t>
      </w:r>
      <w:r w:rsidR="004A08AE">
        <w:rPr>
          <w:color w:val="1F1F1F"/>
          <w:szCs w:val="24"/>
        </w:rPr>
        <w:t xml:space="preserve"> </w:t>
      </w:r>
      <w:r>
        <w:rPr>
          <w:color w:val="1F1F1F"/>
          <w:szCs w:val="24"/>
        </w:rPr>
        <w:t>The PUCO should grant rehearing and modify the Order consistent with OCC’s recommendations.</w:t>
      </w:r>
    </w:p>
    <w:p w14:paraId="2FFBD624" w14:textId="77777777" w:rsidR="00BF7957" w:rsidRDefault="00AE52F3">
      <w:pPr>
        <w:rPr>
          <w:color w:val="1F1F1F"/>
          <w:szCs w:val="24"/>
        </w:rPr>
      </w:pPr>
      <w:r>
        <w:rPr>
          <w:color w:val="1F1F1F"/>
          <w:szCs w:val="24"/>
        </w:rPr>
        <w:br w:type="page"/>
      </w:r>
    </w:p>
    <w:p w14:paraId="17BF9E9E" w14:textId="530EE2F6" w:rsidR="00921BDF" w:rsidRPr="00921BDF" w:rsidRDefault="00AE52F3" w:rsidP="002073BB">
      <w:pPr>
        <w:pStyle w:val="Heading1"/>
      </w:pPr>
      <w:bookmarkStart w:id="2" w:name="_Toc155969974"/>
      <w:bookmarkEnd w:id="1"/>
      <w:r w:rsidRPr="00921BDF">
        <w:lastRenderedPageBreak/>
        <w:t>ASSIGNMENTS OF ERROR</w:t>
      </w:r>
      <w:bookmarkEnd w:id="2"/>
    </w:p>
    <w:p w14:paraId="6A304FFC" w14:textId="2CDC1076" w:rsidR="001B6135" w:rsidRDefault="00AE52F3" w:rsidP="00BF7957">
      <w:pPr>
        <w:pStyle w:val="Heading2"/>
      </w:pPr>
      <w:bookmarkStart w:id="3" w:name="_Toc155969975"/>
      <w:bookmarkStart w:id="4" w:name="_Hlk155365255"/>
      <w:r>
        <w:t>ASSIGNMENT OF ERROR</w:t>
      </w:r>
      <w:r w:rsidR="00366A55" w:rsidRPr="0024045C">
        <w:t xml:space="preserve"> 1: </w:t>
      </w:r>
      <w:bookmarkStart w:id="5" w:name="_Hlk155869861"/>
      <w:r w:rsidRPr="006E1510">
        <w:t xml:space="preserve">The PUCO erred </w:t>
      </w:r>
      <w:r>
        <w:t xml:space="preserve">and abused its discretion </w:t>
      </w:r>
      <w:r w:rsidRPr="006E1510">
        <w:t xml:space="preserve">by </w:t>
      </w:r>
      <w:r>
        <w:t xml:space="preserve">denying </w:t>
      </w:r>
      <w:r w:rsidRPr="006E1510">
        <w:t>OCC’s motion to intervene</w:t>
      </w:r>
      <w:r>
        <w:t xml:space="preserve"> to advocate for residential utility consumers served by Inspire violating </w:t>
      </w:r>
      <w:r w:rsidRPr="006E1510">
        <w:t>R.C. 4903.221</w:t>
      </w:r>
      <w:r>
        <w:t xml:space="preserve">, Supreme Court of Ohio precedent in </w:t>
      </w:r>
      <w:bookmarkStart w:id="6" w:name="_Hlk155943859"/>
      <w:r w:rsidRPr="00E2616E">
        <w:rPr>
          <w:i/>
          <w:iCs/>
        </w:rPr>
        <w:t>Ohio Consumers</w:t>
      </w:r>
      <w:r>
        <w:rPr>
          <w:i/>
          <w:iCs/>
        </w:rPr>
        <w:t>’</w:t>
      </w:r>
      <w:r w:rsidRPr="00E2616E">
        <w:rPr>
          <w:i/>
          <w:iCs/>
        </w:rPr>
        <w:t xml:space="preserve"> Counsel v. PUC</w:t>
      </w:r>
      <w:bookmarkEnd w:id="6"/>
      <w:r>
        <w:t>,</w:t>
      </w:r>
      <w:r>
        <w:rPr>
          <w:rStyle w:val="FootnoteReference"/>
          <w:szCs w:val="24"/>
        </w:rPr>
        <w:footnoteReference w:id="3"/>
      </w:r>
      <w:r>
        <w:t xml:space="preserve"> and O.A.C. 4901-1-11</w:t>
      </w:r>
      <w:r w:rsidRPr="006E1510">
        <w:t xml:space="preserve">. </w:t>
      </w:r>
      <w:r>
        <w:t>The PUCO also erred in denying intervention and failing to otherwise consider OCC’s interests in its Order resolving the proceeding.</w:t>
      </w:r>
      <w:bookmarkEnd w:id="3"/>
      <w:r w:rsidR="004A08AE">
        <w:t xml:space="preserve">  </w:t>
      </w:r>
    </w:p>
    <w:bookmarkEnd w:id="4"/>
    <w:bookmarkEnd w:id="5"/>
    <w:p w14:paraId="26368FBF" w14:textId="60A29BC6" w:rsidR="006C50E9" w:rsidRPr="001B75CB" w:rsidRDefault="00AE52F3" w:rsidP="0090483A">
      <w:pPr>
        <w:spacing w:line="480" w:lineRule="auto"/>
        <w:ind w:firstLine="720"/>
      </w:pPr>
      <w:r w:rsidRPr="0024045C">
        <w:t xml:space="preserve">In this </w:t>
      </w:r>
      <w:r w:rsidRPr="006C50E9">
        <w:rPr>
          <w:szCs w:val="24"/>
        </w:rPr>
        <w:t>matter</w:t>
      </w:r>
      <w:r w:rsidRPr="0024045C">
        <w:t xml:space="preserve">, the PUCO denied OCC’s motion to intervene, finding the </w:t>
      </w:r>
      <w:bookmarkStart w:id="8" w:name="_Hlk155836929"/>
      <w:r w:rsidRPr="0024045C">
        <w:t>“OCC’s intervention in this case would not advance an expeditious resolution of the proceeding or significantly contribute to the development of the record in this case.”</w:t>
      </w:r>
      <w:r>
        <w:rPr>
          <w:rStyle w:val="FootnoteReference"/>
          <w:szCs w:val="24"/>
        </w:rPr>
        <w:footnoteReference w:id="4"/>
      </w:r>
      <w:bookmarkEnd w:id="8"/>
      <w:r>
        <w:t xml:space="preserve"> The PUCO’s decision to exclude OCC was unlawful and rehearing should be granted.</w:t>
      </w:r>
    </w:p>
    <w:p w14:paraId="0F7962D4" w14:textId="650E23F0" w:rsidR="005154DF" w:rsidRDefault="00AE52F3" w:rsidP="00E17BA6">
      <w:pPr>
        <w:spacing w:line="480" w:lineRule="auto"/>
        <w:ind w:firstLine="720"/>
        <w:rPr>
          <w:szCs w:val="24"/>
        </w:rPr>
      </w:pPr>
      <w:r w:rsidRPr="0024045C">
        <w:rPr>
          <w:szCs w:val="24"/>
        </w:rPr>
        <w:t>Intervention in PUCO matters is governed by R.C. 4903.221, which provides that any person “who may be adversely affected” by a PUCO proceeding is entitled to seek intervention in that proceeding</w:t>
      </w:r>
      <w:r w:rsidR="00B95FEE">
        <w:rPr>
          <w:szCs w:val="24"/>
        </w:rPr>
        <w:t>.</w:t>
      </w:r>
      <w:r w:rsidR="001B6135">
        <w:rPr>
          <w:szCs w:val="24"/>
        </w:rPr>
        <w:t xml:space="preserve"> </w:t>
      </w:r>
      <w:r>
        <w:rPr>
          <w:szCs w:val="24"/>
        </w:rPr>
        <w:t>There is no question that residential utility consumers could be adversely affected in this case concerning marketer Inspire’s alleged misleading and deceptive acts and practices.</w:t>
      </w:r>
      <w:r w:rsidR="004A08AE">
        <w:rPr>
          <w:szCs w:val="24"/>
        </w:rPr>
        <w:t xml:space="preserve"> </w:t>
      </w:r>
    </w:p>
    <w:p w14:paraId="12F12DFB" w14:textId="66EA450F" w:rsidR="00B95FEE" w:rsidRDefault="00AE52F3" w:rsidP="00541BCD">
      <w:pPr>
        <w:spacing w:line="480" w:lineRule="auto"/>
        <w:ind w:firstLine="720"/>
        <w:rPr>
          <w:szCs w:val="24"/>
        </w:rPr>
      </w:pPr>
      <w:r w:rsidRPr="0024045C">
        <w:rPr>
          <w:szCs w:val="24"/>
        </w:rPr>
        <w:t>In ruling on a motion to intervene,</w:t>
      </w:r>
      <w:r w:rsidR="005154DF">
        <w:rPr>
          <w:szCs w:val="24"/>
        </w:rPr>
        <w:t xml:space="preserve"> </w:t>
      </w:r>
      <w:r w:rsidR="005154DF" w:rsidRPr="0024045C">
        <w:rPr>
          <w:szCs w:val="24"/>
        </w:rPr>
        <w:t>R.C. 4903.221(B)</w:t>
      </w:r>
      <w:r w:rsidR="005154DF">
        <w:rPr>
          <w:szCs w:val="24"/>
        </w:rPr>
        <w:t xml:space="preserve"> requires</w:t>
      </w:r>
      <w:r w:rsidRPr="0024045C">
        <w:rPr>
          <w:szCs w:val="24"/>
        </w:rPr>
        <w:t xml:space="preserve"> the PUCO to consider</w:t>
      </w:r>
      <w:r w:rsidR="001B6135">
        <w:rPr>
          <w:szCs w:val="24"/>
        </w:rPr>
        <w:t xml:space="preserve"> </w:t>
      </w:r>
      <w:r>
        <w:rPr>
          <w:szCs w:val="24"/>
        </w:rPr>
        <w:t xml:space="preserve">the following </w:t>
      </w:r>
      <w:r w:rsidR="001B6135">
        <w:rPr>
          <w:szCs w:val="24"/>
        </w:rPr>
        <w:t xml:space="preserve">criteria </w:t>
      </w:r>
      <w:r w:rsidRPr="0024045C">
        <w:rPr>
          <w:szCs w:val="24"/>
        </w:rPr>
        <w:t xml:space="preserve">(1) the nature and extent of the prospective intervenor's interest, (2) the legal position advanced by the prospective intervenor and its probable relation to the merits of the case, (3) whether the intervention will unduly prolong or delay the proceeding, and (4) whether the prospective intervenor will significantly contribute to the full development and equitable resolution of the factual issues. </w:t>
      </w:r>
      <w:bookmarkStart w:id="9" w:name="_Hlk155254333"/>
      <w:r w:rsidR="005154DF">
        <w:rPr>
          <w:szCs w:val="24"/>
        </w:rPr>
        <w:t xml:space="preserve">OCC’s </w:t>
      </w:r>
      <w:r w:rsidR="005154DF">
        <w:rPr>
          <w:szCs w:val="24"/>
        </w:rPr>
        <w:lastRenderedPageBreak/>
        <w:t>motion to intervene</w:t>
      </w:r>
      <w:r w:rsidR="00B847F8">
        <w:rPr>
          <w:szCs w:val="24"/>
        </w:rPr>
        <w:t xml:space="preserve"> fully</w:t>
      </w:r>
      <w:r w:rsidR="005154DF">
        <w:rPr>
          <w:szCs w:val="24"/>
        </w:rPr>
        <w:t xml:space="preserve"> explains how these standards are satisfied</w:t>
      </w:r>
      <w:r w:rsidR="00B847F8">
        <w:rPr>
          <w:szCs w:val="24"/>
        </w:rPr>
        <w:t>, and no party filed a memorandum contra OCC’s motion</w:t>
      </w:r>
      <w:r w:rsidR="001957EF">
        <w:rPr>
          <w:szCs w:val="24"/>
        </w:rPr>
        <w:t xml:space="preserve"> arguing otherwise</w:t>
      </w:r>
      <w:r w:rsidR="00B847F8">
        <w:rPr>
          <w:szCs w:val="24"/>
        </w:rPr>
        <w:t>.</w:t>
      </w:r>
    </w:p>
    <w:p w14:paraId="2B825F1B" w14:textId="23667C30" w:rsidR="00366A55" w:rsidRDefault="00AE52F3" w:rsidP="00E17BA6">
      <w:pPr>
        <w:spacing w:line="480" w:lineRule="auto"/>
        <w:ind w:firstLine="720"/>
        <w:rPr>
          <w:szCs w:val="24"/>
        </w:rPr>
      </w:pPr>
      <w:r>
        <w:rPr>
          <w:szCs w:val="24"/>
        </w:rPr>
        <w:t xml:space="preserve">The Ohio Supreme Court has interpreted the intervention statute to require </w:t>
      </w:r>
      <w:r w:rsidR="00C5311E">
        <w:rPr>
          <w:szCs w:val="24"/>
        </w:rPr>
        <w:t>the PUCO to grant intervention liberally and found that the PUCO abuses its discretion when it does not do so.</w:t>
      </w:r>
      <w:r>
        <w:rPr>
          <w:rStyle w:val="FootnoteReference"/>
          <w:szCs w:val="24"/>
        </w:rPr>
        <w:footnoteReference w:id="5"/>
      </w:r>
      <w:r w:rsidR="00C5311E">
        <w:rPr>
          <w:szCs w:val="24"/>
        </w:rPr>
        <w:t xml:space="preserve"> </w:t>
      </w:r>
      <w:bookmarkEnd w:id="9"/>
      <w:r w:rsidR="00541BCD">
        <w:rPr>
          <w:szCs w:val="24"/>
        </w:rPr>
        <w:t>More specifically, t</w:t>
      </w:r>
      <w:r w:rsidR="00C5311E">
        <w:rPr>
          <w:szCs w:val="24"/>
        </w:rPr>
        <w:t xml:space="preserve">he Court found </w:t>
      </w:r>
      <w:r w:rsidR="00541BCD">
        <w:rPr>
          <w:szCs w:val="24"/>
        </w:rPr>
        <w:t xml:space="preserve">OCC should be granted liberal intervention when 1) the matter before the Commission could adversely affect the rights of residential consumers, 2) the </w:t>
      </w:r>
      <w:r w:rsidR="00541BCD" w:rsidRPr="00541BCD">
        <w:rPr>
          <w:szCs w:val="24"/>
        </w:rPr>
        <w:t>Consumers</w:t>
      </w:r>
      <w:r w:rsidR="00541BCD">
        <w:rPr>
          <w:szCs w:val="24"/>
        </w:rPr>
        <w:t>’</w:t>
      </w:r>
      <w:r w:rsidR="00541BCD" w:rsidRPr="00541BCD">
        <w:rPr>
          <w:szCs w:val="24"/>
        </w:rPr>
        <w:t xml:space="preserve"> Counsel's interests were not represented by any other party to the proceedings, and </w:t>
      </w:r>
      <w:r w:rsidR="00541BCD">
        <w:rPr>
          <w:szCs w:val="24"/>
        </w:rPr>
        <w:t xml:space="preserve">3) </w:t>
      </w:r>
      <w:r w:rsidR="00541BCD" w:rsidRPr="00541BCD">
        <w:rPr>
          <w:szCs w:val="24"/>
        </w:rPr>
        <w:t>there is no suggestion in the record that intervention would have unduly delayed the proceedings or caused prejudice to any party</w:t>
      </w:r>
      <w:r w:rsidR="00541BCD">
        <w:rPr>
          <w:szCs w:val="24"/>
        </w:rPr>
        <w:t xml:space="preserve"> then the OCC should be granted liberal intervention.</w:t>
      </w:r>
      <w:r>
        <w:rPr>
          <w:rStyle w:val="FootnoteReference"/>
          <w:szCs w:val="24"/>
        </w:rPr>
        <w:footnoteReference w:id="6"/>
      </w:r>
      <w:r w:rsidR="004A08AE">
        <w:rPr>
          <w:szCs w:val="24"/>
        </w:rPr>
        <w:t xml:space="preserve"> </w:t>
      </w:r>
    </w:p>
    <w:p w14:paraId="1F39DE8B" w14:textId="4839E3C1" w:rsidR="00B95FEE" w:rsidRDefault="00AE52F3" w:rsidP="00B95FEE">
      <w:pPr>
        <w:spacing w:line="480" w:lineRule="auto"/>
        <w:ind w:firstLine="720"/>
        <w:rPr>
          <w:szCs w:val="24"/>
        </w:rPr>
      </w:pPr>
      <w:r>
        <w:rPr>
          <w:szCs w:val="24"/>
        </w:rPr>
        <w:t>But the PUCO did not liberally construe the statute. Instead</w:t>
      </w:r>
      <w:r w:rsidR="001E6339">
        <w:rPr>
          <w:szCs w:val="24"/>
        </w:rPr>
        <w:t>,</w:t>
      </w:r>
      <w:r>
        <w:rPr>
          <w:szCs w:val="24"/>
        </w:rPr>
        <w:t xml:space="preserve"> the PUCO denied intervention after finding </w:t>
      </w:r>
      <w:r w:rsidR="00B847F8">
        <w:rPr>
          <w:szCs w:val="24"/>
        </w:rPr>
        <w:t>that OCC failed to satisfy prongs 3 and 4</w:t>
      </w:r>
      <w:r w:rsidR="001957EF">
        <w:rPr>
          <w:szCs w:val="24"/>
        </w:rPr>
        <w:t xml:space="preserve"> of R.C. 4903.221(B)</w:t>
      </w:r>
      <w:r w:rsidR="00B847F8">
        <w:rPr>
          <w:szCs w:val="24"/>
        </w:rPr>
        <w:t xml:space="preserve">. That </w:t>
      </w:r>
      <w:r>
        <w:rPr>
          <w:szCs w:val="24"/>
        </w:rPr>
        <w:t xml:space="preserve">PUCO ruling </w:t>
      </w:r>
      <w:r w:rsidR="00B847F8">
        <w:rPr>
          <w:szCs w:val="24"/>
        </w:rPr>
        <w:t xml:space="preserve">is </w:t>
      </w:r>
      <w:r>
        <w:rPr>
          <w:szCs w:val="24"/>
        </w:rPr>
        <w:t xml:space="preserve">factually </w:t>
      </w:r>
      <w:r w:rsidR="00B847F8">
        <w:rPr>
          <w:szCs w:val="24"/>
        </w:rPr>
        <w:t>incorrect</w:t>
      </w:r>
      <w:r w:rsidR="001957EF">
        <w:rPr>
          <w:szCs w:val="24"/>
        </w:rPr>
        <w:t>.</w:t>
      </w:r>
      <w:r w:rsidR="00B847F8">
        <w:rPr>
          <w:szCs w:val="24"/>
        </w:rPr>
        <w:t xml:space="preserve"> </w:t>
      </w:r>
    </w:p>
    <w:p w14:paraId="79C35F84" w14:textId="33F8CF35" w:rsidR="00480E06" w:rsidRDefault="00AE52F3" w:rsidP="00B95FEE">
      <w:pPr>
        <w:spacing w:line="480" w:lineRule="auto"/>
        <w:ind w:firstLine="720"/>
        <w:rPr>
          <w:szCs w:val="24"/>
        </w:rPr>
      </w:pPr>
      <w:r>
        <w:rPr>
          <w:szCs w:val="24"/>
        </w:rPr>
        <w:t xml:space="preserve">With respect to the last two criteria, </w:t>
      </w:r>
      <w:r w:rsidRPr="00480E06">
        <w:rPr>
          <w:szCs w:val="24"/>
        </w:rPr>
        <w:t xml:space="preserve">OCC </w:t>
      </w:r>
      <w:r w:rsidR="00B847F8">
        <w:rPr>
          <w:szCs w:val="24"/>
        </w:rPr>
        <w:t xml:space="preserve">plainly </w:t>
      </w:r>
      <w:r w:rsidRPr="00480E06">
        <w:rPr>
          <w:szCs w:val="24"/>
        </w:rPr>
        <w:t xml:space="preserve">stated in its memoranda the </w:t>
      </w:r>
      <w:r w:rsidRPr="00480E06">
        <w:rPr>
          <w:szCs w:val="24"/>
        </w:rPr>
        <w:t>following:</w:t>
      </w:r>
    </w:p>
    <w:p w14:paraId="317C6A6E" w14:textId="7515714A" w:rsidR="00480E06" w:rsidRDefault="00AE52F3" w:rsidP="00124B8B">
      <w:pPr>
        <w:pStyle w:val="ListParagraph"/>
        <w:numPr>
          <w:ilvl w:val="0"/>
          <w:numId w:val="8"/>
        </w:numPr>
        <w:spacing w:line="480" w:lineRule="auto"/>
      </w:pPr>
      <w:r>
        <w:t>“</w:t>
      </w:r>
      <w:r w:rsidRPr="00480E06">
        <w:t>OCC’s intervention will not unduly prolong or delay the proceedings. OCC, with its longstanding expertise and experience in PUCO proceedings, will duly allow for the efficient processing of the case with consideration of the public interest</w:t>
      </w:r>
      <w:r>
        <w:t>”;</w:t>
      </w:r>
      <w:r>
        <w:rPr>
          <w:rStyle w:val="FootnoteReference"/>
        </w:rPr>
        <w:footnoteReference w:id="7"/>
      </w:r>
      <w:r>
        <w:t xml:space="preserve"> and </w:t>
      </w:r>
    </w:p>
    <w:p w14:paraId="01D08C6D" w14:textId="2C915EA2" w:rsidR="00480E06" w:rsidRPr="00480E06" w:rsidRDefault="00AE52F3" w:rsidP="00124B8B">
      <w:pPr>
        <w:pStyle w:val="ListParagraph"/>
        <w:numPr>
          <w:ilvl w:val="0"/>
          <w:numId w:val="8"/>
        </w:numPr>
        <w:spacing w:line="480" w:lineRule="auto"/>
      </w:pPr>
      <w:r>
        <w:t>“</w:t>
      </w:r>
      <w:r w:rsidRPr="00480E06">
        <w:t xml:space="preserve">OCC’s intervention will significantly contribute to the full development and equitable resolution of the factual issues. OCC will obtain and develop </w:t>
      </w:r>
      <w:r w:rsidRPr="00480E06">
        <w:lastRenderedPageBreak/>
        <w:t>information that the PUCO should consider for equitably and lawfully deciding the case in the public interest.</w:t>
      </w:r>
      <w:r>
        <w:t>”</w:t>
      </w:r>
      <w:r>
        <w:rPr>
          <w:rStyle w:val="FootnoteReference"/>
        </w:rPr>
        <w:footnoteReference w:id="8"/>
      </w:r>
    </w:p>
    <w:p w14:paraId="6ADC5038" w14:textId="6FE33827" w:rsidR="00366A55" w:rsidRPr="0024045C" w:rsidRDefault="00AE52F3" w:rsidP="005025AC">
      <w:pPr>
        <w:spacing w:line="480" w:lineRule="auto"/>
        <w:ind w:firstLine="720"/>
        <w:rPr>
          <w:szCs w:val="24"/>
        </w:rPr>
      </w:pPr>
      <w:r>
        <w:rPr>
          <w:szCs w:val="24"/>
        </w:rPr>
        <w:t xml:space="preserve">OCC also explained how </w:t>
      </w:r>
      <w:r w:rsidRPr="0024045C">
        <w:rPr>
          <w:szCs w:val="24"/>
        </w:rPr>
        <w:t xml:space="preserve">the </w:t>
      </w:r>
      <w:r>
        <w:rPr>
          <w:szCs w:val="24"/>
        </w:rPr>
        <w:t xml:space="preserve">settlement between the PUCO </w:t>
      </w:r>
      <w:r w:rsidRPr="0024045C">
        <w:rPr>
          <w:szCs w:val="24"/>
        </w:rPr>
        <w:t xml:space="preserve">Staff and Inspire </w:t>
      </w:r>
      <w:r>
        <w:rPr>
          <w:szCs w:val="24"/>
        </w:rPr>
        <w:t>will</w:t>
      </w:r>
      <w:r w:rsidRPr="0024045C">
        <w:rPr>
          <w:szCs w:val="24"/>
        </w:rPr>
        <w:t xml:space="preserve"> adversely affect </w:t>
      </w:r>
      <w:r>
        <w:rPr>
          <w:szCs w:val="24"/>
        </w:rPr>
        <w:t xml:space="preserve">consumers and </w:t>
      </w:r>
      <w:r w:rsidRPr="0024045C">
        <w:rPr>
          <w:szCs w:val="24"/>
        </w:rPr>
        <w:t>violate</w:t>
      </w:r>
      <w:r>
        <w:rPr>
          <w:szCs w:val="24"/>
        </w:rPr>
        <w:t xml:space="preserve"> PUCO</w:t>
      </w:r>
      <w:r w:rsidRPr="0024045C">
        <w:rPr>
          <w:szCs w:val="24"/>
        </w:rPr>
        <w:t xml:space="preserve"> precedent. </w:t>
      </w:r>
      <w:r>
        <w:rPr>
          <w:szCs w:val="24"/>
        </w:rPr>
        <w:t xml:space="preserve">For example, </w:t>
      </w:r>
      <w:bookmarkStart w:id="10" w:name="_Hlk155836619"/>
      <w:r w:rsidRPr="0024045C">
        <w:rPr>
          <w:szCs w:val="24"/>
        </w:rPr>
        <w:t xml:space="preserve">the OCC stated in its memoranda the following: </w:t>
      </w:r>
      <w:bookmarkEnd w:id="10"/>
    </w:p>
    <w:p w14:paraId="40126F40" w14:textId="17362406" w:rsidR="00D279C7" w:rsidRDefault="00AE52F3" w:rsidP="00CC2BE3">
      <w:pPr>
        <w:pStyle w:val="ListParagraph"/>
        <w:numPr>
          <w:ilvl w:val="0"/>
          <w:numId w:val="2"/>
        </w:numPr>
        <w:spacing w:after="160" w:line="480" w:lineRule="auto"/>
        <w:ind w:left="1440" w:hanging="720"/>
      </w:pPr>
      <w:r>
        <w:t xml:space="preserve">The OCC had unrepresented interest in that </w:t>
      </w:r>
      <w:r w:rsidR="00DE1313">
        <w:t>it solely represents residential consumers.</w:t>
      </w:r>
      <w:r>
        <w:rPr>
          <w:rStyle w:val="FootnoteReference"/>
        </w:rPr>
        <w:footnoteReference w:id="9"/>
      </w:r>
      <w:r w:rsidR="00DE1313">
        <w:t xml:space="preserve"> </w:t>
      </w:r>
      <w:r w:rsidR="00491B31">
        <w:t>The PUCO Staff, by contrast, also represents the interests of marketers (like Inspire) and business and industrial consumers</w:t>
      </w:r>
      <w:r w:rsidR="005025AC">
        <w:t>;</w:t>
      </w:r>
    </w:p>
    <w:p w14:paraId="17703F44" w14:textId="77777777" w:rsidR="00DE1313" w:rsidRPr="0024045C" w:rsidRDefault="00AE52F3" w:rsidP="00CC2BE3">
      <w:pPr>
        <w:pStyle w:val="ListParagraph"/>
        <w:numPr>
          <w:ilvl w:val="0"/>
          <w:numId w:val="2"/>
        </w:numPr>
        <w:spacing w:after="160" w:line="480" w:lineRule="auto"/>
        <w:ind w:left="1440" w:hanging="720"/>
      </w:pPr>
      <w:r w:rsidRPr="0024045C">
        <w:t>The “OCC’s advocacy for residential consumers will include advancing the position that Inspire Energy must comply with Ohio law and the PUCO’s rules when it markets electric and natural gas service to consumers. OCC’s position is therefore directly related to the merits of this case that is pending before the PUCO, the authority with regulatory control of public utilities’ rates and service quality in Ohio;”</w:t>
      </w:r>
      <w:r>
        <w:rPr>
          <w:rStyle w:val="FootnoteReference"/>
        </w:rPr>
        <w:footnoteReference w:id="10"/>
      </w:r>
    </w:p>
    <w:p w14:paraId="50361904" w14:textId="1433B933" w:rsidR="00E17BA6" w:rsidRDefault="00AE52F3" w:rsidP="00CC2BE3">
      <w:pPr>
        <w:pStyle w:val="ListParagraph"/>
        <w:numPr>
          <w:ilvl w:val="0"/>
          <w:numId w:val="2"/>
        </w:numPr>
        <w:spacing w:after="160" w:line="480" w:lineRule="auto"/>
        <w:ind w:left="1440" w:hanging="720"/>
      </w:pPr>
      <w:r w:rsidRPr="0024045C">
        <w:t>The “[s]</w:t>
      </w:r>
      <w:proofErr w:type="spellStart"/>
      <w:r w:rsidRPr="0024045C">
        <w:t>ettlement</w:t>
      </w:r>
      <w:proofErr w:type="spellEnd"/>
      <w:r w:rsidRPr="0024045C">
        <w:t xml:space="preserve"> signed by Inspire and PUCO Staff should be modified in such a manner as to deter Inspire Energy and other marketers from offering future unconscionable rates;”</w:t>
      </w:r>
      <w:r>
        <w:rPr>
          <w:rStyle w:val="FootnoteReference"/>
        </w:rPr>
        <w:footnoteReference w:id="11"/>
      </w:r>
      <w:r w:rsidR="005025AC">
        <w:t xml:space="preserve"> and</w:t>
      </w:r>
      <w:r w:rsidRPr="0024045C">
        <w:t xml:space="preserve"> </w:t>
      </w:r>
    </w:p>
    <w:p w14:paraId="7C5AD546" w14:textId="60B2AFF9" w:rsidR="00366A55" w:rsidRPr="0024045C" w:rsidRDefault="00AE52F3" w:rsidP="00CC2BE3">
      <w:pPr>
        <w:pStyle w:val="ListParagraph"/>
        <w:numPr>
          <w:ilvl w:val="0"/>
          <w:numId w:val="2"/>
        </w:numPr>
        <w:spacing w:after="160" w:line="480" w:lineRule="auto"/>
        <w:ind w:left="1440" w:hanging="720"/>
      </w:pPr>
      <w:r w:rsidRPr="0024045C">
        <w:lastRenderedPageBreak/>
        <w:t xml:space="preserve">The OCC sought to scrutinize the adequacy of the stipulation to address the alleged unconscionable rates charged by Inspire, </w:t>
      </w:r>
      <w:proofErr w:type="gramStart"/>
      <w:r w:rsidRPr="0024045C">
        <w:t>similar to</w:t>
      </w:r>
      <w:proofErr w:type="gramEnd"/>
      <w:r w:rsidRPr="0024045C">
        <w:t xml:space="preserve"> what the Commission itself did in </w:t>
      </w:r>
      <w:r w:rsidRPr="00E17BA6">
        <w:rPr>
          <w:i/>
          <w:iCs/>
        </w:rPr>
        <w:t>Smart Energy</w:t>
      </w:r>
      <w:r>
        <w:rPr>
          <w:rStyle w:val="FootnoteReference"/>
          <w:i/>
          <w:iCs/>
        </w:rPr>
        <w:footnoteReference w:id="12"/>
      </w:r>
      <w:r w:rsidRPr="0024045C">
        <w:t xml:space="preserve"> matter.</w:t>
      </w:r>
      <w:r>
        <w:rPr>
          <w:rStyle w:val="FootnoteReference"/>
        </w:rPr>
        <w:footnoteReference w:id="13"/>
      </w:r>
      <w:r w:rsidRPr="0024045C">
        <w:t xml:space="preserve"> </w:t>
      </w:r>
    </w:p>
    <w:p w14:paraId="100D56B1" w14:textId="5EB52DA2" w:rsidR="00C14694" w:rsidRDefault="00AE52F3" w:rsidP="0089231D">
      <w:pPr>
        <w:spacing w:line="480" w:lineRule="auto"/>
        <w:ind w:firstLine="720"/>
        <w:rPr>
          <w:szCs w:val="24"/>
        </w:rPr>
      </w:pPr>
      <w:r w:rsidRPr="0024045C">
        <w:rPr>
          <w:szCs w:val="24"/>
        </w:rPr>
        <w:t xml:space="preserve">Accordingly, the OCC sought intervention to </w:t>
      </w:r>
      <w:r w:rsidR="00B95FEE">
        <w:rPr>
          <w:szCs w:val="24"/>
        </w:rPr>
        <w:t xml:space="preserve">address the reasonableness of the settlement and </w:t>
      </w:r>
      <w:r>
        <w:rPr>
          <w:szCs w:val="24"/>
        </w:rPr>
        <w:t xml:space="preserve">to provide input, on behalf of consumers, as to </w:t>
      </w:r>
      <w:r w:rsidR="00B95FEE">
        <w:rPr>
          <w:szCs w:val="24"/>
        </w:rPr>
        <w:t>whether the settlement should be adopted.</w:t>
      </w:r>
      <w:r w:rsidR="004A08AE">
        <w:rPr>
          <w:szCs w:val="24"/>
        </w:rPr>
        <w:t xml:space="preserve"> </w:t>
      </w:r>
      <w:r w:rsidR="00381415">
        <w:rPr>
          <w:szCs w:val="24"/>
        </w:rPr>
        <w:t xml:space="preserve">And scrutinizing whether the stipulation was reasonable </w:t>
      </w:r>
      <w:r>
        <w:rPr>
          <w:szCs w:val="24"/>
        </w:rPr>
        <w:t xml:space="preserve">and should be adopted goes to </w:t>
      </w:r>
      <w:r w:rsidR="00381415">
        <w:rPr>
          <w:szCs w:val="24"/>
        </w:rPr>
        <w:t xml:space="preserve">the </w:t>
      </w:r>
      <w:r>
        <w:rPr>
          <w:szCs w:val="24"/>
        </w:rPr>
        <w:t>proclaimed essence of</w:t>
      </w:r>
      <w:r w:rsidR="00381415">
        <w:rPr>
          <w:szCs w:val="24"/>
        </w:rPr>
        <w:t xml:space="preserve"> the PUCO’s Order </w:t>
      </w:r>
      <w:r>
        <w:rPr>
          <w:szCs w:val="24"/>
        </w:rPr>
        <w:t>--</w:t>
      </w:r>
      <w:r w:rsidR="00381415">
        <w:rPr>
          <w:szCs w:val="24"/>
        </w:rPr>
        <w:t xml:space="preserve"> “</w:t>
      </w:r>
      <w:r w:rsidR="00381415" w:rsidRPr="00381415">
        <w:rPr>
          <w:szCs w:val="24"/>
        </w:rPr>
        <w:t>we focus our attention to the concrete issue at hand: whether the Settlement Agreement between Staff and Inspire Energy docketed in this proceeding is reasonable.</w:t>
      </w:r>
      <w:r w:rsidR="00381415">
        <w:rPr>
          <w:szCs w:val="24"/>
        </w:rPr>
        <w:t>”</w:t>
      </w:r>
      <w:r>
        <w:rPr>
          <w:rStyle w:val="FootnoteReference"/>
          <w:szCs w:val="24"/>
        </w:rPr>
        <w:footnoteReference w:id="14"/>
      </w:r>
      <w:r w:rsidR="00381415">
        <w:rPr>
          <w:szCs w:val="24"/>
        </w:rPr>
        <w:t xml:space="preserve"> </w:t>
      </w:r>
    </w:p>
    <w:p w14:paraId="4AE55060" w14:textId="3074F814" w:rsidR="00124B8B" w:rsidRDefault="00AE52F3" w:rsidP="0089231D">
      <w:pPr>
        <w:spacing w:line="480" w:lineRule="auto"/>
        <w:ind w:firstLine="720"/>
        <w:rPr>
          <w:szCs w:val="24"/>
        </w:rPr>
      </w:pPr>
      <w:r>
        <w:rPr>
          <w:szCs w:val="24"/>
        </w:rPr>
        <w:t xml:space="preserve">The PUCO </w:t>
      </w:r>
      <w:r w:rsidR="00491B31">
        <w:rPr>
          <w:szCs w:val="24"/>
        </w:rPr>
        <w:t>should have</w:t>
      </w:r>
      <w:r>
        <w:rPr>
          <w:szCs w:val="24"/>
        </w:rPr>
        <w:t xml:space="preserve"> </w:t>
      </w:r>
      <w:r w:rsidR="00493BB7">
        <w:rPr>
          <w:szCs w:val="24"/>
        </w:rPr>
        <w:t>grant</w:t>
      </w:r>
      <w:r w:rsidR="00491B31">
        <w:rPr>
          <w:szCs w:val="24"/>
        </w:rPr>
        <w:t>ed</w:t>
      </w:r>
      <w:r>
        <w:rPr>
          <w:szCs w:val="24"/>
        </w:rPr>
        <w:t xml:space="preserve"> OCC </w:t>
      </w:r>
      <w:r w:rsidR="00493BB7">
        <w:rPr>
          <w:szCs w:val="24"/>
        </w:rPr>
        <w:t>intervention</w:t>
      </w:r>
      <w:r w:rsidR="00C14694">
        <w:rPr>
          <w:szCs w:val="24"/>
        </w:rPr>
        <w:t>.</w:t>
      </w:r>
      <w:r w:rsidR="004A08AE">
        <w:rPr>
          <w:szCs w:val="24"/>
        </w:rPr>
        <w:t xml:space="preserve"> </w:t>
      </w:r>
      <w:r w:rsidR="00493BB7">
        <w:rPr>
          <w:szCs w:val="24"/>
        </w:rPr>
        <w:t xml:space="preserve">OCC had every right, in line with its statutory duty to </w:t>
      </w:r>
      <w:r>
        <w:rPr>
          <w:szCs w:val="24"/>
        </w:rPr>
        <w:t>represent consumers</w:t>
      </w:r>
      <w:r w:rsidR="00493BB7">
        <w:rPr>
          <w:szCs w:val="24"/>
        </w:rPr>
        <w:t xml:space="preserve"> in </w:t>
      </w:r>
      <w:r w:rsidR="004F695E">
        <w:rPr>
          <w:szCs w:val="24"/>
        </w:rPr>
        <w:t>this very type of matter</w:t>
      </w:r>
      <w:r w:rsidR="00C14694">
        <w:rPr>
          <w:szCs w:val="24"/>
        </w:rPr>
        <w:t>,</w:t>
      </w:r>
      <w:r>
        <w:rPr>
          <w:rStyle w:val="FootnoteReference"/>
          <w:szCs w:val="24"/>
        </w:rPr>
        <w:footnoteReference w:id="15"/>
      </w:r>
      <w:r w:rsidR="00C14694">
        <w:rPr>
          <w:szCs w:val="24"/>
        </w:rPr>
        <w:t xml:space="preserve"> </w:t>
      </w:r>
      <w:r w:rsidR="00493BB7">
        <w:rPr>
          <w:szCs w:val="24"/>
        </w:rPr>
        <w:t>to intervene and participate in th</w:t>
      </w:r>
      <w:r>
        <w:rPr>
          <w:szCs w:val="24"/>
        </w:rPr>
        <w:t>is</w:t>
      </w:r>
      <w:r w:rsidR="00493BB7">
        <w:rPr>
          <w:szCs w:val="24"/>
        </w:rPr>
        <w:t xml:space="preserve"> proceeding</w:t>
      </w:r>
      <w:r>
        <w:rPr>
          <w:szCs w:val="24"/>
        </w:rPr>
        <w:t xml:space="preserve"> where consumers interests were at issue</w:t>
      </w:r>
      <w:r w:rsidR="00493BB7">
        <w:rPr>
          <w:szCs w:val="24"/>
        </w:rPr>
        <w:t xml:space="preserve">. OCC easily met all four prongs of </w:t>
      </w:r>
      <w:r w:rsidR="004F695E" w:rsidRPr="004F695E">
        <w:rPr>
          <w:szCs w:val="24"/>
        </w:rPr>
        <w:t>R.C. 4903.221(B)</w:t>
      </w:r>
      <w:r w:rsidR="004F695E">
        <w:rPr>
          <w:szCs w:val="24"/>
        </w:rPr>
        <w:t>.</w:t>
      </w:r>
      <w:r w:rsidR="00B84D08">
        <w:rPr>
          <w:szCs w:val="24"/>
        </w:rPr>
        <w:t xml:space="preserve"> </w:t>
      </w:r>
    </w:p>
    <w:p w14:paraId="27B26BE1" w14:textId="39870DA0" w:rsidR="00AB711D" w:rsidRDefault="00AE52F3" w:rsidP="0089231D">
      <w:pPr>
        <w:spacing w:line="480" w:lineRule="auto"/>
        <w:ind w:firstLine="720"/>
        <w:rPr>
          <w:szCs w:val="24"/>
        </w:rPr>
      </w:pPr>
      <w:r>
        <w:rPr>
          <w:szCs w:val="24"/>
        </w:rPr>
        <w:t>The PUCO abused its discretion when it denied OCC’s intervention. It failed to follow Supreme Court precedent which requires intervention to be liberally granted.</w:t>
      </w:r>
      <w:r w:rsidR="004A08AE">
        <w:rPr>
          <w:szCs w:val="24"/>
        </w:rPr>
        <w:t xml:space="preserve"> </w:t>
      </w:r>
      <w:r>
        <w:rPr>
          <w:szCs w:val="24"/>
        </w:rPr>
        <w:t xml:space="preserve"> And to make matters worse, the PUCO failed to even consider OCC’s interests when it ruled on the Settlement.</w:t>
      </w:r>
      <w:r w:rsidR="004A08AE">
        <w:rPr>
          <w:szCs w:val="24"/>
        </w:rPr>
        <w:t xml:space="preserve"> </w:t>
      </w:r>
      <w:r>
        <w:rPr>
          <w:szCs w:val="24"/>
        </w:rPr>
        <w:t>The PUCO erred.</w:t>
      </w:r>
      <w:r w:rsidR="004A08AE">
        <w:rPr>
          <w:szCs w:val="24"/>
        </w:rPr>
        <w:t xml:space="preserve"> </w:t>
      </w:r>
      <w:r>
        <w:rPr>
          <w:szCs w:val="24"/>
        </w:rPr>
        <w:t xml:space="preserve">Rehearing should be granted. </w:t>
      </w:r>
    </w:p>
    <w:p w14:paraId="15013B88" w14:textId="77777777" w:rsidR="00AB711D" w:rsidRDefault="00AE52F3">
      <w:pPr>
        <w:rPr>
          <w:szCs w:val="24"/>
        </w:rPr>
      </w:pPr>
      <w:r>
        <w:rPr>
          <w:szCs w:val="24"/>
        </w:rPr>
        <w:br w:type="page"/>
      </w:r>
    </w:p>
    <w:p w14:paraId="1E543A9A" w14:textId="1FB1139A" w:rsidR="007E35CA" w:rsidRDefault="00AE52F3" w:rsidP="00AB711D">
      <w:pPr>
        <w:pStyle w:val="Heading2"/>
      </w:pPr>
      <w:bookmarkStart w:id="15" w:name="_Toc155969976"/>
      <w:bookmarkStart w:id="16" w:name="_Hlk155844104"/>
      <w:r w:rsidRPr="00FE5F5B">
        <w:rPr>
          <w:bCs/>
        </w:rPr>
        <w:lastRenderedPageBreak/>
        <w:t xml:space="preserve">ASSIGNMENT OF ERROR 2: </w:t>
      </w:r>
      <w:bookmarkStart w:id="17" w:name="_Hlk155869748"/>
      <w:r w:rsidR="00C14694" w:rsidRPr="006E1510">
        <w:t>The PUCO erred by</w:t>
      </w:r>
      <w:r w:rsidR="00C14694">
        <w:t xml:space="preserve"> denying OCC’s motion to intervene when it unreasonably construed OCC’s interests as mere policy recommendations and ignored OCC’s recommended modifications to the settlement.</w:t>
      </w:r>
      <w:r w:rsidR="000C74C3">
        <w:t xml:space="preserve"> The PUCO violated R.C. 4903.09 when it mistakenly construed OCC’s arguments as it rendered an opinion without </w:t>
      </w:r>
      <w:proofErr w:type="gramStart"/>
      <w:r w:rsidR="000C74C3">
        <w:t>record</w:t>
      </w:r>
      <w:proofErr w:type="gramEnd"/>
      <w:r w:rsidR="000C74C3">
        <w:t xml:space="preserve"> support.</w:t>
      </w:r>
      <w:bookmarkEnd w:id="15"/>
      <w:r w:rsidR="000C74C3">
        <w:t xml:space="preserve"> </w:t>
      </w:r>
      <w:bookmarkEnd w:id="16"/>
      <w:bookmarkEnd w:id="17"/>
    </w:p>
    <w:p w14:paraId="25371E76" w14:textId="00C05A54" w:rsidR="00DD678F" w:rsidRDefault="00AE52F3" w:rsidP="007E35CA">
      <w:pPr>
        <w:spacing w:line="480" w:lineRule="auto"/>
        <w:ind w:firstLine="720"/>
      </w:pPr>
      <w:r>
        <w:t>In denying OCC’s intervention in this case,</w:t>
      </w:r>
      <w:r w:rsidR="00F97240">
        <w:t xml:space="preserve"> the</w:t>
      </w:r>
      <w:r>
        <w:t xml:space="preserve"> </w:t>
      </w:r>
      <w:r w:rsidR="00A91164" w:rsidRPr="00A91164">
        <w:t>PUCO</w:t>
      </w:r>
      <w:r>
        <w:t xml:space="preserve"> misconstrued OCC’s arguments as to why consumers are adversely affected by </w:t>
      </w:r>
      <w:r w:rsidR="000E51B9">
        <w:t>the settlement</w:t>
      </w:r>
      <w:r w:rsidR="00C14694">
        <w:t xml:space="preserve">. It mistakenly considered OCC’s arguments as </w:t>
      </w:r>
      <w:r w:rsidR="000E51B9">
        <w:t>mere “policy recommendations” that would unduly prolong the proceedings.</w:t>
      </w:r>
      <w:r>
        <w:rPr>
          <w:rStyle w:val="FootnoteReference"/>
        </w:rPr>
        <w:footnoteReference w:id="16"/>
      </w:r>
      <w:r w:rsidR="000E51B9">
        <w:t xml:space="preserve"> </w:t>
      </w:r>
      <w:r>
        <w:t xml:space="preserve">The PUCO’s decision </w:t>
      </w:r>
      <w:r w:rsidR="00C14694">
        <w:t xml:space="preserve">amounts to </w:t>
      </w:r>
      <w:r w:rsidR="000C74C3">
        <w:t xml:space="preserve">a </w:t>
      </w:r>
      <w:r w:rsidR="00C14694">
        <w:t>mistake</w:t>
      </w:r>
      <w:r w:rsidR="000C74C3">
        <w:t xml:space="preserve"> which lacks record support, violating R.C. 4903.09.</w:t>
      </w:r>
      <w:r w:rsidR="004A08AE">
        <w:t xml:space="preserve"> </w:t>
      </w:r>
      <w:r w:rsidR="007E35CA">
        <w:t>The PUCO’s order was thus unlawful.</w:t>
      </w:r>
    </w:p>
    <w:p w14:paraId="25B1345D" w14:textId="34F81059" w:rsidR="00CD2163" w:rsidRPr="0024045C" w:rsidRDefault="00AE52F3" w:rsidP="007E35CA">
      <w:pPr>
        <w:spacing w:line="480" w:lineRule="auto"/>
        <w:ind w:firstLine="720"/>
        <w:rPr>
          <w:szCs w:val="24"/>
        </w:rPr>
      </w:pPr>
      <w:r>
        <w:t>The PUCO’s misplaced</w:t>
      </w:r>
      <w:r w:rsidR="00A91164" w:rsidRPr="00A91164">
        <w:t xml:space="preserve"> emphasis on policy remarks </w:t>
      </w:r>
      <w:r w:rsidR="00157B05">
        <w:t xml:space="preserve">as a reason to </w:t>
      </w:r>
      <w:r w:rsidR="00A91164" w:rsidRPr="00A91164">
        <w:t xml:space="preserve">deny intervention </w:t>
      </w:r>
      <w:r w:rsidR="00157B05">
        <w:t xml:space="preserve">is </w:t>
      </w:r>
      <w:r w:rsidR="007E35CA">
        <w:t>a mistake.</w:t>
      </w:r>
      <w:r w:rsidR="004A08AE">
        <w:t xml:space="preserve"> </w:t>
      </w:r>
      <w:r w:rsidR="00A91164" w:rsidRPr="00A91164">
        <w:t>OCC</w:t>
      </w:r>
      <w:r w:rsidR="00CE0B01">
        <w:t>’</w:t>
      </w:r>
      <w:r w:rsidR="00A91164" w:rsidRPr="00A91164">
        <w:t xml:space="preserve">s </w:t>
      </w:r>
      <w:r w:rsidR="00157B05">
        <w:t xml:space="preserve">discussion of </w:t>
      </w:r>
      <w:r w:rsidR="00A91164" w:rsidRPr="00A91164">
        <w:t>relevant policies</w:t>
      </w:r>
      <w:r w:rsidR="00157B05">
        <w:t xml:space="preserve"> </w:t>
      </w:r>
      <w:r w:rsidR="00157B05">
        <w:rPr>
          <w:i/>
          <w:iCs/>
        </w:rPr>
        <w:t>to protect consumers</w:t>
      </w:r>
      <w:r w:rsidR="00157B05">
        <w:t xml:space="preserve"> </w:t>
      </w:r>
      <w:r w:rsidR="000C74C3">
        <w:t xml:space="preserve">did not </w:t>
      </w:r>
      <w:r w:rsidR="00157B05">
        <w:t xml:space="preserve">unduly expand the scope of the proceeding. To the contrary, </w:t>
      </w:r>
      <w:r w:rsidR="00A91164" w:rsidRPr="00A91164">
        <w:t>OCC</w:t>
      </w:r>
      <w:r w:rsidR="00CE0B01">
        <w:t>’</w:t>
      </w:r>
      <w:r w:rsidR="00A91164" w:rsidRPr="00A91164">
        <w:t xml:space="preserve">s </w:t>
      </w:r>
      <w:r w:rsidR="000C74C3">
        <w:t xml:space="preserve">specific </w:t>
      </w:r>
      <w:r w:rsidR="00A91164" w:rsidRPr="00A91164">
        <w:t>recommendations</w:t>
      </w:r>
      <w:r w:rsidR="000C74C3">
        <w:t xml:space="preserve"> were written to</w:t>
      </w:r>
      <w:r w:rsidR="00CE0B01">
        <w:t xml:space="preserve"> be applied</w:t>
      </w:r>
      <w:r w:rsidR="00A91164" w:rsidRPr="00A91164">
        <w:t xml:space="preserve"> to Inspire</w:t>
      </w:r>
      <w:r w:rsidR="00625896">
        <w:t>’s</w:t>
      </w:r>
      <w:r w:rsidR="000C74C3">
        <w:t xml:space="preserve"> settlement</w:t>
      </w:r>
      <w:r w:rsidR="000C74C3" w:rsidRPr="00124B8B">
        <w:rPr>
          <w:i/>
          <w:iCs/>
        </w:rPr>
        <w:t>.</w:t>
      </w:r>
      <w:r>
        <w:rPr>
          <w:rStyle w:val="FootnoteReference"/>
          <w:i/>
          <w:iCs/>
        </w:rPr>
        <w:footnoteReference w:id="17"/>
      </w:r>
      <w:r w:rsidR="000C74C3" w:rsidRPr="00124B8B">
        <w:rPr>
          <w:i/>
          <w:iCs/>
        </w:rPr>
        <w:t xml:space="preserve"> OCC was advocating for the settlement to be modified with </w:t>
      </w:r>
      <w:r w:rsidR="00A91164" w:rsidRPr="00124B8B">
        <w:rPr>
          <w:i/>
          <w:iCs/>
        </w:rPr>
        <w:t xml:space="preserve">Inspire </w:t>
      </w:r>
      <w:r w:rsidR="000F6AAF" w:rsidRPr="00124B8B">
        <w:rPr>
          <w:i/>
          <w:iCs/>
        </w:rPr>
        <w:t xml:space="preserve">removing its </w:t>
      </w:r>
      <w:r w:rsidR="00A91164" w:rsidRPr="00124B8B">
        <w:rPr>
          <w:i/>
          <w:iCs/>
        </w:rPr>
        <w:t>unconscionable price</w:t>
      </w:r>
      <w:r w:rsidR="000F6AAF" w:rsidRPr="00124B8B">
        <w:rPr>
          <w:i/>
          <w:iCs/>
        </w:rPr>
        <w:t>s</w:t>
      </w:r>
      <w:r w:rsidR="00A91164" w:rsidRPr="00124B8B">
        <w:rPr>
          <w:i/>
          <w:iCs/>
        </w:rPr>
        <w:t xml:space="preserve"> </w:t>
      </w:r>
      <w:r w:rsidR="000F6AAF" w:rsidRPr="00124B8B">
        <w:rPr>
          <w:i/>
          <w:iCs/>
        </w:rPr>
        <w:t>from</w:t>
      </w:r>
      <w:r w:rsidR="00A91164" w:rsidRPr="00124B8B">
        <w:rPr>
          <w:i/>
          <w:iCs/>
        </w:rPr>
        <w:t xml:space="preserve"> comparison websites.</w:t>
      </w:r>
      <w:r w:rsidR="00A91164" w:rsidRPr="00A91164">
        <w:t xml:space="preserve"> </w:t>
      </w:r>
      <w:r w:rsidR="007E35CA">
        <w:t xml:space="preserve">The </w:t>
      </w:r>
      <w:r w:rsidR="000F6AAF">
        <w:t xml:space="preserve">PUCO </w:t>
      </w:r>
      <w:r w:rsidR="00157B05">
        <w:t xml:space="preserve">was </w:t>
      </w:r>
      <w:r w:rsidR="000C74C3">
        <w:t xml:space="preserve">just plain </w:t>
      </w:r>
      <w:r w:rsidR="00157B05">
        <w:t xml:space="preserve">wrong </w:t>
      </w:r>
      <w:r w:rsidR="000F6AAF">
        <w:t xml:space="preserve">to </w:t>
      </w:r>
      <w:r w:rsidR="000C74C3">
        <w:t xml:space="preserve">characterize </w:t>
      </w:r>
      <w:r w:rsidR="000F6AAF">
        <w:t xml:space="preserve">OCC’s recommendations as outside of the scope of </w:t>
      </w:r>
      <w:r w:rsidR="000C74C3">
        <w:t>the proceeding.</w:t>
      </w:r>
      <w:r w:rsidR="004A08AE">
        <w:t xml:space="preserve"> </w:t>
      </w:r>
      <w:r w:rsidR="000C74C3">
        <w:t xml:space="preserve">And it was unjust and unreasonable, based on that mistaken, unsupported </w:t>
      </w:r>
      <w:r w:rsidR="001E6339">
        <w:t>premises</w:t>
      </w:r>
      <w:r w:rsidR="000C74C3">
        <w:t xml:space="preserve">, to deny OCC intervention. </w:t>
      </w:r>
      <w:r w:rsidR="007E35CA">
        <w:t>The PUCO’s decision is without record support and thus violates R.C. 4903.09.</w:t>
      </w:r>
      <w:r w:rsidR="007E35CA">
        <w:rPr>
          <w:szCs w:val="24"/>
        </w:rPr>
        <w:t xml:space="preserve"> </w:t>
      </w:r>
      <w:r w:rsidR="00124B8B">
        <w:rPr>
          <w:szCs w:val="24"/>
        </w:rPr>
        <w:t>Rehearing should be granted</w:t>
      </w:r>
      <w:r w:rsidR="00015FC6">
        <w:rPr>
          <w:szCs w:val="24"/>
        </w:rPr>
        <w:t xml:space="preserve">. </w:t>
      </w:r>
    </w:p>
    <w:p w14:paraId="1ABA4864" w14:textId="77777777" w:rsidR="005E2EAD" w:rsidRDefault="00AE52F3">
      <w:pPr>
        <w:rPr>
          <w:b/>
          <w:bCs/>
        </w:rPr>
      </w:pPr>
      <w:bookmarkStart w:id="18" w:name="_Hlk155338949"/>
      <w:r>
        <w:rPr>
          <w:b/>
          <w:bCs/>
        </w:rPr>
        <w:br w:type="page"/>
      </w:r>
    </w:p>
    <w:p w14:paraId="3BAE255A" w14:textId="0A574A97" w:rsidR="00A46907" w:rsidRDefault="00AE52F3" w:rsidP="005E2EAD">
      <w:pPr>
        <w:pStyle w:val="Heading2"/>
      </w:pPr>
      <w:bookmarkStart w:id="19" w:name="_Toc155969977"/>
      <w:r w:rsidRPr="001E6339">
        <w:rPr>
          <w:bCs/>
        </w:rPr>
        <w:lastRenderedPageBreak/>
        <w:t>ASSIGNMENT OF ERROR</w:t>
      </w:r>
      <w:r w:rsidR="00015FC6" w:rsidRPr="001E6339">
        <w:rPr>
          <w:bCs/>
        </w:rPr>
        <w:t xml:space="preserve"> </w:t>
      </w:r>
      <w:r w:rsidR="00E67A4E" w:rsidRPr="001E6339">
        <w:rPr>
          <w:bCs/>
        </w:rPr>
        <w:t>3</w:t>
      </w:r>
      <w:r w:rsidR="00015FC6" w:rsidRPr="001E6339">
        <w:rPr>
          <w:bCs/>
        </w:rPr>
        <w:t>:</w:t>
      </w:r>
      <w:r w:rsidRPr="00A46907">
        <w:t xml:space="preserve"> </w:t>
      </w:r>
      <w:r w:rsidRPr="006E1510">
        <w:t xml:space="preserve">The PUCO erred </w:t>
      </w:r>
      <w:r>
        <w:t>when it failed to establish a procedural schedule, providing for due process for Inspire’s consumers including the opportunity for discovery and an evidentiary hearing.</w:t>
      </w:r>
      <w:r w:rsidR="004A08AE">
        <w:t xml:space="preserve"> </w:t>
      </w:r>
      <w:r>
        <w:t xml:space="preserve">The PUCO unreasonably </w:t>
      </w:r>
      <w:r w:rsidRPr="006E1510">
        <w:t>depriv</w:t>
      </w:r>
      <w:r>
        <w:t>ed</w:t>
      </w:r>
      <w:r w:rsidR="001E6339">
        <w:t xml:space="preserve"> </w:t>
      </w:r>
      <w:r>
        <w:t xml:space="preserve">Ohio residential </w:t>
      </w:r>
      <w:proofErr w:type="gramStart"/>
      <w:r>
        <w:t>consumers</w:t>
      </w:r>
      <w:proofErr w:type="gramEnd"/>
      <w:r>
        <w:t xml:space="preserve"> </w:t>
      </w:r>
      <w:r w:rsidRPr="006E1510">
        <w:t>the opportunity to be heard</w:t>
      </w:r>
      <w:r>
        <w:t xml:space="preserve"> through their state legal advocate, OCC, regarding the settlement between the PUCO Staff and Inspire</w:t>
      </w:r>
      <w:r w:rsidRPr="006E1510">
        <w:t>.</w:t>
      </w:r>
      <w:r w:rsidR="004A08AE">
        <w:t xml:space="preserve"> </w:t>
      </w:r>
      <w:r>
        <w:t>And the PUCO, by failing to hold a hearing violated 4901</w:t>
      </w:r>
      <w:r w:rsidR="001C6B11">
        <w:t>:</w:t>
      </w:r>
      <w:r>
        <w:t>1-23-05 and 4901</w:t>
      </w:r>
      <w:r w:rsidR="001C6B11">
        <w:t>:</w:t>
      </w:r>
      <w:r>
        <w:t>1-34-06 and deprived members of the public, not parties to the</w:t>
      </w:r>
      <w:r>
        <w:t xml:space="preserve"> proceeding, the opportunity to offer testimony, violating 4901-1-27 (C).</w:t>
      </w:r>
      <w:r w:rsidR="004A08AE">
        <w:t xml:space="preserve"> </w:t>
      </w:r>
      <w:r>
        <w:t>The PUCO also did not comply with its own rules related to settlements (4901-1-30(D)</w:t>
      </w:r>
      <w:r w:rsidR="001C6B11">
        <w:t>)</w:t>
      </w:r>
      <w:r>
        <w:t xml:space="preserve"> that requires parties who file a stipulation to file or provide testimony of at least one signatory party that supports the stipulation.</w:t>
      </w:r>
      <w:bookmarkEnd w:id="19"/>
      <w:r w:rsidR="004A08AE">
        <w:t xml:space="preserve"> </w:t>
      </w:r>
    </w:p>
    <w:bookmarkEnd w:id="18"/>
    <w:p w14:paraId="236AFFC6" w14:textId="4BB914BB" w:rsidR="00F54C9D" w:rsidRPr="005E2EAD" w:rsidRDefault="00AE52F3" w:rsidP="00F54C9D">
      <w:pPr>
        <w:spacing w:line="480" w:lineRule="auto"/>
        <w:ind w:firstLine="720"/>
        <w:rPr>
          <w:szCs w:val="24"/>
        </w:rPr>
      </w:pPr>
      <w:r w:rsidRPr="005E2EAD">
        <w:rPr>
          <w:szCs w:val="24"/>
        </w:rPr>
        <w:t>The PUCO erred by failing to establish a procedural schedule</w:t>
      </w:r>
      <w:r w:rsidR="00B81D0A" w:rsidRPr="005E2EAD">
        <w:rPr>
          <w:szCs w:val="24"/>
        </w:rPr>
        <w:t xml:space="preserve"> that</w:t>
      </w:r>
      <w:r w:rsidRPr="005E2EAD">
        <w:rPr>
          <w:szCs w:val="24"/>
        </w:rPr>
        <w:t xml:space="preserve"> allow</w:t>
      </w:r>
      <w:r w:rsidR="00B81D0A" w:rsidRPr="005E2EAD">
        <w:rPr>
          <w:szCs w:val="24"/>
        </w:rPr>
        <w:t>s</w:t>
      </w:r>
      <w:r w:rsidRPr="005E2EAD">
        <w:rPr>
          <w:szCs w:val="24"/>
        </w:rPr>
        <w:t xml:space="preserve"> for appropriate due process in this case by allowing discovery to be conducted as required by R.C. 4903.082,</w:t>
      </w:r>
      <w:r>
        <w:rPr>
          <w:szCs w:val="24"/>
          <w:vertAlign w:val="superscript"/>
        </w:rPr>
        <w:footnoteReference w:id="18"/>
      </w:r>
      <w:r w:rsidRPr="005E2EAD">
        <w:rPr>
          <w:szCs w:val="24"/>
        </w:rPr>
        <w:t xml:space="preserve"> testimony to be filed, and a public hearing to be held to develop a complete record that will assist the PUCO in a full and fair consideration of the Application.</w:t>
      </w:r>
      <w:r>
        <w:rPr>
          <w:szCs w:val="24"/>
          <w:vertAlign w:val="superscript"/>
        </w:rPr>
        <w:footnoteReference w:id="19"/>
      </w:r>
      <w:r w:rsidR="004A08AE">
        <w:rPr>
          <w:szCs w:val="24"/>
        </w:rPr>
        <w:t xml:space="preserve"> </w:t>
      </w:r>
      <w:r w:rsidRPr="005E2EAD">
        <w:rPr>
          <w:szCs w:val="24"/>
        </w:rPr>
        <w:t xml:space="preserve">The PUCO routinely relies on testimony in contested cases and a hearing is an important part of any contested matter before the PUCO. </w:t>
      </w:r>
    </w:p>
    <w:p w14:paraId="5AE3197B" w14:textId="3E59DCD9" w:rsidR="00F54C9D" w:rsidRPr="005E2EAD" w:rsidRDefault="00AE52F3" w:rsidP="00F54C9D">
      <w:pPr>
        <w:spacing w:line="480" w:lineRule="auto"/>
        <w:ind w:firstLine="720"/>
        <w:rPr>
          <w:szCs w:val="24"/>
        </w:rPr>
      </w:pPr>
      <w:r w:rsidRPr="005E2EAD">
        <w:rPr>
          <w:szCs w:val="24"/>
        </w:rPr>
        <w:t>The PUCO’s rules and Ohio law permit ample discovery in PUCO proceedings.</w:t>
      </w:r>
      <w:r>
        <w:rPr>
          <w:szCs w:val="24"/>
          <w:vertAlign w:val="superscript"/>
        </w:rPr>
        <w:footnoteReference w:id="20"/>
      </w:r>
      <w:r w:rsidR="004A08AE">
        <w:rPr>
          <w:szCs w:val="24"/>
        </w:rPr>
        <w:t xml:space="preserve"> </w:t>
      </w:r>
      <w:r w:rsidRPr="005E2EAD">
        <w:rPr>
          <w:szCs w:val="24"/>
        </w:rPr>
        <w:t>Ohio Adm. Code 4901-1-16(H) plainly allows discovery to begin upon the filing of a motion to intervene, even before it is granted.</w:t>
      </w:r>
      <w:r w:rsidR="004A08AE">
        <w:rPr>
          <w:szCs w:val="24"/>
        </w:rPr>
        <w:t xml:space="preserve"> </w:t>
      </w:r>
      <w:r w:rsidRPr="005E2EAD">
        <w:rPr>
          <w:szCs w:val="24"/>
        </w:rPr>
        <w:t xml:space="preserve">Ohio Adm. Code 4901-1-17(A) further provides that “discovery may begin immediately after a proceeding is commenced and should be completed as expeditiously as possible.” </w:t>
      </w:r>
      <w:r w:rsidR="00B81D0A" w:rsidRPr="005E2EAD">
        <w:rPr>
          <w:szCs w:val="24"/>
        </w:rPr>
        <w:t>I</w:t>
      </w:r>
      <w:r w:rsidRPr="005E2EAD">
        <w:rPr>
          <w:szCs w:val="24"/>
        </w:rPr>
        <w:t xml:space="preserve">n the instant case, the PUCO should have afforded </w:t>
      </w:r>
      <w:r w:rsidR="005253E0" w:rsidRPr="005E2EAD">
        <w:rPr>
          <w:szCs w:val="24"/>
        </w:rPr>
        <w:t>OCC</w:t>
      </w:r>
      <w:r w:rsidRPr="005E2EAD">
        <w:rPr>
          <w:szCs w:val="24"/>
        </w:rPr>
        <w:t xml:space="preserve"> ample rights to discovery to allow </w:t>
      </w:r>
      <w:r w:rsidR="005253E0" w:rsidRPr="005E2EAD">
        <w:rPr>
          <w:szCs w:val="24"/>
        </w:rPr>
        <w:t>OCC</w:t>
      </w:r>
      <w:r w:rsidRPr="005E2EAD">
        <w:rPr>
          <w:szCs w:val="24"/>
        </w:rPr>
        <w:t xml:space="preserve"> to produce evidence </w:t>
      </w:r>
      <w:r w:rsidRPr="005E2EAD">
        <w:rPr>
          <w:szCs w:val="24"/>
        </w:rPr>
        <w:lastRenderedPageBreak/>
        <w:t>regarding the reasonableness of the settlement reached by Inspire and Staff.</w:t>
      </w:r>
      <w:r>
        <w:rPr>
          <w:szCs w:val="24"/>
          <w:vertAlign w:val="superscript"/>
        </w:rPr>
        <w:footnoteReference w:id="21"/>
      </w:r>
      <w:r w:rsidR="004A08AE">
        <w:rPr>
          <w:szCs w:val="24"/>
        </w:rPr>
        <w:t xml:space="preserve"> </w:t>
      </w:r>
      <w:r w:rsidRPr="005E2EAD">
        <w:rPr>
          <w:szCs w:val="24"/>
        </w:rPr>
        <w:t>Without an opportunity to conduct discovery and present their case at a hearing and be heard,</w:t>
      </w:r>
      <w:r w:rsidR="004A08AE">
        <w:rPr>
          <w:szCs w:val="24"/>
        </w:rPr>
        <w:t xml:space="preserve"> </w:t>
      </w:r>
      <w:r w:rsidR="00B81D0A" w:rsidRPr="005E2EAD">
        <w:rPr>
          <w:szCs w:val="24"/>
        </w:rPr>
        <w:t xml:space="preserve">there is not a </w:t>
      </w:r>
      <w:r w:rsidRPr="005E2EAD">
        <w:rPr>
          <w:szCs w:val="24"/>
        </w:rPr>
        <w:t>fully develop</w:t>
      </w:r>
      <w:r w:rsidR="00B81D0A" w:rsidRPr="005E2EAD">
        <w:rPr>
          <w:szCs w:val="24"/>
        </w:rPr>
        <w:t>ed</w:t>
      </w:r>
      <w:r w:rsidRPr="005E2EAD">
        <w:rPr>
          <w:szCs w:val="24"/>
        </w:rPr>
        <w:t xml:space="preserve"> record for the PUCO to rely upon.</w:t>
      </w:r>
      <w:r w:rsidR="004A08AE">
        <w:rPr>
          <w:szCs w:val="24"/>
        </w:rPr>
        <w:t xml:space="preserve">   </w:t>
      </w:r>
    </w:p>
    <w:p w14:paraId="2278DB1B" w14:textId="35F19253" w:rsidR="007E35CA" w:rsidRPr="005E2EAD" w:rsidRDefault="00AE52F3" w:rsidP="006337AA">
      <w:pPr>
        <w:spacing w:line="480" w:lineRule="auto"/>
        <w:ind w:firstLine="720"/>
        <w:rPr>
          <w:szCs w:val="24"/>
        </w:rPr>
      </w:pPr>
      <w:r w:rsidRPr="005E2EAD">
        <w:rPr>
          <w:szCs w:val="24"/>
        </w:rPr>
        <w:t>The PUCO has long held that it is in the public interest for it “to base its decisions on as full and complete a record as possible.”</w:t>
      </w:r>
      <w:r>
        <w:rPr>
          <w:szCs w:val="24"/>
          <w:vertAlign w:val="superscript"/>
        </w:rPr>
        <w:footnoteReference w:id="22"/>
      </w:r>
      <w:r w:rsidRPr="005E2EAD">
        <w:rPr>
          <w:szCs w:val="24"/>
        </w:rPr>
        <w:t xml:space="preserve"> Accordingly, </w:t>
      </w:r>
      <w:r w:rsidR="005253E0" w:rsidRPr="005E2EAD">
        <w:rPr>
          <w:szCs w:val="24"/>
        </w:rPr>
        <w:t>settlement</w:t>
      </w:r>
      <w:r w:rsidRPr="005E2EAD">
        <w:rPr>
          <w:szCs w:val="24"/>
        </w:rPr>
        <w:t xml:space="preserve"> should have been subject to a full hearing where all parties offered testimony and cross-examined witnesses regarding the </w:t>
      </w:r>
      <w:r w:rsidR="006337AA" w:rsidRPr="005E2EAD">
        <w:rPr>
          <w:szCs w:val="24"/>
        </w:rPr>
        <w:t>settlement</w:t>
      </w:r>
      <w:r w:rsidRPr="005E2EAD">
        <w:rPr>
          <w:szCs w:val="24"/>
        </w:rPr>
        <w:t xml:space="preserve">. Such a hearing would have allowed due process for the parties and resulted in the development of a record upon which the PUCO should base its decision. </w:t>
      </w:r>
    </w:p>
    <w:p w14:paraId="0D3D9F72" w14:textId="2544E908" w:rsidR="00D8676E" w:rsidRDefault="00AE52F3" w:rsidP="007E35CA">
      <w:pPr>
        <w:spacing w:line="480" w:lineRule="auto"/>
        <w:ind w:firstLine="720"/>
        <w:rPr>
          <w:szCs w:val="24"/>
        </w:rPr>
      </w:pPr>
      <w:r>
        <w:rPr>
          <w:szCs w:val="24"/>
        </w:rPr>
        <w:t xml:space="preserve">Not only did the PUCO fail to provide due process for Inspire’s consumers, </w:t>
      </w:r>
      <w:proofErr w:type="gramStart"/>
      <w:r>
        <w:rPr>
          <w:szCs w:val="24"/>
        </w:rPr>
        <w:t>it</w:t>
      </w:r>
      <w:proofErr w:type="gramEnd"/>
      <w:r>
        <w:rPr>
          <w:szCs w:val="24"/>
        </w:rPr>
        <w:t xml:space="preserve"> failed to follow its own rules as set forth under the Ohio Administrative Code that are applicable to proceedings involving a marketers non-compliance with Ohio law and PUCO rules.</w:t>
      </w:r>
      <w:r w:rsidR="004A08AE">
        <w:rPr>
          <w:szCs w:val="24"/>
        </w:rPr>
        <w:t xml:space="preserve"> </w:t>
      </w:r>
    </w:p>
    <w:p w14:paraId="0FB4C461" w14:textId="24D4EFDC" w:rsidR="00B205BC" w:rsidRDefault="00AE52F3" w:rsidP="007E35CA">
      <w:pPr>
        <w:spacing w:line="480" w:lineRule="auto"/>
        <w:ind w:firstLine="720"/>
        <w:rPr>
          <w:szCs w:val="24"/>
        </w:rPr>
      </w:pPr>
      <w:r w:rsidRPr="00857722">
        <w:rPr>
          <w:szCs w:val="24"/>
          <w:u w:val="single"/>
        </w:rPr>
        <w:t>Rule Violation #1:</w:t>
      </w:r>
      <w:r w:rsidR="004A08AE">
        <w:rPr>
          <w:szCs w:val="24"/>
          <w:u w:val="single"/>
        </w:rPr>
        <w:t xml:space="preserve"> </w:t>
      </w:r>
      <w:r w:rsidRPr="00857722">
        <w:rPr>
          <w:szCs w:val="24"/>
          <w:u w:val="single"/>
        </w:rPr>
        <w:t>No Testimony was filed or provided supporting the stipulation.</w:t>
      </w:r>
      <w:r>
        <w:rPr>
          <w:szCs w:val="24"/>
        </w:rPr>
        <w:t xml:space="preserve"> </w:t>
      </w:r>
      <w:r w:rsidR="00D8676E">
        <w:rPr>
          <w:szCs w:val="24"/>
        </w:rPr>
        <w:t>The first clue can be found in the Stipulation itself</w:t>
      </w:r>
      <w:r>
        <w:rPr>
          <w:rStyle w:val="FootnoteReference"/>
          <w:szCs w:val="24"/>
        </w:rPr>
        <w:footnoteReference w:id="23"/>
      </w:r>
      <w:r w:rsidR="00D8676E">
        <w:rPr>
          <w:szCs w:val="24"/>
        </w:rPr>
        <w:t xml:space="preserve"> where PUCO Staff and Inspire refer to the stipulation as being governed by O.A.C. 4901-1-30.</w:t>
      </w:r>
      <w:r w:rsidR="004A08AE">
        <w:rPr>
          <w:szCs w:val="24"/>
        </w:rPr>
        <w:t xml:space="preserve"> </w:t>
      </w:r>
      <w:r w:rsidR="00D8676E">
        <w:rPr>
          <w:szCs w:val="24"/>
        </w:rPr>
        <w:t>Under that rule (subsection (D)), unless otherwise ordered, parties who file a stipulation “must file or provide the testimony of at least one signatory party that supports the stipulation.”</w:t>
      </w:r>
      <w:r w:rsidR="004A08AE">
        <w:rPr>
          <w:szCs w:val="24"/>
        </w:rPr>
        <w:t xml:space="preserve"> </w:t>
      </w:r>
      <w:r>
        <w:rPr>
          <w:szCs w:val="24"/>
        </w:rPr>
        <w:t xml:space="preserve">Here there was no </w:t>
      </w:r>
      <w:r>
        <w:rPr>
          <w:szCs w:val="24"/>
        </w:rPr>
        <w:lastRenderedPageBreak/>
        <w:t xml:space="preserve">order otherwise. And </w:t>
      </w:r>
      <w:r w:rsidR="00D8676E">
        <w:rPr>
          <w:szCs w:val="24"/>
        </w:rPr>
        <w:t>there was no testimony filed or provided by either the PUCO Staff or Inspire.</w:t>
      </w:r>
      <w:r w:rsidR="004A08AE">
        <w:rPr>
          <w:szCs w:val="24"/>
        </w:rPr>
        <w:t xml:space="preserve"> </w:t>
      </w:r>
    </w:p>
    <w:p w14:paraId="2EEDA84E" w14:textId="61FE9A83" w:rsidR="0088574D" w:rsidRDefault="00AE52F3" w:rsidP="0088574D">
      <w:pPr>
        <w:spacing w:line="480" w:lineRule="auto"/>
        <w:ind w:firstLine="720"/>
        <w:rPr>
          <w:szCs w:val="24"/>
        </w:rPr>
      </w:pPr>
      <w:r>
        <w:rPr>
          <w:szCs w:val="24"/>
        </w:rPr>
        <w:t xml:space="preserve">Next, we look </w:t>
      </w:r>
      <w:proofErr w:type="gramStart"/>
      <w:r>
        <w:rPr>
          <w:szCs w:val="24"/>
        </w:rPr>
        <w:t>to</w:t>
      </w:r>
      <w:proofErr w:type="gramEnd"/>
      <w:r>
        <w:rPr>
          <w:szCs w:val="24"/>
        </w:rPr>
        <w:t xml:space="preserve"> the PUCO rules that govern the PUCO proceedings where energy marketers’ compliance with rules and laws is at issue.</w:t>
      </w:r>
      <w:r w:rsidR="004A08AE">
        <w:rPr>
          <w:szCs w:val="24"/>
        </w:rPr>
        <w:t xml:space="preserve"> </w:t>
      </w:r>
      <w:r>
        <w:rPr>
          <w:szCs w:val="24"/>
        </w:rPr>
        <w:t xml:space="preserve">Electric marketers’ </w:t>
      </w:r>
      <w:r>
        <w:rPr>
          <w:szCs w:val="24"/>
        </w:rPr>
        <w:t>compliance with marketing rules and laws are governed by O.A.C. 4901:1-23-05.</w:t>
      </w:r>
      <w:r w:rsidR="004A08AE">
        <w:rPr>
          <w:szCs w:val="24"/>
        </w:rPr>
        <w:t xml:space="preserve"> </w:t>
      </w:r>
      <w:r>
        <w:rPr>
          <w:szCs w:val="24"/>
        </w:rPr>
        <w:t>Gas marketers’ compliance with marketing rules and laws are governed by O.A.C. 4901:1-34-05. Both sets of rules contain nearly identical language.</w:t>
      </w:r>
      <w:r w:rsidR="004A08AE">
        <w:rPr>
          <w:szCs w:val="24"/>
        </w:rPr>
        <w:t xml:space="preserve"> </w:t>
      </w:r>
    </w:p>
    <w:p w14:paraId="42F0AA50" w14:textId="1870E241" w:rsidR="0088574D" w:rsidRDefault="00AE52F3" w:rsidP="0088574D">
      <w:pPr>
        <w:spacing w:line="480" w:lineRule="auto"/>
        <w:ind w:firstLine="720"/>
        <w:rPr>
          <w:szCs w:val="24"/>
        </w:rPr>
      </w:pPr>
      <w:r>
        <w:rPr>
          <w:szCs w:val="24"/>
        </w:rPr>
        <w:t xml:space="preserve">Under section (A) of both the gas and electric marketing rules, the commission “may initiate a compliance </w:t>
      </w:r>
      <w:r w:rsidRPr="0088574D">
        <w:rPr>
          <w:i/>
          <w:iCs/>
          <w:szCs w:val="24"/>
        </w:rPr>
        <w:t>or other proceeding</w:t>
      </w:r>
      <w:r>
        <w:rPr>
          <w:szCs w:val="24"/>
        </w:rPr>
        <w:t xml:space="preserve"> upon its own initiative, </w:t>
      </w:r>
      <w:r w:rsidRPr="0088574D">
        <w:rPr>
          <w:i/>
          <w:iCs/>
          <w:szCs w:val="24"/>
        </w:rPr>
        <w:t>or after an incident has occur</w:t>
      </w:r>
      <w:r>
        <w:rPr>
          <w:i/>
          <w:iCs/>
          <w:szCs w:val="24"/>
        </w:rPr>
        <w:t>r</w:t>
      </w:r>
      <w:r w:rsidRPr="0088574D">
        <w:rPr>
          <w:i/>
          <w:iCs/>
          <w:szCs w:val="24"/>
        </w:rPr>
        <w:t>ed</w:t>
      </w:r>
      <w:r>
        <w:rPr>
          <w:szCs w:val="24"/>
        </w:rPr>
        <w:t xml:space="preserve">, after a complaint is filed pursuant to section 4905.26 of the Revised Code, or </w:t>
      </w:r>
      <w:r w:rsidRPr="0088574D">
        <w:rPr>
          <w:i/>
          <w:iCs/>
          <w:szCs w:val="24"/>
        </w:rPr>
        <w:t>after a staff notice of noncompliance is served</w:t>
      </w:r>
      <w:r>
        <w:rPr>
          <w:szCs w:val="24"/>
        </w:rPr>
        <w:t>.”</w:t>
      </w:r>
      <w:r w:rsidR="004A08AE">
        <w:rPr>
          <w:szCs w:val="24"/>
        </w:rPr>
        <w:t xml:space="preserve"> </w:t>
      </w:r>
      <w:r>
        <w:rPr>
          <w:szCs w:val="24"/>
        </w:rPr>
        <w:t>The settlement filing on Sept</w:t>
      </w:r>
      <w:r w:rsidR="0099608F">
        <w:rPr>
          <w:szCs w:val="24"/>
        </w:rPr>
        <w:t>ember</w:t>
      </w:r>
      <w:r>
        <w:rPr>
          <w:szCs w:val="24"/>
        </w:rPr>
        <w:t xml:space="preserve"> 5, 2023 created an “</w:t>
      </w:r>
      <w:r w:rsidRPr="0088574D">
        <w:rPr>
          <w:i/>
          <w:iCs/>
          <w:szCs w:val="24"/>
        </w:rPr>
        <w:t>other proceeding</w:t>
      </w:r>
      <w:r>
        <w:rPr>
          <w:szCs w:val="24"/>
        </w:rPr>
        <w:t>” that the PUCO initiated a</w:t>
      </w:r>
      <w:r w:rsidRPr="0088574D">
        <w:rPr>
          <w:i/>
          <w:iCs/>
          <w:szCs w:val="24"/>
        </w:rPr>
        <w:t xml:space="preserve">fter an incident has occurred </w:t>
      </w:r>
      <w:r>
        <w:rPr>
          <w:i/>
          <w:iCs/>
          <w:szCs w:val="24"/>
        </w:rPr>
        <w:t xml:space="preserve">(consumer complaints) </w:t>
      </w:r>
      <w:r>
        <w:rPr>
          <w:szCs w:val="24"/>
        </w:rPr>
        <w:t xml:space="preserve">and </w:t>
      </w:r>
      <w:r w:rsidRPr="0088574D">
        <w:rPr>
          <w:i/>
          <w:iCs/>
          <w:szCs w:val="24"/>
        </w:rPr>
        <w:t>after a staff notice of noncompliance was served</w:t>
      </w:r>
      <w:r>
        <w:rPr>
          <w:szCs w:val="24"/>
        </w:rPr>
        <w:t>.</w:t>
      </w:r>
      <w:r w:rsidR="004A08AE">
        <w:rPr>
          <w:szCs w:val="24"/>
        </w:rPr>
        <w:t xml:space="preserve"> </w:t>
      </w:r>
    </w:p>
    <w:p w14:paraId="39B1A1F4" w14:textId="64745E08" w:rsidR="009B2FFD" w:rsidRDefault="00AE52F3" w:rsidP="0088574D">
      <w:pPr>
        <w:spacing w:line="480" w:lineRule="auto"/>
        <w:ind w:firstLine="720"/>
        <w:rPr>
          <w:szCs w:val="24"/>
        </w:rPr>
      </w:pPr>
      <w:r w:rsidRPr="009B2FFD">
        <w:rPr>
          <w:szCs w:val="24"/>
          <w:u w:val="single"/>
        </w:rPr>
        <w:t>Rule violation #2</w:t>
      </w:r>
      <w:r w:rsidR="00373A57">
        <w:rPr>
          <w:szCs w:val="24"/>
          <w:u w:val="single"/>
        </w:rPr>
        <w:t>:</w:t>
      </w:r>
      <w:r w:rsidRPr="009B2FFD">
        <w:rPr>
          <w:szCs w:val="24"/>
          <w:u w:val="single"/>
        </w:rPr>
        <w:t xml:space="preserve"> No evidentiary hearing was held</w:t>
      </w:r>
      <w:r>
        <w:rPr>
          <w:szCs w:val="24"/>
        </w:rPr>
        <w:t>.</w:t>
      </w:r>
      <w:r w:rsidR="004A08AE">
        <w:rPr>
          <w:szCs w:val="24"/>
        </w:rPr>
        <w:t xml:space="preserve"> </w:t>
      </w:r>
      <w:r>
        <w:rPr>
          <w:szCs w:val="24"/>
        </w:rPr>
        <w:t>The remaining sections of both the electric and gas marketing compliance proceedings provide further direction to the PUCO, direction that was not followed in this proceeding.</w:t>
      </w:r>
      <w:r w:rsidR="004A08AE">
        <w:rPr>
          <w:szCs w:val="24"/>
        </w:rPr>
        <w:t xml:space="preserve"> </w:t>
      </w:r>
      <w:r>
        <w:rPr>
          <w:szCs w:val="24"/>
        </w:rPr>
        <w:t xml:space="preserve">Under section (B) “such compliance </w:t>
      </w:r>
      <w:r w:rsidRPr="00857722">
        <w:rPr>
          <w:i/>
          <w:iCs/>
          <w:szCs w:val="24"/>
        </w:rPr>
        <w:t>or other proceedings</w:t>
      </w:r>
      <w:r>
        <w:rPr>
          <w:szCs w:val="24"/>
        </w:rPr>
        <w:t>” are to be conducted in accordance with Chapter 4901-1 of the administrative code, which includes the Stipulation testimony requirement of 4901-1-30.</w:t>
      </w:r>
      <w:r w:rsidR="004A08AE">
        <w:rPr>
          <w:szCs w:val="24"/>
        </w:rPr>
        <w:t xml:space="preserve"> </w:t>
      </w:r>
      <w:r>
        <w:rPr>
          <w:szCs w:val="24"/>
        </w:rPr>
        <w:t>(As discussed above, this rule was not followed).</w:t>
      </w:r>
    </w:p>
    <w:p w14:paraId="769109B9" w14:textId="13C15C5C" w:rsidR="0088574D" w:rsidRDefault="00AE52F3" w:rsidP="0088574D">
      <w:pPr>
        <w:spacing w:line="480" w:lineRule="auto"/>
        <w:ind w:firstLine="720"/>
        <w:rPr>
          <w:szCs w:val="24"/>
        </w:rPr>
      </w:pPr>
      <w:r>
        <w:rPr>
          <w:szCs w:val="24"/>
        </w:rPr>
        <w:t xml:space="preserve">Under Section (D), the PUCO must hold an evidentiary hearing “on all proceedings initiated under this rule.” Section (D) further provides that the hearing may </w:t>
      </w:r>
      <w:r>
        <w:rPr>
          <w:szCs w:val="24"/>
        </w:rPr>
        <w:lastRenderedPageBreak/>
        <w:t xml:space="preserve">include evidence on issues of proposed corrective action, compliance orders, </w:t>
      </w:r>
      <w:proofErr w:type="gramStart"/>
      <w:r>
        <w:rPr>
          <w:szCs w:val="24"/>
        </w:rPr>
        <w:t>forfeitures</w:t>
      </w:r>
      <w:proofErr w:type="gramEnd"/>
      <w:r>
        <w:rPr>
          <w:szCs w:val="24"/>
        </w:rPr>
        <w:t xml:space="preserve"> and other remedies.</w:t>
      </w:r>
      <w:r w:rsidR="004A08AE">
        <w:rPr>
          <w:szCs w:val="24"/>
        </w:rPr>
        <w:t xml:space="preserve"> </w:t>
      </w:r>
      <w:r w:rsidR="009B2FFD">
        <w:rPr>
          <w:szCs w:val="24"/>
        </w:rPr>
        <w:t>The PUCO failed to order an evidentiary hearing.</w:t>
      </w:r>
      <w:r w:rsidR="004A08AE">
        <w:rPr>
          <w:szCs w:val="24"/>
        </w:rPr>
        <w:t xml:space="preserve"> </w:t>
      </w:r>
    </w:p>
    <w:p w14:paraId="368A5AEB" w14:textId="3057AE26" w:rsidR="0088574D" w:rsidRDefault="00AE52F3" w:rsidP="001C6B11">
      <w:pPr>
        <w:spacing w:line="480" w:lineRule="auto"/>
        <w:ind w:firstLine="720"/>
        <w:rPr>
          <w:szCs w:val="24"/>
        </w:rPr>
      </w:pPr>
      <w:r w:rsidRPr="009B2FFD">
        <w:rPr>
          <w:szCs w:val="24"/>
          <w:u w:val="single"/>
        </w:rPr>
        <w:t>Rule violation #3</w:t>
      </w:r>
      <w:r w:rsidR="00373A57">
        <w:rPr>
          <w:szCs w:val="24"/>
          <w:u w:val="single"/>
        </w:rPr>
        <w:t>:</w:t>
      </w:r>
      <w:r w:rsidRPr="009B2FFD">
        <w:rPr>
          <w:szCs w:val="24"/>
          <w:u w:val="single"/>
        </w:rPr>
        <w:t xml:space="preserve"> The PUCO failed to allow members of the public to offer testimony.</w:t>
      </w:r>
      <w:r w:rsidR="00373A57">
        <w:rPr>
          <w:szCs w:val="24"/>
        </w:rPr>
        <w:t xml:space="preserve"> </w:t>
      </w:r>
      <w:r>
        <w:rPr>
          <w:szCs w:val="24"/>
        </w:rPr>
        <w:t>As explained supra, compliance or other proceedings involving customer complaints about marketers or proceedings following a staff notice of non-compliance are to be conducted in accordance with Chapter 4901-1 of the administrative code.</w:t>
      </w:r>
      <w:r>
        <w:rPr>
          <w:rStyle w:val="FootnoteReference"/>
          <w:szCs w:val="24"/>
        </w:rPr>
        <w:footnoteReference w:id="24"/>
      </w:r>
      <w:r w:rsidR="001C6B11">
        <w:rPr>
          <w:szCs w:val="24"/>
        </w:rPr>
        <w:t xml:space="preserve"> Under O.A.C. 4901-1-27, attorney examiners “shall permit members of the public that are not parties to the proceeding, the opportunity to offer testimony at the portion or session of the hearing designated for the taking of public testimony.” The PUCO failed to offer this opportunity to the public.</w:t>
      </w:r>
    </w:p>
    <w:p w14:paraId="3407E3FB" w14:textId="44F77929" w:rsidR="00CD2163" w:rsidRPr="00954667" w:rsidRDefault="00AE52F3" w:rsidP="007E35CA">
      <w:pPr>
        <w:spacing w:line="480" w:lineRule="auto"/>
        <w:ind w:firstLine="720"/>
        <w:rPr>
          <w:szCs w:val="24"/>
        </w:rPr>
      </w:pPr>
      <w:r w:rsidRPr="00954667">
        <w:rPr>
          <w:szCs w:val="24"/>
        </w:rPr>
        <w:t xml:space="preserve">This clear violation of due process and </w:t>
      </w:r>
      <w:r w:rsidR="001C6B11">
        <w:rPr>
          <w:szCs w:val="24"/>
        </w:rPr>
        <w:t xml:space="preserve">PUCO rules </w:t>
      </w:r>
      <w:r w:rsidRPr="00954667">
        <w:rPr>
          <w:szCs w:val="24"/>
        </w:rPr>
        <w:t xml:space="preserve">renders the Commission's approval of the stipulation </w:t>
      </w:r>
      <w:r w:rsidR="001C6B11">
        <w:rPr>
          <w:szCs w:val="24"/>
        </w:rPr>
        <w:t>in error. The PUCO should grant rehearing.</w:t>
      </w:r>
      <w:r w:rsidR="004A08AE">
        <w:rPr>
          <w:szCs w:val="24"/>
        </w:rPr>
        <w:t xml:space="preserve"> </w:t>
      </w:r>
      <w:r w:rsidR="001C6B11">
        <w:rPr>
          <w:szCs w:val="24"/>
        </w:rPr>
        <w:t>It should</w:t>
      </w:r>
      <w:r w:rsidRPr="00954667">
        <w:rPr>
          <w:szCs w:val="24"/>
        </w:rPr>
        <w:t xml:space="preserve"> </w:t>
      </w:r>
      <w:r w:rsidR="001C6B11">
        <w:rPr>
          <w:szCs w:val="24"/>
        </w:rPr>
        <w:t xml:space="preserve">grant OCC intervention, </w:t>
      </w:r>
      <w:r w:rsidR="00275740">
        <w:rPr>
          <w:szCs w:val="24"/>
        </w:rPr>
        <w:t>schedul</w:t>
      </w:r>
      <w:r w:rsidR="001C6B11">
        <w:rPr>
          <w:szCs w:val="24"/>
        </w:rPr>
        <w:t>e</w:t>
      </w:r>
      <w:r w:rsidR="00275740">
        <w:rPr>
          <w:szCs w:val="24"/>
        </w:rPr>
        <w:t xml:space="preserve"> </w:t>
      </w:r>
      <w:r w:rsidRPr="00954667">
        <w:rPr>
          <w:szCs w:val="24"/>
        </w:rPr>
        <w:t xml:space="preserve">new proceedings </w:t>
      </w:r>
      <w:r w:rsidR="006C70F6">
        <w:rPr>
          <w:szCs w:val="24"/>
        </w:rPr>
        <w:t xml:space="preserve">that afford due process </w:t>
      </w:r>
      <w:r w:rsidRPr="00954667">
        <w:rPr>
          <w:szCs w:val="24"/>
        </w:rPr>
        <w:t>for parties</w:t>
      </w:r>
      <w:r w:rsidR="001C6B11">
        <w:rPr>
          <w:szCs w:val="24"/>
        </w:rPr>
        <w:t>, require the filing of testimony in support of the stipulation, conduct an evidentiary hearing, and permit the public an opportunity to testify. Then once there is a fully developed record before it, the PUCO can assess whether the Inspire/PUCO Staff settlement is just and reasonable and meets the three</w:t>
      </w:r>
      <w:r w:rsidR="00373A57">
        <w:rPr>
          <w:szCs w:val="24"/>
        </w:rPr>
        <w:t>-</w:t>
      </w:r>
      <w:r w:rsidR="001C6B11">
        <w:rPr>
          <w:szCs w:val="24"/>
        </w:rPr>
        <w:t xml:space="preserve">prong stipulation standard. Any action short of that is unjust, </w:t>
      </w:r>
      <w:proofErr w:type="gramStart"/>
      <w:r w:rsidR="001C6B11">
        <w:rPr>
          <w:szCs w:val="24"/>
        </w:rPr>
        <w:t>unreasonable</w:t>
      </w:r>
      <w:proofErr w:type="gramEnd"/>
      <w:r w:rsidR="001C6B11">
        <w:rPr>
          <w:szCs w:val="24"/>
        </w:rPr>
        <w:t xml:space="preserve"> and unlawful.</w:t>
      </w:r>
      <w:r w:rsidR="004A08AE">
        <w:rPr>
          <w:szCs w:val="24"/>
        </w:rPr>
        <w:t xml:space="preserve"> </w:t>
      </w:r>
    </w:p>
    <w:p w14:paraId="190CF746" w14:textId="77777777" w:rsidR="0099608F" w:rsidRDefault="00AE52F3">
      <w:pPr>
        <w:rPr>
          <w:b/>
        </w:rPr>
      </w:pPr>
      <w:bookmarkStart w:id="20" w:name="_Hlk155830551"/>
      <w:r>
        <w:br w:type="page"/>
      </w:r>
    </w:p>
    <w:p w14:paraId="16ADA3C9" w14:textId="77777777" w:rsidR="00B47CF2" w:rsidRDefault="00AE52F3" w:rsidP="00B47CF2">
      <w:pPr>
        <w:pStyle w:val="Heading2"/>
      </w:pPr>
      <w:bookmarkStart w:id="21" w:name="_Toc155969978"/>
      <w:bookmarkStart w:id="22" w:name="_Hlk155831582"/>
      <w:bookmarkStart w:id="23" w:name="_Hlk155823680"/>
      <w:bookmarkEnd w:id="20"/>
      <w:r w:rsidRPr="00E92890">
        <w:lastRenderedPageBreak/>
        <w:t xml:space="preserve">ASSIGNMENT OF ERROR </w:t>
      </w:r>
      <w:r>
        <w:t>4</w:t>
      </w:r>
      <w:r w:rsidRPr="00E92890">
        <w:t xml:space="preserve">: </w:t>
      </w:r>
      <w:r>
        <w:t xml:space="preserve">The </w:t>
      </w:r>
      <w:r w:rsidRPr="006E1510">
        <w:t>PUCO erred</w:t>
      </w:r>
      <w:r>
        <w:t xml:space="preserve"> in</w:t>
      </w:r>
      <w:r w:rsidRPr="006E1510">
        <w:t xml:space="preserve"> </w:t>
      </w:r>
      <w:r>
        <w:t xml:space="preserve">relying on </w:t>
      </w:r>
      <w:r w:rsidRPr="006E1510">
        <w:rPr>
          <w:i/>
          <w:iCs/>
        </w:rPr>
        <w:t>Ohio Domestic Violence Network</w:t>
      </w:r>
      <w:r>
        <w:rPr>
          <w:i/>
          <w:iCs/>
        </w:rPr>
        <w:t xml:space="preserve"> v. Pub. Util. Comm.</w:t>
      </w:r>
      <w:r>
        <w:t xml:space="preserve">, 70 Ohio St.3d 311, 638 N.E.2d 1012 (1994) in </w:t>
      </w:r>
      <w:r w:rsidRPr="006E1510">
        <w:t>denying the OCC intervention</w:t>
      </w:r>
      <w:r>
        <w:t xml:space="preserve">, when more recent Supreme Court of Ohio precedent, </w:t>
      </w:r>
      <w:r w:rsidRPr="006E1510">
        <w:rPr>
          <w:i/>
          <w:iCs/>
        </w:rPr>
        <w:t>Ohio Consumers’ Counsel v. PUC</w:t>
      </w:r>
      <w:r>
        <w:t>, 2006-Ohio-5853 overrules that case and provides that intervention should be liberally allowed even where the PUCO does not require a hearing.</w:t>
      </w:r>
      <w:bookmarkEnd w:id="21"/>
    </w:p>
    <w:p w14:paraId="1E711CAE" w14:textId="77777777" w:rsidR="00B47CF2" w:rsidRDefault="00B47CF2" w:rsidP="00B47CF2">
      <w:pPr>
        <w:widowControl w:val="0"/>
        <w:ind w:left="720"/>
        <w:rPr>
          <w:szCs w:val="24"/>
        </w:rPr>
      </w:pPr>
    </w:p>
    <w:p w14:paraId="49F5D563" w14:textId="77777777" w:rsidR="00162701" w:rsidRDefault="00AE52F3" w:rsidP="00E2616E">
      <w:pPr>
        <w:spacing w:line="480" w:lineRule="auto"/>
        <w:ind w:firstLine="720"/>
        <w:rPr>
          <w:szCs w:val="24"/>
        </w:rPr>
      </w:pPr>
      <w:r>
        <w:rPr>
          <w:szCs w:val="24"/>
        </w:rPr>
        <w:t xml:space="preserve">The PUCO erred by relying on </w:t>
      </w:r>
      <w:r w:rsidRPr="00E2616E">
        <w:rPr>
          <w:i/>
          <w:iCs/>
          <w:szCs w:val="24"/>
        </w:rPr>
        <w:t>Ohio Domestic Violence Network</w:t>
      </w:r>
      <w:r>
        <w:rPr>
          <w:i/>
          <w:iCs/>
          <w:szCs w:val="24"/>
        </w:rPr>
        <w:t xml:space="preserve"> </w:t>
      </w:r>
      <w:r>
        <w:rPr>
          <w:szCs w:val="24"/>
        </w:rPr>
        <w:t xml:space="preserve">as a basis for denying OCC </w:t>
      </w:r>
      <w:r>
        <w:rPr>
          <w:szCs w:val="24"/>
        </w:rPr>
        <w:t>intervention. Rehearing should be granted.</w:t>
      </w:r>
    </w:p>
    <w:p w14:paraId="6106F03E" w14:textId="65B3B5F7" w:rsidR="003A1F8D" w:rsidRDefault="00AE52F3" w:rsidP="003A1F8D">
      <w:pPr>
        <w:spacing w:line="480" w:lineRule="auto"/>
        <w:ind w:firstLine="720"/>
        <w:rPr>
          <w:szCs w:val="24"/>
        </w:rPr>
      </w:pPr>
      <w:r>
        <w:rPr>
          <w:szCs w:val="24"/>
        </w:rPr>
        <w:t xml:space="preserve"> </w:t>
      </w:r>
      <w:r w:rsidR="00E2616E" w:rsidRPr="00E2616E">
        <w:rPr>
          <w:i/>
          <w:iCs/>
          <w:szCs w:val="24"/>
        </w:rPr>
        <w:t>Ohio Consumers</w:t>
      </w:r>
      <w:r w:rsidR="00E2616E">
        <w:rPr>
          <w:i/>
          <w:iCs/>
          <w:szCs w:val="24"/>
        </w:rPr>
        <w:t>’</w:t>
      </w:r>
      <w:r w:rsidR="00E2616E" w:rsidRPr="00E2616E">
        <w:rPr>
          <w:i/>
          <w:iCs/>
          <w:szCs w:val="24"/>
        </w:rPr>
        <w:t xml:space="preserve"> Counsel v. PUC</w:t>
      </w:r>
      <w:bookmarkEnd w:id="22"/>
      <w:r>
        <w:rPr>
          <w:rStyle w:val="FootnoteReference"/>
          <w:i/>
          <w:iCs/>
          <w:szCs w:val="24"/>
        </w:rPr>
        <w:footnoteReference w:id="25"/>
      </w:r>
      <w:r w:rsidR="00E2616E" w:rsidRPr="00E2616E">
        <w:rPr>
          <w:szCs w:val="24"/>
        </w:rPr>
        <w:t xml:space="preserve"> supersedes </w:t>
      </w:r>
      <w:r w:rsidR="00E2616E" w:rsidRPr="00E2616E">
        <w:rPr>
          <w:i/>
          <w:iCs/>
          <w:szCs w:val="24"/>
        </w:rPr>
        <w:t>Ohio Domestic Violence Network</w:t>
      </w:r>
      <w:r>
        <w:rPr>
          <w:rStyle w:val="FootnoteReference"/>
          <w:i/>
          <w:iCs/>
          <w:szCs w:val="24"/>
        </w:rPr>
        <w:footnoteReference w:id="26"/>
      </w:r>
      <w:r w:rsidR="00E2616E" w:rsidRPr="00E2616E">
        <w:rPr>
          <w:szCs w:val="24"/>
        </w:rPr>
        <w:t xml:space="preserve"> on the crucial issue of the PUCO</w:t>
      </w:r>
      <w:r w:rsidR="00E2616E">
        <w:rPr>
          <w:szCs w:val="24"/>
        </w:rPr>
        <w:t>’</w:t>
      </w:r>
      <w:r w:rsidR="00E2616E" w:rsidRPr="00E2616E">
        <w:rPr>
          <w:szCs w:val="24"/>
        </w:rPr>
        <w:t xml:space="preserve">s authority to </w:t>
      </w:r>
      <w:r w:rsidR="001C6B11">
        <w:rPr>
          <w:szCs w:val="24"/>
        </w:rPr>
        <w:t>deny</w:t>
      </w:r>
      <w:r w:rsidR="00E2616E" w:rsidRPr="00E2616E">
        <w:rPr>
          <w:szCs w:val="24"/>
        </w:rPr>
        <w:t xml:space="preserve"> intervention </w:t>
      </w:r>
      <w:r w:rsidR="001C6B11">
        <w:rPr>
          <w:szCs w:val="24"/>
        </w:rPr>
        <w:t>when it does not hold a hearing.</w:t>
      </w:r>
      <w:r w:rsidR="004A08AE">
        <w:rPr>
          <w:szCs w:val="24"/>
        </w:rPr>
        <w:t xml:space="preserve"> </w:t>
      </w:r>
      <w:r w:rsidR="00E2616E" w:rsidRPr="00E2616E">
        <w:rPr>
          <w:szCs w:val="24"/>
        </w:rPr>
        <w:t xml:space="preserve">As clearly stated in </w:t>
      </w:r>
      <w:bookmarkStart w:id="26" w:name="_Hlk155869544"/>
      <w:r w:rsidR="00E2616E" w:rsidRPr="00E2616E">
        <w:rPr>
          <w:i/>
          <w:iCs/>
          <w:szCs w:val="24"/>
        </w:rPr>
        <w:t>Ohio Consumers</w:t>
      </w:r>
      <w:r w:rsidR="00E2616E">
        <w:rPr>
          <w:i/>
          <w:iCs/>
          <w:szCs w:val="24"/>
        </w:rPr>
        <w:t>’</w:t>
      </w:r>
      <w:r w:rsidR="00E2616E" w:rsidRPr="00E2616E">
        <w:rPr>
          <w:i/>
          <w:iCs/>
          <w:szCs w:val="24"/>
        </w:rPr>
        <w:t xml:space="preserve"> Counsel v. PUC</w:t>
      </w:r>
      <w:bookmarkEnd w:id="26"/>
      <w:r w:rsidR="00E2616E" w:rsidRPr="00E2616E">
        <w:rPr>
          <w:szCs w:val="24"/>
        </w:rPr>
        <w:t xml:space="preserve">, </w:t>
      </w:r>
      <w:r w:rsidR="00E2616E" w:rsidRPr="00E2616E">
        <w:rPr>
          <w:i/>
          <w:iCs/>
          <w:szCs w:val="24"/>
        </w:rPr>
        <w:t>Ohio Domestic Violence Network</w:t>
      </w:r>
      <w:r w:rsidR="00E2616E" w:rsidRPr="00E2616E">
        <w:rPr>
          <w:szCs w:val="24"/>
        </w:rPr>
        <w:t xml:space="preserve"> is inapplicable when there are no concerns about delay and OCC has no other recourse for challenging the PUCO</w:t>
      </w:r>
      <w:r w:rsidR="00E2616E">
        <w:rPr>
          <w:szCs w:val="24"/>
        </w:rPr>
        <w:t>’</w:t>
      </w:r>
      <w:r w:rsidR="00E2616E" w:rsidRPr="00E2616E">
        <w:rPr>
          <w:szCs w:val="24"/>
        </w:rPr>
        <w:t>s actions.</w:t>
      </w:r>
      <w:r>
        <w:rPr>
          <w:rStyle w:val="FootnoteReference"/>
          <w:szCs w:val="24"/>
        </w:rPr>
        <w:footnoteReference w:id="27"/>
      </w:r>
      <w:r w:rsidR="00E2616E" w:rsidRPr="00E2616E">
        <w:rPr>
          <w:szCs w:val="24"/>
        </w:rPr>
        <w:t xml:space="preserve"> </w:t>
      </w:r>
      <w:r w:rsidR="003F53AB">
        <w:rPr>
          <w:szCs w:val="24"/>
        </w:rPr>
        <w:t xml:space="preserve">And such is the case in the current matter. </w:t>
      </w:r>
    </w:p>
    <w:p w14:paraId="7033C38F" w14:textId="1936F4CD" w:rsidR="003A1F8D" w:rsidRDefault="00AE52F3" w:rsidP="003A1F8D">
      <w:pPr>
        <w:spacing w:line="480" w:lineRule="auto"/>
        <w:ind w:firstLine="720"/>
        <w:rPr>
          <w:szCs w:val="24"/>
        </w:rPr>
      </w:pPr>
      <w:r>
        <w:rPr>
          <w:szCs w:val="24"/>
        </w:rPr>
        <w:t>Any concern on delay is misguided as discussed supra.</w:t>
      </w:r>
      <w:r w:rsidR="004A08AE">
        <w:rPr>
          <w:szCs w:val="24"/>
        </w:rPr>
        <w:t xml:space="preserve"> </w:t>
      </w:r>
      <w:r>
        <w:rPr>
          <w:szCs w:val="24"/>
        </w:rPr>
        <w:t>There is no delay associated with addressing OCC’s recommended modification to the settlement.</w:t>
      </w:r>
      <w:r w:rsidR="004A08AE">
        <w:rPr>
          <w:szCs w:val="24"/>
        </w:rPr>
        <w:t xml:space="preserve"> </w:t>
      </w:r>
      <w:r>
        <w:rPr>
          <w:szCs w:val="24"/>
        </w:rPr>
        <w:t>The delay the PUCO was concerned with just isn’t present. And OCC does not have recourse for challenging the PUCO, contrary to the PUCO assertions otherwise. Delisting Inspire’s offers that are more than 2.5 times the standard offer was a specific modification proposed by OCC to the settlement. OCC loses the opportunity to advocate for that remedy associated with Inspire’s noncompliance with PUCO rules and laws i</w:t>
      </w:r>
      <w:r>
        <w:rPr>
          <w:szCs w:val="24"/>
        </w:rPr>
        <w:t>f it is not able to raise the issue in this proceeding.</w:t>
      </w:r>
      <w:r w:rsidR="004A08AE">
        <w:rPr>
          <w:szCs w:val="24"/>
        </w:rPr>
        <w:t xml:space="preserve"> </w:t>
      </w:r>
    </w:p>
    <w:p w14:paraId="6C6C1EE2" w14:textId="584D75FD" w:rsidR="00E2616E" w:rsidRPr="00E2616E" w:rsidRDefault="00AE52F3" w:rsidP="00373A57">
      <w:pPr>
        <w:spacing w:line="480" w:lineRule="auto"/>
        <w:ind w:firstLine="720"/>
        <w:rPr>
          <w:szCs w:val="24"/>
        </w:rPr>
      </w:pPr>
      <w:r w:rsidRPr="00E2616E">
        <w:rPr>
          <w:szCs w:val="24"/>
        </w:rPr>
        <w:lastRenderedPageBreak/>
        <w:t xml:space="preserve">In such scenarios, </w:t>
      </w:r>
      <w:r w:rsidR="003A1F8D" w:rsidRPr="00E2616E">
        <w:rPr>
          <w:i/>
          <w:iCs/>
          <w:szCs w:val="24"/>
        </w:rPr>
        <w:t>Ohio Consumers</w:t>
      </w:r>
      <w:r w:rsidR="003A1F8D">
        <w:rPr>
          <w:i/>
          <w:iCs/>
          <w:szCs w:val="24"/>
        </w:rPr>
        <w:t>’</w:t>
      </w:r>
      <w:r w:rsidR="003A1F8D" w:rsidRPr="00E2616E">
        <w:rPr>
          <w:i/>
          <w:iCs/>
          <w:szCs w:val="24"/>
        </w:rPr>
        <w:t xml:space="preserve"> Counsel v. PUC</w:t>
      </w:r>
      <w:r w:rsidR="003A1F8D" w:rsidRPr="003A1F8D">
        <w:rPr>
          <w:i/>
          <w:iCs/>
          <w:szCs w:val="24"/>
        </w:rPr>
        <w:t xml:space="preserve"> </w:t>
      </w:r>
      <w:r w:rsidR="003A1F8D">
        <w:rPr>
          <w:szCs w:val="24"/>
        </w:rPr>
        <w:t>controls and is precedent that PUCO must follow.</w:t>
      </w:r>
      <w:r w:rsidR="004A08AE">
        <w:rPr>
          <w:szCs w:val="24"/>
        </w:rPr>
        <w:t xml:space="preserve"> </w:t>
      </w:r>
      <w:r w:rsidR="003A1F8D">
        <w:rPr>
          <w:szCs w:val="24"/>
        </w:rPr>
        <w:t xml:space="preserve">Under </w:t>
      </w:r>
      <w:r w:rsidR="003A1F8D" w:rsidRPr="003A1F8D">
        <w:rPr>
          <w:i/>
          <w:iCs/>
          <w:szCs w:val="24"/>
        </w:rPr>
        <w:t>Consumers’ Counsel</w:t>
      </w:r>
      <w:r w:rsidR="003A1F8D">
        <w:rPr>
          <w:szCs w:val="24"/>
        </w:rPr>
        <w:t xml:space="preserve"> the Ohio Supreme Court ruled that </w:t>
      </w:r>
      <w:r w:rsidRPr="00E2616E">
        <w:rPr>
          <w:szCs w:val="24"/>
        </w:rPr>
        <w:t xml:space="preserve">intervention should be </w:t>
      </w:r>
      <w:r w:rsidR="003A1F8D">
        <w:rPr>
          <w:szCs w:val="24"/>
        </w:rPr>
        <w:t xml:space="preserve">liberally </w:t>
      </w:r>
      <w:r w:rsidRPr="00E2616E">
        <w:rPr>
          <w:szCs w:val="24"/>
        </w:rPr>
        <w:t>granted even if the</w:t>
      </w:r>
      <w:r w:rsidR="003A1F8D">
        <w:rPr>
          <w:szCs w:val="24"/>
        </w:rPr>
        <w:t>re is no hearing scheduled.</w:t>
      </w:r>
      <w:r>
        <w:rPr>
          <w:rStyle w:val="FootnoteReference"/>
          <w:szCs w:val="24"/>
        </w:rPr>
        <w:footnoteReference w:id="28"/>
      </w:r>
      <w:r w:rsidRPr="00E2616E">
        <w:rPr>
          <w:szCs w:val="24"/>
        </w:rPr>
        <w:t xml:space="preserve"> </w:t>
      </w:r>
      <w:r w:rsidR="003A1F8D">
        <w:rPr>
          <w:szCs w:val="24"/>
        </w:rPr>
        <w:t xml:space="preserve">According to the Court, </w:t>
      </w:r>
      <w:r>
        <w:rPr>
          <w:szCs w:val="24"/>
        </w:rPr>
        <w:t>“</w:t>
      </w:r>
      <w:r w:rsidRPr="00E2616E">
        <w:rPr>
          <w:szCs w:val="24"/>
        </w:rPr>
        <w:t>[</w:t>
      </w:r>
      <w:proofErr w:type="spellStart"/>
      <w:r w:rsidRPr="00E2616E">
        <w:rPr>
          <w:szCs w:val="24"/>
        </w:rPr>
        <w:t>i</w:t>
      </w:r>
      <w:proofErr w:type="spellEnd"/>
      <w:r w:rsidRPr="00E2616E">
        <w:rPr>
          <w:szCs w:val="24"/>
        </w:rPr>
        <w:t>]</w:t>
      </w:r>
      <w:proofErr w:type="spellStart"/>
      <w:r w:rsidRPr="00E2616E">
        <w:rPr>
          <w:szCs w:val="24"/>
        </w:rPr>
        <w:t>ntervention</w:t>
      </w:r>
      <w:proofErr w:type="spellEnd"/>
      <w:r w:rsidRPr="00E2616E">
        <w:rPr>
          <w:szCs w:val="24"/>
        </w:rPr>
        <w:t xml:space="preserve"> ought to be liberally allowed so that the positions of all persons with a real and substantial interest in the proceedings can be considered by the PUCO</w:t>
      </w:r>
      <w:r>
        <w:rPr>
          <w:szCs w:val="24"/>
        </w:rPr>
        <w:t>.”</w:t>
      </w:r>
      <w:r>
        <w:rPr>
          <w:rStyle w:val="FootnoteReference"/>
          <w:szCs w:val="24"/>
        </w:rPr>
        <w:footnoteReference w:id="29"/>
      </w:r>
      <w:r w:rsidR="00373A57" w:rsidRPr="00E2616E">
        <w:rPr>
          <w:szCs w:val="24"/>
        </w:rPr>
        <w:t xml:space="preserve"> </w:t>
      </w:r>
    </w:p>
    <w:p w14:paraId="3FA4E426" w14:textId="445F617B" w:rsidR="000E486C" w:rsidRDefault="00AE52F3" w:rsidP="0099608F">
      <w:pPr>
        <w:spacing w:line="480" w:lineRule="auto"/>
        <w:ind w:firstLine="720"/>
      </w:pPr>
      <w:bookmarkStart w:id="29" w:name="_Hlk155962457"/>
      <w:bookmarkEnd w:id="23"/>
      <w:r>
        <w:rPr>
          <w:szCs w:val="24"/>
        </w:rPr>
        <w:t>Rehearing should be granted</w:t>
      </w:r>
      <w:bookmarkEnd w:id="29"/>
      <w:r>
        <w:rPr>
          <w:szCs w:val="24"/>
        </w:rPr>
        <w:t xml:space="preserve">. </w:t>
      </w:r>
      <w:bookmarkStart w:id="30" w:name="_Hlk155796729"/>
    </w:p>
    <w:p w14:paraId="737103A8" w14:textId="5CA69FAD" w:rsidR="009769EB" w:rsidRPr="000C5DC7" w:rsidRDefault="00AE52F3" w:rsidP="000C5DC7">
      <w:pPr>
        <w:pStyle w:val="Heading2"/>
      </w:pPr>
      <w:bookmarkStart w:id="31" w:name="_Toc155969979"/>
      <w:bookmarkStart w:id="32" w:name="_Hlk155844412"/>
      <w:r w:rsidRPr="000C5DC7">
        <w:t>ASSIGNMENT OF ERROR</w:t>
      </w:r>
      <w:r w:rsidR="00127ED4" w:rsidRPr="000C5DC7">
        <w:t xml:space="preserve"> </w:t>
      </w:r>
      <w:r w:rsidR="003A1F8D" w:rsidRPr="000C5DC7">
        <w:t>5</w:t>
      </w:r>
      <w:r w:rsidR="00127ED4" w:rsidRPr="000C5DC7">
        <w:t xml:space="preserve">: </w:t>
      </w:r>
      <w:bookmarkStart w:id="33" w:name="_Hlk155869417"/>
      <w:bookmarkEnd w:id="30"/>
      <w:r w:rsidR="00B84F91" w:rsidRPr="000C5DC7">
        <w:t xml:space="preserve">The PUCO erred in finding the stipulation reasonable and </w:t>
      </w:r>
      <w:r w:rsidR="00230E34" w:rsidRPr="000C5DC7">
        <w:t>in finding that the settlement meets the PUCO’s three</w:t>
      </w:r>
      <w:r w:rsidR="00373A57" w:rsidRPr="000C5DC7">
        <w:t>-</w:t>
      </w:r>
      <w:r w:rsidR="00230E34" w:rsidRPr="000C5DC7">
        <w:t>prong test for approving settlements.</w:t>
      </w:r>
      <w:bookmarkEnd w:id="31"/>
      <w:r w:rsidR="004A08AE" w:rsidRPr="000C5DC7">
        <w:t xml:space="preserve"> </w:t>
      </w:r>
    </w:p>
    <w:bookmarkEnd w:id="32"/>
    <w:bookmarkEnd w:id="33"/>
    <w:p w14:paraId="0E34EFA8" w14:textId="6E603FE8" w:rsidR="007633DE" w:rsidRPr="007633DE" w:rsidRDefault="00AE52F3" w:rsidP="007633DE">
      <w:pPr>
        <w:spacing w:line="480" w:lineRule="auto"/>
        <w:ind w:firstLine="720"/>
        <w:rPr>
          <w:szCs w:val="24"/>
        </w:rPr>
      </w:pPr>
      <w:r w:rsidRPr="007633DE">
        <w:rPr>
          <w:szCs w:val="24"/>
        </w:rPr>
        <w:t xml:space="preserve">The PUCO lacked the necessary record evidence to assess the Stipulation's reasonableness because it failed to hold any proceedings or require </w:t>
      </w:r>
      <w:r w:rsidR="003114E5">
        <w:rPr>
          <w:szCs w:val="24"/>
        </w:rPr>
        <w:t xml:space="preserve">the signatory parties to file or submit testimony in the proceeding. </w:t>
      </w:r>
      <w:r w:rsidRPr="007633DE">
        <w:rPr>
          <w:szCs w:val="24"/>
        </w:rPr>
        <w:t>However, even a cursory review of the procedural record reveals the Stipulation's inherent deficiencies. For a stipulation to be deemed reasonable, it must meet three criteria:</w:t>
      </w:r>
    </w:p>
    <w:p w14:paraId="1FDAC052" w14:textId="77777777" w:rsidR="007633DE" w:rsidRPr="007633DE" w:rsidRDefault="00AE52F3" w:rsidP="00CC2BE3">
      <w:pPr>
        <w:numPr>
          <w:ilvl w:val="0"/>
          <w:numId w:val="4"/>
        </w:numPr>
        <w:tabs>
          <w:tab w:val="clear" w:pos="720"/>
        </w:tabs>
        <w:spacing w:line="480" w:lineRule="auto"/>
        <w:ind w:left="1440" w:hanging="720"/>
        <w:rPr>
          <w:szCs w:val="24"/>
        </w:rPr>
      </w:pPr>
      <w:r w:rsidRPr="007633DE">
        <w:rPr>
          <w:szCs w:val="24"/>
        </w:rPr>
        <w:t>Product of Serious Bargaining: It must represent the outcome of good-faith negotiations between capable and knowledgeable parties.</w:t>
      </w:r>
    </w:p>
    <w:p w14:paraId="2610DDC9" w14:textId="77777777" w:rsidR="007633DE" w:rsidRPr="007633DE" w:rsidRDefault="00AE52F3" w:rsidP="00CC2BE3">
      <w:pPr>
        <w:numPr>
          <w:ilvl w:val="0"/>
          <w:numId w:val="4"/>
        </w:numPr>
        <w:tabs>
          <w:tab w:val="clear" w:pos="720"/>
        </w:tabs>
        <w:spacing w:line="480" w:lineRule="auto"/>
        <w:ind w:left="1440" w:hanging="720"/>
        <w:rPr>
          <w:szCs w:val="24"/>
        </w:rPr>
      </w:pPr>
      <w:r w:rsidRPr="007633DE">
        <w:rPr>
          <w:szCs w:val="24"/>
        </w:rPr>
        <w:t xml:space="preserve">Public Benefit: It must demonstrably benefit both ratepayers and the public </w:t>
      </w:r>
      <w:proofErr w:type="gramStart"/>
      <w:r w:rsidRPr="007633DE">
        <w:rPr>
          <w:szCs w:val="24"/>
        </w:rPr>
        <w:t>interest as a whole</w:t>
      </w:r>
      <w:proofErr w:type="gramEnd"/>
      <w:r w:rsidRPr="007633DE">
        <w:rPr>
          <w:szCs w:val="24"/>
        </w:rPr>
        <w:t>.</w:t>
      </w:r>
    </w:p>
    <w:p w14:paraId="7019333F" w14:textId="27C3E628" w:rsidR="007633DE" w:rsidRPr="007633DE" w:rsidRDefault="00AE52F3" w:rsidP="00CC2BE3">
      <w:pPr>
        <w:numPr>
          <w:ilvl w:val="0"/>
          <w:numId w:val="4"/>
        </w:numPr>
        <w:tabs>
          <w:tab w:val="clear" w:pos="720"/>
        </w:tabs>
        <w:spacing w:line="480" w:lineRule="auto"/>
        <w:ind w:left="1440" w:hanging="720"/>
        <w:rPr>
          <w:szCs w:val="24"/>
        </w:rPr>
      </w:pPr>
      <w:r w:rsidRPr="007633DE">
        <w:rPr>
          <w:szCs w:val="24"/>
        </w:rPr>
        <w:t>Regulatory Compliance: It must not violate any essential regulatory principles or practices.</w:t>
      </w:r>
      <w:r>
        <w:rPr>
          <w:rStyle w:val="FootnoteReference"/>
          <w:szCs w:val="24"/>
        </w:rPr>
        <w:footnoteReference w:id="30"/>
      </w:r>
    </w:p>
    <w:p w14:paraId="6ECA0600" w14:textId="3724D9FA" w:rsidR="007633DE" w:rsidRPr="007633DE" w:rsidRDefault="00AE52F3" w:rsidP="007633DE">
      <w:pPr>
        <w:spacing w:line="480" w:lineRule="auto"/>
        <w:ind w:firstLine="720"/>
        <w:rPr>
          <w:szCs w:val="24"/>
        </w:rPr>
      </w:pPr>
      <w:r w:rsidRPr="007633DE">
        <w:rPr>
          <w:szCs w:val="24"/>
        </w:rPr>
        <w:lastRenderedPageBreak/>
        <w:t>The Stipulation demonstrably fails the first criterion. It cannot be considered the product of serious bargaining because it was reached by Inspire and PUCO staff before the case was even docket</w:t>
      </w:r>
      <w:r w:rsidR="003114E5">
        <w:rPr>
          <w:szCs w:val="24"/>
        </w:rPr>
        <w:t>ed.</w:t>
      </w:r>
      <w:r w:rsidRPr="007633DE">
        <w:rPr>
          <w:szCs w:val="24"/>
        </w:rPr>
        <w:t xml:space="preserve"> This intentional exclusion of potentially affected persons, including the OCC, ensured that </w:t>
      </w:r>
      <w:r w:rsidR="003114E5">
        <w:rPr>
          <w:szCs w:val="24"/>
        </w:rPr>
        <w:t xml:space="preserve">the affected and </w:t>
      </w:r>
      <w:r w:rsidRPr="007633DE">
        <w:rPr>
          <w:szCs w:val="24"/>
        </w:rPr>
        <w:t>significant class of customers (residential consumers) were entirely absent from the settlement discussions.</w:t>
      </w:r>
      <w:r w:rsidR="004A08AE">
        <w:rPr>
          <w:szCs w:val="24"/>
        </w:rPr>
        <w:t xml:space="preserve"> </w:t>
      </w:r>
      <w:r w:rsidR="003114E5">
        <w:rPr>
          <w:szCs w:val="24"/>
        </w:rPr>
        <w:t>That was wrong.</w:t>
      </w:r>
      <w:r w:rsidR="004A08AE">
        <w:rPr>
          <w:szCs w:val="24"/>
        </w:rPr>
        <w:t xml:space="preserve"> </w:t>
      </w:r>
    </w:p>
    <w:p w14:paraId="57552D3A" w14:textId="58BEB51A" w:rsidR="007633DE" w:rsidRDefault="00AE52F3" w:rsidP="007633DE">
      <w:pPr>
        <w:spacing w:line="480" w:lineRule="auto"/>
        <w:ind w:firstLine="720"/>
        <w:rPr>
          <w:szCs w:val="24"/>
        </w:rPr>
      </w:pPr>
      <w:r w:rsidRPr="007633DE">
        <w:rPr>
          <w:szCs w:val="24"/>
        </w:rPr>
        <w:t>Such exclusionary tactics have been explicitly condemned by the Supreme Court</w:t>
      </w:r>
      <w:r>
        <w:rPr>
          <w:szCs w:val="24"/>
        </w:rPr>
        <w:t>.</w:t>
      </w:r>
      <w:r>
        <w:rPr>
          <w:rStyle w:val="FootnoteReference"/>
          <w:szCs w:val="24"/>
        </w:rPr>
        <w:footnoteReference w:id="31"/>
      </w:r>
      <w:r w:rsidRPr="007633DE">
        <w:rPr>
          <w:szCs w:val="24"/>
        </w:rPr>
        <w:t xml:space="preserve"> </w:t>
      </w:r>
      <w:r w:rsidR="003114E5">
        <w:rPr>
          <w:szCs w:val="24"/>
        </w:rPr>
        <w:t xml:space="preserve">Under such circumstances, </w:t>
      </w:r>
      <w:r w:rsidRPr="007633DE">
        <w:rPr>
          <w:szCs w:val="24"/>
        </w:rPr>
        <w:t xml:space="preserve">the Stipulation cannot be </w:t>
      </w:r>
      <w:r w:rsidRPr="007633DE">
        <w:rPr>
          <w:szCs w:val="24"/>
        </w:rPr>
        <w:t>considered the outcome of fair and balanced negotiations.</w:t>
      </w:r>
      <w:r w:rsidR="004A08AE">
        <w:rPr>
          <w:szCs w:val="24"/>
        </w:rPr>
        <w:t xml:space="preserve"> </w:t>
      </w:r>
      <w:r w:rsidR="003114E5">
        <w:rPr>
          <w:szCs w:val="24"/>
        </w:rPr>
        <w:t>It fails the first prong.</w:t>
      </w:r>
    </w:p>
    <w:p w14:paraId="2981503C" w14:textId="5778BB14" w:rsidR="00A46907" w:rsidRDefault="00AE52F3" w:rsidP="003114E5">
      <w:pPr>
        <w:spacing w:line="480" w:lineRule="auto"/>
        <w:ind w:firstLine="720"/>
        <w:rPr>
          <w:color w:val="1F1F1F"/>
          <w:szCs w:val="24"/>
        </w:rPr>
      </w:pPr>
      <w:r w:rsidRPr="00E20549">
        <w:rPr>
          <w:szCs w:val="24"/>
        </w:rPr>
        <w:t>The Settlement also is not in the public interest because its provisions fail to protect consumers.</w:t>
      </w:r>
      <w:r w:rsidR="004A08AE">
        <w:rPr>
          <w:szCs w:val="24"/>
        </w:rPr>
        <w:t xml:space="preserve"> </w:t>
      </w:r>
      <w:r w:rsidRPr="00576EAD">
        <w:rPr>
          <w:color w:val="1F1F1F"/>
          <w:szCs w:val="24"/>
        </w:rPr>
        <w:t>The unchallenged stipulation leaves consumers vulnerable to repeated harm by failing to adequately address Inspire's deceptive marketing practices. It allows Inspire to resume offering low introductory rates without any restrictions on duration or subsequent price hikes.</w:t>
      </w:r>
      <w:r>
        <w:rPr>
          <w:rStyle w:val="FootnoteReference"/>
          <w:color w:val="1F1F1F"/>
          <w:szCs w:val="24"/>
        </w:rPr>
        <w:footnoteReference w:id="32"/>
      </w:r>
      <w:r w:rsidRPr="00576EAD">
        <w:rPr>
          <w:color w:val="1F1F1F"/>
          <w:szCs w:val="24"/>
        </w:rPr>
        <w:t xml:space="preserve"> </w:t>
      </w:r>
      <w:r>
        <w:rPr>
          <w:color w:val="1F1F1F"/>
          <w:szCs w:val="24"/>
        </w:rPr>
        <w:t xml:space="preserve">It allows Inspire to offer </w:t>
      </w:r>
      <w:r>
        <w:rPr>
          <w:color w:val="1F1F1F"/>
          <w:szCs w:val="24"/>
        </w:rPr>
        <w:t>unconscionable rates and advertise those rates on the PUCO’s apples to apples website.</w:t>
      </w:r>
      <w:r w:rsidR="004A08AE">
        <w:rPr>
          <w:color w:val="1F1F1F"/>
          <w:szCs w:val="24"/>
        </w:rPr>
        <w:t xml:space="preserve"> </w:t>
      </w:r>
      <w:r>
        <w:rPr>
          <w:color w:val="1F1F1F"/>
          <w:szCs w:val="24"/>
        </w:rPr>
        <w:t>As explained in OCC’s motion to intervene, the PUCO should delist Inspire offers that are more than 2.5 times the standard offer.</w:t>
      </w:r>
      <w:r w:rsidR="004A08AE">
        <w:rPr>
          <w:color w:val="1F1F1F"/>
          <w:szCs w:val="24"/>
        </w:rPr>
        <w:t xml:space="preserve"> </w:t>
      </w:r>
      <w:r w:rsidRPr="00576EAD">
        <w:rPr>
          <w:color w:val="1F1F1F"/>
          <w:szCs w:val="24"/>
        </w:rPr>
        <w:t>Additionally, the stipulation gives Inspire unilateral discretion to handle future complaints related to these rates, raising concerns about accountability and transparency.</w:t>
      </w:r>
      <w:r>
        <w:rPr>
          <w:rStyle w:val="FootnoteReference"/>
          <w:color w:val="1F1F1F"/>
          <w:szCs w:val="24"/>
        </w:rPr>
        <w:footnoteReference w:id="33"/>
      </w:r>
      <w:r w:rsidRPr="00576EAD">
        <w:rPr>
          <w:color w:val="1F1F1F"/>
          <w:szCs w:val="24"/>
        </w:rPr>
        <w:t xml:space="preserve"> </w:t>
      </w:r>
      <w:bookmarkStart w:id="34" w:name="_Hlk155955467"/>
      <w:r w:rsidRPr="00576EAD">
        <w:rPr>
          <w:color w:val="1F1F1F"/>
          <w:szCs w:val="24"/>
        </w:rPr>
        <w:t>Furthermore, the $160,000 forfeiture lacks clarity, failing to specify the scope of violations it covers</w:t>
      </w:r>
      <w:r>
        <w:rPr>
          <w:color w:val="1F1F1F"/>
          <w:szCs w:val="24"/>
        </w:rPr>
        <w:t xml:space="preserve"> (i.e. days of violations)</w:t>
      </w:r>
      <w:r w:rsidRPr="00576EAD">
        <w:rPr>
          <w:color w:val="1F1F1F"/>
          <w:szCs w:val="24"/>
        </w:rPr>
        <w:t xml:space="preserve">, making it difficult to assess its </w:t>
      </w:r>
      <w:r w:rsidRPr="00576EAD">
        <w:rPr>
          <w:color w:val="1F1F1F"/>
          <w:szCs w:val="24"/>
        </w:rPr>
        <w:lastRenderedPageBreak/>
        <w:t>effectiveness as a deterrent.</w:t>
      </w:r>
      <w:r>
        <w:rPr>
          <w:rStyle w:val="FootnoteReference"/>
          <w:color w:val="1F1F1F"/>
          <w:szCs w:val="24"/>
        </w:rPr>
        <w:footnoteReference w:id="34"/>
      </w:r>
      <w:r w:rsidRPr="00576EAD">
        <w:rPr>
          <w:color w:val="1F1F1F"/>
          <w:szCs w:val="24"/>
        </w:rPr>
        <w:t xml:space="preserve"> </w:t>
      </w:r>
      <w:bookmarkEnd w:id="34"/>
      <w:r w:rsidRPr="00576EAD">
        <w:rPr>
          <w:color w:val="1F1F1F"/>
          <w:szCs w:val="24"/>
        </w:rPr>
        <w:t xml:space="preserve">Lastly, </w:t>
      </w:r>
      <w:r>
        <w:rPr>
          <w:color w:val="1F1F1F"/>
          <w:szCs w:val="24"/>
        </w:rPr>
        <w:t xml:space="preserve">though not exhaustive, </w:t>
      </w:r>
      <w:r w:rsidRPr="00576EAD">
        <w:rPr>
          <w:color w:val="1F1F1F"/>
          <w:szCs w:val="24"/>
        </w:rPr>
        <w:t>the onus is placed on consumers to request a rate adjustment, instead of the stipulation automatically providing fairer rates, further disadvantaging vulnerable customers.</w:t>
      </w:r>
      <w:r>
        <w:rPr>
          <w:rStyle w:val="FootnoteReference"/>
          <w:color w:val="1F1F1F"/>
          <w:szCs w:val="24"/>
        </w:rPr>
        <w:footnoteReference w:id="35"/>
      </w:r>
      <w:r w:rsidR="004A08AE">
        <w:rPr>
          <w:color w:val="1F1F1F"/>
          <w:szCs w:val="24"/>
        </w:rPr>
        <w:t xml:space="preserve"> </w:t>
      </w:r>
      <w:bookmarkStart w:id="35" w:name="_Hlk155956498"/>
      <w:r>
        <w:rPr>
          <w:color w:val="1F1F1F"/>
          <w:szCs w:val="24"/>
        </w:rPr>
        <w:t>The Stipulation thus, does not benefi</w:t>
      </w:r>
      <w:r w:rsidR="00373A57">
        <w:rPr>
          <w:color w:val="1F1F1F"/>
          <w:szCs w:val="24"/>
        </w:rPr>
        <w:t>t</w:t>
      </w:r>
      <w:r>
        <w:rPr>
          <w:color w:val="1F1F1F"/>
          <w:szCs w:val="24"/>
        </w:rPr>
        <w:t xml:space="preserve"> the public and is not in the public interest.</w:t>
      </w:r>
      <w:bookmarkEnd w:id="35"/>
      <w:r w:rsidR="004A08AE">
        <w:rPr>
          <w:color w:val="1F1F1F"/>
          <w:szCs w:val="24"/>
        </w:rPr>
        <w:t xml:space="preserve"> </w:t>
      </w:r>
    </w:p>
    <w:p w14:paraId="72543306" w14:textId="627B5C3E" w:rsidR="00D0218B" w:rsidRPr="00E20549" w:rsidRDefault="00AE52F3" w:rsidP="00FE6FE1">
      <w:pPr>
        <w:spacing w:line="480" w:lineRule="auto"/>
        <w:ind w:firstLine="720"/>
        <w:rPr>
          <w:szCs w:val="24"/>
        </w:rPr>
      </w:pPr>
      <w:r w:rsidRPr="00E20549">
        <w:rPr>
          <w:color w:val="1F1F1F"/>
          <w:szCs w:val="24"/>
        </w:rPr>
        <w:t xml:space="preserve">The stipulation also violates prong three. </w:t>
      </w:r>
      <w:r w:rsidR="00154122" w:rsidRPr="00E20549">
        <w:rPr>
          <w:color w:val="1F1F1F"/>
          <w:szCs w:val="24"/>
        </w:rPr>
        <w:t xml:space="preserve">It is the legal duty of the PUCO and its Staff to protect consumers from unconscionable rates charged by </w:t>
      </w:r>
      <w:r w:rsidR="00502759" w:rsidRPr="00E20549">
        <w:rPr>
          <w:color w:val="1F1F1F"/>
          <w:szCs w:val="24"/>
        </w:rPr>
        <w:t>marketers like Inspire</w:t>
      </w:r>
      <w:r w:rsidR="00154122" w:rsidRPr="00E20549">
        <w:rPr>
          <w:color w:val="1F1F1F"/>
          <w:szCs w:val="24"/>
        </w:rPr>
        <w:t>.</w:t>
      </w:r>
      <w:r>
        <w:rPr>
          <w:rStyle w:val="FootnoteReference"/>
          <w:color w:val="1F1F1F"/>
          <w:szCs w:val="24"/>
        </w:rPr>
        <w:footnoteReference w:id="36"/>
      </w:r>
      <w:r w:rsidR="00154122" w:rsidRPr="00E20549">
        <w:rPr>
          <w:color w:val="1F1F1F"/>
          <w:szCs w:val="24"/>
        </w:rPr>
        <w:t xml:space="preserve"> Again, the stipulation fails to protect consumers from unconscionable rates by allowing Inspire to continue to operate in Ohio and continue to market its prices on apples-to-apples websites.</w:t>
      </w:r>
      <w:r w:rsidR="007C6CAF" w:rsidRPr="00E20549">
        <w:rPr>
          <w:color w:val="1F1F1F"/>
          <w:szCs w:val="24"/>
        </w:rPr>
        <w:t xml:space="preserve"> </w:t>
      </w:r>
      <w:r w:rsidR="00AF366C" w:rsidRPr="00E20549">
        <w:rPr>
          <w:color w:val="1F1F1F"/>
          <w:szCs w:val="24"/>
        </w:rPr>
        <w:t xml:space="preserve">The </w:t>
      </w:r>
      <w:r w:rsidR="00502759" w:rsidRPr="00E20549">
        <w:rPr>
          <w:color w:val="1F1F1F"/>
          <w:szCs w:val="24"/>
        </w:rPr>
        <w:t>PUCO</w:t>
      </w:r>
      <w:r w:rsidR="007C6CAF" w:rsidRPr="00E20549">
        <w:rPr>
          <w:color w:val="1F1F1F"/>
          <w:szCs w:val="24"/>
        </w:rPr>
        <w:t xml:space="preserve"> </w:t>
      </w:r>
      <w:r w:rsidR="00AD47C8" w:rsidRPr="00E20549">
        <w:rPr>
          <w:color w:val="1F1F1F"/>
          <w:szCs w:val="24"/>
        </w:rPr>
        <w:t xml:space="preserve">has been granted legal </w:t>
      </w:r>
      <w:r w:rsidR="00AF366C" w:rsidRPr="00E20549">
        <w:rPr>
          <w:color w:val="1F1F1F"/>
          <w:szCs w:val="24"/>
        </w:rPr>
        <w:t xml:space="preserve">discretion </w:t>
      </w:r>
      <w:r w:rsidR="00AD47C8" w:rsidRPr="00E20549">
        <w:rPr>
          <w:color w:val="1F1F1F"/>
          <w:szCs w:val="24"/>
        </w:rPr>
        <w:t xml:space="preserve">(which it should not abuse) </w:t>
      </w:r>
      <w:r w:rsidR="007C6CAF" w:rsidRPr="00E20549">
        <w:rPr>
          <w:color w:val="1F1F1F"/>
          <w:szCs w:val="24"/>
        </w:rPr>
        <w:t>to issue forfeitures that act as a deterrent and are appropriate for the scope of violations committed.</w:t>
      </w:r>
      <w:r>
        <w:rPr>
          <w:rStyle w:val="FootnoteReference"/>
          <w:color w:val="1F1F1F"/>
          <w:szCs w:val="24"/>
        </w:rPr>
        <w:footnoteReference w:id="37"/>
      </w:r>
      <w:r w:rsidR="007C6CAF" w:rsidRPr="00E20549">
        <w:rPr>
          <w:color w:val="1F1F1F"/>
          <w:szCs w:val="24"/>
        </w:rPr>
        <w:t xml:space="preserve"> Again, the $160,000 forfeiture lacks clarity, failing to specify the scope of violations it covers (i.e. days of violations, number of consumers impacted), making it difficult to assess its effectiveness as a deterrent.</w:t>
      </w:r>
      <w:r>
        <w:rPr>
          <w:color w:val="1F1F1F"/>
          <w:szCs w:val="24"/>
          <w:vertAlign w:val="superscript"/>
        </w:rPr>
        <w:footnoteReference w:id="38"/>
      </w:r>
      <w:r w:rsidR="007C6CAF" w:rsidRPr="00E20549">
        <w:rPr>
          <w:color w:val="1F1F1F"/>
          <w:szCs w:val="24"/>
        </w:rPr>
        <w:t xml:space="preserve"> Furthermore, the scope of the violations was not explained in the amended probable notice of </w:t>
      </w:r>
      <w:r w:rsidR="00BC141D" w:rsidRPr="00E20549">
        <w:rPr>
          <w:color w:val="1F1F1F"/>
          <w:szCs w:val="24"/>
        </w:rPr>
        <w:t>non-</w:t>
      </w:r>
      <w:r w:rsidR="007C6CAF" w:rsidRPr="00E20549">
        <w:rPr>
          <w:color w:val="1F1F1F"/>
          <w:szCs w:val="24"/>
        </w:rPr>
        <w:t>compliance that PUCO relied on to approve the forfeiture.</w:t>
      </w:r>
      <w:r>
        <w:rPr>
          <w:rStyle w:val="FootnoteReference"/>
          <w:color w:val="1F1F1F"/>
          <w:szCs w:val="24"/>
        </w:rPr>
        <w:footnoteReference w:id="39"/>
      </w:r>
      <w:r w:rsidR="007C6CAF" w:rsidRPr="00E20549">
        <w:rPr>
          <w:color w:val="1F1F1F"/>
          <w:szCs w:val="24"/>
        </w:rPr>
        <w:t xml:space="preserve"> </w:t>
      </w:r>
      <w:r w:rsidR="00AD47C8" w:rsidRPr="00E20549">
        <w:rPr>
          <w:color w:val="1F1F1F"/>
          <w:szCs w:val="24"/>
        </w:rPr>
        <w:t xml:space="preserve">The </w:t>
      </w:r>
      <w:r w:rsidR="002273B4" w:rsidRPr="00E20549">
        <w:rPr>
          <w:color w:val="1F1F1F"/>
          <w:szCs w:val="24"/>
        </w:rPr>
        <w:t>PUCO</w:t>
      </w:r>
      <w:r w:rsidR="00AD47C8" w:rsidRPr="00E20549">
        <w:rPr>
          <w:color w:val="1F1F1F"/>
          <w:szCs w:val="24"/>
        </w:rPr>
        <w:t xml:space="preserve"> can’t be sure that it did not abuse its discretion. </w:t>
      </w:r>
      <w:r w:rsidR="00BC141D" w:rsidRPr="00E20549">
        <w:rPr>
          <w:color w:val="1F1F1F"/>
          <w:szCs w:val="24"/>
        </w:rPr>
        <w:t>It is a legal principle that stipulations result from an open process.</w:t>
      </w:r>
      <w:r>
        <w:rPr>
          <w:rStyle w:val="FootnoteReference"/>
          <w:color w:val="1F1F1F"/>
          <w:szCs w:val="24"/>
        </w:rPr>
        <w:footnoteReference w:id="40"/>
      </w:r>
      <w:r w:rsidR="00BC141D" w:rsidRPr="00E20549">
        <w:rPr>
          <w:color w:val="1F1F1F"/>
          <w:szCs w:val="24"/>
        </w:rPr>
        <w:t xml:space="preserve"> Yet, this stipulation is the result of a closed process. </w:t>
      </w:r>
      <w:r w:rsidR="00AD47C8" w:rsidRPr="00E20549">
        <w:rPr>
          <w:color w:val="1F1F1F"/>
          <w:szCs w:val="24"/>
        </w:rPr>
        <w:t>Ohio Adm.</w:t>
      </w:r>
      <w:r w:rsidR="00E20549">
        <w:rPr>
          <w:color w:val="1F1F1F"/>
          <w:szCs w:val="24"/>
        </w:rPr>
        <w:t xml:space="preserve"> </w:t>
      </w:r>
      <w:r w:rsidR="00AD47C8" w:rsidRPr="00E20549">
        <w:rPr>
          <w:color w:val="1F1F1F"/>
          <w:szCs w:val="24"/>
        </w:rPr>
        <w:t xml:space="preserve">Code 4901-1-30 (A) says </w:t>
      </w:r>
      <w:r w:rsidR="00AD47C8" w:rsidRPr="00E20549">
        <w:rPr>
          <w:color w:val="1F1F1F"/>
          <w:szCs w:val="24"/>
        </w:rPr>
        <w:lastRenderedPageBreak/>
        <w:t xml:space="preserve">“Any </w:t>
      </w:r>
      <w:r w:rsidR="00AD47C8" w:rsidRPr="00E20549">
        <w:rPr>
          <w:color w:val="1F1F1F"/>
          <w:szCs w:val="24"/>
          <w:u w:val="single"/>
        </w:rPr>
        <w:t>two or more parties</w:t>
      </w:r>
      <w:r w:rsidR="00AD47C8" w:rsidRPr="00E20549">
        <w:rPr>
          <w:color w:val="1F1F1F"/>
          <w:szCs w:val="24"/>
        </w:rPr>
        <w:t xml:space="preserve"> may enter into a written or oral stipulation </w:t>
      </w:r>
      <w:r w:rsidR="00AD47C8" w:rsidRPr="00E20549">
        <w:rPr>
          <w:color w:val="1F1F1F"/>
          <w:szCs w:val="24"/>
          <w:u w:val="single"/>
        </w:rPr>
        <w:t>concerning</w:t>
      </w:r>
      <w:r w:rsidR="00AD47C8" w:rsidRPr="00E20549">
        <w:rPr>
          <w:color w:val="1F1F1F"/>
          <w:szCs w:val="24"/>
        </w:rPr>
        <w:t xml:space="preserve"> issues of fact, the authenticity of documents, or the proposed resolution of </w:t>
      </w:r>
      <w:r w:rsidR="00AD47C8" w:rsidRPr="00E20549">
        <w:rPr>
          <w:color w:val="1F1F1F"/>
          <w:szCs w:val="24"/>
          <w:u w:val="single"/>
        </w:rPr>
        <w:t>some or all of the issues in a proceeding</w:t>
      </w:r>
      <w:r w:rsidR="00AD47C8" w:rsidRPr="00E20549">
        <w:rPr>
          <w:color w:val="1F1F1F"/>
          <w:szCs w:val="24"/>
        </w:rPr>
        <w:t xml:space="preserve">.” </w:t>
      </w:r>
      <w:r w:rsidR="009A4452" w:rsidRPr="00E20549">
        <w:rPr>
          <w:color w:val="1F1F1F"/>
          <w:szCs w:val="24"/>
        </w:rPr>
        <w:t xml:space="preserve">(emphasis added). </w:t>
      </w:r>
      <w:r w:rsidR="00BC141D" w:rsidRPr="00E20549">
        <w:rPr>
          <w:color w:val="1F1F1F"/>
          <w:szCs w:val="24"/>
        </w:rPr>
        <w:t xml:space="preserve">Negotiations were had </w:t>
      </w:r>
      <w:r w:rsidR="00AD47C8" w:rsidRPr="00E20549">
        <w:rPr>
          <w:color w:val="1F1F1F"/>
          <w:szCs w:val="24"/>
        </w:rPr>
        <w:t xml:space="preserve">before there </w:t>
      </w:r>
      <w:r w:rsidR="009A4452" w:rsidRPr="00E20549">
        <w:rPr>
          <w:color w:val="1F1F1F"/>
          <w:szCs w:val="24"/>
        </w:rPr>
        <w:t xml:space="preserve">were parties, without proceedings, and </w:t>
      </w:r>
      <w:r w:rsidR="00BC141D" w:rsidRPr="00E20549">
        <w:rPr>
          <w:color w:val="1F1F1F"/>
          <w:szCs w:val="24"/>
        </w:rPr>
        <w:t>outside of the knowledge of the public before this case was initiated</w:t>
      </w:r>
      <w:r w:rsidR="009A4452" w:rsidRPr="00E20549">
        <w:rPr>
          <w:color w:val="1F1F1F"/>
          <w:szCs w:val="24"/>
        </w:rPr>
        <w:t>.</w:t>
      </w:r>
      <w:r w:rsidR="00BC141D" w:rsidRPr="00E20549">
        <w:rPr>
          <w:color w:val="1F1F1F"/>
          <w:szCs w:val="24"/>
        </w:rPr>
        <w:t xml:space="preserve"> </w:t>
      </w:r>
      <w:r w:rsidR="009A4452" w:rsidRPr="00E20549">
        <w:rPr>
          <w:color w:val="1F1F1F"/>
          <w:szCs w:val="24"/>
        </w:rPr>
        <w:t>A</w:t>
      </w:r>
      <w:r w:rsidR="00BC141D" w:rsidRPr="00E20549">
        <w:rPr>
          <w:color w:val="1F1F1F"/>
          <w:szCs w:val="24"/>
        </w:rPr>
        <w:t xml:space="preserve">nd OCC (advocate for residential consumers) was denied intervention to challenge the stipulation. The Stipulation thus, violated essential regulatory principles and practices. </w:t>
      </w:r>
    </w:p>
    <w:p w14:paraId="006BFE8E" w14:textId="091C348D" w:rsidR="00840ECE" w:rsidRPr="00E20549" w:rsidRDefault="00AE52F3" w:rsidP="00FE6FE1">
      <w:pPr>
        <w:pStyle w:val="Heading2"/>
        <w:rPr>
          <w:szCs w:val="24"/>
        </w:rPr>
      </w:pPr>
      <w:bookmarkStart w:id="36" w:name="_Toc155969980"/>
      <w:r w:rsidRPr="00E20549">
        <w:t xml:space="preserve">ASSIGNMENT OF ERROR </w:t>
      </w:r>
      <w:r w:rsidR="00230E34" w:rsidRPr="00E20549">
        <w:t>6</w:t>
      </w:r>
      <w:r w:rsidRPr="00E20549">
        <w:t>:</w:t>
      </w:r>
      <w:r w:rsidR="00230E34" w:rsidRPr="00E20549">
        <w:t xml:space="preserve"> The PUCO erred in permitting its Staff to circumvent its rules and the laws intended to allow for public proceedings, </w:t>
      </w:r>
      <w:proofErr w:type="gramStart"/>
      <w:r w:rsidR="00230E34" w:rsidRPr="00E20549">
        <w:t>documents</w:t>
      </w:r>
      <w:proofErr w:type="gramEnd"/>
      <w:r w:rsidR="00230E34" w:rsidRPr="00E20549">
        <w:t xml:space="preserve"> and records, violating R.C. 4901.12.</w:t>
      </w:r>
      <w:bookmarkEnd w:id="36"/>
      <w:r w:rsidR="00230E34" w:rsidRPr="00E20549">
        <w:t xml:space="preserve"> </w:t>
      </w:r>
    </w:p>
    <w:p w14:paraId="1AEDC19C" w14:textId="2E6EF0E0" w:rsidR="00201714" w:rsidRPr="00E20549" w:rsidRDefault="00AE52F3" w:rsidP="00923BF2">
      <w:pPr>
        <w:spacing w:line="480" w:lineRule="auto"/>
        <w:ind w:firstLine="720"/>
        <w:rPr>
          <w:color w:val="1F1F1F"/>
          <w:szCs w:val="24"/>
        </w:rPr>
      </w:pPr>
      <w:r w:rsidRPr="00E20549">
        <w:rPr>
          <w:color w:val="1F1F1F"/>
          <w:szCs w:val="24"/>
        </w:rPr>
        <w:t xml:space="preserve">The “procedural history” of this matter all took place outside of the eyes of the public. As provided in the </w:t>
      </w:r>
      <w:r w:rsidR="002273B4" w:rsidRPr="00E20549">
        <w:rPr>
          <w:color w:val="1F1F1F"/>
          <w:szCs w:val="24"/>
        </w:rPr>
        <w:t>Settlement</w:t>
      </w:r>
      <w:r w:rsidRPr="00E20549">
        <w:rPr>
          <w:color w:val="1F1F1F"/>
          <w:szCs w:val="24"/>
        </w:rPr>
        <w:t>:</w:t>
      </w:r>
    </w:p>
    <w:p w14:paraId="3FA56E62" w14:textId="1A18CD3B" w:rsidR="00201714" w:rsidRPr="00E20549" w:rsidRDefault="00AE52F3" w:rsidP="00BF3F0E">
      <w:pPr>
        <w:pStyle w:val="ListParagraph"/>
        <w:numPr>
          <w:ilvl w:val="0"/>
          <w:numId w:val="9"/>
        </w:numPr>
        <w:ind w:left="1080"/>
        <w:rPr>
          <w:color w:val="1F1F1F"/>
        </w:rPr>
      </w:pPr>
      <w:r w:rsidRPr="00E20549">
        <w:rPr>
          <w:color w:val="1F1F1F"/>
        </w:rPr>
        <w:t xml:space="preserve">On September 8, 2022, the Staff issued a </w:t>
      </w:r>
      <w:r w:rsidRPr="00E20549">
        <w:rPr>
          <w:color w:val="1F1F1F"/>
        </w:rPr>
        <w:t>notice of probable non-compliance (“Initial PNC Letter”) outlining alleged violations of the Ohio Administrative Code by Inspire. The Initial PNC Letter was issued after Staff’s review of certain documents submitted by Inspire and following the Staff’s investigation of certain complaints from Ohio Consumers.</w:t>
      </w:r>
      <w:r>
        <w:rPr>
          <w:rStyle w:val="FootnoteReference"/>
          <w:color w:val="1F1F1F"/>
        </w:rPr>
        <w:footnoteReference w:id="41"/>
      </w:r>
      <w:r w:rsidRPr="00E20549">
        <w:rPr>
          <w:color w:val="1F1F1F"/>
        </w:rPr>
        <w:t xml:space="preserve"> </w:t>
      </w:r>
    </w:p>
    <w:p w14:paraId="039EB0F6" w14:textId="77777777" w:rsidR="00201714" w:rsidRPr="00E20549" w:rsidRDefault="00201714" w:rsidP="00BF3F0E">
      <w:pPr>
        <w:pStyle w:val="ListParagraph"/>
        <w:ind w:left="1080"/>
        <w:rPr>
          <w:color w:val="1F1F1F"/>
        </w:rPr>
      </w:pPr>
    </w:p>
    <w:p w14:paraId="60477955" w14:textId="41966612" w:rsidR="00201714" w:rsidRPr="00E20549" w:rsidRDefault="00AE52F3" w:rsidP="00BF3F0E">
      <w:pPr>
        <w:pStyle w:val="ListParagraph"/>
        <w:numPr>
          <w:ilvl w:val="0"/>
          <w:numId w:val="9"/>
        </w:numPr>
        <w:ind w:left="1080"/>
        <w:rPr>
          <w:color w:val="1F1F1F"/>
        </w:rPr>
      </w:pPr>
      <w:r w:rsidRPr="00E20549">
        <w:rPr>
          <w:color w:val="1F1F1F"/>
        </w:rPr>
        <w:t>The Parties met in person on September 21, 2022, to discuss the Initial PNC Letter and the steps already taken by Inspire to address Staff’s concerns.</w:t>
      </w:r>
      <w:r>
        <w:rPr>
          <w:rStyle w:val="FootnoteReference"/>
          <w:color w:val="1F1F1F"/>
        </w:rPr>
        <w:footnoteReference w:id="42"/>
      </w:r>
      <w:r w:rsidRPr="00E20549">
        <w:rPr>
          <w:color w:val="1F1F1F"/>
        </w:rPr>
        <w:t xml:space="preserve"> </w:t>
      </w:r>
    </w:p>
    <w:p w14:paraId="2519E709" w14:textId="77777777" w:rsidR="00201714" w:rsidRPr="00E20549" w:rsidRDefault="00201714" w:rsidP="00BF3F0E">
      <w:pPr>
        <w:ind w:left="360"/>
        <w:rPr>
          <w:color w:val="1F1F1F"/>
        </w:rPr>
      </w:pPr>
    </w:p>
    <w:p w14:paraId="0CD47E68" w14:textId="177070C0" w:rsidR="00201714" w:rsidRPr="00E20549" w:rsidRDefault="00AE52F3" w:rsidP="00BF3F0E">
      <w:pPr>
        <w:pStyle w:val="ListParagraph"/>
        <w:numPr>
          <w:ilvl w:val="0"/>
          <w:numId w:val="9"/>
        </w:numPr>
        <w:ind w:left="1080"/>
        <w:rPr>
          <w:color w:val="1F1F1F"/>
        </w:rPr>
      </w:pPr>
      <w:r w:rsidRPr="00E20549">
        <w:rPr>
          <w:color w:val="1F1F1F"/>
        </w:rPr>
        <w:t xml:space="preserve">On September 23, 2022, </w:t>
      </w:r>
      <w:proofErr w:type="gramStart"/>
      <w:r w:rsidRPr="00E20549">
        <w:rPr>
          <w:color w:val="1F1F1F"/>
        </w:rPr>
        <w:t>Inspire</w:t>
      </w:r>
      <w:proofErr w:type="gramEnd"/>
      <w:r w:rsidRPr="00E20549">
        <w:rPr>
          <w:color w:val="1F1F1F"/>
        </w:rPr>
        <w:t xml:space="preserve"> </w:t>
      </w:r>
      <w:r w:rsidRPr="00E20549">
        <w:rPr>
          <w:color w:val="1F1F1F"/>
        </w:rPr>
        <w:t>submitted to Staff an initial written response to the Initial PNC Letter.</w:t>
      </w:r>
      <w:r>
        <w:rPr>
          <w:rStyle w:val="FootnoteReference"/>
          <w:color w:val="1F1F1F"/>
        </w:rPr>
        <w:footnoteReference w:id="43"/>
      </w:r>
      <w:r w:rsidRPr="00E20549">
        <w:rPr>
          <w:color w:val="1F1F1F"/>
        </w:rPr>
        <w:t xml:space="preserve"> </w:t>
      </w:r>
    </w:p>
    <w:p w14:paraId="58410EAD" w14:textId="77777777" w:rsidR="00201714" w:rsidRPr="00E20549" w:rsidRDefault="00201714" w:rsidP="00BF3F0E">
      <w:pPr>
        <w:ind w:left="360"/>
        <w:rPr>
          <w:color w:val="1F1F1F"/>
        </w:rPr>
      </w:pPr>
    </w:p>
    <w:p w14:paraId="56F8BB98" w14:textId="09266521" w:rsidR="00201714" w:rsidRPr="00E20549" w:rsidRDefault="00AE52F3" w:rsidP="00BF3F0E">
      <w:pPr>
        <w:pStyle w:val="ListParagraph"/>
        <w:numPr>
          <w:ilvl w:val="0"/>
          <w:numId w:val="9"/>
        </w:numPr>
        <w:ind w:left="1080"/>
        <w:rPr>
          <w:color w:val="1F1F1F"/>
        </w:rPr>
      </w:pPr>
      <w:r w:rsidRPr="00E20549">
        <w:rPr>
          <w:color w:val="1F1F1F"/>
        </w:rPr>
        <w:t>Inspire subsequently provided additional materials to Staff on October 7, 2022.</w:t>
      </w:r>
      <w:r>
        <w:rPr>
          <w:rStyle w:val="FootnoteReference"/>
          <w:color w:val="1F1F1F"/>
        </w:rPr>
        <w:footnoteReference w:id="44"/>
      </w:r>
      <w:r w:rsidRPr="00E20549">
        <w:rPr>
          <w:color w:val="1F1F1F"/>
        </w:rPr>
        <w:t xml:space="preserve"> </w:t>
      </w:r>
    </w:p>
    <w:p w14:paraId="1EC24BCA" w14:textId="77777777" w:rsidR="00201714" w:rsidRPr="00E20549" w:rsidRDefault="00201714" w:rsidP="00BF3F0E">
      <w:pPr>
        <w:ind w:left="360"/>
        <w:rPr>
          <w:color w:val="1F1F1F"/>
        </w:rPr>
      </w:pPr>
    </w:p>
    <w:p w14:paraId="47EFB809" w14:textId="131102C9" w:rsidR="00201714" w:rsidRPr="00E20549" w:rsidRDefault="00AE52F3" w:rsidP="00BF3F0E">
      <w:pPr>
        <w:pStyle w:val="ListParagraph"/>
        <w:numPr>
          <w:ilvl w:val="0"/>
          <w:numId w:val="9"/>
        </w:numPr>
        <w:ind w:left="1080"/>
        <w:rPr>
          <w:color w:val="1F1F1F"/>
        </w:rPr>
      </w:pPr>
      <w:r w:rsidRPr="00E20549">
        <w:rPr>
          <w:color w:val="1F1F1F"/>
        </w:rPr>
        <w:lastRenderedPageBreak/>
        <w:t>During the Parties’ settlement discussions, and in response to certain additional information, Staff issued the Amended PNC Letter on January 17, 2023.</w:t>
      </w:r>
      <w:r>
        <w:rPr>
          <w:rStyle w:val="FootnoteReference"/>
          <w:color w:val="1F1F1F"/>
        </w:rPr>
        <w:footnoteReference w:id="45"/>
      </w:r>
      <w:r w:rsidRPr="00E20549">
        <w:rPr>
          <w:color w:val="1F1F1F"/>
        </w:rPr>
        <w:t xml:space="preserve"> </w:t>
      </w:r>
    </w:p>
    <w:p w14:paraId="2FC82FEE" w14:textId="77777777" w:rsidR="00201714" w:rsidRPr="00E20549" w:rsidRDefault="00201714" w:rsidP="00BF3F0E">
      <w:pPr>
        <w:ind w:left="360"/>
        <w:rPr>
          <w:color w:val="1F1F1F"/>
        </w:rPr>
      </w:pPr>
    </w:p>
    <w:p w14:paraId="60E13429" w14:textId="5692C7FF" w:rsidR="00201714" w:rsidRPr="00E20549" w:rsidRDefault="00AE52F3" w:rsidP="00BF3F0E">
      <w:pPr>
        <w:pStyle w:val="ListParagraph"/>
        <w:numPr>
          <w:ilvl w:val="0"/>
          <w:numId w:val="9"/>
        </w:numPr>
        <w:ind w:left="1080"/>
        <w:rPr>
          <w:color w:val="1F1F1F"/>
        </w:rPr>
      </w:pPr>
      <w:r w:rsidRPr="00E20549">
        <w:rPr>
          <w:color w:val="1F1F1F"/>
        </w:rPr>
        <w:t xml:space="preserve">On January 31, 2023, </w:t>
      </w:r>
      <w:proofErr w:type="gramStart"/>
      <w:r w:rsidRPr="00E20549">
        <w:rPr>
          <w:color w:val="1F1F1F"/>
        </w:rPr>
        <w:t>Inspire</w:t>
      </w:r>
      <w:proofErr w:type="gramEnd"/>
      <w:r w:rsidRPr="00E20549">
        <w:rPr>
          <w:color w:val="1F1F1F"/>
        </w:rPr>
        <w:t xml:space="preserve"> submitted to Staff its written response to the Amended PNC Letter.</w:t>
      </w:r>
      <w:r>
        <w:rPr>
          <w:rStyle w:val="FootnoteReference"/>
          <w:color w:val="1F1F1F"/>
        </w:rPr>
        <w:footnoteReference w:id="46"/>
      </w:r>
      <w:r w:rsidRPr="00E20549">
        <w:rPr>
          <w:color w:val="1F1F1F"/>
        </w:rPr>
        <w:t xml:space="preserve"> </w:t>
      </w:r>
    </w:p>
    <w:p w14:paraId="7FCADD53" w14:textId="77777777" w:rsidR="00201714" w:rsidRPr="00E20549" w:rsidRDefault="00201714" w:rsidP="00BF3F0E">
      <w:pPr>
        <w:ind w:left="360"/>
        <w:rPr>
          <w:color w:val="1F1F1F"/>
        </w:rPr>
      </w:pPr>
    </w:p>
    <w:p w14:paraId="63EB8977" w14:textId="3FBE3572" w:rsidR="00201714" w:rsidRPr="00E20549" w:rsidRDefault="00AE52F3" w:rsidP="00BF3F0E">
      <w:pPr>
        <w:pStyle w:val="ListParagraph"/>
        <w:numPr>
          <w:ilvl w:val="0"/>
          <w:numId w:val="9"/>
        </w:numPr>
        <w:ind w:left="1080"/>
        <w:rPr>
          <w:color w:val="1F1F1F"/>
        </w:rPr>
      </w:pPr>
      <w:r w:rsidRPr="00E20549">
        <w:rPr>
          <w:color w:val="1F1F1F"/>
        </w:rPr>
        <w:t>The Parties met again in person on February 28, 2023, to discuss the Amended PNC Letter.</w:t>
      </w:r>
      <w:r>
        <w:rPr>
          <w:rStyle w:val="FootnoteReference"/>
          <w:color w:val="1F1F1F"/>
        </w:rPr>
        <w:footnoteReference w:id="47"/>
      </w:r>
      <w:r w:rsidRPr="00E20549">
        <w:rPr>
          <w:color w:val="1F1F1F"/>
        </w:rPr>
        <w:t xml:space="preserve"> </w:t>
      </w:r>
    </w:p>
    <w:p w14:paraId="35405388" w14:textId="77777777" w:rsidR="00201714" w:rsidRPr="00E20549" w:rsidRDefault="00201714" w:rsidP="00BF3F0E">
      <w:pPr>
        <w:ind w:left="360"/>
        <w:rPr>
          <w:color w:val="1F1F1F"/>
        </w:rPr>
      </w:pPr>
    </w:p>
    <w:p w14:paraId="012C2AAE" w14:textId="2B12A4E8" w:rsidR="00201714" w:rsidRPr="00E20549" w:rsidRDefault="00AE52F3" w:rsidP="00BF3F0E">
      <w:pPr>
        <w:pStyle w:val="ListParagraph"/>
        <w:numPr>
          <w:ilvl w:val="0"/>
          <w:numId w:val="9"/>
        </w:numPr>
        <w:ind w:left="1080"/>
        <w:rPr>
          <w:color w:val="1F1F1F"/>
        </w:rPr>
      </w:pPr>
      <w:r w:rsidRPr="00E20549">
        <w:rPr>
          <w:color w:val="1F1F1F"/>
        </w:rPr>
        <w:t>Inspire subsequently provided additional materials to Staff on March 8, 2023, and April 7, 2023.</w:t>
      </w:r>
      <w:r>
        <w:rPr>
          <w:rStyle w:val="FootnoteReference"/>
          <w:color w:val="1F1F1F"/>
        </w:rPr>
        <w:footnoteReference w:id="48"/>
      </w:r>
    </w:p>
    <w:p w14:paraId="061B2837" w14:textId="77777777" w:rsidR="00201714" w:rsidRPr="00E20549" w:rsidRDefault="00201714" w:rsidP="00BF3F0E">
      <w:pPr>
        <w:ind w:left="360"/>
        <w:rPr>
          <w:color w:val="1F1F1F"/>
        </w:rPr>
      </w:pPr>
    </w:p>
    <w:p w14:paraId="57912D60" w14:textId="490F3328" w:rsidR="00B7430E" w:rsidRPr="00E20549" w:rsidRDefault="00AE52F3" w:rsidP="00BF3F0E">
      <w:pPr>
        <w:pStyle w:val="ListParagraph"/>
        <w:numPr>
          <w:ilvl w:val="0"/>
          <w:numId w:val="9"/>
        </w:numPr>
        <w:ind w:left="1080"/>
        <w:rPr>
          <w:color w:val="1F1F1F"/>
        </w:rPr>
      </w:pPr>
      <w:r w:rsidRPr="00E20549">
        <w:rPr>
          <w:color w:val="1F1F1F"/>
        </w:rPr>
        <w:t>The Signatory Parties have engaged in settlement negotiations with the understanding that Inspire has already implemented or is in the process of implementing the corrective actions agreed to in this Stipulation, which the Signatory Parties believe resolve all of Staff’s concerns raised in the Amended PNC Letter.</w:t>
      </w:r>
      <w:r>
        <w:rPr>
          <w:rStyle w:val="FootnoteReference"/>
          <w:color w:val="1F1F1F"/>
        </w:rPr>
        <w:footnoteReference w:id="49"/>
      </w:r>
    </w:p>
    <w:p w14:paraId="5E9C9C90" w14:textId="77777777" w:rsidR="00757E2F" w:rsidRPr="00E20549" w:rsidRDefault="00757E2F" w:rsidP="00757E2F">
      <w:pPr>
        <w:rPr>
          <w:color w:val="1F1F1F"/>
        </w:rPr>
      </w:pPr>
    </w:p>
    <w:p w14:paraId="18C0B3C6" w14:textId="564B2EB3" w:rsidR="00183C36" w:rsidRPr="00E20549" w:rsidRDefault="00AE52F3" w:rsidP="00183C36">
      <w:pPr>
        <w:spacing w:line="480" w:lineRule="auto"/>
        <w:ind w:firstLine="720"/>
        <w:rPr>
          <w:color w:val="1F1F1F"/>
          <w:szCs w:val="24"/>
        </w:rPr>
      </w:pPr>
      <w:r w:rsidRPr="00E20549">
        <w:rPr>
          <w:color w:val="1F1F1F"/>
          <w:szCs w:val="24"/>
        </w:rPr>
        <w:t>A year-long clandestine process taints this case. From September 2022 to April 2023, Inspire and PUCO Staff engaged in private discussions and document exchanges concerning alleged violations, culminating in a settlement only filed in September 2023. This secrecy deprived OCC and other potential intervenors of a year's worth of discovery, intervention opportunities, and access to public records – rights guaranteed by R.C. 4901.12.</w:t>
      </w:r>
      <w:r>
        <w:rPr>
          <w:rStyle w:val="FootnoteReference"/>
          <w:color w:val="1F1F1F"/>
          <w:szCs w:val="24"/>
        </w:rPr>
        <w:footnoteReference w:id="50"/>
      </w:r>
    </w:p>
    <w:p w14:paraId="33BD7A30" w14:textId="77777777" w:rsidR="00183C36" w:rsidRPr="00E20549" w:rsidRDefault="00AE52F3" w:rsidP="00183C36">
      <w:pPr>
        <w:spacing w:line="480" w:lineRule="auto"/>
        <w:ind w:firstLine="720"/>
        <w:rPr>
          <w:color w:val="1F1F1F"/>
          <w:szCs w:val="24"/>
        </w:rPr>
      </w:pPr>
      <w:r w:rsidRPr="00E20549">
        <w:rPr>
          <w:color w:val="1F1F1F"/>
          <w:szCs w:val="24"/>
        </w:rPr>
        <w:t xml:space="preserve">R.C. 4901.12 mandates public access to PUCO proceedings and documents. By circumventing this statute, Inspire, Staff, and ultimately the PUCO through its acceptance, erected a wall of secrecy around crucial proceedings. This illegal maneuver </w:t>
      </w:r>
      <w:r w:rsidRPr="00E20549">
        <w:rPr>
          <w:color w:val="1F1F1F"/>
          <w:szCs w:val="24"/>
        </w:rPr>
        <w:lastRenderedPageBreak/>
        <w:t>denied OCC and others the right to participate and scrutinize the case, undermining public trust and violating the very purpose of open government.</w:t>
      </w:r>
    </w:p>
    <w:p w14:paraId="07055ED1" w14:textId="77777777" w:rsidR="00183C36" w:rsidRPr="00E20549" w:rsidRDefault="00AE52F3" w:rsidP="00183C36">
      <w:pPr>
        <w:spacing w:line="480" w:lineRule="auto"/>
        <w:ind w:firstLine="720"/>
        <w:rPr>
          <w:color w:val="1F1F1F"/>
          <w:szCs w:val="24"/>
        </w:rPr>
      </w:pPr>
      <w:r w:rsidRPr="00E20549">
        <w:rPr>
          <w:color w:val="1F1F1F"/>
          <w:szCs w:val="24"/>
        </w:rPr>
        <w:t xml:space="preserve">To remedy this injustice and </w:t>
      </w:r>
      <w:r w:rsidRPr="00E20549">
        <w:rPr>
          <w:color w:val="1F1F1F"/>
          <w:szCs w:val="24"/>
        </w:rPr>
        <w:t>uphold the principles of transparency and fairness, a rehearing is not just warranted – it is imperative. Only through a public and documented process can OCC and the public properly assess the Settlement and ensure a just outcome.</w:t>
      </w:r>
    </w:p>
    <w:p w14:paraId="4D46525F" w14:textId="29B28BE6" w:rsidR="002273B4" w:rsidRPr="00E20549" w:rsidRDefault="00AE52F3" w:rsidP="002273B4">
      <w:pPr>
        <w:pStyle w:val="Heading1"/>
      </w:pPr>
      <w:bookmarkStart w:id="38" w:name="_Toc155969981"/>
      <w:r w:rsidRPr="00E20549">
        <w:t>CONCLUSION</w:t>
      </w:r>
      <w:bookmarkEnd w:id="38"/>
    </w:p>
    <w:p w14:paraId="426668B4" w14:textId="55FBBE7E" w:rsidR="002273B4" w:rsidRPr="00E20549" w:rsidRDefault="00AE52F3" w:rsidP="002273B4">
      <w:pPr>
        <w:spacing w:line="480" w:lineRule="auto"/>
        <w:ind w:firstLine="720"/>
      </w:pPr>
      <w:r w:rsidRPr="00E20549">
        <w:t xml:space="preserve">For the </w:t>
      </w:r>
      <w:r w:rsidRPr="00E20549">
        <w:rPr>
          <w:color w:val="1F1F1F"/>
          <w:szCs w:val="24"/>
        </w:rPr>
        <w:t>reasons</w:t>
      </w:r>
      <w:r w:rsidRPr="00E20549">
        <w:t xml:space="preserve"> explained above, and to protect consumers, the PUCO should grant rehearing to modify the order consistent with OCC’s recommendations. </w:t>
      </w:r>
    </w:p>
    <w:p w14:paraId="2995B3EA" w14:textId="13A750C2" w:rsidR="00B97813" w:rsidRPr="00B012A9" w:rsidRDefault="00AE52F3" w:rsidP="009B4F2E">
      <w:pPr>
        <w:ind w:left="3600" w:firstLine="720"/>
        <w:rPr>
          <w:szCs w:val="24"/>
        </w:rPr>
      </w:pPr>
      <w:r w:rsidRPr="00E20549">
        <w:rPr>
          <w:szCs w:val="24"/>
        </w:rPr>
        <w:t>Respectfully submitted,</w:t>
      </w:r>
    </w:p>
    <w:p w14:paraId="6F23E688" w14:textId="77777777" w:rsidR="00B97813" w:rsidRPr="00B012A9" w:rsidRDefault="00B97813" w:rsidP="00B97813">
      <w:pPr>
        <w:widowControl w:val="0"/>
        <w:ind w:left="3600"/>
        <w:rPr>
          <w:szCs w:val="24"/>
        </w:rPr>
      </w:pPr>
    </w:p>
    <w:p w14:paraId="608D77E5" w14:textId="77777777" w:rsidR="009B4F2E" w:rsidRPr="00204DB6" w:rsidRDefault="00AE52F3" w:rsidP="009B4F2E">
      <w:pPr>
        <w:tabs>
          <w:tab w:val="left" w:pos="2776"/>
        </w:tabs>
        <w:ind w:left="4320" w:right="339"/>
      </w:pPr>
      <w:r w:rsidRPr="00204DB6">
        <w:t>Maureen R. Willis (0020847)</w:t>
      </w:r>
    </w:p>
    <w:p w14:paraId="2E3D84E7" w14:textId="77777777" w:rsidR="009B4F2E" w:rsidRPr="00204DB6" w:rsidRDefault="00AE52F3" w:rsidP="009B4F2E">
      <w:pPr>
        <w:tabs>
          <w:tab w:val="left" w:pos="2776"/>
        </w:tabs>
        <w:ind w:left="4320" w:right="339"/>
      </w:pPr>
      <w:r w:rsidRPr="00204DB6">
        <w:t>Ohio Consumers’ Counsel</w:t>
      </w:r>
    </w:p>
    <w:p w14:paraId="09205D4D" w14:textId="77777777" w:rsidR="009B4F2E" w:rsidRDefault="009B4F2E" w:rsidP="009B4F2E">
      <w:pPr>
        <w:tabs>
          <w:tab w:val="left" w:pos="4320"/>
        </w:tabs>
        <w:ind w:firstLine="4320"/>
        <w:rPr>
          <w:iCs/>
          <w:szCs w:val="24"/>
          <w:u w:val="single"/>
        </w:rPr>
      </w:pPr>
    </w:p>
    <w:p w14:paraId="39A7FC1C" w14:textId="39F57583" w:rsidR="009B4F2E" w:rsidRPr="009B4F2E" w:rsidRDefault="00AE52F3" w:rsidP="009B4F2E">
      <w:pPr>
        <w:tabs>
          <w:tab w:val="left" w:pos="4320"/>
        </w:tabs>
        <w:ind w:firstLine="4320"/>
        <w:rPr>
          <w:i/>
          <w:szCs w:val="24"/>
          <w:u w:val="single"/>
        </w:rPr>
      </w:pPr>
      <w:r w:rsidRPr="009B4F2E">
        <w:rPr>
          <w:i/>
          <w:szCs w:val="24"/>
          <w:u w:val="single"/>
        </w:rPr>
        <w:t>/s/ Robert Eubanks</w:t>
      </w:r>
      <w:r>
        <w:rPr>
          <w:i/>
          <w:szCs w:val="24"/>
          <w:u w:val="single"/>
        </w:rPr>
        <w:tab/>
      </w:r>
    </w:p>
    <w:p w14:paraId="7C7F8D4B" w14:textId="69E60FB5" w:rsidR="009B4F2E" w:rsidRPr="00040BF5" w:rsidRDefault="00AE52F3" w:rsidP="009B4F2E">
      <w:pPr>
        <w:tabs>
          <w:tab w:val="left" w:pos="4320"/>
        </w:tabs>
        <w:ind w:firstLine="4320"/>
        <w:rPr>
          <w:iCs/>
          <w:szCs w:val="24"/>
        </w:rPr>
      </w:pPr>
      <w:r>
        <w:rPr>
          <w:iCs/>
          <w:szCs w:val="24"/>
        </w:rPr>
        <w:t>Robert Eubanks (0073386)</w:t>
      </w:r>
    </w:p>
    <w:p w14:paraId="445C6F41" w14:textId="77777777" w:rsidR="009B4F2E" w:rsidRPr="00040BF5" w:rsidRDefault="00AE52F3" w:rsidP="009B4F2E">
      <w:pPr>
        <w:tabs>
          <w:tab w:val="left" w:pos="4320"/>
        </w:tabs>
        <w:ind w:firstLine="4320"/>
        <w:rPr>
          <w:szCs w:val="24"/>
        </w:rPr>
      </w:pPr>
      <w:r w:rsidRPr="00040BF5">
        <w:rPr>
          <w:szCs w:val="24"/>
        </w:rPr>
        <w:t>Counsel of Record</w:t>
      </w:r>
    </w:p>
    <w:p w14:paraId="2924F7F1" w14:textId="77777777" w:rsidR="009B4F2E" w:rsidRPr="00040BF5" w:rsidRDefault="00AE52F3" w:rsidP="009B4F2E">
      <w:pPr>
        <w:tabs>
          <w:tab w:val="left" w:pos="4320"/>
        </w:tabs>
        <w:ind w:firstLine="4320"/>
        <w:rPr>
          <w:szCs w:val="24"/>
        </w:rPr>
      </w:pPr>
      <w:r>
        <w:rPr>
          <w:szCs w:val="24"/>
        </w:rPr>
        <w:t xml:space="preserve">Donald J. Kral </w:t>
      </w:r>
      <w:r w:rsidRPr="00040BF5">
        <w:rPr>
          <w:szCs w:val="24"/>
        </w:rPr>
        <w:t>(0018689)</w:t>
      </w:r>
    </w:p>
    <w:p w14:paraId="0A489E8A" w14:textId="77777777" w:rsidR="009B4F2E" w:rsidRPr="00040BF5" w:rsidRDefault="00AE52F3" w:rsidP="009B4F2E">
      <w:pPr>
        <w:tabs>
          <w:tab w:val="left" w:pos="4320"/>
        </w:tabs>
        <w:ind w:firstLine="4320"/>
        <w:rPr>
          <w:szCs w:val="24"/>
        </w:rPr>
      </w:pPr>
      <w:r w:rsidRPr="00040BF5">
        <w:rPr>
          <w:szCs w:val="24"/>
        </w:rPr>
        <w:t>Assistant Consumers’ Counsel</w:t>
      </w:r>
    </w:p>
    <w:p w14:paraId="1EF6BA46" w14:textId="77777777" w:rsidR="009B4F2E" w:rsidRPr="00040BF5" w:rsidRDefault="00AE52F3" w:rsidP="009B4F2E">
      <w:r w:rsidRPr="00040BF5">
        <w:tab/>
      </w:r>
    </w:p>
    <w:p w14:paraId="7A54D45C" w14:textId="77777777" w:rsidR="009B4F2E" w:rsidRPr="00E22D36" w:rsidRDefault="00AE52F3" w:rsidP="009B4F2E">
      <w:pPr>
        <w:ind w:left="4320"/>
        <w:rPr>
          <w:b/>
          <w:bCs/>
        </w:rPr>
      </w:pPr>
      <w:r w:rsidRPr="00E22D36">
        <w:rPr>
          <w:b/>
          <w:bCs/>
        </w:rPr>
        <w:t>Office of the Ohio Consumers’ Counsel</w:t>
      </w:r>
    </w:p>
    <w:p w14:paraId="2363D1D2" w14:textId="77777777" w:rsidR="009B4F2E" w:rsidRPr="00040BF5" w:rsidRDefault="00AE52F3" w:rsidP="009B4F2E">
      <w:pPr>
        <w:ind w:left="4320"/>
        <w:rPr>
          <w:b/>
        </w:rPr>
      </w:pPr>
      <w:r w:rsidRPr="00040BF5">
        <w:t>65 East State Street, Suite 700</w:t>
      </w:r>
    </w:p>
    <w:p w14:paraId="47753DA1" w14:textId="77777777" w:rsidR="009B4F2E" w:rsidRPr="00040BF5" w:rsidRDefault="00AE52F3" w:rsidP="009B4F2E">
      <w:pPr>
        <w:ind w:left="4320"/>
        <w:rPr>
          <w:b/>
        </w:rPr>
      </w:pPr>
      <w:r w:rsidRPr="00040BF5">
        <w:t>Columbus, Ohio 43215</w:t>
      </w:r>
    </w:p>
    <w:p w14:paraId="77CA293E" w14:textId="77777777" w:rsidR="009B4F2E" w:rsidRPr="00040BF5" w:rsidRDefault="00AE52F3" w:rsidP="009B4F2E">
      <w:pPr>
        <w:autoSpaceDE w:val="0"/>
        <w:autoSpaceDN w:val="0"/>
        <w:adjustRightInd w:val="0"/>
        <w:ind w:firstLine="4320"/>
        <w:rPr>
          <w:szCs w:val="24"/>
        </w:rPr>
      </w:pPr>
      <w:r w:rsidRPr="00040BF5">
        <w:rPr>
          <w:szCs w:val="24"/>
        </w:rPr>
        <w:t>Telephone [</w:t>
      </w:r>
      <w:r>
        <w:rPr>
          <w:szCs w:val="24"/>
        </w:rPr>
        <w:t>Eubanks</w:t>
      </w:r>
      <w:r w:rsidRPr="00040BF5">
        <w:rPr>
          <w:szCs w:val="24"/>
        </w:rPr>
        <w:t>] (614) 466-</w:t>
      </w:r>
      <w:r>
        <w:rPr>
          <w:szCs w:val="24"/>
        </w:rPr>
        <w:t>1292</w:t>
      </w:r>
    </w:p>
    <w:p w14:paraId="219D34F9" w14:textId="77777777" w:rsidR="009B4F2E" w:rsidRPr="00040BF5" w:rsidRDefault="00AE52F3" w:rsidP="009B4F2E">
      <w:pPr>
        <w:autoSpaceDE w:val="0"/>
        <w:autoSpaceDN w:val="0"/>
        <w:adjustRightInd w:val="0"/>
        <w:ind w:firstLine="4320"/>
        <w:rPr>
          <w:szCs w:val="24"/>
        </w:rPr>
      </w:pPr>
      <w:r w:rsidRPr="00040BF5">
        <w:rPr>
          <w:szCs w:val="24"/>
        </w:rPr>
        <w:t>Telephone [</w:t>
      </w:r>
      <w:r>
        <w:rPr>
          <w:szCs w:val="24"/>
        </w:rPr>
        <w:t>Kral</w:t>
      </w:r>
      <w:r w:rsidRPr="00040BF5">
        <w:rPr>
          <w:szCs w:val="24"/>
        </w:rPr>
        <w:t>] (614) 466-</w:t>
      </w:r>
      <w:r>
        <w:rPr>
          <w:szCs w:val="24"/>
        </w:rPr>
        <w:t>9571</w:t>
      </w:r>
    </w:p>
    <w:p w14:paraId="2705FB44" w14:textId="77777777" w:rsidR="009B4F2E" w:rsidRPr="00040BF5" w:rsidRDefault="00AE52F3" w:rsidP="009B4F2E">
      <w:pPr>
        <w:autoSpaceDE w:val="0"/>
        <w:autoSpaceDN w:val="0"/>
        <w:adjustRightInd w:val="0"/>
        <w:ind w:firstLine="4320"/>
        <w:rPr>
          <w:szCs w:val="24"/>
        </w:rPr>
      </w:pPr>
      <w:hyperlink r:id="rId19" w:history="1">
        <w:r w:rsidR="001A20EB" w:rsidRPr="006F2B11">
          <w:rPr>
            <w:rStyle w:val="Hyperlink"/>
            <w:szCs w:val="24"/>
          </w:rPr>
          <w:t>robert.eubanks@occ.ohio.gov</w:t>
        </w:r>
      </w:hyperlink>
    </w:p>
    <w:p w14:paraId="2B852C22" w14:textId="77777777" w:rsidR="009B4F2E" w:rsidRPr="00040BF5" w:rsidRDefault="00AE52F3" w:rsidP="009B4F2E">
      <w:pPr>
        <w:autoSpaceDE w:val="0"/>
        <w:autoSpaceDN w:val="0"/>
        <w:adjustRightInd w:val="0"/>
        <w:ind w:firstLine="4320"/>
        <w:rPr>
          <w:szCs w:val="24"/>
        </w:rPr>
      </w:pPr>
      <w:hyperlink r:id="rId20" w:history="1">
        <w:r w:rsidR="001A20EB" w:rsidRPr="006F2B11">
          <w:rPr>
            <w:rStyle w:val="Hyperlink"/>
            <w:szCs w:val="24"/>
          </w:rPr>
          <w:t>donald.kral@occ.ohio.gov</w:t>
        </w:r>
      </w:hyperlink>
    </w:p>
    <w:p w14:paraId="2EFAD252" w14:textId="77777777" w:rsidR="009B4F2E" w:rsidRPr="00040BF5" w:rsidRDefault="00AE52F3" w:rsidP="009B4F2E">
      <w:pPr>
        <w:ind w:firstLine="4320"/>
        <w:rPr>
          <w:szCs w:val="24"/>
        </w:rPr>
      </w:pPr>
      <w:r w:rsidRPr="00040BF5">
        <w:rPr>
          <w:szCs w:val="24"/>
        </w:rPr>
        <w:t>(willing to accept service by e-mail)</w:t>
      </w:r>
    </w:p>
    <w:p w14:paraId="57293913" w14:textId="6E08BED2" w:rsidR="00CB5D16" w:rsidRPr="00B012A9" w:rsidRDefault="00AE52F3" w:rsidP="00B97813">
      <w:pPr>
        <w:ind w:left="3870"/>
        <w:rPr>
          <w:b/>
          <w:bCs/>
          <w:szCs w:val="24"/>
          <w:u w:val="single"/>
        </w:rPr>
      </w:pPr>
      <w:r w:rsidRPr="00B012A9">
        <w:rPr>
          <w:b/>
          <w:bCs/>
          <w:szCs w:val="24"/>
          <w:u w:val="single"/>
        </w:rPr>
        <w:br w:type="page"/>
      </w:r>
    </w:p>
    <w:p w14:paraId="637F8051" w14:textId="77777777" w:rsidR="00CD2C14" w:rsidRPr="00B012A9" w:rsidRDefault="00AE52F3" w:rsidP="00423DF6">
      <w:pPr>
        <w:pStyle w:val="ANSWER"/>
        <w:suppressLineNumbers/>
        <w:ind w:left="720"/>
        <w:jc w:val="center"/>
        <w:rPr>
          <w:b/>
          <w:szCs w:val="24"/>
          <w:u w:val="single"/>
        </w:rPr>
      </w:pPr>
      <w:r w:rsidRPr="00B012A9">
        <w:rPr>
          <w:b/>
          <w:szCs w:val="24"/>
          <w:u w:val="single"/>
        </w:rPr>
        <w:lastRenderedPageBreak/>
        <w:t>CERTIFICATE OF SERVICE</w:t>
      </w:r>
    </w:p>
    <w:p w14:paraId="6B6DF330" w14:textId="7A9362BD" w:rsidR="00CD2C14" w:rsidRPr="00B012A9" w:rsidRDefault="00AE52F3" w:rsidP="00423DF6">
      <w:pPr>
        <w:spacing w:line="480" w:lineRule="auto"/>
        <w:ind w:firstLine="720"/>
        <w:rPr>
          <w:szCs w:val="24"/>
        </w:rPr>
      </w:pPr>
      <w:r w:rsidRPr="00B012A9">
        <w:rPr>
          <w:szCs w:val="24"/>
        </w:rPr>
        <w:t xml:space="preserve">I hereby certify that a copy of this </w:t>
      </w:r>
      <w:r w:rsidR="003F1B06">
        <w:rPr>
          <w:szCs w:val="24"/>
        </w:rPr>
        <w:t>Application for Rehearing</w:t>
      </w:r>
      <w:r w:rsidRPr="00B012A9">
        <w:rPr>
          <w:szCs w:val="24"/>
        </w:rPr>
        <w:t xml:space="preserve"> was served on the persons stated below via electronic transmission, this </w:t>
      </w:r>
      <w:r w:rsidR="006E07E0">
        <w:rPr>
          <w:szCs w:val="24"/>
        </w:rPr>
        <w:t>1</w:t>
      </w:r>
      <w:r w:rsidR="005A0A1B">
        <w:rPr>
          <w:szCs w:val="24"/>
        </w:rPr>
        <w:t>2th</w:t>
      </w:r>
      <w:r w:rsidR="006E07E0">
        <w:rPr>
          <w:szCs w:val="24"/>
        </w:rPr>
        <w:t xml:space="preserve"> </w:t>
      </w:r>
      <w:r w:rsidRPr="00B012A9">
        <w:rPr>
          <w:szCs w:val="24"/>
        </w:rPr>
        <w:t xml:space="preserve">day of </w:t>
      </w:r>
      <w:r w:rsidR="006E07E0">
        <w:rPr>
          <w:szCs w:val="24"/>
        </w:rPr>
        <w:t>J</w:t>
      </w:r>
      <w:r w:rsidR="005A0A1B">
        <w:rPr>
          <w:szCs w:val="24"/>
        </w:rPr>
        <w:t>anuary</w:t>
      </w:r>
      <w:r w:rsidR="006E07E0">
        <w:rPr>
          <w:szCs w:val="24"/>
        </w:rPr>
        <w:t xml:space="preserve"> </w:t>
      </w:r>
      <w:r w:rsidR="00D76819" w:rsidRPr="00B012A9">
        <w:rPr>
          <w:szCs w:val="24"/>
        </w:rPr>
        <w:t>202</w:t>
      </w:r>
      <w:r w:rsidR="005A0A1B">
        <w:rPr>
          <w:szCs w:val="24"/>
        </w:rPr>
        <w:t>4</w:t>
      </w:r>
      <w:r w:rsidRPr="00B012A9">
        <w:rPr>
          <w:szCs w:val="24"/>
        </w:rPr>
        <w:t>.</w:t>
      </w:r>
    </w:p>
    <w:p w14:paraId="741774D1" w14:textId="14D39EED" w:rsidR="00CD2C14" w:rsidRPr="00B012A9" w:rsidRDefault="00AE52F3" w:rsidP="00CD2C14">
      <w:pPr>
        <w:suppressLineNumbers/>
        <w:tabs>
          <w:tab w:val="left" w:pos="4320"/>
        </w:tabs>
        <w:rPr>
          <w:i/>
          <w:szCs w:val="24"/>
          <w:u w:val="single"/>
        </w:rPr>
      </w:pPr>
      <w:r w:rsidRPr="00B012A9">
        <w:rPr>
          <w:i/>
          <w:szCs w:val="24"/>
        </w:rPr>
        <w:tab/>
      </w:r>
      <w:r w:rsidRPr="00B012A9">
        <w:rPr>
          <w:i/>
          <w:szCs w:val="24"/>
          <w:u w:val="single"/>
        </w:rPr>
        <w:t xml:space="preserve">/s/ </w:t>
      </w:r>
      <w:r w:rsidR="005A0A1B">
        <w:rPr>
          <w:i/>
          <w:szCs w:val="24"/>
          <w:u w:val="single"/>
        </w:rPr>
        <w:t>Robert Eubanks</w:t>
      </w:r>
      <w:r w:rsidR="005A0A1B">
        <w:rPr>
          <w:i/>
          <w:szCs w:val="24"/>
          <w:u w:val="single"/>
        </w:rPr>
        <w:tab/>
      </w:r>
      <w:r w:rsidRPr="00B012A9">
        <w:rPr>
          <w:i/>
          <w:szCs w:val="24"/>
          <w:u w:val="single"/>
        </w:rPr>
        <w:tab/>
      </w:r>
    </w:p>
    <w:p w14:paraId="42E963D9" w14:textId="75E02882" w:rsidR="00CD2C14" w:rsidRPr="00B012A9" w:rsidRDefault="00AE52F3" w:rsidP="00CD2C14">
      <w:pPr>
        <w:suppressLineNumbers/>
        <w:tabs>
          <w:tab w:val="left" w:pos="4320"/>
        </w:tabs>
        <w:rPr>
          <w:szCs w:val="24"/>
        </w:rPr>
      </w:pPr>
      <w:r w:rsidRPr="00B012A9">
        <w:rPr>
          <w:szCs w:val="24"/>
        </w:rPr>
        <w:tab/>
      </w:r>
      <w:r w:rsidR="005A0A1B">
        <w:rPr>
          <w:szCs w:val="24"/>
        </w:rPr>
        <w:t>Robert Eubanks</w:t>
      </w:r>
    </w:p>
    <w:p w14:paraId="67DD9C55" w14:textId="115C3F87" w:rsidR="00CD2C14" w:rsidRDefault="00AE52F3" w:rsidP="00001D4B">
      <w:pPr>
        <w:suppressLineNumbers/>
        <w:tabs>
          <w:tab w:val="left" w:pos="4320"/>
        </w:tabs>
        <w:rPr>
          <w:szCs w:val="24"/>
        </w:rPr>
      </w:pPr>
      <w:r w:rsidRPr="00B012A9">
        <w:rPr>
          <w:szCs w:val="24"/>
        </w:rPr>
        <w:tab/>
        <w:t xml:space="preserve">Assistant Consumers’ </w:t>
      </w:r>
      <w:r w:rsidRPr="00B012A9">
        <w:rPr>
          <w:szCs w:val="24"/>
        </w:rPr>
        <w:t>Counsel</w:t>
      </w:r>
    </w:p>
    <w:p w14:paraId="1AFDD75E" w14:textId="77777777" w:rsidR="00001D4B" w:rsidRPr="00B012A9" w:rsidRDefault="00001D4B" w:rsidP="00001D4B">
      <w:pPr>
        <w:suppressLineNumbers/>
        <w:tabs>
          <w:tab w:val="left" w:pos="4320"/>
        </w:tabs>
        <w:rPr>
          <w:szCs w:val="24"/>
        </w:rPr>
      </w:pPr>
    </w:p>
    <w:p w14:paraId="3E70E495" w14:textId="77777777" w:rsidR="006B5EC6" w:rsidRPr="00B012A9" w:rsidRDefault="00AE52F3" w:rsidP="006B5EC6">
      <w:pPr>
        <w:rPr>
          <w:szCs w:val="24"/>
        </w:rPr>
      </w:pPr>
      <w:r w:rsidRPr="00B012A9">
        <w:rPr>
          <w:szCs w:val="24"/>
        </w:rPr>
        <w:t>The PUCO’s e-filing system will electronically serve notice of the filing of this document on the following parties:</w:t>
      </w:r>
    </w:p>
    <w:p w14:paraId="0BFE0AF6" w14:textId="77777777" w:rsidR="006B5EC6" w:rsidRPr="00B012A9" w:rsidRDefault="006B5EC6" w:rsidP="006B5EC6">
      <w:pPr>
        <w:pStyle w:val="CommentText"/>
        <w:jc w:val="center"/>
        <w:rPr>
          <w:b/>
          <w:u w:val="single"/>
        </w:rPr>
      </w:pPr>
    </w:p>
    <w:p w14:paraId="2BF7493F" w14:textId="77777777" w:rsidR="006B5EC6" w:rsidRPr="00B012A9" w:rsidRDefault="00AE52F3" w:rsidP="006B5EC6">
      <w:pPr>
        <w:pStyle w:val="CommentText"/>
        <w:jc w:val="center"/>
        <w:rPr>
          <w:b/>
          <w:u w:val="single"/>
        </w:rPr>
      </w:pPr>
      <w:r w:rsidRPr="00B012A9">
        <w:rPr>
          <w:b/>
          <w:u w:val="single"/>
        </w:rPr>
        <w:t>SERVICE LIST</w:t>
      </w:r>
    </w:p>
    <w:p w14:paraId="4EDA9DC6" w14:textId="77777777" w:rsidR="006B5EC6" w:rsidRPr="00B012A9" w:rsidRDefault="006B5EC6" w:rsidP="006B5EC6">
      <w:pPr>
        <w:pStyle w:val="BodyText"/>
        <w:rPr>
          <w:b/>
          <w:bCs/>
          <w:szCs w:val="24"/>
        </w:rPr>
      </w:pPr>
    </w:p>
    <w:tbl>
      <w:tblPr>
        <w:tblW w:w="0" w:type="auto"/>
        <w:tblLook w:val="04A0" w:firstRow="1" w:lastRow="0" w:firstColumn="1" w:lastColumn="0" w:noHBand="0" w:noVBand="1"/>
      </w:tblPr>
      <w:tblGrid>
        <w:gridCol w:w="4317"/>
        <w:gridCol w:w="4317"/>
      </w:tblGrid>
      <w:tr w:rsidR="00052045" w14:paraId="54EC23DD" w14:textId="77777777" w:rsidTr="00EC42D8">
        <w:trPr>
          <w:trHeight w:val="1953"/>
        </w:trPr>
        <w:tc>
          <w:tcPr>
            <w:tcW w:w="4317" w:type="dxa"/>
            <w:shd w:val="clear" w:color="auto" w:fill="auto"/>
          </w:tcPr>
          <w:p w14:paraId="791FD089" w14:textId="77777777" w:rsidR="005A0A1B" w:rsidRDefault="00AE52F3" w:rsidP="00EC42D8">
            <w:pPr>
              <w:pStyle w:val="CommentText"/>
              <w:rPr>
                <w:rStyle w:val="Hyperlink"/>
              </w:rPr>
            </w:pPr>
            <w:hyperlink r:id="rId21" w:history="1">
              <w:r w:rsidR="001A20EB" w:rsidRPr="006F2B11">
                <w:rPr>
                  <w:rStyle w:val="Hyperlink"/>
                </w:rPr>
                <w:t>rhiannon.howard@ohioAGO.gov</w:t>
              </w:r>
            </w:hyperlink>
          </w:p>
          <w:p w14:paraId="576C712A" w14:textId="70654ACD" w:rsidR="00366A55" w:rsidRDefault="00AE52F3" w:rsidP="00EC42D8">
            <w:pPr>
              <w:pStyle w:val="CommentText"/>
            </w:pPr>
            <w:r>
              <w:rPr>
                <w:rStyle w:val="Hyperlink"/>
              </w:rPr>
              <w:t>shaun.lyons@ohioAGO.gov</w:t>
            </w:r>
          </w:p>
          <w:p w14:paraId="36594430" w14:textId="77777777" w:rsidR="005A0A1B" w:rsidRDefault="005A0A1B" w:rsidP="00EC42D8">
            <w:pPr>
              <w:pStyle w:val="CommentText"/>
            </w:pPr>
          </w:p>
          <w:p w14:paraId="1999BE28" w14:textId="77777777" w:rsidR="005A0A1B" w:rsidRDefault="005A0A1B" w:rsidP="00EC42D8">
            <w:pPr>
              <w:pStyle w:val="CommentText"/>
            </w:pPr>
          </w:p>
          <w:p w14:paraId="3A20BA68" w14:textId="77777777" w:rsidR="005A0A1B" w:rsidRPr="00040BF5" w:rsidRDefault="00AE52F3" w:rsidP="00EC42D8">
            <w:pPr>
              <w:pStyle w:val="CommentText"/>
            </w:pPr>
            <w:r w:rsidRPr="00040BF5">
              <w:t>Attorney Examiner:</w:t>
            </w:r>
          </w:p>
          <w:p w14:paraId="243D564F" w14:textId="59B8EAF1" w:rsidR="005A0A1B" w:rsidRDefault="00AE52F3" w:rsidP="00EC42D8">
            <w:pPr>
              <w:pStyle w:val="CommentText"/>
            </w:pPr>
            <w:hyperlink r:id="rId22" w:history="1">
              <w:r w:rsidR="00366A55" w:rsidRPr="00041190">
                <w:rPr>
                  <w:rStyle w:val="Hyperlink"/>
                </w:rPr>
                <w:t>Isabel.marcelletti@puco.ohio.gov</w:t>
              </w:r>
            </w:hyperlink>
          </w:p>
          <w:p w14:paraId="149BF243" w14:textId="092B4A6D" w:rsidR="00366A55" w:rsidRPr="00040BF5" w:rsidRDefault="00366A55" w:rsidP="00EC42D8">
            <w:pPr>
              <w:pStyle w:val="CommentText"/>
            </w:pPr>
          </w:p>
        </w:tc>
        <w:tc>
          <w:tcPr>
            <w:tcW w:w="4317" w:type="dxa"/>
          </w:tcPr>
          <w:p w14:paraId="3DA9BCF2" w14:textId="77777777" w:rsidR="005A0A1B" w:rsidRDefault="00AE52F3" w:rsidP="00EC42D8">
            <w:pPr>
              <w:pStyle w:val="CommentText"/>
              <w:rPr>
                <w:color w:val="0000FF"/>
              </w:rPr>
            </w:pPr>
            <w:hyperlink r:id="rId23" w:history="1">
              <w:r w:rsidR="001A20EB" w:rsidRPr="006F2B11">
                <w:rPr>
                  <w:rStyle w:val="Hyperlink"/>
                </w:rPr>
                <w:t>help@inspirecleanenergy.com</w:t>
              </w:r>
            </w:hyperlink>
          </w:p>
          <w:p w14:paraId="33C26A21" w14:textId="77777777" w:rsidR="005A0A1B" w:rsidRDefault="00AE52F3" w:rsidP="00EC42D8">
            <w:pPr>
              <w:pStyle w:val="CommentText"/>
              <w:rPr>
                <w:color w:val="0000FF"/>
              </w:rPr>
            </w:pPr>
            <w:hyperlink r:id="rId24" w:history="1">
              <w:r w:rsidR="001A20EB" w:rsidRPr="006F2B11">
                <w:rPr>
                  <w:rStyle w:val="Hyperlink"/>
                </w:rPr>
                <w:t>jlang@calfee.com</w:t>
              </w:r>
            </w:hyperlink>
          </w:p>
          <w:p w14:paraId="608D138A" w14:textId="505760E6" w:rsidR="005A0A1B" w:rsidRDefault="00AE52F3" w:rsidP="00EC42D8">
            <w:pPr>
              <w:pStyle w:val="CommentText"/>
            </w:pPr>
            <w:hyperlink r:id="rId25" w:history="1">
              <w:r w:rsidR="00366A55" w:rsidRPr="00041190">
                <w:rPr>
                  <w:rStyle w:val="Hyperlink"/>
                </w:rPr>
                <w:t>mpritchard@mcneeslaw.com</w:t>
              </w:r>
            </w:hyperlink>
          </w:p>
          <w:p w14:paraId="73E23A4B" w14:textId="55149CA0" w:rsidR="00366A55" w:rsidRDefault="00AE52F3" w:rsidP="00EC42D8">
            <w:pPr>
              <w:pStyle w:val="CommentText"/>
            </w:pPr>
            <w:hyperlink r:id="rId26" w:history="1">
              <w:r w:rsidR="001A20EB" w:rsidRPr="00041190">
                <w:rPr>
                  <w:rStyle w:val="Hyperlink"/>
                </w:rPr>
                <w:t>awalke@mcneeslaw.com</w:t>
              </w:r>
            </w:hyperlink>
          </w:p>
          <w:p w14:paraId="446E4223" w14:textId="69869FD3" w:rsidR="00366A55" w:rsidRDefault="00366A55" w:rsidP="00EC42D8">
            <w:pPr>
              <w:pStyle w:val="CommentText"/>
              <w:rPr>
                <w:color w:val="0000FF"/>
              </w:rPr>
            </w:pPr>
          </w:p>
        </w:tc>
      </w:tr>
    </w:tbl>
    <w:p w14:paraId="72AC3DF8" w14:textId="77777777" w:rsidR="00D4185C" w:rsidRPr="00B012A9" w:rsidRDefault="00D4185C" w:rsidP="006B5EC6">
      <w:pPr>
        <w:rPr>
          <w:b/>
          <w:bCs/>
          <w:szCs w:val="24"/>
        </w:rPr>
      </w:pPr>
    </w:p>
    <w:sectPr w:rsidR="00D4185C" w:rsidRPr="00B012A9" w:rsidSect="0016309F">
      <w:footerReference w:type="first" r:id="rId27"/>
      <w:pgSz w:w="12240" w:h="15840"/>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3080C" w14:textId="77777777" w:rsidR="00AE52F3" w:rsidRDefault="00AE52F3">
      <w:r>
        <w:separator/>
      </w:r>
    </w:p>
  </w:endnote>
  <w:endnote w:type="continuationSeparator" w:id="0">
    <w:p w14:paraId="3B85F7CC" w14:textId="77777777" w:rsidR="00AE52F3" w:rsidRDefault="00AE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Grande">
    <w:altName w:val="Calibri"/>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BC7B" w14:textId="77777777" w:rsidR="0029315B" w:rsidRDefault="00293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423575"/>
      <w:docPartObj>
        <w:docPartGallery w:val="Page Numbers (Bottom of Page)"/>
        <w:docPartUnique/>
      </w:docPartObj>
    </w:sdtPr>
    <w:sdtEndPr>
      <w:rPr>
        <w:noProof/>
        <w:sz w:val="24"/>
        <w:szCs w:val="24"/>
      </w:rPr>
    </w:sdtEndPr>
    <w:sdtContent>
      <w:p w14:paraId="37F00936" w14:textId="77777777" w:rsidR="00160662" w:rsidRPr="002644BF" w:rsidRDefault="00AE52F3">
        <w:pPr>
          <w:pStyle w:val="Footer"/>
          <w:jc w:val="center"/>
          <w:rPr>
            <w:sz w:val="24"/>
            <w:szCs w:val="24"/>
          </w:rPr>
        </w:pPr>
        <w:r w:rsidRPr="002644BF">
          <w:rPr>
            <w:sz w:val="24"/>
            <w:szCs w:val="24"/>
          </w:rPr>
          <w:fldChar w:fldCharType="begin"/>
        </w:r>
        <w:r w:rsidRPr="002644BF">
          <w:rPr>
            <w:sz w:val="24"/>
            <w:szCs w:val="24"/>
          </w:rPr>
          <w:instrText xml:space="preserve"> PAGE   \* MERGEFORMAT </w:instrText>
        </w:r>
        <w:r w:rsidRPr="002644BF">
          <w:rPr>
            <w:sz w:val="24"/>
            <w:szCs w:val="24"/>
          </w:rPr>
          <w:fldChar w:fldCharType="separate"/>
        </w:r>
        <w:r w:rsidRPr="002644BF">
          <w:rPr>
            <w:noProof/>
            <w:sz w:val="24"/>
            <w:szCs w:val="24"/>
          </w:rPr>
          <w:t>2</w:t>
        </w:r>
        <w:r w:rsidRPr="002644BF">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C451" w14:textId="73656EDC" w:rsidR="00732F30" w:rsidRPr="00732F30" w:rsidRDefault="00732F30">
    <w:pPr>
      <w:pStyle w:val="Footer"/>
      <w:jc w:val="cen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649575"/>
      <w:docPartObj>
        <w:docPartGallery w:val="Page Numbers (Bottom of Page)"/>
        <w:docPartUnique/>
      </w:docPartObj>
    </w:sdtPr>
    <w:sdtEndPr>
      <w:rPr>
        <w:noProof/>
        <w:sz w:val="24"/>
        <w:szCs w:val="24"/>
      </w:rPr>
    </w:sdtEndPr>
    <w:sdtContent>
      <w:p w14:paraId="2C9E5A01" w14:textId="6E674566" w:rsidR="00DA582E" w:rsidRPr="00DA582E" w:rsidRDefault="00AE52F3">
        <w:pPr>
          <w:pStyle w:val="Footer"/>
          <w:jc w:val="center"/>
          <w:rPr>
            <w:sz w:val="24"/>
            <w:szCs w:val="24"/>
          </w:rPr>
        </w:pPr>
        <w:r w:rsidRPr="00DA582E">
          <w:rPr>
            <w:sz w:val="24"/>
            <w:szCs w:val="24"/>
          </w:rPr>
          <w:fldChar w:fldCharType="begin"/>
        </w:r>
        <w:r w:rsidRPr="00DA582E">
          <w:rPr>
            <w:sz w:val="24"/>
            <w:szCs w:val="24"/>
          </w:rPr>
          <w:instrText xml:space="preserve"> PAGE   \* MERGEFORMAT </w:instrText>
        </w:r>
        <w:r w:rsidRPr="00DA582E">
          <w:rPr>
            <w:sz w:val="24"/>
            <w:szCs w:val="24"/>
          </w:rPr>
          <w:fldChar w:fldCharType="separate"/>
        </w:r>
        <w:r w:rsidRPr="00DA582E">
          <w:rPr>
            <w:noProof/>
            <w:sz w:val="24"/>
            <w:szCs w:val="24"/>
          </w:rPr>
          <w:t>2</w:t>
        </w:r>
        <w:r w:rsidRPr="00DA582E">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250831"/>
      <w:docPartObj>
        <w:docPartGallery w:val="Page Numbers (Bottom of Page)"/>
        <w:docPartUnique/>
      </w:docPartObj>
    </w:sdtPr>
    <w:sdtEndPr>
      <w:rPr>
        <w:noProof/>
        <w:sz w:val="24"/>
        <w:szCs w:val="24"/>
      </w:rPr>
    </w:sdtEndPr>
    <w:sdtContent>
      <w:p w14:paraId="13E4B3CD" w14:textId="700680A5" w:rsidR="002665B0" w:rsidRPr="002644BF" w:rsidRDefault="00AE52F3">
        <w:pPr>
          <w:pStyle w:val="Footer"/>
          <w:jc w:val="center"/>
          <w:rPr>
            <w:sz w:val="24"/>
            <w:szCs w:val="24"/>
          </w:rPr>
        </w:pPr>
        <w:r w:rsidRPr="002644BF">
          <w:rPr>
            <w:sz w:val="24"/>
            <w:szCs w:val="24"/>
          </w:rPr>
          <w:fldChar w:fldCharType="begin"/>
        </w:r>
        <w:r w:rsidRPr="002644BF">
          <w:rPr>
            <w:sz w:val="24"/>
            <w:szCs w:val="24"/>
          </w:rPr>
          <w:instrText xml:space="preserve"> PAGE   \* MERGEFORMAT </w:instrText>
        </w:r>
        <w:r w:rsidRPr="002644BF">
          <w:rPr>
            <w:sz w:val="24"/>
            <w:szCs w:val="24"/>
          </w:rPr>
          <w:fldChar w:fldCharType="separate"/>
        </w:r>
        <w:r w:rsidRPr="002644BF">
          <w:rPr>
            <w:noProof/>
            <w:sz w:val="24"/>
            <w:szCs w:val="24"/>
          </w:rPr>
          <w:t>2</w:t>
        </w:r>
        <w:r w:rsidRPr="002644BF">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5A6B5" w14:textId="77777777" w:rsidR="0016309F" w:rsidRDefault="00AE52F3">
      <w:r>
        <w:separator/>
      </w:r>
    </w:p>
  </w:footnote>
  <w:footnote w:type="continuationSeparator" w:id="0">
    <w:p w14:paraId="6025A724" w14:textId="77777777" w:rsidR="0016309F" w:rsidRDefault="00AE52F3">
      <w:r>
        <w:continuationSeparator/>
      </w:r>
    </w:p>
  </w:footnote>
  <w:footnote w:id="1">
    <w:p w14:paraId="6192676C" w14:textId="0EB9BD6D" w:rsidR="00C55606" w:rsidRDefault="00AE52F3" w:rsidP="00C55606">
      <w:pPr>
        <w:pStyle w:val="FootnoteText"/>
      </w:pPr>
      <w:r>
        <w:rPr>
          <w:rStyle w:val="FootnoteReference"/>
        </w:rPr>
        <w:footnoteRef/>
      </w:r>
      <w:r>
        <w:t xml:space="preserve"> </w:t>
      </w:r>
      <w:r w:rsidRPr="00617B9B">
        <w:rPr>
          <w:i/>
          <w:iCs/>
        </w:rPr>
        <w:t>Ohio Consumers' Counsel v. PUC</w:t>
      </w:r>
      <w:r w:rsidRPr="00617B9B">
        <w:t xml:space="preserve">, 111 Ohio St.3d 384, </w:t>
      </w:r>
      <w:r w:rsidRPr="00617B9B">
        <w:t>2006-Ohio-5853, 856 N.E.2d 940</w:t>
      </w:r>
      <w:r w:rsidR="002073BB">
        <w:t>.</w:t>
      </w:r>
    </w:p>
  </w:footnote>
  <w:footnote w:id="2">
    <w:p w14:paraId="37193311" w14:textId="36458CFE" w:rsidR="00347752" w:rsidRDefault="00AE52F3">
      <w:pPr>
        <w:pStyle w:val="FootnoteText"/>
      </w:pPr>
      <w:r>
        <w:rPr>
          <w:rStyle w:val="FootnoteReference"/>
        </w:rPr>
        <w:footnoteRef/>
      </w:r>
      <w:r>
        <w:t xml:space="preserve"> </w:t>
      </w:r>
      <w:r w:rsidR="00495B4C">
        <w:t>Stipulation (Exhibit A) at p. 2.</w:t>
      </w:r>
    </w:p>
  </w:footnote>
  <w:footnote w:id="3">
    <w:p w14:paraId="1271817C" w14:textId="5804D474" w:rsidR="001B6135" w:rsidRDefault="00AE52F3" w:rsidP="005025AC">
      <w:pPr>
        <w:pStyle w:val="FootnoteText"/>
        <w:spacing w:after="120"/>
      </w:pPr>
      <w:r>
        <w:rPr>
          <w:rStyle w:val="FootnoteReference"/>
        </w:rPr>
        <w:footnoteRef/>
      </w:r>
      <w:r>
        <w:t xml:space="preserve"> </w:t>
      </w:r>
      <w:bookmarkStart w:id="7" w:name="_Hlk155949653"/>
      <w:r w:rsidRPr="00617B9B">
        <w:rPr>
          <w:i/>
          <w:iCs/>
        </w:rPr>
        <w:t>Ohio Consumers' Counsel v. PUC</w:t>
      </w:r>
      <w:r w:rsidRPr="00617B9B">
        <w:t>, 111 Ohio St.3d 384, 2006-Ohio-5853, 856 N.E.2d 940</w:t>
      </w:r>
      <w:bookmarkEnd w:id="7"/>
      <w:r w:rsidR="005025AC">
        <w:t>.</w:t>
      </w:r>
    </w:p>
  </w:footnote>
  <w:footnote w:id="4">
    <w:p w14:paraId="6DAEAE20" w14:textId="68DD08D1" w:rsidR="006C50E9" w:rsidRDefault="00AE52F3" w:rsidP="006C50E9">
      <w:pPr>
        <w:pStyle w:val="FootnoteText"/>
        <w:spacing w:after="120"/>
      </w:pPr>
      <w:r>
        <w:rPr>
          <w:rStyle w:val="FootnoteReference"/>
        </w:rPr>
        <w:footnoteRef/>
      </w:r>
      <w:r>
        <w:t xml:space="preserve"> </w:t>
      </w:r>
      <w:r w:rsidRPr="002E5CB9">
        <w:rPr>
          <w:i/>
          <w:iCs/>
        </w:rPr>
        <w:t>In the Matter of Inspire Energy Holdings, LLC</w:t>
      </w:r>
      <w:r>
        <w:t>, Case No. 23-720-GE-UNC, Finding and Order (</w:t>
      </w:r>
      <w:r w:rsidRPr="002E5CB9">
        <w:t>December 13, 2023</w:t>
      </w:r>
      <w:r>
        <w:t xml:space="preserve">) at </w:t>
      </w:r>
      <w:r w:rsidR="007C3234">
        <w:t>p. 7.</w:t>
      </w:r>
    </w:p>
  </w:footnote>
  <w:footnote w:id="5">
    <w:p w14:paraId="6988E324" w14:textId="1570BFA4" w:rsidR="00541BCD" w:rsidRDefault="00AE52F3" w:rsidP="005025AC">
      <w:pPr>
        <w:pStyle w:val="FootnoteText"/>
        <w:spacing w:after="120"/>
      </w:pPr>
      <w:r>
        <w:rPr>
          <w:rStyle w:val="FootnoteReference"/>
        </w:rPr>
        <w:footnoteRef/>
      </w:r>
      <w:r>
        <w:t xml:space="preserve"> </w:t>
      </w:r>
      <w:r w:rsidRPr="00541BCD">
        <w:rPr>
          <w:i/>
          <w:iCs/>
        </w:rPr>
        <w:t>Ohio Consumers' Counsel v. PUC</w:t>
      </w:r>
      <w:r w:rsidRPr="00541BCD">
        <w:t>, 111 Ohio St.3d 384, 2006-Ohio-5853, 856 N.E.2d 940</w:t>
      </w:r>
      <w:r w:rsidR="005025AC">
        <w:t>.</w:t>
      </w:r>
    </w:p>
  </w:footnote>
  <w:footnote w:id="6">
    <w:p w14:paraId="0E414B35" w14:textId="28556011" w:rsidR="00541BCD" w:rsidRPr="00541BCD" w:rsidRDefault="00AE52F3" w:rsidP="005025AC">
      <w:pPr>
        <w:pStyle w:val="FootnoteText"/>
        <w:spacing w:after="120"/>
      </w:pPr>
      <w:r>
        <w:rPr>
          <w:rStyle w:val="FootnoteReference"/>
        </w:rPr>
        <w:footnoteRef/>
      </w:r>
      <w:r>
        <w:t xml:space="preserve"> </w:t>
      </w:r>
      <w:r w:rsidRPr="00541BCD">
        <w:rPr>
          <w:i/>
          <w:iCs/>
        </w:rPr>
        <w:t>Ohio Consumers' Counsel v. PUC</w:t>
      </w:r>
      <w:r>
        <w:rPr>
          <w:i/>
          <w:iCs/>
        </w:rPr>
        <w:t xml:space="preserve">, supra. at </w:t>
      </w:r>
      <w:r w:rsidRPr="00541BCD">
        <w:rPr>
          <w:i/>
          <w:iCs/>
        </w:rPr>
        <w:t>¶</w:t>
      </w:r>
      <w:r>
        <w:t>19.</w:t>
      </w:r>
    </w:p>
  </w:footnote>
  <w:footnote w:id="7">
    <w:p w14:paraId="52A80823" w14:textId="05554F2C" w:rsidR="00B72D99" w:rsidRDefault="00AE52F3">
      <w:pPr>
        <w:pStyle w:val="FootnoteText"/>
      </w:pPr>
      <w:r>
        <w:rPr>
          <w:rStyle w:val="FootnoteReference"/>
        </w:rPr>
        <w:footnoteRef/>
      </w:r>
      <w:r>
        <w:t xml:space="preserve"> </w:t>
      </w:r>
      <w:r w:rsidR="007C3234" w:rsidRPr="007C3234">
        <w:t xml:space="preserve">Case No. 23-720, OCC Motion to Intervene (September 29, 2023) at p. </w:t>
      </w:r>
      <w:r w:rsidR="006F4340">
        <w:t>4</w:t>
      </w:r>
      <w:r w:rsidR="007C3234" w:rsidRPr="007C3234">
        <w:t>.</w:t>
      </w:r>
    </w:p>
  </w:footnote>
  <w:footnote w:id="8">
    <w:p w14:paraId="2ED1E385" w14:textId="3657C5EC" w:rsidR="00B72D99" w:rsidRDefault="00AE52F3" w:rsidP="005025AC">
      <w:pPr>
        <w:pStyle w:val="FootnoteText"/>
        <w:spacing w:after="120"/>
      </w:pPr>
      <w:r>
        <w:rPr>
          <w:rStyle w:val="FootnoteReference"/>
        </w:rPr>
        <w:footnoteRef/>
      </w:r>
      <w:r>
        <w:t xml:space="preserve"> </w:t>
      </w:r>
      <w:r w:rsidR="006F4340" w:rsidRPr="006F4340">
        <w:rPr>
          <w:i/>
          <w:iCs/>
        </w:rPr>
        <w:t>Id</w:t>
      </w:r>
      <w:r w:rsidR="007C3234" w:rsidRPr="007C3234">
        <w:t>.</w:t>
      </w:r>
    </w:p>
  </w:footnote>
  <w:footnote w:id="9">
    <w:p w14:paraId="70C2316D" w14:textId="0C2A653E" w:rsidR="00DE1313" w:rsidRDefault="00AE52F3" w:rsidP="005025AC">
      <w:pPr>
        <w:pStyle w:val="FootnoteText"/>
        <w:spacing w:after="120"/>
      </w:pPr>
      <w:r>
        <w:rPr>
          <w:rStyle w:val="FootnoteReference"/>
        </w:rPr>
        <w:footnoteRef/>
      </w:r>
      <w:r>
        <w:t xml:space="preserve"> </w:t>
      </w:r>
      <w:bookmarkStart w:id="11" w:name="_Hlk155848698"/>
      <w:r w:rsidR="006F4340" w:rsidRPr="006F4340">
        <w:rPr>
          <w:i/>
          <w:iCs/>
        </w:rPr>
        <w:t>Id</w:t>
      </w:r>
      <w:r w:rsidR="006F4340">
        <w:t>.</w:t>
      </w:r>
      <w:r w:rsidRPr="00DE1313">
        <w:t xml:space="preserve"> at p. 2</w:t>
      </w:r>
      <w:r>
        <w:t>.</w:t>
      </w:r>
      <w:bookmarkEnd w:id="11"/>
    </w:p>
  </w:footnote>
  <w:footnote w:id="10">
    <w:p w14:paraId="4837D1AB" w14:textId="712EC79E" w:rsidR="00DE1313" w:rsidRDefault="00AE52F3" w:rsidP="005025AC">
      <w:pPr>
        <w:pStyle w:val="FootnoteText"/>
        <w:spacing w:after="120"/>
      </w:pPr>
      <w:r>
        <w:rPr>
          <w:rStyle w:val="FootnoteReference"/>
        </w:rPr>
        <w:footnoteRef/>
      </w:r>
      <w:r>
        <w:t xml:space="preserve"> </w:t>
      </w:r>
      <w:r w:rsidR="006F4340" w:rsidRPr="006F4340">
        <w:rPr>
          <w:i/>
          <w:iCs/>
        </w:rPr>
        <w:t>Id</w:t>
      </w:r>
      <w:r w:rsidR="006F4340">
        <w:t>.</w:t>
      </w:r>
    </w:p>
  </w:footnote>
  <w:footnote w:id="11">
    <w:p w14:paraId="48D5D6C6" w14:textId="2DD7E290" w:rsidR="00366A55" w:rsidRDefault="00AE52F3" w:rsidP="009B3945">
      <w:pPr>
        <w:pStyle w:val="FootnoteText"/>
        <w:spacing w:after="120"/>
      </w:pPr>
      <w:r>
        <w:rPr>
          <w:rStyle w:val="FootnoteReference"/>
        </w:rPr>
        <w:footnoteRef/>
      </w:r>
      <w:r>
        <w:t xml:space="preserve"> </w:t>
      </w:r>
      <w:bookmarkStart w:id="12" w:name="_Hlk155262586"/>
      <w:r w:rsidR="006F4340" w:rsidRPr="006F4340">
        <w:rPr>
          <w:i/>
          <w:iCs/>
        </w:rPr>
        <w:t>Id</w:t>
      </w:r>
      <w:r w:rsidR="006F4340">
        <w:t>.</w:t>
      </w:r>
      <w:r w:rsidR="00C4137C">
        <w:t xml:space="preserve"> at pp. 2-3</w:t>
      </w:r>
      <w:bookmarkEnd w:id="12"/>
      <w:r w:rsidR="00AB711D">
        <w:t>.</w:t>
      </w:r>
    </w:p>
  </w:footnote>
  <w:footnote w:id="12">
    <w:p w14:paraId="4E9D38E7" w14:textId="77777777" w:rsidR="00366A55" w:rsidRPr="002C0E4E" w:rsidRDefault="00AE52F3" w:rsidP="00E258A1">
      <w:pPr>
        <w:pStyle w:val="FootnoteText"/>
        <w:rPr>
          <w:i/>
          <w:iCs/>
        </w:rPr>
      </w:pPr>
      <w:r>
        <w:rPr>
          <w:rStyle w:val="FootnoteReference"/>
        </w:rPr>
        <w:footnoteRef/>
      </w:r>
      <w:r>
        <w:t xml:space="preserve"> </w:t>
      </w:r>
      <w:r w:rsidRPr="002C0E4E">
        <w:rPr>
          <w:i/>
          <w:iCs/>
        </w:rPr>
        <w:t>In the Matter of the Commission’s Consideration of a Settlement Agreement between Smart</w:t>
      </w:r>
      <w:r>
        <w:rPr>
          <w:i/>
          <w:iCs/>
        </w:rPr>
        <w:t xml:space="preserve"> </w:t>
      </w:r>
      <w:r w:rsidRPr="002C0E4E">
        <w:rPr>
          <w:i/>
          <w:iCs/>
        </w:rPr>
        <w:t>Energy</w:t>
      </w:r>
    </w:p>
    <w:p w14:paraId="5954BEBB" w14:textId="5D21BFB7" w:rsidR="00E258A1" w:rsidRDefault="00AE52F3" w:rsidP="00E258A1">
      <w:pPr>
        <w:pStyle w:val="FootnoteText"/>
        <w:spacing w:after="120"/>
      </w:pPr>
      <w:r w:rsidRPr="002C0E4E">
        <w:rPr>
          <w:i/>
          <w:iCs/>
        </w:rPr>
        <w:t>Holdings, LLC and the Commission’s Staff (Smart</w:t>
      </w:r>
      <w:r>
        <w:rPr>
          <w:i/>
          <w:iCs/>
        </w:rPr>
        <w:t xml:space="preserve"> </w:t>
      </w:r>
      <w:r w:rsidRPr="002C0E4E">
        <w:rPr>
          <w:i/>
          <w:iCs/>
        </w:rPr>
        <w:t xml:space="preserve">Energy), </w:t>
      </w:r>
      <w:r w:rsidRPr="002C0E4E">
        <w:t>Case No. 23-601-EL-UNC, Finding and Order</w:t>
      </w:r>
      <w:r>
        <w:t xml:space="preserve"> </w:t>
      </w:r>
      <w:r w:rsidRPr="002C0E4E">
        <w:t>(August 23, 2023) at ¶1 and 8.</w:t>
      </w:r>
    </w:p>
  </w:footnote>
  <w:footnote w:id="13">
    <w:p w14:paraId="7557090B" w14:textId="0780CEB0" w:rsidR="00366A55" w:rsidRDefault="00AE52F3" w:rsidP="00E258A1">
      <w:pPr>
        <w:pStyle w:val="FootnoteText"/>
        <w:spacing w:after="120"/>
      </w:pPr>
      <w:r>
        <w:rPr>
          <w:rStyle w:val="FootnoteReference"/>
        </w:rPr>
        <w:footnoteRef/>
      </w:r>
      <w:r>
        <w:t xml:space="preserve"> </w:t>
      </w:r>
      <w:bookmarkStart w:id="13" w:name="_Hlk155822033"/>
      <w:r w:rsidR="00D279C7" w:rsidRPr="00D279C7">
        <w:t xml:space="preserve">Case No. 23-720, OCC Motion to Intervene (September 29, 2023) at pp. </w:t>
      </w:r>
      <w:r w:rsidR="00DE1313">
        <w:t>3</w:t>
      </w:r>
      <w:r w:rsidR="00D279C7">
        <w:t>.</w:t>
      </w:r>
      <w:bookmarkEnd w:id="13"/>
    </w:p>
  </w:footnote>
  <w:footnote w:id="14">
    <w:p w14:paraId="1CBAD1BF" w14:textId="71417D17" w:rsidR="00381415" w:rsidRDefault="00AE52F3" w:rsidP="009B3945">
      <w:pPr>
        <w:pStyle w:val="FootnoteText"/>
        <w:spacing w:after="120"/>
      </w:pPr>
      <w:r>
        <w:rPr>
          <w:rStyle w:val="FootnoteReference"/>
        </w:rPr>
        <w:footnoteRef/>
      </w:r>
      <w:r>
        <w:t xml:space="preserve"> </w:t>
      </w:r>
      <w:bookmarkStart w:id="14" w:name="_Hlk155259572"/>
      <w:r>
        <w:t>Case No. 23-720, Finding and Order (</w:t>
      </w:r>
      <w:r w:rsidRPr="00381415">
        <w:t>December 13, 2023</w:t>
      </w:r>
      <w:r>
        <w:t xml:space="preserve">) at </w:t>
      </w:r>
      <w:r w:rsidRPr="00381415">
        <w:t>¶ 12</w:t>
      </w:r>
      <w:r>
        <w:t>.</w:t>
      </w:r>
      <w:bookmarkEnd w:id="14"/>
    </w:p>
  </w:footnote>
  <w:footnote w:id="15">
    <w:p w14:paraId="153A2E55" w14:textId="6B559304" w:rsidR="004F695E" w:rsidRDefault="00AE52F3" w:rsidP="005E50B3">
      <w:pPr>
        <w:pStyle w:val="FootnoteText"/>
      </w:pPr>
      <w:r>
        <w:rPr>
          <w:rStyle w:val="FootnoteReference"/>
        </w:rPr>
        <w:footnoteRef/>
      </w:r>
      <w:r>
        <w:t xml:space="preserve"> </w:t>
      </w:r>
      <w:r w:rsidRPr="004F695E">
        <w:rPr>
          <w:i/>
          <w:iCs/>
        </w:rPr>
        <w:t>See</w:t>
      </w:r>
      <w:r>
        <w:t xml:space="preserve"> R.C. 4911.02</w:t>
      </w:r>
      <w:r w:rsidR="00AB711D">
        <w:t>.</w:t>
      </w:r>
    </w:p>
  </w:footnote>
  <w:footnote w:id="16">
    <w:p w14:paraId="1AB10228" w14:textId="288A5F05" w:rsidR="000E51B9" w:rsidRDefault="00AE52F3" w:rsidP="005E2EAD">
      <w:pPr>
        <w:pStyle w:val="FootnoteText"/>
        <w:spacing w:after="120"/>
      </w:pPr>
      <w:r>
        <w:rPr>
          <w:rStyle w:val="FootnoteReference"/>
        </w:rPr>
        <w:footnoteRef/>
      </w:r>
      <w:r>
        <w:t xml:space="preserve"> Order, at ¶ 12. </w:t>
      </w:r>
    </w:p>
  </w:footnote>
  <w:footnote w:id="17">
    <w:p w14:paraId="0EB590FF" w14:textId="51E6227C" w:rsidR="000C74C3" w:rsidRDefault="00AE52F3" w:rsidP="008E134A">
      <w:r>
        <w:rPr>
          <w:rStyle w:val="FootnoteReference"/>
        </w:rPr>
        <w:footnoteRef/>
      </w:r>
      <w:r>
        <w:t xml:space="preserve"> </w:t>
      </w:r>
      <w:r w:rsidR="008E134A" w:rsidRPr="008E134A">
        <w:rPr>
          <w:sz w:val="20"/>
        </w:rPr>
        <w:t>Case No. 23-720, OCC Motion to Intervene (September 29, 2023) at p. 2-3 - The “[s]ettlement signed by Inspire and PUCO Staff should be modified in such a manner as to deter Inspire Energy and other marketers from offering future unconscionable rates.”</w:t>
      </w:r>
      <w:r w:rsidR="008E134A">
        <w:t xml:space="preserve"> </w:t>
      </w:r>
    </w:p>
  </w:footnote>
  <w:footnote w:id="18">
    <w:p w14:paraId="4B279EDB" w14:textId="77777777" w:rsidR="00F54C9D" w:rsidRPr="00C136E3" w:rsidRDefault="00AE52F3" w:rsidP="00F54C9D">
      <w:pPr>
        <w:pStyle w:val="FootnoteText"/>
        <w:spacing w:after="120"/>
      </w:pPr>
      <w:r w:rsidRPr="00C136E3">
        <w:rPr>
          <w:rStyle w:val="FootnoteReference"/>
        </w:rPr>
        <w:footnoteRef/>
      </w:r>
      <w:r w:rsidRPr="00C136E3">
        <w:t xml:space="preserve"> </w:t>
      </w:r>
      <w:r w:rsidRPr="00C136E3">
        <w:rPr>
          <w:i/>
        </w:rPr>
        <w:t>See</w:t>
      </w:r>
      <w:r w:rsidRPr="00C136E3">
        <w:t xml:space="preserve"> R.C. 4903.82 (“</w:t>
      </w:r>
      <w:r w:rsidRPr="00C136E3">
        <w:rPr>
          <w:color w:val="000000"/>
          <w:shd w:val="clear" w:color="auto" w:fill="FFFFFF"/>
        </w:rPr>
        <w:t>All parties and intervenors shall be granted ample rights of discovery. The present rules of the public utilities commission should be reviewed regularly by the commission to aid full and reasonable discovery by all parties. Without limiting the commission's discretion the Rules of Civil Procedure should be used wherever practicable.”)</w:t>
      </w:r>
    </w:p>
  </w:footnote>
  <w:footnote w:id="19">
    <w:p w14:paraId="4A060615" w14:textId="77777777" w:rsidR="00F54C9D" w:rsidRPr="00C136E3" w:rsidRDefault="00AE52F3" w:rsidP="00F54C9D">
      <w:pPr>
        <w:pStyle w:val="FootnoteText"/>
        <w:spacing w:after="120"/>
      </w:pPr>
      <w:r w:rsidRPr="00C136E3">
        <w:rPr>
          <w:rStyle w:val="FootnoteReference"/>
        </w:rPr>
        <w:footnoteRef/>
      </w:r>
      <w:r w:rsidRPr="00C136E3">
        <w:t xml:space="preserve"> </w:t>
      </w:r>
      <w:r w:rsidRPr="00C136E3">
        <w:rPr>
          <w:i/>
        </w:rPr>
        <w:t>See</w:t>
      </w:r>
      <w:r w:rsidRPr="00C136E3">
        <w:t xml:space="preserve"> R.C. 4903.09 (providing that the PUCO must include "a transcript of all testimony" in its written opinion in a contested case); see also Ohio Adm. Code 4901:1-27-10(A)(2)(c).</w:t>
      </w:r>
    </w:p>
  </w:footnote>
  <w:footnote w:id="20">
    <w:p w14:paraId="64243B41" w14:textId="77777777" w:rsidR="00F54C9D" w:rsidRPr="00C136E3" w:rsidRDefault="00AE52F3" w:rsidP="00F54C9D">
      <w:pPr>
        <w:pStyle w:val="FootnoteText"/>
        <w:spacing w:after="120"/>
      </w:pPr>
      <w:r w:rsidRPr="00C136E3">
        <w:rPr>
          <w:rStyle w:val="FootnoteReference"/>
        </w:rPr>
        <w:footnoteRef/>
      </w:r>
      <w:r w:rsidRPr="00C136E3">
        <w:t xml:space="preserve"> R.C. 4903.082, Ohio Adm. Code 4901-1-16(A), Ohio Adm. Code 4901-1-16(B).</w:t>
      </w:r>
    </w:p>
  </w:footnote>
  <w:footnote w:id="21">
    <w:p w14:paraId="5EC3818F" w14:textId="77777777" w:rsidR="00F54C9D" w:rsidRPr="00C136E3" w:rsidRDefault="00AE52F3" w:rsidP="00F54C9D">
      <w:pPr>
        <w:pStyle w:val="FootnoteText"/>
        <w:spacing w:after="120"/>
      </w:pPr>
      <w:r w:rsidRPr="00C136E3">
        <w:rPr>
          <w:rStyle w:val="FootnoteReference"/>
        </w:rPr>
        <w:footnoteRef/>
      </w:r>
      <w:r w:rsidRPr="00C136E3">
        <w:t xml:space="preserve"> </w:t>
      </w:r>
      <w:r w:rsidRPr="00C136E3">
        <w:rPr>
          <w:i/>
          <w:iCs/>
        </w:rPr>
        <w:t>See Ohio Consumers’ Counsel v. PUC</w:t>
      </w:r>
      <w:r w:rsidRPr="00C136E3">
        <w:t xml:space="preserve"> (2006) 111 Ohio St.3d 300, 320-22 (finding that the PUCO erred in denying OCC’s motion to compel discovery and finding that Ohio law allows broad and ample discovery rights).</w:t>
      </w:r>
    </w:p>
  </w:footnote>
  <w:footnote w:id="22">
    <w:p w14:paraId="22343A1A" w14:textId="77777777" w:rsidR="00F54C9D" w:rsidRPr="00C136E3" w:rsidRDefault="00AE52F3" w:rsidP="00F54C9D">
      <w:pPr>
        <w:pStyle w:val="FootnoteText"/>
        <w:spacing w:after="120"/>
      </w:pPr>
      <w:r w:rsidRPr="00C136E3">
        <w:rPr>
          <w:rStyle w:val="FootnoteReference"/>
        </w:rPr>
        <w:footnoteRef/>
      </w:r>
      <w:r w:rsidRPr="00D269A2">
        <w:rPr>
          <w:i/>
          <w:iCs/>
        </w:rPr>
        <w:t xml:space="preserve"> In </w:t>
      </w:r>
      <w:r w:rsidRPr="00C136E3">
        <w:rPr>
          <w:i/>
          <w:iCs/>
        </w:rPr>
        <w:t>the Matter of the Application of Columbus &amp; Southern Ohio Elec. Co. for Auth. to Amend &amp; to Increase Certain of Its Rates &amp; Charges for Elec. Serv.. in the Matter of the Application of Columbus &amp; Southern Ohio Elec. Co. for Auth. to Amend &amp; to Increase Certain of Its Rates &amp; Charges for Elec. Serv. in Various Municipalities in Franklin Cty., Ohio.</w:t>
      </w:r>
      <w:r w:rsidRPr="00C136E3">
        <w:t xml:space="preserve">, 1976 WL 408123, *2, Case No. 74-760-EL-AIR, Interim Order (May 27, 1976).  </w:t>
      </w:r>
    </w:p>
  </w:footnote>
  <w:footnote w:id="23">
    <w:p w14:paraId="302BA110" w14:textId="71F559E3" w:rsidR="00D8676E" w:rsidRDefault="00AE52F3">
      <w:pPr>
        <w:pStyle w:val="FootnoteText"/>
      </w:pPr>
      <w:r>
        <w:rPr>
          <w:rStyle w:val="FootnoteReference"/>
        </w:rPr>
        <w:footnoteRef/>
      </w:r>
      <w:r>
        <w:t xml:space="preserve"> Stipulation at 1.  </w:t>
      </w:r>
    </w:p>
  </w:footnote>
  <w:footnote w:id="24">
    <w:p w14:paraId="2F74FF84" w14:textId="43AFB539" w:rsidR="009B2FFD" w:rsidRDefault="00AE52F3">
      <w:pPr>
        <w:pStyle w:val="FootnoteText"/>
      </w:pPr>
      <w:r>
        <w:rPr>
          <w:rStyle w:val="FootnoteReference"/>
        </w:rPr>
        <w:footnoteRef/>
      </w:r>
      <w:r>
        <w:t xml:space="preserve"> O.A.C. 4901:</w:t>
      </w:r>
      <w:r w:rsidR="001C6B11">
        <w:t>1</w:t>
      </w:r>
      <w:r>
        <w:t>-23-05 (B); 4901:1-24-06(B).</w:t>
      </w:r>
    </w:p>
  </w:footnote>
  <w:footnote w:id="25">
    <w:p w14:paraId="0BD5DA1B" w14:textId="6F3C4CE5" w:rsidR="00617B9B" w:rsidRDefault="00AE52F3" w:rsidP="0099608F">
      <w:pPr>
        <w:pStyle w:val="FootnoteText"/>
        <w:spacing w:after="120"/>
      </w:pPr>
      <w:r>
        <w:rPr>
          <w:rStyle w:val="FootnoteReference"/>
        </w:rPr>
        <w:footnoteRef/>
      </w:r>
      <w:r>
        <w:t xml:space="preserve"> </w:t>
      </w:r>
      <w:bookmarkStart w:id="24" w:name="_Hlk155850472"/>
      <w:r w:rsidRPr="00617B9B">
        <w:rPr>
          <w:i/>
          <w:iCs/>
        </w:rPr>
        <w:t>Ohio Consumers' Counsel v. PUC</w:t>
      </w:r>
      <w:r w:rsidRPr="00617B9B">
        <w:t>, 111 Ohio St.3d 384, 2006-Ohio-5853, 856 N.E.2d 940</w:t>
      </w:r>
      <w:bookmarkEnd w:id="24"/>
    </w:p>
  </w:footnote>
  <w:footnote w:id="26">
    <w:p w14:paraId="534EC2CF" w14:textId="2DF252CE" w:rsidR="00617B9B" w:rsidRDefault="00AE52F3" w:rsidP="0099608F">
      <w:pPr>
        <w:pStyle w:val="FootnoteText"/>
        <w:spacing w:after="120"/>
      </w:pPr>
      <w:r>
        <w:rPr>
          <w:rStyle w:val="FootnoteReference"/>
        </w:rPr>
        <w:footnoteRef/>
      </w:r>
      <w:r>
        <w:t xml:space="preserve"> </w:t>
      </w:r>
      <w:bookmarkStart w:id="25" w:name="_Hlk155850256"/>
      <w:r w:rsidRPr="00617B9B">
        <w:rPr>
          <w:i/>
          <w:iCs/>
        </w:rPr>
        <w:t>Ohio Domestic Violence Network v. Pub. Util. Comm.</w:t>
      </w:r>
      <w:r w:rsidRPr="00617B9B">
        <w:t xml:space="preserve"> (1994), 70 Ohio St. 3d 311, 315, </w:t>
      </w:r>
      <w:r w:rsidRPr="00617B9B">
        <w:t>1994 Ohio 165, 638 N.E.2d 1012</w:t>
      </w:r>
      <w:bookmarkEnd w:id="25"/>
      <w:r w:rsidR="0099608F">
        <w:t>.</w:t>
      </w:r>
    </w:p>
  </w:footnote>
  <w:footnote w:id="27">
    <w:p w14:paraId="5A5C0C72" w14:textId="3468A798" w:rsidR="00E2616E" w:rsidRDefault="00AE52F3">
      <w:pPr>
        <w:pStyle w:val="FootnoteText"/>
      </w:pPr>
      <w:r>
        <w:rPr>
          <w:rStyle w:val="FootnoteReference"/>
        </w:rPr>
        <w:footnoteRef/>
      </w:r>
      <w:r>
        <w:t xml:space="preserve"> </w:t>
      </w:r>
      <w:r w:rsidR="00617B9B" w:rsidRPr="00617B9B">
        <w:t> </w:t>
      </w:r>
      <w:bookmarkStart w:id="27" w:name="_Hlk155830195"/>
      <w:r w:rsidR="00617B9B" w:rsidRPr="00617B9B">
        <w:rPr>
          <w:i/>
          <w:iCs/>
        </w:rPr>
        <w:t>Ohio Consumers' Counsel v. PUC</w:t>
      </w:r>
      <w:r w:rsidR="00617B9B" w:rsidRPr="00617B9B">
        <w:t xml:space="preserve">, supra. at </w:t>
      </w:r>
      <w:bookmarkStart w:id="28" w:name="_Hlk155850713"/>
      <w:r w:rsidR="00617B9B" w:rsidRPr="00617B9B">
        <w:t>¶ 1</w:t>
      </w:r>
      <w:r w:rsidR="00617B9B">
        <w:t>9</w:t>
      </w:r>
      <w:bookmarkEnd w:id="27"/>
      <w:bookmarkEnd w:id="28"/>
      <w:r w:rsidR="0099608F">
        <w:t>.</w:t>
      </w:r>
    </w:p>
  </w:footnote>
  <w:footnote w:id="28">
    <w:p w14:paraId="1FA484CF" w14:textId="35D50705" w:rsidR="00E2616E" w:rsidRDefault="00AE52F3" w:rsidP="00A65097">
      <w:pPr>
        <w:pStyle w:val="FootnoteText"/>
        <w:spacing w:after="120"/>
      </w:pPr>
      <w:r>
        <w:rPr>
          <w:rStyle w:val="FootnoteReference"/>
        </w:rPr>
        <w:footnoteRef/>
      </w:r>
      <w:r>
        <w:t xml:space="preserve"> </w:t>
      </w:r>
      <w:r w:rsidR="00617B9B" w:rsidRPr="00617B9B">
        <w:rPr>
          <w:i/>
          <w:iCs/>
        </w:rPr>
        <w:t>Id</w:t>
      </w:r>
      <w:r w:rsidR="00617B9B">
        <w:t>.</w:t>
      </w:r>
      <w:r w:rsidR="00617B9B" w:rsidRPr="00617B9B">
        <w:t xml:space="preserve"> at ¶ </w:t>
      </w:r>
      <w:r w:rsidR="00617B9B">
        <w:t>20.</w:t>
      </w:r>
    </w:p>
  </w:footnote>
  <w:footnote w:id="29">
    <w:p w14:paraId="63CBDD86" w14:textId="18BABECD" w:rsidR="00E2616E" w:rsidRDefault="00AE52F3" w:rsidP="00A65097">
      <w:pPr>
        <w:pStyle w:val="FootnoteText"/>
        <w:spacing w:after="120"/>
      </w:pPr>
      <w:r>
        <w:rPr>
          <w:rStyle w:val="FootnoteReference"/>
        </w:rPr>
        <w:footnoteRef/>
      </w:r>
      <w:r w:rsidRPr="00617B9B">
        <w:rPr>
          <w:i/>
          <w:iCs/>
        </w:rPr>
        <w:t xml:space="preserve"> </w:t>
      </w:r>
      <w:r w:rsidR="00617B9B" w:rsidRPr="00617B9B">
        <w:rPr>
          <w:i/>
          <w:iCs/>
        </w:rPr>
        <w:t>Id</w:t>
      </w:r>
      <w:r w:rsidR="00617B9B">
        <w:t>.</w:t>
      </w:r>
    </w:p>
  </w:footnote>
  <w:footnote w:id="30">
    <w:p w14:paraId="21614E2C" w14:textId="5AB19D19" w:rsidR="007633DE" w:rsidRDefault="00AE52F3" w:rsidP="00A65097">
      <w:pPr>
        <w:pStyle w:val="FootnoteText"/>
        <w:spacing w:after="120"/>
      </w:pPr>
      <w:r>
        <w:rPr>
          <w:rStyle w:val="FootnoteReference"/>
        </w:rPr>
        <w:footnoteRef/>
      </w:r>
      <w:r>
        <w:t xml:space="preserve"> </w:t>
      </w:r>
      <w:r w:rsidRPr="007633DE">
        <w:rPr>
          <w:i/>
          <w:iCs/>
        </w:rPr>
        <w:t>See</w:t>
      </w:r>
      <w:r w:rsidRPr="007633DE">
        <w:t> </w:t>
      </w:r>
      <w:r w:rsidRPr="007633DE">
        <w:rPr>
          <w:i/>
          <w:iCs/>
        </w:rPr>
        <w:t>Consumers' Counsel v. Pub. Util. Comm.</w:t>
      </w:r>
      <w:r w:rsidRPr="007633DE">
        <w:t> (1992), 64 Ohio St. 3d 123, 126, 1992 Ohio 122, 592 N.E.2d 1370, and </w:t>
      </w:r>
      <w:r w:rsidRPr="007633DE">
        <w:rPr>
          <w:i/>
          <w:iCs/>
        </w:rPr>
        <w:t>AK Steel Corp. v. Pub. Util. Comm.</w:t>
      </w:r>
      <w:r w:rsidRPr="007633DE">
        <w:t> (2002), 95 Ohio St.3d 81, 82-83, 2002 Ohio 1735, 765 N.E.2d 862.</w:t>
      </w:r>
    </w:p>
  </w:footnote>
  <w:footnote w:id="31">
    <w:p w14:paraId="53094EEB" w14:textId="2D4DB5E8" w:rsidR="007633DE" w:rsidRDefault="00AE52F3" w:rsidP="009B3945">
      <w:pPr>
        <w:pStyle w:val="FootnoteText"/>
        <w:spacing w:after="120"/>
      </w:pPr>
      <w:r>
        <w:rPr>
          <w:rStyle w:val="FootnoteReference"/>
        </w:rPr>
        <w:footnoteRef/>
      </w:r>
      <w:r>
        <w:t xml:space="preserve"> </w:t>
      </w:r>
      <w:r w:rsidRPr="007633DE">
        <w:rPr>
          <w:i/>
          <w:iCs/>
        </w:rPr>
        <w:t>Time Warner Axs v. PUC of Ohio, 75 Ohio St. 3d 229, 233 n. 2 (1996</w:t>
      </w:r>
      <w:r>
        <w:rPr>
          <w:i/>
          <w:iCs/>
        </w:rPr>
        <w:t>)</w:t>
      </w:r>
      <w:r w:rsidR="004A6F1B">
        <w:rPr>
          <w:i/>
          <w:iCs/>
        </w:rPr>
        <w:t>.</w:t>
      </w:r>
    </w:p>
  </w:footnote>
  <w:footnote w:id="32">
    <w:p w14:paraId="7429C00E" w14:textId="61F3707B" w:rsidR="00A46907" w:rsidRDefault="00AE52F3" w:rsidP="00E20549">
      <w:pPr>
        <w:pStyle w:val="FootnoteText"/>
        <w:spacing w:after="120"/>
      </w:pPr>
      <w:r>
        <w:rPr>
          <w:rStyle w:val="FootnoteReference"/>
        </w:rPr>
        <w:footnoteRef/>
      </w:r>
      <w:r>
        <w:t xml:space="preserve"> </w:t>
      </w:r>
      <w:r w:rsidRPr="00A84D76">
        <w:t>Case No. 23-720, Finding and Order (December 13, 2023)</w:t>
      </w:r>
      <w:r>
        <w:t xml:space="preserve"> at p. 4</w:t>
      </w:r>
      <w:r w:rsidR="00E20549">
        <w:t>.</w:t>
      </w:r>
    </w:p>
  </w:footnote>
  <w:footnote w:id="33">
    <w:p w14:paraId="00B9C536" w14:textId="77777777" w:rsidR="00A46907" w:rsidRDefault="00AE52F3" w:rsidP="00E20549">
      <w:pPr>
        <w:pStyle w:val="FootnoteText"/>
        <w:spacing w:after="120"/>
      </w:pPr>
      <w:r>
        <w:rPr>
          <w:rStyle w:val="FootnoteReference"/>
        </w:rPr>
        <w:footnoteRef/>
      </w:r>
      <w:r>
        <w:t xml:space="preserve"> </w:t>
      </w:r>
      <w:r w:rsidRPr="00A84D76">
        <w:rPr>
          <w:i/>
          <w:iCs/>
        </w:rPr>
        <w:t>Id</w:t>
      </w:r>
      <w:r>
        <w:t>.</w:t>
      </w:r>
    </w:p>
  </w:footnote>
  <w:footnote w:id="34">
    <w:p w14:paraId="71CF6049" w14:textId="77777777" w:rsidR="00A46907" w:rsidRDefault="00AE52F3" w:rsidP="00E20549">
      <w:pPr>
        <w:pStyle w:val="FootnoteText"/>
        <w:spacing w:after="120"/>
      </w:pPr>
      <w:r>
        <w:rPr>
          <w:rStyle w:val="FootnoteReference"/>
        </w:rPr>
        <w:footnoteRef/>
      </w:r>
      <w:r>
        <w:t xml:space="preserve"> </w:t>
      </w:r>
      <w:r w:rsidRPr="00A84D76">
        <w:rPr>
          <w:i/>
          <w:iCs/>
        </w:rPr>
        <w:t>Id</w:t>
      </w:r>
      <w:r>
        <w:t xml:space="preserve">. at 5, See also R.C. </w:t>
      </w:r>
      <w:r w:rsidRPr="00E45952">
        <w:t>4905.54</w:t>
      </w:r>
      <w:r>
        <w:t xml:space="preserve"> - </w:t>
      </w:r>
      <w:r w:rsidRPr="00E45952">
        <w:t>the public utilities commission may assess a forfeiture of not more than ten thousand dollars for each violation</w:t>
      </w:r>
      <w:r>
        <w:t>. “</w:t>
      </w:r>
      <w:r w:rsidRPr="00E45952">
        <w:t>Each day's continuance of the violation or failure is a separate offense.</w:t>
      </w:r>
      <w:r>
        <w:t>”</w:t>
      </w:r>
      <w:r w:rsidRPr="00E45952">
        <w:t> </w:t>
      </w:r>
    </w:p>
  </w:footnote>
  <w:footnote w:id="35">
    <w:p w14:paraId="3BADCF26" w14:textId="5941A2E7" w:rsidR="00A46907" w:rsidRDefault="00AE52F3" w:rsidP="00E20549">
      <w:pPr>
        <w:pStyle w:val="FootnoteText"/>
        <w:spacing w:after="120"/>
      </w:pPr>
      <w:r>
        <w:rPr>
          <w:rStyle w:val="FootnoteReference"/>
        </w:rPr>
        <w:footnoteRef/>
      </w:r>
      <w:r>
        <w:t xml:space="preserve"> </w:t>
      </w:r>
      <w:r w:rsidRPr="00A84D76">
        <w:rPr>
          <w:i/>
          <w:iCs/>
        </w:rPr>
        <w:t>Id</w:t>
      </w:r>
      <w:r>
        <w:t>. at p. 5</w:t>
      </w:r>
      <w:r w:rsidR="00E20549">
        <w:t>.</w:t>
      </w:r>
    </w:p>
  </w:footnote>
  <w:footnote w:id="36">
    <w:p w14:paraId="7FFB35D2" w14:textId="46136430" w:rsidR="00AF366C" w:rsidRDefault="00AE52F3" w:rsidP="00E20549">
      <w:pPr>
        <w:pStyle w:val="FootnoteText"/>
        <w:spacing w:after="120"/>
      </w:pPr>
      <w:r>
        <w:rPr>
          <w:rStyle w:val="FootnoteReference"/>
        </w:rPr>
        <w:footnoteRef/>
      </w:r>
      <w:r>
        <w:t xml:space="preserve"> R.C. 4928.02 (A) and (C)</w:t>
      </w:r>
      <w:r w:rsidR="00E20549">
        <w:t>.</w:t>
      </w:r>
    </w:p>
  </w:footnote>
  <w:footnote w:id="37">
    <w:p w14:paraId="5B800CE9" w14:textId="70F77155" w:rsidR="00AF366C" w:rsidRDefault="00AE52F3" w:rsidP="00E20549">
      <w:pPr>
        <w:pStyle w:val="FootnoteText"/>
        <w:spacing w:after="120"/>
      </w:pPr>
      <w:r>
        <w:rPr>
          <w:rStyle w:val="FootnoteReference"/>
        </w:rPr>
        <w:footnoteRef/>
      </w:r>
      <w:r>
        <w:t xml:space="preserve"> </w:t>
      </w:r>
      <w:r w:rsidR="00AD47C8" w:rsidRPr="00AD47C8">
        <w:t>R.C. 4905.54</w:t>
      </w:r>
      <w:r w:rsidR="00E20549">
        <w:t>.</w:t>
      </w:r>
    </w:p>
  </w:footnote>
  <w:footnote w:id="38">
    <w:p w14:paraId="3AF0B6BF" w14:textId="77777777" w:rsidR="007C6CAF" w:rsidRDefault="00AE52F3" w:rsidP="00E20549">
      <w:pPr>
        <w:pStyle w:val="FootnoteText"/>
        <w:spacing w:after="120"/>
      </w:pPr>
      <w:r>
        <w:rPr>
          <w:rStyle w:val="FootnoteReference"/>
        </w:rPr>
        <w:footnoteRef/>
      </w:r>
      <w:r>
        <w:t xml:space="preserve"> </w:t>
      </w:r>
      <w:r w:rsidRPr="00A84D76">
        <w:rPr>
          <w:i/>
          <w:iCs/>
        </w:rPr>
        <w:t>Id</w:t>
      </w:r>
      <w:r>
        <w:t xml:space="preserve">. at 5, See also R.C. </w:t>
      </w:r>
      <w:r w:rsidRPr="00E45952">
        <w:t>4905.54</w:t>
      </w:r>
      <w:r>
        <w:t xml:space="preserve"> - </w:t>
      </w:r>
      <w:r w:rsidRPr="00E45952">
        <w:t>the public utilities commission may assess a forfeiture of not more than ten thousand dollars for each violation</w:t>
      </w:r>
      <w:r>
        <w:t>. “</w:t>
      </w:r>
      <w:r w:rsidRPr="00E45952">
        <w:t>Each day's continuance of the violation or failure is a separate offense.</w:t>
      </w:r>
      <w:r>
        <w:t>”</w:t>
      </w:r>
      <w:r w:rsidRPr="00E45952">
        <w:t> </w:t>
      </w:r>
    </w:p>
  </w:footnote>
  <w:footnote w:id="39">
    <w:p w14:paraId="20A634B9" w14:textId="5FC3B94C" w:rsidR="007C6CAF" w:rsidRDefault="00AE52F3" w:rsidP="00E20549">
      <w:pPr>
        <w:pStyle w:val="FootnoteText"/>
        <w:spacing w:after="120"/>
      </w:pPr>
      <w:r>
        <w:rPr>
          <w:rStyle w:val="FootnoteReference"/>
        </w:rPr>
        <w:footnoteRef/>
      </w:r>
      <w:r>
        <w:t xml:space="preserve"> Stipulation (Exhibit A)</w:t>
      </w:r>
      <w:r w:rsidR="00E20549">
        <w:t>.</w:t>
      </w:r>
    </w:p>
  </w:footnote>
  <w:footnote w:id="40">
    <w:p w14:paraId="1E074D46" w14:textId="72A87658" w:rsidR="00AD47C8" w:rsidRDefault="00AE52F3">
      <w:pPr>
        <w:pStyle w:val="FootnoteText"/>
      </w:pPr>
      <w:r>
        <w:rPr>
          <w:rStyle w:val="FootnoteReference"/>
        </w:rPr>
        <w:footnoteRef/>
      </w:r>
      <w:r>
        <w:t xml:space="preserve"> </w:t>
      </w:r>
      <w:r w:rsidRPr="00AD47C8">
        <w:t>Ohio Adm.</w:t>
      </w:r>
      <w:r w:rsidR="00E20549">
        <w:t xml:space="preserve"> </w:t>
      </w:r>
      <w:r w:rsidRPr="00AD47C8">
        <w:t>Code 4901-1-30</w:t>
      </w:r>
      <w:r>
        <w:t xml:space="preserve">. </w:t>
      </w:r>
    </w:p>
  </w:footnote>
  <w:footnote w:id="41">
    <w:p w14:paraId="19EC5994" w14:textId="432DA4A1" w:rsidR="00201714" w:rsidRDefault="00AE52F3" w:rsidP="00FE6FE1">
      <w:pPr>
        <w:pStyle w:val="FootnoteText"/>
        <w:spacing w:after="120"/>
      </w:pPr>
      <w:r>
        <w:rPr>
          <w:rStyle w:val="FootnoteReference"/>
        </w:rPr>
        <w:footnoteRef/>
      </w:r>
      <w:r>
        <w:t xml:space="preserve"> </w:t>
      </w:r>
      <w:r w:rsidR="00B7430E">
        <w:t>Stipulation at p. 3</w:t>
      </w:r>
    </w:p>
  </w:footnote>
  <w:footnote w:id="42">
    <w:p w14:paraId="41D68626" w14:textId="631838D8" w:rsidR="00201714" w:rsidRDefault="00AE52F3" w:rsidP="00FE6FE1">
      <w:pPr>
        <w:pStyle w:val="FootnoteText"/>
        <w:spacing w:after="120"/>
      </w:pPr>
      <w:r>
        <w:rPr>
          <w:rStyle w:val="FootnoteReference"/>
        </w:rPr>
        <w:footnoteRef/>
      </w:r>
      <w:r>
        <w:t xml:space="preserve"> </w:t>
      </w:r>
      <w:r w:rsidR="00B7430E" w:rsidRPr="00B7430E">
        <w:rPr>
          <w:i/>
          <w:iCs/>
        </w:rPr>
        <w:t>Id</w:t>
      </w:r>
      <w:r w:rsidR="00B7430E" w:rsidRPr="00B7430E">
        <w:t>.</w:t>
      </w:r>
    </w:p>
  </w:footnote>
  <w:footnote w:id="43">
    <w:p w14:paraId="4FA23942" w14:textId="4A2E337F" w:rsidR="00201714" w:rsidRPr="00B7430E" w:rsidRDefault="00AE52F3" w:rsidP="00FE6FE1">
      <w:pPr>
        <w:pStyle w:val="FootnoteText"/>
        <w:spacing w:after="120"/>
      </w:pPr>
      <w:r>
        <w:rPr>
          <w:rStyle w:val="FootnoteReference"/>
        </w:rPr>
        <w:footnoteRef/>
      </w:r>
      <w:r>
        <w:t xml:space="preserve"> </w:t>
      </w:r>
      <w:bookmarkStart w:id="37" w:name="_Hlk155960895"/>
      <w:r w:rsidR="00B7430E" w:rsidRPr="00B7430E">
        <w:rPr>
          <w:i/>
          <w:iCs/>
        </w:rPr>
        <w:t>Id</w:t>
      </w:r>
      <w:r w:rsidR="00B7430E">
        <w:t>.</w:t>
      </w:r>
      <w:bookmarkEnd w:id="37"/>
    </w:p>
  </w:footnote>
  <w:footnote w:id="44">
    <w:p w14:paraId="21025604" w14:textId="056A5568" w:rsidR="00201714" w:rsidRDefault="00AE52F3" w:rsidP="00FE6FE1">
      <w:pPr>
        <w:pStyle w:val="FootnoteText"/>
        <w:spacing w:after="120"/>
      </w:pPr>
      <w:r>
        <w:rPr>
          <w:rStyle w:val="FootnoteReference"/>
        </w:rPr>
        <w:footnoteRef/>
      </w:r>
      <w:r>
        <w:t xml:space="preserve"> </w:t>
      </w:r>
      <w:r w:rsidR="00B7430E" w:rsidRPr="00B7430E">
        <w:rPr>
          <w:i/>
          <w:iCs/>
        </w:rPr>
        <w:t>Id</w:t>
      </w:r>
      <w:r w:rsidR="00B7430E" w:rsidRPr="00B7430E">
        <w:t>.</w:t>
      </w:r>
    </w:p>
  </w:footnote>
  <w:footnote w:id="45">
    <w:p w14:paraId="0EA49A83" w14:textId="1DFEA021" w:rsidR="00201714" w:rsidRDefault="00AE52F3">
      <w:pPr>
        <w:pStyle w:val="FootnoteText"/>
      </w:pPr>
      <w:r>
        <w:rPr>
          <w:rStyle w:val="FootnoteReference"/>
        </w:rPr>
        <w:footnoteRef/>
      </w:r>
      <w:r>
        <w:t xml:space="preserve"> </w:t>
      </w:r>
      <w:r w:rsidR="00B7430E" w:rsidRPr="00B7430E">
        <w:rPr>
          <w:i/>
          <w:iCs/>
        </w:rPr>
        <w:t>Id</w:t>
      </w:r>
      <w:r w:rsidR="00B7430E" w:rsidRPr="00B7430E">
        <w:t>.</w:t>
      </w:r>
    </w:p>
  </w:footnote>
  <w:footnote w:id="46">
    <w:p w14:paraId="580F6D62" w14:textId="7E8F0605" w:rsidR="00201714" w:rsidRDefault="00AE52F3" w:rsidP="00FE6FE1">
      <w:pPr>
        <w:pStyle w:val="FootnoteText"/>
        <w:spacing w:after="120"/>
      </w:pPr>
      <w:r>
        <w:rPr>
          <w:rStyle w:val="FootnoteReference"/>
        </w:rPr>
        <w:footnoteRef/>
      </w:r>
      <w:r>
        <w:t xml:space="preserve"> </w:t>
      </w:r>
      <w:r w:rsidR="00B7430E" w:rsidRPr="00B7430E">
        <w:rPr>
          <w:i/>
          <w:iCs/>
        </w:rPr>
        <w:t>Id</w:t>
      </w:r>
      <w:r w:rsidR="00B7430E" w:rsidRPr="00B7430E">
        <w:t>.</w:t>
      </w:r>
    </w:p>
  </w:footnote>
  <w:footnote w:id="47">
    <w:p w14:paraId="7F15247C" w14:textId="4CA275CB" w:rsidR="00201714" w:rsidRDefault="00AE52F3" w:rsidP="00FE6FE1">
      <w:pPr>
        <w:pStyle w:val="FootnoteText"/>
        <w:spacing w:after="120"/>
      </w:pPr>
      <w:r>
        <w:rPr>
          <w:rStyle w:val="FootnoteReference"/>
        </w:rPr>
        <w:footnoteRef/>
      </w:r>
      <w:r>
        <w:t xml:space="preserve"> </w:t>
      </w:r>
      <w:r w:rsidR="00B7430E" w:rsidRPr="00B7430E">
        <w:rPr>
          <w:i/>
          <w:iCs/>
        </w:rPr>
        <w:t>Id</w:t>
      </w:r>
      <w:r w:rsidR="00B7430E" w:rsidRPr="00B7430E">
        <w:t>.</w:t>
      </w:r>
    </w:p>
  </w:footnote>
  <w:footnote w:id="48">
    <w:p w14:paraId="054D2FBA" w14:textId="5E89453B" w:rsidR="00201714" w:rsidRDefault="00AE52F3" w:rsidP="00FE6FE1">
      <w:pPr>
        <w:pStyle w:val="FootnoteText"/>
        <w:spacing w:after="120"/>
      </w:pPr>
      <w:r>
        <w:rPr>
          <w:rStyle w:val="FootnoteReference"/>
        </w:rPr>
        <w:footnoteRef/>
      </w:r>
      <w:r>
        <w:t xml:space="preserve"> </w:t>
      </w:r>
      <w:r w:rsidR="00B7430E" w:rsidRPr="00B7430E">
        <w:rPr>
          <w:i/>
          <w:iCs/>
        </w:rPr>
        <w:t>Id</w:t>
      </w:r>
      <w:r w:rsidR="00B7430E" w:rsidRPr="00B7430E">
        <w:t>.</w:t>
      </w:r>
    </w:p>
  </w:footnote>
  <w:footnote w:id="49">
    <w:p w14:paraId="23D86D63" w14:textId="62448E42" w:rsidR="00B7430E" w:rsidRDefault="00AE52F3" w:rsidP="00FE6FE1">
      <w:pPr>
        <w:pStyle w:val="FootnoteText"/>
        <w:spacing w:after="120"/>
      </w:pPr>
      <w:r>
        <w:rPr>
          <w:rStyle w:val="FootnoteReference"/>
        </w:rPr>
        <w:footnoteRef/>
      </w:r>
      <w:r>
        <w:t xml:space="preserve"> </w:t>
      </w:r>
      <w:r w:rsidRPr="00B7430E">
        <w:rPr>
          <w:i/>
          <w:iCs/>
        </w:rPr>
        <w:t>Id</w:t>
      </w:r>
      <w:r w:rsidRPr="00B7430E">
        <w:t>.</w:t>
      </w:r>
    </w:p>
  </w:footnote>
  <w:footnote w:id="50">
    <w:p w14:paraId="1D4B76BA" w14:textId="1CDC9FD2" w:rsidR="00183C36" w:rsidRDefault="00AE52F3">
      <w:pPr>
        <w:pStyle w:val="FootnoteText"/>
      </w:pPr>
      <w:r>
        <w:rPr>
          <w:rStyle w:val="FootnoteReference"/>
        </w:rPr>
        <w:footnoteRef/>
      </w:r>
      <w:r>
        <w:t xml:space="preserve"> </w:t>
      </w:r>
      <w:r w:rsidRPr="00183C36">
        <w:t xml:space="preserve">R.C. 4901.12, states that “Except as provided in section 149.43 of the Revised Code and as consistent with the purposes of Title XLIX of the Revised Code, all </w:t>
      </w:r>
      <w:r w:rsidRPr="00183C36">
        <w:t>proceedings of the public utilities commission and all documents and records in its possession are public records.”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6C2A" w14:textId="77777777" w:rsidR="0029315B" w:rsidRDefault="00293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6A34" w14:textId="77777777" w:rsidR="0029315B" w:rsidRDefault="002931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B5BC" w14:textId="77777777" w:rsidR="0029315B" w:rsidRDefault="00293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896"/>
    <w:multiLevelType w:val="hybridMultilevel"/>
    <w:tmpl w:val="62FE3046"/>
    <w:lvl w:ilvl="0" w:tplc="7D42E534">
      <w:start w:val="1"/>
      <w:numFmt w:val="bullet"/>
      <w:lvlText w:val=""/>
      <w:lvlJc w:val="left"/>
      <w:pPr>
        <w:ind w:left="1080" w:hanging="360"/>
      </w:pPr>
      <w:rPr>
        <w:rFonts w:ascii="Symbol" w:hAnsi="Symbol" w:hint="default"/>
      </w:rPr>
    </w:lvl>
    <w:lvl w:ilvl="1" w:tplc="B6C88640" w:tentative="1">
      <w:start w:val="1"/>
      <w:numFmt w:val="bullet"/>
      <w:lvlText w:val="o"/>
      <w:lvlJc w:val="left"/>
      <w:pPr>
        <w:ind w:left="1800" w:hanging="360"/>
      </w:pPr>
      <w:rPr>
        <w:rFonts w:ascii="Courier New" w:hAnsi="Courier New" w:cs="Courier New" w:hint="default"/>
      </w:rPr>
    </w:lvl>
    <w:lvl w:ilvl="2" w:tplc="E12E226E" w:tentative="1">
      <w:start w:val="1"/>
      <w:numFmt w:val="bullet"/>
      <w:lvlText w:val=""/>
      <w:lvlJc w:val="left"/>
      <w:pPr>
        <w:ind w:left="2520" w:hanging="360"/>
      </w:pPr>
      <w:rPr>
        <w:rFonts w:ascii="Wingdings" w:hAnsi="Wingdings" w:hint="default"/>
      </w:rPr>
    </w:lvl>
    <w:lvl w:ilvl="3" w:tplc="1A5C8952" w:tentative="1">
      <w:start w:val="1"/>
      <w:numFmt w:val="bullet"/>
      <w:lvlText w:val=""/>
      <w:lvlJc w:val="left"/>
      <w:pPr>
        <w:ind w:left="3240" w:hanging="360"/>
      </w:pPr>
      <w:rPr>
        <w:rFonts w:ascii="Symbol" w:hAnsi="Symbol" w:hint="default"/>
      </w:rPr>
    </w:lvl>
    <w:lvl w:ilvl="4" w:tplc="92122232" w:tentative="1">
      <w:start w:val="1"/>
      <w:numFmt w:val="bullet"/>
      <w:lvlText w:val="o"/>
      <w:lvlJc w:val="left"/>
      <w:pPr>
        <w:ind w:left="3960" w:hanging="360"/>
      </w:pPr>
      <w:rPr>
        <w:rFonts w:ascii="Courier New" w:hAnsi="Courier New" w:cs="Courier New" w:hint="default"/>
      </w:rPr>
    </w:lvl>
    <w:lvl w:ilvl="5" w:tplc="42D69BBA" w:tentative="1">
      <w:start w:val="1"/>
      <w:numFmt w:val="bullet"/>
      <w:lvlText w:val=""/>
      <w:lvlJc w:val="left"/>
      <w:pPr>
        <w:ind w:left="4680" w:hanging="360"/>
      </w:pPr>
      <w:rPr>
        <w:rFonts w:ascii="Wingdings" w:hAnsi="Wingdings" w:hint="default"/>
      </w:rPr>
    </w:lvl>
    <w:lvl w:ilvl="6" w:tplc="CDA4A66E" w:tentative="1">
      <w:start w:val="1"/>
      <w:numFmt w:val="bullet"/>
      <w:lvlText w:val=""/>
      <w:lvlJc w:val="left"/>
      <w:pPr>
        <w:ind w:left="5400" w:hanging="360"/>
      </w:pPr>
      <w:rPr>
        <w:rFonts w:ascii="Symbol" w:hAnsi="Symbol" w:hint="default"/>
      </w:rPr>
    </w:lvl>
    <w:lvl w:ilvl="7" w:tplc="7E5276F0" w:tentative="1">
      <w:start w:val="1"/>
      <w:numFmt w:val="bullet"/>
      <w:lvlText w:val="o"/>
      <w:lvlJc w:val="left"/>
      <w:pPr>
        <w:ind w:left="6120" w:hanging="360"/>
      </w:pPr>
      <w:rPr>
        <w:rFonts w:ascii="Courier New" w:hAnsi="Courier New" w:cs="Courier New" w:hint="default"/>
      </w:rPr>
    </w:lvl>
    <w:lvl w:ilvl="8" w:tplc="6748ADFC" w:tentative="1">
      <w:start w:val="1"/>
      <w:numFmt w:val="bullet"/>
      <w:lvlText w:val=""/>
      <w:lvlJc w:val="left"/>
      <w:pPr>
        <w:ind w:left="6840" w:hanging="360"/>
      </w:pPr>
      <w:rPr>
        <w:rFonts w:ascii="Wingdings" w:hAnsi="Wingdings" w:hint="default"/>
      </w:rPr>
    </w:lvl>
  </w:abstractNum>
  <w:abstractNum w:abstractNumId="1" w15:restartNumberingAfterBreak="0">
    <w:nsid w:val="054E3F9C"/>
    <w:multiLevelType w:val="hybridMultilevel"/>
    <w:tmpl w:val="1BBEC65E"/>
    <w:lvl w:ilvl="0" w:tplc="235E2EC0">
      <w:start w:val="1"/>
      <w:numFmt w:val="bullet"/>
      <w:lvlText w:val=""/>
      <w:lvlJc w:val="left"/>
      <w:pPr>
        <w:ind w:left="720" w:hanging="360"/>
      </w:pPr>
      <w:rPr>
        <w:rFonts w:ascii="Symbol" w:hAnsi="Symbol" w:hint="default"/>
      </w:rPr>
    </w:lvl>
    <w:lvl w:ilvl="1" w:tplc="01AED458" w:tentative="1">
      <w:start w:val="1"/>
      <w:numFmt w:val="bullet"/>
      <w:lvlText w:val="o"/>
      <w:lvlJc w:val="left"/>
      <w:pPr>
        <w:ind w:left="1440" w:hanging="360"/>
      </w:pPr>
      <w:rPr>
        <w:rFonts w:ascii="Courier New" w:hAnsi="Courier New" w:cs="Courier New" w:hint="default"/>
      </w:rPr>
    </w:lvl>
    <w:lvl w:ilvl="2" w:tplc="E55C88BE" w:tentative="1">
      <w:start w:val="1"/>
      <w:numFmt w:val="bullet"/>
      <w:lvlText w:val=""/>
      <w:lvlJc w:val="left"/>
      <w:pPr>
        <w:ind w:left="2160" w:hanging="360"/>
      </w:pPr>
      <w:rPr>
        <w:rFonts w:ascii="Wingdings" w:hAnsi="Wingdings" w:hint="default"/>
      </w:rPr>
    </w:lvl>
    <w:lvl w:ilvl="3" w:tplc="4FF857E0" w:tentative="1">
      <w:start w:val="1"/>
      <w:numFmt w:val="bullet"/>
      <w:lvlText w:val=""/>
      <w:lvlJc w:val="left"/>
      <w:pPr>
        <w:ind w:left="2880" w:hanging="360"/>
      </w:pPr>
      <w:rPr>
        <w:rFonts w:ascii="Symbol" w:hAnsi="Symbol" w:hint="default"/>
      </w:rPr>
    </w:lvl>
    <w:lvl w:ilvl="4" w:tplc="9A2AADAE" w:tentative="1">
      <w:start w:val="1"/>
      <w:numFmt w:val="bullet"/>
      <w:lvlText w:val="o"/>
      <w:lvlJc w:val="left"/>
      <w:pPr>
        <w:ind w:left="3600" w:hanging="360"/>
      </w:pPr>
      <w:rPr>
        <w:rFonts w:ascii="Courier New" w:hAnsi="Courier New" w:cs="Courier New" w:hint="default"/>
      </w:rPr>
    </w:lvl>
    <w:lvl w:ilvl="5" w:tplc="7B02A01A" w:tentative="1">
      <w:start w:val="1"/>
      <w:numFmt w:val="bullet"/>
      <w:lvlText w:val=""/>
      <w:lvlJc w:val="left"/>
      <w:pPr>
        <w:ind w:left="4320" w:hanging="360"/>
      </w:pPr>
      <w:rPr>
        <w:rFonts w:ascii="Wingdings" w:hAnsi="Wingdings" w:hint="default"/>
      </w:rPr>
    </w:lvl>
    <w:lvl w:ilvl="6" w:tplc="A782A03E" w:tentative="1">
      <w:start w:val="1"/>
      <w:numFmt w:val="bullet"/>
      <w:lvlText w:val=""/>
      <w:lvlJc w:val="left"/>
      <w:pPr>
        <w:ind w:left="5040" w:hanging="360"/>
      </w:pPr>
      <w:rPr>
        <w:rFonts w:ascii="Symbol" w:hAnsi="Symbol" w:hint="default"/>
      </w:rPr>
    </w:lvl>
    <w:lvl w:ilvl="7" w:tplc="DE70F308" w:tentative="1">
      <w:start w:val="1"/>
      <w:numFmt w:val="bullet"/>
      <w:lvlText w:val="o"/>
      <w:lvlJc w:val="left"/>
      <w:pPr>
        <w:ind w:left="5760" w:hanging="360"/>
      </w:pPr>
      <w:rPr>
        <w:rFonts w:ascii="Courier New" w:hAnsi="Courier New" w:cs="Courier New" w:hint="default"/>
      </w:rPr>
    </w:lvl>
    <w:lvl w:ilvl="8" w:tplc="3864A38A" w:tentative="1">
      <w:start w:val="1"/>
      <w:numFmt w:val="bullet"/>
      <w:lvlText w:val=""/>
      <w:lvlJc w:val="left"/>
      <w:pPr>
        <w:ind w:left="6480" w:hanging="360"/>
      </w:pPr>
      <w:rPr>
        <w:rFonts w:ascii="Wingdings" w:hAnsi="Wingdings" w:hint="default"/>
      </w:rPr>
    </w:lvl>
  </w:abstractNum>
  <w:abstractNum w:abstractNumId="2" w15:restartNumberingAfterBreak="0">
    <w:nsid w:val="179D14EE"/>
    <w:multiLevelType w:val="hybridMultilevel"/>
    <w:tmpl w:val="2BEE8F10"/>
    <w:lvl w:ilvl="0" w:tplc="E67A5F42">
      <w:start w:val="1"/>
      <w:numFmt w:val="bullet"/>
      <w:lvlText w:val=""/>
      <w:lvlJc w:val="left"/>
      <w:pPr>
        <w:ind w:left="1440" w:hanging="360"/>
      </w:pPr>
      <w:rPr>
        <w:rFonts w:ascii="Symbol" w:hAnsi="Symbol" w:hint="default"/>
      </w:rPr>
    </w:lvl>
    <w:lvl w:ilvl="1" w:tplc="BA9A4CDC" w:tentative="1">
      <w:start w:val="1"/>
      <w:numFmt w:val="bullet"/>
      <w:lvlText w:val="o"/>
      <w:lvlJc w:val="left"/>
      <w:pPr>
        <w:ind w:left="2160" w:hanging="360"/>
      </w:pPr>
      <w:rPr>
        <w:rFonts w:ascii="Courier New" w:hAnsi="Courier New" w:cs="Courier New" w:hint="default"/>
      </w:rPr>
    </w:lvl>
    <w:lvl w:ilvl="2" w:tplc="2CE47AF4" w:tentative="1">
      <w:start w:val="1"/>
      <w:numFmt w:val="bullet"/>
      <w:lvlText w:val=""/>
      <w:lvlJc w:val="left"/>
      <w:pPr>
        <w:ind w:left="2880" w:hanging="360"/>
      </w:pPr>
      <w:rPr>
        <w:rFonts w:ascii="Wingdings" w:hAnsi="Wingdings" w:hint="default"/>
      </w:rPr>
    </w:lvl>
    <w:lvl w:ilvl="3" w:tplc="62E699B6" w:tentative="1">
      <w:start w:val="1"/>
      <w:numFmt w:val="bullet"/>
      <w:lvlText w:val=""/>
      <w:lvlJc w:val="left"/>
      <w:pPr>
        <w:ind w:left="3600" w:hanging="360"/>
      </w:pPr>
      <w:rPr>
        <w:rFonts w:ascii="Symbol" w:hAnsi="Symbol" w:hint="default"/>
      </w:rPr>
    </w:lvl>
    <w:lvl w:ilvl="4" w:tplc="53EAAFFA" w:tentative="1">
      <w:start w:val="1"/>
      <w:numFmt w:val="bullet"/>
      <w:lvlText w:val="o"/>
      <w:lvlJc w:val="left"/>
      <w:pPr>
        <w:ind w:left="4320" w:hanging="360"/>
      </w:pPr>
      <w:rPr>
        <w:rFonts w:ascii="Courier New" w:hAnsi="Courier New" w:cs="Courier New" w:hint="default"/>
      </w:rPr>
    </w:lvl>
    <w:lvl w:ilvl="5" w:tplc="A4584F66" w:tentative="1">
      <w:start w:val="1"/>
      <w:numFmt w:val="bullet"/>
      <w:lvlText w:val=""/>
      <w:lvlJc w:val="left"/>
      <w:pPr>
        <w:ind w:left="5040" w:hanging="360"/>
      </w:pPr>
      <w:rPr>
        <w:rFonts w:ascii="Wingdings" w:hAnsi="Wingdings" w:hint="default"/>
      </w:rPr>
    </w:lvl>
    <w:lvl w:ilvl="6" w:tplc="587AB42C" w:tentative="1">
      <w:start w:val="1"/>
      <w:numFmt w:val="bullet"/>
      <w:lvlText w:val=""/>
      <w:lvlJc w:val="left"/>
      <w:pPr>
        <w:ind w:left="5760" w:hanging="360"/>
      </w:pPr>
      <w:rPr>
        <w:rFonts w:ascii="Symbol" w:hAnsi="Symbol" w:hint="default"/>
      </w:rPr>
    </w:lvl>
    <w:lvl w:ilvl="7" w:tplc="69101F96" w:tentative="1">
      <w:start w:val="1"/>
      <w:numFmt w:val="bullet"/>
      <w:lvlText w:val="o"/>
      <w:lvlJc w:val="left"/>
      <w:pPr>
        <w:ind w:left="6480" w:hanging="360"/>
      </w:pPr>
      <w:rPr>
        <w:rFonts w:ascii="Courier New" w:hAnsi="Courier New" w:cs="Courier New" w:hint="default"/>
      </w:rPr>
    </w:lvl>
    <w:lvl w:ilvl="8" w:tplc="38F43702" w:tentative="1">
      <w:start w:val="1"/>
      <w:numFmt w:val="bullet"/>
      <w:lvlText w:val=""/>
      <w:lvlJc w:val="left"/>
      <w:pPr>
        <w:ind w:left="7200" w:hanging="360"/>
      </w:pPr>
      <w:rPr>
        <w:rFonts w:ascii="Wingdings" w:hAnsi="Wingdings" w:hint="default"/>
      </w:rPr>
    </w:lvl>
  </w:abstractNum>
  <w:abstractNum w:abstractNumId="3" w15:restartNumberingAfterBreak="0">
    <w:nsid w:val="1DB84BBB"/>
    <w:multiLevelType w:val="hybridMultilevel"/>
    <w:tmpl w:val="EEA83760"/>
    <w:lvl w:ilvl="0" w:tplc="50D8F55E">
      <w:start w:val="1"/>
      <w:numFmt w:val="decimal"/>
      <w:lvlText w:val="%1."/>
      <w:lvlJc w:val="left"/>
      <w:pPr>
        <w:ind w:left="720" w:hanging="360"/>
      </w:pPr>
    </w:lvl>
    <w:lvl w:ilvl="1" w:tplc="CC80EA98">
      <w:start w:val="1"/>
      <w:numFmt w:val="lowerLetter"/>
      <w:lvlText w:val="%2."/>
      <w:lvlJc w:val="left"/>
      <w:pPr>
        <w:ind w:left="1440" w:hanging="360"/>
      </w:pPr>
    </w:lvl>
    <w:lvl w:ilvl="2" w:tplc="5CB02356" w:tentative="1">
      <w:start w:val="1"/>
      <w:numFmt w:val="lowerRoman"/>
      <w:lvlText w:val="%3."/>
      <w:lvlJc w:val="right"/>
      <w:pPr>
        <w:ind w:left="2160" w:hanging="180"/>
      </w:pPr>
    </w:lvl>
    <w:lvl w:ilvl="3" w:tplc="FFDAEC04" w:tentative="1">
      <w:start w:val="1"/>
      <w:numFmt w:val="decimal"/>
      <w:lvlText w:val="%4."/>
      <w:lvlJc w:val="left"/>
      <w:pPr>
        <w:ind w:left="2880" w:hanging="360"/>
      </w:pPr>
    </w:lvl>
    <w:lvl w:ilvl="4" w:tplc="E2043E46" w:tentative="1">
      <w:start w:val="1"/>
      <w:numFmt w:val="lowerLetter"/>
      <w:lvlText w:val="%5."/>
      <w:lvlJc w:val="left"/>
      <w:pPr>
        <w:ind w:left="3600" w:hanging="360"/>
      </w:pPr>
    </w:lvl>
    <w:lvl w:ilvl="5" w:tplc="55B21344" w:tentative="1">
      <w:start w:val="1"/>
      <w:numFmt w:val="lowerRoman"/>
      <w:lvlText w:val="%6."/>
      <w:lvlJc w:val="right"/>
      <w:pPr>
        <w:ind w:left="4320" w:hanging="180"/>
      </w:pPr>
    </w:lvl>
    <w:lvl w:ilvl="6" w:tplc="8FE01C26" w:tentative="1">
      <w:start w:val="1"/>
      <w:numFmt w:val="decimal"/>
      <w:lvlText w:val="%7."/>
      <w:lvlJc w:val="left"/>
      <w:pPr>
        <w:ind w:left="5040" w:hanging="360"/>
      </w:pPr>
    </w:lvl>
    <w:lvl w:ilvl="7" w:tplc="478E7D0C" w:tentative="1">
      <w:start w:val="1"/>
      <w:numFmt w:val="lowerLetter"/>
      <w:lvlText w:val="%8."/>
      <w:lvlJc w:val="left"/>
      <w:pPr>
        <w:ind w:left="5760" w:hanging="360"/>
      </w:pPr>
    </w:lvl>
    <w:lvl w:ilvl="8" w:tplc="9BC8DFF6" w:tentative="1">
      <w:start w:val="1"/>
      <w:numFmt w:val="lowerRoman"/>
      <w:lvlText w:val="%9."/>
      <w:lvlJc w:val="right"/>
      <w:pPr>
        <w:ind w:left="6480" w:hanging="180"/>
      </w:pPr>
    </w:lvl>
  </w:abstractNum>
  <w:abstractNum w:abstractNumId="4" w15:restartNumberingAfterBreak="0">
    <w:nsid w:val="2D2474AC"/>
    <w:multiLevelType w:val="hybridMultilevel"/>
    <w:tmpl w:val="6C8A70F4"/>
    <w:lvl w:ilvl="0" w:tplc="ADA2A318">
      <w:start w:val="1"/>
      <w:numFmt w:val="decimal"/>
      <w:lvlText w:val="%1."/>
      <w:lvlJc w:val="left"/>
      <w:pPr>
        <w:ind w:left="1440" w:hanging="360"/>
      </w:pPr>
    </w:lvl>
    <w:lvl w:ilvl="1" w:tplc="7AA8DC02" w:tentative="1">
      <w:start w:val="1"/>
      <w:numFmt w:val="lowerLetter"/>
      <w:lvlText w:val="%2."/>
      <w:lvlJc w:val="left"/>
      <w:pPr>
        <w:ind w:left="2160" w:hanging="360"/>
      </w:pPr>
    </w:lvl>
    <w:lvl w:ilvl="2" w:tplc="C3784E34" w:tentative="1">
      <w:start w:val="1"/>
      <w:numFmt w:val="lowerRoman"/>
      <w:lvlText w:val="%3."/>
      <w:lvlJc w:val="right"/>
      <w:pPr>
        <w:ind w:left="2880" w:hanging="180"/>
      </w:pPr>
    </w:lvl>
    <w:lvl w:ilvl="3" w:tplc="A302179C" w:tentative="1">
      <w:start w:val="1"/>
      <w:numFmt w:val="decimal"/>
      <w:lvlText w:val="%4."/>
      <w:lvlJc w:val="left"/>
      <w:pPr>
        <w:ind w:left="3600" w:hanging="360"/>
      </w:pPr>
    </w:lvl>
    <w:lvl w:ilvl="4" w:tplc="26FE531E" w:tentative="1">
      <w:start w:val="1"/>
      <w:numFmt w:val="lowerLetter"/>
      <w:lvlText w:val="%5."/>
      <w:lvlJc w:val="left"/>
      <w:pPr>
        <w:ind w:left="4320" w:hanging="360"/>
      </w:pPr>
    </w:lvl>
    <w:lvl w:ilvl="5" w:tplc="09C049B2" w:tentative="1">
      <w:start w:val="1"/>
      <w:numFmt w:val="lowerRoman"/>
      <w:lvlText w:val="%6."/>
      <w:lvlJc w:val="right"/>
      <w:pPr>
        <w:ind w:left="5040" w:hanging="180"/>
      </w:pPr>
    </w:lvl>
    <w:lvl w:ilvl="6" w:tplc="969453A2" w:tentative="1">
      <w:start w:val="1"/>
      <w:numFmt w:val="decimal"/>
      <w:lvlText w:val="%7."/>
      <w:lvlJc w:val="left"/>
      <w:pPr>
        <w:ind w:left="5760" w:hanging="360"/>
      </w:pPr>
    </w:lvl>
    <w:lvl w:ilvl="7" w:tplc="04F81FE2" w:tentative="1">
      <w:start w:val="1"/>
      <w:numFmt w:val="lowerLetter"/>
      <w:lvlText w:val="%8."/>
      <w:lvlJc w:val="left"/>
      <w:pPr>
        <w:ind w:left="6480" w:hanging="360"/>
      </w:pPr>
    </w:lvl>
    <w:lvl w:ilvl="8" w:tplc="872C3FF8" w:tentative="1">
      <w:start w:val="1"/>
      <w:numFmt w:val="lowerRoman"/>
      <w:lvlText w:val="%9."/>
      <w:lvlJc w:val="right"/>
      <w:pPr>
        <w:ind w:left="7200" w:hanging="180"/>
      </w:pPr>
    </w:lvl>
  </w:abstractNum>
  <w:abstractNum w:abstractNumId="5" w15:restartNumberingAfterBreak="0">
    <w:nsid w:val="3E2D1729"/>
    <w:multiLevelType w:val="multilevel"/>
    <w:tmpl w:val="5D38C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5E3538"/>
    <w:multiLevelType w:val="multilevel"/>
    <w:tmpl w:val="CE288310"/>
    <w:lvl w:ilvl="0">
      <w:start w:val="1"/>
      <w:numFmt w:val="upperRoman"/>
      <w:pStyle w:val="Heading1"/>
      <w:lvlText w:val="%1."/>
      <w:lvlJc w:val="left"/>
      <w:pPr>
        <w:ind w:left="0" w:firstLine="0"/>
      </w:pPr>
      <w:rPr>
        <w:rFonts w:hint="default"/>
      </w:rPr>
    </w:lvl>
    <w:lvl w:ilvl="1">
      <w:start w:val="1"/>
      <w:numFmt w:val="upperLetter"/>
      <w:lvlText w:val="%2."/>
      <w:lvlJc w:val="left"/>
      <w:pPr>
        <w:ind w:left="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61641335"/>
    <w:multiLevelType w:val="multilevel"/>
    <w:tmpl w:val="09069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481036"/>
    <w:multiLevelType w:val="hybridMultilevel"/>
    <w:tmpl w:val="502C36CE"/>
    <w:lvl w:ilvl="0" w:tplc="0400EEC4">
      <w:start w:val="1"/>
      <w:numFmt w:val="decimal"/>
      <w:lvlText w:val="%1."/>
      <w:lvlJc w:val="left"/>
      <w:pPr>
        <w:ind w:left="1440" w:hanging="360"/>
      </w:pPr>
    </w:lvl>
    <w:lvl w:ilvl="1" w:tplc="80B41EA8" w:tentative="1">
      <w:start w:val="1"/>
      <w:numFmt w:val="lowerLetter"/>
      <w:lvlText w:val="%2."/>
      <w:lvlJc w:val="left"/>
      <w:pPr>
        <w:ind w:left="2160" w:hanging="360"/>
      </w:pPr>
    </w:lvl>
    <w:lvl w:ilvl="2" w:tplc="72FEFBD8" w:tentative="1">
      <w:start w:val="1"/>
      <w:numFmt w:val="lowerRoman"/>
      <w:lvlText w:val="%3."/>
      <w:lvlJc w:val="right"/>
      <w:pPr>
        <w:ind w:left="2880" w:hanging="180"/>
      </w:pPr>
    </w:lvl>
    <w:lvl w:ilvl="3" w:tplc="1C58CBAE" w:tentative="1">
      <w:start w:val="1"/>
      <w:numFmt w:val="decimal"/>
      <w:lvlText w:val="%4."/>
      <w:lvlJc w:val="left"/>
      <w:pPr>
        <w:ind w:left="3600" w:hanging="360"/>
      </w:pPr>
    </w:lvl>
    <w:lvl w:ilvl="4" w:tplc="8B444022" w:tentative="1">
      <w:start w:val="1"/>
      <w:numFmt w:val="lowerLetter"/>
      <w:lvlText w:val="%5."/>
      <w:lvlJc w:val="left"/>
      <w:pPr>
        <w:ind w:left="4320" w:hanging="360"/>
      </w:pPr>
    </w:lvl>
    <w:lvl w:ilvl="5" w:tplc="E0B65378" w:tentative="1">
      <w:start w:val="1"/>
      <w:numFmt w:val="lowerRoman"/>
      <w:lvlText w:val="%6."/>
      <w:lvlJc w:val="right"/>
      <w:pPr>
        <w:ind w:left="5040" w:hanging="180"/>
      </w:pPr>
    </w:lvl>
    <w:lvl w:ilvl="6" w:tplc="BC7692E0" w:tentative="1">
      <w:start w:val="1"/>
      <w:numFmt w:val="decimal"/>
      <w:lvlText w:val="%7."/>
      <w:lvlJc w:val="left"/>
      <w:pPr>
        <w:ind w:left="5760" w:hanging="360"/>
      </w:pPr>
    </w:lvl>
    <w:lvl w:ilvl="7" w:tplc="40BA80C6" w:tentative="1">
      <w:start w:val="1"/>
      <w:numFmt w:val="lowerLetter"/>
      <w:lvlText w:val="%8."/>
      <w:lvlJc w:val="left"/>
      <w:pPr>
        <w:ind w:left="6480" w:hanging="360"/>
      </w:pPr>
    </w:lvl>
    <w:lvl w:ilvl="8" w:tplc="BF9C71F2" w:tentative="1">
      <w:start w:val="1"/>
      <w:numFmt w:val="lowerRoman"/>
      <w:lvlText w:val="%9."/>
      <w:lvlJc w:val="right"/>
      <w:pPr>
        <w:ind w:left="7200" w:hanging="180"/>
      </w:pPr>
    </w:lvl>
  </w:abstractNum>
  <w:abstractNum w:abstractNumId="9" w15:restartNumberingAfterBreak="0">
    <w:nsid w:val="725B4BF6"/>
    <w:multiLevelType w:val="multilevel"/>
    <w:tmpl w:val="C420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0869539">
    <w:abstractNumId w:val="6"/>
  </w:num>
  <w:num w:numId="2" w16cid:durableId="132843037">
    <w:abstractNumId w:val="3"/>
  </w:num>
  <w:num w:numId="3" w16cid:durableId="64646213">
    <w:abstractNumId w:val="9"/>
  </w:num>
  <w:num w:numId="4" w16cid:durableId="244077466">
    <w:abstractNumId w:val="7"/>
  </w:num>
  <w:num w:numId="5" w16cid:durableId="1255019512">
    <w:abstractNumId w:val="5"/>
  </w:num>
  <w:num w:numId="6" w16cid:durableId="1959331025">
    <w:abstractNumId w:val="4"/>
  </w:num>
  <w:num w:numId="7" w16cid:durableId="2092962758">
    <w:abstractNumId w:val="8"/>
  </w:num>
  <w:num w:numId="8" w16cid:durableId="143550589">
    <w:abstractNumId w:val="0"/>
  </w:num>
  <w:num w:numId="9" w16cid:durableId="771046752">
    <w:abstractNumId w:val="1"/>
  </w:num>
  <w:num w:numId="10" w16cid:durableId="96759244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DC"/>
    <w:rsid w:val="000004A9"/>
    <w:rsid w:val="00000655"/>
    <w:rsid w:val="00001258"/>
    <w:rsid w:val="00001D4B"/>
    <w:rsid w:val="000020B1"/>
    <w:rsid w:val="00003256"/>
    <w:rsid w:val="00003362"/>
    <w:rsid w:val="0000400B"/>
    <w:rsid w:val="00004E6E"/>
    <w:rsid w:val="000052C1"/>
    <w:rsid w:val="000052F7"/>
    <w:rsid w:val="00005B10"/>
    <w:rsid w:val="0000693C"/>
    <w:rsid w:val="000069F5"/>
    <w:rsid w:val="00007BE4"/>
    <w:rsid w:val="0001049D"/>
    <w:rsid w:val="0001114A"/>
    <w:rsid w:val="0001155F"/>
    <w:rsid w:val="000124EC"/>
    <w:rsid w:val="000127D5"/>
    <w:rsid w:val="00012FBF"/>
    <w:rsid w:val="000130D3"/>
    <w:rsid w:val="00013757"/>
    <w:rsid w:val="00013CF4"/>
    <w:rsid w:val="000140A7"/>
    <w:rsid w:val="0001515B"/>
    <w:rsid w:val="00015FC6"/>
    <w:rsid w:val="000163F6"/>
    <w:rsid w:val="00017099"/>
    <w:rsid w:val="000170B1"/>
    <w:rsid w:val="00017DF3"/>
    <w:rsid w:val="000202A4"/>
    <w:rsid w:val="00022C03"/>
    <w:rsid w:val="00023779"/>
    <w:rsid w:val="00023E2B"/>
    <w:rsid w:val="000251B3"/>
    <w:rsid w:val="000256A7"/>
    <w:rsid w:val="0002599B"/>
    <w:rsid w:val="00025DD2"/>
    <w:rsid w:val="00025FC8"/>
    <w:rsid w:val="000265E4"/>
    <w:rsid w:val="00030C2F"/>
    <w:rsid w:val="0003106F"/>
    <w:rsid w:val="00031788"/>
    <w:rsid w:val="00033389"/>
    <w:rsid w:val="000348AC"/>
    <w:rsid w:val="00034AEC"/>
    <w:rsid w:val="00034BE7"/>
    <w:rsid w:val="00034CDF"/>
    <w:rsid w:val="000350C4"/>
    <w:rsid w:val="00035497"/>
    <w:rsid w:val="00035EFE"/>
    <w:rsid w:val="000370D2"/>
    <w:rsid w:val="00040BF5"/>
    <w:rsid w:val="00041185"/>
    <w:rsid w:val="00041190"/>
    <w:rsid w:val="00041413"/>
    <w:rsid w:val="00041C64"/>
    <w:rsid w:val="00041E9D"/>
    <w:rsid w:val="000427E1"/>
    <w:rsid w:val="00042FA3"/>
    <w:rsid w:val="000432ED"/>
    <w:rsid w:val="00043DF6"/>
    <w:rsid w:val="00043E1A"/>
    <w:rsid w:val="00044903"/>
    <w:rsid w:val="000453B2"/>
    <w:rsid w:val="00045D0F"/>
    <w:rsid w:val="000470C7"/>
    <w:rsid w:val="00047396"/>
    <w:rsid w:val="0005027A"/>
    <w:rsid w:val="000503C1"/>
    <w:rsid w:val="0005111E"/>
    <w:rsid w:val="0005145B"/>
    <w:rsid w:val="00052045"/>
    <w:rsid w:val="000520C5"/>
    <w:rsid w:val="00052217"/>
    <w:rsid w:val="000532FB"/>
    <w:rsid w:val="000533CB"/>
    <w:rsid w:val="0005455D"/>
    <w:rsid w:val="000553C5"/>
    <w:rsid w:val="00055B47"/>
    <w:rsid w:val="00055C96"/>
    <w:rsid w:val="00055DF9"/>
    <w:rsid w:val="00056A1A"/>
    <w:rsid w:val="000573DD"/>
    <w:rsid w:val="000575B2"/>
    <w:rsid w:val="0006002D"/>
    <w:rsid w:val="000607D9"/>
    <w:rsid w:val="000609D6"/>
    <w:rsid w:val="00060BD8"/>
    <w:rsid w:val="00061367"/>
    <w:rsid w:val="000614DD"/>
    <w:rsid w:val="00061BAD"/>
    <w:rsid w:val="000623A7"/>
    <w:rsid w:val="000626AC"/>
    <w:rsid w:val="0006279D"/>
    <w:rsid w:val="00062F9A"/>
    <w:rsid w:val="0006316B"/>
    <w:rsid w:val="000633B5"/>
    <w:rsid w:val="00064835"/>
    <w:rsid w:val="00064C81"/>
    <w:rsid w:val="00064C85"/>
    <w:rsid w:val="000651DF"/>
    <w:rsid w:val="00065D2D"/>
    <w:rsid w:val="000665F9"/>
    <w:rsid w:val="00070FF6"/>
    <w:rsid w:val="0007167D"/>
    <w:rsid w:val="000726E7"/>
    <w:rsid w:val="00072F26"/>
    <w:rsid w:val="00072FA8"/>
    <w:rsid w:val="00073B3D"/>
    <w:rsid w:val="00074039"/>
    <w:rsid w:val="000745C8"/>
    <w:rsid w:val="00074A83"/>
    <w:rsid w:val="00074B5E"/>
    <w:rsid w:val="00074C12"/>
    <w:rsid w:val="00074CC9"/>
    <w:rsid w:val="00075735"/>
    <w:rsid w:val="000768B2"/>
    <w:rsid w:val="00076C96"/>
    <w:rsid w:val="0007766E"/>
    <w:rsid w:val="000810E1"/>
    <w:rsid w:val="000843CF"/>
    <w:rsid w:val="000844F0"/>
    <w:rsid w:val="00084DD4"/>
    <w:rsid w:val="00085763"/>
    <w:rsid w:val="00087268"/>
    <w:rsid w:val="00090FDC"/>
    <w:rsid w:val="00091365"/>
    <w:rsid w:val="000932BF"/>
    <w:rsid w:val="00093A89"/>
    <w:rsid w:val="00093E59"/>
    <w:rsid w:val="000940D6"/>
    <w:rsid w:val="000966A5"/>
    <w:rsid w:val="00096830"/>
    <w:rsid w:val="00096CAE"/>
    <w:rsid w:val="000A02FB"/>
    <w:rsid w:val="000A0D04"/>
    <w:rsid w:val="000A1934"/>
    <w:rsid w:val="000A1CA9"/>
    <w:rsid w:val="000A2304"/>
    <w:rsid w:val="000A2386"/>
    <w:rsid w:val="000A3240"/>
    <w:rsid w:val="000A3649"/>
    <w:rsid w:val="000A4BD4"/>
    <w:rsid w:val="000A5613"/>
    <w:rsid w:val="000A56B0"/>
    <w:rsid w:val="000A6315"/>
    <w:rsid w:val="000A651A"/>
    <w:rsid w:val="000A6C2F"/>
    <w:rsid w:val="000A7362"/>
    <w:rsid w:val="000A791D"/>
    <w:rsid w:val="000A7B2E"/>
    <w:rsid w:val="000A7EA6"/>
    <w:rsid w:val="000B0EF2"/>
    <w:rsid w:val="000B16C5"/>
    <w:rsid w:val="000B1CEE"/>
    <w:rsid w:val="000B2FC4"/>
    <w:rsid w:val="000B2FF8"/>
    <w:rsid w:val="000B3316"/>
    <w:rsid w:val="000B3907"/>
    <w:rsid w:val="000B3D25"/>
    <w:rsid w:val="000B4F7D"/>
    <w:rsid w:val="000B5600"/>
    <w:rsid w:val="000B591F"/>
    <w:rsid w:val="000B6682"/>
    <w:rsid w:val="000C02C1"/>
    <w:rsid w:val="000C16B2"/>
    <w:rsid w:val="000C1CF9"/>
    <w:rsid w:val="000C2218"/>
    <w:rsid w:val="000C257E"/>
    <w:rsid w:val="000C2B8B"/>
    <w:rsid w:val="000C4587"/>
    <w:rsid w:val="000C473D"/>
    <w:rsid w:val="000C5B5E"/>
    <w:rsid w:val="000C5DB7"/>
    <w:rsid w:val="000C5DC7"/>
    <w:rsid w:val="000C6514"/>
    <w:rsid w:val="000C74C3"/>
    <w:rsid w:val="000C7798"/>
    <w:rsid w:val="000C7F39"/>
    <w:rsid w:val="000D1BA7"/>
    <w:rsid w:val="000D29BB"/>
    <w:rsid w:val="000D2DF7"/>
    <w:rsid w:val="000D3CB7"/>
    <w:rsid w:val="000D3FB6"/>
    <w:rsid w:val="000D48A4"/>
    <w:rsid w:val="000D4A0C"/>
    <w:rsid w:val="000D4DDC"/>
    <w:rsid w:val="000D6056"/>
    <w:rsid w:val="000E04DA"/>
    <w:rsid w:val="000E07C6"/>
    <w:rsid w:val="000E0D0D"/>
    <w:rsid w:val="000E0DA2"/>
    <w:rsid w:val="000E0E6E"/>
    <w:rsid w:val="000E11E3"/>
    <w:rsid w:val="000E2FCF"/>
    <w:rsid w:val="000E3362"/>
    <w:rsid w:val="000E3423"/>
    <w:rsid w:val="000E46C0"/>
    <w:rsid w:val="000E486C"/>
    <w:rsid w:val="000E4954"/>
    <w:rsid w:val="000E4979"/>
    <w:rsid w:val="000E4A32"/>
    <w:rsid w:val="000E4ABF"/>
    <w:rsid w:val="000E4CD1"/>
    <w:rsid w:val="000E51B9"/>
    <w:rsid w:val="000E51BB"/>
    <w:rsid w:val="000E56DB"/>
    <w:rsid w:val="000E62DA"/>
    <w:rsid w:val="000E6B41"/>
    <w:rsid w:val="000E72BD"/>
    <w:rsid w:val="000E7610"/>
    <w:rsid w:val="000E7D1A"/>
    <w:rsid w:val="000F0355"/>
    <w:rsid w:val="000F09A3"/>
    <w:rsid w:val="000F0EB3"/>
    <w:rsid w:val="000F1144"/>
    <w:rsid w:val="000F33D4"/>
    <w:rsid w:val="000F3A80"/>
    <w:rsid w:val="000F3C7E"/>
    <w:rsid w:val="000F3D8D"/>
    <w:rsid w:val="000F4754"/>
    <w:rsid w:val="000F55E4"/>
    <w:rsid w:val="000F566D"/>
    <w:rsid w:val="000F5768"/>
    <w:rsid w:val="000F57AF"/>
    <w:rsid w:val="000F6AAF"/>
    <w:rsid w:val="000F6BF3"/>
    <w:rsid w:val="000F6E94"/>
    <w:rsid w:val="000F7B77"/>
    <w:rsid w:val="000F7E3A"/>
    <w:rsid w:val="00100295"/>
    <w:rsid w:val="001008CF"/>
    <w:rsid w:val="00100B5A"/>
    <w:rsid w:val="00101991"/>
    <w:rsid w:val="00101DC9"/>
    <w:rsid w:val="00102009"/>
    <w:rsid w:val="00102660"/>
    <w:rsid w:val="00102FCE"/>
    <w:rsid w:val="00103132"/>
    <w:rsid w:val="00103FB9"/>
    <w:rsid w:val="001053B0"/>
    <w:rsid w:val="00106ED6"/>
    <w:rsid w:val="00107E50"/>
    <w:rsid w:val="00110041"/>
    <w:rsid w:val="00110AAF"/>
    <w:rsid w:val="00111A9E"/>
    <w:rsid w:val="00111C81"/>
    <w:rsid w:val="00112B46"/>
    <w:rsid w:val="00112C55"/>
    <w:rsid w:val="001135F5"/>
    <w:rsid w:val="00113C2A"/>
    <w:rsid w:val="00115106"/>
    <w:rsid w:val="001151DA"/>
    <w:rsid w:val="001155FC"/>
    <w:rsid w:val="001177DC"/>
    <w:rsid w:val="00120251"/>
    <w:rsid w:val="001219F1"/>
    <w:rsid w:val="001225ED"/>
    <w:rsid w:val="0012289F"/>
    <w:rsid w:val="00122BA6"/>
    <w:rsid w:val="0012327B"/>
    <w:rsid w:val="00123FCE"/>
    <w:rsid w:val="001245A2"/>
    <w:rsid w:val="00124B8B"/>
    <w:rsid w:val="00124BC2"/>
    <w:rsid w:val="00126A6B"/>
    <w:rsid w:val="001277C8"/>
    <w:rsid w:val="00127ED4"/>
    <w:rsid w:val="00127F40"/>
    <w:rsid w:val="00131442"/>
    <w:rsid w:val="001316C1"/>
    <w:rsid w:val="001319E8"/>
    <w:rsid w:val="00131DB5"/>
    <w:rsid w:val="00131E2B"/>
    <w:rsid w:val="00132670"/>
    <w:rsid w:val="00132DD1"/>
    <w:rsid w:val="00134110"/>
    <w:rsid w:val="00134FB0"/>
    <w:rsid w:val="001352CC"/>
    <w:rsid w:val="0013572E"/>
    <w:rsid w:val="00136437"/>
    <w:rsid w:val="00136B47"/>
    <w:rsid w:val="00136CA4"/>
    <w:rsid w:val="00136D39"/>
    <w:rsid w:val="0013705B"/>
    <w:rsid w:val="00137637"/>
    <w:rsid w:val="00137817"/>
    <w:rsid w:val="0014195E"/>
    <w:rsid w:val="001421A7"/>
    <w:rsid w:val="00142C05"/>
    <w:rsid w:val="00143B32"/>
    <w:rsid w:val="00144ED9"/>
    <w:rsid w:val="001450FB"/>
    <w:rsid w:val="00145118"/>
    <w:rsid w:val="00145C24"/>
    <w:rsid w:val="00145E28"/>
    <w:rsid w:val="00146B35"/>
    <w:rsid w:val="00146EBD"/>
    <w:rsid w:val="00147CF4"/>
    <w:rsid w:val="00150108"/>
    <w:rsid w:val="001506EB"/>
    <w:rsid w:val="00150988"/>
    <w:rsid w:val="00150D7F"/>
    <w:rsid w:val="001510DD"/>
    <w:rsid w:val="0015165F"/>
    <w:rsid w:val="00151D22"/>
    <w:rsid w:val="00152119"/>
    <w:rsid w:val="00152446"/>
    <w:rsid w:val="0015279D"/>
    <w:rsid w:val="0015340C"/>
    <w:rsid w:val="00154122"/>
    <w:rsid w:val="00154734"/>
    <w:rsid w:val="00154EC9"/>
    <w:rsid w:val="00155F6C"/>
    <w:rsid w:val="001565C4"/>
    <w:rsid w:val="00156EFB"/>
    <w:rsid w:val="00156FFC"/>
    <w:rsid w:val="001572D1"/>
    <w:rsid w:val="00157400"/>
    <w:rsid w:val="001576C9"/>
    <w:rsid w:val="001579E7"/>
    <w:rsid w:val="00157B05"/>
    <w:rsid w:val="001605D3"/>
    <w:rsid w:val="00160662"/>
    <w:rsid w:val="00160958"/>
    <w:rsid w:val="00161F1B"/>
    <w:rsid w:val="00162701"/>
    <w:rsid w:val="0016309F"/>
    <w:rsid w:val="00163725"/>
    <w:rsid w:val="00163DD0"/>
    <w:rsid w:val="001643AC"/>
    <w:rsid w:val="001645C7"/>
    <w:rsid w:val="00164C5C"/>
    <w:rsid w:val="0016508A"/>
    <w:rsid w:val="001654C2"/>
    <w:rsid w:val="00166062"/>
    <w:rsid w:val="00171323"/>
    <w:rsid w:val="0017233A"/>
    <w:rsid w:val="001730DD"/>
    <w:rsid w:val="0017355E"/>
    <w:rsid w:val="00174864"/>
    <w:rsid w:val="00175AE2"/>
    <w:rsid w:val="001762F6"/>
    <w:rsid w:val="00176E91"/>
    <w:rsid w:val="001777EC"/>
    <w:rsid w:val="00177FC3"/>
    <w:rsid w:val="00181164"/>
    <w:rsid w:val="00181428"/>
    <w:rsid w:val="00181727"/>
    <w:rsid w:val="00181D2D"/>
    <w:rsid w:val="001826DE"/>
    <w:rsid w:val="0018279B"/>
    <w:rsid w:val="00182E06"/>
    <w:rsid w:val="00183C36"/>
    <w:rsid w:val="0018413B"/>
    <w:rsid w:val="00184833"/>
    <w:rsid w:val="00186C0F"/>
    <w:rsid w:val="00186D39"/>
    <w:rsid w:val="00186DB1"/>
    <w:rsid w:val="00187C07"/>
    <w:rsid w:val="00190507"/>
    <w:rsid w:val="0019116F"/>
    <w:rsid w:val="001914FA"/>
    <w:rsid w:val="001917B4"/>
    <w:rsid w:val="00191CBE"/>
    <w:rsid w:val="00191D4F"/>
    <w:rsid w:val="00192878"/>
    <w:rsid w:val="001928AF"/>
    <w:rsid w:val="001948F0"/>
    <w:rsid w:val="00194E09"/>
    <w:rsid w:val="001951B4"/>
    <w:rsid w:val="001956FF"/>
    <w:rsid w:val="001957EF"/>
    <w:rsid w:val="00195AB7"/>
    <w:rsid w:val="00196274"/>
    <w:rsid w:val="001965C5"/>
    <w:rsid w:val="001A0328"/>
    <w:rsid w:val="001A05E4"/>
    <w:rsid w:val="001A09CE"/>
    <w:rsid w:val="001A1B9C"/>
    <w:rsid w:val="001A20EB"/>
    <w:rsid w:val="001A275E"/>
    <w:rsid w:val="001A3192"/>
    <w:rsid w:val="001A3446"/>
    <w:rsid w:val="001A3F56"/>
    <w:rsid w:val="001A5BC6"/>
    <w:rsid w:val="001A5C4B"/>
    <w:rsid w:val="001A620E"/>
    <w:rsid w:val="001A6299"/>
    <w:rsid w:val="001A644E"/>
    <w:rsid w:val="001B0AD4"/>
    <w:rsid w:val="001B0AEC"/>
    <w:rsid w:val="001B0C84"/>
    <w:rsid w:val="001B17D4"/>
    <w:rsid w:val="001B2408"/>
    <w:rsid w:val="001B29DD"/>
    <w:rsid w:val="001B2F27"/>
    <w:rsid w:val="001B308F"/>
    <w:rsid w:val="001B3177"/>
    <w:rsid w:val="001B392D"/>
    <w:rsid w:val="001B5496"/>
    <w:rsid w:val="001B6135"/>
    <w:rsid w:val="001B75CB"/>
    <w:rsid w:val="001C295D"/>
    <w:rsid w:val="001C3F54"/>
    <w:rsid w:val="001C635F"/>
    <w:rsid w:val="001C6545"/>
    <w:rsid w:val="001C6B11"/>
    <w:rsid w:val="001C6CF1"/>
    <w:rsid w:val="001C76BB"/>
    <w:rsid w:val="001C79E5"/>
    <w:rsid w:val="001C7A4A"/>
    <w:rsid w:val="001C7F5A"/>
    <w:rsid w:val="001D0559"/>
    <w:rsid w:val="001D058C"/>
    <w:rsid w:val="001D0B5B"/>
    <w:rsid w:val="001D10A0"/>
    <w:rsid w:val="001D215F"/>
    <w:rsid w:val="001D285F"/>
    <w:rsid w:val="001D36F7"/>
    <w:rsid w:val="001D372E"/>
    <w:rsid w:val="001D3914"/>
    <w:rsid w:val="001D4E5F"/>
    <w:rsid w:val="001D52E1"/>
    <w:rsid w:val="001D5363"/>
    <w:rsid w:val="001D542B"/>
    <w:rsid w:val="001D563C"/>
    <w:rsid w:val="001D56C5"/>
    <w:rsid w:val="001D64DE"/>
    <w:rsid w:val="001D6D76"/>
    <w:rsid w:val="001D6E99"/>
    <w:rsid w:val="001D7B86"/>
    <w:rsid w:val="001E02AE"/>
    <w:rsid w:val="001E0885"/>
    <w:rsid w:val="001E1374"/>
    <w:rsid w:val="001E1D70"/>
    <w:rsid w:val="001E3AC1"/>
    <w:rsid w:val="001E3B09"/>
    <w:rsid w:val="001E3FF9"/>
    <w:rsid w:val="001E3FFD"/>
    <w:rsid w:val="001E4CD6"/>
    <w:rsid w:val="001E5335"/>
    <w:rsid w:val="001E560A"/>
    <w:rsid w:val="001E570F"/>
    <w:rsid w:val="001E5CD8"/>
    <w:rsid w:val="001E616D"/>
    <w:rsid w:val="001E62A2"/>
    <w:rsid w:val="001E6339"/>
    <w:rsid w:val="001E686E"/>
    <w:rsid w:val="001E763C"/>
    <w:rsid w:val="001E76D2"/>
    <w:rsid w:val="001E7860"/>
    <w:rsid w:val="001E79F9"/>
    <w:rsid w:val="001E7EA9"/>
    <w:rsid w:val="001F0801"/>
    <w:rsid w:val="001F0BC8"/>
    <w:rsid w:val="001F1302"/>
    <w:rsid w:val="001F1355"/>
    <w:rsid w:val="001F1826"/>
    <w:rsid w:val="001F1F96"/>
    <w:rsid w:val="001F2A17"/>
    <w:rsid w:val="001F2A7E"/>
    <w:rsid w:val="001F3527"/>
    <w:rsid w:val="001F3E4F"/>
    <w:rsid w:val="001F52BC"/>
    <w:rsid w:val="001F53CA"/>
    <w:rsid w:val="001F6225"/>
    <w:rsid w:val="001F6786"/>
    <w:rsid w:val="001F7611"/>
    <w:rsid w:val="001F7949"/>
    <w:rsid w:val="001F7CBF"/>
    <w:rsid w:val="0020028C"/>
    <w:rsid w:val="00201714"/>
    <w:rsid w:val="00201CB9"/>
    <w:rsid w:val="0020276E"/>
    <w:rsid w:val="00202AA2"/>
    <w:rsid w:val="00202CEF"/>
    <w:rsid w:val="00203513"/>
    <w:rsid w:val="00203CA3"/>
    <w:rsid w:val="00203EE6"/>
    <w:rsid w:val="0020483F"/>
    <w:rsid w:val="00204DB6"/>
    <w:rsid w:val="00204FFC"/>
    <w:rsid w:val="00205248"/>
    <w:rsid w:val="002054C3"/>
    <w:rsid w:val="00205BBE"/>
    <w:rsid w:val="00206263"/>
    <w:rsid w:val="0020664D"/>
    <w:rsid w:val="002073BB"/>
    <w:rsid w:val="00210B64"/>
    <w:rsid w:val="00211B15"/>
    <w:rsid w:val="0021252C"/>
    <w:rsid w:val="00212563"/>
    <w:rsid w:val="00212930"/>
    <w:rsid w:val="00212B0D"/>
    <w:rsid w:val="00213C9B"/>
    <w:rsid w:val="00213E63"/>
    <w:rsid w:val="0021477D"/>
    <w:rsid w:val="00214A22"/>
    <w:rsid w:val="00214A9A"/>
    <w:rsid w:val="00215132"/>
    <w:rsid w:val="00215F8B"/>
    <w:rsid w:val="002178BD"/>
    <w:rsid w:val="00221266"/>
    <w:rsid w:val="00221324"/>
    <w:rsid w:val="002214E3"/>
    <w:rsid w:val="0022158C"/>
    <w:rsid w:val="002219D8"/>
    <w:rsid w:val="00221B46"/>
    <w:rsid w:val="00222321"/>
    <w:rsid w:val="00222B29"/>
    <w:rsid w:val="00223013"/>
    <w:rsid w:val="00223A55"/>
    <w:rsid w:val="00223D08"/>
    <w:rsid w:val="002242D1"/>
    <w:rsid w:val="0022439D"/>
    <w:rsid w:val="00224A2D"/>
    <w:rsid w:val="00224D71"/>
    <w:rsid w:val="002266F5"/>
    <w:rsid w:val="00226742"/>
    <w:rsid w:val="002272E3"/>
    <w:rsid w:val="002273B4"/>
    <w:rsid w:val="00227542"/>
    <w:rsid w:val="00227B63"/>
    <w:rsid w:val="00227CC0"/>
    <w:rsid w:val="00230E34"/>
    <w:rsid w:val="0023199D"/>
    <w:rsid w:val="00231CC7"/>
    <w:rsid w:val="00231EB6"/>
    <w:rsid w:val="002322FA"/>
    <w:rsid w:val="00232F90"/>
    <w:rsid w:val="002333AD"/>
    <w:rsid w:val="00233766"/>
    <w:rsid w:val="002342AF"/>
    <w:rsid w:val="00237852"/>
    <w:rsid w:val="0024045C"/>
    <w:rsid w:val="0024060D"/>
    <w:rsid w:val="00240DD1"/>
    <w:rsid w:val="0024290E"/>
    <w:rsid w:val="00243094"/>
    <w:rsid w:val="00243529"/>
    <w:rsid w:val="002435B6"/>
    <w:rsid w:val="002435C1"/>
    <w:rsid w:val="00243D57"/>
    <w:rsid w:val="002450F8"/>
    <w:rsid w:val="00245F60"/>
    <w:rsid w:val="002463CC"/>
    <w:rsid w:val="002464CF"/>
    <w:rsid w:val="002465F2"/>
    <w:rsid w:val="002470E7"/>
    <w:rsid w:val="00247D22"/>
    <w:rsid w:val="0025017D"/>
    <w:rsid w:val="00250A22"/>
    <w:rsid w:val="00250ACB"/>
    <w:rsid w:val="00250DC6"/>
    <w:rsid w:val="00250DFB"/>
    <w:rsid w:val="00251079"/>
    <w:rsid w:val="0025149F"/>
    <w:rsid w:val="00251CD7"/>
    <w:rsid w:val="00252385"/>
    <w:rsid w:val="00252FC2"/>
    <w:rsid w:val="002543E8"/>
    <w:rsid w:val="002544C1"/>
    <w:rsid w:val="00254901"/>
    <w:rsid w:val="0025583B"/>
    <w:rsid w:val="002559C8"/>
    <w:rsid w:val="00255E9E"/>
    <w:rsid w:val="0025636B"/>
    <w:rsid w:val="00257602"/>
    <w:rsid w:val="0025775F"/>
    <w:rsid w:val="002602D6"/>
    <w:rsid w:val="00260AFF"/>
    <w:rsid w:val="00260E04"/>
    <w:rsid w:val="00262485"/>
    <w:rsid w:val="00263E6E"/>
    <w:rsid w:val="0026401B"/>
    <w:rsid w:val="002644BF"/>
    <w:rsid w:val="002645C5"/>
    <w:rsid w:val="00265856"/>
    <w:rsid w:val="00266528"/>
    <w:rsid w:val="0026658C"/>
    <w:rsid w:val="002665B0"/>
    <w:rsid w:val="002669E1"/>
    <w:rsid w:val="00267E67"/>
    <w:rsid w:val="00270636"/>
    <w:rsid w:val="00272DD3"/>
    <w:rsid w:val="00273193"/>
    <w:rsid w:val="00273C98"/>
    <w:rsid w:val="0027533F"/>
    <w:rsid w:val="0027542A"/>
    <w:rsid w:val="0027555F"/>
    <w:rsid w:val="00275740"/>
    <w:rsid w:val="00275F4A"/>
    <w:rsid w:val="00276019"/>
    <w:rsid w:val="00280058"/>
    <w:rsid w:val="0028035C"/>
    <w:rsid w:val="0028122D"/>
    <w:rsid w:val="00281258"/>
    <w:rsid w:val="002812E4"/>
    <w:rsid w:val="002813E0"/>
    <w:rsid w:val="002815B6"/>
    <w:rsid w:val="00282774"/>
    <w:rsid w:val="00283754"/>
    <w:rsid w:val="00284377"/>
    <w:rsid w:val="00285164"/>
    <w:rsid w:val="00286904"/>
    <w:rsid w:val="00286BA8"/>
    <w:rsid w:val="00286F58"/>
    <w:rsid w:val="002871BB"/>
    <w:rsid w:val="00290726"/>
    <w:rsid w:val="00291FB2"/>
    <w:rsid w:val="0029315B"/>
    <w:rsid w:val="0029454B"/>
    <w:rsid w:val="002946CB"/>
    <w:rsid w:val="00295187"/>
    <w:rsid w:val="00296226"/>
    <w:rsid w:val="0029673C"/>
    <w:rsid w:val="00296830"/>
    <w:rsid w:val="00296900"/>
    <w:rsid w:val="00296970"/>
    <w:rsid w:val="00297971"/>
    <w:rsid w:val="00297DFB"/>
    <w:rsid w:val="002A081C"/>
    <w:rsid w:val="002A1308"/>
    <w:rsid w:val="002A18E6"/>
    <w:rsid w:val="002A1E0A"/>
    <w:rsid w:val="002A2D5C"/>
    <w:rsid w:val="002A2D87"/>
    <w:rsid w:val="002A365A"/>
    <w:rsid w:val="002A3940"/>
    <w:rsid w:val="002A3BF0"/>
    <w:rsid w:val="002A3BF6"/>
    <w:rsid w:val="002A3CFA"/>
    <w:rsid w:val="002A4DB0"/>
    <w:rsid w:val="002A505A"/>
    <w:rsid w:val="002A53E7"/>
    <w:rsid w:val="002A5621"/>
    <w:rsid w:val="002A5622"/>
    <w:rsid w:val="002A5DBB"/>
    <w:rsid w:val="002A663B"/>
    <w:rsid w:val="002A67D5"/>
    <w:rsid w:val="002A69AE"/>
    <w:rsid w:val="002A71F0"/>
    <w:rsid w:val="002B16DB"/>
    <w:rsid w:val="002B1B70"/>
    <w:rsid w:val="002B1BAB"/>
    <w:rsid w:val="002B1F0E"/>
    <w:rsid w:val="002B2801"/>
    <w:rsid w:val="002B34DA"/>
    <w:rsid w:val="002B4445"/>
    <w:rsid w:val="002B481E"/>
    <w:rsid w:val="002B5102"/>
    <w:rsid w:val="002B54B9"/>
    <w:rsid w:val="002B5BDD"/>
    <w:rsid w:val="002B5ECD"/>
    <w:rsid w:val="002B608A"/>
    <w:rsid w:val="002B67C7"/>
    <w:rsid w:val="002B6A29"/>
    <w:rsid w:val="002B6B40"/>
    <w:rsid w:val="002B7A27"/>
    <w:rsid w:val="002C099C"/>
    <w:rsid w:val="002C0C6E"/>
    <w:rsid w:val="002C0E4E"/>
    <w:rsid w:val="002C243C"/>
    <w:rsid w:val="002C25A2"/>
    <w:rsid w:val="002C2D5A"/>
    <w:rsid w:val="002C2F40"/>
    <w:rsid w:val="002C41DA"/>
    <w:rsid w:val="002C4584"/>
    <w:rsid w:val="002C47A2"/>
    <w:rsid w:val="002C569F"/>
    <w:rsid w:val="002C5855"/>
    <w:rsid w:val="002C5BF4"/>
    <w:rsid w:val="002C5CE9"/>
    <w:rsid w:val="002C5D6B"/>
    <w:rsid w:val="002C6022"/>
    <w:rsid w:val="002C61BA"/>
    <w:rsid w:val="002C64F5"/>
    <w:rsid w:val="002C65B4"/>
    <w:rsid w:val="002C6643"/>
    <w:rsid w:val="002C7320"/>
    <w:rsid w:val="002C7B00"/>
    <w:rsid w:val="002C7EBA"/>
    <w:rsid w:val="002D1023"/>
    <w:rsid w:val="002D229E"/>
    <w:rsid w:val="002D35CB"/>
    <w:rsid w:val="002D36B6"/>
    <w:rsid w:val="002D3B14"/>
    <w:rsid w:val="002D4CFE"/>
    <w:rsid w:val="002D524A"/>
    <w:rsid w:val="002D697B"/>
    <w:rsid w:val="002D74B3"/>
    <w:rsid w:val="002D7CE6"/>
    <w:rsid w:val="002E02F0"/>
    <w:rsid w:val="002E0F2F"/>
    <w:rsid w:val="002E119C"/>
    <w:rsid w:val="002E1520"/>
    <w:rsid w:val="002E1B39"/>
    <w:rsid w:val="002E1EE2"/>
    <w:rsid w:val="002E2195"/>
    <w:rsid w:val="002E2630"/>
    <w:rsid w:val="002E2899"/>
    <w:rsid w:val="002E2C3F"/>
    <w:rsid w:val="002E379B"/>
    <w:rsid w:val="002E4D54"/>
    <w:rsid w:val="002E4DCF"/>
    <w:rsid w:val="002E508F"/>
    <w:rsid w:val="002E5CB9"/>
    <w:rsid w:val="002E6DBD"/>
    <w:rsid w:val="002F0A48"/>
    <w:rsid w:val="002F0CDB"/>
    <w:rsid w:val="002F1E58"/>
    <w:rsid w:val="002F251E"/>
    <w:rsid w:val="002F2D3A"/>
    <w:rsid w:val="002F2E5C"/>
    <w:rsid w:val="002F3104"/>
    <w:rsid w:val="002F329A"/>
    <w:rsid w:val="002F42B8"/>
    <w:rsid w:val="002F487D"/>
    <w:rsid w:val="002F4C0B"/>
    <w:rsid w:val="002F67F3"/>
    <w:rsid w:val="002F67FB"/>
    <w:rsid w:val="002F6874"/>
    <w:rsid w:val="00300915"/>
    <w:rsid w:val="0030104A"/>
    <w:rsid w:val="00302394"/>
    <w:rsid w:val="003024FB"/>
    <w:rsid w:val="0030298B"/>
    <w:rsid w:val="0030330C"/>
    <w:rsid w:val="00303D8A"/>
    <w:rsid w:val="00303DD9"/>
    <w:rsid w:val="00304692"/>
    <w:rsid w:val="00304D9A"/>
    <w:rsid w:val="003066CF"/>
    <w:rsid w:val="00307D71"/>
    <w:rsid w:val="0031035E"/>
    <w:rsid w:val="00310E97"/>
    <w:rsid w:val="0031118E"/>
    <w:rsid w:val="003112F7"/>
    <w:rsid w:val="0031141D"/>
    <w:rsid w:val="003114E5"/>
    <w:rsid w:val="003121E7"/>
    <w:rsid w:val="00312A55"/>
    <w:rsid w:val="00313037"/>
    <w:rsid w:val="00315455"/>
    <w:rsid w:val="00315EFD"/>
    <w:rsid w:val="0031601F"/>
    <w:rsid w:val="003167B0"/>
    <w:rsid w:val="00316DBA"/>
    <w:rsid w:val="00317014"/>
    <w:rsid w:val="00317113"/>
    <w:rsid w:val="00317534"/>
    <w:rsid w:val="00321D45"/>
    <w:rsid w:val="003224C9"/>
    <w:rsid w:val="003226A0"/>
    <w:rsid w:val="00322AFC"/>
    <w:rsid w:val="0032303E"/>
    <w:rsid w:val="003248FA"/>
    <w:rsid w:val="00325170"/>
    <w:rsid w:val="00325BF9"/>
    <w:rsid w:val="00326C1E"/>
    <w:rsid w:val="00326FA5"/>
    <w:rsid w:val="00327162"/>
    <w:rsid w:val="00327AD4"/>
    <w:rsid w:val="00330001"/>
    <w:rsid w:val="0033124E"/>
    <w:rsid w:val="0033131A"/>
    <w:rsid w:val="00332A57"/>
    <w:rsid w:val="00332BB9"/>
    <w:rsid w:val="003338A1"/>
    <w:rsid w:val="00334859"/>
    <w:rsid w:val="00334AE3"/>
    <w:rsid w:val="00334EAD"/>
    <w:rsid w:val="00335161"/>
    <w:rsid w:val="00335FFB"/>
    <w:rsid w:val="0033621F"/>
    <w:rsid w:val="00337218"/>
    <w:rsid w:val="0033793E"/>
    <w:rsid w:val="00337FDE"/>
    <w:rsid w:val="00340405"/>
    <w:rsid w:val="00342D8E"/>
    <w:rsid w:val="00343457"/>
    <w:rsid w:val="003434E1"/>
    <w:rsid w:val="00344C76"/>
    <w:rsid w:val="00345110"/>
    <w:rsid w:val="00345515"/>
    <w:rsid w:val="00345867"/>
    <w:rsid w:val="00345FED"/>
    <w:rsid w:val="003461EE"/>
    <w:rsid w:val="00346565"/>
    <w:rsid w:val="00347752"/>
    <w:rsid w:val="00347BCC"/>
    <w:rsid w:val="00351175"/>
    <w:rsid w:val="0035122A"/>
    <w:rsid w:val="00351ACC"/>
    <w:rsid w:val="00351B66"/>
    <w:rsid w:val="00351C71"/>
    <w:rsid w:val="00352592"/>
    <w:rsid w:val="00352A8B"/>
    <w:rsid w:val="0035322E"/>
    <w:rsid w:val="00353281"/>
    <w:rsid w:val="00353FE7"/>
    <w:rsid w:val="003602EA"/>
    <w:rsid w:val="00360BCF"/>
    <w:rsid w:val="00361E43"/>
    <w:rsid w:val="00362B28"/>
    <w:rsid w:val="00363674"/>
    <w:rsid w:val="00363E89"/>
    <w:rsid w:val="0036446E"/>
    <w:rsid w:val="003648A7"/>
    <w:rsid w:val="003666A6"/>
    <w:rsid w:val="00366A55"/>
    <w:rsid w:val="00367582"/>
    <w:rsid w:val="00367D12"/>
    <w:rsid w:val="00367E9C"/>
    <w:rsid w:val="00367EB9"/>
    <w:rsid w:val="00370912"/>
    <w:rsid w:val="00370DEF"/>
    <w:rsid w:val="003719B7"/>
    <w:rsid w:val="00372BC4"/>
    <w:rsid w:val="00372DFE"/>
    <w:rsid w:val="00372E01"/>
    <w:rsid w:val="0037300A"/>
    <w:rsid w:val="003734EF"/>
    <w:rsid w:val="0037360C"/>
    <w:rsid w:val="00373A57"/>
    <w:rsid w:val="00373F1D"/>
    <w:rsid w:val="00373FBF"/>
    <w:rsid w:val="0037423F"/>
    <w:rsid w:val="003755CD"/>
    <w:rsid w:val="00375904"/>
    <w:rsid w:val="00375A86"/>
    <w:rsid w:val="003765E4"/>
    <w:rsid w:val="00376A33"/>
    <w:rsid w:val="00377818"/>
    <w:rsid w:val="00377EB4"/>
    <w:rsid w:val="00381396"/>
    <w:rsid w:val="00381415"/>
    <w:rsid w:val="00382058"/>
    <w:rsid w:val="003821EF"/>
    <w:rsid w:val="0038359F"/>
    <w:rsid w:val="00383AE6"/>
    <w:rsid w:val="003847CB"/>
    <w:rsid w:val="00384C49"/>
    <w:rsid w:val="00385335"/>
    <w:rsid w:val="003858A3"/>
    <w:rsid w:val="003860B1"/>
    <w:rsid w:val="00386194"/>
    <w:rsid w:val="0038687F"/>
    <w:rsid w:val="0038752E"/>
    <w:rsid w:val="00387EAE"/>
    <w:rsid w:val="003901CC"/>
    <w:rsid w:val="003901E0"/>
    <w:rsid w:val="00390A39"/>
    <w:rsid w:val="003911C2"/>
    <w:rsid w:val="003916C0"/>
    <w:rsid w:val="00391F02"/>
    <w:rsid w:val="003923D8"/>
    <w:rsid w:val="00395327"/>
    <w:rsid w:val="00395C3F"/>
    <w:rsid w:val="003962BB"/>
    <w:rsid w:val="0039644B"/>
    <w:rsid w:val="00396717"/>
    <w:rsid w:val="00396A2A"/>
    <w:rsid w:val="00397098"/>
    <w:rsid w:val="00397330"/>
    <w:rsid w:val="003973D7"/>
    <w:rsid w:val="00397E7C"/>
    <w:rsid w:val="003A1A81"/>
    <w:rsid w:val="003A1B6D"/>
    <w:rsid w:val="003A1F8D"/>
    <w:rsid w:val="003A26C9"/>
    <w:rsid w:val="003A31C5"/>
    <w:rsid w:val="003A44E2"/>
    <w:rsid w:val="003A49BE"/>
    <w:rsid w:val="003A54FA"/>
    <w:rsid w:val="003A5E1D"/>
    <w:rsid w:val="003A5FB6"/>
    <w:rsid w:val="003A6C5D"/>
    <w:rsid w:val="003A7323"/>
    <w:rsid w:val="003A79BC"/>
    <w:rsid w:val="003A7E8D"/>
    <w:rsid w:val="003B15C6"/>
    <w:rsid w:val="003B1EFC"/>
    <w:rsid w:val="003B1F57"/>
    <w:rsid w:val="003B2503"/>
    <w:rsid w:val="003B2C15"/>
    <w:rsid w:val="003B31AB"/>
    <w:rsid w:val="003B3D29"/>
    <w:rsid w:val="003B3E36"/>
    <w:rsid w:val="003B4855"/>
    <w:rsid w:val="003B591D"/>
    <w:rsid w:val="003B5A48"/>
    <w:rsid w:val="003B6781"/>
    <w:rsid w:val="003B71B3"/>
    <w:rsid w:val="003B78B3"/>
    <w:rsid w:val="003B791E"/>
    <w:rsid w:val="003B7CB1"/>
    <w:rsid w:val="003C039D"/>
    <w:rsid w:val="003C04D1"/>
    <w:rsid w:val="003C2F1E"/>
    <w:rsid w:val="003C4E5B"/>
    <w:rsid w:val="003C54B7"/>
    <w:rsid w:val="003C5E89"/>
    <w:rsid w:val="003C6CA5"/>
    <w:rsid w:val="003C7D4D"/>
    <w:rsid w:val="003C7D83"/>
    <w:rsid w:val="003D0C51"/>
    <w:rsid w:val="003D0DDE"/>
    <w:rsid w:val="003D1CC3"/>
    <w:rsid w:val="003D2494"/>
    <w:rsid w:val="003D2DA9"/>
    <w:rsid w:val="003D30A5"/>
    <w:rsid w:val="003D3241"/>
    <w:rsid w:val="003D3A21"/>
    <w:rsid w:val="003D5071"/>
    <w:rsid w:val="003D54A3"/>
    <w:rsid w:val="003D5536"/>
    <w:rsid w:val="003D5FAA"/>
    <w:rsid w:val="003D6749"/>
    <w:rsid w:val="003D6EC8"/>
    <w:rsid w:val="003D767E"/>
    <w:rsid w:val="003E05BE"/>
    <w:rsid w:val="003E1203"/>
    <w:rsid w:val="003E1C21"/>
    <w:rsid w:val="003E1C3B"/>
    <w:rsid w:val="003E23B1"/>
    <w:rsid w:val="003E2833"/>
    <w:rsid w:val="003E2A67"/>
    <w:rsid w:val="003E37BA"/>
    <w:rsid w:val="003E3849"/>
    <w:rsid w:val="003E3BEE"/>
    <w:rsid w:val="003E42F4"/>
    <w:rsid w:val="003E4768"/>
    <w:rsid w:val="003E4BA4"/>
    <w:rsid w:val="003E4CDE"/>
    <w:rsid w:val="003E66CB"/>
    <w:rsid w:val="003E6D22"/>
    <w:rsid w:val="003E7E14"/>
    <w:rsid w:val="003F002C"/>
    <w:rsid w:val="003F0B1C"/>
    <w:rsid w:val="003F0B7B"/>
    <w:rsid w:val="003F1978"/>
    <w:rsid w:val="003F19D6"/>
    <w:rsid w:val="003F1B06"/>
    <w:rsid w:val="003F1D60"/>
    <w:rsid w:val="003F42DB"/>
    <w:rsid w:val="003F53AB"/>
    <w:rsid w:val="003F590D"/>
    <w:rsid w:val="003F5E85"/>
    <w:rsid w:val="003F7472"/>
    <w:rsid w:val="003F74B7"/>
    <w:rsid w:val="004014B1"/>
    <w:rsid w:val="00402DE1"/>
    <w:rsid w:val="004039DE"/>
    <w:rsid w:val="00403AA3"/>
    <w:rsid w:val="00403CEC"/>
    <w:rsid w:val="00404022"/>
    <w:rsid w:val="00404F5B"/>
    <w:rsid w:val="00406DDB"/>
    <w:rsid w:val="00406E47"/>
    <w:rsid w:val="004072E0"/>
    <w:rsid w:val="004078BE"/>
    <w:rsid w:val="00407D98"/>
    <w:rsid w:val="00410201"/>
    <w:rsid w:val="00412148"/>
    <w:rsid w:val="00412806"/>
    <w:rsid w:val="00412DD1"/>
    <w:rsid w:val="00413010"/>
    <w:rsid w:val="00413DD0"/>
    <w:rsid w:val="00413EE5"/>
    <w:rsid w:val="0041458C"/>
    <w:rsid w:val="00414BDE"/>
    <w:rsid w:val="00420FB6"/>
    <w:rsid w:val="004217C6"/>
    <w:rsid w:val="00421A9E"/>
    <w:rsid w:val="00421C36"/>
    <w:rsid w:val="0042213C"/>
    <w:rsid w:val="0042326F"/>
    <w:rsid w:val="0042350A"/>
    <w:rsid w:val="00423968"/>
    <w:rsid w:val="00423B34"/>
    <w:rsid w:val="00423DF6"/>
    <w:rsid w:val="00424105"/>
    <w:rsid w:val="00425E9D"/>
    <w:rsid w:val="004267F5"/>
    <w:rsid w:val="00426F61"/>
    <w:rsid w:val="00427823"/>
    <w:rsid w:val="0042783A"/>
    <w:rsid w:val="0043109A"/>
    <w:rsid w:val="00431A64"/>
    <w:rsid w:val="00431A82"/>
    <w:rsid w:val="00432A9F"/>
    <w:rsid w:val="00432D47"/>
    <w:rsid w:val="00433849"/>
    <w:rsid w:val="0043420E"/>
    <w:rsid w:val="00434347"/>
    <w:rsid w:val="00434AFC"/>
    <w:rsid w:val="004356B0"/>
    <w:rsid w:val="004379A4"/>
    <w:rsid w:val="00437A1E"/>
    <w:rsid w:val="00437D55"/>
    <w:rsid w:val="00437ECC"/>
    <w:rsid w:val="00437FD8"/>
    <w:rsid w:val="004401DA"/>
    <w:rsid w:val="004406F3"/>
    <w:rsid w:val="00440F37"/>
    <w:rsid w:val="004410C5"/>
    <w:rsid w:val="00442E0A"/>
    <w:rsid w:val="00443261"/>
    <w:rsid w:val="0044502A"/>
    <w:rsid w:val="0044516D"/>
    <w:rsid w:val="00445594"/>
    <w:rsid w:val="00445959"/>
    <w:rsid w:val="00446079"/>
    <w:rsid w:val="00446123"/>
    <w:rsid w:val="00446A1F"/>
    <w:rsid w:val="0044715E"/>
    <w:rsid w:val="004479A4"/>
    <w:rsid w:val="00447E27"/>
    <w:rsid w:val="00450186"/>
    <w:rsid w:val="00450AE8"/>
    <w:rsid w:val="004515C4"/>
    <w:rsid w:val="004515F8"/>
    <w:rsid w:val="00451C9E"/>
    <w:rsid w:val="0045291B"/>
    <w:rsid w:val="00452C35"/>
    <w:rsid w:val="00453ABC"/>
    <w:rsid w:val="00455BF1"/>
    <w:rsid w:val="00455F27"/>
    <w:rsid w:val="004560C6"/>
    <w:rsid w:val="004567C8"/>
    <w:rsid w:val="00456C56"/>
    <w:rsid w:val="004570D7"/>
    <w:rsid w:val="0045757A"/>
    <w:rsid w:val="00457D38"/>
    <w:rsid w:val="00460648"/>
    <w:rsid w:val="00460D90"/>
    <w:rsid w:val="00460DC5"/>
    <w:rsid w:val="00461D53"/>
    <w:rsid w:val="00462950"/>
    <w:rsid w:val="00464EFA"/>
    <w:rsid w:val="004653B8"/>
    <w:rsid w:val="004675D6"/>
    <w:rsid w:val="0047017D"/>
    <w:rsid w:val="00470E07"/>
    <w:rsid w:val="00471C8B"/>
    <w:rsid w:val="004722CF"/>
    <w:rsid w:val="00472A7B"/>
    <w:rsid w:val="00472BB2"/>
    <w:rsid w:val="00472C3F"/>
    <w:rsid w:val="00473773"/>
    <w:rsid w:val="00473C06"/>
    <w:rsid w:val="00474101"/>
    <w:rsid w:val="00474815"/>
    <w:rsid w:val="00474E0E"/>
    <w:rsid w:val="00475920"/>
    <w:rsid w:val="00475C29"/>
    <w:rsid w:val="00475DBF"/>
    <w:rsid w:val="004772E5"/>
    <w:rsid w:val="0047730F"/>
    <w:rsid w:val="004778AF"/>
    <w:rsid w:val="00480E06"/>
    <w:rsid w:val="00481650"/>
    <w:rsid w:val="00482004"/>
    <w:rsid w:val="00483CE7"/>
    <w:rsid w:val="004869EE"/>
    <w:rsid w:val="00486E96"/>
    <w:rsid w:val="004878AF"/>
    <w:rsid w:val="0049010B"/>
    <w:rsid w:val="00490564"/>
    <w:rsid w:val="00491512"/>
    <w:rsid w:val="00491B31"/>
    <w:rsid w:val="00492393"/>
    <w:rsid w:val="00493BB7"/>
    <w:rsid w:val="00493C33"/>
    <w:rsid w:val="00493ECE"/>
    <w:rsid w:val="00494AF6"/>
    <w:rsid w:val="004952F1"/>
    <w:rsid w:val="00495512"/>
    <w:rsid w:val="00495AF3"/>
    <w:rsid w:val="00495B4C"/>
    <w:rsid w:val="00495C2F"/>
    <w:rsid w:val="0049615E"/>
    <w:rsid w:val="004965C0"/>
    <w:rsid w:val="00497238"/>
    <w:rsid w:val="00497410"/>
    <w:rsid w:val="004978C5"/>
    <w:rsid w:val="004A0253"/>
    <w:rsid w:val="004A08AE"/>
    <w:rsid w:val="004A0FF4"/>
    <w:rsid w:val="004A2CB0"/>
    <w:rsid w:val="004A445B"/>
    <w:rsid w:val="004A44C0"/>
    <w:rsid w:val="004A4814"/>
    <w:rsid w:val="004A4CDE"/>
    <w:rsid w:val="004A66C2"/>
    <w:rsid w:val="004A6798"/>
    <w:rsid w:val="004A6D4E"/>
    <w:rsid w:val="004A6E22"/>
    <w:rsid w:val="004A6F1B"/>
    <w:rsid w:val="004A7CBB"/>
    <w:rsid w:val="004B1C4C"/>
    <w:rsid w:val="004B1E3B"/>
    <w:rsid w:val="004B2563"/>
    <w:rsid w:val="004B2A53"/>
    <w:rsid w:val="004B341B"/>
    <w:rsid w:val="004B37C2"/>
    <w:rsid w:val="004B3D59"/>
    <w:rsid w:val="004B41CD"/>
    <w:rsid w:val="004B4543"/>
    <w:rsid w:val="004B4DFA"/>
    <w:rsid w:val="004B522B"/>
    <w:rsid w:val="004B6809"/>
    <w:rsid w:val="004C04FA"/>
    <w:rsid w:val="004C0E68"/>
    <w:rsid w:val="004C110F"/>
    <w:rsid w:val="004C1162"/>
    <w:rsid w:val="004C28EF"/>
    <w:rsid w:val="004C32A3"/>
    <w:rsid w:val="004C375D"/>
    <w:rsid w:val="004C3C36"/>
    <w:rsid w:val="004C444C"/>
    <w:rsid w:val="004C4F63"/>
    <w:rsid w:val="004C6C6B"/>
    <w:rsid w:val="004C765D"/>
    <w:rsid w:val="004C7C23"/>
    <w:rsid w:val="004D37ED"/>
    <w:rsid w:val="004D4AF0"/>
    <w:rsid w:val="004D4C6D"/>
    <w:rsid w:val="004D5702"/>
    <w:rsid w:val="004D73B3"/>
    <w:rsid w:val="004E001C"/>
    <w:rsid w:val="004E0A36"/>
    <w:rsid w:val="004E0B86"/>
    <w:rsid w:val="004E13A1"/>
    <w:rsid w:val="004E145F"/>
    <w:rsid w:val="004E1BEF"/>
    <w:rsid w:val="004E1F68"/>
    <w:rsid w:val="004E2AE3"/>
    <w:rsid w:val="004E3259"/>
    <w:rsid w:val="004E32E8"/>
    <w:rsid w:val="004E349D"/>
    <w:rsid w:val="004E3691"/>
    <w:rsid w:val="004E3A86"/>
    <w:rsid w:val="004E3E3C"/>
    <w:rsid w:val="004E45EA"/>
    <w:rsid w:val="004E5E89"/>
    <w:rsid w:val="004E5EA9"/>
    <w:rsid w:val="004E5EBB"/>
    <w:rsid w:val="004E6413"/>
    <w:rsid w:val="004E6ED2"/>
    <w:rsid w:val="004E7837"/>
    <w:rsid w:val="004E7BEA"/>
    <w:rsid w:val="004F049F"/>
    <w:rsid w:val="004F22BB"/>
    <w:rsid w:val="004F3292"/>
    <w:rsid w:val="004F3298"/>
    <w:rsid w:val="004F35FB"/>
    <w:rsid w:val="004F55D8"/>
    <w:rsid w:val="004F5BDC"/>
    <w:rsid w:val="004F5C33"/>
    <w:rsid w:val="004F6745"/>
    <w:rsid w:val="004F695E"/>
    <w:rsid w:val="004F74AA"/>
    <w:rsid w:val="0050020B"/>
    <w:rsid w:val="00501E3D"/>
    <w:rsid w:val="005025AC"/>
    <w:rsid w:val="005025B4"/>
    <w:rsid w:val="00502759"/>
    <w:rsid w:val="005034C5"/>
    <w:rsid w:val="0050367E"/>
    <w:rsid w:val="00503B43"/>
    <w:rsid w:val="0050504E"/>
    <w:rsid w:val="005057A9"/>
    <w:rsid w:val="00506DBE"/>
    <w:rsid w:val="005103D4"/>
    <w:rsid w:val="00510B05"/>
    <w:rsid w:val="00510C8C"/>
    <w:rsid w:val="00510EBA"/>
    <w:rsid w:val="00511A1F"/>
    <w:rsid w:val="00512101"/>
    <w:rsid w:val="00513C9C"/>
    <w:rsid w:val="005154DF"/>
    <w:rsid w:val="00516354"/>
    <w:rsid w:val="00517420"/>
    <w:rsid w:val="00517A4A"/>
    <w:rsid w:val="00517B27"/>
    <w:rsid w:val="00520E56"/>
    <w:rsid w:val="0052135C"/>
    <w:rsid w:val="005218A9"/>
    <w:rsid w:val="00521B8C"/>
    <w:rsid w:val="005220D9"/>
    <w:rsid w:val="00522EFD"/>
    <w:rsid w:val="00523DDE"/>
    <w:rsid w:val="00523DE2"/>
    <w:rsid w:val="00523F4C"/>
    <w:rsid w:val="00524818"/>
    <w:rsid w:val="00524A1E"/>
    <w:rsid w:val="005253E0"/>
    <w:rsid w:val="0052576D"/>
    <w:rsid w:val="005268C4"/>
    <w:rsid w:val="00526CA5"/>
    <w:rsid w:val="0052730A"/>
    <w:rsid w:val="00527663"/>
    <w:rsid w:val="005301C7"/>
    <w:rsid w:val="005307D5"/>
    <w:rsid w:val="005311B2"/>
    <w:rsid w:val="00531C9B"/>
    <w:rsid w:val="00531F46"/>
    <w:rsid w:val="00532CCD"/>
    <w:rsid w:val="005335B7"/>
    <w:rsid w:val="00533B43"/>
    <w:rsid w:val="0053471F"/>
    <w:rsid w:val="005363EA"/>
    <w:rsid w:val="005364D8"/>
    <w:rsid w:val="00536F7F"/>
    <w:rsid w:val="00540296"/>
    <w:rsid w:val="00540CDD"/>
    <w:rsid w:val="00541BCD"/>
    <w:rsid w:val="005425A2"/>
    <w:rsid w:val="00543380"/>
    <w:rsid w:val="005437A7"/>
    <w:rsid w:val="00543826"/>
    <w:rsid w:val="00543D64"/>
    <w:rsid w:val="00543D9F"/>
    <w:rsid w:val="005442AD"/>
    <w:rsid w:val="0054437C"/>
    <w:rsid w:val="00544407"/>
    <w:rsid w:val="00544580"/>
    <w:rsid w:val="00544A11"/>
    <w:rsid w:val="00544AC8"/>
    <w:rsid w:val="00545D7B"/>
    <w:rsid w:val="00547630"/>
    <w:rsid w:val="00547A3B"/>
    <w:rsid w:val="00547C2F"/>
    <w:rsid w:val="00547E5C"/>
    <w:rsid w:val="00547F60"/>
    <w:rsid w:val="005508B7"/>
    <w:rsid w:val="00551783"/>
    <w:rsid w:val="005529E1"/>
    <w:rsid w:val="005529E8"/>
    <w:rsid w:val="00554219"/>
    <w:rsid w:val="0055527A"/>
    <w:rsid w:val="00555314"/>
    <w:rsid w:val="00555CEC"/>
    <w:rsid w:val="00555ECC"/>
    <w:rsid w:val="0055735F"/>
    <w:rsid w:val="00557F50"/>
    <w:rsid w:val="00561F8E"/>
    <w:rsid w:val="00562F25"/>
    <w:rsid w:val="005632C0"/>
    <w:rsid w:val="00563C8D"/>
    <w:rsid w:val="005643EC"/>
    <w:rsid w:val="00564463"/>
    <w:rsid w:val="00564611"/>
    <w:rsid w:val="00564F2C"/>
    <w:rsid w:val="00565FA7"/>
    <w:rsid w:val="005673A4"/>
    <w:rsid w:val="005674E0"/>
    <w:rsid w:val="00567C7E"/>
    <w:rsid w:val="00567F30"/>
    <w:rsid w:val="0057057C"/>
    <w:rsid w:val="00570637"/>
    <w:rsid w:val="0057094C"/>
    <w:rsid w:val="00570C9E"/>
    <w:rsid w:val="00570E3C"/>
    <w:rsid w:val="00571257"/>
    <w:rsid w:val="0057149E"/>
    <w:rsid w:val="00571E39"/>
    <w:rsid w:val="005727F2"/>
    <w:rsid w:val="00576EAD"/>
    <w:rsid w:val="005775AC"/>
    <w:rsid w:val="00577A6E"/>
    <w:rsid w:val="00580FDC"/>
    <w:rsid w:val="00581D9B"/>
    <w:rsid w:val="00582849"/>
    <w:rsid w:val="00583506"/>
    <w:rsid w:val="00583891"/>
    <w:rsid w:val="00583C27"/>
    <w:rsid w:val="00584FD3"/>
    <w:rsid w:val="005858A0"/>
    <w:rsid w:val="00585C41"/>
    <w:rsid w:val="00586A6E"/>
    <w:rsid w:val="0058702C"/>
    <w:rsid w:val="005900A9"/>
    <w:rsid w:val="005900D1"/>
    <w:rsid w:val="005926F2"/>
    <w:rsid w:val="00592AE3"/>
    <w:rsid w:val="00592D12"/>
    <w:rsid w:val="00592F22"/>
    <w:rsid w:val="0059389D"/>
    <w:rsid w:val="00593901"/>
    <w:rsid w:val="005943BF"/>
    <w:rsid w:val="00594D4F"/>
    <w:rsid w:val="00595F01"/>
    <w:rsid w:val="005978AF"/>
    <w:rsid w:val="005A07F0"/>
    <w:rsid w:val="005A0A1B"/>
    <w:rsid w:val="005A111A"/>
    <w:rsid w:val="005A144F"/>
    <w:rsid w:val="005A2A37"/>
    <w:rsid w:val="005A30D0"/>
    <w:rsid w:val="005A3C24"/>
    <w:rsid w:val="005A43FD"/>
    <w:rsid w:val="005A5A4E"/>
    <w:rsid w:val="005A5C1C"/>
    <w:rsid w:val="005A644B"/>
    <w:rsid w:val="005A6DC0"/>
    <w:rsid w:val="005B019B"/>
    <w:rsid w:val="005B07D1"/>
    <w:rsid w:val="005B1F42"/>
    <w:rsid w:val="005B2C7E"/>
    <w:rsid w:val="005B3677"/>
    <w:rsid w:val="005B38DA"/>
    <w:rsid w:val="005B599D"/>
    <w:rsid w:val="005B6625"/>
    <w:rsid w:val="005B67E8"/>
    <w:rsid w:val="005B6CE3"/>
    <w:rsid w:val="005B7403"/>
    <w:rsid w:val="005B7AC0"/>
    <w:rsid w:val="005C039B"/>
    <w:rsid w:val="005C1A15"/>
    <w:rsid w:val="005C1B62"/>
    <w:rsid w:val="005C1EDE"/>
    <w:rsid w:val="005C2248"/>
    <w:rsid w:val="005C2D46"/>
    <w:rsid w:val="005C2D8C"/>
    <w:rsid w:val="005C3E8C"/>
    <w:rsid w:val="005C43B9"/>
    <w:rsid w:val="005C47DC"/>
    <w:rsid w:val="005C50B1"/>
    <w:rsid w:val="005C5346"/>
    <w:rsid w:val="005C5690"/>
    <w:rsid w:val="005C73B4"/>
    <w:rsid w:val="005C740C"/>
    <w:rsid w:val="005C74FC"/>
    <w:rsid w:val="005D0E73"/>
    <w:rsid w:val="005D17DD"/>
    <w:rsid w:val="005D1C42"/>
    <w:rsid w:val="005D25EA"/>
    <w:rsid w:val="005D3E69"/>
    <w:rsid w:val="005D455D"/>
    <w:rsid w:val="005D5BD4"/>
    <w:rsid w:val="005D6B2F"/>
    <w:rsid w:val="005D76AF"/>
    <w:rsid w:val="005D7802"/>
    <w:rsid w:val="005D7B37"/>
    <w:rsid w:val="005D7D11"/>
    <w:rsid w:val="005D7E7C"/>
    <w:rsid w:val="005E07C4"/>
    <w:rsid w:val="005E0921"/>
    <w:rsid w:val="005E153C"/>
    <w:rsid w:val="005E1A52"/>
    <w:rsid w:val="005E23DC"/>
    <w:rsid w:val="005E277A"/>
    <w:rsid w:val="005E2B5C"/>
    <w:rsid w:val="005E2EAD"/>
    <w:rsid w:val="005E3881"/>
    <w:rsid w:val="005E50B3"/>
    <w:rsid w:val="005E5BD9"/>
    <w:rsid w:val="005E6471"/>
    <w:rsid w:val="005F08B4"/>
    <w:rsid w:val="005F0B1D"/>
    <w:rsid w:val="005F146A"/>
    <w:rsid w:val="005F1D1F"/>
    <w:rsid w:val="005F2334"/>
    <w:rsid w:val="005F28B3"/>
    <w:rsid w:val="005F34E0"/>
    <w:rsid w:val="005F3923"/>
    <w:rsid w:val="005F5405"/>
    <w:rsid w:val="005F58CC"/>
    <w:rsid w:val="005F68AF"/>
    <w:rsid w:val="005F6E34"/>
    <w:rsid w:val="005F7281"/>
    <w:rsid w:val="005F7BC5"/>
    <w:rsid w:val="006008B5"/>
    <w:rsid w:val="0060150F"/>
    <w:rsid w:val="00601775"/>
    <w:rsid w:val="00601C0E"/>
    <w:rsid w:val="006026F9"/>
    <w:rsid w:val="00602943"/>
    <w:rsid w:val="00602CD0"/>
    <w:rsid w:val="0060363D"/>
    <w:rsid w:val="00604C2F"/>
    <w:rsid w:val="00604E6F"/>
    <w:rsid w:val="00605808"/>
    <w:rsid w:val="00605C87"/>
    <w:rsid w:val="0060622E"/>
    <w:rsid w:val="006062CE"/>
    <w:rsid w:val="00606E67"/>
    <w:rsid w:val="00607A42"/>
    <w:rsid w:val="00610314"/>
    <w:rsid w:val="00610512"/>
    <w:rsid w:val="00610B63"/>
    <w:rsid w:val="00611EFB"/>
    <w:rsid w:val="00612D62"/>
    <w:rsid w:val="0061365F"/>
    <w:rsid w:val="00613ED8"/>
    <w:rsid w:val="0061484A"/>
    <w:rsid w:val="00614B46"/>
    <w:rsid w:val="00614B9E"/>
    <w:rsid w:val="00614C5A"/>
    <w:rsid w:val="00615138"/>
    <w:rsid w:val="00616C50"/>
    <w:rsid w:val="00616E9E"/>
    <w:rsid w:val="0061707C"/>
    <w:rsid w:val="006172C8"/>
    <w:rsid w:val="00617470"/>
    <w:rsid w:val="00617B9B"/>
    <w:rsid w:val="00620150"/>
    <w:rsid w:val="0062034B"/>
    <w:rsid w:val="0062083B"/>
    <w:rsid w:val="00620F9B"/>
    <w:rsid w:val="006211CF"/>
    <w:rsid w:val="00621A3E"/>
    <w:rsid w:val="00622500"/>
    <w:rsid w:val="00622AAC"/>
    <w:rsid w:val="00623FDE"/>
    <w:rsid w:val="0062437C"/>
    <w:rsid w:val="00625896"/>
    <w:rsid w:val="0062634A"/>
    <w:rsid w:val="006278F1"/>
    <w:rsid w:val="00630779"/>
    <w:rsid w:val="00630969"/>
    <w:rsid w:val="0063143B"/>
    <w:rsid w:val="00631719"/>
    <w:rsid w:val="006319E7"/>
    <w:rsid w:val="006328F5"/>
    <w:rsid w:val="00632A00"/>
    <w:rsid w:val="00632A3C"/>
    <w:rsid w:val="0063339D"/>
    <w:rsid w:val="006337AA"/>
    <w:rsid w:val="00633BFE"/>
    <w:rsid w:val="00634080"/>
    <w:rsid w:val="006343E4"/>
    <w:rsid w:val="00636839"/>
    <w:rsid w:val="00636BE5"/>
    <w:rsid w:val="00637208"/>
    <w:rsid w:val="00637B9C"/>
    <w:rsid w:val="00640D0B"/>
    <w:rsid w:val="00641180"/>
    <w:rsid w:val="00641F6D"/>
    <w:rsid w:val="0064215B"/>
    <w:rsid w:val="00642606"/>
    <w:rsid w:val="0064281F"/>
    <w:rsid w:val="0064298C"/>
    <w:rsid w:val="006453ED"/>
    <w:rsid w:val="00645CEA"/>
    <w:rsid w:val="0065052C"/>
    <w:rsid w:val="00650B98"/>
    <w:rsid w:val="00650F07"/>
    <w:rsid w:val="0065139A"/>
    <w:rsid w:val="006516B6"/>
    <w:rsid w:val="00651A77"/>
    <w:rsid w:val="00651A7C"/>
    <w:rsid w:val="00651F0D"/>
    <w:rsid w:val="00652332"/>
    <w:rsid w:val="006524B8"/>
    <w:rsid w:val="00653E2F"/>
    <w:rsid w:val="00654E6C"/>
    <w:rsid w:val="00655016"/>
    <w:rsid w:val="006559E8"/>
    <w:rsid w:val="00656DDC"/>
    <w:rsid w:val="00656E9C"/>
    <w:rsid w:val="00657100"/>
    <w:rsid w:val="00657524"/>
    <w:rsid w:val="0065789C"/>
    <w:rsid w:val="00657982"/>
    <w:rsid w:val="006609E8"/>
    <w:rsid w:val="00661572"/>
    <w:rsid w:val="006615B0"/>
    <w:rsid w:val="0066284A"/>
    <w:rsid w:val="00662B08"/>
    <w:rsid w:val="00662EB4"/>
    <w:rsid w:val="00663196"/>
    <w:rsid w:val="0066370A"/>
    <w:rsid w:val="00664067"/>
    <w:rsid w:val="006647DC"/>
    <w:rsid w:val="00664C56"/>
    <w:rsid w:val="00664E57"/>
    <w:rsid w:val="00667078"/>
    <w:rsid w:val="00667778"/>
    <w:rsid w:val="00667D7D"/>
    <w:rsid w:val="00670488"/>
    <w:rsid w:val="00670963"/>
    <w:rsid w:val="00670F2F"/>
    <w:rsid w:val="0067226A"/>
    <w:rsid w:val="0067324A"/>
    <w:rsid w:val="00673450"/>
    <w:rsid w:val="006735B3"/>
    <w:rsid w:val="006737BF"/>
    <w:rsid w:val="00673871"/>
    <w:rsid w:val="00673E71"/>
    <w:rsid w:val="00674668"/>
    <w:rsid w:val="0067472B"/>
    <w:rsid w:val="00674AAA"/>
    <w:rsid w:val="00674D24"/>
    <w:rsid w:val="00676897"/>
    <w:rsid w:val="006777FB"/>
    <w:rsid w:val="00677ACA"/>
    <w:rsid w:val="00677F9A"/>
    <w:rsid w:val="00680680"/>
    <w:rsid w:val="006818E0"/>
    <w:rsid w:val="00681A03"/>
    <w:rsid w:val="00681FBC"/>
    <w:rsid w:val="00682615"/>
    <w:rsid w:val="00682FF8"/>
    <w:rsid w:val="006840FA"/>
    <w:rsid w:val="006844AE"/>
    <w:rsid w:val="00684A53"/>
    <w:rsid w:val="00684C66"/>
    <w:rsid w:val="00685424"/>
    <w:rsid w:val="00685675"/>
    <w:rsid w:val="00685786"/>
    <w:rsid w:val="006857CC"/>
    <w:rsid w:val="00685834"/>
    <w:rsid w:val="006861E2"/>
    <w:rsid w:val="00687244"/>
    <w:rsid w:val="006876E1"/>
    <w:rsid w:val="00687C99"/>
    <w:rsid w:val="00687DFE"/>
    <w:rsid w:val="00690203"/>
    <w:rsid w:val="00690416"/>
    <w:rsid w:val="00690567"/>
    <w:rsid w:val="00690BF3"/>
    <w:rsid w:val="00691CF4"/>
    <w:rsid w:val="0069209C"/>
    <w:rsid w:val="006923D1"/>
    <w:rsid w:val="00692AFF"/>
    <w:rsid w:val="00692EB0"/>
    <w:rsid w:val="006935F8"/>
    <w:rsid w:val="0069402D"/>
    <w:rsid w:val="00694321"/>
    <w:rsid w:val="00694684"/>
    <w:rsid w:val="0069492D"/>
    <w:rsid w:val="006954C9"/>
    <w:rsid w:val="00695939"/>
    <w:rsid w:val="006962C6"/>
    <w:rsid w:val="00696B64"/>
    <w:rsid w:val="00696F3B"/>
    <w:rsid w:val="00697023"/>
    <w:rsid w:val="006977D1"/>
    <w:rsid w:val="006A0077"/>
    <w:rsid w:val="006A0987"/>
    <w:rsid w:val="006A0E37"/>
    <w:rsid w:val="006A1ED0"/>
    <w:rsid w:val="006A2070"/>
    <w:rsid w:val="006A314F"/>
    <w:rsid w:val="006A4BFB"/>
    <w:rsid w:val="006A5587"/>
    <w:rsid w:val="006A6C69"/>
    <w:rsid w:val="006A6F7F"/>
    <w:rsid w:val="006A7C4D"/>
    <w:rsid w:val="006A7EE3"/>
    <w:rsid w:val="006B00BB"/>
    <w:rsid w:val="006B0315"/>
    <w:rsid w:val="006B031B"/>
    <w:rsid w:val="006B067F"/>
    <w:rsid w:val="006B13A8"/>
    <w:rsid w:val="006B1AD4"/>
    <w:rsid w:val="006B1C30"/>
    <w:rsid w:val="006B1F37"/>
    <w:rsid w:val="006B1FC1"/>
    <w:rsid w:val="006B1FE5"/>
    <w:rsid w:val="006B2D4D"/>
    <w:rsid w:val="006B2F6B"/>
    <w:rsid w:val="006B321A"/>
    <w:rsid w:val="006B33D0"/>
    <w:rsid w:val="006B38A6"/>
    <w:rsid w:val="006B3FF6"/>
    <w:rsid w:val="006B3FFE"/>
    <w:rsid w:val="006B418E"/>
    <w:rsid w:val="006B45D4"/>
    <w:rsid w:val="006B49FE"/>
    <w:rsid w:val="006B4A74"/>
    <w:rsid w:val="006B4E1A"/>
    <w:rsid w:val="006B4F8D"/>
    <w:rsid w:val="006B5EC6"/>
    <w:rsid w:val="006B6838"/>
    <w:rsid w:val="006B6E52"/>
    <w:rsid w:val="006C03EB"/>
    <w:rsid w:val="006C0BC7"/>
    <w:rsid w:val="006C13E9"/>
    <w:rsid w:val="006C187E"/>
    <w:rsid w:val="006C2064"/>
    <w:rsid w:val="006C2DAE"/>
    <w:rsid w:val="006C2EF7"/>
    <w:rsid w:val="006C32D8"/>
    <w:rsid w:val="006C3BC4"/>
    <w:rsid w:val="006C3C9D"/>
    <w:rsid w:val="006C45B3"/>
    <w:rsid w:val="006C4A36"/>
    <w:rsid w:val="006C50E9"/>
    <w:rsid w:val="006C528C"/>
    <w:rsid w:val="006C6311"/>
    <w:rsid w:val="006C70F6"/>
    <w:rsid w:val="006C7B70"/>
    <w:rsid w:val="006C7C65"/>
    <w:rsid w:val="006D00A9"/>
    <w:rsid w:val="006D0503"/>
    <w:rsid w:val="006D0BCE"/>
    <w:rsid w:val="006D17B3"/>
    <w:rsid w:val="006D235F"/>
    <w:rsid w:val="006D29B1"/>
    <w:rsid w:val="006D2C82"/>
    <w:rsid w:val="006D3966"/>
    <w:rsid w:val="006D3B58"/>
    <w:rsid w:val="006D3D5C"/>
    <w:rsid w:val="006D3EED"/>
    <w:rsid w:val="006D4898"/>
    <w:rsid w:val="006D5389"/>
    <w:rsid w:val="006D54B0"/>
    <w:rsid w:val="006D6624"/>
    <w:rsid w:val="006D6689"/>
    <w:rsid w:val="006D7383"/>
    <w:rsid w:val="006D7569"/>
    <w:rsid w:val="006E041C"/>
    <w:rsid w:val="006E04E3"/>
    <w:rsid w:val="006E07E0"/>
    <w:rsid w:val="006E08F4"/>
    <w:rsid w:val="006E1510"/>
    <w:rsid w:val="006E2004"/>
    <w:rsid w:val="006E2831"/>
    <w:rsid w:val="006E3F2E"/>
    <w:rsid w:val="006E48BC"/>
    <w:rsid w:val="006E4CF0"/>
    <w:rsid w:val="006E5A3A"/>
    <w:rsid w:val="006E6809"/>
    <w:rsid w:val="006E6AF3"/>
    <w:rsid w:val="006E7113"/>
    <w:rsid w:val="006E75D3"/>
    <w:rsid w:val="006F0279"/>
    <w:rsid w:val="006F0ABA"/>
    <w:rsid w:val="006F11BF"/>
    <w:rsid w:val="006F15A8"/>
    <w:rsid w:val="006F1A6A"/>
    <w:rsid w:val="006F1E51"/>
    <w:rsid w:val="006F243B"/>
    <w:rsid w:val="006F25ED"/>
    <w:rsid w:val="006F2B11"/>
    <w:rsid w:val="006F2CC9"/>
    <w:rsid w:val="006F3F48"/>
    <w:rsid w:val="006F4218"/>
    <w:rsid w:val="006F4340"/>
    <w:rsid w:val="006F4841"/>
    <w:rsid w:val="006F560A"/>
    <w:rsid w:val="006F57E5"/>
    <w:rsid w:val="006F6B22"/>
    <w:rsid w:val="006F7548"/>
    <w:rsid w:val="006F7E92"/>
    <w:rsid w:val="00701AFA"/>
    <w:rsid w:val="00702FFD"/>
    <w:rsid w:val="00703E38"/>
    <w:rsid w:val="00703E8B"/>
    <w:rsid w:val="0070442F"/>
    <w:rsid w:val="00705BB3"/>
    <w:rsid w:val="0070618D"/>
    <w:rsid w:val="00706B10"/>
    <w:rsid w:val="00707830"/>
    <w:rsid w:val="007102D6"/>
    <w:rsid w:val="00710E70"/>
    <w:rsid w:val="00710EA8"/>
    <w:rsid w:val="0071172D"/>
    <w:rsid w:val="00711BC4"/>
    <w:rsid w:val="00711C5C"/>
    <w:rsid w:val="00712669"/>
    <w:rsid w:val="007134B1"/>
    <w:rsid w:val="00713BCB"/>
    <w:rsid w:val="00714356"/>
    <w:rsid w:val="007143B9"/>
    <w:rsid w:val="00714911"/>
    <w:rsid w:val="00715205"/>
    <w:rsid w:val="00715ABF"/>
    <w:rsid w:val="007177F0"/>
    <w:rsid w:val="00717A2D"/>
    <w:rsid w:val="00717CA0"/>
    <w:rsid w:val="00720564"/>
    <w:rsid w:val="00720F7B"/>
    <w:rsid w:val="0072151A"/>
    <w:rsid w:val="00721C46"/>
    <w:rsid w:val="00722153"/>
    <w:rsid w:val="00722C99"/>
    <w:rsid w:val="00723872"/>
    <w:rsid w:val="0072615D"/>
    <w:rsid w:val="00726376"/>
    <w:rsid w:val="0072664D"/>
    <w:rsid w:val="007266FC"/>
    <w:rsid w:val="00727197"/>
    <w:rsid w:val="0072719D"/>
    <w:rsid w:val="007279DE"/>
    <w:rsid w:val="00730061"/>
    <w:rsid w:val="0073069E"/>
    <w:rsid w:val="00731821"/>
    <w:rsid w:val="0073234F"/>
    <w:rsid w:val="0073238F"/>
    <w:rsid w:val="0073286C"/>
    <w:rsid w:val="00732917"/>
    <w:rsid w:val="00732F30"/>
    <w:rsid w:val="0073318A"/>
    <w:rsid w:val="00733348"/>
    <w:rsid w:val="00733B6F"/>
    <w:rsid w:val="00733C63"/>
    <w:rsid w:val="00734DB9"/>
    <w:rsid w:val="00735734"/>
    <w:rsid w:val="00735E7C"/>
    <w:rsid w:val="007360B0"/>
    <w:rsid w:val="00736C88"/>
    <w:rsid w:val="00737701"/>
    <w:rsid w:val="00737A00"/>
    <w:rsid w:val="00740659"/>
    <w:rsid w:val="007409F6"/>
    <w:rsid w:val="00740A76"/>
    <w:rsid w:val="00741212"/>
    <w:rsid w:val="0074186D"/>
    <w:rsid w:val="0074246A"/>
    <w:rsid w:val="00742532"/>
    <w:rsid w:val="00742DDD"/>
    <w:rsid w:val="00743354"/>
    <w:rsid w:val="007433F6"/>
    <w:rsid w:val="00743819"/>
    <w:rsid w:val="00744EC8"/>
    <w:rsid w:val="0074512F"/>
    <w:rsid w:val="007453D1"/>
    <w:rsid w:val="0074632E"/>
    <w:rsid w:val="0074679C"/>
    <w:rsid w:val="0074700C"/>
    <w:rsid w:val="00751596"/>
    <w:rsid w:val="007520ED"/>
    <w:rsid w:val="007524F6"/>
    <w:rsid w:val="00755006"/>
    <w:rsid w:val="007552CC"/>
    <w:rsid w:val="007574D3"/>
    <w:rsid w:val="00757E2F"/>
    <w:rsid w:val="00760330"/>
    <w:rsid w:val="007633DE"/>
    <w:rsid w:val="0076355D"/>
    <w:rsid w:val="00763852"/>
    <w:rsid w:val="00764425"/>
    <w:rsid w:val="007644B2"/>
    <w:rsid w:val="007644ED"/>
    <w:rsid w:val="00764D1A"/>
    <w:rsid w:val="007652C5"/>
    <w:rsid w:val="00765745"/>
    <w:rsid w:val="00766453"/>
    <w:rsid w:val="00767ADF"/>
    <w:rsid w:val="00770345"/>
    <w:rsid w:val="00770563"/>
    <w:rsid w:val="00770F28"/>
    <w:rsid w:val="00771135"/>
    <w:rsid w:val="00771605"/>
    <w:rsid w:val="007719A6"/>
    <w:rsid w:val="00772274"/>
    <w:rsid w:val="00773DDC"/>
    <w:rsid w:val="00774303"/>
    <w:rsid w:val="00775C09"/>
    <w:rsid w:val="0077602F"/>
    <w:rsid w:val="00776962"/>
    <w:rsid w:val="007773DD"/>
    <w:rsid w:val="00777674"/>
    <w:rsid w:val="0078042E"/>
    <w:rsid w:val="007826AF"/>
    <w:rsid w:val="007830C4"/>
    <w:rsid w:val="00783682"/>
    <w:rsid w:val="00783A68"/>
    <w:rsid w:val="00783BF7"/>
    <w:rsid w:val="007857D0"/>
    <w:rsid w:val="00785ABD"/>
    <w:rsid w:val="0078602A"/>
    <w:rsid w:val="0078620B"/>
    <w:rsid w:val="00786F58"/>
    <w:rsid w:val="00787E80"/>
    <w:rsid w:val="00792C59"/>
    <w:rsid w:val="00793423"/>
    <w:rsid w:val="007938B2"/>
    <w:rsid w:val="00795DA5"/>
    <w:rsid w:val="007961EA"/>
    <w:rsid w:val="007976CC"/>
    <w:rsid w:val="007A0195"/>
    <w:rsid w:val="007A0AE3"/>
    <w:rsid w:val="007A0E68"/>
    <w:rsid w:val="007A135D"/>
    <w:rsid w:val="007A1367"/>
    <w:rsid w:val="007A1910"/>
    <w:rsid w:val="007A28C4"/>
    <w:rsid w:val="007A2A18"/>
    <w:rsid w:val="007A2E0E"/>
    <w:rsid w:val="007A3797"/>
    <w:rsid w:val="007A42D8"/>
    <w:rsid w:val="007A45FF"/>
    <w:rsid w:val="007A4EAF"/>
    <w:rsid w:val="007A5CC1"/>
    <w:rsid w:val="007A6C83"/>
    <w:rsid w:val="007A7DA6"/>
    <w:rsid w:val="007A7FD4"/>
    <w:rsid w:val="007B0321"/>
    <w:rsid w:val="007B1CE9"/>
    <w:rsid w:val="007B35B9"/>
    <w:rsid w:val="007B4E77"/>
    <w:rsid w:val="007B5005"/>
    <w:rsid w:val="007B5AF9"/>
    <w:rsid w:val="007B631E"/>
    <w:rsid w:val="007B6376"/>
    <w:rsid w:val="007B6F2C"/>
    <w:rsid w:val="007B750D"/>
    <w:rsid w:val="007B7D5B"/>
    <w:rsid w:val="007C0B29"/>
    <w:rsid w:val="007C182E"/>
    <w:rsid w:val="007C21FE"/>
    <w:rsid w:val="007C2350"/>
    <w:rsid w:val="007C2BC9"/>
    <w:rsid w:val="007C3234"/>
    <w:rsid w:val="007C334B"/>
    <w:rsid w:val="007C368A"/>
    <w:rsid w:val="007C3C96"/>
    <w:rsid w:val="007C434F"/>
    <w:rsid w:val="007C4ADB"/>
    <w:rsid w:val="007C4C4A"/>
    <w:rsid w:val="007C51A4"/>
    <w:rsid w:val="007C5F01"/>
    <w:rsid w:val="007C6B73"/>
    <w:rsid w:val="007C6CAF"/>
    <w:rsid w:val="007C7432"/>
    <w:rsid w:val="007C7FA7"/>
    <w:rsid w:val="007D0388"/>
    <w:rsid w:val="007D0642"/>
    <w:rsid w:val="007D1E6D"/>
    <w:rsid w:val="007D227B"/>
    <w:rsid w:val="007D359D"/>
    <w:rsid w:val="007D4908"/>
    <w:rsid w:val="007D4CC0"/>
    <w:rsid w:val="007D5B5E"/>
    <w:rsid w:val="007D6758"/>
    <w:rsid w:val="007D7A79"/>
    <w:rsid w:val="007D7CBD"/>
    <w:rsid w:val="007D7DA6"/>
    <w:rsid w:val="007D7DB4"/>
    <w:rsid w:val="007E1820"/>
    <w:rsid w:val="007E183E"/>
    <w:rsid w:val="007E1AF0"/>
    <w:rsid w:val="007E35CA"/>
    <w:rsid w:val="007E4746"/>
    <w:rsid w:val="007E4866"/>
    <w:rsid w:val="007E4937"/>
    <w:rsid w:val="007E4C67"/>
    <w:rsid w:val="007E4EA0"/>
    <w:rsid w:val="007E53D2"/>
    <w:rsid w:val="007E5466"/>
    <w:rsid w:val="007E5FF2"/>
    <w:rsid w:val="007E6F62"/>
    <w:rsid w:val="007E7418"/>
    <w:rsid w:val="007F0AC4"/>
    <w:rsid w:val="007F0B15"/>
    <w:rsid w:val="007F0CC7"/>
    <w:rsid w:val="007F1440"/>
    <w:rsid w:val="007F15F5"/>
    <w:rsid w:val="007F316D"/>
    <w:rsid w:val="007F345C"/>
    <w:rsid w:val="007F3E81"/>
    <w:rsid w:val="007F40F4"/>
    <w:rsid w:val="007F479E"/>
    <w:rsid w:val="007F4ACB"/>
    <w:rsid w:val="007F5926"/>
    <w:rsid w:val="007F5A95"/>
    <w:rsid w:val="007F5B3C"/>
    <w:rsid w:val="007F72D1"/>
    <w:rsid w:val="00800189"/>
    <w:rsid w:val="00800247"/>
    <w:rsid w:val="0080038A"/>
    <w:rsid w:val="008012BF"/>
    <w:rsid w:val="008023CA"/>
    <w:rsid w:val="00803667"/>
    <w:rsid w:val="00803E3A"/>
    <w:rsid w:val="00804C78"/>
    <w:rsid w:val="00805109"/>
    <w:rsid w:val="0080512C"/>
    <w:rsid w:val="00805843"/>
    <w:rsid w:val="00805B9D"/>
    <w:rsid w:val="00805D0A"/>
    <w:rsid w:val="00805E00"/>
    <w:rsid w:val="00805E8A"/>
    <w:rsid w:val="00806696"/>
    <w:rsid w:val="00806F6A"/>
    <w:rsid w:val="00807B53"/>
    <w:rsid w:val="00807F9E"/>
    <w:rsid w:val="0081102F"/>
    <w:rsid w:val="00811286"/>
    <w:rsid w:val="008113FD"/>
    <w:rsid w:val="00811476"/>
    <w:rsid w:val="00812D19"/>
    <w:rsid w:val="0081302A"/>
    <w:rsid w:val="00813401"/>
    <w:rsid w:val="00814B8B"/>
    <w:rsid w:val="00814BD8"/>
    <w:rsid w:val="00814FDE"/>
    <w:rsid w:val="008152A7"/>
    <w:rsid w:val="00815E09"/>
    <w:rsid w:val="0081698E"/>
    <w:rsid w:val="00817F15"/>
    <w:rsid w:val="00820661"/>
    <w:rsid w:val="00820F85"/>
    <w:rsid w:val="008214B9"/>
    <w:rsid w:val="00821F0E"/>
    <w:rsid w:val="00822156"/>
    <w:rsid w:val="008221D8"/>
    <w:rsid w:val="00822B05"/>
    <w:rsid w:val="00822C26"/>
    <w:rsid w:val="00822F28"/>
    <w:rsid w:val="00823318"/>
    <w:rsid w:val="00823B23"/>
    <w:rsid w:val="00824146"/>
    <w:rsid w:val="00824D53"/>
    <w:rsid w:val="00824E19"/>
    <w:rsid w:val="00825126"/>
    <w:rsid w:val="008275E4"/>
    <w:rsid w:val="00827BAA"/>
    <w:rsid w:val="008300E2"/>
    <w:rsid w:val="008311D2"/>
    <w:rsid w:val="0083155B"/>
    <w:rsid w:val="00831560"/>
    <w:rsid w:val="00831D37"/>
    <w:rsid w:val="00832B2F"/>
    <w:rsid w:val="00834122"/>
    <w:rsid w:val="0083461E"/>
    <w:rsid w:val="008349D9"/>
    <w:rsid w:val="00834B0F"/>
    <w:rsid w:val="00834DA4"/>
    <w:rsid w:val="00834E37"/>
    <w:rsid w:val="0083510E"/>
    <w:rsid w:val="008356F8"/>
    <w:rsid w:val="00835A69"/>
    <w:rsid w:val="008368D0"/>
    <w:rsid w:val="008369CD"/>
    <w:rsid w:val="00836BDA"/>
    <w:rsid w:val="0083731D"/>
    <w:rsid w:val="0083745E"/>
    <w:rsid w:val="008375BB"/>
    <w:rsid w:val="00837AD3"/>
    <w:rsid w:val="00837B4B"/>
    <w:rsid w:val="00837DC3"/>
    <w:rsid w:val="0084046B"/>
    <w:rsid w:val="00840538"/>
    <w:rsid w:val="00840E34"/>
    <w:rsid w:val="00840ECE"/>
    <w:rsid w:val="00841E5F"/>
    <w:rsid w:val="0084265D"/>
    <w:rsid w:val="008426DF"/>
    <w:rsid w:val="00842C20"/>
    <w:rsid w:val="008432A8"/>
    <w:rsid w:val="00844F7B"/>
    <w:rsid w:val="0084528D"/>
    <w:rsid w:val="008452E7"/>
    <w:rsid w:val="008453B9"/>
    <w:rsid w:val="00845592"/>
    <w:rsid w:val="00846631"/>
    <w:rsid w:val="00846D9A"/>
    <w:rsid w:val="00847BD0"/>
    <w:rsid w:val="00847E6A"/>
    <w:rsid w:val="008512AB"/>
    <w:rsid w:val="008513BF"/>
    <w:rsid w:val="00852D28"/>
    <w:rsid w:val="00853134"/>
    <w:rsid w:val="008539FB"/>
    <w:rsid w:val="00853B6B"/>
    <w:rsid w:val="00854BEE"/>
    <w:rsid w:val="00855149"/>
    <w:rsid w:val="0085592C"/>
    <w:rsid w:val="00856168"/>
    <w:rsid w:val="008562DA"/>
    <w:rsid w:val="008564B9"/>
    <w:rsid w:val="008564FE"/>
    <w:rsid w:val="0085693F"/>
    <w:rsid w:val="00856AAB"/>
    <w:rsid w:val="00857402"/>
    <w:rsid w:val="008574C0"/>
    <w:rsid w:val="00857722"/>
    <w:rsid w:val="00857C61"/>
    <w:rsid w:val="00857EFF"/>
    <w:rsid w:val="008601F7"/>
    <w:rsid w:val="008608A0"/>
    <w:rsid w:val="008612E3"/>
    <w:rsid w:val="008633E2"/>
    <w:rsid w:val="00863826"/>
    <w:rsid w:val="0086489F"/>
    <w:rsid w:val="008649E1"/>
    <w:rsid w:val="00865360"/>
    <w:rsid w:val="0086594D"/>
    <w:rsid w:val="0086689D"/>
    <w:rsid w:val="0086728E"/>
    <w:rsid w:val="00867768"/>
    <w:rsid w:val="00870F26"/>
    <w:rsid w:val="0087142E"/>
    <w:rsid w:val="008715CF"/>
    <w:rsid w:val="008729C4"/>
    <w:rsid w:val="00872BB3"/>
    <w:rsid w:val="00873123"/>
    <w:rsid w:val="00875757"/>
    <w:rsid w:val="008765DC"/>
    <w:rsid w:val="00876AA0"/>
    <w:rsid w:val="0087780D"/>
    <w:rsid w:val="0088064C"/>
    <w:rsid w:val="00880C10"/>
    <w:rsid w:val="00880F0C"/>
    <w:rsid w:val="0088121A"/>
    <w:rsid w:val="008816CB"/>
    <w:rsid w:val="00881872"/>
    <w:rsid w:val="008818D2"/>
    <w:rsid w:val="00881BD7"/>
    <w:rsid w:val="008820C5"/>
    <w:rsid w:val="00882304"/>
    <w:rsid w:val="00882E2D"/>
    <w:rsid w:val="008839FD"/>
    <w:rsid w:val="008840DF"/>
    <w:rsid w:val="008842B5"/>
    <w:rsid w:val="00884BFB"/>
    <w:rsid w:val="0088574D"/>
    <w:rsid w:val="0088606A"/>
    <w:rsid w:val="008860A3"/>
    <w:rsid w:val="00886172"/>
    <w:rsid w:val="00886911"/>
    <w:rsid w:val="00886EDD"/>
    <w:rsid w:val="00886F71"/>
    <w:rsid w:val="0088753C"/>
    <w:rsid w:val="00887AFA"/>
    <w:rsid w:val="00887D3B"/>
    <w:rsid w:val="00890AFE"/>
    <w:rsid w:val="00890BEE"/>
    <w:rsid w:val="0089133A"/>
    <w:rsid w:val="00891520"/>
    <w:rsid w:val="0089231D"/>
    <w:rsid w:val="00893781"/>
    <w:rsid w:val="008947CD"/>
    <w:rsid w:val="00894FB0"/>
    <w:rsid w:val="00895479"/>
    <w:rsid w:val="008959A6"/>
    <w:rsid w:val="008961FD"/>
    <w:rsid w:val="008976C9"/>
    <w:rsid w:val="008A049F"/>
    <w:rsid w:val="008A21A4"/>
    <w:rsid w:val="008A3745"/>
    <w:rsid w:val="008A45B6"/>
    <w:rsid w:val="008A49A5"/>
    <w:rsid w:val="008A539A"/>
    <w:rsid w:val="008A584B"/>
    <w:rsid w:val="008A5D66"/>
    <w:rsid w:val="008A76CB"/>
    <w:rsid w:val="008A7F5D"/>
    <w:rsid w:val="008B063C"/>
    <w:rsid w:val="008B07EA"/>
    <w:rsid w:val="008B10E7"/>
    <w:rsid w:val="008B1298"/>
    <w:rsid w:val="008B1429"/>
    <w:rsid w:val="008B15B7"/>
    <w:rsid w:val="008B182C"/>
    <w:rsid w:val="008B1916"/>
    <w:rsid w:val="008B3514"/>
    <w:rsid w:val="008B3A1E"/>
    <w:rsid w:val="008B3E53"/>
    <w:rsid w:val="008B3F4A"/>
    <w:rsid w:val="008B45EE"/>
    <w:rsid w:val="008B5229"/>
    <w:rsid w:val="008B54A7"/>
    <w:rsid w:val="008B5F8D"/>
    <w:rsid w:val="008B689C"/>
    <w:rsid w:val="008B7286"/>
    <w:rsid w:val="008B7533"/>
    <w:rsid w:val="008B7B63"/>
    <w:rsid w:val="008B7D6D"/>
    <w:rsid w:val="008C0311"/>
    <w:rsid w:val="008C1D8A"/>
    <w:rsid w:val="008C2556"/>
    <w:rsid w:val="008C27FD"/>
    <w:rsid w:val="008C3C8B"/>
    <w:rsid w:val="008C3E8C"/>
    <w:rsid w:val="008C3EAB"/>
    <w:rsid w:val="008C445B"/>
    <w:rsid w:val="008C4D86"/>
    <w:rsid w:val="008C52DC"/>
    <w:rsid w:val="008C5690"/>
    <w:rsid w:val="008C669D"/>
    <w:rsid w:val="008C6B4D"/>
    <w:rsid w:val="008C7159"/>
    <w:rsid w:val="008C7E54"/>
    <w:rsid w:val="008C7F2E"/>
    <w:rsid w:val="008D0A39"/>
    <w:rsid w:val="008D0C49"/>
    <w:rsid w:val="008D2D08"/>
    <w:rsid w:val="008D35BD"/>
    <w:rsid w:val="008D4207"/>
    <w:rsid w:val="008D4365"/>
    <w:rsid w:val="008D4FF4"/>
    <w:rsid w:val="008D56BC"/>
    <w:rsid w:val="008D5D8F"/>
    <w:rsid w:val="008D64AB"/>
    <w:rsid w:val="008D66FB"/>
    <w:rsid w:val="008D6EBF"/>
    <w:rsid w:val="008E0E5E"/>
    <w:rsid w:val="008E0F6B"/>
    <w:rsid w:val="008E134A"/>
    <w:rsid w:val="008E153E"/>
    <w:rsid w:val="008E177E"/>
    <w:rsid w:val="008E1F42"/>
    <w:rsid w:val="008E2499"/>
    <w:rsid w:val="008E26A5"/>
    <w:rsid w:val="008E3811"/>
    <w:rsid w:val="008E3B31"/>
    <w:rsid w:val="008E3D14"/>
    <w:rsid w:val="008E3EEE"/>
    <w:rsid w:val="008E4AD9"/>
    <w:rsid w:val="008E4E01"/>
    <w:rsid w:val="008E652D"/>
    <w:rsid w:val="008E6660"/>
    <w:rsid w:val="008E7358"/>
    <w:rsid w:val="008E7B6F"/>
    <w:rsid w:val="008F06F7"/>
    <w:rsid w:val="008F0E2E"/>
    <w:rsid w:val="008F1B0B"/>
    <w:rsid w:val="008F1C4A"/>
    <w:rsid w:val="008F2EBE"/>
    <w:rsid w:val="008F3451"/>
    <w:rsid w:val="008F3F3D"/>
    <w:rsid w:val="008F678D"/>
    <w:rsid w:val="009003F2"/>
    <w:rsid w:val="00900FE9"/>
    <w:rsid w:val="00902538"/>
    <w:rsid w:val="00903BFC"/>
    <w:rsid w:val="009040D9"/>
    <w:rsid w:val="0090483A"/>
    <w:rsid w:val="00904B1F"/>
    <w:rsid w:val="00905488"/>
    <w:rsid w:val="0090621B"/>
    <w:rsid w:val="00906B63"/>
    <w:rsid w:val="009100A4"/>
    <w:rsid w:val="0091023A"/>
    <w:rsid w:val="00911C11"/>
    <w:rsid w:val="00912D68"/>
    <w:rsid w:val="009133EA"/>
    <w:rsid w:val="009138DC"/>
    <w:rsid w:val="00913C29"/>
    <w:rsid w:val="009149A0"/>
    <w:rsid w:val="0091552F"/>
    <w:rsid w:val="00915F30"/>
    <w:rsid w:val="009165CF"/>
    <w:rsid w:val="009167C1"/>
    <w:rsid w:val="00916C0B"/>
    <w:rsid w:val="00916F91"/>
    <w:rsid w:val="009175D9"/>
    <w:rsid w:val="00920B1D"/>
    <w:rsid w:val="00921176"/>
    <w:rsid w:val="00921BDF"/>
    <w:rsid w:val="00922397"/>
    <w:rsid w:val="0092354C"/>
    <w:rsid w:val="00923BF2"/>
    <w:rsid w:val="00925273"/>
    <w:rsid w:val="009270DF"/>
    <w:rsid w:val="00927548"/>
    <w:rsid w:val="00927678"/>
    <w:rsid w:val="00931066"/>
    <w:rsid w:val="009322B8"/>
    <w:rsid w:val="00932457"/>
    <w:rsid w:val="00932D82"/>
    <w:rsid w:val="00932E58"/>
    <w:rsid w:val="00932FDA"/>
    <w:rsid w:val="00933AB8"/>
    <w:rsid w:val="0093407C"/>
    <w:rsid w:val="00934355"/>
    <w:rsid w:val="00934677"/>
    <w:rsid w:val="00934AD6"/>
    <w:rsid w:val="009353F3"/>
    <w:rsid w:val="0093599C"/>
    <w:rsid w:val="00937325"/>
    <w:rsid w:val="009374DA"/>
    <w:rsid w:val="009406C4"/>
    <w:rsid w:val="00940CD2"/>
    <w:rsid w:val="00941880"/>
    <w:rsid w:val="009427D7"/>
    <w:rsid w:val="0094295E"/>
    <w:rsid w:val="00942BCA"/>
    <w:rsid w:val="00942E22"/>
    <w:rsid w:val="00943A01"/>
    <w:rsid w:val="0094463F"/>
    <w:rsid w:val="00945792"/>
    <w:rsid w:val="009465BE"/>
    <w:rsid w:val="009468BB"/>
    <w:rsid w:val="00947836"/>
    <w:rsid w:val="009479F4"/>
    <w:rsid w:val="00951282"/>
    <w:rsid w:val="009512B5"/>
    <w:rsid w:val="00952103"/>
    <w:rsid w:val="0095261D"/>
    <w:rsid w:val="00952669"/>
    <w:rsid w:val="00952EE7"/>
    <w:rsid w:val="00954667"/>
    <w:rsid w:val="00955926"/>
    <w:rsid w:val="00955E87"/>
    <w:rsid w:val="00955F2A"/>
    <w:rsid w:val="00956052"/>
    <w:rsid w:val="00957261"/>
    <w:rsid w:val="0095742D"/>
    <w:rsid w:val="00960422"/>
    <w:rsid w:val="0096053B"/>
    <w:rsid w:val="00960D88"/>
    <w:rsid w:val="00960F8A"/>
    <w:rsid w:val="0096114A"/>
    <w:rsid w:val="00961305"/>
    <w:rsid w:val="009617A4"/>
    <w:rsid w:val="00961B18"/>
    <w:rsid w:val="009624CE"/>
    <w:rsid w:val="0096330A"/>
    <w:rsid w:val="009634F8"/>
    <w:rsid w:val="009639FA"/>
    <w:rsid w:val="00963D90"/>
    <w:rsid w:val="009647B0"/>
    <w:rsid w:val="009649D5"/>
    <w:rsid w:val="00964C72"/>
    <w:rsid w:val="00964D8D"/>
    <w:rsid w:val="0096530F"/>
    <w:rsid w:val="009656A7"/>
    <w:rsid w:val="0096579B"/>
    <w:rsid w:val="009657BB"/>
    <w:rsid w:val="00965995"/>
    <w:rsid w:val="00965B3A"/>
    <w:rsid w:val="00965DD5"/>
    <w:rsid w:val="0096696A"/>
    <w:rsid w:val="0096720E"/>
    <w:rsid w:val="00970348"/>
    <w:rsid w:val="00972944"/>
    <w:rsid w:val="00972B04"/>
    <w:rsid w:val="009730FD"/>
    <w:rsid w:val="00974448"/>
    <w:rsid w:val="00974E39"/>
    <w:rsid w:val="00975692"/>
    <w:rsid w:val="00975BB5"/>
    <w:rsid w:val="009769EB"/>
    <w:rsid w:val="00976A5E"/>
    <w:rsid w:val="00977638"/>
    <w:rsid w:val="00977DF3"/>
    <w:rsid w:val="0098108F"/>
    <w:rsid w:val="0098140E"/>
    <w:rsid w:val="009827F5"/>
    <w:rsid w:val="00983B2E"/>
    <w:rsid w:val="009844AD"/>
    <w:rsid w:val="00984A8B"/>
    <w:rsid w:val="00985222"/>
    <w:rsid w:val="00985BEC"/>
    <w:rsid w:val="00985D50"/>
    <w:rsid w:val="009866AC"/>
    <w:rsid w:val="00986790"/>
    <w:rsid w:val="00987347"/>
    <w:rsid w:val="00987D45"/>
    <w:rsid w:val="009909FB"/>
    <w:rsid w:val="009910CC"/>
    <w:rsid w:val="009910F8"/>
    <w:rsid w:val="009913AB"/>
    <w:rsid w:val="00992A4D"/>
    <w:rsid w:val="00993225"/>
    <w:rsid w:val="009957CB"/>
    <w:rsid w:val="0099608F"/>
    <w:rsid w:val="00996B1B"/>
    <w:rsid w:val="00997258"/>
    <w:rsid w:val="009A0366"/>
    <w:rsid w:val="009A0444"/>
    <w:rsid w:val="009A047F"/>
    <w:rsid w:val="009A09CC"/>
    <w:rsid w:val="009A1985"/>
    <w:rsid w:val="009A1A62"/>
    <w:rsid w:val="009A27E5"/>
    <w:rsid w:val="009A2BD4"/>
    <w:rsid w:val="009A2C6B"/>
    <w:rsid w:val="009A404C"/>
    <w:rsid w:val="009A43A8"/>
    <w:rsid w:val="009A4452"/>
    <w:rsid w:val="009A48D9"/>
    <w:rsid w:val="009A50AF"/>
    <w:rsid w:val="009A79B6"/>
    <w:rsid w:val="009B17A3"/>
    <w:rsid w:val="009B1E0C"/>
    <w:rsid w:val="009B23BA"/>
    <w:rsid w:val="009B24DC"/>
    <w:rsid w:val="009B2813"/>
    <w:rsid w:val="009B2FFD"/>
    <w:rsid w:val="009B3945"/>
    <w:rsid w:val="009B3EF7"/>
    <w:rsid w:val="009B4A76"/>
    <w:rsid w:val="009B4B81"/>
    <w:rsid w:val="009B4F2E"/>
    <w:rsid w:val="009B513C"/>
    <w:rsid w:val="009B5D1B"/>
    <w:rsid w:val="009C04D0"/>
    <w:rsid w:val="009C22D1"/>
    <w:rsid w:val="009C3B2E"/>
    <w:rsid w:val="009C3DC7"/>
    <w:rsid w:val="009C4222"/>
    <w:rsid w:val="009C49EA"/>
    <w:rsid w:val="009C5CE1"/>
    <w:rsid w:val="009C6524"/>
    <w:rsid w:val="009C6B0D"/>
    <w:rsid w:val="009C7FA2"/>
    <w:rsid w:val="009D1EC1"/>
    <w:rsid w:val="009D2252"/>
    <w:rsid w:val="009D2E64"/>
    <w:rsid w:val="009D328C"/>
    <w:rsid w:val="009D3373"/>
    <w:rsid w:val="009D37EA"/>
    <w:rsid w:val="009D389E"/>
    <w:rsid w:val="009D391F"/>
    <w:rsid w:val="009D420C"/>
    <w:rsid w:val="009D5191"/>
    <w:rsid w:val="009D5C1F"/>
    <w:rsid w:val="009D5C6B"/>
    <w:rsid w:val="009D64D2"/>
    <w:rsid w:val="009D6844"/>
    <w:rsid w:val="009D6CA9"/>
    <w:rsid w:val="009E05F6"/>
    <w:rsid w:val="009E06A5"/>
    <w:rsid w:val="009E1326"/>
    <w:rsid w:val="009E296C"/>
    <w:rsid w:val="009E4336"/>
    <w:rsid w:val="009E43DF"/>
    <w:rsid w:val="009E59CD"/>
    <w:rsid w:val="009E5DC4"/>
    <w:rsid w:val="009E6190"/>
    <w:rsid w:val="009E6541"/>
    <w:rsid w:val="009E6D6B"/>
    <w:rsid w:val="009F0AD1"/>
    <w:rsid w:val="009F0E8C"/>
    <w:rsid w:val="009F2641"/>
    <w:rsid w:val="009F2F3E"/>
    <w:rsid w:val="009F3686"/>
    <w:rsid w:val="009F3910"/>
    <w:rsid w:val="009F61EE"/>
    <w:rsid w:val="009F66ED"/>
    <w:rsid w:val="009F6979"/>
    <w:rsid w:val="009F6E64"/>
    <w:rsid w:val="00A00ECF"/>
    <w:rsid w:val="00A01CB3"/>
    <w:rsid w:val="00A021B5"/>
    <w:rsid w:val="00A02C71"/>
    <w:rsid w:val="00A037BF"/>
    <w:rsid w:val="00A03FD5"/>
    <w:rsid w:val="00A044B5"/>
    <w:rsid w:val="00A04873"/>
    <w:rsid w:val="00A04977"/>
    <w:rsid w:val="00A04C14"/>
    <w:rsid w:val="00A050BC"/>
    <w:rsid w:val="00A054E7"/>
    <w:rsid w:val="00A058DA"/>
    <w:rsid w:val="00A059C9"/>
    <w:rsid w:val="00A06281"/>
    <w:rsid w:val="00A06F57"/>
    <w:rsid w:val="00A07D9A"/>
    <w:rsid w:val="00A106FB"/>
    <w:rsid w:val="00A114C5"/>
    <w:rsid w:val="00A124DF"/>
    <w:rsid w:val="00A12AE5"/>
    <w:rsid w:val="00A12CE6"/>
    <w:rsid w:val="00A134F7"/>
    <w:rsid w:val="00A13630"/>
    <w:rsid w:val="00A13860"/>
    <w:rsid w:val="00A14554"/>
    <w:rsid w:val="00A14D97"/>
    <w:rsid w:val="00A15242"/>
    <w:rsid w:val="00A162D5"/>
    <w:rsid w:val="00A169AB"/>
    <w:rsid w:val="00A179DF"/>
    <w:rsid w:val="00A17CD2"/>
    <w:rsid w:val="00A21585"/>
    <w:rsid w:val="00A225E1"/>
    <w:rsid w:val="00A22C3C"/>
    <w:rsid w:val="00A2332D"/>
    <w:rsid w:val="00A23DB6"/>
    <w:rsid w:val="00A24041"/>
    <w:rsid w:val="00A24253"/>
    <w:rsid w:val="00A25F4B"/>
    <w:rsid w:val="00A26106"/>
    <w:rsid w:val="00A26534"/>
    <w:rsid w:val="00A314DB"/>
    <w:rsid w:val="00A342E4"/>
    <w:rsid w:val="00A3485B"/>
    <w:rsid w:val="00A34C66"/>
    <w:rsid w:val="00A35DB7"/>
    <w:rsid w:val="00A36F0B"/>
    <w:rsid w:val="00A37783"/>
    <w:rsid w:val="00A37932"/>
    <w:rsid w:val="00A37A13"/>
    <w:rsid w:val="00A37F45"/>
    <w:rsid w:val="00A40046"/>
    <w:rsid w:val="00A41BE3"/>
    <w:rsid w:val="00A423E6"/>
    <w:rsid w:val="00A4271B"/>
    <w:rsid w:val="00A428C9"/>
    <w:rsid w:val="00A43EC4"/>
    <w:rsid w:val="00A444BC"/>
    <w:rsid w:val="00A448AB"/>
    <w:rsid w:val="00A44AF7"/>
    <w:rsid w:val="00A45537"/>
    <w:rsid w:val="00A456B7"/>
    <w:rsid w:val="00A457B3"/>
    <w:rsid w:val="00A45A0F"/>
    <w:rsid w:val="00A46907"/>
    <w:rsid w:val="00A46FE0"/>
    <w:rsid w:val="00A4732D"/>
    <w:rsid w:val="00A47714"/>
    <w:rsid w:val="00A47754"/>
    <w:rsid w:val="00A4799C"/>
    <w:rsid w:val="00A47CF8"/>
    <w:rsid w:val="00A47D3E"/>
    <w:rsid w:val="00A5013B"/>
    <w:rsid w:val="00A50AAF"/>
    <w:rsid w:val="00A51FFC"/>
    <w:rsid w:val="00A525D2"/>
    <w:rsid w:val="00A53EDA"/>
    <w:rsid w:val="00A548D4"/>
    <w:rsid w:val="00A5512D"/>
    <w:rsid w:val="00A55581"/>
    <w:rsid w:val="00A556D5"/>
    <w:rsid w:val="00A57578"/>
    <w:rsid w:val="00A575C5"/>
    <w:rsid w:val="00A578EC"/>
    <w:rsid w:val="00A578FB"/>
    <w:rsid w:val="00A57A0C"/>
    <w:rsid w:val="00A603F0"/>
    <w:rsid w:val="00A6087D"/>
    <w:rsid w:val="00A60F2C"/>
    <w:rsid w:val="00A613B9"/>
    <w:rsid w:val="00A61AFF"/>
    <w:rsid w:val="00A61ED4"/>
    <w:rsid w:val="00A646DF"/>
    <w:rsid w:val="00A6492A"/>
    <w:rsid w:val="00A65097"/>
    <w:rsid w:val="00A655CE"/>
    <w:rsid w:val="00A65EF0"/>
    <w:rsid w:val="00A66D17"/>
    <w:rsid w:val="00A66E8D"/>
    <w:rsid w:val="00A66EDE"/>
    <w:rsid w:val="00A677C0"/>
    <w:rsid w:val="00A67DDE"/>
    <w:rsid w:val="00A70E20"/>
    <w:rsid w:val="00A71D97"/>
    <w:rsid w:val="00A721DF"/>
    <w:rsid w:val="00A7221E"/>
    <w:rsid w:val="00A725CF"/>
    <w:rsid w:val="00A72F2D"/>
    <w:rsid w:val="00A736BE"/>
    <w:rsid w:val="00A737DF"/>
    <w:rsid w:val="00A742CC"/>
    <w:rsid w:val="00A75BB0"/>
    <w:rsid w:val="00A75FC5"/>
    <w:rsid w:val="00A766C1"/>
    <w:rsid w:val="00A76A6E"/>
    <w:rsid w:val="00A76BF2"/>
    <w:rsid w:val="00A76E36"/>
    <w:rsid w:val="00A77D5B"/>
    <w:rsid w:val="00A80EDB"/>
    <w:rsid w:val="00A810B7"/>
    <w:rsid w:val="00A81260"/>
    <w:rsid w:val="00A81B1E"/>
    <w:rsid w:val="00A837AD"/>
    <w:rsid w:val="00A83EE0"/>
    <w:rsid w:val="00A843E2"/>
    <w:rsid w:val="00A844B4"/>
    <w:rsid w:val="00A847D5"/>
    <w:rsid w:val="00A84D76"/>
    <w:rsid w:val="00A85150"/>
    <w:rsid w:val="00A85520"/>
    <w:rsid w:val="00A865EC"/>
    <w:rsid w:val="00A87389"/>
    <w:rsid w:val="00A87788"/>
    <w:rsid w:val="00A9040A"/>
    <w:rsid w:val="00A91164"/>
    <w:rsid w:val="00A91671"/>
    <w:rsid w:val="00A922D3"/>
    <w:rsid w:val="00A92360"/>
    <w:rsid w:val="00A933D0"/>
    <w:rsid w:val="00A93439"/>
    <w:rsid w:val="00A937B2"/>
    <w:rsid w:val="00A93963"/>
    <w:rsid w:val="00A94103"/>
    <w:rsid w:val="00A94640"/>
    <w:rsid w:val="00A9505D"/>
    <w:rsid w:val="00A950B7"/>
    <w:rsid w:val="00A96867"/>
    <w:rsid w:val="00AA027A"/>
    <w:rsid w:val="00AA0A70"/>
    <w:rsid w:val="00AA0FF1"/>
    <w:rsid w:val="00AA179F"/>
    <w:rsid w:val="00AA2466"/>
    <w:rsid w:val="00AA25C1"/>
    <w:rsid w:val="00AA34AA"/>
    <w:rsid w:val="00AA387C"/>
    <w:rsid w:val="00AA3CF7"/>
    <w:rsid w:val="00AA3DA2"/>
    <w:rsid w:val="00AA453B"/>
    <w:rsid w:val="00AA507A"/>
    <w:rsid w:val="00AA50AE"/>
    <w:rsid w:val="00AA6491"/>
    <w:rsid w:val="00AA684A"/>
    <w:rsid w:val="00AA6D5E"/>
    <w:rsid w:val="00AA727C"/>
    <w:rsid w:val="00AA7752"/>
    <w:rsid w:val="00AB04D3"/>
    <w:rsid w:val="00AB1D41"/>
    <w:rsid w:val="00AB22E0"/>
    <w:rsid w:val="00AB2F6B"/>
    <w:rsid w:val="00AB30A8"/>
    <w:rsid w:val="00AB3867"/>
    <w:rsid w:val="00AB3F64"/>
    <w:rsid w:val="00AB4108"/>
    <w:rsid w:val="00AB4685"/>
    <w:rsid w:val="00AB6985"/>
    <w:rsid w:val="00AB711D"/>
    <w:rsid w:val="00AB7B58"/>
    <w:rsid w:val="00AB7F80"/>
    <w:rsid w:val="00AC0274"/>
    <w:rsid w:val="00AC03B0"/>
    <w:rsid w:val="00AC0983"/>
    <w:rsid w:val="00AC0C17"/>
    <w:rsid w:val="00AC1C05"/>
    <w:rsid w:val="00AC26A7"/>
    <w:rsid w:val="00AC2F9B"/>
    <w:rsid w:val="00AC37FB"/>
    <w:rsid w:val="00AC3882"/>
    <w:rsid w:val="00AC3BB4"/>
    <w:rsid w:val="00AC5402"/>
    <w:rsid w:val="00AC54A7"/>
    <w:rsid w:val="00AC5B41"/>
    <w:rsid w:val="00AC5D87"/>
    <w:rsid w:val="00AC5E1E"/>
    <w:rsid w:val="00AC75DE"/>
    <w:rsid w:val="00AD05F8"/>
    <w:rsid w:val="00AD093C"/>
    <w:rsid w:val="00AD0B1F"/>
    <w:rsid w:val="00AD1B42"/>
    <w:rsid w:val="00AD27E3"/>
    <w:rsid w:val="00AD2AAF"/>
    <w:rsid w:val="00AD332C"/>
    <w:rsid w:val="00AD44CB"/>
    <w:rsid w:val="00AD47B2"/>
    <w:rsid w:val="00AD47C8"/>
    <w:rsid w:val="00AD4B3C"/>
    <w:rsid w:val="00AD5761"/>
    <w:rsid w:val="00AD6EF7"/>
    <w:rsid w:val="00AD6FCA"/>
    <w:rsid w:val="00AD738C"/>
    <w:rsid w:val="00AD7499"/>
    <w:rsid w:val="00AD79D9"/>
    <w:rsid w:val="00AD7A9D"/>
    <w:rsid w:val="00AD7F74"/>
    <w:rsid w:val="00AE1A76"/>
    <w:rsid w:val="00AE219A"/>
    <w:rsid w:val="00AE2337"/>
    <w:rsid w:val="00AE25B3"/>
    <w:rsid w:val="00AE4390"/>
    <w:rsid w:val="00AE4BB2"/>
    <w:rsid w:val="00AE4F96"/>
    <w:rsid w:val="00AE516C"/>
    <w:rsid w:val="00AE52F3"/>
    <w:rsid w:val="00AE5D19"/>
    <w:rsid w:val="00AE63DF"/>
    <w:rsid w:val="00AF1261"/>
    <w:rsid w:val="00AF1AFE"/>
    <w:rsid w:val="00AF200B"/>
    <w:rsid w:val="00AF2302"/>
    <w:rsid w:val="00AF2428"/>
    <w:rsid w:val="00AF2909"/>
    <w:rsid w:val="00AF2AE8"/>
    <w:rsid w:val="00AF366C"/>
    <w:rsid w:val="00AF5B95"/>
    <w:rsid w:val="00AF6906"/>
    <w:rsid w:val="00AF6908"/>
    <w:rsid w:val="00AF6A22"/>
    <w:rsid w:val="00AF7F4B"/>
    <w:rsid w:val="00B00277"/>
    <w:rsid w:val="00B00D01"/>
    <w:rsid w:val="00B01249"/>
    <w:rsid w:val="00B012A9"/>
    <w:rsid w:val="00B045CD"/>
    <w:rsid w:val="00B05093"/>
    <w:rsid w:val="00B05C2E"/>
    <w:rsid w:val="00B05CB9"/>
    <w:rsid w:val="00B067CD"/>
    <w:rsid w:val="00B06DD2"/>
    <w:rsid w:val="00B07156"/>
    <w:rsid w:val="00B077BE"/>
    <w:rsid w:val="00B07AFA"/>
    <w:rsid w:val="00B07D5C"/>
    <w:rsid w:val="00B109F4"/>
    <w:rsid w:val="00B12E69"/>
    <w:rsid w:val="00B1357D"/>
    <w:rsid w:val="00B139CE"/>
    <w:rsid w:val="00B13A30"/>
    <w:rsid w:val="00B13C44"/>
    <w:rsid w:val="00B147C1"/>
    <w:rsid w:val="00B1551F"/>
    <w:rsid w:val="00B15EA0"/>
    <w:rsid w:val="00B16425"/>
    <w:rsid w:val="00B16E5C"/>
    <w:rsid w:val="00B205BC"/>
    <w:rsid w:val="00B20BB6"/>
    <w:rsid w:val="00B20C87"/>
    <w:rsid w:val="00B21C39"/>
    <w:rsid w:val="00B21D29"/>
    <w:rsid w:val="00B21E64"/>
    <w:rsid w:val="00B226BA"/>
    <w:rsid w:val="00B227EE"/>
    <w:rsid w:val="00B22831"/>
    <w:rsid w:val="00B23F6B"/>
    <w:rsid w:val="00B2469B"/>
    <w:rsid w:val="00B2586C"/>
    <w:rsid w:val="00B259E1"/>
    <w:rsid w:val="00B25CBB"/>
    <w:rsid w:val="00B26200"/>
    <w:rsid w:val="00B26204"/>
    <w:rsid w:val="00B26520"/>
    <w:rsid w:val="00B26657"/>
    <w:rsid w:val="00B27AEE"/>
    <w:rsid w:val="00B301F9"/>
    <w:rsid w:val="00B307CA"/>
    <w:rsid w:val="00B30AFF"/>
    <w:rsid w:val="00B30B83"/>
    <w:rsid w:val="00B31145"/>
    <w:rsid w:val="00B31F0D"/>
    <w:rsid w:val="00B327DE"/>
    <w:rsid w:val="00B32AC9"/>
    <w:rsid w:val="00B32F23"/>
    <w:rsid w:val="00B34579"/>
    <w:rsid w:val="00B34685"/>
    <w:rsid w:val="00B348CE"/>
    <w:rsid w:val="00B35495"/>
    <w:rsid w:val="00B359CE"/>
    <w:rsid w:val="00B35E2A"/>
    <w:rsid w:val="00B36294"/>
    <w:rsid w:val="00B36B99"/>
    <w:rsid w:val="00B37AE7"/>
    <w:rsid w:val="00B37FA9"/>
    <w:rsid w:val="00B404DE"/>
    <w:rsid w:val="00B41227"/>
    <w:rsid w:val="00B41B6B"/>
    <w:rsid w:val="00B42519"/>
    <w:rsid w:val="00B4299E"/>
    <w:rsid w:val="00B43911"/>
    <w:rsid w:val="00B44925"/>
    <w:rsid w:val="00B44DD9"/>
    <w:rsid w:val="00B44DF2"/>
    <w:rsid w:val="00B47CF2"/>
    <w:rsid w:val="00B5034C"/>
    <w:rsid w:val="00B50ED6"/>
    <w:rsid w:val="00B5156E"/>
    <w:rsid w:val="00B515B2"/>
    <w:rsid w:val="00B51FE2"/>
    <w:rsid w:val="00B538D6"/>
    <w:rsid w:val="00B53EE4"/>
    <w:rsid w:val="00B5427B"/>
    <w:rsid w:val="00B55114"/>
    <w:rsid w:val="00B552FB"/>
    <w:rsid w:val="00B56A7B"/>
    <w:rsid w:val="00B572BF"/>
    <w:rsid w:val="00B57609"/>
    <w:rsid w:val="00B57876"/>
    <w:rsid w:val="00B5798C"/>
    <w:rsid w:val="00B60AE0"/>
    <w:rsid w:val="00B62269"/>
    <w:rsid w:val="00B63317"/>
    <w:rsid w:val="00B63422"/>
    <w:rsid w:val="00B638EB"/>
    <w:rsid w:val="00B63E6B"/>
    <w:rsid w:val="00B64C53"/>
    <w:rsid w:val="00B652E1"/>
    <w:rsid w:val="00B65836"/>
    <w:rsid w:val="00B65FA1"/>
    <w:rsid w:val="00B66156"/>
    <w:rsid w:val="00B666CA"/>
    <w:rsid w:val="00B66C53"/>
    <w:rsid w:val="00B6757C"/>
    <w:rsid w:val="00B70182"/>
    <w:rsid w:val="00B70A07"/>
    <w:rsid w:val="00B70C33"/>
    <w:rsid w:val="00B70EEB"/>
    <w:rsid w:val="00B71464"/>
    <w:rsid w:val="00B71A59"/>
    <w:rsid w:val="00B72018"/>
    <w:rsid w:val="00B72D99"/>
    <w:rsid w:val="00B72F0C"/>
    <w:rsid w:val="00B72FFD"/>
    <w:rsid w:val="00B73CFE"/>
    <w:rsid w:val="00B7430E"/>
    <w:rsid w:val="00B7455E"/>
    <w:rsid w:val="00B74BBE"/>
    <w:rsid w:val="00B75F8C"/>
    <w:rsid w:val="00B765BE"/>
    <w:rsid w:val="00B76E7C"/>
    <w:rsid w:val="00B76EB1"/>
    <w:rsid w:val="00B76F7F"/>
    <w:rsid w:val="00B771EF"/>
    <w:rsid w:val="00B7755D"/>
    <w:rsid w:val="00B80026"/>
    <w:rsid w:val="00B81D0A"/>
    <w:rsid w:val="00B82213"/>
    <w:rsid w:val="00B8301A"/>
    <w:rsid w:val="00B8331D"/>
    <w:rsid w:val="00B84303"/>
    <w:rsid w:val="00B847A0"/>
    <w:rsid w:val="00B847F8"/>
    <w:rsid w:val="00B84853"/>
    <w:rsid w:val="00B84D08"/>
    <w:rsid w:val="00B84F91"/>
    <w:rsid w:val="00B85170"/>
    <w:rsid w:val="00B85570"/>
    <w:rsid w:val="00B85C06"/>
    <w:rsid w:val="00B8645F"/>
    <w:rsid w:val="00B869B8"/>
    <w:rsid w:val="00B900F3"/>
    <w:rsid w:val="00B90230"/>
    <w:rsid w:val="00B9053E"/>
    <w:rsid w:val="00B90727"/>
    <w:rsid w:val="00B9184D"/>
    <w:rsid w:val="00B9194E"/>
    <w:rsid w:val="00B9204F"/>
    <w:rsid w:val="00B935DB"/>
    <w:rsid w:val="00B93A22"/>
    <w:rsid w:val="00B94479"/>
    <w:rsid w:val="00B94C76"/>
    <w:rsid w:val="00B94E6B"/>
    <w:rsid w:val="00B94FA0"/>
    <w:rsid w:val="00B956FA"/>
    <w:rsid w:val="00B95982"/>
    <w:rsid w:val="00B95FEE"/>
    <w:rsid w:val="00B96BA1"/>
    <w:rsid w:val="00B972CB"/>
    <w:rsid w:val="00B97813"/>
    <w:rsid w:val="00B978F5"/>
    <w:rsid w:val="00B97DAF"/>
    <w:rsid w:val="00B97EE1"/>
    <w:rsid w:val="00BA01A4"/>
    <w:rsid w:val="00BA0249"/>
    <w:rsid w:val="00BA02E6"/>
    <w:rsid w:val="00BA0756"/>
    <w:rsid w:val="00BA10C6"/>
    <w:rsid w:val="00BA15C2"/>
    <w:rsid w:val="00BA253E"/>
    <w:rsid w:val="00BA2B49"/>
    <w:rsid w:val="00BA3539"/>
    <w:rsid w:val="00BA4089"/>
    <w:rsid w:val="00BA4D9B"/>
    <w:rsid w:val="00BA4F4F"/>
    <w:rsid w:val="00BA53E8"/>
    <w:rsid w:val="00BA58FC"/>
    <w:rsid w:val="00BA6157"/>
    <w:rsid w:val="00BA6957"/>
    <w:rsid w:val="00BA7F7E"/>
    <w:rsid w:val="00BB1719"/>
    <w:rsid w:val="00BB1C9C"/>
    <w:rsid w:val="00BB1E6C"/>
    <w:rsid w:val="00BB2B3D"/>
    <w:rsid w:val="00BB2EB1"/>
    <w:rsid w:val="00BB2FD1"/>
    <w:rsid w:val="00BB31E0"/>
    <w:rsid w:val="00BB351E"/>
    <w:rsid w:val="00BB3D1A"/>
    <w:rsid w:val="00BB48E3"/>
    <w:rsid w:val="00BB60CB"/>
    <w:rsid w:val="00BB6368"/>
    <w:rsid w:val="00BB6930"/>
    <w:rsid w:val="00BB7916"/>
    <w:rsid w:val="00BB7920"/>
    <w:rsid w:val="00BB796B"/>
    <w:rsid w:val="00BC05C0"/>
    <w:rsid w:val="00BC12E1"/>
    <w:rsid w:val="00BC141D"/>
    <w:rsid w:val="00BC14E5"/>
    <w:rsid w:val="00BC170B"/>
    <w:rsid w:val="00BC2120"/>
    <w:rsid w:val="00BC25A7"/>
    <w:rsid w:val="00BC27FD"/>
    <w:rsid w:val="00BC3614"/>
    <w:rsid w:val="00BC46F5"/>
    <w:rsid w:val="00BC4AB4"/>
    <w:rsid w:val="00BC54C6"/>
    <w:rsid w:val="00BC6563"/>
    <w:rsid w:val="00BC6DE4"/>
    <w:rsid w:val="00BC7A15"/>
    <w:rsid w:val="00BD0049"/>
    <w:rsid w:val="00BD1909"/>
    <w:rsid w:val="00BD2060"/>
    <w:rsid w:val="00BD207B"/>
    <w:rsid w:val="00BD3849"/>
    <w:rsid w:val="00BD4138"/>
    <w:rsid w:val="00BD45F8"/>
    <w:rsid w:val="00BD4B9A"/>
    <w:rsid w:val="00BD53A8"/>
    <w:rsid w:val="00BD6B9A"/>
    <w:rsid w:val="00BD710E"/>
    <w:rsid w:val="00BE027E"/>
    <w:rsid w:val="00BE0735"/>
    <w:rsid w:val="00BE1BB1"/>
    <w:rsid w:val="00BE2B5C"/>
    <w:rsid w:val="00BE3744"/>
    <w:rsid w:val="00BE37F0"/>
    <w:rsid w:val="00BE4729"/>
    <w:rsid w:val="00BE4974"/>
    <w:rsid w:val="00BE538D"/>
    <w:rsid w:val="00BE65B6"/>
    <w:rsid w:val="00BE6DEF"/>
    <w:rsid w:val="00BE765E"/>
    <w:rsid w:val="00BE7D0D"/>
    <w:rsid w:val="00BF1920"/>
    <w:rsid w:val="00BF2D35"/>
    <w:rsid w:val="00BF3890"/>
    <w:rsid w:val="00BF3F0E"/>
    <w:rsid w:val="00BF4253"/>
    <w:rsid w:val="00BF4934"/>
    <w:rsid w:val="00BF49A4"/>
    <w:rsid w:val="00BF5BF5"/>
    <w:rsid w:val="00BF60DF"/>
    <w:rsid w:val="00BF6EBE"/>
    <w:rsid w:val="00BF6F01"/>
    <w:rsid w:val="00BF74B4"/>
    <w:rsid w:val="00BF7957"/>
    <w:rsid w:val="00C001CF"/>
    <w:rsid w:val="00C002F0"/>
    <w:rsid w:val="00C0060E"/>
    <w:rsid w:val="00C010DD"/>
    <w:rsid w:val="00C0125F"/>
    <w:rsid w:val="00C0147B"/>
    <w:rsid w:val="00C0161F"/>
    <w:rsid w:val="00C0186B"/>
    <w:rsid w:val="00C02AB0"/>
    <w:rsid w:val="00C02BE5"/>
    <w:rsid w:val="00C0313C"/>
    <w:rsid w:val="00C03DF6"/>
    <w:rsid w:val="00C04DEF"/>
    <w:rsid w:val="00C04EDF"/>
    <w:rsid w:val="00C054DB"/>
    <w:rsid w:val="00C05F88"/>
    <w:rsid w:val="00C06536"/>
    <w:rsid w:val="00C06685"/>
    <w:rsid w:val="00C06B6A"/>
    <w:rsid w:val="00C072B2"/>
    <w:rsid w:val="00C0739A"/>
    <w:rsid w:val="00C07D11"/>
    <w:rsid w:val="00C07D3C"/>
    <w:rsid w:val="00C100BF"/>
    <w:rsid w:val="00C10425"/>
    <w:rsid w:val="00C104B7"/>
    <w:rsid w:val="00C10A2A"/>
    <w:rsid w:val="00C10CC9"/>
    <w:rsid w:val="00C10E5D"/>
    <w:rsid w:val="00C11203"/>
    <w:rsid w:val="00C118E9"/>
    <w:rsid w:val="00C1232C"/>
    <w:rsid w:val="00C12B05"/>
    <w:rsid w:val="00C12BF9"/>
    <w:rsid w:val="00C12D4B"/>
    <w:rsid w:val="00C12F60"/>
    <w:rsid w:val="00C13015"/>
    <w:rsid w:val="00C13106"/>
    <w:rsid w:val="00C134EC"/>
    <w:rsid w:val="00C136E3"/>
    <w:rsid w:val="00C139A6"/>
    <w:rsid w:val="00C14694"/>
    <w:rsid w:val="00C155A7"/>
    <w:rsid w:val="00C15CB8"/>
    <w:rsid w:val="00C16DFB"/>
    <w:rsid w:val="00C16E14"/>
    <w:rsid w:val="00C17233"/>
    <w:rsid w:val="00C17250"/>
    <w:rsid w:val="00C17BE6"/>
    <w:rsid w:val="00C2012B"/>
    <w:rsid w:val="00C20CEA"/>
    <w:rsid w:val="00C214D6"/>
    <w:rsid w:val="00C222D8"/>
    <w:rsid w:val="00C2290B"/>
    <w:rsid w:val="00C23559"/>
    <w:rsid w:val="00C243DD"/>
    <w:rsid w:val="00C25159"/>
    <w:rsid w:val="00C25BB7"/>
    <w:rsid w:val="00C26AC4"/>
    <w:rsid w:val="00C30218"/>
    <w:rsid w:val="00C30A30"/>
    <w:rsid w:val="00C3140D"/>
    <w:rsid w:val="00C31946"/>
    <w:rsid w:val="00C31E64"/>
    <w:rsid w:val="00C3242C"/>
    <w:rsid w:val="00C3254F"/>
    <w:rsid w:val="00C32F0E"/>
    <w:rsid w:val="00C345F4"/>
    <w:rsid w:val="00C34AEA"/>
    <w:rsid w:val="00C35647"/>
    <w:rsid w:val="00C3634D"/>
    <w:rsid w:val="00C36354"/>
    <w:rsid w:val="00C36553"/>
    <w:rsid w:val="00C37C9F"/>
    <w:rsid w:val="00C405CE"/>
    <w:rsid w:val="00C408C8"/>
    <w:rsid w:val="00C410BE"/>
    <w:rsid w:val="00C4137C"/>
    <w:rsid w:val="00C413BD"/>
    <w:rsid w:val="00C418BD"/>
    <w:rsid w:val="00C423C2"/>
    <w:rsid w:val="00C43026"/>
    <w:rsid w:val="00C43E0C"/>
    <w:rsid w:val="00C44407"/>
    <w:rsid w:val="00C44460"/>
    <w:rsid w:val="00C4447F"/>
    <w:rsid w:val="00C445C0"/>
    <w:rsid w:val="00C4476F"/>
    <w:rsid w:val="00C451E1"/>
    <w:rsid w:val="00C45233"/>
    <w:rsid w:val="00C45664"/>
    <w:rsid w:val="00C45B0E"/>
    <w:rsid w:val="00C45BC0"/>
    <w:rsid w:val="00C45D96"/>
    <w:rsid w:val="00C45E25"/>
    <w:rsid w:val="00C4666B"/>
    <w:rsid w:val="00C46810"/>
    <w:rsid w:val="00C51263"/>
    <w:rsid w:val="00C51450"/>
    <w:rsid w:val="00C5173B"/>
    <w:rsid w:val="00C5213E"/>
    <w:rsid w:val="00C522BD"/>
    <w:rsid w:val="00C5311E"/>
    <w:rsid w:val="00C5337F"/>
    <w:rsid w:val="00C53762"/>
    <w:rsid w:val="00C53A92"/>
    <w:rsid w:val="00C540E2"/>
    <w:rsid w:val="00C54709"/>
    <w:rsid w:val="00C55606"/>
    <w:rsid w:val="00C55625"/>
    <w:rsid w:val="00C56060"/>
    <w:rsid w:val="00C56932"/>
    <w:rsid w:val="00C56A32"/>
    <w:rsid w:val="00C57E44"/>
    <w:rsid w:val="00C61770"/>
    <w:rsid w:val="00C61DFF"/>
    <w:rsid w:val="00C621CA"/>
    <w:rsid w:val="00C62C8E"/>
    <w:rsid w:val="00C62D40"/>
    <w:rsid w:val="00C62EF7"/>
    <w:rsid w:val="00C6360D"/>
    <w:rsid w:val="00C63E38"/>
    <w:rsid w:val="00C659CB"/>
    <w:rsid w:val="00C65CC3"/>
    <w:rsid w:val="00C673F0"/>
    <w:rsid w:val="00C67E3B"/>
    <w:rsid w:val="00C70B61"/>
    <w:rsid w:val="00C71785"/>
    <w:rsid w:val="00C7186C"/>
    <w:rsid w:val="00C71BB7"/>
    <w:rsid w:val="00C71E0F"/>
    <w:rsid w:val="00C7229D"/>
    <w:rsid w:val="00C7326E"/>
    <w:rsid w:val="00C73819"/>
    <w:rsid w:val="00C74046"/>
    <w:rsid w:val="00C74C60"/>
    <w:rsid w:val="00C74EAA"/>
    <w:rsid w:val="00C75C1F"/>
    <w:rsid w:val="00C7641D"/>
    <w:rsid w:val="00C76911"/>
    <w:rsid w:val="00C77355"/>
    <w:rsid w:val="00C77544"/>
    <w:rsid w:val="00C77C76"/>
    <w:rsid w:val="00C82A3B"/>
    <w:rsid w:val="00C8315A"/>
    <w:rsid w:val="00C83236"/>
    <w:rsid w:val="00C84206"/>
    <w:rsid w:val="00C848C5"/>
    <w:rsid w:val="00C84D94"/>
    <w:rsid w:val="00C84E04"/>
    <w:rsid w:val="00C85200"/>
    <w:rsid w:val="00C852F0"/>
    <w:rsid w:val="00C8544C"/>
    <w:rsid w:val="00C85687"/>
    <w:rsid w:val="00C856F2"/>
    <w:rsid w:val="00C85D6F"/>
    <w:rsid w:val="00C90C4D"/>
    <w:rsid w:val="00C9122A"/>
    <w:rsid w:val="00C92945"/>
    <w:rsid w:val="00C92F61"/>
    <w:rsid w:val="00C93953"/>
    <w:rsid w:val="00C93AF3"/>
    <w:rsid w:val="00C9675A"/>
    <w:rsid w:val="00C972B7"/>
    <w:rsid w:val="00C9731F"/>
    <w:rsid w:val="00CA04C2"/>
    <w:rsid w:val="00CA0E89"/>
    <w:rsid w:val="00CA120E"/>
    <w:rsid w:val="00CA138F"/>
    <w:rsid w:val="00CA42B9"/>
    <w:rsid w:val="00CA47CF"/>
    <w:rsid w:val="00CA6EA1"/>
    <w:rsid w:val="00CA73E7"/>
    <w:rsid w:val="00CA74E0"/>
    <w:rsid w:val="00CA7AAC"/>
    <w:rsid w:val="00CB02D4"/>
    <w:rsid w:val="00CB085D"/>
    <w:rsid w:val="00CB0CC1"/>
    <w:rsid w:val="00CB1B2F"/>
    <w:rsid w:val="00CB2878"/>
    <w:rsid w:val="00CB3939"/>
    <w:rsid w:val="00CB480C"/>
    <w:rsid w:val="00CB48A3"/>
    <w:rsid w:val="00CB5D16"/>
    <w:rsid w:val="00CB6314"/>
    <w:rsid w:val="00CB666D"/>
    <w:rsid w:val="00CC0D74"/>
    <w:rsid w:val="00CC1693"/>
    <w:rsid w:val="00CC1B87"/>
    <w:rsid w:val="00CC22C3"/>
    <w:rsid w:val="00CC287A"/>
    <w:rsid w:val="00CC2AAE"/>
    <w:rsid w:val="00CC2BE3"/>
    <w:rsid w:val="00CC433D"/>
    <w:rsid w:val="00CC4E28"/>
    <w:rsid w:val="00CC4E4C"/>
    <w:rsid w:val="00CC5258"/>
    <w:rsid w:val="00CC574E"/>
    <w:rsid w:val="00CC5872"/>
    <w:rsid w:val="00CC6422"/>
    <w:rsid w:val="00CC79DD"/>
    <w:rsid w:val="00CC7CC4"/>
    <w:rsid w:val="00CD02CA"/>
    <w:rsid w:val="00CD063E"/>
    <w:rsid w:val="00CD0C46"/>
    <w:rsid w:val="00CD0D7A"/>
    <w:rsid w:val="00CD1194"/>
    <w:rsid w:val="00CD181A"/>
    <w:rsid w:val="00CD204E"/>
    <w:rsid w:val="00CD2163"/>
    <w:rsid w:val="00CD2460"/>
    <w:rsid w:val="00CD2819"/>
    <w:rsid w:val="00CD29E4"/>
    <w:rsid w:val="00CD2C14"/>
    <w:rsid w:val="00CD4B19"/>
    <w:rsid w:val="00CD55A0"/>
    <w:rsid w:val="00CD60DA"/>
    <w:rsid w:val="00CD63B1"/>
    <w:rsid w:val="00CD6642"/>
    <w:rsid w:val="00CD6C25"/>
    <w:rsid w:val="00CD6F70"/>
    <w:rsid w:val="00CD7136"/>
    <w:rsid w:val="00CE0805"/>
    <w:rsid w:val="00CE0B01"/>
    <w:rsid w:val="00CE15CA"/>
    <w:rsid w:val="00CE2506"/>
    <w:rsid w:val="00CE2F47"/>
    <w:rsid w:val="00CE2F7B"/>
    <w:rsid w:val="00CE33A2"/>
    <w:rsid w:val="00CE576F"/>
    <w:rsid w:val="00CE69A6"/>
    <w:rsid w:val="00CE6FD8"/>
    <w:rsid w:val="00CE726E"/>
    <w:rsid w:val="00CF005E"/>
    <w:rsid w:val="00CF0CC2"/>
    <w:rsid w:val="00CF1A9D"/>
    <w:rsid w:val="00CF1C2F"/>
    <w:rsid w:val="00CF1CE4"/>
    <w:rsid w:val="00CF2120"/>
    <w:rsid w:val="00CF2E85"/>
    <w:rsid w:val="00CF30AE"/>
    <w:rsid w:val="00CF3990"/>
    <w:rsid w:val="00CF4919"/>
    <w:rsid w:val="00CF5801"/>
    <w:rsid w:val="00CF5A7A"/>
    <w:rsid w:val="00CF5B38"/>
    <w:rsid w:val="00CF671E"/>
    <w:rsid w:val="00CF6B7D"/>
    <w:rsid w:val="00CF7C43"/>
    <w:rsid w:val="00D000C8"/>
    <w:rsid w:val="00D0082C"/>
    <w:rsid w:val="00D01562"/>
    <w:rsid w:val="00D01A0B"/>
    <w:rsid w:val="00D0218B"/>
    <w:rsid w:val="00D02794"/>
    <w:rsid w:val="00D02B48"/>
    <w:rsid w:val="00D04A39"/>
    <w:rsid w:val="00D04A3A"/>
    <w:rsid w:val="00D04DC8"/>
    <w:rsid w:val="00D050DB"/>
    <w:rsid w:val="00D05CA4"/>
    <w:rsid w:val="00D06195"/>
    <w:rsid w:val="00D069CE"/>
    <w:rsid w:val="00D06F02"/>
    <w:rsid w:val="00D07026"/>
    <w:rsid w:val="00D070A6"/>
    <w:rsid w:val="00D1227E"/>
    <w:rsid w:val="00D128D6"/>
    <w:rsid w:val="00D134C8"/>
    <w:rsid w:val="00D13FE4"/>
    <w:rsid w:val="00D14C3E"/>
    <w:rsid w:val="00D14D20"/>
    <w:rsid w:val="00D1502C"/>
    <w:rsid w:val="00D15527"/>
    <w:rsid w:val="00D1575B"/>
    <w:rsid w:val="00D1700D"/>
    <w:rsid w:val="00D17557"/>
    <w:rsid w:val="00D17EE1"/>
    <w:rsid w:val="00D20047"/>
    <w:rsid w:val="00D2022E"/>
    <w:rsid w:val="00D20262"/>
    <w:rsid w:val="00D20841"/>
    <w:rsid w:val="00D20D20"/>
    <w:rsid w:val="00D245C3"/>
    <w:rsid w:val="00D24C19"/>
    <w:rsid w:val="00D25B00"/>
    <w:rsid w:val="00D26177"/>
    <w:rsid w:val="00D26578"/>
    <w:rsid w:val="00D26696"/>
    <w:rsid w:val="00D269A2"/>
    <w:rsid w:val="00D279C7"/>
    <w:rsid w:val="00D27C07"/>
    <w:rsid w:val="00D30114"/>
    <w:rsid w:val="00D30117"/>
    <w:rsid w:val="00D30E56"/>
    <w:rsid w:val="00D313C6"/>
    <w:rsid w:val="00D32B1D"/>
    <w:rsid w:val="00D33E54"/>
    <w:rsid w:val="00D33E96"/>
    <w:rsid w:val="00D33F62"/>
    <w:rsid w:val="00D3440C"/>
    <w:rsid w:val="00D34F1C"/>
    <w:rsid w:val="00D35CF6"/>
    <w:rsid w:val="00D36269"/>
    <w:rsid w:val="00D37351"/>
    <w:rsid w:val="00D37F70"/>
    <w:rsid w:val="00D4029F"/>
    <w:rsid w:val="00D41371"/>
    <w:rsid w:val="00D4185C"/>
    <w:rsid w:val="00D4198E"/>
    <w:rsid w:val="00D41C72"/>
    <w:rsid w:val="00D41CD8"/>
    <w:rsid w:val="00D41FCB"/>
    <w:rsid w:val="00D42255"/>
    <w:rsid w:val="00D426F3"/>
    <w:rsid w:val="00D4499E"/>
    <w:rsid w:val="00D46076"/>
    <w:rsid w:val="00D4630F"/>
    <w:rsid w:val="00D47ECF"/>
    <w:rsid w:val="00D50F10"/>
    <w:rsid w:val="00D512D9"/>
    <w:rsid w:val="00D51E89"/>
    <w:rsid w:val="00D5233D"/>
    <w:rsid w:val="00D52604"/>
    <w:rsid w:val="00D5353D"/>
    <w:rsid w:val="00D53DD8"/>
    <w:rsid w:val="00D53F0A"/>
    <w:rsid w:val="00D53FF2"/>
    <w:rsid w:val="00D54880"/>
    <w:rsid w:val="00D54DFC"/>
    <w:rsid w:val="00D55226"/>
    <w:rsid w:val="00D55AC2"/>
    <w:rsid w:val="00D55BC8"/>
    <w:rsid w:val="00D55FA0"/>
    <w:rsid w:val="00D576D7"/>
    <w:rsid w:val="00D57A0A"/>
    <w:rsid w:val="00D60798"/>
    <w:rsid w:val="00D607D0"/>
    <w:rsid w:val="00D6115F"/>
    <w:rsid w:val="00D61261"/>
    <w:rsid w:val="00D614E0"/>
    <w:rsid w:val="00D620B8"/>
    <w:rsid w:val="00D623E3"/>
    <w:rsid w:val="00D643ED"/>
    <w:rsid w:val="00D646BB"/>
    <w:rsid w:val="00D66867"/>
    <w:rsid w:val="00D66A51"/>
    <w:rsid w:val="00D6741A"/>
    <w:rsid w:val="00D67734"/>
    <w:rsid w:val="00D679FA"/>
    <w:rsid w:val="00D707A1"/>
    <w:rsid w:val="00D70887"/>
    <w:rsid w:val="00D712DE"/>
    <w:rsid w:val="00D72AFE"/>
    <w:rsid w:val="00D72E87"/>
    <w:rsid w:val="00D73090"/>
    <w:rsid w:val="00D74073"/>
    <w:rsid w:val="00D74569"/>
    <w:rsid w:val="00D74612"/>
    <w:rsid w:val="00D76128"/>
    <w:rsid w:val="00D76819"/>
    <w:rsid w:val="00D76880"/>
    <w:rsid w:val="00D7695E"/>
    <w:rsid w:val="00D7729E"/>
    <w:rsid w:val="00D772F7"/>
    <w:rsid w:val="00D77C4D"/>
    <w:rsid w:val="00D80965"/>
    <w:rsid w:val="00D80AB9"/>
    <w:rsid w:val="00D817C3"/>
    <w:rsid w:val="00D821DE"/>
    <w:rsid w:val="00D82BE5"/>
    <w:rsid w:val="00D82D09"/>
    <w:rsid w:val="00D83403"/>
    <w:rsid w:val="00D8474B"/>
    <w:rsid w:val="00D84EC3"/>
    <w:rsid w:val="00D851BB"/>
    <w:rsid w:val="00D862C8"/>
    <w:rsid w:val="00D86317"/>
    <w:rsid w:val="00D8676E"/>
    <w:rsid w:val="00D86902"/>
    <w:rsid w:val="00D86C50"/>
    <w:rsid w:val="00D875C7"/>
    <w:rsid w:val="00D879B3"/>
    <w:rsid w:val="00D900C1"/>
    <w:rsid w:val="00D901CB"/>
    <w:rsid w:val="00D90460"/>
    <w:rsid w:val="00D91905"/>
    <w:rsid w:val="00D91919"/>
    <w:rsid w:val="00D923E3"/>
    <w:rsid w:val="00D926EE"/>
    <w:rsid w:val="00D92E7D"/>
    <w:rsid w:val="00D937B0"/>
    <w:rsid w:val="00D93B21"/>
    <w:rsid w:val="00D946A7"/>
    <w:rsid w:val="00D94EA7"/>
    <w:rsid w:val="00D952DC"/>
    <w:rsid w:val="00D95ACF"/>
    <w:rsid w:val="00D961B0"/>
    <w:rsid w:val="00D96D4C"/>
    <w:rsid w:val="00DA1E67"/>
    <w:rsid w:val="00DA20DF"/>
    <w:rsid w:val="00DA2706"/>
    <w:rsid w:val="00DA3E0E"/>
    <w:rsid w:val="00DA3F83"/>
    <w:rsid w:val="00DA40E5"/>
    <w:rsid w:val="00DA4C5B"/>
    <w:rsid w:val="00DA500D"/>
    <w:rsid w:val="00DA5782"/>
    <w:rsid w:val="00DA582E"/>
    <w:rsid w:val="00DA5A1F"/>
    <w:rsid w:val="00DB0BA1"/>
    <w:rsid w:val="00DB0EF7"/>
    <w:rsid w:val="00DB1367"/>
    <w:rsid w:val="00DB1C53"/>
    <w:rsid w:val="00DB273F"/>
    <w:rsid w:val="00DB2909"/>
    <w:rsid w:val="00DB3BBC"/>
    <w:rsid w:val="00DB49CA"/>
    <w:rsid w:val="00DB4B19"/>
    <w:rsid w:val="00DB5164"/>
    <w:rsid w:val="00DB56BB"/>
    <w:rsid w:val="00DB58A9"/>
    <w:rsid w:val="00DB6AED"/>
    <w:rsid w:val="00DB6F1A"/>
    <w:rsid w:val="00DB7173"/>
    <w:rsid w:val="00DB723A"/>
    <w:rsid w:val="00DC055C"/>
    <w:rsid w:val="00DC0BD3"/>
    <w:rsid w:val="00DC0F6A"/>
    <w:rsid w:val="00DC4AD5"/>
    <w:rsid w:val="00DC4E36"/>
    <w:rsid w:val="00DC52DD"/>
    <w:rsid w:val="00DC5737"/>
    <w:rsid w:val="00DC5F76"/>
    <w:rsid w:val="00DC61DF"/>
    <w:rsid w:val="00DC6D02"/>
    <w:rsid w:val="00DC6F51"/>
    <w:rsid w:val="00DC739C"/>
    <w:rsid w:val="00DC7AD6"/>
    <w:rsid w:val="00DD12A9"/>
    <w:rsid w:val="00DD1BB9"/>
    <w:rsid w:val="00DD2FAC"/>
    <w:rsid w:val="00DD3746"/>
    <w:rsid w:val="00DD4DEA"/>
    <w:rsid w:val="00DD50DC"/>
    <w:rsid w:val="00DD5DD9"/>
    <w:rsid w:val="00DD5EEB"/>
    <w:rsid w:val="00DD678F"/>
    <w:rsid w:val="00DD6950"/>
    <w:rsid w:val="00DD6AAD"/>
    <w:rsid w:val="00DD7A19"/>
    <w:rsid w:val="00DD7B9E"/>
    <w:rsid w:val="00DD7C23"/>
    <w:rsid w:val="00DE0FE3"/>
    <w:rsid w:val="00DE1313"/>
    <w:rsid w:val="00DE19AB"/>
    <w:rsid w:val="00DE1B3B"/>
    <w:rsid w:val="00DE26BF"/>
    <w:rsid w:val="00DE2867"/>
    <w:rsid w:val="00DE5658"/>
    <w:rsid w:val="00DE5B18"/>
    <w:rsid w:val="00DE7C69"/>
    <w:rsid w:val="00DF1CD4"/>
    <w:rsid w:val="00DF443C"/>
    <w:rsid w:val="00DF5A63"/>
    <w:rsid w:val="00DF6691"/>
    <w:rsid w:val="00DF6B06"/>
    <w:rsid w:val="00DF7945"/>
    <w:rsid w:val="00DF7EAF"/>
    <w:rsid w:val="00E00C9C"/>
    <w:rsid w:val="00E018CC"/>
    <w:rsid w:val="00E01EF6"/>
    <w:rsid w:val="00E02F99"/>
    <w:rsid w:val="00E035B2"/>
    <w:rsid w:val="00E03B4E"/>
    <w:rsid w:val="00E04D51"/>
    <w:rsid w:val="00E05114"/>
    <w:rsid w:val="00E05201"/>
    <w:rsid w:val="00E06006"/>
    <w:rsid w:val="00E074E5"/>
    <w:rsid w:val="00E11A68"/>
    <w:rsid w:val="00E12194"/>
    <w:rsid w:val="00E123F6"/>
    <w:rsid w:val="00E12912"/>
    <w:rsid w:val="00E132FF"/>
    <w:rsid w:val="00E13371"/>
    <w:rsid w:val="00E14456"/>
    <w:rsid w:val="00E16A3A"/>
    <w:rsid w:val="00E17331"/>
    <w:rsid w:val="00E1759B"/>
    <w:rsid w:val="00E177B3"/>
    <w:rsid w:val="00E17BA6"/>
    <w:rsid w:val="00E20549"/>
    <w:rsid w:val="00E20CA2"/>
    <w:rsid w:val="00E20EB4"/>
    <w:rsid w:val="00E21DA9"/>
    <w:rsid w:val="00E21F1C"/>
    <w:rsid w:val="00E223CC"/>
    <w:rsid w:val="00E22D36"/>
    <w:rsid w:val="00E23B77"/>
    <w:rsid w:val="00E240BB"/>
    <w:rsid w:val="00E241B3"/>
    <w:rsid w:val="00E24E4B"/>
    <w:rsid w:val="00E2531C"/>
    <w:rsid w:val="00E25786"/>
    <w:rsid w:val="00E258A1"/>
    <w:rsid w:val="00E2613D"/>
    <w:rsid w:val="00E2616E"/>
    <w:rsid w:val="00E26F24"/>
    <w:rsid w:val="00E2799C"/>
    <w:rsid w:val="00E3108C"/>
    <w:rsid w:val="00E316BB"/>
    <w:rsid w:val="00E32609"/>
    <w:rsid w:val="00E32CF1"/>
    <w:rsid w:val="00E332B2"/>
    <w:rsid w:val="00E34A1D"/>
    <w:rsid w:val="00E351CB"/>
    <w:rsid w:val="00E35963"/>
    <w:rsid w:val="00E36221"/>
    <w:rsid w:val="00E36F69"/>
    <w:rsid w:val="00E3733A"/>
    <w:rsid w:val="00E376F7"/>
    <w:rsid w:val="00E37AEE"/>
    <w:rsid w:val="00E37BDC"/>
    <w:rsid w:val="00E41939"/>
    <w:rsid w:val="00E41D87"/>
    <w:rsid w:val="00E41E2A"/>
    <w:rsid w:val="00E41E4C"/>
    <w:rsid w:val="00E429B2"/>
    <w:rsid w:val="00E43FC4"/>
    <w:rsid w:val="00E44386"/>
    <w:rsid w:val="00E448FD"/>
    <w:rsid w:val="00E449B4"/>
    <w:rsid w:val="00E45027"/>
    <w:rsid w:val="00E455FE"/>
    <w:rsid w:val="00E45952"/>
    <w:rsid w:val="00E46133"/>
    <w:rsid w:val="00E46471"/>
    <w:rsid w:val="00E46BBD"/>
    <w:rsid w:val="00E473A7"/>
    <w:rsid w:val="00E47744"/>
    <w:rsid w:val="00E5046B"/>
    <w:rsid w:val="00E50749"/>
    <w:rsid w:val="00E50EF5"/>
    <w:rsid w:val="00E516CB"/>
    <w:rsid w:val="00E52145"/>
    <w:rsid w:val="00E522A9"/>
    <w:rsid w:val="00E534C9"/>
    <w:rsid w:val="00E53B79"/>
    <w:rsid w:val="00E54D41"/>
    <w:rsid w:val="00E550B3"/>
    <w:rsid w:val="00E550CC"/>
    <w:rsid w:val="00E55D3E"/>
    <w:rsid w:val="00E560CD"/>
    <w:rsid w:val="00E56451"/>
    <w:rsid w:val="00E56CC8"/>
    <w:rsid w:val="00E56E79"/>
    <w:rsid w:val="00E57B6F"/>
    <w:rsid w:val="00E601D7"/>
    <w:rsid w:val="00E604BC"/>
    <w:rsid w:val="00E60B0D"/>
    <w:rsid w:val="00E60B7E"/>
    <w:rsid w:val="00E60B89"/>
    <w:rsid w:val="00E60C8F"/>
    <w:rsid w:val="00E61238"/>
    <w:rsid w:val="00E61FA9"/>
    <w:rsid w:val="00E620E9"/>
    <w:rsid w:val="00E62F22"/>
    <w:rsid w:val="00E631C5"/>
    <w:rsid w:val="00E632A2"/>
    <w:rsid w:val="00E6336B"/>
    <w:rsid w:val="00E635EE"/>
    <w:rsid w:val="00E63943"/>
    <w:rsid w:val="00E641BA"/>
    <w:rsid w:val="00E64E45"/>
    <w:rsid w:val="00E64E9D"/>
    <w:rsid w:val="00E6534B"/>
    <w:rsid w:val="00E658AA"/>
    <w:rsid w:val="00E6621C"/>
    <w:rsid w:val="00E6664E"/>
    <w:rsid w:val="00E6672D"/>
    <w:rsid w:val="00E6681B"/>
    <w:rsid w:val="00E67914"/>
    <w:rsid w:val="00E67A4E"/>
    <w:rsid w:val="00E67ACD"/>
    <w:rsid w:val="00E70248"/>
    <w:rsid w:val="00E705C3"/>
    <w:rsid w:val="00E71D03"/>
    <w:rsid w:val="00E7255E"/>
    <w:rsid w:val="00E729CA"/>
    <w:rsid w:val="00E73A96"/>
    <w:rsid w:val="00E73C9E"/>
    <w:rsid w:val="00E745A7"/>
    <w:rsid w:val="00E74917"/>
    <w:rsid w:val="00E758EC"/>
    <w:rsid w:val="00E75DF7"/>
    <w:rsid w:val="00E77B89"/>
    <w:rsid w:val="00E77BC9"/>
    <w:rsid w:val="00E81522"/>
    <w:rsid w:val="00E825EA"/>
    <w:rsid w:val="00E835D5"/>
    <w:rsid w:val="00E8403F"/>
    <w:rsid w:val="00E84146"/>
    <w:rsid w:val="00E84625"/>
    <w:rsid w:val="00E84974"/>
    <w:rsid w:val="00E857DC"/>
    <w:rsid w:val="00E8588A"/>
    <w:rsid w:val="00E86590"/>
    <w:rsid w:val="00E90A07"/>
    <w:rsid w:val="00E9119A"/>
    <w:rsid w:val="00E91397"/>
    <w:rsid w:val="00E919F3"/>
    <w:rsid w:val="00E91FB8"/>
    <w:rsid w:val="00E91FED"/>
    <w:rsid w:val="00E92890"/>
    <w:rsid w:val="00E928E1"/>
    <w:rsid w:val="00E934E6"/>
    <w:rsid w:val="00E93580"/>
    <w:rsid w:val="00E94490"/>
    <w:rsid w:val="00E94638"/>
    <w:rsid w:val="00E94B6C"/>
    <w:rsid w:val="00E951E7"/>
    <w:rsid w:val="00E951E8"/>
    <w:rsid w:val="00E95278"/>
    <w:rsid w:val="00EA0AD7"/>
    <w:rsid w:val="00EA0DE9"/>
    <w:rsid w:val="00EA119C"/>
    <w:rsid w:val="00EA19F1"/>
    <w:rsid w:val="00EA1F23"/>
    <w:rsid w:val="00EA2B92"/>
    <w:rsid w:val="00EA2F7C"/>
    <w:rsid w:val="00EA3704"/>
    <w:rsid w:val="00EA4384"/>
    <w:rsid w:val="00EA4AF1"/>
    <w:rsid w:val="00EA4EE7"/>
    <w:rsid w:val="00EA60BA"/>
    <w:rsid w:val="00EA628C"/>
    <w:rsid w:val="00EA6C58"/>
    <w:rsid w:val="00EA6F81"/>
    <w:rsid w:val="00EA7B0A"/>
    <w:rsid w:val="00EA7FBE"/>
    <w:rsid w:val="00EB03BA"/>
    <w:rsid w:val="00EB0C76"/>
    <w:rsid w:val="00EB0E52"/>
    <w:rsid w:val="00EB1544"/>
    <w:rsid w:val="00EB177B"/>
    <w:rsid w:val="00EB1DCB"/>
    <w:rsid w:val="00EB3603"/>
    <w:rsid w:val="00EB4020"/>
    <w:rsid w:val="00EB46A3"/>
    <w:rsid w:val="00EB58AF"/>
    <w:rsid w:val="00EB664A"/>
    <w:rsid w:val="00EB6BCA"/>
    <w:rsid w:val="00EC0CF1"/>
    <w:rsid w:val="00EC1F50"/>
    <w:rsid w:val="00EC221F"/>
    <w:rsid w:val="00EC2700"/>
    <w:rsid w:val="00EC28A7"/>
    <w:rsid w:val="00EC2BB9"/>
    <w:rsid w:val="00EC41C6"/>
    <w:rsid w:val="00EC42D8"/>
    <w:rsid w:val="00EC4689"/>
    <w:rsid w:val="00EC482E"/>
    <w:rsid w:val="00EC4AD4"/>
    <w:rsid w:val="00EC5573"/>
    <w:rsid w:val="00EC5869"/>
    <w:rsid w:val="00EC5D44"/>
    <w:rsid w:val="00EC69C0"/>
    <w:rsid w:val="00EC7183"/>
    <w:rsid w:val="00EC7E9F"/>
    <w:rsid w:val="00ED056B"/>
    <w:rsid w:val="00ED0783"/>
    <w:rsid w:val="00ED1AA0"/>
    <w:rsid w:val="00ED1BDE"/>
    <w:rsid w:val="00ED2107"/>
    <w:rsid w:val="00ED43DD"/>
    <w:rsid w:val="00ED53FC"/>
    <w:rsid w:val="00ED5828"/>
    <w:rsid w:val="00ED72CC"/>
    <w:rsid w:val="00ED7BE9"/>
    <w:rsid w:val="00EE21A6"/>
    <w:rsid w:val="00EE2710"/>
    <w:rsid w:val="00EE3BDC"/>
    <w:rsid w:val="00EE3E8A"/>
    <w:rsid w:val="00EE48DB"/>
    <w:rsid w:val="00EE5600"/>
    <w:rsid w:val="00EE5973"/>
    <w:rsid w:val="00EE5A33"/>
    <w:rsid w:val="00EE6015"/>
    <w:rsid w:val="00EE6532"/>
    <w:rsid w:val="00EE715F"/>
    <w:rsid w:val="00EE75BA"/>
    <w:rsid w:val="00EE783B"/>
    <w:rsid w:val="00EF069B"/>
    <w:rsid w:val="00EF2697"/>
    <w:rsid w:val="00EF39FE"/>
    <w:rsid w:val="00EF4251"/>
    <w:rsid w:val="00EF49E1"/>
    <w:rsid w:val="00EF4A38"/>
    <w:rsid w:val="00EF6F20"/>
    <w:rsid w:val="00EF7252"/>
    <w:rsid w:val="00EF7525"/>
    <w:rsid w:val="00F00347"/>
    <w:rsid w:val="00F00B90"/>
    <w:rsid w:val="00F02048"/>
    <w:rsid w:val="00F0270A"/>
    <w:rsid w:val="00F027EB"/>
    <w:rsid w:val="00F0300B"/>
    <w:rsid w:val="00F0353A"/>
    <w:rsid w:val="00F0367C"/>
    <w:rsid w:val="00F03F20"/>
    <w:rsid w:val="00F04C5F"/>
    <w:rsid w:val="00F04C90"/>
    <w:rsid w:val="00F05736"/>
    <w:rsid w:val="00F0608D"/>
    <w:rsid w:val="00F0630F"/>
    <w:rsid w:val="00F071E5"/>
    <w:rsid w:val="00F073C0"/>
    <w:rsid w:val="00F07DCC"/>
    <w:rsid w:val="00F07E93"/>
    <w:rsid w:val="00F10005"/>
    <w:rsid w:val="00F1088E"/>
    <w:rsid w:val="00F10A9F"/>
    <w:rsid w:val="00F10C1E"/>
    <w:rsid w:val="00F1227E"/>
    <w:rsid w:val="00F1253A"/>
    <w:rsid w:val="00F12D31"/>
    <w:rsid w:val="00F131C7"/>
    <w:rsid w:val="00F13341"/>
    <w:rsid w:val="00F134FB"/>
    <w:rsid w:val="00F1443A"/>
    <w:rsid w:val="00F14CF6"/>
    <w:rsid w:val="00F156B5"/>
    <w:rsid w:val="00F157D8"/>
    <w:rsid w:val="00F175A7"/>
    <w:rsid w:val="00F177C5"/>
    <w:rsid w:val="00F17A39"/>
    <w:rsid w:val="00F17B52"/>
    <w:rsid w:val="00F17F4E"/>
    <w:rsid w:val="00F21029"/>
    <w:rsid w:val="00F210FF"/>
    <w:rsid w:val="00F21BDE"/>
    <w:rsid w:val="00F21FEE"/>
    <w:rsid w:val="00F22829"/>
    <w:rsid w:val="00F22A82"/>
    <w:rsid w:val="00F236C1"/>
    <w:rsid w:val="00F23947"/>
    <w:rsid w:val="00F23C8D"/>
    <w:rsid w:val="00F24554"/>
    <w:rsid w:val="00F24CC2"/>
    <w:rsid w:val="00F251BD"/>
    <w:rsid w:val="00F25383"/>
    <w:rsid w:val="00F25AAE"/>
    <w:rsid w:val="00F26A1A"/>
    <w:rsid w:val="00F26D51"/>
    <w:rsid w:val="00F30024"/>
    <w:rsid w:val="00F30438"/>
    <w:rsid w:val="00F30672"/>
    <w:rsid w:val="00F306DC"/>
    <w:rsid w:val="00F306EA"/>
    <w:rsid w:val="00F313D4"/>
    <w:rsid w:val="00F31F80"/>
    <w:rsid w:val="00F3237B"/>
    <w:rsid w:val="00F3255E"/>
    <w:rsid w:val="00F334AB"/>
    <w:rsid w:val="00F341E7"/>
    <w:rsid w:val="00F34FF6"/>
    <w:rsid w:val="00F35742"/>
    <w:rsid w:val="00F35848"/>
    <w:rsid w:val="00F35D54"/>
    <w:rsid w:val="00F36645"/>
    <w:rsid w:val="00F37869"/>
    <w:rsid w:val="00F37F33"/>
    <w:rsid w:val="00F40096"/>
    <w:rsid w:val="00F400DE"/>
    <w:rsid w:val="00F40885"/>
    <w:rsid w:val="00F40954"/>
    <w:rsid w:val="00F40CA4"/>
    <w:rsid w:val="00F41175"/>
    <w:rsid w:val="00F41590"/>
    <w:rsid w:val="00F43078"/>
    <w:rsid w:val="00F436A0"/>
    <w:rsid w:val="00F45FD4"/>
    <w:rsid w:val="00F46179"/>
    <w:rsid w:val="00F46555"/>
    <w:rsid w:val="00F46887"/>
    <w:rsid w:val="00F473B5"/>
    <w:rsid w:val="00F4752D"/>
    <w:rsid w:val="00F5057F"/>
    <w:rsid w:val="00F51703"/>
    <w:rsid w:val="00F51883"/>
    <w:rsid w:val="00F51E5C"/>
    <w:rsid w:val="00F51F30"/>
    <w:rsid w:val="00F52054"/>
    <w:rsid w:val="00F5256A"/>
    <w:rsid w:val="00F527F7"/>
    <w:rsid w:val="00F52A20"/>
    <w:rsid w:val="00F53F07"/>
    <w:rsid w:val="00F54794"/>
    <w:rsid w:val="00F54BD2"/>
    <w:rsid w:val="00F54C9D"/>
    <w:rsid w:val="00F54E67"/>
    <w:rsid w:val="00F54EFA"/>
    <w:rsid w:val="00F555CD"/>
    <w:rsid w:val="00F55FD2"/>
    <w:rsid w:val="00F5628F"/>
    <w:rsid w:val="00F564E5"/>
    <w:rsid w:val="00F56B5F"/>
    <w:rsid w:val="00F56D0C"/>
    <w:rsid w:val="00F5774B"/>
    <w:rsid w:val="00F57CF6"/>
    <w:rsid w:val="00F618CC"/>
    <w:rsid w:val="00F61E20"/>
    <w:rsid w:val="00F62A9F"/>
    <w:rsid w:val="00F63189"/>
    <w:rsid w:val="00F63201"/>
    <w:rsid w:val="00F642D6"/>
    <w:rsid w:val="00F6453A"/>
    <w:rsid w:val="00F645A6"/>
    <w:rsid w:val="00F64B0E"/>
    <w:rsid w:val="00F64F14"/>
    <w:rsid w:val="00F64F30"/>
    <w:rsid w:val="00F6589D"/>
    <w:rsid w:val="00F659CF"/>
    <w:rsid w:val="00F65EB4"/>
    <w:rsid w:val="00F662A1"/>
    <w:rsid w:val="00F66CC4"/>
    <w:rsid w:val="00F6776F"/>
    <w:rsid w:val="00F6796E"/>
    <w:rsid w:val="00F67B0F"/>
    <w:rsid w:val="00F707F3"/>
    <w:rsid w:val="00F71141"/>
    <w:rsid w:val="00F71929"/>
    <w:rsid w:val="00F72206"/>
    <w:rsid w:val="00F73341"/>
    <w:rsid w:val="00F73A49"/>
    <w:rsid w:val="00F74D0C"/>
    <w:rsid w:val="00F75171"/>
    <w:rsid w:val="00F752BF"/>
    <w:rsid w:val="00F75771"/>
    <w:rsid w:val="00F75F1B"/>
    <w:rsid w:val="00F76269"/>
    <w:rsid w:val="00F77C8A"/>
    <w:rsid w:val="00F77F63"/>
    <w:rsid w:val="00F800B1"/>
    <w:rsid w:val="00F807C0"/>
    <w:rsid w:val="00F80D9B"/>
    <w:rsid w:val="00F80FED"/>
    <w:rsid w:val="00F810DC"/>
    <w:rsid w:val="00F82347"/>
    <w:rsid w:val="00F82A07"/>
    <w:rsid w:val="00F83D32"/>
    <w:rsid w:val="00F85625"/>
    <w:rsid w:val="00F85654"/>
    <w:rsid w:val="00F8628F"/>
    <w:rsid w:val="00F8642D"/>
    <w:rsid w:val="00F87C07"/>
    <w:rsid w:val="00F900EB"/>
    <w:rsid w:val="00F9036D"/>
    <w:rsid w:val="00F906CF"/>
    <w:rsid w:val="00F908B5"/>
    <w:rsid w:val="00F9131B"/>
    <w:rsid w:val="00F9147C"/>
    <w:rsid w:val="00F92B8E"/>
    <w:rsid w:val="00F92C18"/>
    <w:rsid w:val="00F92DDA"/>
    <w:rsid w:val="00F93681"/>
    <w:rsid w:val="00F94BA0"/>
    <w:rsid w:val="00F94DA2"/>
    <w:rsid w:val="00F95410"/>
    <w:rsid w:val="00F95D1F"/>
    <w:rsid w:val="00F95FDE"/>
    <w:rsid w:val="00F96D42"/>
    <w:rsid w:val="00F96DFF"/>
    <w:rsid w:val="00F97240"/>
    <w:rsid w:val="00F97963"/>
    <w:rsid w:val="00F97F62"/>
    <w:rsid w:val="00FA0FEB"/>
    <w:rsid w:val="00FA1483"/>
    <w:rsid w:val="00FA280C"/>
    <w:rsid w:val="00FA2B9C"/>
    <w:rsid w:val="00FA2BC5"/>
    <w:rsid w:val="00FA34B6"/>
    <w:rsid w:val="00FA37FA"/>
    <w:rsid w:val="00FA44E5"/>
    <w:rsid w:val="00FA4F66"/>
    <w:rsid w:val="00FA5FDA"/>
    <w:rsid w:val="00FA6E62"/>
    <w:rsid w:val="00FA7472"/>
    <w:rsid w:val="00FB00E6"/>
    <w:rsid w:val="00FB145D"/>
    <w:rsid w:val="00FB1A9E"/>
    <w:rsid w:val="00FB1CEF"/>
    <w:rsid w:val="00FB21B2"/>
    <w:rsid w:val="00FB30BF"/>
    <w:rsid w:val="00FB34D5"/>
    <w:rsid w:val="00FB3734"/>
    <w:rsid w:val="00FB4771"/>
    <w:rsid w:val="00FB48D3"/>
    <w:rsid w:val="00FB4EC9"/>
    <w:rsid w:val="00FB4F67"/>
    <w:rsid w:val="00FB4F80"/>
    <w:rsid w:val="00FB59E0"/>
    <w:rsid w:val="00FB5BDD"/>
    <w:rsid w:val="00FB5F34"/>
    <w:rsid w:val="00FB69E4"/>
    <w:rsid w:val="00FB711E"/>
    <w:rsid w:val="00FB754E"/>
    <w:rsid w:val="00FC0654"/>
    <w:rsid w:val="00FC0B73"/>
    <w:rsid w:val="00FC0D3A"/>
    <w:rsid w:val="00FC0F0B"/>
    <w:rsid w:val="00FC0F87"/>
    <w:rsid w:val="00FC102F"/>
    <w:rsid w:val="00FC1470"/>
    <w:rsid w:val="00FC166C"/>
    <w:rsid w:val="00FC2355"/>
    <w:rsid w:val="00FC3827"/>
    <w:rsid w:val="00FC3A82"/>
    <w:rsid w:val="00FC4183"/>
    <w:rsid w:val="00FC4287"/>
    <w:rsid w:val="00FC44A5"/>
    <w:rsid w:val="00FC456D"/>
    <w:rsid w:val="00FC4BAB"/>
    <w:rsid w:val="00FC622B"/>
    <w:rsid w:val="00FC7BA0"/>
    <w:rsid w:val="00FC7EEF"/>
    <w:rsid w:val="00FD0673"/>
    <w:rsid w:val="00FD1401"/>
    <w:rsid w:val="00FD1530"/>
    <w:rsid w:val="00FD1686"/>
    <w:rsid w:val="00FD2A77"/>
    <w:rsid w:val="00FD3794"/>
    <w:rsid w:val="00FD387E"/>
    <w:rsid w:val="00FD4715"/>
    <w:rsid w:val="00FD48A5"/>
    <w:rsid w:val="00FD4D53"/>
    <w:rsid w:val="00FD4F6E"/>
    <w:rsid w:val="00FD5500"/>
    <w:rsid w:val="00FD5618"/>
    <w:rsid w:val="00FD58D5"/>
    <w:rsid w:val="00FD7258"/>
    <w:rsid w:val="00FE025C"/>
    <w:rsid w:val="00FE09DD"/>
    <w:rsid w:val="00FE0BA6"/>
    <w:rsid w:val="00FE131B"/>
    <w:rsid w:val="00FE1F02"/>
    <w:rsid w:val="00FE1F41"/>
    <w:rsid w:val="00FE22E8"/>
    <w:rsid w:val="00FE29CB"/>
    <w:rsid w:val="00FE29FC"/>
    <w:rsid w:val="00FE5246"/>
    <w:rsid w:val="00FE5380"/>
    <w:rsid w:val="00FE5F5B"/>
    <w:rsid w:val="00FE6095"/>
    <w:rsid w:val="00FE6132"/>
    <w:rsid w:val="00FE6D4E"/>
    <w:rsid w:val="00FE6F4B"/>
    <w:rsid w:val="00FE6FE1"/>
    <w:rsid w:val="00FE7727"/>
    <w:rsid w:val="00FE7830"/>
    <w:rsid w:val="00FE7C4E"/>
    <w:rsid w:val="00FE7F0A"/>
    <w:rsid w:val="00FF1261"/>
    <w:rsid w:val="00FF12B4"/>
    <w:rsid w:val="00FF18D3"/>
    <w:rsid w:val="00FF1F28"/>
    <w:rsid w:val="00FF246B"/>
    <w:rsid w:val="00FF25BF"/>
    <w:rsid w:val="00FF34D8"/>
    <w:rsid w:val="00FF47C1"/>
    <w:rsid w:val="00FF5356"/>
    <w:rsid w:val="00FF5A99"/>
    <w:rsid w:val="00FF651C"/>
    <w:rsid w:val="00FF7706"/>
    <w:rsid w:val="00FF7868"/>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4EACC-7EF9-4ED8-A24A-CB535EAD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82E"/>
    <w:rPr>
      <w:sz w:val="24"/>
    </w:rPr>
  </w:style>
  <w:style w:type="paragraph" w:styleId="Heading1">
    <w:name w:val="heading 1"/>
    <w:basedOn w:val="Normal"/>
    <w:next w:val="Normal"/>
    <w:link w:val="Heading1Char"/>
    <w:qFormat/>
    <w:rsid w:val="008B1429"/>
    <w:pPr>
      <w:keepNext/>
      <w:numPr>
        <w:numId w:val="1"/>
      </w:numPr>
      <w:spacing w:after="240"/>
      <w:ind w:left="720" w:hanging="720"/>
      <w:outlineLvl w:val="0"/>
    </w:pPr>
    <w:rPr>
      <w:b/>
      <w:szCs w:val="24"/>
    </w:rPr>
  </w:style>
  <w:style w:type="paragraph" w:styleId="Heading2">
    <w:name w:val="heading 2"/>
    <w:basedOn w:val="Normal"/>
    <w:next w:val="Normal"/>
    <w:link w:val="Heading2Char"/>
    <w:qFormat/>
    <w:rsid w:val="001B75CB"/>
    <w:pPr>
      <w:keepNext/>
      <w:spacing w:after="240"/>
      <w:ind w:left="720"/>
      <w:outlineLvl w:val="1"/>
    </w:pPr>
    <w:rPr>
      <w:b/>
    </w:rPr>
  </w:style>
  <w:style w:type="paragraph" w:styleId="Heading3">
    <w:name w:val="heading 3"/>
    <w:basedOn w:val="Normal"/>
    <w:next w:val="Normal"/>
    <w:link w:val="Heading3Char"/>
    <w:autoRedefine/>
    <w:qFormat/>
    <w:rsid w:val="008E6660"/>
    <w:pPr>
      <w:keepNext/>
      <w:keepLines/>
      <w:spacing w:after="240"/>
      <w:ind w:left="720"/>
      <w:outlineLvl w:val="2"/>
    </w:pPr>
    <w:rPr>
      <w:b/>
      <w:bCs/>
      <w:iCs/>
    </w:rPr>
  </w:style>
  <w:style w:type="paragraph" w:styleId="Heading4">
    <w:name w:val="heading 4"/>
    <w:basedOn w:val="Normal"/>
    <w:next w:val="Normal"/>
    <w:link w:val="Heading4Char"/>
    <w:unhideWhenUsed/>
    <w:qFormat/>
    <w:rsid w:val="00547A3B"/>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547A3B"/>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547A3B"/>
    <w:pPr>
      <w:keepNext/>
      <w:keepLines/>
      <w:numPr>
        <w:ilvl w:val="5"/>
        <w:numId w:val="1"/>
      </w:numPr>
      <w:tabs>
        <w:tab w:val="num" w:pos="360"/>
      </w:tabs>
      <w:spacing w:before="40"/>
      <w:ind w:left="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547A3B"/>
    <w:pPr>
      <w:keepNext/>
      <w:keepLines/>
      <w:numPr>
        <w:ilvl w:val="6"/>
        <w:numId w:val="1"/>
      </w:numPr>
      <w:tabs>
        <w:tab w:val="num" w:pos="360"/>
      </w:tabs>
      <w:spacing w:before="40"/>
      <w:ind w:left="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547A3B"/>
    <w:pPr>
      <w:keepNext/>
      <w:keepLines/>
      <w:numPr>
        <w:ilvl w:val="7"/>
        <w:numId w:val="1"/>
      </w:numPr>
      <w:tabs>
        <w:tab w:val="num" w:pos="360"/>
      </w:tabs>
      <w:spacing w:before="4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47A3B"/>
    <w:pPr>
      <w:keepNext/>
      <w:keepLines/>
      <w:numPr>
        <w:ilvl w:val="8"/>
        <w:numId w:val="1"/>
      </w:numPr>
      <w:tabs>
        <w:tab w:val="num" w:pos="360"/>
      </w:tabs>
      <w:spacing w:before="4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 Char,Char"/>
    <w:basedOn w:val="Normal"/>
    <w:link w:val="HTMLPreformattedChar"/>
    <w:rsid w:val="0091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9138DC"/>
    <w:pPr>
      <w:tabs>
        <w:tab w:val="center" w:pos="4320"/>
        <w:tab w:val="right" w:pos="8640"/>
      </w:tabs>
    </w:pPr>
    <w:rPr>
      <w:sz w:val="20"/>
    </w:rPr>
  </w:style>
  <w:style w:type="character" w:styleId="Hyperlink">
    <w:name w:val="Hyperlink"/>
    <w:uiPriority w:val="99"/>
    <w:rsid w:val="009138DC"/>
    <w:rPr>
      <w:color w:val="0000FF"/>
      <w:u w:val="single"/>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qFormat/>
    <w:rsid w:val="009138DC"/>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sid w:val="009138DC"/>
    <w:rPr>
      <w:vertAlign w:val="superscript"/>
    </w:rPr>
  </w:style>
  <w:style w:type="paragraph" w:styleId="BodyTextIndent">
    <w:name w:val="Body Text Indent"/>
    <w:basedOn w:val="Normal"/>
    <w:rsid w:val="009138DC"/>
    <w:pPr>
      <w:spacing w:line="480" w:lineRule="auto"/>
      <w:ind w:firstLine="720"/>
    </w:pPr>
  </w:style>
  <w:style w:type="paragraph" w:styleId="BodyTextIndent3">
    <w:name w:val="Body Text Indent 3"/>
    <w:basedOn w:val="Normal"/>
    <w:link w:val="BodyTextIndent3Char"/>
    <w:rsid w:val="009138DC"/>
    <w:pPr>
      <w:spacing w:line="480" w:lineRule="atLeast"/>
      <w:ind w:firstLine="720"/>
    </w:pPr>
  </w:style>
  <w:style w:type="paragraph" w:styleId="BodyTextIndent2">
    <w:name w:val="Body Text Indent 2"/>
    <w:basedOn w:val="Normal"/>
    <w:rsid w:val="009138DC"/>
    <w:pPr>
      <w:tabs>
        <w:tab w:val="left" w:pos="720"/>
      </w:tabs>
      <w:spacing w:before="240" w:after="240"/>
      <w:ind w:left="1464" w:hanging="744"/>
    </w:pPr>
  </w:style>
  <w:style w:type="character" w:styleId="PageNumber">
    <w:name w:val="page number"/>
    <w:basedOn w:val="DefaultParagraphFont"/>
    <w:rsid w:val="009138DC"/>
  </w:style>
  <w:style w:type="paragraph" w:styleId="BodyText">
    <w:name w:val="Body Text"/>
    <w:basedOn w:val="Normal"/>
    <w:link w:val="BodyTextChar"/>
    <w:rsid w:val="009138DC"/>
    <w:pPr>
      <w:jc w:val="both"/>
    </w:pPr>
  </w:style>
  <w:style w:type="paragraph" w:styleId="BlockText">
    <w:name w:val="Block Text"/>
    <w:basedOn w:val="Normal"/>
    <w:rsid w:val="009138DC"/>
    <w:pPr>
      <w:ind w:left="1440" w:right="720"/>
    </w:pPr>
  </w:style>
  <w:style w:type="paragraph" w:styleId="EndnoteText">
    <w:name w:val="endnote text"/>
    <w:basedOn w:val="Normal"/>
    <w:semiHidden/>
    <w:rsid w:val="009138DC"/>
    <w:rPr>
      <w:sz w:val="20"/>
    </w:rPr>
  </w:style>
  <w:style w:type="character" w:styleId="EndnoteReference">
    <w:name w:val="endnote reference"/>
    <w:semiHidden/>
    <w:rsid w:val="009138DC"/>
    <w:rPr>
      <w:vertAlign w:val="superscript"/>
    </w:rPr>
  </w:style>
  <w:style w:type="paragraph" w:styleId="BodyText2">
    <w:name w:val="Body Text 2"/>
    <w:basedOn w:val="Normal"/>
    <w:rsid w:val="009138DC"/>
    <w:pPr>
      <w:spacing w:line="480" w:lineRule="auto"/>
      <w:ind w:right="1440"/>
    </w:pPr>
  </w:style>
  <w:style w:type="paragraph" w:styleId="Header">
    <w:name w:val="header"/>
    <w:basedOn w:val="Normal"/>
    <w:rsid w:val="009138DC"/>
    <w:pPr>
      <w:tabs>
        <w:tab w:val="center" w:pos="4320"/>
        <w:tab w:val="right" w:pos="8640"/>
      </w:tabs>
    </w:pPr>
  </w:style>
  <w:style w:type="paragraph" w:styleId="BalloonText">
    <w:name w:val="Balloon Text"/>
    <w:basedOn w:val="Normal"/>
    <w:semiHidden/>
    <w:rsid w:val="009138DC"/>
    <w:rPr>
      <w:rFonts w:ascii="Lucida Grande" w:hAnsi="Lucida Grande"/>
      <w:sz w:val="18"/>
      <w:szCs w:val="18"/>
    </w:rPr>
  </w:style>
  <w:style w:type="character" w:styleId="CommentReference">
    <w:name w:val="annotation reference"/>
    <w:uiPriority w:val="99"/>
    <w:semiHidden/>
    <w:rsid w:val="009138DC"/>
    <w:rPr>
      <w:sz w:val="18"/>
    </w:rPr>
  </w:style>
  <w:style w:type="paragraph" w:styleId="CommentText">
    <w:name w:val="annotation text"/>
    <w:basedOn w:val="Normal"/>
    <w:link w:val="CommentTextChar"/>
    <w:uiPriority w:val="99"/>
    <w:rsid w:val="009138DC"/>
    <w:rPr>
      <w:szCs w:val="24"/>
    </w:rPr>
  </w:style>
  <w:style w:type="paragraph" w:styleId="CommentSubject">
    <w:name w:val="annotation subject"/>
    <w:basedOn w:val="CommentText"/>
    <w:next w:val="CommentText"/>
    <w:semiHidden/>
    <w:rsid w:val="009138DC"/>
    <w:rPr>
      <w:szCs w:val="20"/>
    </w:rPr>
  </w:style>
  <w:style w:type="character" w:styleId="FollowedHyperlink">
    <w:name w:val="FollowedHyperlink"/>
    <w:rsid w:val="009138DC"/>
    <w:rPr>
      <w:color w:val="800080"/>
      <w:u w:val="single"/>
    </w:rPr>
  </w:style>
  <w:style w:type="character" w:customStyle="1" w:styleId="term1">
    <w:name w:val="term1"/>
    <w:rsid w:val="009138DC"/>
    <w:rPr>
      <w:b/>
      <w:bCs/>
    </w:rPr>
  </w:style>
  <w:style w:type="table" w:styleId="TableGrid">
    <w:name w:val="Table Grid"/>
    <w:basedOn w:val="TableNormal"/>
    <w:uiPriority w:val="59"/>
    <w:rsid w:val="0091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9138DC"/>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rsid w:val="00E951E8"/>
  </w:style>
  <w:style w:type="character" w:customStyle="1" w:styleId="BodyTextIndent3Char">
    <w:name w:val="Body Text Indent 3 Char"/>
    <w:basedOn w:val="DefaultParagraphFont"/>
    <w:link w:val="BodyTextIndent3"/>
    <w:rsid w:val="00E951E8"/>
    <w:rPr>
      <w:sz w:val="24"/>
    </w:rPr>
  </w:style>
  <w:style w:type="character" w:customStyle="1" w:styleId="UnresolvedMention2">
    <w:name w:val="Unresolved Mention2"/>
    <w:basedOn w:val="DefaultParagraphFont"/>
    <w:uiPriority w:val="99"/>
    <w:semiHidden/>
    <w:unhideWhenUsed/>
    <w:rsid w:val="00D74569"/>
    <w:rPr>
      <w:color w:val="605E5C"/>
      <w:shd w:val="clear" w:color="auto" w:fill="E1DFDD"/>
    </w:rPr>
  </w:style>
  <w:style w:type="character" w:customStyle="1" w:styleId="HTMLPreformattedChar">
    <w:name w:val="HTML Preformatted Char"/>
    <w:aliases w:val=" Char Char,Char Char"/>
    <w:basedOn w:val="DefaultParagraphFont"/>
    <w:link w:val="HTMLPreformatted"/>
    <w:rsid w:val="00841E5F"/>
    <w:rPr>
      <w:rFonts w:ascii="Courier New" w:eastAsia="Courier New" w:hAnsi="Courier New" w:cs="Courier New"/>
    </w:rPr>
  </w:style>
  <w:style w:type="character" w:customStyle="1" w:styleId="Heading1Char">
    <w:name w:val="Heading 1 Char"/>
    <w:basedOn w:val="DefaultParagraphFont"/>
    <w:link w:val="Heading1"/>
    <w:rsid w:val="008B1429"/>
    <w:rPr>
      <w:b/>
      <w:sz w:val="24"/>
      <w:szCs w:val="24"/>
    </w:rPr>
  </w:style>
  <w:style w:type="paragraph" w:styleId="TOC1">
    <w:name w:val="toc 1"/>
    <w:basedOn w:val="Normal"/>
    <w:next w:val="Normal"/>
    <w:autoRedefine/>
    <w:uiPriority w:val="39"/>
    <w:unhideWhenUsed/>
    <w:rsid w:val="00E018CC"/>
    <w:pPr>
      <w:tabs>
        <w:tab w:val="decimal" w:leader="dot" w:pos="9360"/>
      </w:tabs>
      <w:spacing w:after="240"/>
      <w:ind w:left="720" w:hanging="720"/>
    </w:pPr>
  </w:style>
  <w:style w:type="paragraph" w:styleId="TOC2">
    <w:name w:val="toc 2"/>
    <w:basedOn w:val="Normal"/>
    <w:next w:val="Normal"/>
    <w:autoRedefine/>
    <w:uiPriority w:val="39"/>
    <w:unhideWhenUsed/>
    <w:rsid w:val="009B3945"/>
    <w:pPr>
      <w:tabs>
        <w:tab w:val="decimal" w:leader="dot" w:pos="9360"/>
      </w:tabs>
      <w:spacing w:after="240"/>
      <w:ind w:left="720"/>
    </w:pPr>
  </w:style>
  <w:style w:type="character" w:customStyle="1" w:styleId="CommentTextChar">
    <w:name w:val="Comment Text Char"/>
    <w:basedOn w:val="DefaultParagraphFont"/>
    <w:link w:val="CommentText"/>
    <w:uiPriority w:val="99"/>
    <w:rsid w:val="00CD2C14"/>
    <w:rPr>
      <w:sz w:val="24"/>
      <w:szCs w:val="24"/>
    </w:rPr>
  </w:style>
  <w:style w:type="paragraph" w:customStyle="1" w:styleId="ANSWER">
    <w:name w:val="ANSWER"/>
    <w:basedOn w:val="Normal"/>
    <w:rsid w:val="00CD2C14"/>
    <w:pPr>
      <w:spacing w:line="480" w:lineRule="auto"/>
      <w:ind w:left="1008" w:hanging="720"/>
    </w:pPr>
  </w:style>
  <w:style w:type="paragraph" w:styleId="TOC3">
    <w:name w:val="toc 3"/>
    <w:basedOn w:val="Normal"/>
    <w:next w:val="Normal"/>
    <w:autoRedefine/>
    <w:uiPriority w:val="39"/>
    <w:unhideWhenUsed/>
    <w:qFormat/>
    <w:rsid w:val="00D04DC8"/>
    <w:pPr>
      <w:tabs>
        <w:tab w:val="left" w:pos="2160"/>
        <w:tab w:val="right" w:leader="dot" w:pos="8630"/>
      </w:tabs>
      <w:spacing w:after="240"/>
      <w:ind w:left="2160" w:hanging="720"/>
      <w:outlineLvl w:val="2"/>
    </w:pPr>
  </w:style>
  <w:style w:type="character" w:customStyle="1" w:styleId="UnresolvedMention3">
    <w:name w:val="Unresolved Mention3"/>
    <w:basedOn w:val="DefaultParagraphFont"/>
    <w:rsid w:val="00033389"/>
    <w:rPr>
      <w:color w:val="605E5C"/>
      <w:shd w:val="clear" w:color="auto" w:fill="E1DFDD"/>
    </w:rPr>
  </w:style>
  <w:style w:type="table" w:customStyle="1" w:styleId="TableGrid1">
    <w:name w:val="Table Grid1"/>
    <w:basedOn w:val="TableNormal"/>
    <w:next w:val="TableGrid"/>
    <w:uiPriority w:val="59"/>
    <w:rsid w:val="00FC44A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3">
    <w:name w:val="Footnote Text Char3"/>
    <w:aliases w:val="ALTS FOOTNOTE Char1,Footnote Text Char Char Char Char Char1,Footnote Text Char Char Char1,Footnote Text Char Char1,Footnote Text Char1 Char Char1 Char Char Char Char1,Footnote Text Char1 Char Char1 Char1,Footnote Text Char1 Char1"/>
    <w:uiPriority w:val="99"/>
    <w:locked/>
    <w:rsid w:val="00DC055C"/>
  </w:style>
  <w:style w:type="character" w:styleId="Strong">
    <w:name w:val="Strong"/>
    <w:basedOn w:val="DefaultParagraphFont"/>
    <w:uiPriority w:val="22"/>
    <w:qFormat/>
    <w:rsid w:val="00711C5C"/>
    <w:rPr>
      <w:b/>
      <w:bCs/>
    </w:rPr>
  </w:style>
  <w:style w:type="paragraph" w:styleId="ListParagraph">
    <w:name w:val="List Paragraph"/>
    <w:basedOn w:val="Normal"/>
    <w:uiPriority w:val="34"/>
    <w:qFormat/>
    <w:rsid w:val="00375A86"/>
    <w:pPr>
      <w:ind w:left="720"/>
      <w:contextualSpacing/>
    </w:pPr>
    <w:rPr>
      <w:szCs w:val="24"/>
    </w:rPr>
  </w:style>
  <w:style w:type="paragraph" w:styleId="NoSpacing">
    <w:name w:val="No Spacing"/>
    <w:uiPriority w:val="1"/>
    <w:qFormat/>
    <w:rsid w:val="008C5690"/>
    <w:rPr>
      <w:rFonts w:asciiTheme="minorHAnsi" w:eastAsiaTheme="minorHAnsi" w:hAnsiTheme="minorHAnsi" w:cstheme="minorBidi"/>
      <w:sz w:val="22"/>
      <w:szCs w:val="22"/>
    </w:rPr>
  </w:style>
  <w:style w:type="paragraph" w:customStyle="1" w:styleId="DirectQuestion">
    <w:name w:val="Direct Question"/>
    <w:next w:val="Normal"/>
    <w:rsid w:val="00421C36"/>
    <w:pPr>
      <w:pBdr>
        <w:top w:val="nil"/>
        <w:left w:val="nil"/>
        <w:bottom w:val="nil"/>
        <w:right w:val="nil"/>
        <w:between w:val="nil"/>
        <w:bar w:val="nil"/>
      </w:pBdr>
      <w:tabs>
        <w:tab w:val="left" w:pos="1440"/>
      </w:tabs>
      <w:spacing w:line="480" w:lineRule="auto"/>
      <w:ind w:left="1440" w:hanging="1440"/>
    </w:pPr>
    <w:rPr>
      <w:rFonts w:eastAsia="Arial Unicode MS" w:hAnsi="Arial Unicode MS" w:cs="Arial Unicode MS"/>
      <w:b/>
      <w:bCs/>
      <w:i/>
      <w:iCs/>
      <w:caps/>
      <w:color w:val="000000"/>
      <w:sz w:val="24"/>
      <w:szCs w:val="24"/>
      <w:u w:color="000000"/>
      <w:bdr w:val="nil"/>
    </w:rPr>
  </w:style>
  <w:style w:type="paragraph" w:customStyle="1" w:styleId="DirectAnswer">
    <w:name w:val="Direct Answer"/>
    <w:next w:val="DirectNext"/>
    <w:rsid w:val="00421C36"/>
    <w:pPr>
      <w:pBdr>
        <w:top w:val="nil"/>
        <w:left w:val="nil"/>
        <w:bottom w:val="nil"/>
        <w:right w:val="nil"/>
        <w:between w:val="nil"/>
        <w:bar w:val="nil"/>
      </w:pBdr>
      <w:spacing w:line="480" w:lineRule="auto"/>
      <w:ind w:left="720" w:hanging="720"/>
    </w:pPr>
    <w:rPr>
      <w:rFonts w:eastAsia="Arial Unicode MS" w:hAnsi="Arial Unicode MS" w:cs="Arial Unicode MS"/>
      <w:color w:val="000000"/>
      <w:sz w:val="24"/>
      <w:szCs w:val="24"/>
      <w:u w:color="000000"/>
      <w:bdr w:val="nil"/>
    </w:rPr>
  </w:style>
  <w:style w:type="paragraph" w:customStyle="1" w:styleId="DirectNext">
    <w:name w:val="Direct Next"/>
    <w:rsid w:val="00421C36"/>
    <w:pPr>
      <w:pBdr>
        <w:top w:val="nil"/>
        <w:left w:val="nil"/>
        <w:bottom w:val="nil"/>
        <w:right w:val="nil"/>
        <w:between w:val="nil"/>
        <w:bar w:val="nil"/>
      </w:pBdr>
      <w:spacing w:line="504" w:lineRule="exact"/>
      <w:ind w:left="720"/>
    </w:pPr>
    <w:rPr>
      <w:rFonts w:eastAsia="Arial Unicode MS" w:hAnsi="Arial Unicode MS" w:cs="Arial Unicode MS"/>
      <w:color w:val="000000"/>
      <w:sz w:val="24"/>
      <w:szCs w:val="24"/>
      <w:u w:color="000000"/>
      <w:bdr w:val="nil"/>
    </w:rPr>
  </w:style>
  <w:style w:type="paragraph" w:customStyle="1" w:styleId="BodyA">
    <w:name w:val="Body A"/>
    <w:rsid w:val="003D0C51"/>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sssh">
    <w:name w:val="ss_sh"/>
    <w:basedOn w:val="DefaultParagraphFont"/>
    <w:rsid w:val="0070618D"/>
  </w:style>
  <w:style w:type="character" w:customStyle="1" w:styleId="Heading4Char">
    <w:name w:val="Heading 4 Char"/>
    <w:basedOn w:val="DefaultParagraphFont"/>
    <w:link w:val="Heading4"/>
    <w:rsid w:val="00547A3B"/>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rsid w:val="00547A3B"/>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semiHidden/>
    <w:rsid w:val="00547A3B"/>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semiHidden/>
    <w:rsid w:val="00547A3B"/>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semiHidden/>
    <w:rsid w:val="00547A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47A3B"/>
    <w:rPr>
      <w:rFonts w:asciiTheme="majorHAnsi" w:eastAsiaTheme="majorEastAsia" w:hAnsiTheme="majorHAnsi" w:cstheme="majorBidi"/>
      <w:i/>
      <w:iCs/>
      <w:color w:val="272727" w:themeColor="text1" w:themeTint="D8"/>
      <w:sz w:val="21"/>
      <w:szCs w:val="21"/>
    </w:rPr>
  </w:style>
  <w:style w:type="character" w:customStyle="1" w:styleId="BodyTextChar">
    <w:name w:val="Body Text Char"/>
    <w:basedOn w:val="DefaultParagraphFont"/>
    <w:link w:val="BodyText"/>
    <w:rsid w:val="006B5EC6"/>
    <w:rPr>
      <w:sz w:val="24"/>
    </w:rPr>
  </w:style>
  <w:style w:type="paragraph" w:styleId="TOCHeading">
    <w:name w:val="TOC Heading"/>
    <w:basedOn w:val="Heading1"/>
    <w:next w:val="Normal"/>
    <w:uiPriority w:val="39"/>
    <w:unhideWhenUsed/>
    <w:qFormat/>
    <w:rsid w:val="00A85520"/>
    <w:pPr>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character" w:customStyle="1" w:styleId="UnresolvedMention4">
    <w:name w:val="Unresolved Mention4"/>
    <w:basedOn w:val="DefaultParagraphFont"/>
    <w:rsid w:val="0013572E"/>
    <w:rPr>
      <w:color w:val="605E5C"/>
      <w:shd w:val="clear" w:color="auto" w:fill="E1DFDD"/>
    </w:rPr>
  </w:style>
  <w:style w:type="character" w:customStyle="1" w:styleId="Heading3Char">
    <w:name w:val="Heading 3 Char"/>
    <w:basedOn w:val="DefaultParagraphFont"/>
    <w:link w:val="Heading3"/>
    <w:rsid w:val="008E6660"/>
    <w:rPr>
      <w:b/>
      <w:bCs/>
      <w:iCs/>
      <w:sz w:val="24"/>
    </w:rPr>
  </w:style>
  <w:style w:type="character" w:customStyle="1" w:styleId="UnresolvedMention5">
    <w:name w:val="Unresolved Mention5"/>
    <w:basedOn w:val="DefaultParagraphFont"/>
    <w:rsid w:val="00AA7752"/>
    <w:rPr>
      <w:color w:val="605E5C"/>
      <w:shd w:val="clear" w:color="auto" w:fill="E1DFDD"/>
    </w:rPr>
  </w:style>
  <w:style w:type="paragraph" w:styleId="Revision">
    <w:name w:val="Revision"/>
    <w:hidden/>
    <w:uiPriority w:val="99"/>
    <w:semiHidden/>
    <w:rsid w:val="00437FD8"/>
    <w:rPr>
      <w:sz w:val="24"/>
    </w:rPr>
  </w:style>
  <w:style w:type="character" w:customStyle="1" w:styleId="UnresolvedMention6">
    <w:name w:val="Unresolved Mention6"/>
    <w:basedOn w:val="DefaultParagraphFont"/>
    <w:rsid w:val="00D51E89"/>
    <w:rPr>
      <w:color w:val="605E5C"/>
      <w:shd w:val="clear" w:color="auto" w:fill="E1DFDD"/>
    </w:rPr>
  </w:style>
  <w:style w:type="character" w:customStyle="1" w:styleId="Heading2Char">
    <w:name w:val="Heading 2 Char"/>
    <w:basedOn w:val="DefaultParagraphFont"/>
    <w:link w:val="Heading2"/>
    <w:rsid w:val="001B75CB"/>
    <w:rPr>
      <w:b/>
      <w:sz w:val="24"/>
    </w:rPr>
  </w:style>
  <w:style w:type="character" w:customStyle="1" w:styleId="UnresolvedMention7">
    <w:name w:val="Unresolved Mention7"/>
    <w:basedOn w:val="DefaultParagraphFont"/>
    <w:rsid w:val="00AD0B1F"/>
    <w:rPr>
      <w:color w:val="605E5C"/>
      <w:shd w:val="clear" w:color="auto" w:fill="E1DFDD"/>
    </w:rPr>
  </w:style>
  <w:style w:type="paragraph" w:customStyle="1" w:styleId="pf0">
    <w:name w:val="pf0"/>
    <w:basedOn w:val="Normal"/>
    <w:rsid w:val="00D82BE5"/>
    <w:pPr>
      <w:spacing w:before="100" w:beforeAutospacing="1" w:after="100" w:afterAutospacing="1"/>
    </w:pPr>
    <w:rPr>
      <w:szCs w:val="24"/>
    </w:rPr>
  </w:style>
  <w:style w:type="character" w:customStyle="1" w:styleId="cf01">
    <w:name w:val="cf01"/>
    <w:basedOn w:val="DefaultParagraphFont"/>
    <w:rsid w:val="00D82BE5"/>
    <w:rPr>
      <w:rFonts w:ascii="Segoe UI" w:hAnsi="Segoe UI" w:cs="Segoe UI" w:hint="default"/>
      <w:sz w:val="18"/>
      <w:szCs w:val="18"/>
    </w:rPr>
  </w:style>
  <w:style w:type="character" w:customStyle="1" w:styleId="UnresolvedMention8">
    <w:name w:val="Unresolved Mention8"/>
    <w:basedOn w:val="DefaultParagraphFont"/>
    <w:rsid w:val="00701AFA"/>
    <w:rPr>
      <w:color w:val="605E5C"/>
      <w:shd w:val="clear" w:color="auto" w:fill="E1DFDD"/>
    </w:rPr>
  </w:style>
  <w:style w:type="character" w:customStyle="1" w:styleId="UnresolvedMention9">
    <w:name w:val="Unresolved Mention9"/>
    <w:basedOn w:val="DefaultParagraphFont"/>
    <w:rsid w:val="00366A55"/>
    <w:rPr>
      <w:color w:val="605E5C"/>
      <w:shd w:val="clear" w:color="auto" w:fill="E1DFDD"/>
    </w:rPr>
  </w:style>
  <w:style w:type="paragraph" w:styleId="NormalWeb">
    <w:name w:val="Normal (Web)"/>
    <w:basedOn w:val="Normal"/>
    <w:uiPriority w:val="99"/>
    <w:unhideWhenUsed/>
    <w:rsid w:val="00EC482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obert.eubanks@occ.ohio.gov"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mailto:awalke@mcneeslaw.com" TargetMode="External"/><Relationship Id="rId3" Type="http://schemas.openxmlformats.org/officeDocument/2006/relationships/styles" Target="styles.xml"/><Relationship Id="rId21" Type="http://schemas.openxmlformats.org/officeDocument/2006/relationships/hyperlink" Target="mailto:rhiannon.howard@ohioAGO.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onald.kral@occ.ohio.gov" TargetMode="External"/><Relationship Id="rId25" Type="http://schemas.openxmlformats.org/officeDocument/2006/relationships/hyperlink" Target="mailto:mpritchard@mcneeslaw.com" TargetMode="External"/><Relationship Id="rId2" Type="http://schemas.openxmlformats.org/officeDocument/2006/relationships/numbering" Target="numbering.xml"/><Relationship Id="rId16" Type="http://schemas.openxmlformats.org/officeDocument/2006/relationships/hyperlink" Target="mailto:robert.eubanks@occ.ohio.gov" TargetMode="External"/><Relationship Id="rId20" Type="http://schemas.openxmlformats.org/officeDocument/2006/relationships/hyperlink" Target="mailto:donald.kral@occ.ohio.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jlang@calfee.co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help@inspirecleanenergy.co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robert.eubanks@occ.ohio.gov" TargetMode="External"/><Relationship Id="rId4" Type="http://schemas.openxmlformats.org/officeDocument/2006/relationships/settings" Target="settings.xml"/><Relationship Id="rId9" Type="http://schemas.openxmlformats.org/officeDocument/2006/relationships/hyperlink" Target="mailto:donald.kral@occ.ohio.gov" TargetMode="External"/><Relationship Id="rId14" Type="http://schemas.openxmlformats.org/officeDocument/2006/relationships/header" Target="header3.xml"/><Relationship Id="rId22" Type="http://schemas.openxmlformats.org/officeDocument/2006/relationships/hyperlink" Target="mailto:Isabel.marcelletti@puco.ohio.gov"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32010-9BCA-479D-BF22-D55C2018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5335</Words>
  <Characters>30415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23-720 OCC AFR 1.3.23pm.docx</vt:lpstr>
    </vt:vector>
  </TitlesOfParts>
  <Company/>
  <LinksUpToDate>false</LinksUpToDate>
  <CharactersWithSpaces>35679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Walters, Denise</cp:lastModifiedBy>
  <cp:revision>2</cp:revision>
  <dcterms:created xsi:type="dcterms:W3CDTF">2024-01-12T21:51:00Z</dcterms:created>
  <dcterms:modified xsi:type="dcterms:W3CDTF">2024-01-12T21:52:00Z</dcterms:modified>
</cp:coreProperties>
</file>