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E94266" w:rsidRPr="00EB04D1" w:rsidP="00E94266" w14:paraId="28283622" w14:textId="77777777">
      <w:pPr>
        <w:pStyle w:val="HTMLPreformatted"/>
        <w:jc w:val="center"/>
        <w:rPr>
          <w:rFonts w:ascii="Times New Roman" w:hAnsi="Times New Roman" w:cs="Times New Roman"/>
          <w:b/>
          <w:bCs/>
          <w:sz w:val="24"/>
          <w:szCs w:val="24"/>
        </w:rPr>
      </w:pPr>
      <w:r w:rsidRPr="00EB04D1">
        <w:rPr>
          <w:rFonts w:ascii="Times New Roman" w:hAnsi="Times New Roman" w:cs="Times New Roman"/>
          <w:b/>
          <w:bCs/>
          <w:sz w:val="24"/>
          <w:szCs w:val="24"/>
        </w:rPr>
        <w:t>BEFORE</w:t>
      </w:r>
    </w:p>
    <w:p w:rsidR="00E94266" w:rsidRPr="00EB04D1" w:rsidP="00E94266" w14:paraId="29B18939" w14:textId="77777777">
      <w:pPr>
        <w:pStyle w:val="HTMLPreformatted"/>
        <w:jc w:val="center"/>
        <w:rPr>
          <w:rFonts w:ascii="Times New Roman" w:hAnsi="Times New Roman" w:cs="Times New Roman"/>
          <w:sz w:val="24"/>
          <w:szCs w:val="24"/>
        </w:rPr>
      </w:pPr>
      <w:r w:rsidRPr="00EB04D1">
        <w:rPr>
          <w:rFonts w:ascii="Times New Roman" w:hAnsi="Times New Roman" w:cs="Times New Roman"/>
          <w:b/>
          <w:bCs/>
          <w:sz w:val="24"/>
          <w:szCs w:val="24"/>
        </w:rPr>
        <w:t>THE PUBLIC UTILITIES COMMISSION OF OHIO</w:t>
      </w:r>
    </w:p>
    <w:p w:rsidR="002F13D4" w:rsidRPr="00EB04D1" w:rsidP="002F13D4" w14:paraId="45C7150D" w14:textId="77777777">
      <w:pPr>
        <w:pStyle w:val="HTMLPreformatted"/>
        <w:rPr>
          <w:rFonts w:ascii="Times New Roman" w:hAnsi="Times New Roman" w:cs="Times New Roman"/>
          <w:sz w:val="24"/>
          <w:szCs w:val="24"/>
        </w:rPr>
      </w:pPr>
    </w:p>
    <w:tbl>
      <w:tblPr>
        <w:tblW w:w="8730" w:type="dxa"/>
        <w:tblLook w:val="01E0"/>
      </w:tblPr>
      <w:tblGrid>
        <w:gridCol w:w="4230"/>
        <w:gridCol w:w="540"/>
        <w:gridCol w:w="3960"/>
      </w:tblGrid>
      <w:tr w14:paraId="772EA2F8" w14:textId="77777777" w:rsidTr="00736089">
        <w:tblPrEx>
          <w:tblW w:w="8730" w:type="dxa"/>
          <w:tblLook w:val="01E0"/>
        </w:tblPrEx>
        <w:trPr>
          <w:trHeight w:val="522"/>
        </w:trPr>
        <w:tc>
          <w:tcPr>
            <w:tcW w:w="4230" w:type="dxa"/>
            <w:shd w:val="clear" w:color="auto" w:fill="auto"/>
          </w:tcPr>
          <w:p w:rsidR="002F1357" w:rsidRPr="00EB04D1" w:rsidP="00736089" w14:paraId="1627CD0F" w14:textId="00517A65">
            <w:pPr>
              <w:pStyle w:val="HTMLPreformatted"/>
              <w:rPr>
                <w:rFonts w:ascii="Times New Roman" w:hAnsi="Times New Roman" w:cs="Times New Roman"/>
                <w:sz w:val="24"/>
                <w:szCs w:val="24"/>
              </w:rPr>
            </w:pPr>
            <w:r w:rsidRPr="00EB04D1">
              <w:rPr>
                <w:rFonts w:ascii="Times New Roman" w:hAnsi="Times New Roman" w:cs="Times New Roman"/>
                <w:sz w:val="24"/>
                <w:szCs w:val="24"/>
              </w:rPr>
              <w:t>In the Matter of the Application of the East Ohio Gas Company d/b/a Dominion Energy Ohio for Approval of Tariff Revisions</w:t>
            </w:r>
            <w:r w:rsidRPr="00EB04D1" w:rsidR="00560B36">
              <w:rPr>
                <w:rFonts w:ascii="Times New Roman" w:hAnsi="Times New Roman" w:cs="Times New Roman"/>
                <w:sz w:val="24"/>
                <w:szCs w:val="24"/>
              </w:rPr>
              <w:t>.</w:t>
            </w:r>
          </w:p>
          <w:p w:rsidR="002F1357" w:rsidRPr="00EB04D1" w:rsidP="00736089" w14:paraId="0FF26A81" w14:textId="77777777">
            <w:pPr>
              <w:pStyle w:val="HTMLPreformatted"/>
              <w:rPr>
                <w:rFonts w:ascii="Times New Roman" w:hAnsi="Times New Roman" w:cs="Times New Roman"/>
                <w:sz w:val="24"/>
                <w:szCs w:val="24"/>
              </w:rPr>
            </w:pPr>
          </w:p>
          <w:p w:rsidR="002F1357" w:rsidRPr="00EB04D1" w:rsidP="00736089" w14:paraId="61EC973A" w14:textId="50D12CAA">
            <w:pPr>
              <w:pStyle w:val="HTMLPreformatted"/>
              <w:rPr>
                <w:rFonts w:ascii="Times New Roman" w:hAnsi="Times New Roman" w:cs="Times New Roman"/>
                <w:sz w:val="24"/>
                <w:szCs w:val="24"/>
              </w:rPr>
            </w:pPr>
            <w:r w:rsidRPr="00EB04D1">
              <w:rPr>
                <w:rFonts w:ascii="Times New Roman" w:hAnsi="Times New Roman" w:cs="Times New Roman"/>
                <w:sz w:val="24"/>
                <w:szCs w:val="24"/>
              </w:rPr>
              <w:t>In the Matter of the Application of the East Ohio Gas Company d/b/a Dominion Energy Ohio for Approval of Carbon Offset Program</w:t>
            </w:r>
            <w:r w:rsidRPr="00EB04D1" w:rsidR="00560B36">
              <w:rPr>
                <w:rFonts w:ascii="Times New Roman" w:hAnsi="Times New Roman" w:cs="Times New Roman"/>
                <w:sz w:val="24"/>
                <w:szCs w:val="24"/>
              </w:rPr>
              <w:t>.</w:t>
            </w:r>
          </w:p>
        </w:tc>
        <w:tc>
          <w:tcPr>
            <w:tcW w:w="540" w:type="dxa"/>
            <w:shd w:val="clear" w:color="auto" w:fill="auto"/>
          </w:tcPr>
          <w:p w:rsidR="002F1357" w:rsidRPr="00EB04D1" w:rsidP="00736089" w14:paraId="4C726708" w14:textId="77777777">
            <w:pPr>
              <w:pStyle w:val="HTMLPreformatted"/>
              <w:rPr>
                <w:rFonts w:ascii="Times New Roman" w:hAnsi="Times New Roman" w:cs="Times New Roman"/>
                <w:sz w:val="24"/>
                <w:szCs w:val="24"/>
              </w:rPr>
            </w:pPr>
            <w:r w:rsidRPr="00EB04D1">
              <w:rPr>
                <w:rFonts w:ascii="Times New Roman" w:hAnsi="Times New Roman" w:cs="Times New Roman"/>
                <w:sz w:val="24"/>
                <w:szCs w:val="24"/>
              </w:rPr>
              <w:t>)</w:t>
            </w:r>
          </w:p>
          <w:p w:rsidR="002F1357" w:rsidRPr="00EB04D1" w:rsidP="00736089" w14:paraId="5BE78B60" w14:textId="77777777">
            <w:pPr>
              <w:pStyle w:val="HTMLPreformatted"/>
              <w:rPr>
                <w:rFonts w:ascii="Times New Roman" w:hAnsi="Times New Roman" w:cs="Times New Roman"/>
                <w:sz w:val="24"/>
                <w:szCs w:val="24"/>
              </w:rPr>
            </w:pPr>
            <w:r w:rsidRPr="00EB04D1">
              <w:rPr>
                <w:rFonts w:ascii="Times New Roman" w:hAnsi="Times New Roman" w:cs="Times New Roman"/>
                <w:sz w:val="24"/>
                <w:szCs w:val="24"/>
              </w:rPr>
              <w:t>)</w:t>
            </w:r>
          </w:p>
          <w:p w:rsidR="002F1357" w:rsidRPr="00EB04D1" w:rsidP="00736089" w14:paraId="5CDACA2C" w14:textId="77777777">
            <w:pPr>
              <w:pStyle w:val="HTMLPreformatted"/>
              <w:rPr>
                <w:rFonts w:ascii="Times New Roman" w:hAnsi="Times New Roman" w:cs="Times New Roman"/>
                <w:sz w:val="24"/>
                <w:szCs w:val="24"/>
              </w:rPr>
            </w:pPr>
            <w:r w:rsidRPr="00EB04D1">
              <w:rPr>
                <w:rFonts w:ascii="Times New Roman" w:hAnsi="Times New Roman" w:cs="Times New Roman"/>
                <w:sz w:val="24"/>
                <w:szCs w:val="24"/>
              </w:rPr>
              <w:t>)</w:t>
            </w:r>
          </w:p>
          <w:p w:rsidR="002F1357" w:rsidRPr="00EB04D1" w:rsidP="00736089" w14:paraId="508AF431" w14:textId="77777777">
            <w:pPr>
              <w:pStyle w:val="HTMLPreformatted"/>
              <w:rPr>
                <w:rFonts w:ascii="Times New Roman" w:hAnsi="Times New Roman" w:cs="Times New Roman"/>
                <w:sz w:val="24"/>
                <w:szCs w:val="24"/>
              </w:rPr>
            </w:pPr>
            <w:r w:rsidRPr="00EB04D1">
              <w:rPr>
                <w:rFonts w:ascii="Times New Roman" w:hAnsi="Times New Roman" w:cs="Times New Roman"/>
                <w:sz w:val="24"/>
                <w:szCs w:val="24"/>
              </w:rPr>
              <w:t>)</w:t>
            </w:r>
          </w:p>
          <w:p w:rsidR="002F1357" w:rsidRPr="00EB04D1" w:rsidP="00736089" w14:paraId="7DC6DF74" w14:textId="77777777">
            <w:pPr>
              <w:pStyle w:val="HTMLPreformatted"/>
              <w:rPr>
                <w:rFonts w:ascii="Times New Roman" w:hAnsi="Times New Roman" w:cs="Times New Roman"/>
                <w:sz w:val="24"/>
                <w:szCs w:val="24"/>
              </w:rPr>
            </w:pPr>
          </w:p>
          <w:p w:rsidR="002F1357" w:rsidRPr="00EB04D1" w:rsidP="00736089" w14:paraId="5177554F" w14:textId="77777777">
            <w:pPr>
              <w:pStyle w:val="HTMLPreformatted"/>
              <w:rPr>
                <w:rFonts w:ascii="Times New Roman" w:hAnsi="Times New Roman" w:cs="Times New Roman"/>
                <w:sz w:val="24"/>
                <w:szCs w:val="24"/>
              </w:rPr>
            </w:pPr>
            <w:r w:rsidRPr="00EB04D1">
              <w:rPr>
                <w:rFonts w:ascii="Times New Roman" w:hAnsi="Times New Roman" w:cs="Times New Roman"/>
                <w:sz w:val="24"/>
                <w:szCs w:val="24"/>
              </w:rPr>
              <w:t>)</w:t>
            </w:r>
          </w:p>
          <w:p w:rsidR="002F1357" w:rsidRPr="00EB04D1" w:rsidP="00736089" w14:paraId="6A108E64" w14:textId="77777777">
            <w:pPr>
              <w:pStyle w:val="HTMLPreformatted"/>
              <w:rPr>
                <w:rFonts w:ascii="Times New Roman" w:hAnsi="Times New Roman" w:cs="Times New Roman"/>
                <w:sz w:val="24"/>
                <w:szCs w:val="24"/>
              </w:rPr>
            </w:pPr>
            <w:r w:rsidRPr="00EB04D1">
              <w:rPr>
                <w:rFonts w:ascii="Times New Roman" w:hAnsi="Times New Roman" w:cs="Times New Roman"/>
                <w:sz w:val="24"/>
                <w:szCs w:val="24"/>
              </w:rPr>
              <w:t>)</w:t>
            </w:r>
          </w:p>
          <w:p w:rsidR="002F1357" w:rsidRPr="00EB04D1" w:rsidP="00736089" w14:paraId="1833723D" w14:textId="77777777">
            <w:pPr>
              <w:pStyle w:val="HTMLPreformatted"/>
              <w:rPr>
                <w:rFonts w:ascii="Times New Roman" w:hAnsi="Times New Roman" w:cs="Times New Roman"/>
                <w:sz w:val="24"/>
                <w:szCs w:val="24"/>
              </w:rPr>
            </w:pPr>
            <w:r w:rsidRPr="00EB04D1">
              <w:rPr>
                <w:rFonts w:ascii="Times New Roman" w:hAnsi="Times New Roman" w:cs="Times New Roman"/>
                <w:sz w:val="24"/>
                <w:szCs w:val="24"/>
              </w:rPr>
              <w:t>)</w:t>
            </w:r>
          </w:p>
          <w:p w:rsidR="002F1357" w:rsidRPr="00EB04D1" w:rsidP="00736089" w14:paraId="08B254D2" w14:textId="77777777">
            <w:pPr>
              <w:pStyle w:val="HTMLPreformatted"/>
              <w:rPr>
                <w:rFonts w:ascii="Times New Roman" w:hAnsi="Times New Roman" w:cs="Times New Roman"/>
                <w:sz w:val="24"/>
                <w:szCs w:val="24"/>
              </w:rPr>
            </w:pPr>
            <w:r w:rsidRPr="00EB04D1">
              <w:rPr>
                <w:rFonts w:ascii="Times New Roman" w:hAnsi="Times New Roman" w:cs="Times New Roman"/>
                <w:sz w:val="24"/>
                <w:szCs w:val="24"/>
              </w:rPr>
              <w:t>)</w:t>
            </w:r>
          </w:p>
        </w:tc>
        <w:tc>
          <w:tcPr>
            <w:tcW w:w="3960" w:type="dxa"/>
            <w:shd w:val="clear" w:color="auto" w:fill="auto"/>
          </w:tcPr>
          <w:p w:rsidR="002F1357" w:rsidRPr="00EB04D1" w:rsidP="00736089" w14:paraId="3C6CBAC8" w14:textId="77777777">
            <w:pPr>
              <w:pStyle w:val="HTMLPreformatted"/>
              <w:rPr>
                <w:rFonts w:ascii="Times New Roman" w:hAnsi="Times New Roman" w:cs="Times New Roman"/>
                <w:sz w:val="24"/>
                <w:szCs w:val="24"/>
              </w:rPr>
            </w:pPr>
          </w:p>
          <w:p w:rsidR="002F1357" w:rsidRPr="00EB04D1" w:rsidP="00736089" w14:paraId="324650DD" w14:textId="13CA62EE">
            <w:pPr>
              <w:pStyle w:val="HTMLPreformatted"/>
              <w:rPr>
                <w:rFonts w:ascii="Times New Roman" w:hAnsi="Times New Roman" w:cs="Times New Roman"/>
                <w:sz w:val="24"/>
                <w:szCs w:val="24"/>
              </w:rPr>
            </w:pPr>
            <w:r w:rsidRPr="00EB04D1">
              <w:rPr>
                <w:rFonts w:ascii="Times New Roman" w:hAnsi="Times New Roman" w:cs="Times New Roman"/>
                <w:sz w:val="24"/>
                <w:szCs w:val="24"/>
              </w:rPr>
              <w:t>Case No. 22-179-GA-ATA</w:t>
            </w:r>
          </w:p>
          <w:p w:rsidR="002F1357" w:rsidRPr="00EB04D1" w:rsidP="00736089" w14:paraId="4E990FB1" w14:textId="77777777">
            <w:pPr>
              <w:pStyle w:val="HTMLPreformatted"/>
              <w:rPr>
                <w:rFonts w:ascii="Times New Roman" w:hAnsi="Times New Roman" w:cs="Times New Roman"/>
                <w:sz w:val="24"/>
                <w:szCs w:val="24"/>
              </w:rPr>
            </w:pPr>
          </w:p>
          <w:p w:rsidR="002F1357" w:rsidRPr="00EB04D1" w:rsidP="00736089" w14:paraId="60FBD83C" w14:textId="77777777">
            <w:pPr>
              <w:pStyle w:val="HTMLPreformatted"/>
              <w:rPr>
                <w:rFonts w:ascii="Times New Roman" w:hAnsi="Times New Roman" w:cs="Times New Roman"/>
                <w:sz w:val="24"/>
                <w:szCs w:val="24"/>
              </w:rPr>
            </w:pPr>
          </w:p>
          <w:p w:rsidR="002F1357" w:rsidRPr="00EB04D1" w:rsidP="00736089" w14:paraId="38A354F5" w14:textId="77777777">
            <w:pPr>
              <w:pStyle w:val="HTMLPreformatted"/>
              <w:rPr>
                <w:rFonts w:ascii="Times New Roman" w:hAnsi="Times New Roman" w:cs="Times New Roman"/>
                <w:sz w:val="24"/>
                <w:szCs w:val="24"/>
              </w:rPr>
            </w:pPr>
          </w:p>
          <w:p w:rsidR="002F1357" w:rsidRPr="00EB04D1" w:rsidP="00736089" w14:paraId="6CFF08B4" w14:textId="77777777">
            <w:pPr>
              <w:pStyle w:val="HTMLPreformatted"/>
              <w:rPr>
                <w:rFonts w:ascii="Times New Roman" w:hAnsi="Times New Roman" w:cs="Times New Roman"/>
                <w:sz w:val="24"/>
                <w:szCs w:val="24"/>
              </w:rPr>
            </w:pPr>
          </w:p>
          <w:p w:rsidR="002F1357" w:rsidRPr="00EB04D1" w:rsidP="00736089" w14:paraId="0EFDC918" w14:textId="564210A9">
            <w:pPr>
              <w:pStyle w:val="HTMLPreformatted"/>
              <w:rPr>
                <w:rFonts w:ascii="Times New Roman" w:hAnsi="Times New Roman" w:cs="Times New Roman"/>
                <w:sz w:val="24"/>
                <w:szCs w:val="24"/>
              </w:rPr>
            </w:pPr>
            <w:r w:rsidRPr="00EB04D1">
              <w:rPr>
                <w:rFonts w:ascii="Times New Roman" w:hAnsi="Times New Roman" w:cs="Times New Roman"/>
                <w:sz w:val="24"/>
                <w:szCs w:val="24"/>
              </w:rPr>
              <w:t>Case No. 22-180-GA-UNC</w:t>
            </w:r>
          </w:p>
          <w:p w:rsidR="002F1357" w:rsidRPr="00EB04D1" w:rsidP="00736089" w14:paraId="3918602E" w14:textId="77777777">
            <w:pPr>
              <w:pStyle w:val="HTMLPreformatted"/>
              <w:rPr>
                <w:rFonts w:ascii="Times New Roman" w:hAnsi="Times New Roman" w:cs="Times New Roman"/>
                <w:sz w:val="24"/>
                <w:szCs w:val="24"/>
              </w:rPr>
            </w:pPr>
          </w:p>
        </w:tc>
      </w:tr>
    </w:tbl>
    <w:p w:rsidR="0077698C" w:rsidRPr="0077698C" w:rsidP="0077698C" w14:paraId="44E36311" w14:textId="77777777">
      <w:pPr>
        <w:keepNext/>
        <w:pBdr>
          <w:bottom w:val="single" w:sz="12" w:space="1" w:color="auto"/>
        </w:pBdr>
        <w:tabs>
          <w:tab w:val="left" w:pos="4320"/>
        </w:tabs>
        <w:outlineLvl w:val="1"/>
        <w:rPr>
          <w:szCs w:val="24"/>
        </w:rPr>
      </w:pPr>
    </w:p>
    <w:p w:rsidR="0077698C" w:rsidRPr="0077698C" w:rsidP="0077698C" w14:paraId="625C646E" w14:textId="77777777">
      <w:pPr>
        <w:keepNext/>
        <w:tabs>
          <w:tab w:val="left" w:pos="4320"/>
        </w:tabs>
        <w:jc w:val="center"/>
        <w:outlineLvl w:val="1"/>
        <w:rPr>
          <w:b/>
          <w:szCs w:val="24"/>
        </w:rPr>
      </w:pPr>
    </w:p>
    <w:p w:rsidR="0077698C" w:rsidRPr="0077698C" w:rsidP="0077698C" w14:paraId="0D85C753" w14:textId="43D7F841">
      <w:pPr>
        <w:jc w:val="center"/>
        <w:rPr>
          <w:b/>
          <w:bCs/>
          <w:szCs w:val="24"/>
        </w:rPr>
      </w:pPr>
      <w:r>
        <w:rPr>
          <w:b/>
          <w:bCs/>
          <w:szCs w:val="24"/>
        </w:rPr>
        <w:t>REPLY</w:t>
      </w:r>
      <w:r w:rsidR="007727A0">
        <w:rPr>
          <w:b/>
          <w:bCs/>
          <w:szCs w:val="24"/>
        </w:rPr>
        <w:t xml:space="preserve"> BRIEF</w:t>
      </w:r>
    </w:p>
    <w:p w:rsidR="0077698C" w:rsidRPr="0077698C" w:rsidP="0077698C" w14:paraId="603C7C30" w14:textId="77777777">
      <w:pPr>
        <w:jc w:val="center"/>
        <w:rPr>
          <w:b/>
          <w:bCs/>
          <w:szCs w:val="24"/>
        </w:rPr>
      </w:pPr>
      <w:r w:rsidRPr="0077698C">
        <w:rPr>
          <w:b/>
          <w:bCs/>
          <w:szCs w:val="24"/>
        </w:rPr>
        <w:t>BY</w:t>
      </w:r>
    </w:p>
    <w:p w:rsidR="0077698C" w:rsidRPr="0077698C" w:rsidP="0077698C" w14:paraId="0B7530C1" w14:textId="77777777">
      <w:pPr>
        <w:jc w:val="center"/>
        <w:rPr>
          <w:b/>
          <w:bCs/>
          <w:szCs w:val="24"/>
        </w:rPr>
      </w:pPr>
      <w:r w:rsidRPr="0077698C">
        <w:rPr>
          <w:b/>
          <w:bCs/>
          <w:szCs w:val="24"/>
        </w:rPr>
        <w:t>OFFICE OF THE OHIO CONSUMERS’ COUNSEL</w:t>
      </w:r>
    </w:p>
    <w:p w:rsidR="0077698C" w:rsidRPr="0077698C" w:rsidP="0077698C" w14:paraId="29DC247F" w14:textId="77777777">
      <w:pPr>
        <w:keepNext/>
        <w:pBdr>
          <w:bottom w:val="single" w:sz="12" w:space="1" w:color="auto"/>
        </w:pBdr>
        <w:tabs>
          <w:tab w:val="left" w:pos="4320"/>
        </w:tabs>
        <w:spacing w:after="240"/>
        <w:jc w:val="center"/>
        <w:outlineLvl w:val="1"/>
        <w:rPr>
          <w:b/>
          <w:szCs w:val="24"/>
        </w:rPr>
      </w:pPr>
    </w:p>
    <w:p w:rsidR="006E76CD" w:rsidRPr="00EB04D1" w:rsidP="006E76CD" w14:paraId="4A90A392" w14:textId="43F2083A">
      <w:pPr>
        <w:pStyle w:val="Heading1"/>
        <w:numPr>
          <w:ilvl w:val="0"/>
          <w:numId w:val="8"/>
        </w:numPr>
        <w:ind w:left="720"/>
      </w:pPr>
      <w:bookmarkStart w:id="0" w:name="_Toc141885125"/>
      <w:r w:rsidRPr="00EB04D1">
        <w:t>INTRODUCTION</w:t>
      </w:r>
      <w:bookmarkEnd w:id="0"/>
      <w:r w:rsidRPr="00EB04D1">
        <w:t xml:space="preserve"> </w:t>
      </w:r>
    </w:p>
    <w:p w:rsidR="001F1349" w:rsidP="00EC19AB" w14:paraId="159F6BB7" w14:textId="152E2CB2">
      <w:pPr>
        <w:pStyle w:val="BodyTextIndent3"/>
        <w:widowControl w:val="0"/>
        <w:spacing w:line="480" w:lineRule="auto"/>
        <w:ind w:right="-317"/>
        <w:sectPr w:rsidSect="001F1349">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pgNumType w:start="2"/>
          <w:cols w:space="720"/>
          <w:titlePg/>
          <w:docGrid w:linePitch="65"/>
        </w:sectPr>
      </w:pPr>
      <w:r>
        <w:rPr>
          <w:szCs w:val="24"/>
        </w:rPr>
        <w:t>Dominion Energy Ohio (“Dominion”)</w:t>
      </w:r>
      <w:r w:rsidR="0024447F">
        <w:rPr>
          <w:szCs w:val="24"/>
        </w:rPr>
        <w:t xml:space="preserve"> and </w:t>
      </w:r>
      <w:r w:rsidR="00B464C2">
        <w:rPr>
          <w:szCs w:val="24"/>
        </w:rPr>
        <w:t xml:space="preserve">a group of </w:t>
      </w:r>
      <w:r w:rsidR="0024447F">
        <w:rPr>
          <w:szCs w:val="24"/>
        </w:rPr>
        <w:t>natural gas marketers</w:t>
      </w:r>
      <w:r>
        <w:rPr>
          <w:rStyle w:val="FootnoteReference"/>
          <w:szCs w:val="24"/>
        </w:rPr>
        <w:footnoteReference w:id="2"/>
      </w:r>
      <w:r w:rsidR="0024447F">
        <w:rPr>
          <w:szCs w:val="24"/>
        </w:rPr>
        <w:t xml:space="preserve"> want</w:t>
      </w:r>
      <w:r w:rsidR="00630CA6">
        <w:rPr>
          <w:szCs w:val="24"/>
        </w:rPr>
        <w:t xml:space="preserve"> the PUCO to approve a Settlement that would </w:t>
      </w:r>
      <w:r w:rsidR="0024447F">
        <w:rPr>
          <w:szCs w:val="24"/>
        </w:rPr>
        <w:t xml:space="preserve">establish </w:t>
      </w:r>
      <w:r w:rsidR="00630CA6">
        <w:rPr>
          <w:szCs w:val="24"/>
        </w:rPr>
        <w:t>Dominion</w:t>
      </w:r>
      <w:r w:rsidR="0024447F">
        <w:rPr>
          <w:szCs w:val="24"/>
        </w:rPr>
        <w:t>’s</w:t>
      </w:r>
      <w:r w:rsidR="00630CA6">
        <w:rPr>
          <w:szCs w:val="24"/>
        </w:rPr>
        <w:t xml:space="preserve"> </w:t>
      </w:r>
      <w:r w:rsidR="0024447F">
        <w:rPr>
          <w:szCs w:val="24"/>
        </w:rPr>
        <w:t>so-called</w:t>
      </w:r>
      <w:r>
        <w:rPr>
          <w:szCs w:val="24"/>
        </w:rPr>
        <w:t xml:space="preserve"> </w:t>
      </w:r>
      <w:r w:rsidR="00630CA6">
        <w:rPr>
          <w:szCs w:val="24"/>
        </w:rPr>
        <w:t>“</w:t>
      </w:r>
      <w:r>
        <w:rPr>
          <w:szCs w:val="24"/>
        </w:rPr>
        <w:t>Decarbon Ohio Program</w:t>
      </w:r>
      <w:r w:rsidR="00630CA6">
        <w:rPr>
          <w:szCs w:val="24"/>
        </w:rPr>
        <w:t>.”</w:t>
      </w:r>
      <w:r w:rsidR="00154718">
        <w:rPr>
          <w:szCs w:val="24"/>
        </w:rPr>
        <w:t xml:space="preserve"> </w:t>
      </w:r>
      <w:r w:rsidR="00630CA6">
        <w:rPr>
          <w:szCs w:val="24"/>
        </w:rPr>
        <w:t>In what is supposed to be Ohio’s competitive marketplace, t</w:t>
      </w:r>
      <w:r>
        <w:rPr>
          <w:szCs w:val="24"/>
        </w:rPr>
        <w:t xml:space="preserve">he program would </w:t>
      </w:r>
      <w:r w:rsidR="009E1199">
        <w:rPr>
          <w:szCs w:val="24"/>
        </w:rPr>
        <w:t>involve</w:t>
      </w:r>
      <w:r w:rsidR="00EC19AB">
        <w:rPr>
          <w:szCs w:val="24"/>
        </w:rPr>
        <w:t xml:space="preserve"> </w:t>
      </w:r>
      <w:r w:rsidR="00371664">
        <w:rPr>
          <w:szCs w:val="24"/>
        </w:rPr>
        <w:t xml:space="preserve">monopoly </w:t>
      </w:r>
      <w:r w:rsidR="00630CA6">
        <w:rPr>
          <w:szCs w:val="24"/>
        </w:rPr>
        <w:t>Dominion</w:t>
      </w:r>
      <w:r w:rsidR="00587190">
        <w:rPr>
          <w:szCs w:val="24"/>
        </w:rPr>
        <w:t xml:space="preserve"> obtaining state government approval for</w:t>
      </w:r>
      <w:r w:rsidR="00630CA6">
        <w:rPr>
          <w:szCs w:val="24"/>
        </w:rPr>
        <w:t xml:space="preserve"> </w:t>
      </w:r>
      <w:r w:rsidR="000630B5">
        <w:rPr>
          <w:szCs w:val="24"/>
        </w:rPr>
        <w:t xml:space="preserve">“educating” consumers </w:t>
      </w:r>
      <w:r w:rsidR="00D605E5">
        <w:rPr>
          <w:szCs w:val="24"/>
        </w:rPr>
        <w:t xml:space="preserve">by </w:t>
      </w:r>
      <w:r w:rsidR="000630B5">
        <w:rPr>
          <w:szCs w:val="24"/>
        </w:rPr>
        <w:t>promoting</w:t>
      </w:r>
      <w:r w:rsidR="005E2BE1">
        <w:rPr>
          <w:szCs w:val="24"/>
        </w:rPr>
        <w:t xml:space="preserve"> certain</w:t>
      </w:r>
      <w:r w:rsidR="00053648">
        <w:rPr>
          <w:szCs w:val="24"/>
        </w:rPr>
        <w:t xml:space="preserve"> marketers’ competitive carbon offset products.</w:t>
      </w:r>
      <w:r w:rsidR="005E2BE1">
        <w:rPr>
          <w:szCs w:val="24"/>
        </w:rPr>
        <w:t xml:space="preserve"> </w:t>
      </w:r>
      <w:r w:rsidR="00B464C2">
        <w:rPr>
          <w:szCs w:val="24"/>
        </w:rPr>
        <w:t xml:space="preserve">In return, Dominion </w:t>
      </w:r>
      <w:r w:rsidR="00371664">
        <w:rPr>
          <w:szCs w:val="24"/>
        </w:rPr>
        <w:t>c</w:t>
      </w:r>
      <w:r w:rsidR="00B464C2">
        <w:rPr>
          <w:szCs w:val="24"/>
        </w:rPr>
        <w:t>ould boost its</w:t>
      </w:r>
      <w:r w:rsidR="00371664">
        <w:rPr>
          <w:szCs w:val="24"/>
        </w:rPr>
        <w:t xml:space="preserve"> own</w:t>
      </w:r>
      <w:r w:rsidR="00B464C2">
        <w:rPr>
          <w:szCs w:val="24"/>
        </w:rPr>
        <w:t xml:space="preserve"> environmental</w:t>
      </w:r>
      <w:r w:rsidR="00371664">
        <w:rPr>
          <w:szCs w:val="24"/>
        </w:rPr>
        <w:t>, social and corporate governance (“ESG”)</w:t>
      </w:r>
      <w:r w:rsidR="00B464C2">
        <w:rPr>
          <w:szCs w:val="24"/>
        </w:rPr>
        <w:t xml:space="preserve"> </w:t>
      </w:r>
      <w:r w:rsidR="00CF5176">
        <w:rPr>
          <w:szCs w:val="24"/>
        </w:rPr>
        <w:t>standing</w:t>
      </w:r>
      <w:r w:rsidR="00B464C2">
        <w:rPr>
          <w:szCs w:val="24"/>
        </w:rPr>
        <w:t xml:space="preserve"> by associating itself </w:t>
      </w:r>
      <w:r w:rsidR="00671EA7">
        <w:rPr>
          <w:szCs w:val="24"/>
        </w:rPr>
        <w:t xml:space="preserve">with </w:t>
      </w:r>
      <w:r w:rsidR="00B464C2">
        <w:rPr>
          <w:szCs w:val="24"/>
        </w:rPr>
        <w:t>unregulated carbon offset products.</w:t>
      </w:r>
      <w:r>
        <w:rPr>
          <w:rStyle w:val="FootnoteReference"/>
          <w:szCs w:val="24"/>
        </w:rPr>
        <w:footnoteReference w:id="3"/>
      </w:r>
      <w:r w:rsidR="00B464C2">
        <w:rPr>
          <w:szCs w:val="24"/>
        </w:rPr>
        <w:t xml:space="preserve"> </w:t>
      </w:r>
      <w:r w:rsidR="000F2A42">
        <w:rPr>
          <w:szCs w:val="24"/>
        </w:rPr>
        <w:t>However, to protect consumers and effective competition</w:t>
      </w:r>
      <w:r w:rsidR="00DC4AEF">
        <w:rPr>
          <w:szCs w:val="24"/>
        </w:rPr>
        <w:t xml:space="preserve"> in Ohio</w:t>
      </w:r>
      <w:r w:rsidR="000F2A42">
        <w:rPr>
          <w:szCs w:val="24"/>
        </w:rPr>
        <w:t>,</w:t>
      </w:r>
      <w:r w:rsidR="000630B5">
        <w:rPr>
          <w:szCs w:val="24"/>
        </w:rPr>
        <w:t xml:space="preserve"> </w:t>
      </w:r>
      <w:r w:rsidR="00DD54F9">
        <w:rPr>
          <w:szCs w:val="24"/>
        </w:rPr>
        <w:t>the monopoly utility (</w:t>
      </w:r>
      <w:r w:rsidRPr="00EB04D1" w:rsidR="000630B5">
        <w:rPr>
          <w:szCs w:val="24"/>
        </w:rPr>
        <w:t>Dominion</w:t>
      </w:r>
      <w:r w:rsidR="00DD54F9">
        <w:rPr>
          <w:szCs w:val="24"/>
        </w:rPr>
        <w:t>)</w:t>
      </w:r>
      <w:r w:rsidR="000630B5">
        <w:rPr>
          <w:szCs w:val="24"/>
        </w:rPr>
        <w:t xml:space="preserve"> </w:t>
      </w:r>
      <w:r w:rsidR="000F2A42">
        <w:rPr>
          <w:szCs w:val="24"/>
        </w:rPr>
        <w:t>should</w:t>
      </w:r>
      <w:r w:rsidR="000630B5">
        <w:rPr>
          <w:szCs w:val="24"/>
        </w:rPr>
        <w:t xml:space="preserve"> </w:t>
      </w:r>
      <w:r w:rsidRPr="00EB04D1" w:rsidR="000630B5">
        <w:rPr>
          <w:szCs w:val="24"/>
        </w:rPr>
        <w:t>leave the marketing of natural gas to</w:t>
      </w:r>
      <w:r w:rsidR="000630B5">
        <w:rPr>
          <w:szCs w:val="24"/>
        </w:rPr>
        <w:t xml:space="preserve"> the</w:t>
      </w:r>
      <w:r w:rsidRPr="00EB04D1" w:rsidR="000630B5">
        <w:rPr>
          <w:szCs w:val="24"/>
        </w:rPr>
        <w:t xml:space="preserve"> energy</w:t>
      </w:r>
      <w:r w:rsidR="000630B5">
        <w:rPr>
          <w:szCs w:val="24"/>
        </w:rPr>
        <w:t xml:space="preserve"> </w:t>
      </w:r>
      <w:r w:rsidRPr="00EB04D1" w:rsidR="000630B5">
        <w:rPr>
          <w:szCs w:val="24"/>
        </w:rPr>
        <w:t>marketers in the competitive market.</w:t>
      </w:r>
      <w:r w:rsidR="000E07DF">
        <w:rPr>
          <w:szCs w:val="24"/>
        </w:rPr>
        <w:t xml:space="preserve"> </w:t>
      </w:r>
    </w:p>
    <w:p w:rsidR="00692DDB" w:rsidP="008B0514" w14:paraId="73A94C36" w14:textId="52477F92">
      <w:pPr>
        <w:pStyle w:val="BodyTextIndent3"/>
        <w:widowControl w:val="0"/>
        <w:spacing w:line="480" w:lineRule="auto"/>
        <w:ind w:right="-317"/>
        <w:rPr>
          <w:szCs w:val="24"/>
        </w:rPr>
      </w:pPr>
      <w:r>
        <w:rPr>
          <w:szCs w:val="24"/>
        </w:rPr>
        <w:t>C</w:t>
      </w:r>
      <w:r w:rsidR="00EC19AB">
        <w:t>arbon offset opportunities can be a good thing for consumers</w:t>
      </w:r>
      <w:r>
        <w:t>. But</w:t>
      </w:r>
      <w:r w:rsidR="00EC19AB">
        <w:t xml:space="preserve"> it would be </w:t>
      </w:r>
      <w:r w:rsidR="003C2C7C">
        <w:t xml:space="preserve">a </w:t>
      </w:r>
      <w:r w:rsidR="00EC19AB">
        <w:t>bad</w:t>
      </w:r>
      <w:r w:rsidR="003C2C7C">
        <w:t xml:space="preserve"> idea</w:t>
      </w:r>
      <w:r w:rsidR="00EC19AB">
        <w:t xml:space="preserve"> to </w:t>
      </w:r>
      <w:r w:rsidR="0024447F">
        <w:t>allow a</w:t>
      </w:r>
      <w:r w:rsidR="00EC19AB">
        <w:t xml:space="preserve"> monopoly </w:t>
      </w:r>
      <w:r w:rsidR="003C2C7C">
        <w:t>utility</w:t>
      </w:r>
      <w:r w:rsidR="00EC19AB">
        <w:t xml:space="preserve"> </w:t>
      </w:r>
      <w:r w:rsidR="003C2C7C">
        <w:t>(</w:t>
      </w:r>
      <w:r w:rsidR="00EC19AB">
        <w:t>Dominion</w:t>
      </w:r>
      <w:r w:rsidR="003C2C7C">
        <w:t>)</w:t>
      </w:r>
      <w:r w:rsidR="00EC19AB">
        <w:t xml:space="preserve"> </w:t>
      </w:r>
      <w:r w:rsidR="0024447F">
        <w:t>to</w:t>
      </w:r>
      <w:r w:rsidR="005E2BE1">
        <w:t xml:space="preserve"> involve itself in</w:t>
      </w:r>
      <w:r w:rsidR="00EC19AB">
        <w:t xml:space="preserve"> the promotion of </w:t>
      </w:r>
      <w:r w:rsidR="0024447F">
        <w:t>energy marketers’ competitive products</w:t>
      </w:r>
      <w:r w:rsidR="00EC19AB">
        <w:t>.</w:t>
      </w:r>
      <w:r w:rsidR="000630B5">
        <w:rPr>
          <w:szCs w:val="24"/>
        </w:rPr>
        <w:t xml:space="preserve"> </w:t>
      </w:r>
      <w:r w:rsidR="00DC4AEF">
        <w:t>T</w:t>
      </w:r>
      <w:r w:rsidRPr="00767FD4">
        <w:t xml:space="preserve">hat is </w:t>
      </w:r>
      <w:r w:rsidR="005E2BE1">
        <w:t>a</w:t>
      </w:r>
      <w:r w:rsidRPr="00767FD4">
        <w:t xml:space="preserve"> lesson learned from </w:t>
      </w:r>
      <w:r w:rsidR="00E57D1C">
        <w:t>the</w:t>
      </w:r>
      <w:r w:rsidRPr="00767FD4" w:rsidR="00E57D1C">
        <w:t xml:space="preserve"> </w:t>
      </w:r>
      <w:r w:rsidRPr="00767FD4">
        <w:t>infamous</w:t>
      </w:r>
      <w:r w:rsidR="005E2BE1">
        <w:t xml:space="preserve"> and now defunct</w:t>
      </w:r>
      <w:r w:rsidRPr="00767FD4">
        <w:t xml:space="preserve"> </w:t>
      </w:r>
      <w:r w:rsidR="00D7510D">
        <w:t>M</w:t>
      </w:r>
      <w:r w:rsidRPr="00767FD4">
        <w:t xml:space="preserve">onthly </w:t>
      </w:r>
      <w:r w:rsidR="00D7510D">
        <w:t>V</w:t>
      </w:r>
      <w:r w:rsidRPr="00767FD4">
        <w:t xml:space="preserve">ariable </w:t>
      </w:r>
      <w:r w:rsidR="00D7510D">
        <w:t>R</w:t>
      </w:r>
      <w:r w:rsidRPr="00767FD4">
        <w:t>ate</w:t>
      </w:r>
      <w:r w:rsidR="00D7510D">
        <w:t xml:space="preserve"> (“MVR”)</w:t>
      </w:r>
      <w:r w:rsidRPr="00767FD4">
        <w:t xml:space="preserve"> program</w:t>
      </w:r>
      <w:r w:rsidR="00E57D1C">
        <w:t xml:space="preserve"> in Dominion’s service area</w:t>
      </w:r>
      <w:r w:rsidR="00001F79">
        <w:t>.</w:t>
      </w:r>
      <w:r w:rsidR="005E2BE1">
        <w:t xml:space="preserve"> </w:t>
      </w:r>
      <w:r w:rsidR="00001F79">
        <w:t>T</w:t>
      </w:r>
      <w:r w:rsidR="005E2BE1">
        <w:t>hat</w:t>
      </w:r>
      <w:r w:rsidR="00001F79">
        <w:t xml:space="preserve"> program</w:t>
      </w:r>
      <w:r w:rsidRPr="00EB04D1">
        <w:rPr>
          <w:szCs w:val="24"/>
        </w:rPr>
        <w:t xml:space="preserve"> </w:t>
      </w:r>
      <w:r w:rsidR="00001F79">
        <w:rPr>
          <w:szCs w:val="24"/>
        </w:rPr>
        <w:t>assigned</w:t>
      </w:r>
      <w:r w:rsidRPr="00EB04D1" w:rsidR="00001F79">
        <w:rPr>
          <w:szCs w:val="24"/>
        </w:rPr>
        <w:t xml:space="preserve"> </w:t>
      </w:r>
      <w:r w:rsidRPr="00EB04D1">
        <w:rPr>
          <w:szCs w:val="24"/>
        </w:rPr>
        <w:t>gas marketers to</w:t>
      </w:r>
      <w:r w:rsidR="00001F79">
        <w:rPr>
          <w:szCs w:val="24"/>
        </w:rPr>
        <w:t xml:space="preserve"> a certain segment of customers</w:t>
      </w:r>
      <w:r w:rsidRPr="00EB04D1">
        <w:rPr>
          <w:szCs w:val="24"/>
        </w:rPr>
        <w:t xml:space="preserve"> </w:t>
      </w:r>
      <w:r w:rsidR="00B453A7">
        <w:rPr>
          <w:szCs w:val="24"/>
        </w:rPr>
        <w:t xml:space="preserve">with the </w:t>
      </w:r>
      <w:r w:rsidR="00001F79">
        <w:rPr>
          <w:szCs w:val="24"/>
        </w:rPr>
        <w:t xml:space="preserve">result of </w:t>
      </w:r>
      <w:r w:rsidRPr="00EB04D1">
        <w:rPr>
          <w:szCs w:val="24"/>
        </w:rPr>
        <w:t>unconscionable rates</w:t>
      </w:r>
      <w:r w:rsidR="00001F79">
        <w:rPr>
          <w:szCs w:val="24"/>
        </w:rPr>
        <w:t xml:space="preserve"> charged to </w:t>
      </w:r>
      <w:r w:rsidR="00DD7FAD">
        <w:rPr>
          <w:szCs w:val="24"/>
        </w:rPr>
        <w:t xml:space="preserve">those </w:t>
      </w:r>
      <w:r w:rsidR="00001F79">
        <w:rPr>
          <w:szCs w:val="24"/>
        </w:rPr>
        <w:t>consumers</w:t>
      </w:r>
      <w:r w:rsidRPr="00EB04D1">
        <w:rPr>
          <w:szCs w:val="24"/>
        </w:rPr>
        <w:t>.</w:t>
      </w:r>
      <w:r>
        <w:rPr>
          <w:rStyle w:val="FootnoteReference"/>
          <w:szCs w:val="24"/>
        </w:rPr>
        <w:footnoteReference w:id="4"/>
      </w:r>
      <w:r w:rsidR="00D7510D">
        <w:rPr>
          <w:szCs w:val="24"/>
        </w:rPr>
        <w:t xml:space="preserve"> </w:t>
      </w:r>
    </w:p>
    <w:p w:rsidR="00DC4AEF" w:rsidP="008B0514" w14:paraId="37155850" w14:textId="64813F4B">
      <w:pPr>
        <w:pStyle w:val="BodyTextIndent3"/>
        <w:widowControl w:val="0"/>
        <w:spacing w:line="480" w:lineRule="auto"/>
        <w:ind w:right="-317"/>
        <w:rPr>
          <w:szCs w:val="24"/>
        </w:rPr>
      </w:pPr>
      <w:r>
        <w:rPr>
          <w:szCs w:val="24"/>
        </w:rPr>
        <w:t xml:space="preserve">In this regard, the Settlement provides no assurance that </w:t>
      </w:r>
      <w:r w:rsidR="002F7C81">
        <w:rPr>
          <w:szCs w:val="24"/>
        </w:rPr>
        <w:t xml:space="preserve">marketers participating in the program will not </w:t>
      </w:r>
      <w:r w:rsidR="00161A50">
        <w:rPr>
          <w:szCs w:val="24"/>
        </w:rPr>
        <w:t xml:space="preserve">use claimed carbon offsets to lure </w:t>
      </w:r>
      <w:r w:rsidR="002F7C81">
        <w:rPr>
          <w:szCs w:val="24"/>
        </w:rPr>
        <w:t xml:space="preserve">consumers </w:t>
      </w:r>
      <w:r w:rsidR="00161A50">
        <w:rPr>
          <w:szCs w:val="24"/>
        </w:rPr>
        <w:t xml:space="preserve">to </w:t>
      </w:r>
      <w:r w:rsidR="002F7C81">
        <w:rPr>
          <w:szCs w:val="24"/>
        </w:rPr>
        <w:t>unreasonable rates</w:t>
      </w:r>
      <w:r w:rsidR="00161A50">
        <w:rPr>
          <w:szCs w:val="24"/>
        </w:rPr>
        <w:t>.</w:t>
      </w:r>
      <w:r w:rsidR="002F7C81">
        <w:rPr>
          <w:szCs w:val="24"/>
        </w:rPr>
        <w:t xml:space="preserve"> </w:t>
      </w:r>
      <w:r w:rsidR="00161A50">
        <w:rPr>
          <w:szCs w:val="24"/>
        </w:rPr>
        <w:t>That would be an example of “greenwashing.”</w:t>
      </w:r>
      <w:r w:rsidR="003801CA">
        <w:rPr>
          <w:szCs w:val="24"/>
        </w:rPr>
        <w:t xml:space="preserve"> </w:t>
      </w:r>
    </w:p>
    <w:p w:rsidR="006E442A" w:rsidP="008B0514" w14:paraId="157C7226" w14:textId="13384303">
      <w:pPr>
        <w:pStyle w:val="BodyTextIndent3"/>
        <w:widowControl w:val="0"/>
        <w:spacing w:line="480" w:lineRule="auto"/>
        <w:ind w:right="-317"/>
      </w:pPr>
      <w:r>
        <w:rPr>
          <w:szCs w:val="24"/>
        </w:rPr>
        <w:t>As explained in OCC’s initial brief, the marketer/Dominion settlement fails all three prongs of the PUCO’s three-prong settlement standard.</w:t>
      </w:r>
      <w:r w:rsidR="002239EA">
        <w:rPr>
          <w:szCs w:val="24"/>
        </w:rPr>
        <w:t xml:space="preserve"> As also explained, the settlement should not even be considered </w:t>
      </w:r>
      <w:r w:rsidR="00346D9E">
        <w:rPr>
          <w:szCs w:val="24"/>
        </w:rPr>
        <w:t>as</w:t>
      </w:r>
      <w:r w:rsidR="002239EA">
        <w:rPr>
          <w:szCs w:val="24"/>
        </w:rPr>
        <w:t xml:space="preserve"> qualify</w:t>
      </w:r>
      <w:r w:rsidR="00346D9E">
        <w:rPr>
          <w:szCs w:val="24"/>
        </w:rPr>
        <w:t>ing</w:t>
      </w:r>
      <w:r w:rsidR="002239EA">
        <w:rPr>
          <w:szCs w:val="24"/>
        </w:rPr>
        <w:t xml:space="preserve"> for the settlement standard that favors utilities like Dominion.</w:t>
      </w:r>
      <w:r>
        <w:rPr>
          <w:szCs w:val="24"/>
        </w:rPr>
        <w:t xml:space="preserve"> </w:t>
      </w:r>
    </w:p>
    <w:p w:rsidR="004F3298" w:rsidP="008B0514" w14:paraId="5467D2F7" w14:textId="2626BC5F">
      <w:pPr>
        <w:pStyle w:val="BodyTextIndent3"/>
        <w:widowControl w:val="0"/>
        <w:spacing w:line="480" w:lineRule="auto"/>
        <w:ind w:right="-317"/>
      </w:pPr>
      <w:r>
        <w:t>For the reasons explained below and in OCC’s Initial Brief, the</w:t>
      </w:r>
      <w:r w:rsidR="007727A0">
        <w:t xml:space="preserve"> PUCO should reject the </w:t>
      </w:r>
      <w:r w:rsidR="002306E2">
        <w:t>S</w:t>
      </w:r>
      <w:r w:rsidR="007727A0">
        <w:t>ettlement.</w:t>
      </w:r>
      <w:r w:rsidR="004C5091">
        <w:t xml:space="preserve"> </w:t>
      </w:r>
    </w:p>
    <w:p w:rsidR="006E5AC6" w:rsidP="006E5AC6" w14:paraId="0C7DE4EB" w14:textId="77777777">
      <w:pPr>
        <w:pStyle w:val="BodyTextIndent3"/>
        <w:widowControl w:val="0"/>
        <w:spacing w:line="240" w:lineRule="auto"/>
        <w:ind w:right="-317"/>
      </w:pPr>
    </w:p>
    <w:p w:rsidR="008B0514" w:rsidP="006E5AC6" w14:paraId="6677F846" w14:textId="44B844A1">
      <w:pPr>
        <w:pStyle w:val="Heading1"/>
        <w:numPr>
          <w:ilvl w:val="0"/>
          <w:numId w:val="8"/>
        </w:numPr>
        <w:ind w:left="720"/>
      </w:pPr>
      <w:r>
        <w:t>ARGUMENT</w:t>
      </w:r>
    </w:p>
    <w:p w:rsidR="00BE59A7" w:rsidRPr="008B0514" w:rsidP="006E5AC6" w14:paraId="7D89BEA3" w14:textId="05DD61C8">
      <w:pPr>
        <w:pStyle w:val="Heading2"/>
        <w:numPr>
          <w:ilvl w:val="0"/>
          <w:numId w:val="25"/>
        </w:numPr>
        <w:ind w:left="1440" w:hanging="720"/>
      </w:pPr>
      <w:r w:rsidRPr="008B0514">
        <w:t>T</w:t>
      </w:r>
      <w:r w:rsidR="008B0514">
        <w:t xml:space="preserve">he </w:t>
      </w:r>
      <w:r w:rsidRPr="006E5AC6" w:rsidR="008B0514">
        <w:t>Settlement’s</w:t>
      </w:r>
      <w:r w:rsidRPr="006E5AC6">
        <w:t xml:space="preserve"> D</w:t>
      </w:r>
      <w:r w:rsidRPr="006E5AC6" w:rsidR="008B0514">
        <w:t>ecarbon</w:t>
      </w:r>
      <w:r w:rsidRPr="006E5AC6">
        <w:t xml:space="preserve"> O</w:t>
      </w:r>
      <w:r w:rsidRPr="006E5AC6" w:rsidR="008B0514">
        <w:t>hio</w:t>
      </w:r>
      <w:r w:rsidRPr="006E5AC6">
        <w:t xml:space="preserve"> P</w:t>
      </w:r>
      <w:r w:rsidRPr="006E5AC6" w:rsidR="008B0514">
        <w:t>rogram</w:t>
      </w:r>
      <w:r w:rsidRPr="006E5AC6">
        <w:t xml:space="preserve"> </w:t>
      </w:r>
      <w:r w:rsidRPr="006E5AC6" w:rsidR="008B0514">
        <w:t>is</w:t>
      </w:r>
      <w:r w:rsidRPr="006E5AC6">
        <w:t xml:space="preserve"> </w:t>
      </w:r>
      <w:r w:rsidRPr="006E5AC6" w:rsidR="008B0514">
        <w:t>unnecessary and harmful to consumers</w:t>
      </w:r>
      <w:r w:rsidR="00723A37">
        <w:t xml:space="preserve"> and the public interest</w:t>
      </w:r>
      <w:r w:rsidRPr="006E5AC6" w:rsidR="008B0514">
        <w:t>. The PUCO should reject the Settlement.</w:t>
      </w:r>
      <w:r w:rsidRPr="008B0514">
        <w:t xml:space="preserve"> </w:t>
      </w:r>
    </w:p>
    <w:p w:rsidR="00DA47AD" w:rsidP="00C15065" w14:paraId="576350A1" w14:textId="3BE122B4">
      <w:pPr>
        <w:pStyle w:val="BodyTextIndent3"/>
        <w:widowControl w:val="0"/>
        <w:spacing w:line="480" w:lineRule="auto"/>
        <w:ind w:right="-317"/>
      </w:pPr>
      <w:r>
        <w:rPr>
          <w:szCs w:val="24"/>
        </w:rPr>
        <w:t>OCC presented ample</w:t>
      </w:r>
      <w:r w:rsidR="00E51868">
        <w:rPr>
          <w:szCs w:val="24"/>
        </w:rPr>
        <w:t xml:space="preserve"> unrefuted</w:t>
      </w:r>
      <w:r>
        <w:rPr>
          <w:szCs w:val="24"/>
        </w:rPr>
        <w:t xml:space="preserve"> evidence demonstrating how the Settlement would harm consumers</w:t>
      </w:r>
      <w:r w:rsidR="00E51868">
        <w:rPr>
          <w:szCs w:val="24"/>
        </w:rPr>
        <w:t xml:space="preserve"> and competition</w:t>
      </w:r>
      <w:r w:rsidR="008B0514">
        <w:rPr>
          <w:szCs w:val="24"/>
        </w:rPr>
        <w:t>.</w:t>
      </w:r>
      <w:r>
        <w:rPr>
          <w:rStyle w:val="FootnoteReference"/>
          <w:szCs w:val="24"/>
        </w:rPr>
        <w:footnoteReference w:id="5"/>
      </w:r>
      <w:r>
        <w:rPr>
          <w:szCs w:val="24"/>
        </w:rPr>
        <w:t xml:space="preserve"> </w:t>
      </w:r>
      <w:r w:rsidR="008B0514">
        <w:rPr>
          <w:szCs w:val="24"/>
        </w:rPr>
        <w:t>However,</w:t>
      </w:r>
      <w:r>
        <w:rPr>
          <w:szCs w:val="24"/>
        </w:rPr>
        <w:t xml:space="preserve"> </w:t>
      </w:r>
      <w:r w:rsidR="001075A3">
        <w:t>Dominion, RESA, and the</w:t>
      </w:r>
      <w:r>
        <w:t xml:space="preserve"> NRG</w:t>
      </w:r>
      <w:r w:rsidR="001075A3">
        <w:t xml:space="preserve"> marketers </w:t>
      </w:r>
      <w:r w:rsidR="006A729B">
        <w:t>argue</w:t>
      </w:r>
      <w:r w:rsidR="001075A3">
        <w:t xml:space="preserve"> </w:t>
      </w:r>
      <w:r w:rsidR="00E51868">
        <w:t xml:space="preserve">in their briefs </w:t>
      </w:r>
      <w:r w:rsidR="001075A3">
        <w:t>that</w:t>
      </w:r>
      <w:r w:rsidR="00BE59A7">
        <w:t xml:space="preserve"> the</w:t>
      </w:r>
      <w:r w:rsidR="001075A3">
        <w:t xml:space="preserve"> Decarbon Ohio Program </w:t>
      </w:r>
      <w:r w:rsidR="008B0514">
        <w:t xml:space="preserve">in the Settlement </w:t>
      </w:r>
      <w:r w:rsidR="00F542F1">
        <w:t xml:space="preserve">is necessary to address environmental concerns and consumers’ desire </w:t>
      </w:r>
      <w:r w:rsidR="0046648B">
        <w:t>for carbon offset products.</w:t>
      </w:r>
      <w:r>
        <w:rPr>
          <w:rStyle w:val="FootnoteReference"/>
        </w:rPr>
        <w:footnoteReference w:id="6"/>
      </w:r>
      <w:r w:rsidR="0046648B">
        <w:t xml:space="preserve"> </w:t>
      </w:r>
      <w:r w:rsidR="008B0514">
        <w:t>It is not</w:t>
      </w:r>
      <w:r w:rsidR="00EF713A">
        <w:t>.</w:t>
      </w:r>
      <w:r w:rsidR="00BE59A7">
        <w:t xml:space="preserve"> </w:t>
      </w:r>
      <w:r w:rsidR="008B0514">
        <w:t>To the contrary, c</w:t>
      </w:r>
      <w:r w:rsidR="00233CB6">
        <w:t>onsumers already have access to competitive carbon offset products</w:t>
      </w:r>
      <w:r w:rsidR="00A34751">
        <w:t xml:space="preserve"> without monopoly Dominion’s involvement</w:t>
      </w:r>
      <w:r w:rsidR="00233CB6">
        <w:t xml:space="preserve">, </w:t>
      </w:r>
      <w:r w:rsidR="002E6348">
        <w:t>regardless of whether the PUCO approves the Settlement.</w:t>
      </w:r>
      <w:r w:rsidR="001F1349">
        <w:t xml:space="preserve"> </w:t>
      </w:r>
    </w:p>
    <w:p w:rsidR="00306B70" w:rsidP="00233CB6" w14:paraId="01BE9A06" w14:textId="35D0C93E">
      <w:pPr>
        <w:pStyle w:val="BodyTextIndent3"/>
        <w:widowControl w:val="0"/>
        <w:spacing w:line="480" w:lineRule="auto"/>
        <w:ind w:right="-317"/>
      </w:pPr>
      <w:r>
        <w:t>Dominion</w:t>
      </w:r>
      <w:r w:rsidR="00233CB6">
        <w:t xml:space="preserve"> concedes that</w:t>
      </w:r>
      <w:r>
        <w:t xml:space="preserve"> </w:t>
      </w:r>
      <w:r w:rsidR="000D049B">
        <w:t>there is already a “robust competitive supply market</w:t>
      </w:r>
      <w:r w:rsidR="005D43EB">
        <w:t>.</w:t>
      </w:r>
      <w:r w:rsidR="000D049B">
        <w:t>”</w:t>
      </w:r>
      <w:r>
        <w:rPr>
          <w:rStyle w:val="FootnoteReference"/>
        </w:rPr>
        <w:footnoteReference w:id="7"/>
      </w:r>
      <w:r w:rsidR="000D049B">
        <w:t xml:space="preserve"> </w:t>
      </w:r>
      <w:r w:rsidR="004D125B">
        <w:t xml:space="preserve">More specifically, </w:t>
      </w:r>
      <w:r w:rsidR="005D43EB">
        <w:t>Dominion states that it “</w:t>
      </w:r>
      <w:r w:rsidRPr="00AA59CB" w:rsidR="005D43EB">
        <w:rPr>
          <w:b/>
          <w:bCs/>
          <w:i/>
          <w:iCs/>
        </w:rPr>
        <w:t xml:space="preserve">recognizes that </w:t>
      </w:r>
      <w:r w:rsidRPr="00AA59CB" w:rsidR="00AA59CB">
        <w:rPr>
          <w:b/>
          <w:bCs/>
          <w:i/>
          <w:iCs/>
        </w:rPr>
        <w:t>there is an existing competitive supply market for carbon offsets</w:t>
      </w:r>
      <w:r w:rsidR="00233CB6">
        <w:rPr>
          <w:b/>
          <w:bCs/>
          <w:i/>
          <w:iCs/>
        </w:rPr>
        <w:t xml:space="preserve"> </w:t>
      </w:r>
      <w:r w:rsidR="002E6348">
        <w:t>and seeks only to facilitate customer evaluation of different suppliers and supplier offerings, giving them the tools they need to choose the one that is right for them.”</w:t>
      </w:r>
      <w:r>
        <w:rPr>
          <w:rStyle w:val="FootnoteReference"/>
        </w:rPr>
        <w:footnoteReference w:id="8"/>
      </w:r>
      <w:r w:rsidR="00233CB6">
        <w:t xml:space="preserve"> </w:t>
      </w:r>
      <w:r w:rsidR="00E51868">
        <w:t xml:space="preserve">Dominion’s statements </w:t>
      </w:r>
      <w:r w:rsidR="004D125B">
        <w:t>corroborate</w:t>
      </w:r>
      <w:r w:rsidR="00DA47AD">
        <w:t xml:space="preserve"> OCC witness Andrew Tinkham</w:t>
      </w:r>
      <w:r w:rsidR="00E51868">
        <w:t>’s testimony that</w:t>
      </w:r>
      <w:r w:rsidR="00DA47AD">
        <w:t xml:space="preserve"> numerous marketers (including IGS, Tomorrow Energy, and CleanSky Energy) </w:t>
      </w:r>
      <w:r w:rsidR="002F7C81">
        <w:t xml:space="preserve">already </w:t>
      </w:r>
      <w:r w:rsidR="00DA47AD">
        <w:t>offer</w:t>
      </w:r>
      <w:r w:rsidR="00E51868">
        <w:t xml:space="preserve"> competitive</w:t>
      </w:r>
      <w:r w:rsidR="00DA47AD">
        <w:t xml:space="preserve"> carbon offset rates</w:t>
      </w:r>
      <w:r w:rsidR="002F7C81">
        <w:t xml:space="preserve"> in Ohio</w:t>
      </w:r>
      <w:r w:rsidR="001B1C13">
        <w:t>. Those offers</w:t>
      </w:r>
      <w:r w:rsidR="004D125B">
        <w:t xml:space="preserve"> are</w:t>
      </w:r>
      <w:r w:rsidR="00DA47AD">
        <w:t xml:space="preserve"> on the PUCO</w:t>
      </w:r>
      <w:r w:rsidR="001B1C13">
        <w:t>’s</w:t>
      </w:r>
      <w:r w:rsidR="00DA47AD">
        <w:t xml:space="preserve"> Apples to Apples website.</w:t>
      </w:r>
      <w:r>
        <w:rPr>
          <w:rStyle w:val="FootnoteReference"/>
        </w:rPr>
        <w:footnoteReference w:id="9"/>
      </w:r>
      <w:r w:rsidR="00DA47AD">
        <w:t xml:space="preserve"> Thus, </w:t>
      </w:r>
      <w:r w:rsidR="00E51868">
        <w:t xml:space="preserve">the PUCO should summarily reject </w:t>
      </w:r>
      <w:r w:rsidR="00DA47AD">
        <w:t xml:space="preserve">claims </w:t>
      </w:r>
      <w:r w:rsidR="00E51868">
        <w:t>by</w:t>
      </w:r>
      <w:r w:rsidR="00DA47AD">
        <w:t xml:space="preserve"> Dominion, RESA, and the NRG marketers</w:t>
      </w:r>
      <w:r w:rsidR="00E51868">
        <w:t xml:space="preserve"> that</w:t>
      </w:r>
      <w:r w:rsidR="00DA47AD">
        <w:t xml:space="preserve"> the Settlement </w:t>
      </w:r>
      <w:r>
        <w:t xml:space="preserve">is </w:t>
      </w:r>
      <w:r w:rsidR="00E51868">
        <w:t xml:space="preserve">needed </w:t>
      </w:r>
      <w:r w:rsidR="002F7C81">
        <w:t>for</w:t>
      </w:r>
      <w:r w:rsidR="00E51868">
        <w:t xml:space="preserve"> consumers</w:t>
      </w:r>
      <w:r>
        <w:t xml:space="preserve"> </w:t>
      </w:r>
      <w:r w:rsidR="002F7C81">
        <w:t xml:space="preserve">to </w:t>
      </w:r>
      <w:r>
        <w:t xml:space="preserve">access competitive carbon offset products. </w:t>
      </w:r>
    </w:p>
    <w:p w:rsidR="000E07DF" w:rsidP="00E51868" w14:paraId="647FDEAB" w14:textId="77777777">
      <w:pPr>
        <w:pStyle w:val="BodyTextIndent3"/>
        <w:widowControl w:val="0"/>
        <w:spacing w:line="480" w:lineRule="auto"/>
        <w:ind w:right="-317"/>
        <w:rPr>
          <w:i/>
          <w:iCs/>
        </w:rPr>
      </w:pPr>
      <w:r>
        <w:t xml:space="preserve">The </w:t>
      </w:r>
      <w:r w:rsidR="00F0287C">
        <w:t xml:space="preserve">stated </w:t>
      </w:r>
      <w:r>
        <w:t>purpose</w:t>
      </w:r>
      <w:r w:rsidR="00364374">
        <w:t xml:space="preserve"> of the </w:t>
      </w:r>
      <w:r w:rsidR="00A01D9E">
        <w:t xml:space="preserve">Decarbon Ohio </w:t>
      </w:r>
      <w:r w:rsidR="00672540">
        <w:t>p</w:t>
      </w:r>
      <w:r w:rsidR="00A01D9E">
        <w:t>rogram in the Settlement is</w:t>
      </w:r>
      <w:r w:rsidR="006F7808">
        <w:t xml:space="preserve"> to </w:t>
      </w:r>
      <w:r>
        <w:t xml:space="preserve">“educate” consumers by </w:t>
      </w:r>
      <w:r w:rsidR="006F7808">
        <w:t>promot</w:t>
      </w:r>
      <w:r>
        <w:t xml:space="preserve">ing </w:t>
      </w:r>
      <w:r w:rsidR="00DE3FC1">
        <w:t xml:space="preserve">and verifying </w:t>
      </w:r>
      <w:r>
        <w:t>the</w:t>
      </w:r>
      <w:r w:rsidR="00364374">
        <w:t xml:space="preserve"> carbon offset offers </w:t>
      </w:r>
      <w:r>
        <w:t xml:space="preserve">of natural gas marketers that </w:t>
      </w:r>
      <w:r w:rsidRPr="00E51868">
        <w:rPr>
          <w:i/>
          <w:iCs/>
        </w:rPr>
        <w:t>participate</w:t>
      </w:r>
      <w:r>
        <w:t xml:space="preserve"> in the program</w:t>
      </w:r>
      <w:r w:rsidR="006F7808">
        <w:t>.</w:t>
      </w:r>
      <w:r>
        <w:rPr>
          <w:rStyle w:val="FootnoteReference"/>
        </w:rPr>
        <w:footnoteReference w:id="10"/>
      </w:r>
      <w:r w:rsidR="006F7808">
        <w:t xml:space="preserve"> </w:t>
      </w:r>
      <w:r w:rsidR="00DE3FC1">
        <w:t xml:space="preserve">However, </w:t>
      </w:r>
      <w:r w:rsidR="00233CB6">
        <w:t xml:space="preserve">Dominion </w:t>
      </w:r>
      <w:r w:rsidR="00DE3FC1">
        <w:t>will not</w:t>
      </w:r>
      <w:r w:rsidR="00364374">
        <w:t xml:space="preserve"> educate</w:t>
      </w:r>
      <w:r w:rsidR="00233CB6">
        <w:t xml:space="preserve"> </w:t>
      </w:r>
      <w:r w:rsidR="00364374">
        <w:t xml:space="preserve">consumers about </w:t>
      </w:r>
      <w:r w:rsidR="00233CB6">
        <w:rPr>
          <w:i/>
          <w:iCs/>
        </w:rPr>
        <w:t xml:space="preserve">all </w:t>
      </w:r>
    </w:p>
    <w:p w:rsidR="000E07DF" w14:paraId="20C302A7" w14:textId="77777777">
      <w:pPr>
        <w:rPr>
          <w:i/>
          <w:iCs/>
        </w:rPr>
      </w:pPr>
      <w:r>
        <w:rPr>
          <w:i/>
          <w:iCs/>
        </w:rPr>
        <w:br w:type="page"/>
      </w:r>
    </w:p>
    <w:p w:rsidR="00375CA1" w:rsidP="000E07DF" w14:paraId="4CC50D7C" w14:textId="188E28E1">
      <w:pPr>
        <w:pStyle w:val="BodyTextIndent3"/>
        <w:widowControl w:val="0"/>
        <w:spacing w:line="480" w:lineRule="auto"/>
        <w:ind w:right="-317" w:firstLine="0"/>
      </w:pPr>
      <w:r>
        <w:t xml:space="preserve">carbon offset </w:t>
      </w:r>
      <w:r w:rsidR="00233CB6">
        <w:t>products</w:t>
      </w:r>
      <w:r>
        <w:t xml:space="preserve"> offered</w:t>
      </w:r>
      <w:r w:rsidR="009F5BEB">
        <w:t xml:space="preserve"> in Ohio</w:t>
      </w:r>
      <w:r w:rsidR="00233CB6">
        <w:t xml:space="preserve">. </w:t>
      </w:r>
      <w:r w:rsidR="00111686">
        <w:t>The Decarbon Ohio Program will only promote and verify for consumers the carbon offset products of</w:t>
      </w:r>
      <w:r>
        <w:t xml:space="preserve"> </w:t>
      </w:r>
      <w:r w:rsidR="00111686">
        <w:t xml:space="preserve">marketers that participate in the program. </w:t>
      </w:r>
    </w:p>
    <w:p w:rsidR="00A01D9E" w:rsidRPr="00233CB6" w:rsidP="00E51868" w14:paraId="5647EB97" w14:textId="65A6F097">
      <w:pPr>
        <w:pStyle w:val="BodyTextIndent3"/>
        <w:widowControl w:val="0"/>
        <w:spacing w:line="480" w:lineRule="auto"/>
        <w:ind w:right="-317"/>
      </w:pPr>
      <w:r>
        <w:t xml:space="preserve">Dominion witness </w:t>
      </w:r>
      <w:r w:rsidR="009F5BEB">
        <w:t xml:space="preserve">Ella </w:t>
      </w:r>
      <w:r>
        <w:t>Ho</w:t>
      </w:r>
      <w:r w:rsidR="009F5BEB">
        <w:t>chstetler testified that the purpose of the program is to enable consumers “to identify participating suppliers” and to “increase awareness” of the offerings of “participating suppliers.”</w:t>
      </w:r>
      <w:r>
        <w:rPr>
          <w:rStyle w:val="FootnoteReference"/>
        </w:rPr>
        <w:footnoteReference w:id="11"/>
      </w:r>
      <w:r w:rsidR="009F5BEB">
        <w:t xml:space="preserve"> The NRG marketers </w:t>
      </w:r>
      <w:r w:rsidR="006F7808">
        <w:t xml:space="preserve">state that “the Program would provide </w:t>
      </w:r>
      <w:r w:rsidRPr="006F7808" w:rsidR="006F7808">
        <w:rPr>
          <w:b/>
          <w:bCs/>
          <w:i/>
          <w:iCs/>
        </w:rPr>
        <w:t>enhanced visibility</w:t>
      </w:r>
      <w:r w:rsidRPr="00022334" w:rsidR="006F7808">
        <w:rPr>
          <w:b/>
          <w:bCs/>
          <w:i/>
          <w:iCs/>
        </w:rPr>
        <w:t xml:space="preserve"> </w:t>
      </w:r>
      <w:r w:rsidRPr="002F7C81" w:rsidR="006F7808">
        <w:t>of participating supplier offerings</w:t>
      </w:r>
      <w:r w:rsidRPr="00375CA1" w:rsidR="006F7808">
        <w:t xml:space="preserve"> with carbon offsets</w:t>
      </w:r>
      <w:r w:rsidR="006F7808">
        <w:t xml:space="preserve"> and customer education through a coordinated approach by the utility and </w:t>
      </w:r>
      <w:r w:rsidRPr="00375CA1" w:rsidR="006F7808">
        <w:t>participating suppliers</w:t>
      </w:r>
      <w:r w:rsidR="006F7808">
        <w:t>.”</w:t>
      </w:r>
      <w:r>
        <w:rPr>
          <w:rStyle w:val="FootnoteReference"/>
        </w:rPr>
        <w:footnoteReference w:id="12"/>
      </w:r>
      <w:r w:rsidR="009F5BEB">
        <w:t xml:space="preserve"> </w:t>
      </w:r>
      <w:r w:rsidR="00375CA1">
        <w:t xml:space="preserve">RESA claims that the Decarbon Ohio Program “will not establish Dominion as a promoter of </w:t>
      </w:r>
      <w:r w:rsidR="00F77BAC">
        <w:t>specific suppliers or as an advertiser of specific offers</w:t>
      </w:r>
      <w:r w:rsidR="00F0287C">
        <w:t>.</w:t>
      </w:r>
      <w:r w:rsidR="00F77BAC">
        <w:t>”</w:t>
      </w:r>
      <w:r>
        <w:rPr>
          <w:rStyle w:val="FootnoteReference"/>
        </w:rPr>
        <w:footnoteReference w:id="13"/>
      </w:r>
      <w:r w:rsidR="00F77BAC">
        <w:t xml:space="preserve"> </w:t>
      </w:r>
      <w:r w:rsidR="00F0287C">
        <w:t>B</w:t>
      </w:r>
      <w:r w:rsidR="00F77BAC">
        <w:t xml:space="preserve">ut </w:t>
      </w:r>
      <w:r w:rsidR="002F7C81">
        <w:t xml:space="preserve">the testimony of </w:t>
      </w:r>
      <w:r w:rsidR="00F77BAC">
        <w:t>Dominion</w:t>
      </w:r>
      <w:r w:rsidR="00022334">
        <w:t xml:space="preserve">’s </w:t>
      </w:r>
      <w:r w:rsidR="002F7C81">
        <w:t>own witness</w:t>
      </w:r>
      <w:r w:rsidR="00022334">
        <w:t xml:space="preserve"> </w:t>
      </w:r>
      <w:r w:rsidR="00F77BAC">
        <w:t>and</w:t>
      </w:r>
      <w:r w:rsidR="002F7C81">
        <w:t xml:space="preserve"> the</w:t>
      </w:r>
      <w:r w:rsidR="00F77BAC">
        <w:t xml:space="preserve"> NRG marketers</w:t>
      </w:r>
      <w:r w:rsidR="00022334">
        <w:t xml:space="preserve">’ brief </w:t>
      </w:r>
      <w:r w:rsidR="007F20AB">
        <w:t>demonstrate</w:t>
      </w:r>
      <w:r w:rsidR="00022334">
        <w:t xml:space="preserve"> the opposite.</w:t>
      </w:r>
    </w:p>
    <w:p w:rsidR="0091464A" w:rsidP="0091464A" w14:paraId="0B8BC263" w14:textId="0A86AAE6">
      <w:pPr>
        <w:spacing w:line="480" w:lineRule="auto"/>
        <w:ind w:firstLine="720"/>
      </w:pPr>
      <w:r>
        <w:t xml:space="preserve">The program’s promotion of participating marketer offers would harm consumers in several ways. </w:t>
      </w:r>
      <w:r w:rsidR="000E2627">
        <w:t>A</w:t>
      </w:r>
      <w:r>
        <w:t>s OCC explained in its brief,</w:t>
      </w:r>
      <w:r w:rsidR="000E2627">
        <w:t xml:space="preserve"> marketers that participate in the program are allowed to use a “Decarbon Ohio” trademark at no cost for marketing service to consumers.</w:t>
      </w:r>
      <w:r>
        <w:rPr>
          <w:rStyle w:val="FootnoteReference"/>
        </w:rPr>
        <w:footnoteReference w:id="14"/>
      </w:r>
      <w:r w:rsidR="000E2627">
        <w:t xml:space="preserve"> This would provide a marketer participating in the program with an inappropriate competitive edge</w:t>
      </w:r>
      <w:r w:rsidR="001A2CAF">
        <w:t>, under the auspices of a utility monopoly and approval by state government (PUCO),</w:t>
      </w:r>
      <w:r w:rsidR="000E2627">
        <w:t xml:space="preserve"> over a non-participating marketer.</w:t>
      </w:r>
      <w:r>
        <w:rPr>
          <w:rStyle w:val="FootnoteReference"/>
        </w:rPr>
        <w:footnoteReference w:id="15"/>
      </w:r>
      <w:r w:rsidR="00752C80">
        <w:t xml:space="preserve"> </w:t>
      </w:r>
      <w:r>
        <w:t>OCC witness Tinkham testified that this aspect of the Decarbon Ohio Program is contrary to Dominion’s Standards of Conduct language in its tariff</w:t>
      </w:r>
      <w:r w:rsidR="001A2CAF">
        <w:t xml:space="preserve">. The tariff </w:t>
      </w:r>
      <w:r>
        <w:t>prohibits Dominion from providing any marketer preference over any other marketer.</w:t>
      </w:r>
      <w:r>
        <w:rPr>
          <w:rStyle w:val="FootnoteReference"/>
        </w:rPr>
        <w:footnoteReference w:id="16"/>
      </w:r>
    </w:p>
    <w:p w:rsidR="003F4B0B" w:rsidP="00752C80" w14:paraId="1F8CC135" w14:textId="5749F80A">
      <w:pPr>
        <w:pStyle w:val="BodyTextIndent3"/>
        <w:widowControl w:val="0"/>
        <w:spacing w:line="480" w:lineRule="auto"/>
        <w:ind w:right="-317"/>
      </w:pPr>
      <w:r>
        <w:t xml:space="preserve">In addition, because participating marketers will be promoted by Dominion, consumers may view participating marketers more favorably than non-participating marketers. This creates an uneven playing field for marketers, which ultimately harms consumers. </w:t>
      </w:r>
      <w:r w:rsidR="00B8404D">
        <w:t>T</w:t>
      </w:r>
      <w:r w:rsidRPr="00C15E2C" w:rsidR="00B8404D">
        <w:t>hrough marketing or visiting the Dominion website, consumers might not realize there are other options</w:t>
      </w:r>
      <w:r w:rsidR="00B8404D">
        <w:t xml:space="preserve"> to secure natural gas related to carbon offsets outside of the Decarbon Ohio Program.</w:t>
      </w:r>
      <w:r w:rsidR="001A2CAF">
        <w:t xml:space="preserve"> And consumer confusion would be promoted by what will appear to be monopoly Dominion’s seal of approval.</w:t>
      </w:r>
      <w:r w:rsidR="000E07DF">
        <w:t xml:space="preserve"> </w:t>
      </w:r>
      <w:r w:rsidR="001A2CAF">
        <w:t>Such results are</w:t>
      </w:r>
      <w:r w:rsidRPr="00C15E2C" w:rsidR="00B8404D">
        <w:t xml:space="preserve"> unfair </w:t>
      </w:r>
      <w:r w:rsidR="001A2CAF">
        <w:t xml:space="preserve">to </w:t>
      </w:r>
      <w:r w:rsidR="00B8404D">
        <w:t>consumer</w:t>
      </w:r>
      <w:r w:rsidR="001A2CAF">
        <w:t>s in what should be a competitive market without intrusion by the monopoly utility</w:t>
      </w:r>
      <w:r w:rsidRPr="00C15E2C" w:rsidR="00B8404D">
        <w:t>.</w:t>
      </w:r>
    </w:p>
    <w:p w:rsidR="00886031" w:rsidP="003F4B0B" w14:paraId="40A8194C" w14:textId="0FDF44F3">
      <w:pPr>
        <w:pStyle w:val="BodyTextIndent3"/>
        <w:widowControl w:val="0"/>
        <w:spacing w:line="480" w:lineRule="auto"/>
        <w:ind w:right="-317"/>
        <w:rPr>
          <w:szCs w:val="24"/>
        </w:rPr>
      </w:pPr>
      <w:r>
        <w:t>Similarly, a</w:t>
      </w:r>
      <w:r w:rsidR="0091464A">
        <w:t xml:space="preserve"> p</w:t>
      </w:r>
      <w:r w:rsidR="00752C80">
        <w:t>articipating marketer</w:t>
      </w:r>
      <w:r w:rsidR="0091464A">
        <w:t xml:space="preserve"> that is</w:t>
      </w:r>
      <w:r w:rsidR="00752C80">
        <w:t xml:space="preserve"> allowed to use the “Decarbon Ohio” trademark may be perceived by consumers to be more worthy</w:t>
      </w:r>
      <w:r w:rsidR="0091464A">
        <w:t>, as the</w:t>
      </w:r>
      <w:r w:rsidR="00752C80">
        <w:t xml:space="preserve"> use of the state’s name in the trademark </w:t>
      </w:r>
      <w:r w:rsidR="0091464A">
        <w:t xml:space="preserve">implies </w:t>
      </w:r>
      <w:r w:rsidR="00752C80">
        <w:t xml:space="preserve">legitimacy in a participating marketer’s carbon offset product. </w:t>
      </w:r>
      <w:r>
        <w:t>This</w:t>
      </w:r>
      <w:r w:rsidR="00B8404D">
        <w:t xml:space="preserve"> perceived legitimacy</w:t>
      </w:r>
      <w:r>
        <w:t xml:space="preserve"> could enable participating marketers to</w:t>
      </w:r>
      <w:r>
        <w:rPr>
          <w:szCs w:val="24"/>
        </w:rPr>
        <w:t xml:space="preserve"> sell carbon offset products that may not be as “green” as advertised</w:t>
      </w:r>
      <w:r w:rsidR="00BC68E5">
        <w:rPr>
          <w:szCs w:val="24"/>
        </w:rPr>
        <w:t xml:space="preserve"> or to take advantage of consumers by attaching too-high prices to </w:t>
      </w:r>
      <w:r w:rsidR="002D42F3">
        <w:rPr>
          <w:szCs w:val="24"/>
        </w:rPr>
        <w:t xml:space="preserve">a perceived </w:t>
      </w:r>
      <w:r w:rsidR="00BC68E5">
        <w:rPr>
          <w:szCs w:val="24"/>
        </w:rPr>
        <w:t>Dominion-</w:t>
      </w:r>
      <w:r w:rsidR="002D42F3">
        <w:rPr>
          <w:szCs w:val="24"/>
        </w:rPr>
        <w:t>endorsed</w:t>
      </w:r>
      <w:r w:rsidR="00BC68E5">
        <w:rPr>
          <w:szCs w:val="24"/>
        </w:rPr>
        <w:t xml:space="preserve"> product</w:t>
      </w:r>
      <w:r>
        <w:rPr>
          <w:szCs w:val="24"/>
        </w:rPr>
        <w:t xml:space="preserve">. </w:t>
      </w:r>
    </w:p>
    <w:p w:rsidR="006375FD" w:rsidP="003F4B0B" w14:paraId="515AFEE5" w14:textId="171FDA12">
      <w:pPr>
        <w:pStyle w:val="BodyTextIndent3"/>
        <w:widowControl w:val="0"/>
        <w:spacing w:line="480" w:lineRule="auto"/>
        <w:ind w:right="-317"/>
      </w:pPr>
      <w:r>
        <w:rPr>
          <w:szCs w:val="24"/>
        </w:rPr>
        <w:t>OCC witness Tinkham testified that</w:t>
      </w:r>
      <w:r w:rsidR="00B8404D">
        <w:rPr>
          <w:szCs w:val="24"/>
        </w:rPr>
        <w:t xml:space="preserve"> this is known as “greenwashing.”</w:t>
      </w:r>
      <w:r>
        <w:rPr>
          <w:rStyle w:val="FootnoteReference"/>
          <w:szCs w:val="24"/>
        </w:rPr>
        <w:footnoteReference w:id="17"/>
      </w:r>
      <w:r w:rsidR="00886031">
        <w:rPr>
          <w:szCs w:val="24"/>
        </w:rPr>
        <w:t xml:space="preserve"> The Federal Trade Commission (“FTC”) has carbon offset rules to protect consumers from false carbon offset marketing.</w:t>
      </w:r>
      <w:r>
        <w:rPr>
          <w:rStyle w:val="FootnoteReference"/>
          <w:szCs w:val="24"/>
        </w:rPr>
        <w:footnoteReference w:id="18"/>
      </w:r>
      <w:r w:rsidR="00886031">
        <w:rPr>
          <w:szCs w:val="24"/>
        </w:rPr>
        <w:t xml:space="preserve"> </w:t>
      </w:r>
      <w:r w:rsidR="00886031">
        <w:t xml:space="preserve">However, public utilities and energy marketers offering so-called green services through carbon offsets (such as in Dominion’s program) would likely claim that they are not specifically subject to the FTC’s carbon offset rules. Nothing in the Settlement protects consumers from potential greenwashing by marketers participating in Decarbon Ohio program. </w:t>
      </w:r>
      <w:r w:rsidR="002D42F3">
        <w:t xml:space="preserve">Indeed, the program can enable greenwashing, against the public interest. </w:t>
      </w:r>
      <w:r w:rsidR="00886031">
        <w:t>Accordingly, the Settlement should be rejected.</w:t>
      </w:r>
    </w:p>
    <w:p w:rsidR="006613A2" w:rsidP="006E5AC6" w14:paraId="19756651" w14:textId="4ED689BB">
      <w:pPr>
        <w:pStyle w:val="Heading2"/>
        <w:numPr>
          <w:ilvl w:val="0"/>
          <w:numId w:val="25"/>
        </w:numPr>
        <w:ind w:left="1440" w:hanging="720"/>
      </w:pPr>
      <w:r>
        <w:rPr>
          <w:bCs/>
        </w:rPr>
        <w:t xml:space="preserve">The Settlement violates Ohio law and regulatory policy. </w:t>
      </w:r>
      <w:r w:rsidR="008B0514">
        <w:rPr>
          <w:bCs/>
        </w:rPr>
        <w:t xml:space="preserve">The PUCO should reject </w:t>
      </w:r>
      <w:r w:rsidR="00B8404D">
        <w:rPr>
          <w:bCs/>
        </w:rPr>
        <w:t xml:space="preserve">Dominion’s, RESA’s, and the NRG marketers’ claims </w:t>
      </w:r>
      <w:r>
        <w:rPr>
          <w:bCs/>
        </w:rPr>
        <w:t>to the contrary</w:t>
      </w:r>
      <w:r w:rsidR="008B0514">
        <w:rPr>
          <w:bCs/>
        </w:rPr>
        <w:t>.</w:t>
      </w:r>
    </w:p>
    <w:p w:rsidR="00341992" w:rsidP="004A421C" w14:paraId="4174DD4D" w14:textId="5C3C16DD">
      <w:pPr>
        <w:spacing w:line="480" w:lineRule="auto"/>
        <w:ind w:firstLine="720"/>
        <w:rPr>
          <w:szCs w:val="24"/>
        </w:rPr>
      </w:pPr>
      <w:r>
        <w:rPr>
          <w:szCs w:val="24"/>
        </w:rPr>
        <w:t>Dominion, RESA, and the NRG marketers all argue that the Settlement is consistent with regulatory policy in Ohio.</w:t>
      </w:r>
      <w:r>
        <w:rPr>
          <w:rStyle w:val="FootnoteReference"/>
          <w:szCs w:val="24"/>
        </w:rPr>
        <w:footnoteReference w:id="19"/>
      </w:r>
      <w:r>
        <w:rPr>
          <w:szCs w:val="24"/>
        </w:rPr>
        <w:t xml:space="preserve"> That is incorrect. The PUCO should reject the Settlement.</w:t>
      </w:r>
    </w:p>
    <w:p w:rsidR="00582C1B" w:rsidP="00CF225A" w14:paraId="16F19903" w14:textId="6ED36254">
      <w:pPr>
        <w:spacing w:line="480" w:lineRule="auto"/>
        <w:ind w:firstLine="720"/>
      </w:pPr>
      <w:r>
        <w:rPr>
          <w:szCs w:val="24"/>
        </w:rPr>
        <w:t xml:space="preserve">To protect consumers, natural gas marketers should compete on a level playing field. But that </w:t>
      </w:r>
      <w:r w:rsidR="00F21ECF">
        <w:rPr>
          <w:szCs w:val="24"/>
        </w:rPr>
        <w:t xml:space="preserve">will not </w:t>
      </w:r>
      <w:r>
        <w:rPr>
          <w:szCs w:val="24"/>
        </w:rPr>
        <w:t>happen if the PUCO approves the Settlemen</w:t>
      </w:r>
      <w:r w:rsidR="00FB699C">
        <w:rPr>
          <w:szCs w:val="24"/>
        </w:rPr>
        <w:t>t</w:t>
      </w:r>
      <w:r w:rsidR="00337CAC">
        <w:rPr>
          <w:szCs w:val="24"/>
        </w:rPr>
        <w:t>.</w:t>
      </w:r>
      <w:r w:rsidR="00FB699C">
        <w:rPr>
          <w:szCs w:val="24"/>
        </w:rPr>
        <w:t xml:space="preserve"> </w:t>
      </w:r>
      <w:r w:rsidR="00337CAC">
        <w:rPr>
          <w:szCs w:val="24"/>
        </w:rPr>
        <w:t>T</w:t>
      </w:r>
      <w:r w:rsidR="00FB699C">
        <w:rPr>
          <w:szCs w:val="24"/>
        </w:rPr>
        <w:t>he</w:t>
      </w:r>
      <w:r w:rsidR="00F21ECF">
        <w:rPr>
          <w:szCs w:val="24"/>
        </w:rPr>
        <w:t xml:space="preserve"> </w:t>
      </w:r>
      <w:r>
        <w:rPr>
          <w:szCs w:val="24"/>
        </w:rPr>
        <w:t>Decarbon Ohio Program</w:t>
      </w:r>
      <w:r w:rsidR="00F21ECF">
        <w:rPr>
          <w:szCs w:val="24"/>
        </w:rPr>
        <w:t xml:space="preserve"> </w:t>
      </w:r>
      <w:r w:rsidR="00CF225A">
        <w:rPr>
          <w:szCs w:val="24"/>
        </w:rPr>
        <w:t>promotes</w:t>
      </w:r>
      <w:r w:rsidR="00F21ECF">
        <w:rPr>
          <w:szCs w:val="24"/>
        </w:rPr>
        <w:t xml:space="preserve"> participating marketers over non-participating marketers</w:t>
      </w:r>
      <w:r>
        <w:rPr>
          <w:szCs w:val="24"/>
        </w:rPr>
        <w:t xml:space="preserve">. </w:t>
      </w:r>
      <w:r>
        <w:t>The Settlement provides advertising benefits to marketers participating in the Decarbon Ohio Program but not to non-participating marketers.</w:t>
      </w:r>
      <w:r>
        <w:rPr>
          <w:rStyle w:val="FootnoteReference"/>
        </w:rPr>
        <w:footnoteReference w:id="20"/>
      </w:r>
      <w:r w:rsidR="00337CAC">
        <w:t xml:space="preserve"> And that comes at the hand of monopoly Dominion that should not have such a role in Ohio’s competitive</w:t>
      </w:r>
      <w:r w:rsidR="00F237A4">
        <w:t xml:space="preserve"> gas</w:t>
      </w:r>
      <w:r w:rsidR="00337CAC">
        <w:t xml:space="preserve"> marketplace.</w:t>
      </w:r>
      <w:r>
        <w:t xml:space="preserve"> </w:t>
      </w:r>
    </w:p>
    <w:p w:rsidR="00E63296" w:rsidRPr="00CF225A" w:rsidP="00CF225A" w14:paraId="2E32E961" w14:textId="29812AAA">
      <w:pPr>
        <w:spacing w:line="480" w:lineRule="auto"/>
        <w:ind w:firstLine="720"/>
        <w:rPr>
          <w:szCs w:val="24"/>
        </w:rPr>
      </w:pPr>
      <w:r>
        <w:t>This</w:t>
      </w:r>
      <w:r w:rsidR="00582C1B">
        <w:t xml:space="preserve"> result</w:t>
      </w:r>
      <w:r>
        <w:t xml:space="preserve"> would </w:t>
      </w:r>
      <w:r w:rsidR="00CF225A">
        <w:t>violate</w:t>
      </w:r>
      <w:r>
        <w:t xml:space="preserve"> R.C. 4905.35(A)</w:t>
      </w:r>
      <w:r w:rsidR="00582C1B">
        <w:t>. This statute</w:t>
      </w:r>
      <w:r>
        <w:t xml:space="preserve"> provides that “</w:t>
      </w:r>
      <w:r w:rsidRPr="00334119">
        <w:t xml:space="preserve">no public utility shall make or give any undue or </w:t>
      </w:r>
      <w:r w:rsidR="0046648B">
        <w:t>un</w:t>
      </w:r>
      <w:r w:rsidRPr="00334119">
        <w:t>reasonable preference or advantage to any person, firm, corporation, or locality, or subject any person, firm, corporation, or locality to any undue or unreasonable prejudice or disadvantage.</w:t>
      </w:r>
      <w:r w:rsidR="00F04F4D">
        <w:t>”</w:t>
      </w:r>
      <w:r>
        <w:rPr>
          <w:i/>
          <w:iCs/>
        </w:rPr>
        <w:t xml:space="preserve"> </w:t>
      </w:r>
    </w:p>
    <w:p w:rsidR="00B17BB7" w:rsidP="00B17BB7" w14:paraId="501D8671" w14:textId="2B3715F5">
      <w:pPr>
        <w:spacing w:line="480" w:lineRule="auto"/>
        <w:ind w:firstLine="720"/>
      </w:pPr>
      <w:r>
        <w:t>Dominion</w:t>
      </w:r>
      <w:r w:rsidR="0086069D">
        <w:t xml:space="preserve"> and</w:t>
      </w:r>
      <w:r>
        <w:t xml:space="preserve"> RESA</w:t>
      </w:r>
      <w:r w:rsidR="0086069D">
        <w:t xml:space="preserve"> argue that the Settlement serves </w:t>
      </w:r>
      <w:r w:rsidR="007727A0">
        <w:t>state polic</w:t>
      </w:r>
      <w:r w:rsidR="0086069D">
        <w:t>ies set forth</w:t>
      </w:r>
      <w:r w:rsidR="007727A0">
        <w:t xml:space="preserve"> in R.C. 4929.02(A)</w:t>
      </w:r>
      <w:r w:rsidR="0086069D">
        <w:t>.</w:t>
      </w:r>
      <w:r>
        <w:rPr>
          <w:rStyle w:val="FootnoteReference"/>
        </w:rPr>
        <w:footnoteReference w:id="21"/>
      </w:r>
      <w:r w:rsidR="0086069D">
        <w:t xml:space="preserve"> It doesn’t. The Settlement does not promote effective competition or more choices for consumers, because the program promotes participating marketers over non-participating marketers. </w:t>
      </w:r>
      <w:r w:rsidR="00D40017">
        <w:t xml:space="preserve">That </w:t>
      </w:r>
      <w:r w:rsidRPr="00D06574" w:rsidR="00F92F39">
        <w:rPr>
          <w:i/>
          <w:iCs/>
        </w:rPr>
        <w:t>prevents</w:t>
      </w:r>
      <w:r w:rsidR="00F92F39">
        <w:t xml:space="preserve"> </w:t>
      </w:r>
      <w:r w:rsidR="00D40017">
        <w:t>effective competition</w:t>
      </w:r>
      <w:r w:rsidR="00D06574">
        <w:t xml:space="preserve"> in violation of R.C. 4929.02(A)(7)</w:t>
      </w:r>
      <w:r w:rsidR="00D40017">
        <w:t xml:space="preserve">. </w:t>
      </w:r>
      <w:r w:rsidR="00F92F39">
        <w:t>Thus,</w:t>
      </w:r>
      <w:r w:rsidR="0086069D">
        <w:t xml:space="preserve"> the Settlement is contrary to R.C. 4929.02(A)(3)</w:t>
      </w:r>
      <w:r w:rsidR="00582C1B">
        <w:t>. This statute</w:t>
      </w:r>
      <w:r w:rsidR="0086069D">
        <w:t xml:space="preserve"> provides that it is the state policy</w:t>
      </w:r>
      <w:r w:rsidR="007727A0">
        <w:t xml:space="preserve"> to “promote diversity of natural gas supplies and suppliers, by giving consumers effective choices over the selection of those supplies and suppliers.”</w:t>
      </w:r>
      <w:r w:rsidR="0086069D">
        <w:t xml:space="preserve"> </w:t>
      </w:r>
    </w:p>
    <w:p w:rsidR="000650EC" w:rsidRPr="00B17BB7" w:rsidP="00D06574" w14:paraId="317E9AAA" w14:textId="2101FECC">
      <w:pPr>
        <w:spacing w:line="480" w:lineRule="auto"/>
        <w:ind w:firstLine="720"/>
      </w:pPr>
      <w:r>
        <w:t>Moreover, promoting marketers participating in the Decarbon Ohio Program over non-participating marketers would be</w:t>
      </w:r>
      <w:r w:rsidR="00E63296">
        <w:t xml:space="preserve"> contrary to Dominion’s standard of conduct in its tariff, as </w:t>
      </w:r>
      <w:r>
        <w:t>noted</w:t>
      </w:r>
      <w:r w:rsidR="00E63296">
        <w:t xml:space="preserve"> above.</w:t>
      </w:r>
      <w:r>
        <w:rPr>
          <w:rStyle w:val="FootnoteReference"/>
        </w:rPr>
        <w:footnoteReference w:id="22"/>
      </w:r>
      <w:r>
        <w:t xml:space="preserve"> </w:t>
      </w:r>
      <w:r w:rsidR="00474F2F">
        <w:t xml:space="preserve">And in doing so, it would violate </w:t>
      </w:r>
      <w:r w:rsidR="00DD339D">
        <w:t>R.C. 4905.30 which requires utilities to abide by their filed and approved</w:t>
      </w:r>
      <w:r w:rsidR="002A1859">
        <w:t xml:space="preserve"> </w:t>
      </w:r>
      <w:r w:rsidR="00DD339D">
        <w:t>tariffs.</w:t>
      </w:r>
      <w:r w:rsidR="002A1859">
        <w:t xml:space="preserve"> </w:t>
      </w:r>
      <w:r>
        <w:t>Accordingly, the Settlement violates the third prong of the PUCO’s three-part settlement test. The PUCO should reject the Settlement.</w:t>
      </w:r>
      <w:r w:rsidR="00B67662">
        <w:t xml:space="preserve"> </w:t>
      </w:r>
    </w:p>
    <w:p w:rsidR="00E24F04" w:rsidRPr="00EB04D1" w:rsidP="00E24F04" w14:paraId="78AE425E" w14:textId="77777777">
      <w:pPr>
        <w:ind w:firstLine="720"/>
        <w:rPr>
          <w:szCs w:val="24"/>
        </w:rPr>
      </w:pPr>
    </w:p>
    <w:p w:rsidR="00154718" w:rsidP="00D06574" w14:paraId="297D7CAC" w14:textId="5A9F0541">
      <w:pPr>
        <w:pStyle w:val="Heading1"/>
      </w:pPr>
      <w:bookmarkStart w:id="1" w:name="_Toc141885132"/>
      <w:r>
        <w:t>III.</w:t>
      </w:r>
      <w:r>
        <w:tab/>
      </w:r>
      <w:r w:rsidRPr="00A22827">
        <w:t>CONCLUSION</w:t>
      </w:r>
      <w:bookmarkEnd w:id="1"/>
    </w:p>
    <w:p w:rsidR="00D06574" w:rsidP="00D06574" w14:paraId="148E2439" w14:textId="73C601EC">
      <w:pPr>
        <w:spacing w:line="480" w:lineRule="auto"/>
        <w:ind w:firstLine="720"/>
        <w:rPr>
          <w:szCs w:val="24"/>
        </w:rPr>
      </w:pPr>
      <w:r>
        <w:rPr>
          <w:szCs w:val="24"/>
        </w:rPr>
        <w:t xml:space="preserve">The Settlement’s Decarbon Ohio </w:t>
      </w:r>
      <w:r w:rsidR="004F17B5">
        <w:rPr>
          <w:szCs w:val="24"/>
        </w:rPr>
        <w:t>program</w:t>
      </w:r>
      <w:r w:rsidRPr="00EB04D1">
        <w:rPr>
          <w:szCs w:val="24"/>
        </w:rPr>
        <w:t xml:space="preserve"> is </w:t>
      </w:r>
      <w:r>
        <w:rPr>
          <w:szCs w:val="24"/>
        </w:rPr>
        <w:t xml:space="preserve">an </w:t>
      </w:r>
      <w:r w:rsidRPr="00EB04D1">
        <w:rPr>
          <w:szCs w:val="24"/>
        </w:rPr>
        <w:t xml:space="preserve">intrusion </w:t>
      </w:r>
      <w:r w:rsidR="004F17B5">
        <w:rPr>
          <w:szCs w:val="24"/>
        </w:rPr>
        <w:t xml:space="preserve">by a monopoly utility (Dominion) </w:t>
      </w:r>
      <w:r w:rsidRPr="00EB04D1">
        <w:rPr>
          <w:szCs w:val="24"/>
        </w:rPr>
        <w:t>into the</w:t>
      </w:r>
      <w:r w:rsidR="004F17B5">
        <w:rPr>
          <w:szCs w:val="24"/>
        </w:rPr>
        <w:t xml:space="preserve"> competitive natural gas supply</w:t>
      </w:r>
      <w:r w:rsidRPr="00EB04D1">
        <w:rPr>
          <w:szCs w:val="24"/>
        </w:rPr>
        <w:t xml:space="preserve"> market that </w:t>
      </w:r>
      <w:r>
        <w:rPr>
          <w:szCs w:val="24"/>
        </w:rPr>
        <w:t>could ultimately harm consumers.</w:t>
      </w:r>
      <w:r w:rsidR="004F17B5">
        <w:rPr>
          <w:szCs w:val="24"/>
        </w:rPr>
        <w:t xml:space="preserve"> And (as Dominion concedes) the program is unnecessary to provide consumers with competitive carbon offset products.</w:t>
      </w:r>
      <w:r>
        <w:rPr>
          <w:szCs w:val="24"/>
        </w:rPr>
        <w:t xml:space="preserve"> Under Ohio’s structure for energy supply,</w:t>
      </w:r>
      <w:r w:rsidR="004F17B5">
        <w:rPr>
          <w:szCs w:val="24"/>
        </w:rPr>
        <w:t xml:space="preserve"> the</w:t>
      </w:r>
      <w:r>
        <w:rPr>
          <w:szCs w:val="24"/>
        </w:rPr>
        <w:t xml:space="preserve"> marketers </w:t>
      </w:r>
      <w:r w:rsidR="004F17B5">
        <w:rPr>
          <w:szCs w:val="24"/>
        </w:rPr>
        <w:t xml:space="preserve">– not Dominion – </w:t>
      </w:r>
      <w:r>
        <w:rPr>
          <w:szCs w:val="24"/>
        </w:rPr>
        <w:t>should</w:t>
      </w:r>
      <w:r w:rsidR="004F17B5">
        <w:rPr>
          <w:szCs w:val="24"/>
        </w:rPr>
        <w:t xml:space="preserve"> be the ones to</w:t>
      </w:r>
      <w:r>
        <w:rPr>
          <w:szCs w:val="24"/>
        </w:rPr>
        <w:t xml:space="preserve"> respond in the competitive market to consumers who want greener energy and carbon offsets.</w:t>
      </w:r>
      <w:r w:rsidR="004F17B5">
        <w:rPr>
          <w:szCs w:val="24"/>
        </w:rPr>
        <w:t xml:space="preserve"> Dominion should not be allowed to promote some natural gas marketers over others. </w:t>
      </w:r>
    </w:p>
    <w:p w:rsidR="004C5091" w:rsidP="004F17B5" w14:paraId="2AC51D41" w14:textId="538B736B">
      <w:pPr>
        <w:spacing w:line="480" w:lineRule="auto"/>
        <w:ind w:firstLine="720"/>
        <w:rPr>
          <w:szCs w:val="24"/>
        </w:rPr>
      </w:pPr>
      <w:r w:rsidRPr="00EB04D1">
        <w:rPr>
          <w:szCs w:val="24"/>
        </w:rPr>
        <w:t>The PUCO should protect consumers and reject</w:t>
      </w:r>
      <w:r>
        <w:rPr>
          <w:szCs w:val="24"/>
        </w:rPr>
        <w:t xml:space="preserve"> the Settlement </w:t>
      </w:r>
      <w:r w:rsidR="006C0C25">
        <w:rPr>
          <w:szCs w:val="24"/>
        </w:rPr>
        <w:t>for the</w:t>
      </w:r>
      <w:r>
        <w:rPr>
          <w:szCs w:val="24"/>
        </w:rPr>
        <w:t xml:space="preserve"> Decarbon Ohio Program</w:t>
      </w:r>
      <w:r w:rsidRPr="00EB04D1">
        <w:rPr>
          <w:szCs w:val="24"/>
        </w:rPr>
        <w:t>.</w:t>
      </w:r>
      <w:r>
        <w:rPr>
          <w:szCs w:val="24"/>
        </w:rPr>
        <w:t xml:space="preserve"> </w:t>
      </w:r>
      <w:r w:rsidRPr="00EB04D1" w:rsidR="00750FB2">
        <w:rPr>
          <w:szCs w:val="24"/>
        </w:rPr>
        <w:t xml:space="preserve">Carbon reduction is a good </w:t>
      </w:r>
      <w:r w:rsidRPr="00EB04D1">
        <w:rPr>
          <w:szCs w:val="24"/>
        </w:rPr>
        <w:t>idea for the world</w:t>
      </w:r>
      <w:r w:rsidR="00713754">
        <w:rPr>
          <w:szCs w:val="24"/>
        </w:rPr>
        <w:t>. B</w:t>
      </w:r>
      <w:r w:rsidR="00DF2724">
        <w:rPr>
          <w:szCs w:val="24"/>
        </w:rPr>
        <w:t xml:space="preserve">ut </w:t>
      </w:r>
      <w:r w:rsidR="00713754">
        <w:rPr>
          <w:szCs w:val="24"/>
        </w:rPr>
        <w:t xml:space="preserve">Dominion’s </w:t>
      </w:r>
      <w:r w:rsidR="00DF2724">
        <w:rPr>
          <w:szCs w:val="24"/>
        </w:rPr>
        <w:t xml:space="preserve">Decarbon Ohio Program </w:t>
      </w:r>
      <w:r w:rsidRPr="00EB04D1" w:rsidR="00B1572E">
        <w:rPr>
          <w:szCs w:val="24"/>
        </w:rPr>
        <w:t xml:space="preserve">is </w:t>
      </w:r>
      <w:r w:rsidR="004F17B5">
        <w:rPr>
          <w:szCs w:val="24"/>
        </w:rPr>
        <w:t xml:space="preserve">unnecessary and </w:t>
      </w:r>
      <w:r w:rsidRPr="00EB04D1" w:rsidR="00B1572E">
        <w:rPr>
          <w:szCs w:val="24"/>
        </w:rPr>
        <w:t xml:space="preserve">a bad idea for </w:t>
      </w:r>
      <w:r w:rsidRPr="00EB04D1">
        <w:rPr>
          <w:szCs w:val="24"/>
        </w:rPr>
        <w:t xml:space="preserve">Ohio </w:t>
      </w:r>
      <w:r w:rsidRPr="00EB04D1" w:rsidR="00B1572E">
        <w:rPr>
          <w:szCs w:val="24"/>
        </w:rPr>
        <w:t>consumers</w:t>
      </w:r>
      <w:r w:rsidR="00713754">
        <w:rPr>
          <w:szCs w:val="24"/>
        </w:rPr>
        <w:t xml:space="preserve"> who rely on a competitive market</w:t>
      </w:r>
      <w:r w:rsidRPr="00EB04D1" w:rsidR="00775C03">
        <w:rPr>
          <w:szCs w:val="24"/>
        </w:rPr>
        <w:t xml:space="preserve">. </w:t>
      </w:r>
      <w:r w:rsidRPr="00EB04D1" w:rsidR="00C64B53">
        <w:rPr>
          <w:szCs w:val="24"/>
        </w:rPr>
        <w:t>In Ohio, c</w:t>
      </w:r>
      <w:r w:rsidRPr="00EB04D1" w:rsidR="00F32FA8">
        <w:rPr>
          <w:szCs w:val="24"/>
        </w:rPr>
        <w:t xml:space="preserve">arbon offset programs should be, and are, provided </w:t>
      </w:r>
      <w:r w:rsidR="006C0C25">
        <w:rPr>
          <w:szCs w:val="24"/>
        </w:rPr>
        <w:t>through</w:t>
      </w:r>
      <w:r w:rsidRPr="00EB04D1" w:rsidR="00F32FA8">
        <w:rPr>
          <w:szCs w:val="24"/>
        </w:rPr>
        <w:t xml:space="preserve"> th</w:t>
      </w:r>
      <w:r w:rsidR="00713754">
        <w:rPr>
          <w:szCs w:val="24"/>
        </w:rPr>
        <w:t>at</w:t>
      </w:r>
      <w:r w:rsidRPr="00EB04D1" w:rsidR="00F32FA8">
        <w:rPr>
          <w:szCs w:val="24"/>
        </w:rPr>
        <w:t xml:space="preserve"> competitive market</w:t>
      </w:r>
      <w:r w:rsidR="006C0C25">
        <w:rPr>
          <w:szCs w:val="24"/>
        </w:rPr>
        <w:t>.</w:t>
      </w:r>
      <w:r w:rsidR="00997C8C">
        <w:rPr>
          <w:szCs w:val="24"/>
        </w:rPr>
        <w:t xml:space="preserve"> </w:t>
      </w:r>
    </w:p>
    <w:p w:rsidR="00F75585" w:rsidP="005442EA" w14:paraId="5F455D3C" w14:textId="77777777">
      <w:pPr>
        <w:ind w:left="3600" w:firstLine="720"/>
        <w:rPr>
          <w:szCs w:val="24"/>
        </w:rPr>
      </w:pPr>
    </w:p>
    <w:p w:rsidR="003B64FB" w:rsidP="005442EA" w14:paraId="60A58338" w14:textId="11B81D36">
      <w:pPr>
        <w:ind w:left="3600" w:firstLine="720"/>
        <w:rPr>
          <w:szCs w:val="24"/>
        </w:rPr>
      </w:pPr>
      <w:r w:rsidRPr="00EB04D1">
        <w:rPr>
          <w:szCs w:val="24"/>
        </w:rPr>
        <w:t>Respectfully submitted,</w:t>
      </w:r>
    </w:p>
    <w:p w:rsidR="005442EA" w:rsidRPr="00EB04D1" w:rsidP="005442EA" w14:paraId="38BF707E" w14:textId="77777777">
      <w:pPr>
        <w:ind w:left="3600" w:firstLine="720"/>
        <w:rPr>
          <w:szCs w:val="24"/>
        </w:rPr>
      </w:pPr>
    </w:p>
    <w:p w:rsidR="003B64FB" w:rsidRPr="00EB04D1" w:rsidP="003B64FB" w14:paraId="48A7DAF4" w14:textId="77777777">
      <w:pPr>
        <w:ind w:left="4320"/>
        <w:rPr>
          <w:szCs w:val="24"/>
        </w:rPr>
      </w:pPr>
      <w:r w:rsidRPr="00EB04D1">
        <w:rPr>
          <w:szCs w:val="24"/>
        </w:rPr>
        <w:t>Bruce Weston (0016973)</w:t>
      </w:r>
    </w:p>
    <w:p w:rsidR="003B64FB" w:rsidRPr="00EB04D1" w:rsidP="003B64FB" w14:paraId="6A8793C9" w14:textId="77777777">
      <w:pPr>
        <w:tabs>
          <w:tab w:val="left" w:pos="4320"/>
        </w:tabs>
        <w:ind w:left="4320" w:hanging="450"/>
        <w:rPr>
          <w:szCs w:val="24"/>
        </w:rPr>
      </w:pPr>
      <w:r w:rsidRPr="00EB04D1">
        <w:rPr>
          <w:szCs w:val="24"/>
        </w:rPr>
        <w:tab/>
        <w:t>Ohio Consumers’ Counsel</w:t>
      </w:r>
    </w:p>
    <w:p w:rsidR="003B64FB" w:rsidRPr="00EB04D1" w:rsidP="003B64FB" w14:paraId="6E3D7B5B" w14:textId="77777777">
      <w:pPr>
        <w:tabs>
          <w:tab w:val="left" w:pos="4320"/>
        </w:tabs>
        <w:ind w:left="4320"/>
        <w:rPr>
          <w:szCs w:val="24"/>
        </w:rPr>
      </w:pPr>
    </w:p>
    <w:p w:rsidR="003B64FB" w:rsidRPr="00EB04D1" w:rsidP="003B64FB" w14:paraId="47B23D22" w14:textId="6FD987B3">
      <w:pPr>
        <w:tabs>
          <w:tab w:val="left" w:pos="4320"/>
        </w:tabs>
        <w:ind w:left="4320"/>
        <w:rPr>
          <w:i/>
          <w:iCs/>
          <w:szCs w:val="24"/>
          <w:u w:val="single"/>
        </w:rPr>
      </w:pPr>
      <w:r w:rsidRPr="00EB04D1">
        <w:rPr>
          <w:i/>
          <w:iCs/>
          <w:szCs w:val="24"/>
          <w:u w:val="single"/>
        </w:rPr>
        <w:t xml:space="preserve">/s/ </w:t>
      </w:r>
      <w:r w:rsidR="00DF2724">
        <w:rPr>
          <w:i/>
          <w:iCs/>
          <w:szCs w:val="24"/>
          <w:u w:val="single"/>
        </w:rPr>
        <w:t>Angela D. O’Brien</w:t>
      </w:r>
      <w:r w:rsidRPr="00EB04D1">
        <w:rPr>
          <w:i/>
          <w:iCs/>
          <w:szCs w:val="24"/>
          <w:u w:val="single"/>
        </w:rPr>
        <w:tab/>
      </w:r>
      <w:r w:rsidRPr="00EB04D1">
        <w:rPr>
          <w:i/>
          <w:iCs/>
          <w:szCs w:val="24"/>
          <w:u w:val="single"/>
        </w:rPr>
        <w:tab/>
      </w:r>
    </w:p>
    <w:p w:rsidR="003B64FB" w:rsidRPr="00EB04D1" w:rsidP="003B64FB" w14:paraId="1BE00A8F" w14:textId="606CBEF9">
      <w:pPr>
        <w:tabs>
          <w:tab w:val="left" w:pos="4320"/>
        </w:tabs>
        <w:ind w:left="4320"/>
        <w:rPr>
          <w:szCs w:val="24"/>
        </w:rPr>
      </w:pPr>
      <w:r>
        <w:rPr>
          <w:szCs w:val="24"/>
        </w:rPr>
        <w:t>Angela D. O’Brien</w:t>
      </w:r>
      <w:r w:rsidRPr="00EB04D1" w:rsidR="00750FB2">
        <w:rPr>
          <w:szCs w:val="24"/>
        </w:rPr>
        <w:t xml:space="preserve"> (00</w:t>
      </w:r>
      <w:r>
        <w:rPr>
          <w:szCs w:val="24"/>
        </w:rPr>
        <w:t>97579</w:t>
      </w:r>
      <w:r w:rsidRPr="00EB04D1" w:rsidR="00750FB2">
        <w:rPr>
          <w:szCs w:val="24"/>
        </w:rPr>
        <w:t>)</w:t>
      </w:r>
    </w:p>
    <w:p w:rsidR="003B64FB" w:rsidP="003B64FB" w14:paraId="7D01D52E" w14:textId="77777777">
      <w:pPr>
        <w:tabs>
          <w:tab w:val="left" w:pos="4320"/>
        </w:tabs>
        <w:ind w:left="4320"/>
        <w:rPr>
          <w:szCs w:val="24"/>
        </w:rPr>
      </w:pPr>
      <w:r w:rsidRPr="00EB04D1">
        <w:rPr>
          <w:szCs w:val="24"/>
        </w:rPr>
        <w:t>Counsel of Record</w:t>
      </w:r>
    </w:p>
    <w:p w:rsidR="00DF2724" w:rsidRPr="00EB04D1" w:rsidP="003B64FB" w14:paraId="32BDF109" w14:textId="50FDD06F">
      <w:pPr>
        <w:tabs>
          <w:tab w:val="left" w:pos="4320"/>
        </w:tabs>
        <w:ind w:left="4320"/>
        <w:rPr>
          <w:szCs w:val="24"/>
        </w:rPr>
      </w:pPr>
      <w:r>
        <w:rPr>
          <w:szCs w:val="24"/>
        </w:rPr>
        <w:t>Deputy Consumers’ Counsel</w:t>
      </w:r>
    </w:p>
    <w:p w:rsidR="003B64FB" w:rsidRPr="00EB04D1" w:rsidP="003B64FB" w14:paraId="646354A7" w14:textId="77777777">
      <w:pPr>
        <w:tabs>
          <w:tab w:val="left" w:pos="3870"/>
          <w:tab w:val="left" w:pos="4320"/>
        </w:tabs>
        <w:ind w:left="4320"/>
        <w:rPr>
          <w:szCs w:val="24"/>
        </w:rPr>
      </w:pPr>
    </w:p>
    <w:p w:rsidR="003B64FB" w:rsidRPr="00EB04D1" w:rsidP="003B64FB" w14:paraId="51B38207" w14:textId="77777777">
      <w:pPr>
        <w:ind w:left="4320"/>
        <w:rPr>
          <w:b/>
          <w:bCs/>
          <w:szCs w:val="24"/>
        </w:rPr>
      </w:pPr>
      <w:r w:rsidRPr="00EB04D1">
        <w:rPr>
          <w:b/>
          <w:bCs/>
          <w:szCs w:val="24"/>
        </w:rPr>
        <w:t>Office of the Ohio Consumers' Counsel</w:t>
      </w:r>
    </w:p>
    <w:p w:rsidR="003B64FB" w:rsidRPr="00EB04D1" w:rsidP="003B64FB" w14:paraId="6E902DF1" w14:textId="77777777">
      <w:pPr>
        <w:ind w:left="4320"/>
        <w:rPr>
          <w:szCs w:val="24"/>
        </w:rPr>
      </w:pPr>
      <w:r w:rsidRPr="00EB04D1">
        <w:rPr>
          <w:szCs w:val="24"/>
        </w:rPr>
        <w:t>65 East State Street, Suite 700</w:t>
      </w:r>
    </w:p>
    <w:p w:rsidR="003B64FB" w:rsidRPr="00EB04D1" w:rsidP="003B64FB" w14:paraId="2C3F69DE" w14:textId="77777777">
      <w:pPr>
        <w:ind w:left="4320"/>
        <w:rPr>
          <w:szCs w:val="24"/>
        </w:rPr>
      </w:pPr>
      <w:r w:rsidRPr="00EB04D1">
        <w:rPr>
          <w:szCs w:val="24"/>
        </w:rPr>
        <w:t>Columbus, Ohio 43215</w:t>
      </w:r>
    </w:p>
    <w:p w:rsidR="003B64FB" w:rsidRPr="00EB04D1" w:rsidP="003B64FB" w14:paraId="17CD321B" w14:textId="21E57EC2">
      <w:pPr>
        <w:autoSpaceDE w:val="0"/>
        <w:autoSpaceDN w:val="0"/>
        <w:adjustRightInd w:val="0"/>
        <w:ind w:left="4320"/>
        <w:rPr>
          <w:szCs w:val="24"/>
        </w:rPr>
      </w:pPr>
      <w:r w:rsidRPr="00EB04D1">
        <w:rPr>
          <w:szCs w:val="24"/>
        </w:rPr>
        <w:t>Telephone: [</w:t>
      </w:r>
      <w:r w:rsidR="00DF2724">
        <w:rPr>
          <w:szCs w:val="24"/>
        </w:rPr>
        <w:t>O’Brien</w:t>
      </w:r>
      <w:r w:rsidRPr="00EB04D1">
        <w:rPr>
          <w:szCs w:val="24"/>
        </w:rPr>
        <w:t>]: (614) 466-</w:t>
      </w:r>
      <w:r w:rsidR="00DF2724">
        <w:rPr>
          <w:szCs w:val="24"/>
        </w:rPr>
        <w:t>9531</w:t>
      </w:r>
    </w:p>
    <w:p w:rsidR="00DF2724" w:rsidP="003B64FB" w14:paraId="6205B19C" w14:textId="69072EA7">
      <w:pPr>
        <w:pStyle w:val="HTMLPreformatted"/>
        <w:ind w:left="4320"/>
        <w:rPr>
          <w:rFonts w:ascii="Times New Roman" w:hAnsi="Times New Roman" w:cs="Times New Roman"/>
          <w:sz w:val="24"/>
          <w:szCs w:val="24"/>
        </w:rPr>
      </w:pPr>
      <w:hyperlink r:id="rId12" w:history="1">
        <w:r w:rsidRPr="00E3048C" w:rsidR="00482FC2">
          <w:rPr>
            <w:rStyle w:val="Hyperlink"/>
            <w:rFonts w:ascii="Times New Roman" w:hAnsi="Times New Roman" w:cs="Times New Roman"/>
            <w:sz w:val="24"/>
            <w:szCs w:val="24"/>
          </w:rPr>
          <w:t>angela.obrien@occ.ohio.gov</w:t>
        </w:r>
      </w:hyperlink>
      <w:r w:rsidR="00482FC2">
        <w:rPr>
          <w:rFonts w:ascii="Times New Roman" w:hAnsi="Times New Roman" w:cs="Times New Roman"/>
          <w:sz w:val="24"/>
          <w:szCs w:val="24"/>
        </w:rPr>
        <w:t xml:space="preserve"> </w:t>
      </w:r>
    </w:p>
    <w:p w:rsidR="003B64FB" w:rsidRPr="00EB04D1" w:rsidP="003B64FB" w14:paraId="096C8525" w14:textId="7811E832">
      <w:pPr>
        <w:pStyle w:val="HTMLPreformatted"/>
        <w:ind w:left="4320"/>
        <w:rPr>
          <w:rFonts w:ascii="Times New Roman" w:hAnsi="Times New Roman" w:cs="Times New Roman"/>
          <w:sz w:val="24"/>
          <w:szCs w:val="24"/>
        </w:rPr>
      </w:pPr>
      <w:r w:rsidRPr="00EB04D1">
        <w:rPr>
          <w:rFonts w:ascii="Times New Roman" w:hAnsi="Times New Roman" w:cs="Times New Roman"/>
          <w:sz w:val="24"/>
          <w:szCs w:val="24"/>
        </w:rPr>
        <w:t>(willing to accept service by e-mail)</w:t>
      </w:r>
    </w:p>
    <w:p w:rsidR="00C62557" w14:paraId="487F3CD4" w14:textId="77777777">
      <w:pPr>
        <w:rPr>
          <w:b/>
          <w:bCs/>
          <w:szCs w:val="24"/>
          <w:u w:val="single"/>
        </w:rPr>
      </w:pPr>
      <w:r>
        <w:rPr>
          <w:b/>
          <w:bCs/>
          <w:szCs w:val="24"/>
          <w:u w:val="single"/>
        </w:rPr>
        <w:br w:type="page"/>
      </w:r>
    </w:p>
    <w:p w:rsidR="00A044B5" w:rsidRPr="00EB04D1" w:rsidP="002F13D4" w14:paraId="2DD9E643" w14:textId="35A65107">
      <w:pPr>
        <w:jc w:val="center"/>
        <w:rPr>
          <w:b/>
          <w:bCs/>
          <w:szCs w:val="24"/>
          <w:u w:val="single"/>
        </w:rPr>
      </w:pPr>
      <w:r w:rsidRPr="00EB04D1">
        <w:rPr>
          <w:b/>
          <w:bCs/>
          <w:szCs w:val="24"/>
          <w:u w:val="single"/>
        </w:rPr>
        <w:t>CERTIFICATE OF SERVICE</w:t>
      </w:r>
    </w:p>
    <w:p w:rsidR="00A044B5" w:rsidRPr="00EB04D1" w14:paraId="1B6370E8" w14:textId="777099DE">
      <w:pPr>
        <w:spacing w:line="480" w:lineRule="atLeast"/>
        <w:rPr>
          <w:szCs w:val="24"/>
        </w:rPr>
      </w:pPr>
      <w:r w:rsidRPr="00EB04D1">
        <w:rPr>
          <w:szCs w:val="24"/>
        </w:rPr>
        <w:tab/>
        <w:t>I hereby certify that a copy of th</w:t>
      </w:r>
      <w:r w:rsidR="00E96D08">
        <w:rPr>
          <w:szCs w:val="24"/>
        </w:rPr>
        <w:t>is</w:t>
      </w:r>
      <w:r w:rsidRPr="00EB04D1">
        <w:rPr>
          <w:szCs w:val="24"/>
        </w:rPr>
        <w:t xml:space="preserve"> </w:t>
      </w:r>
      <w:r w:rsidR="004F17B5">
        <w:rPr>
          <w:szCs w:val="24"/>
        </w:rPr>
        <w:t>Reply</w:t>
      </w:r>
      <w:r w:rsidR="00E96D08">
        <w:rPr>
          <w:szCs w:val="24"/>
        </w:rPr>
        <w:t xml:space="preserve"> Brief</w:t>
      </w:r>
      <w:r w:rsidRPr="00EB04D1">
        <w:rPr>
          <w:szCs w:val="24"/>
        </w:rPr>
        <w:t xml:space="preserve"> w</w:t>
      </w:r>
      <w:r w:rsidR="0087434C">
        <w:rPr>
          <w:szCs w:val="24"/>
        </w:rPr>
        <w:t>as</w:t>
      </w:r>
      <w:r w:rsidRPr="00EB04D1">
        <w:rPr>
          <w:szCs w:val="24"/>
        </w:rPr>
        <w:t xml:space="preserve"> served on the persons stated below via electronic transmission, this </w:t>
      </w:r>
      <w:r w:rsidR="004F17B5">
        <w:rPr>
          <w:szCs w:val="24"/>
        </w:rPr>
        <w:t>23rd</w:t>
      </w:r>
      <w:r w:rsidR="00BA5B96">
        <w:rPr>
          <w:szCs w:val="24"/>
        </w:rPr>
        <w:t xml:space="preserve"> </w:t>
      </w:r>
      <w:r w:rsidRPr="00EB04D1">
        <w:rPr>
          <w:szCs w:val="24"/>
        </w:rPr>
        <w:t>day of</w:t>
      </w:r>
      <w:r w:rsidR="00DF2724">
        <w:rPr>
          <w:szCs w:val="24"/>
        </w:rPr>
        <w:t xml:space="preserve"> August</w:t>
      </w:r>
      <w:r w:rsidRPr="00EB04D1">
        <w:rPr>
          <w:szCs w:val="24"/>
        </w:rPr>
        <w:t xml:space="preserve"> 20</w:t>
      </w:r>
      <w:r w:rsidRPr="00EB04D1" w:rsidR="002F13D4">
        <w:rPr>
          <w:szCs w:val="24"/>
        </w:rPr>
        <w:t>2</w:t>
      </w:r>
      <w:r w:rsidR="00DF2724">
        <w:rPr>
          <w:szCs w:val="24"/>
        </w:rPr>
        <w:t>3</w:t>
      </w:r>
      <w:r w:rsidRPr="00EB04D1">
        <w:rPr>
          <w:szCs w:val="24"/>
        </w:rPr>
        <w:t>.</w:t>
      </w:r>
    </w:p>
    <w:p w:rsidR="00A044B5" w:rsidRPr="00EB04D1" w:rsidP="004F3EDB" w14:paraId="50EF4295" w14:textId="77777777">
      <w:pPr>
        <w:rPr>
          <w:szCs w:val="24"/>
        </w:rPr>
      </w:pPr>
    </w:p>
    <w:p w:rsidR="00A044B5" w:rsidRPr="00EB04D1" w14:paraId="05DA20DB" w14:textId="5154A44F">
      <w:pPr>
        <w:tabs>
          <w:tab w:val="left" w:pos="4320"/>
        </w:tabs>
        <w:rPr>
          <w:iCs/>
          <w:szCs w:val="24"/>
          <w:u w:val="single"/>
        </w:rPr>
      </w:pPr>
      <w:r w:rsidRPr="00EB04D1">
        <w:rPr>
          <w:szCs w:val="24"/>
        </w:rPr>
        <w:tab/>
      </w:r>
      <w:r w:rsidRPr="00EB04D1">
        <w:rPr>
          <w:i/>
          <w:iCs/>
          <w:szCs w:val="24"/>
          <w:u w:val="single"/>
        </w:rPr>
        <w:t xml:space="preserve">/s/ </w:t>
      </w:r>
      <w:r w:rsidR="00DF2724">
        <w:rPr>
          <w:i/>
          <w:iCs/>
          <w:szCs w:val="24"/>
          <w:u w:val="single"/>
        </w:rPr>
        <w:t>Angela D. O’Brien</w:t>
      </w:r>
      <w:r w:rsidRPr="00EB04D1">
        <w:rPr>
          <w:iCs/>
          <w:szCs w:val="24"/>
          <w:u w:val="single"/>
        </w:rPr>
        <w:tab/>
      </w:r>
    </w:p>
    <w:p w:rsidR="00A044B5" w:rsidRPr="00EB04D1" w14:paraId="1C2B130E" w14:textId="2846CB72">
      <w:pPr>
        <w:tabs>
          <w:tab w:val="left" w:pos="4320"/>
        </w:tabs>
        <w:rPr>
          <w:szCs w:val="24"/>
        </w:rPr>
      </w:pPr>
      <w:r w:rsidRPr="00EB04D1">
        <w:rPr>
          <w:szCs w:val="24"/>
        </w:rPr>
        <w:tab/>
      </w:r>
      <w:r w:rsidR="00DF2724">
        <w:rPr>
          <w:szCs w:val="24"/>
        </w:rPr>
        <w:t>Angela D. O’Brien</w:t>
      </w:r>
    </w:p>
    <w:p w:rsidR="00A044B5" w:rsidRPr="00EB04D1" w14:paraId="3B86BAFB" w14:textId="07EF77F4">
      <w:pPr>
        <w:tabs>
          <w:tab w:val="left" w:pos="4320"/>
        </w:tabs>
        <w:rPr>
          <w:szCs w:val="24"/>
        </w:rPr>
      </w:pPr>
      <w:r w:rsidRPr="00EB04D1">
        <w:rPr>
          <w:szCs w:val="24"/>
        </w:rPr>
        <w:tab/>
      </w:r>
      <w:r w:rsidR="00DF2724">
        <w:rPr>
          <w:szCs w:val="24"/>
        </w:rPr>
        <w:t>Deputy</w:t>
      </w:r>
      <w:r w:rsidRPr="00EB04D1">
        <w:rPr>
          <w:szCs w:val="24"/>
        </w:rPr>
        <w:t xml:space="preserve"> Consumers’ Counsel</w:t>
      </w:r>
    </w:p>
    <w:p w:rsidR="00A044B5" w:rsidRPr="00EB04D1" w14:paraId="3AC0002F" w14:textId="77777777">
      <w:pPr>
        <w:pStyle w:val="CommentSubject"/>
        <w:rPr>
          <w:szCs w:val="24"/>
        </w:rPr>
      </w:pPr>
    </w:p>
    <w:p w:rsidR="002F13D4" w:rsidRPr="00EB04D1" w:rsidP="002F13D4" w14:paraId="0AEA87A2" w14:textId="77777777">
      <w:pPr>
        <w:rPr>
          <w:szCs w:val="24"/>
        </w:rPr>
      </w:pPr>
      <w:r w:rsidRPr="00EB04D1">
        <w:rPr>
          <w:szCs w:val="24"/>
        </w:rPr>
        <w:t>The PUCO’s e-filing system will electronically serve notice of the filing of this document on the following parties:</w:t>
      </w:r>
    </w:p>
    <w:p w:rsidR="00A044B5" w:rsidRPr="00EB04D1" w14:paraId="72D3CC1C" w14:textId="77777777">
      <w:pPr>
        <w:pStyle w:val="CommentText"/>
      </w:pPr>
    </w:p>
    <w:p w:rsidR="00A044B5" w:rsidRPr="00EB04D1" w14:paraId="424A417D" w14:textId="77777777">
      <w:pPr>
        <w:pStyle w:val="CommentText"/>
        <w:jc w:val="center"/>
        <w:rPr>
          <w:b/>
          <w:u w:val="single"/>
        </w:rPr>
      </w:pPr>
      <w:r w:rsidRPr="00EB04D1">
        <w:rPr>
          <w:b/>
          <w:u w:val="single"/>
        </w:rPr>
        <w:t>SERVICE LIST</w:t>
      </w:r>
    </w:p>
    <w:p w:rsidR="009D37EA" w:rsidRPr="00EB04D1" w14:paraId="35BF20DE" w14:textId="77777777">
      <w:pPr>
        <w:pStyle w:val="CommentText"/>
        <w:jc w:val="center"/>
        <w:rPr>
          <w:b/>
          <w:u w:val="single"/>
        </w:rPr>
      </w:pPr>
    </w:p>
    <w:p w:rsidR="00A044B5" w:rsidRPr="00EB04D1" w14:paraId="005CB0EE" w14:textId="77777777">
      <w:pPr>
        <w:pStyle w:val="BodyText"/>
        <w:rPr>
          <w:b/>
          <w:bCs/>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4"/>
        <w:gridCol w:w="5096"/>
      </w:tblGrid>
      <w:tr w14:paraId="60208EBA" w14:textId="77777777" w:rsidTr="00D8025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919" w:type="dxa"/>
          </w:tcPr>
          <w:p w:rsidR="005D7B6B" w:rsidRPr="00EB04D1" w14:paraId="268DD778" w14:textId="0913B6C2">
            <w:pPr>
              <w:pStyle w:val="BodyText"/>
              <w:rPr>
                <w:szCs w:val="24"/>
              </w:rPr>
            </w:pPr>
            <w:hyperlink r:id="rId13" w:history="1">
              <w:r w:rsidRPr="00EB04D1" w:rsidR="00462D72">
                <w:rPr>
                  <w:rStyle w:val="Hyperlink"/>
                  <w:szCs w:val="24"/>
                </w:rPr>
                <w:t>shaun.lyons@ohioAGO.gov</w:t>
              </w:r>
            </w:hyperlink>
          </w:p>
          <w:p w:rsidR="00462D72" w:rsidRPr="00EB04D1" w14:paraId="5456EFDD" w14:textId="3E78CFA4">
            <w:pPr>
              <w:pStyle w:val="BodyText"/>
              <w:rPr>
                <w:szCs w:val="24"/>
              </w:rPr>
            </w:pPr>
            <w:hyperlink r:id="rId14" w:history="1">
              <w:r w:rsidRPr="00EB04D1" w:rsidR="00D371BA">
                <w:rPr>
                  <w:rStyle w:val="Hyperlink"/>
                  <w:szCs w:val="24"/>
                </w:rPr>
                <w:t>werner.margard@ohioAGO.gov</w:t>
              </w:r>
            </w:hyperlink>
          </w:p>
          <w:p w:rsidR="00971ADD" w:rsidRPr="00EB04D1" w14:paraId="3BC2A9B5" w14:textId="689817A4">
            <w:pPr>
              <w:pStyle w:val="BodyText"/>
              <w:rPr>
                <w:szCs w:val="24"/>
              </w:rPr>
            </w:pPr>
            <w:hyperlink r:id="rId15" w:history="1">
              <w:r w:rsidRPr="00EB04D1" w:rsidR="00D371BA">
                <w:rPr>
                  <w:rStyle w:val="Hyperlink"/>
                  <w:szCs w:val="24"/>
                </w:rPr>
                <w:t>dproano@bakerlaw.com</w:t>
              </w:r>
            </w:hyperlink>
          </w:p>
          <w:p w:rsidR="00971ADD" w:rsidRPr="00EB04D1" w14:paraId="639B7476" w14:textId="61B3182B">
            <w:pPr>
              <w:pStyle w:val="BodyText"/>
              <w:rPr>
                <w:szCs w:val="24"/>
              </w:rPr>
            </w:pPr>
            <w:hyperlink r:id="rId16" w:history="1">
              <w:r w:rsidRPr="00EB04D1" w:rsidR="00D371BA">
                <w:rPr>
                  <w:rStyle w:val="Hyperlink"/>
                  <w:szCs w:val="24"/>
                </w:rPr>
                <w:t>tathompson@bakerlaw.com</w:t>
              </w:r>
            </w:hyperlink>
          </w:p>
          <w:p w:rsidR="00D22A05" w:rsidRPr="00D22A05" w14:paraId="7CEE085C" w14:textId="3B09D56F">
            <w:pPr>
              <w:pStyle w:val="BodyText"/>
              <w:rPr>
                <w:color w:val="0000FF"/>
                <w:szCs w:val="24"/>
                <w:u w:val="single"/>
              </w:rPr>
            </w:pPr>
            <w:hyperlink r:id="rId17" w:history="1">
              <w:r w:rsidRPr="00252FC2" w:rsidR="00D371BA">
                <w:rPr>
                  <w:rStyle w:val="Hyperlink"/>
                  <w:szCs w:val="24"/>
                </w:rPr>
                <w:t>j</w:t>
              </w:r>
              <w:r w:rsidRPr="00252FC2" w:rsidR="00D371BA">
                <w:rPr>
                  <w:rStyle w:val="Hyperlink"/>
                </w:rPr>
                <w:t>weber</w:t>
              </w:r>
              <w:r w:rsidRPr="00252FC2" w:rsidR="00D371BA">
                <w:rPr>
                  <w:rStyle w:val="Hyperlink"/>
                  <w:szCs w:val="24"/>
                </w:rPr>
                <w:t>@elpc.org</w:t>
              </w:r>
            </w:hyperlink>
          </w:p>
          <w:p w:rsidR="00260C99" w:rsidRPr="00EB04D1" w14:paraId="1FA684E4" w14:textId="77777777">
            <w:pPr>
              <w:pStyle w:val="BodyText"/>
              <w:rPr>
                <w:szCs w:val="24"/>
              </w:rPr>
            </w:pPr>
          </w:p>
          <w:p w:rsidR="009D37EA" w:rsidRPr="00EB04D1" w14:paraId="553FBF21" w14:textId="26674BF2">
            <w:pPr>
              <w:pStyle w:val="BodyText"/>
              <w:rPr>
                <w:szCs w:val="24"/>
              </w:rPr>
            </w:pPr>
            <w:r w:rsidRPr="00EB04D1">
              <w:rPr>
                <w:szCs w:val="24"/>
              </w:rPr>
              <w:t>Attorney Examiner:</w:t>
            </w:r>
          </w:p>
          <w:p w:rsidR="009D37EA" w:rsidRPr="00EB04D1" w:rsidP="00D80256" w14:paraId="2A60A46D" w14:textId="5BE99BBB">
            <w:pPr>
              <w:rPr>
                <w:szCs w:val="24"/>
              </w:rPr>
            </w:pPr>
            <w:hyperlink r:id="rId18" w:history="1">
              <w:r w:rsidRPr="00EB04D1" w:rsidR="00D068B0">
                <w:rPr>
                  <w:rStyle w:val="Hyperlink"/>
                  <w:szCs w:val="24"/>
                </w:rPr>
                <w:t>patricia.schabo@puco.ohio.gov</w:t>
              </w:r>
            </w:hyperlink>
          </w:p>
          <w:p w:rsidR="00D068B0" w:rsidRPr="00EB04D1" w:rsidP="00D80256" w14:paraId="36B9E42F" w14:textId="77777777">
            <w:pPr>
              <w:rPr>
                <w:szCs w:val="24"/>
              </w:rPr>
            </w:pPr>
          </w:p>
          <w:p w:rsidR="00FE7F0A" w:rsidRPr="00EB04D1" w14:paraId="5890BDAB" w14:textId="77777777">
            <w:pPr>
              <w:pStyle w:val="BodyText"/>
              <w:rPr>
                <w:szCs w:val="24"/>
              </w:rPr>
            </w:pPr>
            <w:r w:rsidRPr="00EB04D1">
              <w:rPr>
                <w:szCs w:val="24"/>
              </w:rPr>
              <w:t xml:space="preserve"> </w:t>
            </w:r>
          </w:p>
        </w:tc>
        <w:tc>
          <w:tcPr>
            <w:tcW w:w="4721" w:type="dxa"/>
          </w:tcPr>
          <w:p w:rsidR="00E96D08" w:rsidRPr="00E00293" w:rsidP="00E96D08" w14:paraId="2F8DD363" w14:textId="77777777">
            <w:pPr>
              <w:autoSpaceDE w:val="0"/>
              <w:autoSpaceDN w:val="0"/>
              <w:adjustRightInd w:val="0"/>
              <w:ind w:left="840"/>
              <w:rPr>
                <w:color w:val="0000FF"/>
                <w:u w:val="single"/>
                <w:lang w:bidi="he-IL"/>
              </w:rPr>
            </w:pPr>
            <w:hyperlink r:id="rId19" w:history="1">
              <w:r w:rsidRPr="0001613F" w:rsidR="00482FC2">
                <w:rPr>
                  <w:color w:val="0000FF"/>
                  <w:u w:val="single"/>
                  <w:lang w:bidi="he-IL"/>
                </w:rPr>
                <w:t>kennedy@whitt-sturtevant.com</w:t>
              </w:r>
            </w:hyperlink>
          </w:p>
          <w:p w:rsidR="00E96D08" w:rsidRPr="00E00293" w:rsidP="00E96D08" w14:paraId="6EF35C59" w14:textId="77777777">
            <w:pPr>
              <w:autoSpaceDE w:val="0"/>
              <w:autoSpaceDN w:val="0"/>
              <w:adjustRightInd w:val="0"/>
              <w:ind w:left="840"/>
              <w:rPr>
                <w:color w:val="0000FF"/>
                <w:u w:val="single"/>
                <w:lang w:bidi="he-IL"/>
              </w:rPr>
            </w:pPr>
            <w:r w:rsidRPr="00E00293">
              <w:rPr>
                <w:color w:val="0000FF"/>
                <w:u w:val="single"/>
                <w:lang w:bidi="he-IL"/>
              </w:rPr>
              <w:t>demonte@whitt-sturtevant.com</w:t>
            </w:r>
          </w:p>
          <w:p w:rsidR="00E96D08" w:rsidRPr="00E00293" w:rsidP="00E96D08" w14:paraId="092AA4F1" w14:textId="77777777">
            <w:pPr>
              <w:autoSpaceDE w:val="0"/>
              <w:autoSpaceDN w:val="0"/>
              <w:adjustRightInd w:val="0"/>
              <w:ind w:left="840"/>
              <w:rPr>
                <w:lang w:bidi="he-IL"/>
              </w:rPr>
            </w:pPr>
            <w:hyperlink r:id="rId20" w:history="1">
              <w:r w:rsidRPr="00E00293" w:rsidR="00482FC2">
                <w:rPr>
                  <w:rStyle w:val="Hyperlink"/>
                  <w:lang w:bidi="he-IL"/>
                </w:rPr>
                <w:t>whitt@whitt-sturtevant.com</w:t>
              </w:r>
            </w:hyperlink>
          </w:p>
          <w:p w:rsidR="00E96D08" w:rsidRPr="0001613F" w:rsidP="00E96D08" w14:paraId="44066686" w14:textId="77777777">
            <w:pPr>
              <w:ind w:left="840"/>
              <w:jc w:val="both"/>
              <w:rPr>
                <w:color w:val="0000FF"/>
                <w:u w:val="single"/>
              </w:rPr>
            </w:pPr>
            <w:hyperlink r:id="rId21" w:history="1">
              <w:r w:rsidRPr="0001613F" w:rsidR="00482FC2">
                <w:rPr>
                  <w:color w:val="0000FF"/>
                  <w:u w:val="single"/>
                </w:rPr>
                <w:t>andrew.j.campbell@dominionenergy.com</w:t>
              </w:r>
            </w:hyperlink>
          </w:p>
          <w:p w:rsidR="00E96D08" w:rsidRPr="0001613F" w:rsidP="00E96D08" w14:paraId="44980CA1" w14:textId="77777777">
            <w:pPr>
              <w:ind w:left="840"/>
              <w:jc w:val="both"/>
            </w:pPr>
            <w:hyperlink r:id="rId22" w:history="1">
              <w:r w:rsidRPr="0001613F" w:rsidR="00482FC2">
                <w:rPr>
                  <w:rStyle w:val="Hyperlink"/>
                </w:rPr>
                <w:t>m</w:t>
              </w:r>
              <w:r w:rsidRPr="00E00293" w:rsidR="00482FC2">
                <w:rPr>
                  <w:rStyle w:val="Hyperlink"/>
                </w:rPr>
                <w:t>j</w:t>
              </w:r>
              <w:r w:rsidRPr="0001613F" w:rsidR="00482FC2">
                <w:rPr>
                  <w:rStyle w:val="Hyperlink"/>
                </w:rPr>
                <w:t>settineri@vorys.com</w:t>
              </w:r>
            </w:hyperlink>
          </w:p>
          <w:p w:rsidR="00E96D08" w:rsidRPr="0001613F" w:rsidP="00E96D08" w14:paraId="18295030" w14:textId="77777777">
            <w:pPr>
              <w:ind w:left="840"/>
              <w:jc w:val="both"/>
            </w:pPr>
            <w:hyperlink r:id="rId23" w:history="1">
              <w:r w:rsidRPr="0001613F" w:rsidR="00482FC2">
                <w:rPr>
                  <w:color w:val="0000FF"/>
                  <w:u w:val="single"/>
                </w:rPr>
                <w:t>glpetrucci@vorys.com</w:t>
              </w:r>
            </w:hyperlink>
          </w:p>
          <w:p w:rsidR="00E96D08" w:rsidRPr="0001613F" w:rsidP="00E96D08" w14:paraId="03F5F0CC" w14:textId="77777777">
            <w:pPr>
              <w:ind w:left="840"/>
              <w:jc w:val="both"/>
            </w:pPr>
            <w:hyperlink r:id="rId24" w:history="1">
              <w:r w:rsidRPr="0001613F" w:rsidR="00482FC2">
                <w:rPr>
                  <w:color w:val="0000FF"/>
                  <w:u w:val="single"/>
                </w:rPr>
                <w:t>michael.nugent@igs.com</w:t>
              </w:r>
            </w:hyperlink>
          </w:p>
          <w:p w:rsidR="00E96D08" w:rsidRPr="0001613F" w:rsidP="00E96D08" w14:paraId="0D236DCC" w14:textId="77777777">
            <w:pPr>
              <w:ind w:left="840"/>
              <w:jc w:val="both"/>
            </w:pPr>
            <w:hyperlink r:id="rId25" w:history="1">
              <w:r w:rsidRPr="0001613F" w:rsidR="00482FC2">
                <w:rPr>
                  <w:color w:val="0000FF"/>
                  <w:u w:val="single"/>
                </w:rPr>
                <w:t>evan.betterton@igs.com</w:t>
              </w:r>
            </w:hyperlink>
          </w:p>
          <w:p w:rsidR="00E96D08" w:rsidRPr="0001613F" w:rsidP="00E96D08" w14:paraId="2337DA9E" w14:textId="77777777">
            <w:pPr>
              <w:ind w:left="840"/>
              <w:jc w:val="both"/>
              <w:rPr>
                <w:color w:val="0000FF"/>
                <w:u w:val="single"/>
              </w:rPr>
            </w:pPr>
            <w:hyperlink r:id="rId26" w:history="1">
              <w:r w:rsidRPr="0001613F" w:rsidR="00482FC2">
                <w:rPr>
                  <w:color w:val="0000FF"/>
                  <w:u w:val="single"/>
                </w:rPr>
                <w:t>stacie.cathcart@igs.com</w:t>
              </w:r>
            </w:hyperlink>
          </w:p>
          <w:p w:rsidR="00E96D08" w:rsidRPr="0001613F" w:rsidP="00E96D08" w14:paraId="30CA9905" w14:textId="77777777">
            <w:pPr>
              <w:ind w:left="840"/>
              <w:jc w:val="both"/>
              <w:rPr>
                <w:color w:val="0000FF"/>
                <w:u w:val="single"/>
              </w:rPr>
            </w:pPr>
            <w:hyperlink r:id="rId27" w:history="1">
              <w:r w:rsidRPr="0001613F" w:rsidR="00482FC2">
                <w:rPr>
                  <w:color w:val="0000FF"/>
                  <w:u w:val="single"/>
                </w:rPr>
                <w:t>dparram@bricker.com</w:t>
              </w:r>
            </w:hyperlink>
          </w:p>
          <w:p w:rsidR="00E96D08" w:rsidP="00E96D08" w14:paraId="675D2271" w14:textId="77777777">
            <w:pPr>
              <w:ind w:left="840"/>
              <w:jc w:val="both"/>
              <w:rPr>
                <w:color w:val="0000FF"/>
                <w:u w:val="single"/>
              </w:rPr>
            </w:pPr>
            <w:hyperlink r:id="rId28" w:history="1">
              <w:r w:rsidRPr="0001613F" w:rsidR="00482FC2">
                <w:rPr>
                  <w:color w:val="0000FF"/>
                  <w:u w:val="single"/>
                </w:rPr>
                <w:t>gkrassen@nopec.org</w:t>
              </w:r>
            </w:hyperlink>
          </w:p>
          <w:p w:rsidR="008C6FB2" w:rsidRPr="0001613F" w:rsidP="00E96D08" w14:paraId="749A1034" w14:textId="06A31A0E">
            <w:pPr>
              <w:ind w:left="840"/>
              <w:jc w:val="both"/>
              <w:rPr>
                <w:color w:val="0000FF"/>
                <w:u w:val="single"/>
              </w:rPr>
            </w:pPr>
            <w:r>
              <w:rPr>
                <w:color w:val="0000FF"/>
                <w:u w:val="single"/>
              </w:rPr>
              <w:t>pwillison@bakerlaw.com</w:t>
            </w:r>
          </w:p>
          <w:p w:rsidR="00F24B60" w:rsidRPr="00EB04D1" w:rsidP="00971ADD" w14:paraId="5A23A7E7" w14:textId="77777777">
            <w:pPr>
              <w:pStyle w:val="BodyText"/>
              <w:ind w:left="465"/>
              <w:rPr>
                <w:szCs w:val="24"/>
              </w:rPr>
            </w:pPr>
          </w:p>
          <w:p w:rsidR="00971ADD" w:rsidRPr="00EB04D1" w:rsidP="00971ADD" w14:paraId="210ABE9A" w14:textId="77777777">
            <w:pPr>
              <w:pStyle w:val="BodyText"/>
              <w:ind w:left="465"/>
              <w:rPr>
                <w:szCs w:val="24"/>
              </w:rPr>
            </w:pPr>
          </w:p>
          <w:p w:rsidR="009D37EA" w:rsidRPr="00EB04D1" w:rsidP="009D37EA" w14:paraId="34B35DC1" w14:textId="77777777">
            <w:pPr>
              <w:pStyle w:val="BodyText"/>
              <w:ind w:left="707"/>
              <w:rPr>
                <w:szCs w:val="24"/>
              </w:rPr>
            </w:pPr>
          </w:p>
        </w:tc>
      </w:tr>
    </w:tbl>
    <w:p w:rsidR="00A044B5" w:rsidRPr="00EB04D1" w14:paraId="5C1058B3" w14:textId="77777777">
      <w:pPr>
        <w:pStyle w:val="BodyText"/>
        <w:rPr>
          <w:b/>
          <w:bCs/>
          <w:szCs w:val="24"/>
        </w:rPr>
      </w:pPr>
    </w:p>
    <w:sectPr w:rsidSect="001F1349">
      <w:footerReference w:type="first" r:id="rId29"/>
      <w:pgSz w:w="12240" w:h="15840"/>
      <w:pgMar w:top="1440" w:right="1800" w:bottom="1440" w:left="1800" w:header="720" w:footer="720" w:gutter="0"/>
      <w:pgNumType w:start="2"/>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4393" w14:paraId="0D88AD5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05893380"/>
      <w:docPartObj>
        <w:docPartGallery w:val="Page Numbers (Bottom of Page)"/>
        <w:docPartUnique/>
      </w:docPartObj>
    </w:sdtPr>
    <w:sdtEndPr>
      <w:rPr>
        <w:noProof/>
        <w:sz w:val="24"/>
        <w:szCs w:val="24"/>
      </w:rPr>
    </w:sdtEndPr>
    <w:sdtContent>
      <w:p w:rsidR="001F1349" w:rsidRPr="001F1349" w14:paraId="48DBD174" w14:textId="0288BF4B">
        <w:pPr>
          <w:pStyle w:val="Footer"/>
          <w:jc w:val="center"/>
          <w:rPr>
            <w:sz w:val="24"/>
            <w:szCs w:val="24"/>
          </w:rPr>
        </w:pPr>
        <w:r w:rsidRPr="001F1349">
          <w:rPr>
            <w:sz w:val="24"/>
            <w:szCs w:val="24"/>
          </w:rPr>
          <w:fldChar w:fldCharType="begin"/>
        </w:r>
        <w:r w:rsidRPr="001F1349">
          <w:rPr>
            <w:sz w:val="24"/>
            <w:szCs w:val="24"/>
          </w:rPr>
          <w:instrText xml:space="preserve"> PAGE   \* MERGEFORMAT </w:instrText>
        </w:r>
        <w:r w:rsidRPr="001F1349">
          <w:rPr>
            <w:sz w:val="24"/>
            <w:szCs w:val="24"/>
          </w:rPr>
          <w:fldChar w:fldCharType="separate"/>
        </w:r>
        <w:r w:rsidRPr="001F1349">
          <w:rPr>
            <w:noProof/>
            <w:sz w:val="24"/>
            <w:szCs w:val="24"/>
          </w:rPr>
          <w:t>2</w:t>
        </w:r>
        <w:r w:rsidRPr="001F134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4393" w14:paraId="6DE2137B"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97959169"/>
      <w:docPartObj>
        <w:docPartGallery w:val="Page Numbers (Bottom of Page)"/>
        <w:docPartUnique/>
      </w:docPartObj>
    </w:sdtPr>
    <w:sdtEndPr>
      <w:rPr>
        <w:noProof/>
        <w:sz w:val="24"/>
        <w:szCs w:val="24"/>
      </w:rPr>
    </w:sdtEndPr>
    <w:sdtContent>
      <w:p w:rsidR="001F1349" w:rsidRPr="001F1349" w14:paraId="5D950186" w14:textId="525C1B91">
        <w:pPr>
          <w:pStyle w:val="Footer"/>
          <w:jc w:val="center"/>
          <w:rPr>
            <w:sz w:val="24"/>
            <w:szCs w:val="24"/>
          </w:rPr>
        </w:pPr>
        <w:r w:rsidRPr="001F1349">
          <w:rPr>
            <w:sz w:val="24"/>
            <w:szCs w:val="24"/>
          </w:rPr>
          <w:fldChar w:fldCharType="begin"/>
        </w:r>
        <w:r w:rsidRPr="001F1349">
          <w:rPr>
            <w:sz w:val="24"/>
            <w:szCs w:val="24"/>
          </w:rPr>
          <w:instrText xml:space="preserve"> PAGE   \* MERGEFORMAT </w:instrText>
        </w:r>
        <w:r w:rsidRPr="001F1349">
          <w:rPr>
            <w:sz w:val="24"/>
            <w:szCs w:val="24"/>
          </w:rPr>
          <w:fldChar w:fldCharType="separate"/>
        </w:r>
        <w:r w:rsidRPr="001F1349">
          <w:rPr>
            <w:noProof/>
            <w:sz w:val="24"/>
            <w:szCs w:val="24"/>
          </w:rPr>
          <w:t>2</w:t>
        </w:r>
        <w:r w:rsidRPr="001F134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606B7" w14:paraId="515E7516" w14:textId="77777777">
      <w:r>
        <w:separator/>
      </w:r>
    </w:p>
  </w:footnote>
  <w:footnote w:type="continuationSeparator" w:id="1">
    <w:p w:rsidR="006606B7" w14:paraId="3F46F43C" w14:textId="77777777">
      <w:r>
        <w:continuationSeparator/>
      </w:r>
    </w:p>
  </w:footnote>
  <w:footnote w:id="2">
    <w:p w:rsidR="0024447F" w:rsidRPr="00CE3BA5" w:rsidP="000E07DF" w14:paraId="452D9FC8" w14:textId="687451E9">
      <w:pPr>
        <w:pStyle w:val="FootnoteText"/>
        <w:spacing w:after="120"/>
      </w:pPr>
      <w:r>
        <w:rPr>
          <w:rStyle w:val="FootnoteReference"/>
        </w:rPr>
        <w:footnoteRef/>
      </w:r>
      <w:r>
        <w:t xml:space="preserve"> Direct Energy Business LLC, Direct Energy Services LLC, Direct Energy Business Marketing LLC, Energy Plus Natural Gas LLC, Reliant Energy Northeast LLC, Stream Ohio Gas &amp; Electric, LLC, and XOOM Energy Ohio, LLC (the </w:t>
      </w:r>
      <w:r w:rsidR="004D125B">
        <w:t>“</w:t>
      </w:r>
      <w:r>
        <w:t xml:space="preserve">NRG </w:t>
      </w:r>
      <w:r w:rsidR="004D125B">
        <w:t>marketers”</w:t>
      </w:r>
      <w:r>
        <w:t>), the Retail Energy Supply Association (</w:t>
      </w:r>
      <w:r w:rsidR="004D125B">
        <w:t>“</w:t>
      </w:r>
      <w:r>
        <w:t>RESA</w:t>
      </w:r>
      <w:r w:rsidR="004D125B">
        <w:t>”</w:t>
      </w:r>
      <w:r>
        <w:t>), and Dominion filed Initial Briefs in support of the Settlement.</w:t>
      </w:r>
    </w:p>
  </w:footnote>
  <w:footnote w:id="3">
    <w:p w:rsidR="00B464C2" w:rsidP="000E07DF" w14:paraId="1E25C7BE" w14:textId="353C19EC">
      <w:pPr>
        <w:pStyle w:val="FootnoteText"/>
        <w:spacing w:after="120"/>
      </w:pPr>
      <w:r>
        <w:rPr>
          <w:rStyle w:val="FootnoteReference"/>
        </w:rPr>
        <w:footnoteRef/>
      </w:r>
      <w:r>
        <w:t xml:space="preserve"> Dominion Ex. 1.0 (Hochstetler Settlement Testimony), at 7-8.</w:t>
      </w:r>
    </w:p>
  </w:footnote>
  <w:footnote w:id="4">
    <w:p w:rsidR="00D7510D" w:rsidRPr="00D7510D" w:rsidP="000E07DF" w14:paraId="3A071B65" w14:textId="0F37815E">
      <w:pPr>
        <w:pStyle w:val="FootnoteText"/>
        <w:spacing w:after="120"/>
      </w:pPr>
      <w:r>
        <w:rPr>
          <w:rStyle w:val="FootnoteReference"/>
        </w:rPr>
        <w:footnoteRef/>
      </w:r>
      <w:r>
        <w:t xml:space="preserve"> </w:t>
      </w:r>
      <w:r w:rsidR="00001F79">
        <w:t xml:space="preserve">The program was ended after OCC filed a motion to protect the affected consumers. </w:t>
      </w:r>
      <w:r>
        <w:rPr>
          <w:i/>
          <w:iCs/>
        </w:rPr>
        <w:t>See In the Matter of the Motion to Modify the Exemption Granted to East Ohio Gas Company d/b/a Dominion Energy Ohio</w:t>
      </w:r>
      <w:r>
        <w:t>, Case No. 18-1419-GA-EXM</w:t>
      </w:r>
      <w:r w:rsidR="002F7C81">
        <w:t>, Opinion and Order (Feb. 26, 2020).</w:t>
      </w:r>
    </w:p>
  </w:footnote>
  <w:footnote w:id="5">
    <w:p w:rsidR="00C458D2" w:rsidRPr="008B0514" w:rsidP="000E07DF" w14:paraId="7A257B15" w14:textId="04AD00C7">
      <w:pPr>
        <w:pStyle w:val="FootnoteText"/>
        <w:spacing w:after="120"/>
      </w:pPr>
      <w:r>
        <w:rPr>
          <w:rStyle w:val="FootnoteReference"/>
        </w:rPr>
        <w:footnoteRef/>
      </w:r>
      <w:r>
        <w:t xml:space="preserve"> </w:t>
      </w:r>
      <w:r w:rsidR="008B0514">
        <w:rPr>
          <w:i/>
          <w:iCs/>
        </w:rPr>
        <w:t xml:space="preserve">See </w:t>
      </w:r>
      <w:r w:rsidR="008B0514">
        <w:t>OCC Ex. 1.0 (Tinkham Direct).</w:t>
      </w:r>
    </w:p>
  </w:footnote>
  <w:footnote w:id="6">
    <w:p w:rsidR="0046648B" w:rsidP="000E07DF" w14:paraId="44EB0D65" w14:textId="66DEBB92">
      <w:pPr>
        <w:pStyle w:val="FootnoteText"/>
        <w:spacing w:after="120"/>
      </w:pPr>
      <w:r>
        <w:rPr>
          <w:rStyle w:val="FootnoteReference"/>
        </w:rPr>
        <w:footnoteRef/>
      </w:r>
      <w:r>
        <w:t xml:space="preserve"> </w:t>
      </w:r>
      <w:r w:rsidR="00274C6E">
        <w:t xml:space="preserve">Dominion Initial Brief, at 9-10; RESA Initial Brief, at 5-6; NRG Initial Brief, at </w:t>
      </w:r>
      <w:r w:rsidR="00EC19AB">
        <w:t>7-8.</w:t>
      </w:r>
    </w:p>
  </w:footnote>
  <w:footnote w:id="7">
    <w:p w:rsidR="005D43EB" w:rsidP="000E07DF" w14:paraId="6CBC3C99" w14:textId="5FA1D2FB">
      <w:pPr>
        <w:pStyle w:val="FootnoteText"/>
        <w:spacing w:after="120"/>
      </w:pPr>
      <w:r>
        <w:rPr>
          <w:rStyle w:val="FootnoteReference"/>
        </w:rPr>
        <w:footnoteRef/>
      </w:r>
      <w:r>
        <w:t xml:space="preserve"> Dominion Initial Brief, at 10.</w:t>
      </w:r>
    </w:p>
  </w:footnote>
  <w:footnote w:id="8">
    <w:p w:rsidR="00AA59CB" w:rsidRPr="00AA59CB" w:rsidP="000E07DF" w14:paraId="52478D03" w14:textId="3E4DAAD2">
      <w:pPr>
        <w:pStyle w:val="FootnoteText"/>
        <w:spacing w:after="120"/>
      </w:pPr>
      <w:r>
        <w:rPr>
          <w:rStyle w:val="FootnoteReference"/>
        </w:rPr>
        <w:footnoteRef/>
      </w:r>
      <w:r>
        <w:t xml:space="preserve"> </w:t>
      </w:r>
      <w:r>
        <w:rPr>
          <w:i/>
          <w:iCs/>
        </w:rPr>
        <w:t>Id.</w:t>
      </w:r>
      <w:r>
        <w:t xml:space="preserve"> (Emphasis added.)</w:t>
      </w:r>
    </w:p>
  </w:footnote>
  <w:footnote w:id="9">
    <w:p w:rsidR="00DA47AD" w:rsidP="000E07DF" w14:paraId="7606292D" w14:textId="77777777">
      <w:pPr>
        <w:pStyle w:val="FootnoteText"/>
        <w:spacing w:after="120"/>
      </w:pPr>
      <w:r>
        <w:rPr>
          <w:rStyle w:val="FootnoteReference"/>
        </w:rPr>
        <w:footnoteRef/>
      </w:r>
      <w:r>
        <w:t xml:space="preserve"> OCC Ex. 1.0 (Tinkham Direct) at 8.</w:t>
      </w:r>
    </w:p>
  </w:footnote>
  <w:footnote w:id="10">
    <w:p w:rsidR="00DE3FC1" w:rsidP="000E07DF" w14:paraId="7E0950F3" w14:textId="28C7C213">
      <w:pPr>
        <w:pStyle w:val="FootnoteText"/>
        <w:spacing w:after="120"/>
      </w:pPr>
      <w:r>
        <w:rPr>
          <w:rStyle w:val="FootnoteReference"/>
        </w:rPr>
        <w:footnoteRef/>
      </w:r>
      <w:r>
        <w:t xml:space="preserve"> Dominion Initial Brief, at 3, 4, 11, 14; RESA Initial Brief, at 9</w:t>
      </w:r>
      <w:r w:rsidR="001F1349">
        <w:t>.</w:t>
      </w:r>
      <w:r w:rsidR="006E5AC6">
        <w:t xml:space="preserve"> </w:t>
      </w:r>
    </w:p>
  </w:footnote>
  <w:footnote w:id="11">
    <w:p w:rsidR="009F5BEB" w:rsidP="000E07DF" w14:paraId="74D06D8E" w14:textId="281361F9">
      <w:pPr>
        <w:pStyle w:val="FootnoteText"/>
        <w:spacing w:after="120"/>
      </w:pPr>
      <w:r>
        <w:rPr>
          <w:rStyle w:val="FootnoteReference"/>
        </w:rPr>
        <w:footnoteRef/>
      </w:r>
      <w:r>
        <w:t xml:space="preserve"> Dominion Ex. 1.0 (Hochstetler Settlement Testimony), at 9. </w:t>
      </w:r>
    </w:p>
  </w:footnote>
  <w:footnote w:id="12">
    <w:p w:rsidR="006F7808" w:rsidP="000E07DF" w14:paraId="04EB3B5A" w14:textId="3AA84B06">
      <w:pPr>
        <w:pStyle w:val="FootnoteText"/>
        <w:spacing w:after="120"/>
      </w:pPr>
      <w:r>
        <w:rPr>
          <w:rStyle w:val="FootnoteReference"/>
        </w:rPr>
        <w:footnoteRef/>
      </w:r>
      <w:r>
        <w:t xml:space="preserve"> NRG Initial Brief, at 3.</w:t>
      </w:r>
    </w:p>
  </w:footnote>
  <w:footnote w:id="13">
    <w:p w:rsidR="00022334" w:rsidP="000E07DF" w14:paraId="6A5625AB" w14:textId="511D9C3A">
      <w:pPr>
        <w:pStyle w:val="FootnoteText"/>
        <w:spacing w:after="120"/>
      </w:pPr>
      <w:r>
        <w:rPr>
          <w:rStyle w:val="FootnoteReference"/>
        </w:rPr>
        <w:footnoteRef/>
      </w:r>
      <w:r>
        <w:t xml:space="preserve"> RESA Initial Brief, at </w:t>
      </w:r>
      <w:r w:rsidR="000E2627">
        <w:t>8.</w:t>
      </w:r>
    </w:p>
  </w:footnote>
  <w:footnote w:id="14">
    <w:p w:rsidR="000E2627" w:rsidRPr="00DA269C" w:rsidP="000E07DF" w14:paraId="22114554" w14:textId="086CA181">
      <w:pPr>
        <w:pStyle w:val="FootnoteText"/>
        <w:spacing w:after="120"/>
      </w:pPr>
      <w:r w:rsidRPr="00DA269C">
        <w:rPr>
          <w:rStyle w:val="FootnoteReference"/>
        </w:rPr>
        <w:footnoteRef/>
      </w:r>
      <w:r w:rsidRPr="00DA269C">
        <w:t xml:space="preserve"> </w:t>
      </w:r>
      <w:r>
        <w:t>Joint Ex. 1.0 (Stipulation and Recommendation) (“</w:t>
      </w:r>
      <w:r w:rsidRPr="00DA269C">
        <w:t>Settlement</w:t>
      </w:r>
      <w:r>
        <w:t>”)</w:t>
      </w:r>
      <w:r w:rsidRPr="00DA269C">
        <w:t xml:space="preserve">, at 5. </w:t>
      </w:r>
    </w:p>
  </w:footnote>
  <w:footnote w:id="15">
    <w:p w:rsidR="000E2627" w:rsidP="000E07DF" w14:paraId="0B9D7BF7" w14:textId="77777777">
      <w:pPr>
        <w:pStyle w:val="FootnoteText"/>
        <w:spacing w:after="120"/>
      </w:pPr>
      <w:r>
        <w:rPr>
          <w:rStyle w:val="FootnoteReference"/>
        </w:rPr>
        <w:footnoteRef/>
      </w:r>
      <w:r>
        <w:t xml:space="preserve"> OCC 1.0 (Tinkham Direct) at 6.</w:t>
      </w:r>
    </w:p>
  </w:footnote>
  <w:footnote w:id="16">
    <w:p w:rsidR="0091464A" w:rsidRPr="00DA269C" w:rsidP="000E07DF" w14:paraId="291F906A" w14:textId="77777777">
      <w:pPr>
        <w:pStyle w:val="FootnoteText"/>
        <w:spacing w:after="120"/>
      </w:pPr>
      <w:r w:rsidRPr="00DA269C">
        <w:rPr>
          <w:rStyle w:val="FootnoteReference"/>
        </w:rPr>
        <w:footnoteRef/>
      </w:r>
      <w:r w:rsidRPr="00DA269C">
        <w:t xml:space="preserve"> </w:t>
      </w:r>
      <w:r>
        <w:rPr>
          <w:i/>
          <w:iCs/>
        </w:rPr>
        <w:t xml:space="preserve">Id. </w:t>
      </w:r>
      <w:r>
        <w:t xml:space="preserve">at 7 (quoting </w:t>
      </w:r>
      <w:r w:rsidRPr="00DA269C">
        <w:t>Dominion Tariff, Fourth Revised Sheet No. ECPS 47</w:t>
      </w:r>
      <w:r>
        <w:t>)</w:t>
      </w:r>
      <w:r w:rsidRPr="00DA269C">
        <w:t>.</w:t>
      </w:r>
    </w:p>
  </w:footnote>
  <w:footnote w:id="17">
    <w:p w:rsidR="00B8404D" w:rsidRPr="00B8404D" w:rsidP="000E07DF" w14:paraId="608657E4" w14:textId="744B0DCF">
      <w:pPr>
        <w:pStyle w:val="FootnoteText"/>
        <w:spacing w:after="120"/>
      </w:pPr>
      <w:r>
        <w:rPr>
          <w:rStyle w:val="FootnoteReference"/>
        </w:rPr>
        <w:footnoteRef/>
      </w:r>
      <w:r>
        <w:t xml:space="preserve"> </w:t>
      </w:r>
      <w:r>
        <w:rPr>
          <w:i/>
          <w:iCs/>
        </w:rPr>
        <w:t xml:space="preserve">Id. </w:t>
      </w:r>
      <w:r>
        <w:t>at 9.</w:t>
      </w:r>
    </w:p>
  </w:footnote>
  <w:footnote w:id="18">
    <w:p w:rsidR="00886031" w:rsidP="000E07DF" w14:paraId="1375FFEA" w14:textId="2554E1C3">
      <w:pPr>
        <w:pStyle w:val="FootnoteText"/>
        <w:spacing w:after="120"/>
      </w:pPr>
      <w:r>
        <w:rPr>
          <w:rStyle w:val="FootnoteReference"/>
        </w:rPr>
        <w:footnoteRef/>
      </w:r>
      <w:r>
        <w:t xml:space="preserve"> </w:t>
      </w:r>
      <w:r>
        <w:rPr>
          <w:i/>
          <w:iCs/>
        </w:rPr>
        <w:t xml:space="preserve">See </w:t>
      </w:r>
      <w:r>
        <w:t>16 C.F.R. §260.5</w:t>
      </w:r>
      <w:r w:rsidR="000E07DF">
        <w:t>.</w:t>
      </w:r>
    </w:p>
  </w:footnote>
  <w:footnote w:id="19">
    <w:p w:rsidR="00FB699C" w:rsidP="000E07DF" w14:paraId="5DBE9926" w14:textId="7420D779">
      <w:pPr>
        <w:pStyle w:val="FootnoteText"/>
        <w:spacing w:after="120"/>
      </w:pPr>
      <w:r>
        <w:rPr>
          <w:rStyle w:val="FootnoteReference"/>
        </w:rPr>
        <w:footnoteRef/>
      </w:r>
      <w:r>
        <w:t xml:space="preserve"> Dominion Initial Brief, at 13-15; RESA Initial Brief, at 7-9; NRG Initial Brief, at 11-13.</w:t>
      </w:r>
    </w:p>
  </w:footnote>
  <w:footnote w:id="20">
    <w:p w:rsidR="00334119" w:rsidRPr="00334119" w:rsidP="000E07DF" w14:paraId="06FB9138" w14:textId="1842F7B2">
      <w:pPr>
        <w:pStyle w:val="FootnoteText"/>
        <w:spacing w:after="120"/>
      </w:pPr>
      <w:r>
        <w:rPr>
          <w:rStyle w:val="FootnoteReference"/>
        </w:rPr>
        <w:footnoteRef/>
      </w:r>
      <w:r>
        <w:t xml:space="preserve"> </w:t>
      </w:r>
      <w:r>
        <w:rPr>
          <w:i/>
          <w:iCs/>
        </w:rPr>
        <w:t>Id.</w:t>
      </w:r>
      <w:r>
        <w:t xml:space="preserve"> at 12-13.</w:t>
      </w:r>
    </w:p>
  </w:footnote>
  <w:footnote w:id="21">
    <w:p w:rsidR="0086069D" w:rsidP="000E07DF" w14:paraId="58CB16F8" w14:textId="223CC81E">
      <w:pPr>
        <w:pStyle w:val="FootnoteText"/>
        <w:spacing w:after="120"/>
      </w:pPr>
      <w:r>
        <w:rPr>
          <w:rStyle w:val="FootnoteReference"/>
        </w:rPr>
        <w:footnoteRef/>
      </w:r>
      <w:r>
        <w:t xml:space="preserve"> Dominion Initial Brief, at 14; RESA Initial Brief, at </w:t>
      </w:r>
      <w:r w:rsidR="00D40017">
        <w:t>7-8.</w:t>
      </w:r>
    </w:p>
  </w:footnote>
  <w:footnote w:id="22">
    <w:p w:rsidR="00DD7FAD" w:rsidP="000E07DF" w14:paraId="6498ABF4" w14:textId="55BAFAFC">
      <w:pPr>
        <w:pStyle w:val="FootnoteText"/>
        <w:spacing w:after="120"/>
      </w:pPr>
      <w:r>
        <w:rPr>
          <w:rStyle w:val="FootnoteReference"/>
        </w:rPr>
        <w:footnoteRef/>
      </w:r>
      <w:r>
        <w:t xml:space="preserve"> </w:t>
      </w:r>
      <w:r w:rsidR="00262728">
        <w:t xml:space="preserve">OCC Ex. 1.0 (Tinkham Direct), </w:t>
      </w:r>
      <w:r>
        <w:t xml:space="preserve">at 7 (quoting </w:t>
      </w:r>
      <w:r w:rsidRPr="00DA269C">
        <w:t>Dominion Tariff, Fourth Revised Sheet No. ECPS 47</w:t>
      </w:r>
      <w:r>
        <w:t>)</w:t>
      </w:r>
      <w:r w:rsidRPr="00DA269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4393" w14:paraId="2782581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4393" w14:paraId="39A9F62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4393" w14:paraId="597EC60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9F1E9F"/>
    <w:multiLevelType w:val="hybridMultilevel"/>
    <w:tmpl w:val="DBB066E2"/>
    <w:lvl w:ilvl="0">
      <w:start w:val="100"/>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F8045CB"/>
    <w:multiLevelType w:val="hybridMultilevel"/>
    <w:tmpl w:val="F88E12C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5807D40"/>
    <w:multiLevelType w:val="hybridMultilevel"/>
    <w:tmpl w:val="98F20C16"/>
    <w:lvl w:ilvl="0">
      <w:start w:val="1"/>
      <w:numFmt w:val="upperRoman"/>
      <w:lvlText w:val="%1."/>
      <w:lvlJc w:val="left"/>
      <w:pPr>
        <w:ind w:left="144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A99201C"/>
    <w:multiLevelType w:val="hybridMultilevel"/>
    <w:tmpl w:val="D2AEE414"/>
    <w:lvl w:ilvl="0">
      <w:start w:val="6"/>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C872C21"/>
    <w:multiLevelType w:val="hybridMultilevel"/>
    <w:tmpl w:val="8EB08F22"/>
    <w:lvl w:ilvl="0">
      <w:start w:val="1"/>
      <w:numFmt w:val="low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
    <w:nsid w:val="1FBA5653"/>
    <w:multiLevelType w:val="hybridMultilevel"/>
    <w:tmpl w:val="949A3DE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32C7F84"/>
    <w:multiLevelType w:val="hybridMultilevel"/>
    <w:tmpl w:val="A112AF26"/>
    <w:lvl w:ilvl="0">
      <w:start w:val="1"/>
      <w:numFmt w:val="upperLetter"/>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5626C71"/>
    <w:multiLevelType w:val="hybridMultilevel"/>
    <w:tmpl w:val="0CDA818C"/>
    <w:lvl w:ilvl="0">
      <w:start w:val="500"/>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6AA0427"/>
    <w:multiLevelType w:val="hybridMultilevel"/>
    <w:tmpl w:val="B3F4361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B4C109A"/>
    <w:multiLevelType w:val="hybridMultilevel"/>
    <w:tmpl w:val="78C47944"/>
    <w:lvl w:ilvl="0">
      <w:start w:val="6"/>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C942FCD"/>
    <w:multiLevelType w:val="hybridMultilevel"/>
    <w:tmpl w:val="0EC4BEF4"/>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
    <w:nsid w:val="44A240E7"/>
    <w:multiLevelType w:val="hybridMultilevel"/>
    <w:tmpl w:val="C0285B9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553A5755"/>
    <w:multiLevelType w:val="hybridMultilevel"/>
    <w:tmpl w:val="E36C4EF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nsid w:val="63684789"/>
    <w:multiLevelType w:val="hybridMultilevel"/>
    <w:tmpl w:val="FA2E76A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8">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9">
    <w:nsid w:val="6CC33191"/>
    <w:multiLevelType w:val="hybridMultilevel"/>
    <w:tmpl w:val="3DAC464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6E591E06"/>
    <w:multiLevelType w:val="hybridMultilevel"/>
    <w:tmpl w:val="DFD2377C"/>
    <w:lvl w:ilvl="0">
      <w:start w:val="6"/>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4E26575"/>
    <w:multiLevelType w:val="hybridMultilevel"/>
    <w:tmpl w:val="EAAC519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3">
    <w:nsid w:val="78E409F9"/>
    <w:multiLevelType w:val="hybridMultilevel"/>
    <w:tmpl w:val="138EB6E2"/>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7D347A13"/>
    <w:multiLevelType w:val="hybridMultilevel"/>
    <w:tmpl w:val="A566E67C"/>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5"/>
  </w:num>
  <w:num w:numId="2">
    <w:abstractNumId w:val="13"/>
  </w:num>
  <w:num w:numId="3">
    <w:abstractNumId w:val="18"/>
  </w:num>
  <w:num w:numId="4">
    <w:abstractNumId w:val="16"/>
  </w:num>
  <w:num w:numId="5">
    <w:abstractNumId w:val="1"/>
  </w:num>
  <w:num w:numId="6">
    <w:abstractNumId w:val="22"/>
  </w:num>
  <w:num w:numId="7">
    <w:abstractNumId w:val="23"/>
  </w:num>
  <w:num w:numId="8">
    <w:abstractNumId w:val="3"/>
  </w:num>
  <w:num w:numId="9">
    <w:abstractNumId w:val="14"/>
  </w:num>
  <w:num w:numId="10">
    <w:abstractNumId w:val="9"/>
  </w:num>
  <w:num w:numId="11">
    <w:abstractNumId w:val="0"/>
  </w:num>
  <w:num w:numId="12">
    <w:abstractNumId w:val="8"/>
  </w:num>
  <w:num w:numId="13">
    <w:abstractNumId w:val="4"/>
  </w:num>
  <w:num w:numId="14">
    <w:abstractNumId w:val="20"/>
  </w:num>
  <w:num w:numId="15">
    <w:abstractNumId w:val="10"/>
  </w:num>
  <w:num w:numId="16">
    <w:abstractNumId w:val="7"/>
  </w:num>
  <w:num w:numId="17">
    <w:abstractNumId w:val="24"/>
  </w:num>
  <w:num w:numId="18">
    <w:abstractNumId w:val="6"/>
  </w:num>
  <w:num w:numId="19">
    <w:abstractNumId w:val="19"/>
  </w:num>
  <w:num w:numId="20">
    <w:abstractNumId w:val="5"/>
  </w:num>
  <w:num w:numId="21">
    <w:abstractNumId w:val="17"/>
  </w:num>
  <w:num w:numId="22">
    <w:abstractNumId w:val="21"/>
  </w:num>
  <w:num w:numId="23">
    <w:abstractNumId w:val="12"/>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5D6"/>
    <w:rsid w:val="000002F7"/>
    <w:rsid w:val="000006D2"/>
    <w:rsid w:val="00000F96"/>
    <w:rsid w:val="00001F79"/>
    <w:rsid w:val="0001613F"/>
    <w:rsid w:val="0002027E"/>
    <w:rsid w:val="00022334"/>
    <w:rsid w:val="00022535"/>
    <w:rsid w:val="0002568F"/>
    <w:rsid w:val="00030938"/>
    <w:rsid w:val="0003117F"/>
    <w:rsid w:val="00035473"/>
    <w:rsid w:val="00035C62"/>
    <w:rsid w:val="0004046D"/>
    <w:rsid w:val="000420E7"/>
    <w:rsid w:val="00042596"/>
    <w:rsid w:val="00044612"/>
    <w:rsid w:val="00046BA2"/>
    <w:rsid w:val="0004752E"/>
    <w:rsid w:val="00052C4D"/>
    <w:rsid w:val="00053648"/>
    <w:rsid w:val="00055682"/>
    <w:rsid w:val="000600DE"/>
    <w:rsid w:val="00060C36"/>
    <w:rsid w:val="00062471"/>
    <w:rsid w:val="00062F2F"/>
    <w:rsid w:val="000630B5"/>
    <w:rsid w:val="000650EC"/>
    <w:rsid w:val="000747F9"/>
    <w:rsid w:val="0008198B"/>
    <w:rsid w:val="0008236D"/>
    <w:rsid w:val="0008399F"/>
    <w:rsid w:val="00086773"/>
    <w:rsid w:val="0008791C"/>
    <w:rsid w:val="000B242C"/>
    <w:rsid w:val="000B2972"/>
    <w:rsid w:val="000B31EF"/>
    <w:rsid w:val="000C4C29"/>
    <w:rsid w:val="000C5BA8"/>
    <w:rsid w:val="000D049B"/>
    <w:rsid w:val="000D6B62"/>
    <w:rsid w:val="000E0699"/>
    <w:rsid w:val="000E07DF"/>
    <w:rsid w:val="000E2627"/>
    <w:rsid w:val="000E3798"/>
    <w:rsid w:val="000F03DC"/>
    <w:rsid w:val="000F058C"/>
    <w:rsid w:val="000F206B"/>
    <w:rsid w:val="000F2A42"/>
    <w:rsid w:val="00100DAD"/>
    <w:rsid w:val="00103F45"/>
    <w:rsid w:val="00106734"/>
    <w:rsid w:val="001075A3"/>
    <w:rsid w:val="00111686"/>
    <w:rsid w:val="00114698"/>
    <w:rsid w:val="00122F38"/>
    <w:rsid w:val="001245B7"/>
    <w:rsid w:val="001321E1"/>
    <w:rsid w:val="001341AE"/>
    <w:rsid w:val="001361BC"/>
    <w:rsid w:val="00136B1F"/>
    <w:rsid w:val="001401CE"/>
    <w:rsid w:val="00141D27"/>
    <w:rsid w:val="00150DC7"/>
    <w:rsid w:val="00154718"/>
    <w:rsid w:val="00161A50"/>
    <w:rsid w:val="00161F4B"/>
    <w:rsid w:val="00192625"/>
    <w:rsid w:val="001A2CAF"/>
    <w:rsid w:val="001A4051"/>
    <w:rsid w:val="001A6575"/>
    <w:rsid w:val="001B0FF2"/>
    <w:rsid w:val="001B1C13"/>
    <w:rsid w:val="001B53E3"/>
    <w:rsid w:val="001B7D42"/>
    <w:rsid w:val="001D3370"/>
    <w:rsid w:val="001F02F4"/>
    <w:rsid w:val="001F1349"/>
    <w:rsid w:val="001F3CDB"/>
    <w:rsid w:val="002034D9"/>
    <w:rsid w:val="00204393"/>
    <w:rsid w:val="0020485D"/>
    <w:rsid w:val="00213F71"/>
    <w:rsid w:val="002145B5"/>
    <w:rsid w:val="00217777"/>
    <w:rsid w:val="00220A23"/>
    <w:rsid w:val="002219BC"/>
    <w:rsid w:val="002239EA"/>
    <w:rsid w:val="00224A09"/>
    <w:rsid w:val="00224DCB"/>
    <w:rsid w:val="00227FA6"/>
    <w:rsid w:val="002306E2"/>
    <w:rsid w:val="002313BE"/>
    <w:rsid w:val="00231D82"/>
    <w:rsid w:val="00232CFE"/>
    <w:rsid w:val="00233C22"/>
    <w:rsid w:val="00233CB6"/>
    <w:rsid w:val="00234A32"/>
    <w:rsid w:val="0024447F"/>
    <w:rsid w:val="00252FC2"/>
    <w:rsid w:val="00260C99"/>
    <w:rsid w:val="00262728"/>
    <w:rsid w:val="002633DB"/>
    <w:rsid w:val="00270857"/>
    <w:rsid w:val="00270BEA"/>
    <w:rsid w:val="00272A96"/>
    <w:rsid w:val="002748A1"/>
    <w:rsid w:val="00274C6E"/>
    <w:rsid w:val="00281790"/>
    <w:rsid w:val="00281D53"/>
    <w:rsid w:val="002A1859"/>
    <w:rsid w:val="002A23F0"/>
    <w:rsid w:val="002A5A46"/>
    <w:rsid w:val="002B2205"/>
    <w:rsid w:val="002B78C7"/>
    <w:rsid w:val="002C00A5"/>
    <w:rsid w:val="002C6C5C"/>
    <w:rsid w:val="002D11C5"/>
    <w:rsid w:val="002D42F3"/>
    <w:rsid w:val="002E49F5"/>
    <w:rsid w:val="002E6348"/>
    <w:rsid w:val="002F1357"/>
    <w:rsid w:val="002F13D4"/>
    <w:rsid w:val="002F217B"/>
    <w:rsid w:val="002F3321"/>
    <w:rsid w:val="002F3929"/>
    <w:rsid w:val="002F7C81"/>
    <w:rsid w:val="0030691E"/>
    <w:rsid w:val="00306B70"/>
    <w:rsid w:val="00310800"/>
    <w:rsid w:val="0031242C"/>
    <w:rsid w:val="00315E57"/>
    <w:rsid w:val="0031647C"/>
    <w:rsid w:val="00320755"/>
    <w:rsid w:val="00324117"/>
    <w:rsid w:val="003262A6"/>
    <w:rsid w:val="0032646D"/>
    <w:rsid w:val="00327D75"/>
    <w:rsid w:val="00334119"/>
    <w:rsid w:val="00337CAC"/>
    <w:rsid w:val="00340405"/>
    <w:rsid w:val="00341992"/>
    <w:rsid w:val="00346D9E"/>
    <w:rsid w:val="0035430B"/>
    <w:rsid w:val="003561C2"/>
    <w:rsid w:val="003608B3"/>
    <w:rsid w:val="00361852"/>
    <w:rsid w:val="00364374"/>
    <w:rsid w:val="0036781B"/>
    <w:rsid w:val="003705D8"/>
    <w:rsid w:val="00371664"/>
    <w:rsid w:val="00375CA1"/>
    <w:rsid w:val="003771CD"/>
    <w:rsid w:val="00377686"/>
    <w:rsid w:val="003801CA"/>
    <w:rsid w:val="0039196E"/>
    <w:rsid w:val="003A3C97"/>
    <w:rsid w:val="003A5734"/>
    <w:rsid w:val="003B64FB"/>
    <w:rsid w:val="003C2C7C"/>
    <w:rsid w:val="003C6E90"/>
    <w:rsid w:val="003D001D"/>
    <w:rsid w:val="003D467F"/>
    <w:rsid w:val="003D6C0C"/>
    <w:rsid w:val="003D7CCD"/>
    <w:rsid w:val="003F1105"/>
    <w:rsid w:val="003F47DE"/>
    <w:rsid w:val="003F4B0B"/>
    <w:rsid w:val="00421CF6"/>
    <w:rsid w:val="00421F82"/>
    <w:rsid w:val="004229C3"/>
    <w:rsid w:val="00431365"/>
    <w:rsid w:val="004343DD"/>
    <w:rsid w:val="00437547"/>
    <w:rsid w:val="0044413D"/>
    <w:rsid w:val="00454F0A"/>
    <w:rsid w:val="0045612C"/>
    <w:rsid w:val="00457B22"/>
    <w:rsid w:val="00460D90"/>
    <w:rsid w:val="0046257E"/>
    <w:rsid w:val="00462D72"/>
    <w:rsid w:val="0046648B"/>
    <w:rsid w:val="00474F2F"/>
    <w:rsid w:val="00480FAA"/>
    <w:rsid w:val="00482777"/>
    <w:rsid w:val="00482FC2"/>
    <w:rsid w:val="004856CA"/>
    <w:rsid w:val="004860AE"/>
    <w:rsid w:val="004869EB"/>
    <w:rsid w:val="004A3C0B"/>
    <w:rsid w:val="004A421C"/>
    <w:rsid w:val="004A539E"/>
    <w:rsid w:val="004B0DA4"/>
    <w:rsid w:val="004C5091"/>
    <w:rsid w:val="004D125B"/>
    <w:rsid w:val="004D2741"/>
    <w:rsid w:val="004E0590"/>
    <w:rsid w:val="004E61F9"/>
    <w:rsid w:val="004F0592"/>
    <w:rsid w:val="004F13C6"/>
    <w:rsid w:val="004F17B5"/>
    <w:rsid w:val="004F1B83"/>
    <w:rsid w:val="004F3298"/>
    <w:rsid w:val="004F3EDB"/>
    <w:rsid w:val="004F46FC"/>
    <w:rsid w:val="004F59DD"/>
    <w:rsid w:val="00500876"/>
    <w:rsid w:val="00501F91"/>
    <w:rsid w:val="00503B0D"/>
    <w:rsid w:val="00506520"/>
    <w:rsid w:val="00514DB6"/>
    <w:rsid w:val="00516DF1"/>
    <w:rsid w:val="00535358"/>
    <w:rsid w:val="005442EA"/>
    <w:rsid w:val="00560B36"/>
    <w:rsid w:val="00562F65"/>
    <w:rsid w:val="00566293"/>
    <w:rsid w:val="00567A0D"/>
    <w:rsid w:val="00571120"/>
    <w:rsid w:val="00581977"/>
    <w:rsid w:val="00582C1B"/>
    <w:rsid w:val="005833B8"/>
    <w:rsid w:val="00587190"/>
    <w:rsid w:val="00591846"/>
    <w:rsid w:val="005A0DC7"/>
    <w:rsid w:val="005A33E6"/>
    <w:rsid w:val="005A668B"/>
    <w:rsid w:val="005B328C"/>
    <w:rsid w:val="005B7AD5"/>
    <w:rsid w:val="005C4AE3"/>
    <w:rsid w:val="005D43EB"/>
    <w:rsid w:val="005D5C39"/>
    <w:rsid w:val="005D7B6B"/>
    <w:rsid w:val="005E1AF6"/>
    <w:rsid w:val="005E2BE1"/>
    <w:rsid w:val="005E57B6"/>
    <w:rsid w:val="005F3FB1"/>
    <w:rsid w:val="005F6B26"/>
    <w:rsid w:val="00600219"/>
    <w:rsid w:val="006004A9"/>
    <w:rsid w:val="00600A4D"/>
    <w:rsid w:val="00602818"/>
    <w:rsid w:val="00603E99"/>
    <w:rsid w:val="00603F49"/>
    <w:rsid w:val="00605FE2"/>
    <w:rsid w:val="00622963"/>
    <w:rsid w:val="00622B49"/>
    <w:rsid w:val="0062559A"/>
    <w:rsid w:val="00630CA6"/>
    <w:rsid w:val="00634F66"/>
    <w:rsid w:val="00635051"/>
    <w:rsid w:val="006375FD"/>
    <w:rsid w:val="006606B7"/>
    <w:rsid w:val="006613A2"/>
    <w:rsid w:val="00662500"/>
    <w:rsid w:val="0066655F"/>
    <w:rsid w:val="006671D7"/>
    <w:rsid w:val="00671EA7"/>
    <w:rsid w:val="00672540"/>
    <w:rsid w:val="006821A6"/>
    <w:rsid w:val="00683454"/>
    <w:rsid w:val="00683E52"/>
    <w:rsid w:val="00690DF1"/>
    <w:rsid w:val="00692DDB"/>
    <w:rsid w:val="0069675C"/>
    <w:rsid w:val="0069794C"/>
    <w:rsid w:val="006A49C4"/>
    <w:rsid w:val="006A729B"/>
    <w:rsid w:val="006B6D4A"/>
    <w:rsid w:val="006C0C25"/>
    <w:rsid w:val="006C68A7"/>
    <w:rsid w:val="006E2EAA"/>
    <w:rsid w:val="006E442A"/>
    <w:rsid w:val="006E5AC6"/>
    <w:rsid w:val="006E76CD"/>
    <w:rsid w:val="006F4F6F"/>
    <w:rsid w:val="006F50B4"/>
    <w:rsid w:val="006F7808"/>
    <w:rsid w:val="006F7D5E"/>
    <w:rsid w:val="00705F8D"/>
    <w:rsid w:val="00711CE4"/>
    <w:rsid w:val="00713754"/>
    <w:rsid w:val="00723A37"/>
    <w:rsid w:val="00732A17"/>
    <w:rsid w:val="00736089"/>
    <w:rsid w:val="0073626D"/>
    <w:rsid w:val="00742DDD"/>
    <w:rsid w:val="00743903"/>
    <w:rsid w:val="00750FB2"/>
    <w:rsid w:val="00752C80"/>
    <w:rsid w:val="00760DDE"/>
    <w:rsid w:val="0076137D"/>
    <w:rsid w:val="00767FD4"/>
    <w:rsid w:val="007727A0"/>
    <w:rsid w:val="00773CB9"/>
    <w:rsid w:val="00775C03"/>
    <w:rsid w:val="007760E4"/>
    <w:rsid w:val="0077698C"/>
    <w:rsid w:val="00781A5C"/>
    <w:rsid w:val="0079718E"/>
    <w:rsid w:val="007A38B0"/>
    <w:rsid w:val="007B1A58"/>
    <w:rsid w:val="007B381E"/>
    <w:rsid w:val="007B3CAF"/>
    <w:rsid w:val="007B59CF"/>
    <w:rsid w:val="007B6743"/>
    <w:rsid w:val="007C0B6C"/>
    <w:rsid w:val="007C1C73"/>
    <w:rsid w:val="007C57D5"/>
    <w:rsid w:val="007D7130"/>
    <w:rsid w:val="007F15D6"/>
    <w:rsid w:val="007F1ECF"/>
    <w:rsid w:val="007F20AB"/>
    <w:rsid w:val="007F502C"/>
    <w:rsid w:val="007F545C"/>
    <w:rsid w:val="00801656"/>
    <w:rsid w:val="008120FB"/>
    <w:rsid w:val="0081390D"/>
    <w:rsid w:val="00820837"/>
    <w:rsid w:val="008246F5"/>
    <w:rsid w:val="00824C1C"/>
    <w:rsid w:val="00824D53"/>
    <w:rsid w:val="00826EF9"/>
    <w:rsid w:val="00835306"/>
    <w:rsid w:val="00837BEC"/>
    <w:rsid w:val="0086069D"/>
    <w:rsid w:val="00864D1A"/>
    <w:rsid w:val="008741F3"/>
    <w:rsid w:val="0087434C"/>
    <w:rsid w:val="0088249A"/>
    <w:rsid w:val="00882714"/>
    <w:rsid w:val="008853EC"/>
    <w:rsid w:val="00886031"/>
    <w:rsid w:val="008873F8"/>
    <w:rsid w:val="008964DF"/>
    <w:rsid w:val="008968A1"/>
    <w:rsid w:val="008A5447"/>
    <w:rsid w:val="008A70C3"/>
    <w:rsid w:val="008B0514"/>
    <w:rsid w:val="008C13F5"/>
    <w:rsid w:val="008C6FB2"/>
    <w:rsid w:val="008E3462"/>
    <w:rsid w:val="008E41A5"/>
    <w:rsid w:val="008E67DD"/>
    <w:rsid w:val="008F4BE1"/>
    <w:rsid w:val="008F61A0"/>
    <w:rsid w:val="009047E4"/>
    <w:rsid w:val="00905C6A"/>
    <w:rsid w:val="0091464A"/>
    <w:rsid w:val="009249EF"/>
    <w:rsid w:val="009251F5"/>
    <w:rsid w:val="009427F6"/>
    <w:rsid w:val="00942C56"/>
    <w:rsid w:val="00947327"/>
    <w:rsid w:val="0094796C"/>
    <w:rsid w:val="00947DDB"/>
    <w:rsid w:val="009525CC"/>
    <w:rsid w:val="0095605E"/>
    <w:rsid w:val="009567B4"/>
    <w:rsid w:val="00963BF9"/>
    <w:rsid w:val="00965E03"/>
    <w:rsid w:val="009668DC"/>
    <w:rsid w:val="00971ADD"/>
    <w:rsid w:val="00983005"/>
    <w:rsid w:val="00986CEC"/>
    <w:rsid w:val="009871AC"/>
    <w:rsid w:val="00996F86"/>
    <w:rsid w:val="00997C8C"/>
    <w:rsid w:val="009A760A"/>
    <w:rsid w:val="009A7A46"/>
    <w:rsid w:val="009B2290"/>
    <w:rsid w:val="009B3C94"/>
    <w:rsid w:val="009C0D9A"/>
    <w:rsid w:val="009C51CD"/>
    <w:rsid w:val="009C5FA7"/>
    <w:rsid w:val="009D06F8"/>
    <w:rsid w:val="009D37EA"/>
    <w:rsid w:val="009D7360"/>
    <w:rsid w:val="009E0A79"/>
    <w:rsid w:val="009E1199"/>
    <w:rsid w:val="009E36C5"/>
    <w:rsid w:val="009F5BEB"/>
    <w:rsid w:val="00A01D9E"/>
    <w:rsid w:val="00A044B5"/>
    <w:rsid w:val="00A0543A"/>
    <w:rsid w:val="00A15DBB"/>
    <w:rsid w:val="00A22827"/>
    <w:rsid w:val="00A231B2"/>
    <w:rsid w:val="00A2560A"/>
    <w:rsid w:val="00A30226"/>
    <w:rsid w:val="00A34751"/>
    <w:rsid w:val="00A50613"/>
    <w:rsid w:val="00A56630"/>
    <w:rsid w:val="00A6651F"/>
    <w:rsid w:val="00A700C4"/>
    <w:rsid w:val="00A853C4"/>
    <w:rsid w:val="00A93AB6"/>
    <w:rsid w:val="00AA19AC"/>
    <w:rsid w:val="00AA2085"/>
    <w:rsid w:val="00AA433F"/>
    <w:rsid w:val="00AA4DD4"/>
    <w:rsid w:val="00AA59CB"/>
    <w:rsid w:val="00AB4BC0"/>
    <w:rsid w:val="00AB7E9F"/>
    <w:rsid w:val="00AC2226"/>
    <w:rsid w:val="00AD03CC"/>
    <w:rsid w:val="00AD1804"/>
    <w:rsid w:val="00AD2A8A"/>
    <w:rsid w:val="00AD2D70"/>
    <w:rsid w:val="00AE6986"/>
    <w:rsid w:val="00AF4374"/>
    <w:rsid w:val="00B00C7E"/>
    <w:rsid w:val="00B10AD4"/>
    <w:rsid w:val="00B1572E"/>
    <w:rsid w:val="00B164B1"/>
    <w:rsid w:val="00B17BB7"/>
    <w:rsid w:val="00B26D5E"/>
    <w:rsid w:val="00B32B46"/>
    <w:rsid w:val="00B404A7"/>
    <w:rsid w:val="00B4163D"/>
    <w:rsid w:val="00B42DBE"/>
    <w:rsid w:val="00B449BD"/>
    <w:rsid w:val="00B44EBD"/>
    <w:rsid w:val="00B453A7"/>
    <w:rsid w:val="00B464C2"/>
    <w:rsid w:val="00B52D65"/>
    <w:rsid w:val="00B629AC"/>
    <w:rsid w:val="00B67662"/>
    <w:rsid w:val="00B7227D"/>
    <w:rsid w:val="00B74745"/>
    <w:rsid w:val="00B805DD"/>
    <w:rsid w:val="00B828DF"/>
    <w:rsid w:val="00B838CC"/>
    <w:rsid w:val="00B8404D"/>
    <w:rsid w:val="00B91039"/>
    <w:rsid w:val="00B91211"/>
    <w:rsid w:val="00B91A0C"/>
    <w:rsid w:val="00BA0FDC"/>
    <w:rsid w:val="00BA5B96"/>
    <w:rsid w:val="00BA7331"/>
    <w:rsid w:val="00BB3C55"/>
    <w:rsid w:val="00BB55C0"/>
    <w:rsid w:val="00BC2C68"/>
    <w:rsid w:val="00BC68E5"/>
    <w:rsid w:val="00BE1E4D"/>
    <w:rsid w:val="00BE35EC"/>
    <w:rsid w:val="00BE59A7"/>
    <w:rsid w:val="00C13DE5"/>
    <w:rsid w:val="00C15065"/>
    <w:rsid w:val="00C15E2C"/>
    <w:rsid w:val="00C25E86"/>
    <w:rsid w:val="00C346F3"/>
    <w:rsid w:val="00C415C2"/>
    <w:rsid w:val="00C458D2"/>
    <w:rsid w:val="00C462BF"/>
    <w:rsid w:val="00C5036A"/>
    <w:rsid w:val="00C52989"/>
    <w:rsid w:val="00C62557"/>
    <w:rsid w:val="00C64B53"/>
    <w:rsid w:val="00C671D7"/>
    <w:rsid w:val="00C7538D"/>
    <w:rsid w:val="00C83ECB"/>
    <w:rsid w:val="00C859B8"/>
    <w:rsid w:val="00C924CC"/>
    <w:rsid w:val="00C94B94"/>
    <w:rsid w:val="00CA0AB3"/>
    <w:rsid w:val="00CA3F81"/>
    <w:rsid w:val="00CA42DA"/>
    <w:rsid w:val="00CA59C6"/>
    <w:rsid w:val="00CA7791"/>
    <w:rsid w:val="00CC011B"/>
    <w:rsid w:val="00CC2B2A"/>
    <w:rsid w:val="00CD6174"/>
    <w:rsid w:val="00CE00E4"/>
    <w:rsid w:val="00CE3BA5"/>
    <w:rsid w:val="00CE46EF"/>
    <w:rsid w:val="00CF225A"/>
    <w:rsid w:val="00CF5176"/>
    <w:rsid w:val="00CF573D"/>
    <w:rsid w:val="00CF7AA5"/>
    <w:rsid w:val="00D030FA"/>
    <w:rsid w:val="00D06574"/>
    <w:rsid w:val="00D068B0"/>
    <w:rsid w:val="00D2007D"/>
    <w:rsid w:val="00D22A05"/>
    <w:rsid w:val="00D3013A"/>
    <w:rsid w:val="00D371BA"/>
    <w:rsid w:val="00D3793F"/>
    <w:rsid w:val="00D40017"/>
    <w:rsid w:val="00D427FB"/>
    <w:rsid w:val="00D502A5"/>
    <w:rsid w:val="00D5251B"/>
    <w:rsid w:val="00D53ACA"/>
    <w:rsid w:val="00D605E5"/>
    <w:rsid w:val="00D60E87"/>
    <w:rsid w:val="00D65BDE"/>
    <w:rsid w:val="00D660D5"/>
    <w:rsid w:val="00D73E71"/>
    <w:rsid w:val="00D7510D"/>
    <w:rsid w:val="00D765E6"/>
    <w:rsid w:val="00D77DA7"/>
    <w:rsid w:val="00D80256"/>
    <w:rsid w:val="00D83EB1"/>
    <w:rsid w:val="00D87C3B"/>
    <w:rsid w:val="00D94497"/>
    <w:rsid w:val="00D96381"/>
    <w:rsid w:val="00DA269C"/>
    <w:rsid w:val="00DA3BA0"/>
    <w:rsid w:val="00DA47AD"/>
    <w:rsid w:val="00DA7823"/>
    <w:rsid w:val="00DC1265"/>
    <w:rsid w:val="00DC4AEF"/>
    <w:rsid w:val="00DD1C14"/>
    <w:rsid w:val="00DD2872"/>
    <w:rsid w:val="00DD339D"/>
    <w:rsid w:val="00DD54F9"/>
    <w:rsid w:val="00DD603B"/>
    <w:rsid w:val="00DD7FAD"/>
    <w:rsid w:val="00DE03C8"/>
    <w:rsid w:val="00DE3FC1"/>
    <w:rsid w:val="00DE50A0"/>
    <w:rsid w:val="00DE5A94"/>
    <w:rsid w:val="00DE70A1"/>
    <w:rsid w:val="00DF2724"/>
    <w:rsid w:val="00DF6691"/>
    <w:rsid w:val="00DF6B6B"/>
    <w:rsid w:val="00E00293"/>
    <w:rsid w:val="00E12612"/>
    <w:rsid w:val="00E239FB"/>
    <w:rsid w:val="00E23FF8"/>
    <w:rsid w:val="00E24F04"/>
    <w:rsid w:val="00E269D3"/>
    <w:rsid w:val="00E3048C"/>
    <w:rsid w:val="00E33490"/>
    <w:rsid w:val="00E364D3"/>
    <w:rsid w:val="00E43272"/>
    <w:rsid w:val="00E44894"/>
    <w:rsid w:val="00E47D84"/>
    <w:rsid w:val="00E51868"/>
    <w:rsid w:val="00E55E7F"/>
    <w:rsid w:val="00E57D1C"/>
    <w:rsid w:val="00E63296"/>
    <w:rsid w:val="00E634C4"/>
    <w:rsid w:val="00E72FA8"/>
    <w:rsid w:val="00E94266"/>
    <w:rsid w:val="00E95140"/>
    <w:rsid w:val="00E965AD"/>
    <w:rsid w:val="00E96D08"/>
    <w:rsid w:val="00EA162B"/>
    <w:rsid w:val="00EA231C"/>
    <w:rsid w:val="00EB042B"/>
    <w:rsid w:val="00EB04D1"/>
    <w:rsid w:val="00EB1AB2"/>
    <w:rsid w:val="00EC10C4"/>
    <w:rsid w:val="00EC124B"/>
    <w:rsid w:val="00EC19AB"/>
    <w:rsid w:val="00EC3E34"/>
    <w:rsid w:val="00EC48EC"/>
    <w:rsid w:val="00EC55AB"/>
    <w:rsid w:val="00EC6175"/>
    <w:rsid w:val="00ED3836"/>
    <w:rsid w:val="00EE3BBA"/>
    <w:rsid w:val="00EF16BB"/>
    <w:rsid w:val="00EF713A"/>
    <w:rsid w:val="00F00C83"/>
    <w:rsid w:val="00F0287C"/>
    <w:rsid w:val="00F02882"/>
    <w:rsid w:val="00F04F4D"/>
    <w:rsid w:val="00F06EDA"/>
    <w:rsid w:val="00F101BB"/>
    <w:rsid w:val="00F131A5"/>
    <w:rsid w:val="00F13E66"/>
    <w:rsid w:val="00F21ECF"/>
    <w:rsid w:val="00F237A4"/>
    <w:rsid w:val="00F24AA8"/>
    <w:rsid w:val="00F24B60"/>
    <w:rsid w:val="00F32750"/>
    <w:rsid w:val="00F32FA8"/>
    <w:rsid w:val="00F33EC3"/>
    <w:rsid w:val="00F37615"/>
    <w:rsid w:val="00F40A35"/>
    <w:rsid w:val="00F42386"/>
    <w:rsid w:val="00F442A3"/>
    <w:rsid w:val="00F45917"/>
    <w:rsid w:val="00F4732B"/>
    <w:rsid w:val="00F51E82"/>
    <w:rsid w:val="00F542F1"/>
    <w:rsid w:val="00F62182"/>
    <w:rsid w:val="00F6509D"/>
    <w:rsid w:val="00F677E2"/>
    <w:rsid w:val="00F75585"/>
    <w:rsid w:val="00F77BAC"/>
    <w:rsid w:val="00F806DA"/>
    <w:rsid w:val="00F80F35"/>
    <w:rsid w:val="00F9004D"/>
    <w:rsid w:val="00F91E36"/>
    <w:rsid w:val="00F921F1"/>
    <w:rsid w:val="00F92A6E"/>
    <w:rsid w:val="00F92F39"/>
    <w:rsid w:val="00F962A9"/>
    <w:rsid w:val="00FA5FB0"/>
    <w:rsid w:val="00FB699C"/>
    <w:rsid w:val="00FC0F56"/>
    <w:rsid w:val="00FC2535"/>
    <w:rsid w:val="00FC2AFD"/>
    <w:rsid w:val="00FC2EF5"/>
    <w:rsid w:val="00FD55F5"/>
    <w:rsid w:val="00FE2E37"/>
    <w:rsid w:val="00FE7F0A"/>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51FD8BF5"/>
  <w15:docId w15:val="{F4C0B88E-8F64-4E61-893A-E7551AF22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859"/>
    <w:rPr>
      <w:sz w:val="24"/>
    </w:rPr>
  </w:style>
  <w:style w:type="paragraph" w:styleId="Heading1">
    <w:name w:val="heading 1"/>
    <w:basedOn w:val="Normal"/>
    <w:next w:val="Normal"/>
    <w:link w:val="Heading1Char"/>
    <w:qFormat/>
    <w:rsid w:val="0066655F"/>
    <w:pPr>
      <w:keepNext/>
      <w:spacing w:after="240"/>
      <w:ind w:left="720" w:hanging="720"/>
      <w:outlineLvl w:val="0"/>
    </w:pPr>
    <w:rPr>
      <w:b/>
      <w:szCs w:val="24"/>
    </w:rPr>
  </w:style>
  <w:style w:type="paragraph" w:styleId="Heading2">
    <w:name w:val="heading 2"/>
    <w:basedOn w:val="Normal"/>
    <w:next w:val="Normal"/>
    <w:qFormat/>
    <w:rsid w:val="00566293"/>
    <w:pPr>
      <w:keepNext/>
      <w:tabs>
        <w:tab w:val="left" w:pos="4320"/>
      </w:tabs>
      <w:spacing w:after="240"/>
      <w:ind w:left="1440" w:hanging="720"/>
      <w:outlineLvl w:val="1"/>
    </w:pPr>
    <w:rPr>
      <w:b/>
    </w:rPr>
  </w:style>
  <w:style w:type="paragraph" w:styleId="Heading3">
    <w:name w:val="heading 3"/>
    <w:basedOn w:val="Normal"/>
    <w:next w:val="Normal"/>
    <w:qFormat/>
    <w:rsid w:val="00421CF6"/>
    <w:pPr>
      <w:keepNext/>
      <w:spacing w:after="240"/>
      <w:ind w:left="2160" w:hanging="7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uiPriority w:val="99"/>
    <w:rPr>
      <w:color w:val="0000FF"/>
      <w:u w:val="single"/>
    </w:rPr>
  </w:style>
  <w:style w:type="paragraph" w:styleId="FootnoteText">
    <w:name w:val="footnote text"/>
    <w:aliases w:val="ALTS FOOTNOTE,Footnote Text Cha,Footnote Text Char Char4 Char,Footnote Text Char Char4 Char1 Char Char,Footnote Text Char2,Footnote Text Char4 Char,Footnote Text Char4 Char1 Char Char,Footnote Text Char5 Char1 Char Char Char Char Char,fn"/>
    <w:basedOn w:val="Normal"/>
    <w:link w:val="FootnoteTextChar"/>
    <w:uiPriority w:val="99"/>
    <w:qFormat/>
    <w:rPr>
      <w:sz w:val="20"/>
    </w:rPr>
  </w:style>
  <w:style w:type="character" w:styleId="FootnoteReference">
    <w:name w:val="footnote reference"/>
    <w:aliases w:val="(NECG) Footnote Reference,.,Appel note de bas de p,Style 11,Style 12,Style 124,Style 13,Style 15,Style 16,Style 17,Style 18,Style 19,Style 20,Style 21,Style 28,Style 3,Style 4,Style 42,Style 7,Style 8,Style 9,fr,fr1,fr2,fr3,o,o1,o2,o3"/>
    <w:uiPriority w:val="99"/>
    <w:qFormat/>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UnresolvedMention1">
    <w:name w:val="Unresolved Mention1"/>
    <w:basedOn w:val="DefaultParagraphFont"/>
    <w:uiPriority w:val="99"/>
    <w:semiHidden/>
    <w:unhideWhenUsed/>
    <w:rsid w:val="00FE7F0A"/>
    <w:rPr>
      <w:color w:val="605E5C"/>
      <w:shd w:val="clear" w:color="auto" w:fill="E1DFDD"/>
    </w:rPr>
  </w:style>
  <w:style w:type="character" w:customStyle="1" w:styleId="FooterChar">
    <w:name w:val="Footer Char"/>
    <w:basedOn w:val="DefaultParagraphFont"/>
    <w:link w:val="Footer"/>
    <w:uiPriority w:val="99"/>
    <w:rsid w:val="00FE7F0A"/>
  </w:style>
  <w:style w:type="character" w:customStyle="1" w:styleId="UnresolvedMention2">
    <w:name w:val="Unresolved Mention2"/>
    <w:basedOn w:val="DefaultParagraphFont"/>
    <w:rsid w:val="005D7B6B"/>
    <w:rPr>
      <w:color w:val="605E5C"/>
      <w:shd w:val="clear" w:color="auto" w:fill="E1DFDD"/>
    </w:rPr>
  </w:style>
  <w:style w:type="character" w:customStyle="1" w:styleId="HTMLPreformattedChar">
    <w:name w:val="HTML Preformatted Char"/>
    <w:basedOn w:val="DefaultParagraphFont"/>
    <w:link w:val="HTMLPreformatted"/>
    <w:rsid w:val="002F13D4"/>
    <w:rPr>
      <w:rFonts w:ascii="Courier New" w:eastAsia="Courier New" w:hAnsi="Courier New" w:cs="Courier New"/>
    </w:rPr>
  </w:style>
  <w:style w:type="character" w:customStyle="1" w:styleId="UnresolvedMention3">
    <w:name w:val="Unresolved Mention3"/>
    <w:basedOn w:val="DefaultParagraphFont"/>
    <w:rsid w:val="00260C99"/>
    <w:rPr>
      <w:color w:val="605E5C"/>
      <w:shd w:val="clear" w:color="auto" w:fill="E1DFDD"/>
    </w:rPr>
  </w:style>
  <w:style w:type="character" w:customStyle="1" w:styleId="UnresolvedMention4">
    <w:name w:val="Unresolved Mention4"/>
    <w:basedOn w:val="DefaultParagraphFont"/>
    <w:rsid w:val="00C83ECB"/>
    <w:rPr>
      <w:color w:val="605E5C"/>
      <w:shd w:val="clear" w:color="auto" w:fill="E1DFDD"/>
    </w:rPr>
  </w:style>
  <w:style w:type="paragraph" w:styleId="Revision">
    <w:name w:val="Revision"/>
    <w:hidden/>
    <w:uiPriority w:val="99"/>
    <w:semiHidden/>
    <w:rsid w:val="002313BE"/>
    <w:rPr>
      <w:sz w:val="24"/>
    </w:rPr>
  </w:style>
  <w:style w:type="paragraph" w:styleId="ListParagraph">
    <w:name w:val="List Paragraph"/>
    <w:basedOn w:val="Normal"/>
    <w:uiPriority w:val="34"/>
    <w:qFormat/>
    <w:rsid w:val="000F058C"/>
    <w:pPr>
      <w:ind w:left="720"/>
      <w:contextualSpacing/>
    </w:pPr>
  </w:style>
  <w:style w:type="character" w:customStyle="1" w:styleId="FootnoteTextChar">
    <w:name w:val="Footnote Text Char"/>
    <w:aliases w:val="ALTS FOOTNOTE Char,Footnote Text Cha Char,Footnote Text Char Char4 Char Char,Footnote Text Char Char4 Char1 Char Char Char,Footnote Text Char2 Char,Footnote Text Char4 Char Char,Footnote Text Char4 Char1 Char Char Char,fn Char"/>
    <w:link w:val="FootnoteText"/>
    <w:uiPriority w:val="99"/>
    <w:rsid w:val="00965E03"/>
  </w:style>
  <w:style w:type="character" w:customStyle="1" w:styleId="UnresolvedMention5">
    <w:name w:val="Unresolved Mention5"/>
    <w:basedOn w:val="DefaultParagraphFont"/>
    <w:rsid w:val="00DF2724"/>
    <w:rPr>
      <w:color w:val="605E5C"/>
      <w:shd w:val="clear" w:color="auto" w:fill="E1DFDD"/>
    </w:rPr>
  </w:style>
  <w:style w:type="character" w:customStyle="1" w:styleId="Heading1Char">
    <w:name w:val="Heading 1 Char"/>
    <w:basedOn w:val="DefaultParagraphFont"/>
    <w:link w:val="Heading1"/>
    <w:rsid w:val="002A1859"/>
    <w:rPr>
      <w:b/>
      <w:sz w:val="24"/>
      <w:szCs w:val="24"/>
    </w:rPr>
  </w:style>
  <w:style w:type="paragraph" w:styleId="TOC1">
    <w:name w:val="toc 1"/>
    <w:basedOn w:val="Normal"/>
    <w:next w:val="Normal"/>
    <w:autoRedefine/>
    <w:uiPriority w:val="39"/>
    <w:rsid w:val="005442EA"/>
    <w:pPr>
      <w:tabs>
        <w:tab w:val="decimal" w:leader="dot" w:pos="9360"/>
      </w:tabs>
      <w:spacing w:after="240"/>
      <w:ind w:left="720" w:hanging="720"/>
    </w:pPr>
  </w:style>
  <w:style w:type="paragraph" w:styleId="TOC2">
    <w:name w:val="toc 2"/>
    <w:basedOn w:val="Normal"/>
    <w:next w:val="Normal"/>
    <w:autoRedefine/>
    <w:uiPriority w:val="39"/>
    <w:rsid w:val="005442EA"/>
    <w:pPr>
      <w:tabs>
        <w:tab w:val="decimal" w:leader="dot" w:pos="9360"/>
      </w:tabs>
      <w:spacing w:after="240"/>
      <w:ind w:left="1440" w:hanging="720"/>
    </w:pPr>
  </w:style>
  <w:style w:type="paragraph" w:styleId="TOC3">
    <w:name w:val="toc 3"/>
    <w:basedOn w:val="Normal"/>
    <w:next w:val="Normal"/>
    <w:autoRedefine/>
    <w:uiPriority w:val="39"/>
    <w:rsid w:val="005442EA"/>
    <w:pPr>
      <w:tabs>
        <w:tab w:val="decimal" w:leader="dot" w:pos="9360"/>
      </w:tabs>
      <w:spacing w:after="240"/>
      <w:ind w:left="216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hyperlink" Target="mailto:angela.obrien@occ.ohio.gov" TargetMode="External" /><Relationship Id="rId13" Type="http://schemas.openxmlformats.org/officeDocument/2006/relationships/hyperlink" Target="mailto:shaun.lyons@ohioAGO.gov" TargetMode="External" /><Relationship Id="rId14" Type="http://schemas.openxmlformats.org/officeDocument/2006/relationships/hyperlink" Target="mailto:werner.margard@ohioAGO.gov" TargetMode="External" /><Relationship Id="rId15" Type="http://schemas.openxmlformats.org/officeDocument/2006/relationships/hyperlink" Target="mailto:dproano@bakerlaw.com" TargetMode="External" /><Relationship Id="rId16" Type="http://schemas.openxmlformats.org/officeDocument/2006/relationships/hyperlink" Target="mailto:tathompson@bakerlaw.com" TargetMode="External" /><Relationship Id="rId17" Type="http://schemas.openxmlformats.org/officeDocument/2006/relationships/hyperlink" Target="mailto:jweber@elpc.org" TargetMode="External" /><Relationship Id="rId18" Type="http://schemas.openxmlformats.org/officeDocument/2006/relationships/hyperlink" Target="mailto:patricia.schabo@puco.ohio.gov" TargetMode="External" /><Relationship Id="rId19" Type="http://schemas.openxmlformats.org/officeDocument/2006/relationships/hyperlink" Target="mailto:kennedy@whitt-sturtevant.com" TargetMode="External" /><Relationship Id="rId2" Type="http://schemas.openxmlformats.org/officeDocument/2006/relationships/settings" Target="settings.xml" /><Relationship Id="rId20" Type="http://schemas.openxmlformats.org/officeDocument/2006/relationships/hyperlink" Target="mailto:whitt@whitt-sturtevant.com" TargetMode="External" /><Relationship Id="rId21" Type="http://schemas.openxmlformats.org/officeDocument/2006/relationships/hyperlink" Target="mailto:andrew.j.campbell@dominionenergy.com" TargetMode="External" /><Relationship Id="rId22" Type="http://schemas.openxmlformats.org/officeDocument/2006/relationships/hyperlink" Target="mailto:mjsettineri@vorys.com" TargetMode="External" /><Relationship Id="rId23" Type="http://schemas.openxmlformats.org/officeDocument/2006/relationships/hyperlink" Target="mailto:glpetrucci@vorys.com" TargetMode="External" /><Relationship Id="rId24" Type="http://schemas.openxmlformats.org/officeDocument/2006/relationships/hyperlink" Target="mailto:michael.nugent@igs.com" TargetMode="External" /><Relationship Id="rId25" Type="http://schemas.openxmlformats.org/officeDocument/2006/relationships/hyperlink" Target="mailto:evan.betterton@igs.com" TargetMode="External" /><Relationship Id="rId26" Type="http://schemas.openxmlformats.org/officeDocument/2006/relationships/hyperlink" Target="mailto:stacie.cathcart@igs.com" TargetMode="External" /><Relationship Id="rId27" Type="http://schemas.openxmlformats.org/officeDocument/2006/relationships/hyperlink" Target="mailto:dparram@bricker.com" TargetMode="External" /><Relationship Id="rId28" Type="http://schemas.openxmlformats.org/officeDocument/2006/relationships/hyperlink" Target="mailto:gkrassen@nopec.org" TargetMode="External" /><Relationship Id="rId29" Type="http://schemas.openxmlformats.org/officeDocument/2006/relationships/footer" Target="footer4.xml" /><Relationship Id="rId3" Type="http://schemas.openxmlformats.org/officeDocument/2006/relationships/webSettings" Target="webSettings.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8B9BD-C2D7-4B89-8307-71E033A35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1878</Words>
  <Characters>10710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2023-08-23T18:05:13Z</dcterms:created>
  <dcterms:modified xsi:type="dcterms:W3CDTF">2023-08-23T18:05:13Z</dcterms:modified>
</cp:coreProperties>
</file>