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BD0" w:rsidRPr="00CD4BD0" w:rsidRDefault="00CD4BD0" w:rsidP="00CD4BD0">
      <w:pPr>
        <w:spacing w:line="240" w:lineRule="auto"/>
        <w:jc w:val="center"/>
        <w:rPr>
          <w:rFonts w:eastAsia="Times New Roman" w:cs="Arial"/>
          <w:b/>
          <w:smallCaps/>
          <w:sz w:val="28"/>
        </w:rPr>
      </w:pPr>
      <w:bookmarkStart w:id="0" w:name="_GoBack"/>
      <w:bookmarkEnd w:id="0"/>
      <w:r w:rsidRPr="00CD4BD0">
        <w:rPr>
          <w:rFonts w:eastAsia="Times New Roman" w:cs="Arial"/>
          <w:b/>
          <w:smallCaps/>
          <w:sz w:val="28"/>
        </w:rPr>
        <w:t>Before</w:t>
      </w:r>
    </w:p>
    <w:p w:rsidR="00CD4BD0" w:rsidRPr="00CD4BD0" w:rsidRDefault="00CD4BD0" w:rsidP="00CD4BD0">
      <w:pPr>
        <w:spacing w:line="240" w:lineRule="auto"/>
        <w:jc w:val="center"/>
        <w:rPr>
          <w:rFonts w:eastAsia="Times New Roman" w:cs="Arial"/>
          <w:b/>
          <w:smallCaps/>
          <w:sz w:val="28"/>
        </w:rPr>
      </w:pPr>
      <w:r w:rsidRPr="00CD4BD0">
        <w:rPr>
          <w:rFonts w:eastAsia="Times New Roman" w:cs="Arial"/>
          <w:b/>
          <w:smallCaps/>
          <w:sz w:val="28"/>
        </w:rPr>
        <w:t>The Public Utilities Commission of Ohio</w:t>
      </w:r>
    </w:p>
    <w:p w:rsidR="00CD4BD0" w:rsidRPr="00CD4BD0" w:rsidRDefault="00CD4BD0" w:rsidP="00CD4BD0">
      <w:pPr>
        <w:autoSpaceDE w:val="0"/>
        <w:autoSpaceDN w:val="0"/>
        <w:adjustRightInd w:val="0"/>
        <w:spacing w:line="240" w:lineRule="auto"/>
        <w:rPr>
          <w:rFonts w:eastAsia="Calibri" w:cs="Arial"/>
        </w:rPr>
      </w:pPr>
    </w:p>
    <w:p w:rsidR="00CD4BD0" w:rsidRPr="00CD4BD0" w:rsidRDefault="00CD4BD0" w:rsidP="00CD4BD0">
      <w:pPr>
        <w:tabs>
          <w:tab w:val="left" w:pos="5220"/>
          <w:tab w:val="left" w:pos="5580"/>
        </w:tabs>
        <w:autoSpaceDE w:val="0"/>
        <w:autoSpaceDN w:val="0"/>
        <w:adjustRightInd w:val="0"/>
        <w:spacing w:line="240" w:lineRule="auto"/>
        <w:rPr>
          <w:rFonts w:eastAsia="Calibri" w:cs="Arial"/>
        </w:rPr>
      </w:pPr>
      <w:r w:rsidRPr="00CD4BD0">
        <w:rPr>
          <w:rFonts w:eastAsia="Calibri" w:cs="Arial"/>
        </w:rPr>
        <w:t>In the Matter of the Application of Ormet Primary</w:t>
      </w:r>
      <w:r w:rsidRPr="00CD4BD0">
        <w:rPr>
          <w:rFonts w:eastAsia="Calibri" w:cs="Arial"/>
        </w:rPr>
        <w:tab/>
        <w:t>)</w:t>
      </w:r>
    </w:p>
    <w:p w:rsidR="00CD4BD0" w:rsidRPr="00CD4BD0" w:rsidRDefault="00CD4BD0" w:rsidP="00CD4BD0">
      <w:pPr>
        <w:tabs>
          <w:tab w:val="left" w:pos="5220"/>
          <w:tab w:val="left" w:pos="5580"/>
        </w:tabs>
        <w:autoSpaceDE w:val="0"/>
        <w:autoSpaceDN w:val="0"/>
        <w:adjustRightInd w:val="0"/>
        <w:spacing w:line="240" w:lineRule="auto"/>
        <w:rPr>
          <w:rFonts w:eastAsia="Calibri" w:cs="Arial"/>
        </w:rPr>
      </w:pPr>
      <w:r w:rsidRPr="00CD4BD0">
        <w:rPr>
          <w:rFonts w:eastAsia="Calibri" w:cs="Arial"/>
        </w:rPr>
        <w:t>Aluminum Corporation for Approval of a Unique</w:t>
      </w:r>
      <w:r w:rsidRPr="00CD4BD0">
        <w:rPr>
          <w:rFonts w:eastAsia="Calibri" w:cs="Arial"/>
        </w:rPr>
        <w:tab/>
        <w:t>)</w:t>
      </w:r>
      <w:r w:rsidRPr="00CD4BD0">
        <w:rPr>
          <w:rFonts w:eastAsia="Calibri" w:cs="Arial"/>
        </w:rPr>
        <w:tab/>
        <w:t>Case No. 09-119-EL-AEC</w:t>
      </w:r>
    </w:p>
    <w:p w:rsidR="00CD4BD0" w:rsidRPr="00CD4BD0" w:rsidRDefault="00CD4BD0" w:rsidP="00CD4BD0">
      <w:pPr>
        <w:tabs>
          <w:tab w:val="left" w:pos="5220"/>
          <w:tab w:val="left" w:pos="5580"/>
        </w:tabs>
        <w:autoSpaceDE w:val="0"/>
        <w:autoSpaceDN w:val="0"/>
        <w:adjustRightInd w:val="0"/>
        <w:spacing w:line="240" w:lineRule="auto"/>
        <w:rPr>
          <w:rFonts w:eastAsia="Calibri" w:cs="Arial"/>
        </w:rPr>
      </w:pPr>
      <w:r w:rsidRPr="00CD4BD0">
        <w:rPr>
          <w:rFonts w:eastAsia="Calibri" w:cs="Arial"/>
        </w:rPr>
        <w:t>Arrangement with Ohio Power Company and</w:t>
      </w:r>
      <w:r w:rsidRPr="00CD4BD0">
        <w:rPr>
          <w:rFonts w:eastAsia="Calibri" w:cs="Arial"/>
        </w:rPr>
        <w:tab/>
        <w:t>)</w:t>
      </w:r>
    </w:p>
    <w:p w:rsidR="00CD4BD0" w:rsidRPr="00CD4BD0" w:rsidRDefault="00CD4BD0" w:rsidP="00CD4BD0">
      <w:pPr>
        <w:tabs>
          <w:tab w:val="left" w:pos="5220"/>
        </w:tabs>
        <w:autoSpaceDE w:val="0"/>
        <w:autoSpaceDN w:val="0"/>
        <w:adjustRightInd w:val="0"/>
        <w:spacing w:line="240" w:lineRule="auto"/>
        <w:rPr>
          <w:rFonts w:eastAsia="Calibri" w:cs="Arial"/>
        </w:rPr>
      </w:pPr>
      <w:r w:rsidRPr="00CD4BD0">
        <w:rPr>
          <w:rFonts w:eastAsia="Calibri" w:cs="Arial"/>
        </w:rPr>
        <w:t>Columbus Southern Power Company</w:t>
      </w:r>
      <w:r w:rsidRPr="00CD4BD0">
        <w:rPr>
          <w:rFonts w:eastAsia="Calibri" w:cs="Arial"/>
        </w:rPr>
        <w:tab/>
        <w:t>)</w:t>
      </w:r>
    </w:p>
    <w:p w:rsidR="00CD4BD0" w:rsidRPr="00CD4BD0" w:rsidRDefault="00CD4BD0" w:rsidP="00CD4BD0">
      <w:pPr>
        <w:tabs>
          <w:tab w:val="left" w:pos="5040"/>
        </w:tabs>
        <w:spacing w:line="240" w:lineRule="auto"/>
        <w:rPr>
          <w:rFonts w:eastAsia="Times New Roman" w:cs="Arial"/>
        </w:rPr>
      </w:pPr>
    </w:p>
    <w:p w:rsidR="00CD4BD0" w:rsidRPr="00CD4BD0" w:rsidRDefault="00CD4BD0" w:rsidP="00CD4BD0">
      <w:pPr>
        <w:pBdr>
          <w:top w:val="single" w:sz="12" w:space="1" w:color="auto"/>
        </w:pBdr>
        <w:spacing w:after="120" w:line="240" w:lineRule="auto"/>
        <w:jc w:val="center"/>
        <w:rPr>
          <w:rFonts w:eastAsia="Times New Roman" w:cs="Arial"/>
          <w:smallCaps/>
          <w:sz w:val="16"/>
          <w:szCs w:val="16"/>
        </w:rPr>
      </w:pPr>
    </w:p>
    <w:p w:rsidR="00CD4BD0" w:rsidRPr="00CD4BD0" w:rsidRDefault="00CD4BD0" w:rsidP="00CD4BD0">
      <w:pPr>
        <w:spacing w:line="240" w:lineRule="auto"/>
        <w:jc w:val="center"/>
        <w:rPr>
          <w:rFonts w:eastAsia="Times New Roman" w:cs="Arial"/>
          <w:b/>
          <w:smallCaps/>
          <w:sz w:val="28"/>
        </w:rPr>
      </w:pPr>
      <w:r w:rsidRPr="00CD4BD0">
        <w:rPr>
          <w:rFonts w:eastAsia="Times New Roman" w:cs="Arial"/>
          <w:b/>
          <w:smallCaps/>
          <w:sz w:val="28"/>
        </w:rPr>
        <w:t xml:space="preserve">Industrial Energy Users-Ohio’s </w:t>
      </w:r>
      <w:r>
        <w:rPr>
          <w:rFonts w:eastAsia="Times New Roman" w:cs="Arial"/>
          <w:b/>
          <w:smallCaps/>
          <w:sz w:val="28"/>
        </w:rPr>
        <w:t>Post-Hearing Brief</w:t>
      </w:r>
    </w:p>
    <w:p w:rsidR="00CD4BD0" w:rsidRPr="00CD4BD0" w:rsidRDefault="00CD4BD0" w:rsidP="00CD4BD0">
      <w:pPr>
        <w:pBdr>
          <w:bottom w:val="single" w:sz="12" w:space="1" w:color="auto"/>
        </w:pBdr>
        <w:spacing w:after="120" w:line="240" w:lineRule="auto"/>
        <w:jc w:val="center"/>
        <w:rPr>
          <w:rFonts w:eastAsia="Times New Roman" w:cs="Arial"/>
          <w:smallCaps/>
          <w:sz w:val="16"/>
          <w:szCs w:val="16"/>
        </w:rPr>
      </w:pPr>
    </w:p>
    <w:p w:rsidR="00CD4BD0" w:rsidRPr="00CD4BD0" w:rsidRDefault="00CD4BD0" w:rsidP="00CD4BD0">
      <w:pPr>
        <w:spacing w:line="240" w:lineRule="auto"/>
        <w:rPr>
          <w:rFonts w:eastAsia="Times New Roman" w:cs="Arial"/>
          <w:b/>
          <w:sz w:val="28"/>
        </w:rPr>
      </w:pPr>
    </w:p>
    <w:p w:rsidR="00CD4BD0" w:rsidRPr="00CD4BD0" w:rsidRDefault="00CD4BD0" w:rsidP="00CD4BD0">
      <w:pPr>
        <w:spacing w:line="240" w:lineRule="auto"/>
        <w:rPr>
          <w:rFonts w:eastAsia="Times New Roman" w:cs="Arial"/>
          <w:b/>
          <w:sz w:val="28"/>
        </w:rPr>
      </w:pPr>
    </w:p>
    <w:p w:rsidR="00CD4BD0" w:rsidRPr="00CD4BD0" w:rsidRDefault="00CD4BD0" w:rsidP="00CD4BD0">
      <w:pPr>
        <w:spacing w:line="240" w:lineRule="auto"/>
        <w:rPr>
          <w:rFonts w:eastAsia="Times New Roman" w:cs="Arial"/>
          <w:b/>
          <w:sz w:val="28"/>
        </w:rPr>
      </w:pPr>
    </w:p>
    <w:p w:rsidR="00CD4BD0" w:rsidRPr="00CD4BD0" w:rsidRDefault="00CD4BD0" w:rsidP="00CD4BD0">
      <w:pPr>
        <w:spacing w:line="240" w:lineRule="auto"/>
        <w:rPr>
          <w:rFonts w:eastAsia="Times New Roman" w:cs="Arial"/>
          <w:b/>
          <w:sz w:val="28"/>
        </w:rPr>
      </w:pPr>
    </w:p>
    <w:p w:rsidR="00CD4BD0" w:rsidRPr="00CD4BD0" w:rsidRDefault="00CD4BD0" w:rsidP="00CD4BD0">
      <w:pPr>
        <w:spacing w:line="240" w:lineRule="auto"/>
        <w:rPr>
          <w:rFonts w:eastAsia="Times New Roman" w:cs="Arial"/>
          <w:b/>
          <w:sz w:val="28"/>
        </w:rPr>
      </w:pPr>
    </w:p>
    <w:p w:rsidR="00CD4BD0" w:rsidRPr="00CD4BD0" w:rsidRDefault="00CD4BD0" w:rsidP="00CD4BD0">
      <w:pPr>
        <w:spacing w:line="240" w:lineRule="auto"/>
        <w:rPr>
          <w:rFonts w:eastAsia="Times New Roman" w:cs="Arial"/>
          <w:b/>
          <w:sz w:val="28"/>
        </w:rPr>
      </w:pPr>
    </w:p>
    <w:p w:rsidR="00CD4BD0" w:rsidRPr="00CD4BD0" w:rsidRDefault="00CD4BD0" w:rsidP="00CD4BD0">
      <w:pPr>
        <w:spacing w:line="240" w:lineRule="auto"/>
        <w:rPr>
          <w:rFonts w:eastAsia="Times New Roman" w:cs="Arial"/>
          <w:b/>
          <w:sz w:val="28"/>
        </w:rPr>
      </w:pPr>
    </w:p>
    <w:p w:rsidR="00CD4BD0" w:rsidRPr="00CD4BD0" w:rsidRDefault="00CD4BD0" w:rsidP="00CD4BD0">
      <w:pPr>
        <w:spacing w:line="240" w:lineRule="auto"/>
        <w:rPr>
          <w:rFonts w:eastAsia="Times New Roman" w:cs="Arial"/>
          <w:b/>
          <w:sz w:val="28"/>
        </w:rPr>
      </w:pPr>
    </w:p>
    <w:p w:rsidR="00CD4BD0" w:rsidRPr="00CD4BD0" w:rsidRDefault="00CD4BD0" w:rsidP="00CD4BD0">
      <w:pPr>
        <w:spacing w:line="240" w:lineRule="auto"/>
        <w:rPr>
          <w:rFonts w:eastAsia="Times New Roman" w:cs="Arial"/>
          <w:b/>
          <w:sz w:val="28"/>
        </w:rPr>
      </w:pPr>
    </w:p>
    <w:p w:rsidR="00CD4BD0" w:rsidRPr="00CD4BD0" w:rsidRDefault="00CD4BD0" w:rsidP="00CD4BD0">
      <w:pPr>
        <w:spacing w:line="240" w:lineRule="auto"/>
        <w:rPr>
          <w:rFonts w:eastAsia="Times New Roman" w:cs="Arial"/>
          <w:b/>
          <w:sz w:val="28"/>
        </w:rPr>
      </w:pPr>
    </w:p>
    <w:p w:rsidR="00CD4BD0" w:rsidRPr="00CD4BD0" w:rsidRDefault="00CD4BD0" w:rsidP="00CD4BD0">
      <w:pPr>
        <w:spacing w:line="240" w:lineRule="auto"/>
        <w:rPr>
          <w:rFonts w:eastAsia="Times New Roman" w:cs="Arial"/>
          <w:b/>
          <w:sz w:val="28"/>
        </w:rPr>
      </w:pPr>
    </w:p>
    <w:p w:rsidR="00CD4BD0" w:rsidRPr="00CD4BD0" w:rsidRDefault="00CD4BD0" w:rsidP="00CD4BD0">
      <w:pPr>
        <w:spacing w:line="240" w:lineRule="auto"/>
        <w:rPr>
          <w:rFonts w:eastAsia="Times New Roman" w:cs="Arial"/>
        </w:rPr>
      </w:pPr>
      <w:r w:rsidRPr="00CD4BD0">
        <w:rPr>
          <w:rFonts w:eastAsia="Times New Roman" w:cs="Arial"/>
          <w:b/>
          <w:sz w:val="28"/>
        </w:rPr>
        <w:tab/>
      </w:r>
      <w:r w:rsidRPr="00CD4BD0">
        <w:rPr>
          <w:rFonts w:eastAsia="Times New Roman" w:cs="Arial"/>
          <w:b/>
          <w:sz w:val="28"/>
        </w:rPr>
        <w:tab/>
      </w:r>
      <w:r w:rsidRPr="00CD4BD0">
        <w:rPr>
          <w:rFonts w:eastAsia="Times New Roman" w:cs="Arial"/>
          <w:b/>
          <w:sz w:val="28"/>
        </w:rPr>
        <w:tab/>
      </w:r>
      <w:r w:rsidRPr="00CD4BD0">
        <w:rPr>
          <w:rFonts w:eastAsia="Times New Roman" w:cs="Arial"/>
          <w:b/>
          <w:sz w:val="28"/>
        </w:rPr>
        <w:tab/>
      </w:r>
      <w:r w:rsidRPr="00CD4BD0">
        <w:rPr>
          <w:rFonts w:eastAsia="Times New Roman" w:cs="Arial"/>
          <w:b/>
          <w:sz w:val="28"/>
        </w:rPr>
        <w:tab/>
      </w:r>
      <w:r w:rsidRPr="00CD4BD0">
        <w:rPr>
          <w:rFonts w:eastAsia="Times New Roman" w:cs="Arial"/>
          <w:b/>
          <w:sz w:val="28"/>
        </w:rPr>
        <w:tab/>
      </w:r>
      <w:r w:rsidRPr="00CD4BD0">
        <w:rPr>
          <w:rFonts w:eastAsia="Times New Roman" w:cs="Arial"/>
          <w:b/>
          <w:sz w:val="28"/>
        </w:rPr>
        <w:tab/>
      </w:r>
      <w:r w:rsidRPr="00CD4BD0">
        <w:rPr>
          <w:rFonts w:eastAsia="Times New Roman" w:cs="Arial"/>
        </w:rPr>
        <w:t>Samuel C. Randazzo</w:t>
      </w:r>
    </w:p>
    <w:p w:rsidR="00CD4BD0" w:rsidRPr="00CD4BD0" w:rsidRDefault="00CD4BD0" w:rsidP="00CD4BD0">
      <w:pPr>
        <w:spacing w:line="240" w:lineRule="auto"/>
        <w:rPr>
          <w:rFonts w:eastAsia="Times New Roman" w:cs="Arial"/>
        </w:rPr>
      </w:pP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t>Frank P. Darr</w:t>
      </w:r>
    </w:p>
    <w:p w:rsidR="00CD4BD0" w:rsidRPr="00CD4BD0" w:rsidRDefault="00CD4BD0" w:rsidP="00CD4BD0">
      <w:pPr>
        <w:spacing w:line="240" w:lineRule="auto"/>
        <w:rPr>
          <w:rFonts w:eastAsia="Times New Roman" w:cs="Arial"/>
        </w:rPr>
      </w:pP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t>Joseph E. Oliker</w:t>
      </w:r>
    </w:p>
    <w:p w:rsidR="00CD4BD0" w:rsidRPr="00CD4BD0" w:rsidRDefault="00CD4BD0" w:rsidP="00CD4BD0">
      <w:pPr>
        <w:spacing w:line="240" w:lineRule="auto"/>
        <w:rPr>
          <w:rFonts w:eastAsia="Times New Roman" w:cs="Arial"/>
        </w:rPr>
      </w:pP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t>Matthew R. Pritchard</w:t>
      </w:r>
    </w:p>
    <w:p w:rsidR="00CD4BD0" w:rsidRPr="00CD4BD0" w:rsidRDefault="00CD4BD0" w:rsidP="00CD4BD0">
      <w:pPr>
        <w:spacing w:line="240" w:lineRule="auto"/>
        <w:rPr>
          <w:rFonts w:eastAsia="Times New Roman" w:cs="Arial"/>
        </w:rPr>
      </w:pP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t>McNees Wallace &amp; Nurick LLC</w:t>
      </w:r>
    </w:p>
    <w:p w:rsidR="00CD4BD0" w:rsidRPr="00CD4BD0" w:rsidRDefault="00CD4BD0" w:rsidP="00CD4BD0">
      <w:pPr>
        <w:spacing w:line="240" w:lineRule="auto"/>
        <w:rPr>
          <w:rFonts w:eastAsia="Times New Roman" w:cs="Arial"/>
        </w:rPr>
      </w:pP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t>21 E. State St., 17</w:t>
      </w:r>
      <w:r w:rsidRPr="00CD4BD0">
        <w:rPr>
          <w:rFonts w:eastAsia="Times New Roman" w:cs="Arial"/>
          <w:vertAlign w:val="superscript"/>
        </w:rPr>
        <w:t>th</w:t>
      </w:r>
      <w:r w:rsidRPr="00CD4BD0">
        <w:rPr>
          <w:rFonts w:eastAsia="Times New Roman" w:cs="Arial"/>
        </w:rPr>
        <w:t xml:space="preserve"> Floor</w:t>
      </w:r>
    </w:p>
    <w:p w:rsidR="00CD4BD0" w:rsidRPr="00CD4BD0" w:rsidRDefault="00CD4BD0" w:rsidP="00CD4BD0">
      <w:pPr>
        <w:spacing w:line="240" w:lineRule="auto"/>
        <w:rPr>
          <w:rFonts w:eastAsia="Times New Roman" w:cs="Arial"/>
        </w:rPr>
      </w:pP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t>Columbus, OH  43215</w:t>
      </w:r>
    </w:p>
    <w:p w:rsidR="00CD4BD0" w:rsidRPr="00CD4BD0" w:rsidRDefault="00CD4BD0" w:rsidP="00CD4BD0">
      <w:pPr>
        <w:spacing w:line="240" w:lineRule="auto"/>
        <w:rPr>
          <w:rFonts w:eastAsia="Times New Roman" w:cs="Arial"/>
        </w:rPr>
      </w:pP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t>Telephone:  614-469-8000</w:t>
      </w:r>
    </w:p>
    <w:p w:rsidR="00CD4BD0" w:rsidRPr="00CD4BD0" w:rsidRDefault="00CD4BD0" w:rsidP="00CD4BD0">
      <w:pPr>
        <w:spacing w:line="240" w:lineRule="auto"/>
        <w:rPr>
          <w:rFonts w:eastAsia="Times New Roman" w:cs="Arial"/>
        </w:rPr>
      </w:pP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t>Fax:  614-469-4653</w:t>
      </w:r>
    </w:p>
    <w:p w:rsidR="00CD4BD0" w:rsidRPr="00CD4BD0" w:rsidRDefault="00CD4BD0" w:rsidP="00CD4BD0">
      <w:pPr>
        <w:spacing w:line="240" w:lineRule="auto"/>
        <w:rPr>
          <w:rFonts w:eastAsia="Times New Roman" w:cs="Arial"/>
        </w:rPr>
      </w:pP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t>sam@mwncmh.com</w:t>
      </w:r>
    </w:p>
    <w:p w:rsidR="00CD4BD0" w:rsidRPr="00E0147A" w:rsidRDefault="00CD4BD0" w:rsidP="00CD4BD0">
      <w:pPr>
        <w:spacing w:line="240" w:lineRule="auto"/>
        <w:rPr>
          <w:rFonts w:eastAsia="Times New Roman" w:cs="Arial"/>
        </w:rPr>
      </w:pP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CD4BD0">
        <w:rPr>
          <w:rFonts w:eastAsia="Times New Roman" w:cs="Arial"/>
        </w:rPr>
        <w:tab/>
      </w:r>
      <w:r w:rsidRPr="00E0147A">
        <w:rPr>
          <w:rFonts w:eastAsia="Times New Roman" w:cs="Arial"/>
        </w:rPr>
        <w:t>fdarr@mwncmh.com</w:t>
      </w:r>
    </w:p>
    <w:p w:rsidR="00CD4BD0" w:rsidRPr="00E0147A" w:rsidRDefault="00CD4BD0" w:rsidP="00CD4BD0">
      <w:pPr>
        <w:spacing w:line="240" w:lineRule="auto"/>
        <w:rPr>
          <w:rFonts w:eastAsia="Times New Roman" w:cs="Arial"/>
        </w:rPr>
      </w:pPr>
      <w:r w:rsidRPr="00E0147A">
        <w:rPr>
          <w:rFonts w:eastAsia="Times New Roman" w:cs="Arial"/>
        </w:rPr>
        <w:tab/>
      </w:r>
      <w:r w:rsidRPr="00E0147A">
        <w:rPr>
          <w:rFonts w:eastAsia="Times New Roman" w:cs="Arial"/>
        </w:rPr>
        <w:tab/>
      </w:r>
      <w:r w:rsidRPr="00E0147A">
        <w:rPr>
          <w:rFonts w:eastAsia="Times New Roman" w:cs="Arial"/>
        </w:rPr>
        <w:tab/>
      </w:r>
      <w:r w:rsidRPr="00E0147A">
        <w:rPr>
          <w:rFonts w:eastAsia="Times New Roman" w:cs="Arial"/>
        </w:rPr>
        <w:tab/>
      </w:r>
      <w:r w:rsidRPr="00E0147A">
        <w:rPr>
          <w:rFonts w:eastAsia="Times New Roman" w:cs="Arial"/>
        </w:rPr>
        <w:tab/>
      </w:r>
      <w:r w:rsidRPr="00E0147A">
        <w:rPr>
          <w:rFonts w:eastAsia="Times New Roman" w:cs="Arial"/>
        </w:rPr>
        <w:tab/>
      </w:r>
      <w:r w:rsidRPr="00E0147A">
        <w:rPr>
          <w:rFonts w:eastAsia="Times New Roman" w:cs="Arial"/>
        </w:rPr>
        <w:tab/>
        <w:t>joliker@mwncmh.com</w:t>
      </w:r>
    </w:p>
    <w:p w:rsidR="00CD4BD0" w:rsidRPr="00CD4BD0" w:rsidRDefault="00CD4BD0" w:rsidP="00CD4BD0">
      <w:pPr>
        <w:spacing w:line="240" w:lineRule="auto"/>
        <w:rPr>
          <w:rFonts w:eastAsia="Times New Roman" w:cs="Arial"/>
        </w:rPr>
      </w:pPr>
      <w:r w:rsidRPr="00E0147A">
        <w:rPr>
          <w:rFonts w:eastAsia="Times New Roman" w:cs="Arial"/>
        </w:rPr>
        <w:tab/>
      </w:r>
      <w:r w:rsidRPr="00E0147A">
        <w:rPr>
          <w:rFonts w:eastAsia="Times New Roman" w:cs="Arial"/>
        </w:rPr>
        <w:tab/>
      </w:r>
      <w:r w:rsidRPr="00E0147A">
        <w:rPr>
          <w:rFonts w:eastAsia="Times New Roman" w:cs="Arial"/>
        </w:rPr>
        <w:tab/>
      </w:r>
      <w:r w:rsidRPr="00E0147A">
        <w:rPr>
          <w:rFonts w:eastAsia="Times New Roman" w:cs="Arial"/>
        </w:rPr>
        <w:tab/>
      </w:r>
      <w:r w:rsidRPr="00E0147A">
        <w:rPr>
          <w:rFonts w:eastAsia="Times New Roman" w:cs="Arial"/>
        </w:rPr>
        <w:tab/>
      </w:r>
      <w:r w:rsidRPr="00E0147A">
        <w:rPr>
          <w:rFonts w:eastAsia="Times New Roman" w:cs="Arial"/>
        </w:rPr>
        <w:tab/>
      </w:r>
      <w:r w:rsidRPr="00E0147A">
        <w:rPr>
          <w:rFonts w:eastAsia="Times New Roman" w:cs="Arial"/>
        </w:rPr>
        <w:tab/>
        <w:t>mpritchard@mwncmh.com</w:t>
      </w:r>
    </w:p>
    <w:p w:rsidR="00CD4BD0" w:rsidRPr="00CD4BD0" w:rsidRDefault="00CD4BD0" w:rsidP="00CD4BD0">
      <w:pPr>
        <w:spacing w:line="240" w:lineRule="auto"/>
        <w:rPr>
          <w:rFonts w:eastAsia="Times New Roman" w:cs="Arial"/>
        </w:rPr>
      </w:pPr>
    </w:p>
    <w:p w:rsidR="00CD4BD0" w:rsidRPr="00CD4BD0" w:rsidRDefault="00CD4BD0" w:rsidP="00CD4BD0">
      <w:pPr>
        <w:spacing w:line="240" w:lineRule="auto"/>
        <w:rPr>
          <w:rFonts w:eastAsia="Times New Roman" w:cs="Arial"/>
          <w:b/>
        </w:rPr>
      </w:pPr>
      <w:r>
        <w:rPr>
          <w:rFonts w:eastAsia="Times New Roman" w:cs="Arial"/>
          <w:b/>
        </w:rPr>
        <w:t>September 9, 2013</w:t>
      </w: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r>
      <w:r w:rsidRPr="00CD4BD0">
        <w:rPr>
          <w:rFonts w:eastAsia="Times New Roman" w:cs="Arial"/>
          <w:b/>
        </w:rPr>
        <w:t>Attorneys for Industrial Energy</w:t>
      </w:r>
    </w:p>
    <w:p w:rsidR="00E0147A" w:rsidRDefault="00E0147A" w:rsidP="00CD4BD0">
      <w:pPr>
        <w:spacing w:line="240" w:lineRule="auto"/>
        <w:rPr>
          <w:rFonts w:eastAsia="Times New Roman" w:cs="Arial"/>
          <w:b/>
        </w:rPr>
        <w:sectPr w:rsidR="00E0147A" w:rsidSect="00E0147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pP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t>Users-Ohio</w:t>
      </w:r>
    </w:p>
    <w:p w:rsidR="00321E6D" w:rsidRPr="00321E6D" w:rsidRDefault="00321E6D" w:rsidP="00321E6D">
      <w:pPr>
        <w:pStyle w:val="TOCHeading"/>
        <w:rPr>
          <w:rFonts w:ascii="Arial Bold" w:hAnsi="Arial Bold"/>
          <w:caps/>
          <w:color w:val="auto"/>
        </w:rPr>
      </w:pPr>
      <w:bookmarkStart w:id="1" w:name="TOCHeading"/>
      <w:r w:rsidRPr="00321E6D">
        <w:rPr>
          <w:rFonts w:ascii="Arial Bold" w:hAnsi="Arial Bold"/>
          <w:caps/>
          <w:color w:val="auto"/>
        </w:rPr>
        <w:lastRenderedPageBreak/>
        <w:t>Table of Contents</w:t>
      </w:r>
    </w:p>
    <w:p w:rsidR="00321E6D" w:rsidRDefault="00321E6D" w:rsidP="00321E6D">
      <w:pPr>
        <w:pStyle w:val="TOCPage"/>
      </w:pPr>
      <w:bookmarkStart w:id="2" w:name="TOCPage"/>
      <w:bookmarkEnd w:id="1"/>
      <w:r>
        <w:t>Page</w:t>
      </w:r>
    </w:p>
    <w:p w:rsidR="002D224E" w:rsidRDefault="002D224E">
      <w:pPr>
        <w:pStyle w:val="TOC1"/>
        <w:rPr>
          <w:rFonts w:asciiTheme="minorHAnsi" w:eastAsiaTheme="minorEastAsia" w:hAnsiTheme="minorHAnsi"/>
          <w:noProof/>
          <w:sz w:val="22"/>
          <w:szCs w:val="22"/>
        </w:rPr>
      </w:pPr>
      <w:bookmarkStart w:id="3" w:name="TOCLocation"/>
      <w:bookmarkEnd w:id="2"/>
      <w:r w:rsidRPr="00C93759">
        <w:rPr>
          <w:noProof/>
          <w:color w:val="010000"/>
        </w:rPr>
        <w:t>I.</w:t>
      </w:r>
      <w:r>
        <w:rPr>
          <w:rFonts w:asciiTheme="minorHAnsi" w:eastAsiaTheme="minorEastAsia" w:hAnsiTheme="minorHAnsi"/>
          <w:noProof/>
          <w:sz w:val="22"/>
          <w:szCs w:val="22"/>
        </w:rPr>
        <w:tab/>
      </w:r>
      <w:r w:rsidRPr="00C93759">
        <w:rPr>
          <w:noProof/>
        </w:rPr>
        <w:t>Introduction</w:t>
      </w:r>
      <w:r>
        <w:rPr>
          <w:noProof/>
        </w:rPr>
        <w:tab/>
      </w:r>
      <w:r w:rsidR="00BB5C7C">
        <w:rPr>
          <w:noProof/>
        </w:rPr>
        <w:t>1</w:t>
      </w:r>
    </w:p>
    <w:p w:rsidR="002D224E" w:rsidRDefault="002D224E">
      <w:pPr>
        <w:pStyle w:val="TOC1"/>
        <w:rPr>
          <w:rFonts w:asciiTheme="minorHAnsi" w:eastAsiaTheme="minorEastAsia" w:hAnsiTheme="minorHAnsi"/>
          <w:noProof/>
          <w:sz w:val="22"/>
          <w:szCs w:val="22"/>
        </w:rPr>
      </w:pPr>
      <w:r w:rsidRPr="00C93759">
        <w:rPr>
          <w:noProof/>
          <w:color w:val="010000"/>
        </w:rPr>
        <w:t>II.</w:t>
      </w:r>
      <w:r>
        <w:rPr>
          <w:rFonts w:asciiTheme="minorHAnsi" w:eastAsiaTheme="minorEastAsia" w:hAnsiTheme="minorHAnsi"/>
          <w:noProof/>
          <w:sz w:val="22"/>
          <w:szCs w:val="22"/>
        </w:rPr>
        <w:tab/>
      </w:r>
      <w:r w:rsidRPr="00C93759">
        <w:rPr>
          <w:noProof/>
        </w:rPr>
        <w:t>Ormet’s Motion seeks to modify the 2009 Reasonable Arrangement</w:t>
      </w:r>
      <w:r>
        <w:rPr>
          <w:noProof/>
        </w:rPr>
        <w:tab/>
      </w:r>
      <w:r w:rsidR="00BB5C7C">
        <w:rPr>
          <w:noProof/>
        </w:rPr>
        <w:t>1</w:t>
      </w:r>
    </w:p>
    <w:p w:rsidR="002D224E" w:rsidRDefault="002D224E">
      <w:pPr>
        <w:pStyle w:val="TOC2"/>
        <w:rPr>
          <w:rFonts w:asciiTheme="minorHAnsi" w:eastAsiaTheme="minorEastAsia" w:hAnsiTheme="minorHAnsi"/>
          <w:noProof/>
          <w:sz w:val="22"/>
          <w:szCs w:val="22"/>
        </w:rPr>
      </w:pPr>
      <w:r w:rsidRPr="00C93759">
        <w:rPr>
          <w:noProof/>
          <w:color w:val="010000"/>
        </w:rPr>
        <w:t>A.</w:t>
      </w:r>
      <w:r>
        <w:rPr>
          <w:rFonts w:asciiTheme="minorHAnsi" w:eastAsiaTheme="minorEastAsia" w:hAnsiTheme="minorHAnsi"/>
          <w:noProof/>
          <w:sz w:val="22"/>
          <w:szCs w:val="22"/>
        </w:rPr>
        <w:tab/>
      </w:r>
      <w:r>
        <w:rPr>
          <w:noProof/>
        </w:rPr>
        <w:t>Ormet’s current Reasonable Arrangement</w:t>
      </w:r>
      <w:r>
        <w:rPr>
          <w:noProof/>
        </w:rPr>
        <w:tab/>
      </w:r>
      <w:r w:rsidR="00BB5C7C">
        <w:rPr>
          <w:noProof/>
        </w:rPr>
        <w:t>1</w:t>
      </w:r>
    </w:p>
    <w:p w:rsidR="002D224E" w:rsidRDefault="002D224E">
      <w:pPr>
        <w:pStyle w:val="TOC2"/>
        <w:rPr>
          <w:rFonts w:asciiTheme="minorHAnsi" w:eastAsiaTheme="minorEastAsia" w:hAnsiTheme="minorHAnsi"/>
          <w:noProof/>
          <w:sz w:val="22"/>
          <w:szCs w:val="22"/>
        </w:rPr>
      </w:pPr>
      <w:r w:rsidRPr="00C93759">
        <w:rPr>
          <w:noProof/>
          <w:color w:val="010000"/>
        </w:rPr>
        <w:t>B.</w:t>
      </w:r>
      <w:r>
        <w:rPr>
          <w:rFonts w:asciiTheme="minorHAnsi" w:eastAsiaTheme="minorEastAsia" w:hAnsiTheme="minorHAnsi"/>
          <w:noProof/>
          <w:sz w:val="22"/>
          <w:szCs w:val="22"/>
        </w:rPr>
        <w:tab/>
      </w:r>
      <w:r>
        <w:rPr>
          <w:noProof/>
        </w:rPr>
        <w:t>AEP-Ohio’s Electric Security Plan (“ESP”) and Ormet’s first request for a modification of the 2009 Reasonable Arrangement</w:t>
      </w:r>
      <w:r>
        <w:rPr>
          <w:noProof/>
        </w:rPr>
        <w:tab/>
      </w:r>
      <w:r w:rsidR="00BB5C7C">
        <w:rPr>
          <w:noProof/>
        </w:rPr>
        <w:t>4</w:t>
      </w:r>
    </w:p>
    <w:p w:rsidR="002D224E" w:rsidRDefault="002D224E">
      <w:pPr>
        <w:pStyle w:val="TOC2"/>
        <w:rPr>
          <w:rFonts w:asciiTheme="minorHAnsi" w:eastAsiaTheme="minorEastAsia" w:hAnsiTheme="minorHAnsi"/>
          <w:noProof/>
          <w:sz w:val="22"/>
          <w:szCs w:val="22"/>
        </w:rPr>
      </w:pPr>
      <w:r w:rsidRPr="00C93759">
        <w:rPr>
          <w:noProof/>
          <w:color w:val="010000"/>
        </w:rPr>
        <w:t>C.</w:t>
      </w:r>
      <w:r>
        <w:rPr>
          <w:rFonts w:asciiTheme="minorHAnsi" w:eastAsiaTheme="minorEastAsia" w:hAnsiTheme="minorHAnsi"/>
          <w:noProof/>
          <w:sz w:val="22"/>
          <w:szCs w:val="22"/>
        </w:rPr>
        <w:tab/>
      </w:r>
      <w:r>
        <w:rPr>
          <w:noProof/>
        </w:rPr>
        <w:t>Ormet’s second request to modify to the 2009 Reasonable Arrangement</w:t>
      </w:r>
      <w:r>
        <w:rPr>
          <w:noProof/>
        </w:rPr>
        <w:tab/>
      </w:r>
      <w:r w:rsidR="00BB5C7C">
        <w:rPr>
          <w:noProof/>
        </w:rPr>
        <w:t>5</w:t>
      </w:r>
    </w:p>
    <w:p w:rsidR="002D224E" w:rsidRDefault="002D224E">
      <w:pPr>
        <w:pStyle w:val="TOC2"/>
        <w:rPr>
          <w:rFonts w:asciiTheme="minorHAnsi" w:eastAsiaTheme="minorEastAsia" w:hAnsiTheme="minorHAnsi"/>
          <w:noProof/>
          <w:sz w:val="22"/>
          <w:szCs w:val="22"/>
        </w:rPr>
      </w:pPr>
      <w:r w:rsidRPr="00C93759">
        <w:rPr>
          <w:noProof/>
          <w:color w:val="010000"/>
        </w:rPr>
        <w:t>D.</w:t>
      </w:r>
      <w:r>
        <w:rPr>
          <w:rFonts w:asciiTheme="minorHAnsi" w:eastAsiaTheme="minorEastAsia" w:hAnsiTheme="minorHAnsi"/>
          <w:noProof/>
          <w:sz w:val="22"/>
          <w:szCs w:val="22"/>
        </w:rPr>
        <w:tab/>
      </w:r>
      <w:r>
        <w:rPr>
          <w:noProof/>
        </w:rPr>
        <w:t>Ormet’s third request to modify the 2009 Reasonable Arrangement</w:t>
      </w:r>
      <w:r>
        <w:rPr>
          <w:noProof/>
        </w:rPr>
        <w:tab/>
      </w:r>
      <w:r w:rsidR="00BB5C7C">
        <w:rPr>
          <w:noProof/>
        </w:rPr>
        <w:t>7</w:t>
      </w:r>
    </w:p>
    <w:p w:rsidR="002D224E" w:rsidRDefault="002D224E">
      <w:pPr>
        <w:pStyle w:val="TOC1"/>
        <w:rPr>
          <w:rFonts w:asciiTheme="minorHAnsi" w:eastAsiaTheme="minorEastAsia" w:hAnsiTheme="minorHAnsi"/>
          <w:noProof/>
          <w:sz w:val="22"/>
          <w:szCs w:val="22"/>
        </w:rPr>
      </w:pPr>
      <w:r w:rsidRPr="00C93759">
        <w:rPr>
          <w:noProof/>
          <w:color w:val="010000"/>
        </w:rPr>
        <w:t>III.</w:t>
      </w:r>
      <w:r>
        <w:rPr>
          <w:rFonts w:asciiTheme="minorHAnsi" w:eastAsiaTheme="minorEastAsia" w:hAnsiTheme="minorHAnsi"/>
          <w:noProof/>
          <w:sz w:val="22"/>
          <w:szCs w:val="22"/>
        </w:rPr>
        <w:tab/>
      </w:r>
      <w:r w:rsidRPr="00C93759">
        <w:rPr>
          <w:noProof/>
        </w:rPr>
        <w:t>Ormet’s proposed modifications increase the potential Negative Delta Revenue responsibility of already burdened customers</w:t>
      </w:r>
      <w:r>
        <w:rPr>
          <w:noProof/>
        </w:rPr>
        <w:tab/>
      </w:r>
      <w:r w:rsidR="00BB5C7C">
        <w:rPr>
          <w:noProof/>
        </w:rPr>
        <w:t>8</w:t>
      </w:r>
    </w:p>
    <w:p w:rsidR="002D224E" w:rsidRDefault="002D224E">
      <w:pPr>
        <w:pStyle w:val="TOC1"/>
        <w:rPr>
          <w:rFonts w:asciiTheme="minorHAnsi" w:eastAsiaTheme="minorEastAsia" w:hAnsiTheme="minorHAnsi"/>
          <w:noProof/>
          <w:sz w:val="22"/>
          <w:szCs w:val="22"/>
        </w:rPr>
      </w:pPr>
      <w:r w:rsidRPr="00C93759">
        <w:rPr>
          <w:noProof/>
          <w:color w:val="010000"/>
        </w:rPr>
        <w:t>IV.</w:t>
      </w:r>
      <w:r>
        <w:rPr>
          <w:rFonts w:asciiTheme="minorHAnsi" w:eastAsiaTheme="minorEastAsia" w:hAnsiTheme="minorHAnsi"/>
          <w:noProof/>
          <w:sz w:val="22"/>
          <w:szCs w:val="22"/>
        </w:rPr>
        <w:tab/>
      </w:r>
      <w:r w:rsidRPr="00C93759">
        <w:rPr>
          <w:noProof/>
        </w:rPr>
        <w:t>The Commission should seek to reduce or eliminate reliance on ratepayer support by leveraging available market-based alternatives</w:t>
      </w:r>
      <w:r>
        <w:rPr>
          <w:noProof/>
        </w:rPr>
        <w:tab/>
      </w:r>
      <w:r w:rsidR="00BB5C7C">
        <w:rPr>
          <w:noProof/>
        </w:rPr>
        <w:t>11</w:t>
      </w:r>
    </w:p>
    <w:p w:rsidR="002D224E" w:rsidRDefault="002D224E">
      <w:pPr>
        <w:pStyle w:val="TOC1"/>
        <w:rPr>
          <w:rFonts w:asciiTheme="minorHAnsi" w:eastAsiaTheme="minorEastAsia" w:hAnsiTheme="minorHAnsi"/>
          <w:noProof/>
          <w:sz w:val="22"/>
          <w:szCs w:val="22"/>
        </w:rPr>
      </w:pPr>
      <w:r w:rsidRPr="00C93759">
        <w:rPr>
          <w:noProof/>
          <w:color w:val="010000"/>
        </w:rPr>
        <w:t>V.</w:t>
      </w:r>
      <w:r>
        <w:rPr>
          <w:rFonts w:asciiTheme="minorHAnsi" w:eastAsiaTheme="minorEastAsia" w:hAnsiTheme="minorHAnsi"/>
          <w:noProof/>
          <w:sz w:val="22"/>
          <w:szCs w:val="22"/>
        </w:rPr>
        <w:tab/>
      </w:r>
      <w:r w:rsidRPr="00C93759">
        <w:rPr>
          <w:noProof/>
        </w:rPr>
        <w:t>Ormet has not satisfied the Commission’s demand that ormet provide a viable business plan before the Commission will order further modifications exposing other customers to increased Negative Delta Revenue responsibility</w:t>
      </w:r>
      <w:r>
        <w:rPr>
          <w:noProof/>
        </w:rPr>
        <w:tab/>
      </w:r>
      <w:r w:rsidR="00BB5C7C">
        <w:rPr>
          <w:noProof/>
        </w:rPr>
        <w:t>14</w:t>
      </w:r>
    </w:p>
    <w:p w:rsidR="002D224E" w:rsidRDefault="002D224E">
      <w:pPr>
        <w:pStyle w:val="TOC1"/>
        <w:rPr>
          <w:rFonts w:asciiTheme="minorHAnsi" w:eastAsiaTheme="minorEastAsia" w:hAnsiTheme="minorHAnsi"/>
          <w:noProof/>
          <w:sz w:val="22"/>
          <w:szCs w:val="22"/>
        </w:rPr>
      </w:pPr>
      <w:r w:rsidRPr="00C93759">
        <w:rPr>
          <w:noProof/>
          <w:color w:val="010000"/>
        </w:rPr>
        <w:t>VI.</w:t>
      </w:r>
      <w:r>
        <w:rPr>
          <w:rFonts w:asciiTheme="minorHAnsi" w:eastAsiaTheme="minorEastAsia" w:hAnsiTheme="minorHAnsi"/>
          <w:noProof/>
          <w:sz w:val="22"/>
          <w:szCs w:val="22"/>
        </w:rPr>
        <w:tab/>
      </w:r>
      <w:r w:rsidRPr="00C93759">
        <w:rPr>
          <w:noProof/>
        </w:rPr>
        <w:t>Ohio Power’s alternative solution is not just and reasonable</w:t>
      </w:r>
      <w:r>
        <w:rPr>
          <w:noProof/>
        </w:rPr>
        <w:tab/>
      </w:r>
      <w:r w:rsidR="00BB5C7C">
        <w:rPr>
          <w:noProof/>
        </w:rPr>
        <w:t>16</w:t>
      </w:r>
    </w:p>
    <w:p w:rsidR="002D224E" w:rsidRDefault="002D224E">
      <w:pPr>
        <w:pStyle w:val="TOC1"/>
        <w:rPr>
          <w:rFonts w:asciiTheme="minorHAnsi" w:eastAsiaTheme="minorEastAsia" w:hAnsiTheme="minorHAnsi"/>
          <w:noProof/>
          <w:sz w:val="22"/>
          <w:szCs w:val="22"/>
        </w:rPr>
      </w:pPr>
      <w:r w:rsidRPr="00C93759">
        <w:rPr>
          <w:noProof/>
          <w:color w:val="010000"/>
        </w:rPr>
        <w:t>VII.</w:t>
      </w:r>
      <w:r>
        <w:rPr>
          <w:rFonts w:asciiTheme="minorHAnsi" w:eastAsiaTheme="minorEastAsia" w:hAnsiTheme="minorHAnsi"/>
          <w:noProof/>
          <w:sz w:val="22"/>
          <w:szCs w:val="22"/>
        </w:rPr>
        <w:tab/>
      </w:r>
      <w:r w:rsidRPr="00C93759">
        <w:rPr>
          <w:noProof/>
        </w:rPr>
        <w:t>Conclusion</w:t>
      </w:r>
      <w:r>
        <w:rPr>
          <w:noProof/>
        </w:rPr>
        <w:tab/>
      </w:r>
      <w:r w:rsidR="00BB5C7C">
        <w:rPr>
          <w:noProof/>
        </w:rPr>
        <w:t>18</w:t>
      </w:r>
    </w:p>
    <w:bookmarkEnd w:id="3"/>
    <w:p w:rsidR="00321E6D" w:rsidRDefault="00321E6D" w:rsidP="00321E6D">
      <w:pPr>
        <w:tabs>
          <w:tab w:val="right" w:leader="dot" w:pos="9360"/>
        </w:tabs>
        <w:spacing w:line="240" w:lineRule="auto"/>
        <w:ind w:right="720"/>
        <w:rPr>
          <w:rFonts w:eastAsia="Times New Roman" w:cs="Arial"/>
          <w:b/>
          <w:smallCaps/>
          <w:sz w:val="28"/>
        </w:rPr>
        <w:sectPr w:rsidR="00321E6D" w:rsidSect="00CB4622">
          <w:footerReference w:type="first" r:id="rId15"/>
          <w:pgSz w:w="12240" w:h="15840" w:code="1"/>
          <w:pgMar w:top="1440" w:right="1440" w:bottom="1440" w:left="1440" w:header="720" w:footer="720" w:gutter="0"/>
          <w:pgNumType w:fmt="lowerRoman" w:start="1"/>
          <w:cols w:space="720"/>
          <w:docGrid w:linePitch="360"/>
        </w:sectPr>
      </w:pPr>
    </w:p>
    <w:p w:rsidR="00CD4BD0" w:rsidRPr="00CD4BD0" w:rsidRDefault="00CD4BD0" w:rsidP="00321E6D">
      <w:pPr>
        <w:spacing w:line="240" w:lineRule="auto"/>
        <w:jc w:val="center"/>
        <w:rPr>
          <w:rFonts w:eastAsia="Times New Roman" w:cs="Arial"/>
          <w:b/>
          <w:smallCaps/>
          <w:sz w:val="28"/>
        </w:rPr>
      </w:pPr>
      <w:r w:rsidRPr="00CD4BD0">
        <w:rPr>
          <w:rFonts w:eastAsia="Times New Roman" w:cs="Arial"/>
          <w:b/>
          <w:smallCaps/>
          <w:sz w:val="28"/>
        </w:rPr>
        <w:t>Before</w:t>
      </w:r>
    </w:p>
    <w:p w:rsidR="00CD4BD0" w:rsidRPr="00CD4BD0" w:rsidRDefault="00CD4BD0" w:rsidP="00CD4BD0">
      <w:pPr>
        <w:spacing w:line="240" w:lineRule="auto"/>
        <w:jc w:val="center"/>
        <w:rPr>
          <w:rFonts w:eastAsia="Times New Roman" w:cs="Arial"/>
          <w:b/>
          <w:smallCaps/>
          <w:sz w:val="28"/>
        </w:rPr>
      </w:pPr>
      <w:r w:rsidRPr="00CD4BD0">
        <w:rPr>
          <w:rFonts w:eastAsia="Times New Roman" w:cs="Arial"/>
          <w:b/>
          <w:smallCaps/>
          <w:sz w:val="28"/>
        </w:rPr>
        <w:t>The Public Utilities Commission of Ohio</w:t>
      </w:r>
    </w:p>
    <w:p w:rsidR="00CD4BD0" w:rsidRPr="00CD4BD0" w:rsidRDefault="00CD4BD0" w:rsidP="00CD4BD0">
      <w:pPr>
        <w:autoSpaceDE w:val="0"/>
        <w:autoSpaceDN w:val="0"/>
        <w:adjustRightInd w:val="0"/>
        <w:spacing w:line="240" w:lineRule="auto"/>
        <w:rPr>
          <w:rFonts w:eastAsia="Calibri" w:cs="Arial"/>
        </w:rPr>
      </w:pPr>
    </w:p>
    <w:p w:rsidR="00CD4BD0" w:rsidRPr="00CD4BD0" w:rsidRDefault="00CD4BD0" w:rsidP="00CD4BD0">
      <w:pPr>
        <w:tabs>
          <w:tab w:val="left" w:pos="5220"/>
          <w:tab w:val="left" w:pos="5580"/>
        </w:tabs>
        <w:autoSpaceDE w:val="0"/>
        <w:autoSpaceDN w:val="0"/>
        <w:adjustRightInd w:val="0"/>
        <w:spacing w:line="240" w:lineRule="auto"/>
        <w:rPr>
          <w:rFonts w:eastAsia="Calibri" w:cs="Arial"/>
        </w:rPr>
      </w:pPr>
      <w:r w:rsidRPr="00CD4BD0">
        <w:rPr>
          <w:rFonts w:eastAsia="Calibri" w:cs="Arial"/>
        </w:rPr>
        <w:t>In the Matter of the Application of Ormet Primary</w:t>
      </w:r>
      <w:r w:rsidRPr="00CD4BD0">
        <w:rPr>
          <w:rFonts w:eastAsia="Calibri" w:cs="Arial"/>
        </w:rPr>
        <w:tab/>
        <w:t>)</w:t>
      </w:r>
    </w:p>
    <w:p w:rsidR="00CD4BD0" w:rsidRPr="00CD4BD0" w:rsidRDefault="00CD4BD0" w:rsidP="00CD4BD0">
      <w:pPr>
        <w:tabs>
          <w:tab w:val="left" w:pos="5220"/>
          <w:tab w:val="left" w:pos="5580"/>
        </w:tabs>
        <w:autoSpaceDE w:val="0"/>
        <w:autoSpaceDN w:val="0"/>
        <w:adjustRightInd w:val="0"/>
        <w:spacing w:line="240" w:lineRule="auto"/>
        <w:rPr>
          <w:rFonts w:eastAsia="Calibri" w:cs="Arial"/>
        </w:rPr>
      </w:pPr>
      <w:r w:rsidRPr="00CD4BD0">
        <w:rPr>
          <w:rFonts w:eastAsia="Calibri" w:cs="Arial"/>
        </w:rPr>
        <w:t>Aluminum Corporation for Approval of a Unique</w:t>
      </w:r>
      <w:r w:rsidRPr="00CD4BD0">
        <w:rPr>
          <w:rFonts w:eastAsia="Calibri" w:cs="Arial"/>
        </w:rPr>
        <w:tab/>
        <w:t>)</w:t>
      </w:r>
      <w:r w:rsidRPr="00CD4BD0">
        <w:rPr>
          <w:rFonts w:eastAsia="Calibri" w:cs="Arial"/>
        </w:rPr>
        <w:tab/>
        <w:t>Case No. 09-119-EL-AEC</w:t>
      </w:r>
    </w:p>
    <w:p w:rsidR="00CD4BD0" w:rsidRPr="00CD4BD0" w:rsidRDefault="00CD4BD0" w:rsidP="00CD4BD0">
      <w:pPr>
        <w:tabs>
          <w:tab w:val="left" w:pos="5220"/>
          <w:tab w:val="left" w:pos="5580"/>
        </w:tabs>
        <w:autoSpaceDE w:val="0"/>
        <w:autoSpaceDN w:val="0"/>
        <w:adjustRightInd w:val="0"/>
        <w:spacing w:line="240" w:lineRule="auto"/>
        <w:rPr>
          <w:rFonts w:eastAsia="Calibri" w:cs="Arial"/>
        </w:rPr>
      </w:pPr>
      <w:r w:rsidRPr="00CD4BD0">
        <w:rPr>
          <w:rFonts w:eastAsia="Calibri" w:cs="Arial"/>
        </w:rPr>
        <w:t>Arrangement with Ohio Power Company and</w:t>
      </w:r>
      <w:r w:rsidRPr="00CD4BD0">
        <w:rPr>
          <w:rFonts w:eastAsia="Calibri" w:cs="Arial"/>
        </w:rPr>
        <w:tab/>
        <w:t>)</w:t>
      </w:r>
    </w:p>
    <w:p w:rsidR="00CD4BD0" w:rsidRPr="00CD4BD0" w:rsidRDefault="00CD4BD0" w:rsidP="00CD4BD0">
      <w:pPr>
        <w:tabs>
          <w:tab w:val="left" w:pos="5220"/>
        </w:tabs>
        <w:autoSpaceDE w:val="0"/>
        <w:autoSpaceDN w:val="0"/>
        <w:adjustRightInd w:val="0"/>
        <w:spacing w:line="240" w:lineRule="auto"/>
        <w:rPr>
          <w:rFonts w:eastAsia="Calibri" w:cs="Arial"/>
        </w:rPr>
      </w:pPr>
      <w:r w:rsidRPr="00CD4BD0">
        <w:rPr>
          <w:rFonts w:eastAsia="Calibri" w:cs="Arial"/>
        </w:rPr>
        <w:t>Columbus Southern Power Company</w:t>
      </w:r>
      <w:r w:rsidRPr="00CD4BD0">
        <w:rPr>
          <w:rFonts w:eastAsia="Calibri" w:cs="Arial"/>
        </w:rPr>
        <w:tab/>
        <w:t>)</w:t>
      </w:r>
    </w:p>
    <w:p w:rsidR="00CD4BD0" w:rsidRPr="00CD4BD0" w:rsidRDefault="00CD4BD0" w:rsidP="00CD4BD0">
      <w:pPr>
        <w:tabs>
          <w:tab w:val="left" w:pos="5040"/>
        </w:tabs>
        <w:spacing w:line="240" w:lineRule="auto"/>
        <w:rPr>
          <w:rFonts w:eastAsia="Times New Roman" w:cs="Arial"/>
        </w:rPr>
      </w:pPr>
    </w:p>
    <w:p w:rsidR="00CD4BD0" w:rsidRPr="00CD4BD0" w:rsidRDefault="00CD4BD0" w:rsidP="00CD4BD0">
      <w:pPr>
        <w:pBdr>
          <w:top w:val="single" w:sz="12" w:space="1" w:color="auto"/>
        </w:pBdr>
        <w:spacing w:after="120" w:line="240" w:lineRule="auto"/>
        <w:jc w:val="center"/>
        <w:rPr>
          <w:rFonts w:eastAsia="Times New Roman" w:cs="Arial"/>
          <w:smallCaps/>
          <w:sz w:val="16"/>
          <w:szCs w:val="16"/>
        </w:rPr>
      </w:pPr>
    </w:p>
    <w:p w:rsidR="00CD4BD0" w:rsidRPr="00CD4BD0" w:rsidRDefault="00CD4BD0" w:rsidP="00CD4BD0">
      <w:pPr>
        <w:spacing w:line="240" w:lineRule="auto"/>
        <w:jc w:val="center"/>
        <w:rPr>
          <w:rFonts w:eastAsia="Times New Roman" w:cs="Arial"/>
          <w:b/>
          <w:smallCaps/>
          <w:sz w:val="28"/>
        </w:rPr>
      </w:pPr>
      <w:r w:rsidRPr="00CD4BD0">
        <w:rPr>
          <w:rFonts w:eastAsia="Times New Roman" w:cs="Arial"/>
          <w:b/>
          <w:smallCaps/>
          <w:sz w:val="28"/>
        </w:rPr>
        <w:t xml:space="preserve">Industrial Energy Users-Ohio’s </w:t>
      </w:r>
      <w:r>
        <w:rPr>
          <w:rFonts w:eastAsia="Times New Roman" w:cs="Arial"/>
          <w:b/>
          <w:smallCaps/>
          <w:sz w:val="28"/>
        </w:rPr>
        <w:t>Post-Hearing Brief</w:t>
      </w:r>
    </w:p>
    <w:p w:rsidR="00CD4BD0" w:rsidRPr="00CD4BD0" w:rsidRDefault="00CD4BD0" w:rsidP="00CD4BD0">
      <w:pPr>
        <w:pBdr>
          <w:bottom w:val="single" w:sz="12" w:space="1" w:color="auto"/>
        </w:pBdr>
        <w:spacing w:after="120" w:line="240" w:lineRule="auto"/>
        <w:jc w:val="center"/>
        <w:rPr>
          <w:rFonts w:eastAsia="Times New Roman" w:cs="Arial"/>
          <w:smallCaps/>
          <w:sz w:val="16"/>
          <w:szCs w:val="16"/>
        </w:rPr>
      </w:pPr>
    </w:p>
    <w:p w:rsidR="00CD4BD0" w:rsidRPr="00CD4BD0" w:rsidRDefault="00CD4BD0" w:rsidP="00CD4BD0">
      <w:pPr>
        <w:spacing w:line="240" w:lineRule="auto"/>
        <w:rPr>
          <w:rFonts w:eastAsia="Times New Roman" w:cs="Arial"/>
          <w:b/>
        </w:rPr>
      </w:pPr>
    </w:p>
    <w:p w:rsidR="00FD4782" w:rsidRPr="00321E6D" w:rsidRDefault="00D24D02" w:rsidP="00CA5FA5">
      <w:pPr>
        <w:pStyle w:val="Heading1"/>
        <w:rPr>
          <w:u w:val="none"/>
        </w:rPr>
      </w:pPr>
      <w:bookmarkStart w:id="4" w:name="_Toc366226434"/>
      <w:bookmarkStart w:id="5" w:name="_Toc366227521"/>
      <w:bookmarkStart w:id="6" w:name="_Toc366478730"/>
      <w:r w:rsidRPr="00321E6D">
        <w:rPr>
          <w:u w:val="none"/>
        </w:rPr>
        <w:t>Introduction</w:t>
      </w:r>
      <w:bookmarkEnd w:id="4"/>
      <w:bookmarkEnd w:id="5"/>
      <w:bookmarkEnd w:id="6"/>
    </w:p>
    <w:p w:rsidR="00CA5FA5" w:rsidRDefault="00D24D02" w:rsidP="00B42443">
      <w:pPr>
        <w:ind w:firstLine="720"/>
      </w:pPr>
      <w:r>
        <w:t xml:space="preserve">Ormet Primary Aluminum Corporation (“Ormet”) seeks to modify the reasonable arrangement between </w:t>
      </w:r>
      <w:r w:rsidR="000A0E03">
        <w:t xml:space="preserve">it </w:t>
      </w:r>
      <w:r>
        <w:t xml:space="preserve">and the Ohio Power Company (“AEP-Ohio”) </w:t>
      </w:r>
      <w:r w:rsidR="00E27F35">
        <w:t>that</w:t>
      </w:r>
      <w:r w:rsidR="00567D09">
        <w:t xml:space="preserve"> was </w:t>
      </w:r>
      <w:r>
        <w:t>approved in 2009 (“2009 Reasonable Arrangement”)</w:t>
      </w:r>
      <w:r w:rsidR="008B7865">
        <w:t>.</w:t>
      </w:r>
      <w:r w:rsidR="00567D09">
        <w:rPr>
          <w:rStyle w:val="FootnoteReference"/>
        </w:rPr>
        <w:footnoteReference w:id="1"/>
      </w:r>
      <w:r>
        <w:t xml:space="preserve">  The proposed modifications would substantially increase the amount of potential delta revenue exposure of other </w:t>
      </w:r>
      <w:r w:rsidR="00567D09">
        <w:t>customers</w:t>
      </w:r>
      <w:r>
        <w:t xml:space="preserve">.  Rather than increasing other customers’ exposure to </w:t>
      </w:r>
      <w:r w:rsidR="00857D78">
        <w:t xml:space="preserve">increased subsidies to </w:t>
      </w:r>
      <w:r w:rsidR="00567D09">
        <w:t xml:space="preserve">directly </w:t>
      </w:r>
      <w:r w:rsidR="00857D78">
        <w:t>assist Ormet</w:t>
      </w:r>
      <w:r w:rsidR="00567D09">
        <w:t xml:space="preserve"> and indirectly subsidize the competitive generation business of AEP-Ohio</w:t>
      </w:r>
      <w:r>
        <w:t>, t</w:t>
      </w:r>
      <w:r w:rsidR="00CA5FA5">
        <w:t xml:space="preserve">he </w:t>
      </w:r>
      <w:r>
        <w:t>Public Utilities Commission of Ohio (“</w:t>
      </w:r>
      <w:r w:rsidR="00CA5FA5">
        <w:t>Commission</w:t>
      </w:r>
      <w:r>
        <w:t>”)</w:t>
      </w:r>
      <w:r w:rsidR="00CA5FA5">
        <w:t xml:space="preserve"> should seek to eliminate </w:t>
      </w:r>
      <w:r w:rsidR="00567D09">
        <w:t xml:space="preserve">or minimize </w:t>
      </w:r>
      <w:r w:rsidR="00CA5FA5">
        <w:t xml:space="preserve">the need for </w:t>
      </w:r>
      <w:r w:rsidR="00567D09">
        <w:t>any such subsidization</w:t>
      </w:r>
      <w:r w:rsidR="00097AD7">
        <w:t>.</w:t>
      </w:r>
    </w:p>
    <w:p w:rsidR="00BC4110" w:rsidRPr="00321E6D" w:rsidRDefault="00FD4782" w:rsidP="00CA5FA5">
      <w:pPr>
        <w:pStyle w:val="Heading1"/>
        <w:rPr>
          <w:u w:val="none"/>
        </w:rPr>
      </w:pPr>
      <w:bookmarkStart w:id="7" w:name="_Toc366226435"/>
      <w:bookmarkStart w:id="8" w:name="_Toc366227522"/>
      <w:bookmarkStart w:id="9" w:name="_Toc366478731"/>
      <w:r w:rsidRPr="00321E6D">
        <w:rPr>
          <w:u w:val="none"/>
        </w:rPr>
        <w:t>Ormet</w:t>
      </w:r>
      <w:r w:rsidR="00D24D02" w:rsidRPr="00321E6D">
        <w:rPr>
          <w:u w:val="none"/>
        </w:rPr>
        <w:t>’s</w:t>
      </w:r>
      <w:r w:rsidRPr="00321E6D">
        <w:rPr>
          <w:u w:val="none"/>
        </w:rPr>
        <w:t xml:space="preserve"> Motion</w:t>
      </w:r>
      <w:r w:rsidR="00BC4110" w:rsidRPr="00321E6D">
        <w:rPr>
          <w:u w:val="none"/>
        </w:rPr>
        <w:t xml:space="preserve"> </w:t>
      </w:r>
      <w:r w:rsidR="00B7032D" w:rsidRPr="00321E6D">
        <w:rPr>
          <w:u w:val="none"/>
        </w:rPr>
        <w:t xml:space="preserve">seeks </w:t>
      </w:r>
      <w:r w:rsidR="00B2281F">
        <w:rPr>
          <w:u w:val="none"/>
        </w:rPr>
        <w:t>to m</w:t>
      </w:r>
      <w:r w:rsidR="00D24D02" w:rsidRPr="00321E6D">
        <w:rPr>
          <w:u w:val="none"/>
        </w:rPr>
        <w:t>odify the 2009 Reasonable Arrangement</w:t>
      </w:r>
      <w:bookmarkEnd w:id="7"/>
      <w:bookmarkEnd w:id="8"/>
      <w:bookmarkEnd w:id="9"/>
    </w:p>
    <w:p w:rsidR="00CA5FA5" w:rsidRDefault="008E15A9" w:rsidP="00E16F3F">
      <w:pPr>
        <w:pStyle w:val="Heading2"/>
      </w:pPr>
      <w:bookmarkStart w:id="10" w:name="_Toc360625842"/>
      <w:bookmarkStart w:id="11" w:name="_Toc360630410"/>
      <w:bookmarkStart w:id="12" w:name="_Toc360712496"/>
      <w:bookmarkStart w:id="13" w:name="_Toc360777113"/>
      <w:bookmarkStart w:id="14" w:name="_Toc360777196"/>
      <w:bookmarkStart w:id="15" w:name="_Toc360783803"/>
      <w:bookmarkStart w:id="16" w:name="_Toc366226436"/>
      <w:bookmarkStart w:id="17" w:name="_Toc366227523"/>
      <w:bookmarkStart w:id="18" w:name="_Toc366478732"/>
      <w:r>
        <w:t>Ormet’s c</w:t>
      </w:r>
      <w:r w:rsidR="00CA5FA5">
        <w:t>urrent Reasonable Arrangement</w:t>
      </w:r>
      <w:bookmarkEnd w:id="10"/>
      <w:bookmarkEnd w:id="11"/>
      <w:bookmarkEnd w:id="12"/>
      <w:bookmarkEnd w:id="13"/>
      <w:bookmarkEnd w:id="14"/>
      <w:bookmarkEnd w:id="15"/>
      <w:bookmarkEnd w:id="16"/>
      <w:bookmarkEnd w:id="17"/>
      <w:bookmarkEnd w:id="18"/>
      <w:r>
        <w:t xml:space="preserve"> </w:t>
      </w:r>
    </w:p>
    <w:p w:rsidR="00CA5FA5" w:rsidRDefault="00CA5FA5" w:rsidP="00B42443">
      <w:pPr>
        <w:ind w:firstLine="720"/>
      </w:pPr>
      <w:r>
        <w:t xml:space="preserve">As authorized by the Commission’s Opinion and Order issued on July 15, 2009 (“Opinion and Order”), the 2009 Reasonable Arrangement provides that Ormet’s price for electric service </w:t>
      </w:r>
      <w:r w:rsidR="00D508E7">
        <w:t>is</w:t>
      </w:r>
      <w:r>
        <w:t xml:space="preserve"> established, among other things, through a formula that contains an index.  The index varies Ormet’s electric price in relationship to specified changes in the London Metals Exchange (“LME”) price for aluminum.  The currently effective 2009 Reasonable Arrangement has a term that runs through December 2018.</w:t>
      </w:r>
      <w:r>
        <w:rPr>
          <w:rStyle w:val="FootnoteReference"/>
        </w:rPr>
        <w:footnoteReference w:id="2"/>
      </w:r>
    </w:p>
    <w:p w:rsidR="00CA5FA5" w:rsidRDefault="00CA5FA5" w:rsidP="00B42443">
      <w:pPr>
        <w:ind w:firstLine="720"/>
      </w:pPr>
      <w:r>
        <w:t xml:space="preserve">Beginning with the </w:t>
      </w:r>
      <w:r w:rsidRPr="00332BF0">
        <w:t>years 2010 and 2011</w:t>
      </w:r>
      <w:r>
        <w:t xml:space="preserve">, the structure of the 2009 Reasonable Arrangement </w:t>
      </w:r>
      <w:r w:rsidR="00567D09">
        <w:t xml:space="preserve">responded to </w:t>
      </w:r>
      <w:r>
        <w:t>Ormet</w:t>
      </w:r>
      <w:r w:rsidR="00567D09">
        <w:t xml:space="preserve">’s requests which Ormet said would provide it with </w:t>
      </w:r>
      <w:r>
        <w:t xml:space="preserve">positive cash flow and address legacy </w:t>
      </w:r>
      <w:r w:rsidR="00873623">
        <w:t xml:space="preserve">pension </w:t>
      </w:r>
      <w:r>
        <w:t>costs when LME prices are low.  The 2009 Reasonable Arra</w:t>
      </w:r>
      <w:r w:rsidR="00E16F3F">
        <w:t>ngement also allowed the 2010-</w:t>
      </w:r>
      <w:r>
        <w:t xml:space="preserve">11 electric </w:t>
      </w:r>
      <w:r w:rsidR="008D0D9F">
        <w:t>prices</w:t>
      </w:r>
      <w:r>
        <w:t xml:space="preserve"> to rise when aluminum market conditions were more favorable to Ormet.</w:t>
      </w:r>
      <w:r>
        <w:rPr>
          <w:rStyle w:val="FootnoteReference"/>
        </w:rPr>
        <w:footnoteReference w:id="3"/>
      </w:r>
      <w:r>
        <w:t xml:space="preserve">  </w:t>
      </w:r>
      <w:r w:rsidRPr="00332BF0">
        <w:t>For the years 201</w:t>
      </w:r>
      <w:r>
        <w:t>2</w:t>
      </w:r>
      <w:r w:rsidRPr="00332BF0">
        <w:t xml:space="preserve"> through 2018, the </w:t>
      </w:r>
      <w:r>
        <w:t xml:space="preserve">2009 Reasonable Arrangement’s pricing </w:t>
      </w:r>
      <w:r w:rsidRPr="00332BF0">
        <w:t xml:space="preserve">formula </w:t>
      </w:r>
      <w:r>
        <w:t xml:space="preserve">operates in a similar fashion, but Ormet’s electric price rises slightly higher (104% or 108% of the otherwise applicable price) </w:t>
      </w:r>
      <w:r w:rsidR="00097AD7">
        <w:t>based on the price of aluminum relative to the target price</w:t>
      </w:r>
      <w:r>
        <w:t>.</w:t>
      </w:r>
      <w:r>
        <w:rPr>
          <w:rStyle w:val="FootnoteReference"/>
        </w:rPr>
        <w:footnoteReference w:id="4"/>
      </w:r>
    </w:p>
    <w:p w:rsidR="00CA5FA5" w:rsidRPr="00332BF0" w:rsidRDefault="00CA5FA5" w:rsidP="00B42443">
      <w:pPr>
        <w:ind w:firstLine="720"/>
      </w:pPr>
      <w:r>
        <w:t xml:space="preserve">The 2009 Reasonable Arrangement calls for all the </w:t>
      </w:r>
      <w:r w:rsidRPr="00332BF0">
        <w:t xml:space="preserve">revenue </w:t>
      </w:r>
      <w:r>
        <w:t xml:space="preserve">provided by prices above the otherwise applicable weighted average </w:t>
      </w:r>
      <w:r w:rsidRPr="00332BF0">
        <w:t xml:space="preserve">tariff rate </w:t>
      </w:r>
      <w:r>
        <w:t xml:space="preserve">(“Positive Delta Revenue”) to be used as a credit against the accumulated </w:t>
      </w:r>
      <w:r w:rsidRPr="00332BF0">
        <w:t>delta revenue</w:t>
      </w:r>
      <w:r>
        <w:t xml:space="preserve"> balance (“Negative Delta Revenue”) caused by electric prices below the otherwise applicable electricity reference price.  Any Positive Delta Revenue is </w:t>
      </w:r>
      <w:r w:rsidRPr="00332BF0">
        <w:t xml:space="preserve">first </w:t>
      </w:r>
      <w:r>
        <w:t>applied to reduce the Negative Delta Reve</w:t>
      </w:r>
      <w:r w:rsidR="00516426">
        <w:t>nue and then used to reduce AEP-Ohio’s Economic Development Rider (“</w:t>
      </w:r>
      <w:r>
        <w:t>EDR</w:t>
      </w:r>
      <w:r w:rsidR="00516426">
        <w:t>”)</w:t>
      </w:r>
      <w:r w:rsidRPr="00332BF0">
        <w:t>.</w:t>
      </w:r>
      <w:r>
        <w:rPr>
          <w:rStyle w:val="FootnoteReference"/>
        </w:rPr>
        <w:footnoteReference w:id="5"/>
      </w:r>
    </w:p>
    <w:p w:rsidR="00CA5FA5" w:rsidRDefault="00CA5FA5" w:rsidP="00B42443">
      <w:pPr>
        <w:ind w:firstLine="720"/>
      </w:pPr>
      <w:r>
        <w:t>As approved by the Commission, the 2009 Reasonable Arrangement limits the maximum dollar amount of the Negative Delta Revenue to $60 million annually in 2010 and 2011</w:t>
      </w:r>
      <w:r>
        <w:rPr>
          <w:rStyle w:val="FootnoteReference"/>
        </w:rPr>
        <w:footnoteReference w:id="6"/>
      </w:r>
      <w:r>
        <w:t xml:space="preserve"> and then phases down the maximum amount of Negative Delta Revenue over time.  </w:t>
      </w:r>
      <w:r w:rsidR="00E16F3F">
        <w:t>The</w:t>
      </w:r>
      <w:r>
        <w:t xml:space="preserve"> currently effective 2009 Reasonable Arrangement sets the maximum amount</w:t>
      </w:r>
      <w:r w:rsidR="00516426">
        <w:t xml:space="preserve"> of Negative Delta Revenue at $44 million for 2013</w:t>
      </w:r>
      <w:r>
        <w:t xml:space="preserve"> and thereafter reduces this amount by $10 million each year until the potential for Negative Delta Revenue is eliminated in 2018.</w:t>
      </w:r>
      <w:r>
        <w:rPr>
          <w:rStyle w:val="FootnoteReference"/>
        </w:rPr>
        <w:footnoteReference w:id="7"/>
      </w:r>
      <w:r>
        <w:rPr>
          <w:rFonts w:cs="Arial"/>
        </w:rPr>
        <w:t xml:space="preserve">  The Commission found that such time differentiated limits on the maximum amount of Negative Delta Revenue were necessary to protect customers from the delta revenue effects of the 2009 Reasonable Arrangement.</w:t>
      </w:r>
      <w:r>
        <w:rPr>
          <w:rStyle w:val="FootnoteReference"/>
          <w:rFonts w:cs="Arial"/>
        </w:rPr>
        <w:footnoteReference w:id="8"/>
      </w:r>
      <w:r>
        <w:rPr>
          <w:rFonts w:cs="Arial"/>
        </w:rPr>
        <w:t xml:space="preserve">  </w:t>
      </w:r>
      <w:r w:rsidR="00FA6EA3">
        <w:rPr>
          <w:rFonts w:cs="Arial"/>
        </w:rPr>
        <w:t>Additionally, t</w:t>
      </w:r>
      <w:r>
        <w:rPr>
          <w:rFonts w:cs="Arial"/>
        </w:rPr>
        <w:t>he Commission agreed with its Staff that the ability of AEP-Ohio customers to fund the recovery of delta revenue is not unlimited and determined that AEP-Ohio’s other customers would pay no more than $54 million annually in delta revenue associated with the 2009 Reasonable Arrangement.</w:t>
      </w:r>
      <w:r>
        <w:rPr>
          <w:rStyle w:val="FootnoteReference"/>
          <w:rFonts w:cs="Arial"/>
        </w:rPr>
        <w:footnoteReference w:id="9"/>
      </w:r>
    </w:p>
    <w:p w:rsidR="00CA5FA5" w:rsidRDefault="002D224E" w:rsidP="00DA0BB4">
      <w:pPr>
        <w:ind w:firstLine="720"/>
        <w:rPr>
          <w:rFonts w:cs="Arial"/>
        </w:rPr>
      </w:pPr>
      <w:r>
        <w:t>As an additional potential protection afforded other customers</w:t>
      </w:r>
      <w:r w:rsidR="00CA5FA5">
        <w:t xml:space="preserve">, the </w:t>
      </w:r>
      <w:r w:rsidR="00E27F35">
        <w:t xml:space="preserve">Commission may terminate the </w:t>
      </w:r>
      <w:r w:rsidR="00CA5FA5">
        <w:t>2009 Reasonable Arrangement</w:t>
      </w:r>
      <w:r>
        <w:t>.</w:t>
      </w:r>
      <w:r w:rsidR="00CA5FA5">
        <w:t xml:space="preserve">  “</w:t>
      </w:r>
      <w:r w:rsidR="00CA5FA5" w:rsidRPr="00BE2761">
        <w:rPr>
          <w:rFonts w:cs="Arial"/>
        </w:rPr>
        <w:t xml:space="preserve">The Commission </w:t>
      </w:r>
      <w:r w:rsidR="00E16F3F">
        <w:rPr>
          <w:rFonts w:cs="Arial"/>
        </w:rPr>
        <w:t>[modified]</w:t>
      </w:r>
      <w:r w:rsidR="00CA5FA5" w:rsidRPr="00BE2761">
        <w:rPr>
          <w:rFonts w:cs="Arial"/>
        </w:rPr>
        <w:t xml:space="preserve"> the proposed unique arrangement to allow the Commission to terminate, by order, the unique arrangement if Ormet </w:t>
      </w:r>
      <w:r w:rsidR="00E16F3F">
        <w:rPr>
          <w:rFonts w:cs="Arial"/>
        </w:rPr>
        <w:t>[did]</w:t>
      </w:r>
      <w:r w:rsidR="00CA5FA5" w:rsidRPr="00BE2761">
        <w:rPr>
          <w:rFonts w:cs="Arial"/>
        </w:rPr>
        <w:t xml:space="preserve"> not begin to reduce the amount of the accumulated deferrals, and carrying charges, through the payment of above-tariff rates, pursuant to the terms of the unique arrangement, by April 1,</w:t>
      </w:r>
      <w:r w:rsidR="00CA5FA5">
        <w:rPr>
          <w:rFonts w:cs="Arial"/>
        </w:rPr>
        <w:t xml:space="preserve"> </w:t>
      </w:r>
      <w:r w:rsidR="00CA5FA5" w:rsidRPr="00BE2761">
        <w:rPr>
          <w:rFonts w:cs="Arial"/>
        </w:rPr>
        <w:t>2012.</w:t>
      </w:r>
      <w:r w:rsidR="00CA5FA5">
        <w:rPr>
          <w:rFonts w:cs="Arial"/>
        </w:rPr>
        <w:t>”</w:t>
      </w:r>
      <w:r w:rsidR="00CA5FA5">
        <w:rPr>
          <w:rStyle w:val="FootnoteReference"/>
          <w:rFonts w:cs="Arial"/>
        </w:rPr>
        <w:footnoteReference w:id="10"/>
      </w:r>
    </w:p>
    <w:p w:rsidR="00516426" w:rsidRDefault="00516426" w:rsidP="00516426">
      <w:pPr>
        <w:pStyle w:val="Heading2"/>
      </w:pPr>
      <w:bookmarkStart w:id="19" w:name="_Toc366226437"/>
      <w:bookmarkStart w:id="20" w:name="_Toc366227524"/>
      <w:bookmarkStart w:id="21" w:name="_Toc366478733"/>
      <w:r>
        <w:t xml:space="preserve">AEP-Ohio’s Electric Security Plan (“ESP”) </w:t>
      </w:r>
      <w:r w:rsidR="00B7032D">
        <w:t>and</w:t>
      </w:r>
      <w:r>
        <w:t xml:space="preserve"> Ormet’s first request for a modification of the 2009 Reasonable Arrangement</w:t>
      </w:r>
      <w:bookmarkEnd w:id="19"/>
      <w:bookmarkEnd w:id="20"/>
      <w:bookmarkEnd w:id="21"/>
    </w:p>
    <w:p w:rsidR="00FA2058" w:rsidRDefault="00CA5FA5" w:rsidP="00B42443">
      <w:pPr>
        <w:ind w:firstLine="720"/>
        <w:rPr>
          <w:rFonts w:cs="Arial"/>
        </w:rPr>
      </w:pPr>
      <w:r>
        <w:rPr>
          <w:rFonts w:cs="Arial"/>
        </w:rPr>
        <w:t>By April 1, 2012, Ormet’s financial performance had not moved into the “zone” specified by the Commission,</w:t>
      </w:r>
      <w:r w:rsidR="00E16F3F">
        <w:rPr>
          <w:rStyle w:val="FootnoteReference"/>
          <w:rFonts w:cs="Arial"/>
        </w:rPr>
        <w:footnoteReference w:id="11"/>
      </w:r>
      <w:r>
        <w:rPr>
          <w:rFonts w:cs="Arial"/>
        </w:rPr>
        <w:t xml:space="preserve"> yet the Commission did not terminate the 2009 Reasonable Arrangement</w:t>
      </w:r>
      <w:r w:rsidR="00FA2058">
        <w:rPr>
          <w:rFonts w:cs="Arial"/>
        </w:rPr>
        <w:t xml:space="preserve"> or modify the resulting delta revenue burden imposed on other customers</w:t>
      </w:r>
      <w:r>
        <w:rPr>
          <w:rFonts w:cs="Arial"/>
        </w:rPr>
        <w:t>.  Meanwhile, AEP-Ohio commenced its application for a new ESP on January 27, 2011.</w:t>
      </w:r>
      <w:r>
        <w:rPr>
          <w:rStyle w:val="FootnoteReference"/>
          <w:rFonts w:cs="Arial"/>
        </w:rPr>
        <w:footnoteReference w:id="12"/>
      </w:r>
      <w:r>
        <w:rPr>
          <w:rFonts w:cs="Arial"/>
        </w:rPr>
        <w:t xml:space="preserve">  </w:t>
      </w:r>
    </w:p>
    <w:p w:rsidR="00516426" w:rsidRDefault="00CA5FA5" w:rsidP="00B42443">
      <w:pPr>
        <w:ind w:firstLine="720"/>
        <w:rPr>
          <w:rFonts w:cs="Arial"/>
        </w:rPr>
      </w:pPr>
      <w:r>
        <w:rPr>
          <w:rFonts w:cs="Arial"/>
        </w:rPr>
        <w:t xml:space="preserve">On August 8, 2012, the Commission </w:t>
      </w:r>
      <w:r w:rsidR="00F63A3A">
        <w:rPr>
          <w:rFonts w:cs="Arial"/>
        </w:rPr>
        <w:t>authorized substantial increases in</w:t>
      </w:r>
      <w:r>
        <w:rPr>
          <w:rFonts w:cs="Arial"/>
        </w:rPr>
        <w:t xml:space="preserve"> AEP-Ohio’s electric prices through the approval of an ESP strongly opposed by Ormet, all other consumers, and many competitive retail electric service (“CRES”) providers.</w:t>
      </w:r>
      <w:r>
        <w:rPr>
          <w:rStyle w:val="FootnoteReference"/>
          <w:rFonts w:cs="Arial"/>
        </w:rPr>
        <w:footnoteReference w:id="13"/>
      </w:r>
      <w:r w:rsidR="00516426">
        <w:rPr>
          <w:rFonts w:cs="Arial"/>
        </w:rPr>
        <w:t xml:space="preserve">  </w:t>
      </w:r>
      <w:r w:rsidR="00197915">
        <w:rPr>
          <w:rFonts w:cs="Arial"/>
        </w:rPr>
        <w:t>In particular</w:t>
      </w:r>
      <w:r w:rsidR="00516426">
        <w:rPr>
          <w:rFonts w:cs="Arial"/>
        </w:rPr>
        <w:t xml:space="preserve">, GS-4 customers have seen </w:t>
      </w:r>
      <w:r w:rsidR="008A69E8">
        <w:rPr>
          <w:rFonts w:cs="Arial"/>
        </w:rPr>
        <w:t xml:space="preserve">substantial </w:t>
      </w:r>
      <w:r w:rsidR="00516426">
        <w:rPr>
          <w:rFonts w:cs="Arial"/>
        </w:rPr>
        <w:t xml:space="preserve">rate increases under the </w:t>
      </w:r>
      <w:r w:rsidR="00516426" w:rsidRPr="00857D78">
        <w:rPr>
          <w:rFonts w:cs="Arial"/>
          <w:i/>
        </w:rPr>
        <w:t>AEP-Ohio ESP II</w:t>
      </w:r>
      <w:r w:rsidR="00516426">
        <w:rPr>
          <w:rFonts w:cs="Arial"/>
        </w:rPr>
        <w:t xml:space="preserve"> </w:t>
      </w:r>
      <w:r w:rsidR="008D0D9F">
        <w:rPr>
          <w:rFonts w:cs="Arial"/>
        </w:rPr>
        <w:t>O</w:t>
      </w:r>
      <w:r w:rsidR="00516426">
        <w:rPr>
          <w:rFonts w:cs="Arial"/>
        </w:rPr>
        <w:t>rder</w:t>
      </w:r>
      <w:r w:rsidR="00197915">
        <w:rPr>
          <w:rFonts w:cs="Arial"/>
        </w:rPr>
        <w:t>.</w:t>
      </w:r>
      <w:r w:rsidR="00197915">
        <w:rPr>
          <w:rStyle w:val="FootnoteReference"/>
          <w:rFonts w:cs="Arial"/>
        </w:rPr>
        <w:footnoteReference w:id="14"/>
      </w:r>
    </w:p>
    <w:p w:rsidR="00CA5FA5" w:rsidRDefault="00CA5FA5" w:rsidP="00B42443">
      <w:pPr>
        <w:ind w:firstLine="720"/>
        <w:rPr>
          <w:rFonts w:cs="Arial"/>
        </w:rPr>
      </w:pPr>
      <w:r>
        <w:rPr>
          <w:rFonts w:cs="Arial"/>
        </w:rPr>
        <w:t xml:space="preserve">During the </w:t>
      </w:r>
      <w:r w:rsidRPr="00C01CE7">
        <w:rPr>
          <w:rFonts w:cs="Arial"/>
          <w:i/>
        </w:rPr>
        <w:t>AEP-Ohio ESP II</w:t>
      </w:r>
      <w:r>
        <w:rPr>
          <w:rFonts w:cs="Arial"/>
        </w:rPr>
        <w:t xml:space="preserve"> litigation, Ormet warned that the significant rate increases sought by AEP-Ohio would have a dramatic negative impact on Ormet’s efforts to turn things around.</w:t>
      </w:r>
      <w:r w:rsidR="00197915">
        <w:rPr>
          <w:rStyle w:val="FootnoteReference"/>
          <w:rFonts w:cs="Arial"/>
        </w:rPr>
        <w:footnoteReference w:id="15"/>
      </w:r>
      <w:r>
        <w:rPr>
          <w:rFonts w:cs="Arial"/>
        </w:rPr>
        <w:t xml:space="preserve">  </w:t>
      </w:r>
      <w:r w:rsidR="00E16F3F">
        <w:rPr>
          <w:rFonts w:cs="Arial"/>
        </w:rPr>
        <w:t>Following the approval of the ESP</w:t>
      </w:r>
      <w:r>
        <w:rPr>
          <w:rFonts w:cs="Arial"/>
        </w:rPr>
        <w:t xml:space="preserve">, </w:t>
      </w:r>
      <w:r w:rsidRPr="00BE2761">
        <w:rPr>
          <w:rFonts w:cs="Arial"/>
        </w:rPr>
        <w:t>Ormet</w:t>
      </w:r>
      <w:r>
        <w:rPr>
          <w:rFonts w:cs="Arial"/>
        </w:rPr>
        <w:t xml:space="preserve"> sought additional relief from the Commission (Ormet’s first request to modify the 2009 Reasonable Arrangement),</w:t>
      </w:r>
      <w:r w:rsidRPr="00BE2761">
        <w:rPr>
          <w:rFonts w:cs="Arial"/>
        </w:rPr>
        <w:t xml:space="preserve"> </w:t>
      </w:r>
      <w:r>
        <w:rPr>
          <w:rFonts w:cs="Arial"/>
        </w:rPr>
        <w:t>claiming it could not pay its expected November and December 2012 electric bills.</w:t>
      </w:r>
      <w:r w:rsidR="00DB0796">
        <w:rPr>
          <w:rStyle w:val="FootnoteReference"/>
          <w:rFonts w:cs="Arial"/>
        </w:rPr>
        <w:footnoteReference w:id="16"/>
      </w:r>
      <w:r>
        <w:rPr>
          <w:rFonts w:cs="Arial"/>
        </w:rPr>
        <w:t xml:space="preserve">  Ormet asked the Commission to allow Ormet to modify the 2009 Reasonable Arrangement so that Ormet could delay payment of its November and December 2012 electricity bills to a later date.</w:t>
      </w:r>
      <w:r>
        <w:rPr>
          <w:rStyle w:val="FootnoteReference"/>
          <w:rFonts w:cs="Arial"/>
        </w:rPr>
        <w:footnoteReference w:id="17"/>
      </w:r>
      <w:r>
        <w:rPr>
          <w:rFonts w:cs="Arial"/>
        </w:rPr>
        <w:t xml:space="preserve">  While the Commission granted Ormet’s payment modification request, it </w:t>
      </w:r>
      <w:r w:rsidR="008E15A9">
        <w:rPr>
          <w:rFonts w:cs="Arial"/>
        </w:rPr>
        <w:t xml:space="preserve">limited the exposure of other ratepayers to $20 million of the projected deferred bill amounts and </w:t>
      </w:r>
      <w:r>
        <w:rPr>
          <w:rFonts w:cs="Arial"/>
        </w:rPr>
        <w:t xml:space="preserve">stated that it would not modify the 2009 Reasonable Arrangement </w:t>
      </w:r>
      <w:r w:rsidR="008D0D9F">
        <w:rPr>
          <w:rFonts w:cs="Arial"/>
        </w:rPr>
        <w:t xml:space="preserve">again </w:t>
      </w:r>
      <w:r>
        <w:rPr>
          <w:rFonts w:cs="Arial"/>
        </w:rPr>
        <w:t>unless Ormet provided “a detailed business plan confirming its long-term ability to exist without ratepayer support.”</w:t>
      </w:r>
      <w:r>
        <w:rPr>
          <w:rStyle w:val="FootnoteReference"/>
          <w:rFonts w:cs="Arial"/>
        </w:rPr>
        <w:footnoteReference w:id="18"/>
      </w:r>
    </w:p>
    <w:p w:rsidR="00CA5FA5" w:rsidRDefault="008E15A9" w:rsidP="00DB0796">
      <w:pPr>
        <w:pStyle w:val="Heading2"/>
      </w:pPr>
      <w:bookmarkStart w:id="22" w:name="_Toc360625843"/>
      <w:bookmarkStart w:id="23" w:name="_Toc360630411"/>
      <w:bookmarkStart w:id="24" w:name="_Toc360712497"/>
      <w:bookmarkStart w:id="25" w:name="_Toc360777114"/>
      <w:bookmarkStart w:id="26" w:name="_Toc360777197"/>
      <w:bookmarkStart w:id="27" w:name="_Toc360783804"/>
      <w:bookmarkStart w:id="28" w:name="_Toc366226438"/>
      <w:bookmarkStart w:id="29" w:name="_Toc366227525"/>
      <w:bookmarkStart w:id="30" w:name="_Toc366478734"/>
      <w:r>
        <w:t>Ormet’s second request to m</w:t>
      </w:r>
      <w:r w:rsidR="00CA5FA5">
        <w:t>odify to the 2009 Reasonable Arrangement</w:t>
      </w:r>
      <w:bookmarkEnd w:id="22"/>
      <w:bookmarkEnd w:id="23"/>
      <w:bookmarkEnd w:id="24"/>
      <w:bookmarkEnd w:id="25"/>
      <w:bookmarkEnd w:id="26"/>
      <w:bookmarkEnd w:id="27"/>
      <w:bookmarkEnd w:id="28"/>
      <w:bookmarkEnd w:id="29"/>
      <w:bookmarkEnd w:id="30"/>
      <w:r>
        <w:t xml:space="preserve"> </w:t>
      </w:r>
    </w:p>
    <w:p w:rsidR="00FA6EA3" w:rsidRDefault="00CA5FA5" w:rsidP="00B42443">
      <w:pPr>
        <w:ind w:firstLine="720"/>
        <w:rPr>
          <w:rFonts w:cs="Arial"/>
        </w:rPr>
      </w:pPr>
      <w:r>
        <w:rPr>
          <w:rFonts w:cs="Arial"/>
        </w:rPr>
        <w:t xml:space="preserve">Shortly after the Commission approved Ormet’s first modification request and </w:t>
      </w:r>
      <w:r w:rsidR="00DB0796">
        <w:rPr>
          <w:rFonts w:cs="Arial"/>
        </w:rPr>
        <w:t>before beginning to pay</w:t>
      </w:r>
      <w:r>
        <w:rPr>
          <w:rFonts w:cs="Arial"/>
        </w:rPr>
        <w:t xml:space="preserve"> the </w:t>
      </w:r>
      <w:r w:rsidR="00DB0796">
        <w:rPr>
          <w:rFonts w:cs="Arial"/>
        </w:rPr>
        <w:t xml:space="preserve">deferred </w:t>
      </w:r>
      <w:r>
        <w:rPr>
          <w:rFonts w:cs="Arial"/>
        </w:rPr>
        <w:t>November and December 2012 electricity bills, Ormet sought bankruptcy protection for the second time since 2004.</w:t>
      </w:r>
      <w:r>
        <w:rPr>
          <w:rStyle w:val="FootnoteReference"/>
          <w:rFonts w:cs="Arial"/>
        </w:rPr>
        <w:footnoteReference w:id="19"/>
      </w:r>
      <w:r>
        <w:rPr>
          <w:rFonts w:cs="Arial"/>
        </w:rPr>
        <w:t xml:space="preserve">  On June 4, 2013, the bankruptcy court approved a sale of Ormet’s assets to Wayzata Investment Partners, LLC (“Wayzata”).</w:t>
      </w:r>
      <w:r>
        <w:rPr>
          <w:rStyle w:val="FootnoteReference"/>
          <w:rFonts w:cs="Arial"/>
        </w:rPr>
        <w:footnoteReference w:id="20"/>
      </w:r>
      <w:r>
        <w:rPr>
          <w:rFonts w:cs="Arial"/>
        </w:rPr>
        <w:t xml:space="preserve">  </w:t>
      </w:r>
      <w:r w:rsidR="00DB0796">
        <w:rPr>
          <w:rFonts w:cs="Arial"/>
        </w:rPr>
        <w:t xml:space="preserve">On June 14, 2013, Ormet filed a motion to modify the 2009 Reasonable Arrangement that sought both emergency and nonemergency relief.  </w:t>
      </w:r>
      <w:r>
        <w:rPr>
          <w:rFonts w:cs="Arial"/>
        </w:rPr>
        <w:t xml:space="preserve">According to Ormet’s Motion, the contract for the sale of assets </w:t>
      </w:r>
      <w:r w:rsidR="00DB0796">
        <w:rPr>
          <w:rFonts w:cs="Arial"/>
        </w:rPr>
        <w:t>was</w:t>
      </w:r>
      <w:r>
        <w:rPr>
          <w:rFonts w:cs="Arial"/>
        </w:rPr>
        <w:t xml:space="preserve"> conditioned on modifications of the 2009 Reasonable Arrangement and </w:t>
      </w:r>
      <w:r w:rsidR="00FA2058">
        <w:rPr>
          <w:rFonts w:cs="Arial"/>
        </w:rPr>
        <w:t xml:space="preserve">was subject to </w:t>
      </w:r>
      <w:r>
        <w:rPr>
          <w:rFonts w:cs="Arial"/>
        </w:rPr>
        <w:t>terminat</w:t>
      </w:r>
      <w:r w:rsidR="00FA2058">
        <w:rPr>
          <w:rFonts w:cs="Arial"/>
        </w:rPr>
        <w:t xml:space="preserve">ion </w:t>
      </w:r>
      <w:r>
        <w:rPr>
          <w:rFonts w:cs="Arial"/>
        </w:rPr>
        <w:t xml:space="preserve">if the sale </w:t>
      </w:r>
      <w:r w:rsidR="00F63A3A">
        <w:rPr>
          <w:rFonts w:cs="Arial"/>
        </w:rPr>
        <w:t>did</w:t>
      </w:r>
      <w:r>
        <w:rPr>
          <w:rFonts w:cs="Arial"/>
        </w:rPr>
        <w:t xml:space="preserve"> not close by July 31, 2013.</w:t>
      </w:r>
      <w:r>
        <w:rPr>
          <w:rStyle w:val="FootnoteReference"/>
          <w:rFonts w:cs="Arial"/>
        </w:rPr>
        <w:footnoteReference w:id="21"/>
      </w:r>
    </w:p>
    <w:p w:rsidR="00CA5FA5" w:rsidRPr="00B81E1F" w:rsidRDefault="00BC3CC0" w:rsidP="00857D78">
      <w:pPr>
        <w:ind w:firstLine="720"/>
      </w:pPr>
      <w:r>
        <w:t>As emergency relief, Ormet</w:t>
      </w:r>
      <w:r w:rsidR="00CA5FA5" w:rsidRPr="00B81E1F">
        <w:t xml:space="preserve"> first </w:t>
      </w:r>
      <w:r>
        <w:t>request</w:t>
      </w:r>
      <w:r w:rsidR="00FA6EA3">
        <w:t>ed</w:t>
      </w:r>
      <w:r w:rsidR="00CA5FA5" w:rsidRPr="00B81E1F">
        <w:t xml:space="preserve"> authorization to modify and terminate the 2009 Reasonable Arrangement in December 2015, rather than in December 2018.</w:t>
      </w:r>
      <w:r w:rsidR="00CA5FA5">
        <w:rPr>
          <w:rStyle w:val="FootnoteReference"/>
        </w:rPr>
        <w:footnoteReference w:id="22"/>
      </w:r>
      <w:r w:rsidR="00CA5FA5" w:rsidRPr="00B81E1F">
        <w:t xml:space="preserve">  Second, Ormet </w:t>
      </w:r>
      <w:r w:rsidR="00FA6EA3">
        <w:t>sought</w:t>
      </w:r>
      <w:r w:rsidR="00FA6EA3" w:rsidRPr="00B81E1F">
        <w:t xml:space="preserve"> </w:t>
      </w:r>
      <w:r w:rsidR="00CA5FA5" w:rsidRPr="00B81E1F">
        <w:t xml:space="preserve">permission to obtain supply from a CRES </w:t>
      </w:r>
      <w:r w:rsidR="00CA5FA5">
        <w:t xml:space="preserve">provider </w:t>
      </w:r>
      <w:r w:rsidR="00CA5FA5" w:rsidRPr="00B81E1F">
        <w:t>after January 1, 2014.</w:t>
      </w:r>
      <w:r w:rsidR="00CA5FA5">
        <w:rPr>
          <w:rStyle w:val="FootnoteReference"/>
        </w:rPr>
        <w:footnoteReference w:id="23"/>
      </w:r>
      <w:r w:rsidR="00CA5FA5" w:rsidRPr="00B81E1F">
        <w:t xml:space="preserve">  </w:t>
      </w:r>
      <w:r w:rsidR="00CA5FA5">
        <w:t>Third</w:t>
      </w:r>
      <w:r w:rsidR="00CA5FA5" w:rsidRPr="00B81E1F">
        <w:t>, Ormet request</w:t>
      </w:r>
      <w:r w:rsidR="00FA6EA3">
        <w:t>ed</w:t>
      </w:r>
      <w:r w:rsidR="00CA5FA5" w:rsidRPr="00B81E1F">
        <w:t xml:space="preserve"> that its generation p</w:t>
      </w:r>
      <w:r w:rsidR="00CA5FA5">
        <w:t xml:space="preserve">rice be fixed so as to produce an average annual price </w:t>
      </w:r>
      <w:r w:rsidR="00936408">
        <w:t xml:space="preserve">of </w:t>
      </w:r>
      <w:r w:rsidR="00CA5FA5">
        <w:t>$45.89</w:t>
      </w:r>
      <w:r w:rsidR="00936408">
        <w:t>/</w:t>
      </w:r>
      <w:r w:rsidR="008D0D9F">
        <w:t>Megawatt-hour (“</w:t>
      </w:r>
      <w:r w:rsidR="00CA5FA5">
        <w:t>MWh</w:t>
      </w:r>
      <w:r w:rsidR="008D0D9F">
        <w:t>”)</w:t>
      </w:r>
      <w:r w:rsidR="002D224E">
        <w:t xml:space="preserve"> for 2013</w:t>
      </w:r>
      <w:r w:rsidR="00CA5FA5" w:rsidRPr="00B81E1F">
        <w:t>.</w:t>
      </w:r>
      <w:r w:rsidR="00CA5FA5" w:rsidRPr="00B81E1F">
        <w:rPr>
          <w:vertAlign w:val="superscript"/>
        </w:rPr>
        <w:footnoteReference w:id="24"/>
      </w:r>
      <w:r w:rsidR="00CA5FA5" w:rsidRPr="00B81E1F">
        <w:t xml:space="preserve">  Ormet request</w:t>
      </w:r>
      <w:r w:rsidR="00FA6EA3">
        <w:t>ed</w:t>
      </w:r>
      <w:r w:rsidR="00CA5FA5" w:rsidRPr="00B81E1F">
        <w:t xml:space="preserve"> that it receive a discount of $5.5 million each month in 2013 and </w:t>
      </w:r>
      <w:r w:rsidR="00097AD7">
        <w:t xml:space="preserve">a discount of </w:t>
      </w:r>
      <w:r w:rsidR="00CA5FA5" w:rsidRPr="00B81E1F">
        <w:t>$4.5 million</w:t>
      </w:r>
      <w:r w:rsidR="00097AD7">
        <w:t xml:space="preserve"> each month</w:t>
      </w:r>
      <w:r w:rsidR="00CA5FA5" w:rsidRPr="00B81E1F">
        <w:t xml:space="preserve"> in 2014.</w:t>
      </w:r>
      <w:r w:rsidR="00CA5FA5" w:rsidRPr="00B81E1F">
        <w:rPr>
          <w:vertAlign w:val="superscript"/>
        </w:rPr>
        <w:footnoteReference w:id="25"/>
      </w:r>
      <w:r w:rsidR="00CA5FA5" w:rsidRPr="00B81E1F">
        <w:t xml:space="preserve"> </w:t>
      </w:r>
    </w:p>
    <w:p w:rsidR="00CA5FA5" w:rsidRDefault="00F63A3A" w:rsidP="00B42443">
      <w:pPr>
        <w:ind w:firstLine="720"/>
      </w:pPr>
      <w:r>
        <w:t>As</w:t>
      </w:r>
      <w:r w:rsidR="007D7AEF">
        <w:t xml:space="preserve"> non</w:t>
      </w:r>
      <w:r w:rsidR="00CA5FA5" w:rsidRPr="00CA6F9A">
        <w:t>emergency relief, Ormet’s Motion propose</w:t>
      </w:r>
      <w:r w:rsidR="00FA6EA3">
        <w:t>d</w:t>
      </w:r>
      <w:r w:rsidR="00CA5FA5" w:rsidRPr="00CA6F9A">
        <w:t xml:space="preserve"> to modify the 2009 Reasonable Arrangement to allow Ormet to pay the </w:t>
      </w:r>
      <w:r w:rsidR="00BC3CC0">
        <w:t xml:space="preserve">deferred </w:t>
      </w:r>
      <w:r w:rsidR="00CA5FA5" w:rsidRPr="00CA6F9A">
        <w:t>November and December 2012 electric bills over 24 months beginning in January 2014 rather than the 17 installments the Commission specified in October 2012.</w:t>
      </w:r>
      <w:r w:rsidR="00CA5FA5">
        <w:rPr>
          <w:rStyle w:val="FootnoteReference"/>
        </w:rPr>
        <w:footnoteReference w:id="26"/>
      </w:r>
      <w:r w:rsidR="00CA5FA5" w:rsidRPr="00CA6F9A">
        <w:t xml:space="preserve">  Ormet’s Motion also </w:t>
      </w:r>
      <w:r w:rsidR="00FA6EA3" w:rsidRPr="00CA6F9A">
        <w:t>request</w:t>
      </w:r>
      <w:r w:rsidR="00FA6EA3">
        <w:t>ed</w:t>
      </w:r>
      <w:r w:rsidR="00FA6EA3" w:rsidRPr="00CA6F9A">
        <w:t xml:space="preserve"> </w:t>
      </w:r>
      <w:r w:rsidR="00CA5FA5" w:rsidRPr="00CA6F9A">
        <w:t xml:space="preserve">a modification to the 2009 Reasonable </w:t>
      </w:r>
      <w:r w:rsidR="00936408">
        <w:t>Arrangement</w:t>
      </w:r>
      <w:r w:rsidR="00936408" w:rsidRPr="00CA6F9A">
        <w:t xml:space="preserve"> </w:t>
      </w:r>
      <w:r w:rsidR="00CA5FA5" w:rsidRPr="00CA6F9A">
        <w:t xml:space="preserve">to allow Negative Delta Revenue at the </w:t>
      </w:r>
      <w:r w:rsidR="00936408">
        <w:t>price</w:t>
      </w:r>
      <w:r w:rsidR="00936408" w:rsidRPr="00CA6F9A">
        <w:t xml:space="preserve"> </w:t>
      </w:r>
      <w:r w:rsidR="00CA5FA5" w:rsidRPr="00CA6F9A">
        <w:t>of $4.5 million per month during the first five months of 2015.</w:t>
      </w:r>
      <w:r w:rsidR="00CA5FA5">
        <w:rPr>
          <w:rStyle w:val="FootnoteReference"/>
        </w:rPr>
        <w:footnoteReference w:id="27"/>
      </w:r>
      <w:r w:rsidR="00CA5FA5" w:rsidRPr="00CA6F9A">
        <w:t xml:space="preserve">  Ormet’s Motion propose</w:t>
      </w:r>
      <w:r w:rsidR="00FA6EA3">
        <w:t>d</w:t>
      </w:r>
      <w:r w:rsidR="00CA5FA5" w:rsidRPr="00CA6F9A">
        <w:t xml:space="preserve"> to modify the 2009 Reasonable Arrangement to provide Ormet with a shopping credit of $9</w:t>
      </w:r>
      <w:r w:rsidR="008D0D9F">
        <w:t>/</w:t>
      </w:r>
      <w:r w:rsidR="00CA5FA5" w:rsidRPr="00CA6F9A">
        <w:t>MW</w:t>
      </w:r>
      <w:r w:rsidR="00CA5FA5">
        <w:t>h</w:t>
      </w:r>
      <w:r w:rsidR="00CA5FA5" w:rsidRPr="00CA6F9A">
        <w:t xml:space="preserve"> through May 31, 2015 for any incremental load associated with the restart of its fifth or sixth potline.</w:t>
      </w:r>
      <w:r w:rsidR="00CA5FA5">
        <w:rPr>
          <w:rStyle w:val="FootnoteReference"/>
        </w:rPr>
        <w:footnoteReference w:id="28"/>
      </w:r>
      <w:r w:rsidR="00CA5FA5" w:rsidRPr="00CA6F9A">
        <w:t xml:space="preserve">  In the event a new on-site generation facility is not operational by June 2015,</w:t>
      </w:r>
      <w:r w:rsidR="00CA5FA5" w:rsidRPr="00CA6F9A">
        <w:rPr>
          <w:vertAlign w:val="superscript"/>
        </w:rPr>
        <w:footnoteReference w:id="29"/>
      </w:r>
      <w:r w:rsidR="00CA5FA5" w:rsidRPr="00CA6F9A">
        <w:t xml:space="preserve"> Ormet’s Motion also </w:t>
      </w:r>
      <w:r w:rsidR="00CA5FA5">
        <w:t>propose</w:t>
      </w:r>
      <w:r w:rsidR="00FA6EA3">
        <w:t>d</w:t>
      </w:r>
      <w:r w:rsidR="00CA5FA5">
        <w:t xml:space="preserve"> to</w:t>
      </w:r>
      <w:r w:rsidR="00CA5FA5" w:rsidRPr="00CA6F9A">
        <w:t xml:space="preserve"> modify the 2009 Reasonable Arrangement and include</w:t>
      </w:r>
      <w:r w:rsidR="00FA6EA3">
        <w:t>d</w:t>
      </w:r>
      <w:r w:rsidR="00CA5FA5" w:rsidRPr="00CA6F9A">
        <w:t xml:space="preserve"> a shopping credit of $6</w:t>
      </w:r>
      <w:r w:rsidR="008D0D9F">
        <w:t>/</w:t>
      </w:r>
      <w:r w:rsidR="00CA5FA5" w:rsidRPr="00CA6F9A">
        <w:t>MW</w:t>
      </w:r>
      <w:r w:rsidR="00CA5FA5">
        <w:t>h</w:t>
      </w:r>
      <w:r w:rsidR="00CA5FA5" w:rsidRPr="00CA6F9A">
        <w:t xml:space="preserve"> for its entire load for the remainder of 2015.</w:t>
      </w:r>
      <w:r w:rsidR="00CA5FA5">
        <w:rPr>
          <w:rStyle w:val="FootnoteReference"/>
        </w:rPr>
        <w:footnoteReference w:id="30"/>
      </w:r>
      <w:r w:rsidR="00CA5FA5" w:rsidRPr="00CA6F9A">
        <w:t xml:space="preserve">  Finally, Ormet’s Motion also propose</w:t>
      </w:r>
      <w:r w:rsidR="00FA6EA3">
        <w:t>d</w:t>
      </w:r>
      <w:r w:rsidR="00CA5FA5" w:rsidRPr="00CA6F9A">
        <w:t xml:space="preserve"> to reduce the 2009 Reasonable Arrangement’s LME prices for purposes of computing Positive Delta Revenue.</w:t>
      </w:r>
      <w:r w:rsidR="00CA5FA5" w:rsidRPr="00CA6F9A">
        <w:rPr>
          <w:vertAlign w:val="superscript"/>
        </w:rPr>
        <w:footnoteReference w:id="31"/>
      </w:r>
    </w:p>
    <w:p w:rsidR="008E15A9" w:rsidRDefault="00F9304F" w:rsidP="003A69BE">
      <w:pPr>
        <w:pStyle w:val="Heading2"/>
      </w:pPr>
      <w:bookmarkStart w:id="31" w:name="_Toc366226439"/>
      <w:bookmarkStart w:id="32" w:name="_Toc366227526"/>
      <w:bookmarkStart w:id="33" w:name="_Toc366478735"/>
      <w:r>
        <w:t>Ormet’s third request to modify the 2009 Reasonable Arrangement</w:t>
      </w:r>
      <w:bookmarkEnd w:id="31"/>
      <w:bookmarkEnd w:id="32"/>
      <w:bookmarkEnd w:id="33"/>
    </w:p>
    <w:p w:rsidR="00F9304F" w:rsidRDefault="00F9304F" w:rsidP="00B42443">
      <w:pPr>
        <w:ind w:firstLine="720"/>
      </w:pPr>
      <w:r>
        <w:t xml:space="preserve">In a July 11, 2013 </w:t>
      </w:r>
      <w:r w:rsidR="00936408">
        <w:t>Entry</w:t>
      </w:r>
      <w:r w:rsidR="008D0D9F">
        <w:t>,</w:t>
      </w:r>
      <w:r>
        <w:t xml:space="preserve"> the Attorney Examiner denied Ormet’s request for emergency relief and set the </w:t>
      </w:r>
      <w:r w:rsidR="00FA6EA3">
        <w:t>M</w:t>
      </w:r>
      <w:r>
        <w:t xml:space="preserve">otion for a hearing on an expedited calendar.  In response, Ormet filed an interlocutory appeal that the Commission denied on July 31, 2013.  That same day, Ormet filed its third request for modification of the 2009 Reasonable Arrangement.  In </w:t>
      </w:r>
      <w:r w:rsidR="00FA6EA3">
        <w:t xml:space="preserve">the third </w:t>
      </w:r>
      <w:r>
        <w:t xml:space="preserve">request, Ormet sought approval to defer </w:t>
      </w:r>
      <w:r w:rsidR="003A69BE">
        <w:t xml:space="preserve">two payments to AEP-Ohio and announced that it was shutting down two of the </w:t>
      </w:r>
      <w:r w:rsidR="00FA6EA3">
        <w:t xml:space="preserve">remaining </w:t>
      </w:r>
      <w:r w:rsidR="003A69BE">
        <w:t xml:space="preserve">four operating </w:t>
      </w:r>
      <w:r w:rsidR="00FA6EA3">
        <w:t>pot</w:t>
      </w:r>
      <w:r w:rsidR="003A69BE">
        <w:t>lines at the smelter.</w:t>
      </w:r>
      <w:r w:rsidR="003A69BE">
        <w:rPr>
          <w:rStyle w:val="FootnoteReference"/>
        </w:rPr>
        <w:footnoteReference w:id="32"/>
      </w:r>
      <w:r w:rsidR="003A69BE">
        <w:t xml:space="preserve">  In an August 21, 2013</w:t>
      </w:r>
      <w:r w:rsidR="00FA6EA3">
        <w:t xml:space="preserve"> Entry</w:t>
      </w:r>
      <w:r w:rsidR="003A69BE">
        <w:t xml:space="preserve">, the Commission granted Ormet a portion of the relief it requested.  It permitted Ormet to defer payment of $5 million for its bill due in August 2013 and, if its annual </w:t>
      </w:r>
      <w:r w:rsidR="004A3C5E">
        <w:t xml:space="preserve">rate </w:t>
      </w:r>
      <w:r w:rsidR="003A69BE">
        <w:t>subsidies have been used, up to $5.5 million for its bill for September 2013.</w:t>
      </w:r>
      <w:r w:rsidR="003A69BE">
        <w:rPr>
          <w:rStyle w:val="FootnoteReference"/>
        </w:rPr>
        <w:footnoteReference w:id="33"/>
      </w:r>
      <w:r w:rsidR="003A69BE">
        <w:t xml:space="preserve">  Ormet is to pay the deferred </w:t>
      </w:r>
      <w:r w:rsidR="008D0D9F">
        <w:t>amounts</w:t>
      </w:r>
      <w:r w:rsidR="003A69BE">
        <w:t xml:space="preserve"> within five days of closing the sale of the assets to Wayzata.</w:t>
      </w:r>
      <w:r w:rsidR="003A69BE">
        <w:rPr>
          <w:rStyle w:val="FootnoteReference"/>
        </w:rPr>
        <w:footnoteReference w:id="34"/>
      </w:r>
    </w:p>
    <w:p w:rsidR="00840900" w:rsidRPr="00321E6D" w:rsidRDefault="00F9304F" w:rsidP="00840900">
      <w:pPr>
        <w:pStyle w:val="Heading1"/>
        <w:rPr>
          <w:u w:val="none"/>
        </w:rPr>
      </w:pPr>
      <w:bookmarkStart w:id="34" w:name="_Toc366226440"/>
      <w:bookmarkStart w:id="35" w:name="_Toc366227527"/>
      <w:bookmarkStart w:id="36" w:name="_Toc366478736"/>
      <w:r w:rsidRPr="00321E6D">
        <w:rPr>
          <w:u w:val="none"/>
        </w:rPr>
        <w:t xml:space="preserve">Ormet’s proposed modifications increase the potential </w:t>
      </w:r>
      <w:r w:rsidR="00FA6EA3" w:rsidRPr="00321E6D">
        <w:rPr>
          <w:u w:val="none"/>
        </w:rPr>
        <w:t>Negative Delta Revenue</w:t>
      </w:r>
      <w:r w:rsidRPr="00321E6D">
        <w:rPr>
          <w:u w:val="none"/>
        </w:rPr>
        <w:t xml:space="preserve"> responsibility </w:t>
      </w:r>
      <w:r w:rsidR="003A69BE" w:rsidRPr="00321E6D">
        <w:rPr>
          <w:u w:val="none"/>
        </w:rPr>
        <w:t>of already burdened customers</w:t>
      </w:r>
      <w:bookmarkEnd w:id="34"/>
      <w:bookmarkEnd w:id="35"/>
      <w:bookmarkEnd w:id="36"/>
    </w:p>
    <w:p w:rsidR="003A69BE" w:rsidRPr="008E15A9" w:rsidRDefault="003A69BE" w:rsidP="003A69BE">
      <w:pPr>
        <w:ind w:firstLine="720"/>
      </w:pPr>
      <w:r>
        <w:t xml:space="preserve">Viewed </w:t>
      </w:r>
      <w:r w:rsidR="00AC5870">
        <w:t>collectively</w:t>
      </w:r>
      <w:r>
        <w:t xml:space="preserve">, </w:t>
      </w:r>
      <w:r w:rsidR="00FA2058">
        <w:t xml:space="preserve">the </w:t>
      </w:r>
      <w:r w:rsidR="00B7032D">
        <w:t>proposed</w:t>
      </w:r>
      <w:r>
        <w:t xml:space="preserve"> modifications </w:t>
      </w:r>
      <w:r w:rsidR="00FA2058">
        <w:t xml:space="preserve">contained in Ormet’s </w:t>
      </w:r>
      <w:r w:rsidR="00814070">
        <w:t>Motion</w:t>
      </w:r>
      <w:r w:rsidR="00B7032D">
        <w:t xml:space="preserve"> </w:t>
      </w:r>
      <w:r>
        <w:t xml:space="preserve">would substantially increase the </w:t>
      </w:r>
      <w:r w:rsidR="00FA2058">
        <w:t xml:space="preserve">2009 Reasonable Arrangement’s </w:t>
      </w:r>
      <w:r>
        <w:t>potential Negative Delta Revenue</w:t>
      </w:r>
      <w:r w:rsidR="00FA2058">
        <w:t>.</w:t>
      </w:r>
      <w:r>
        <w:t xml:space="preserve">  </w:t>
      </w:r>
      <w:r w:rsidRPr="008E15A9">
        <w:t xml:space="preserve">The currently effective limits </w:t>
      </w:r>
      <w:r w:rsidR="00B7032D">
        <w:t>in the 2009 Reasonable Arrangement</w:t>
      </w:r>
      <w:r w:rsidRPr="008E15A9">
        <w:t xml:space="preserve"> for June 2013 </w:t>
      </w:r>
      <w:r w:rsidR="00097AD7">
        <w:t>through</w:t>
      </w:r>
      <w:r w:rsidRPr="008E15A9">
        <w:t xml:space="preserve"> December 2018 would result in </w:t>
      </w:r>
      <w:r w:rsidR="00097AD7">
        <w:t xml:space="preserve">potential </w:t>
      </w:r>
      <w:r w:rsidRPr="008E15A9">
        <w:t>Negative Delta Revenue of $92.5 million.</w:t>
      </w:r>
      <w:r w:rsidRPr="008E15A9">
        <w:rPr>
          <w:vertAlign w:val="superscript"/>
        </w:rPr>
        <w:footnoteReference w:id="35"/>
      </w:r>
      <w:r w:rsidRPr="008E15A9">
        <w:t xml:space="preserve">  In contrast, the relief requested in Ormet’s Motion pushes the potential Negative Delta Revenue amount to $157 million: </w:t>
      </w:r>
    </w:p>
    <w:tbl>
      <w:tblPr>
        <w:tblW w:w="8993" w:type="dxa"/>
        <w:jc w:val="center"/>
        <w:tblLook w:val="04A0" w:firstRow="1" w:lastRow="0" w:firstColumn="1" w:lastColumn="0" w:noHBand="0" w:noVBand="1"/>
      </w:tblPr>
      <w:tblGrid>
        <w:gridCol w:w="897"/>
        <w:gridCol w:w="4770"/>
        <w:gridCol w:w="3326"/>
      </w:tblGrid>
      <w:tr w:rsidR="003A69BE" w:rsidRPr="008E15A9" w:rsidTr="00E27F35">
        <w:trPr>
          <w:trHeight w:val="288"/>
          <w:jc w:val="center"/>
        </w:trPr>
        <w:tc>
          <w:tcPr>
            <w:tcW w:w="897" w:type="dxa"/>
            <w:tcBorders>
              <w:top w:val="nil"/>
              <w:left w:val="nil"/>
              <w:bottom w:val="nil"/>
              <w:right w:val="nil"/>
            </w:tcBorders>
            <w:shd w:val="clear" w:color="auto" w:fill="auto"/>
            <w:noWrap/>
            <w:vAlign w:val="bottom"/>
            <w:hideMark/>
          </w:tcPr>
          <w:p w:rsidR="003A69BE" w:rsidRPr="008E15A9" w:rsidRDefault="003A69BE" w:rsidP="00FB5C3E">
            <w:pPr>
              <w:spacing w:after="120" w:line="240" w:lineRule="auto"/>
              <w:rPr>
                <w:rFonts w:eastAsia="Times New Roman" w:cs="Arial"/>
                <w:b/>
                <w:color w:val="000000"/>
              </w:rPr>
            </w:pPr>
          </w:p>
        </w:tc>
        <w:tc>
          <w:tcPr>
            <w:tcW w:w="4770" w:type="dxa"/>
            <w:tcBorders>
              <w:top w:val="nil"/>
              <w:left w:val="nil"/>
              <w:bottom w:val="nil"/>
              <w:right w:val="nil"/>
            </w:tcBorders>
            <w:shd w:val="clear" w:color="auto" w:fill="auto"/>
            <w:vAlign w:val="bottom"/>
            <w:hideMark/>
          </w:tcPr>
          <w:p w:rsidR="003A69BE" w:rsidRPr="008E15A9" w:rsidRDefault="003A69BE" w:rsidP="00FB5C3E">
            <w:pPr>
              <w:spacing w:after="120" w:line="240" w:lineRule="auto"/>
              <w:rPr>
                <w:rFonts w:eastAsia="Times New Roman" w:cs="Arial"/>
                <w:b/>
                <w:color w:val="000000"/>
              </w:rPr>
            </w:pPr>
            <w:r w:rsidRPr="008E15A9">
              <w:rPr>
                <w:rFonts w:eastAsia="Times New Roman" w:cs="Arial"/>
                <w:b/>
                <w:color w:val="000000"/>
              </w:rPr>
              <w:t>Proposed Contract Modifications</w:t>
            </w:r>
          </w:p>
        </w:tc>
        <w:tc>
          <w:tcPr>
            <w:tcW w:w="3326" w:type="dxa"/>
            <w:tcBorders>
              <w:top w:val="nil"/>
              <w:left w:val="nil"/>
              <w:bottom w:val="nil"/>
              <w:right w:val="nil"/>
            </w:tcBorders>
            <w:shd w:val="clear" w:color="auto" w:fill="auto"/>
            <w:vAlign w:val="bottom"/>
            <w:hideMark/>
          </w:tcPr>
          <w:p w:rsidR="003A69BE" w:rsidRPr="008E15A9" w:rsidRDefault="003A69BE" w:rsidP="00FB5C3E">
            <w:pPr>
              <w:spacing w:after="120" w:line="240" w:lineRule="auto"/>
              <w:rPr>
                <w:rFonts w:eastAsia="Times New Roman" w:cs="Arial"/>
                <w:b/>
                <w:color w:val="000000"/>
              </w:rPr>
            </w:pPr>
            <w:r w:rsidRPr="008E15A9">
              <w:rPr>
                <w:rFonts w:eastAsia="Times New Roman" w:cs="Arial"/>
                <w:b/>
                <w:color w:val="000000"/>
              </w:rPr>
              <w:t>Estimated Delta Revenues</w:t>
            </w:r>
          </w:p>
        </w:tc>
      </w:tr>
      <w:tr w:rsidR="003A69BE" w:rsidRPr="008E15A9" w:rsidTr="00E27F35">
        <w:trPr>
          <w:trHeight w:val="290"/>
          <w:jc w:val="center"/>
        </w:trPr>
        <w:tc>
          <w:tcPr>
            <w:tcW w:w="897" w:type="dxa"/>
            <w:tcBorders>
              <w:top w:val="nil"/>
              <w:left w:val="nil"/>
              <w:bottom w:val="nil"/>
              <w:right w:val="nil"/>
            </w:tcBorders>
            <w:shd w:val="clear" w:color="auto" w:fill="auto"/>
            <w:noWrap/>
            <w:vAlign w:val="bottom"/>
            <w:hideMark/>
          </w:tcPr>
          <w:p w:rsidR="003A69BE" w:rsidRPr="008E15A9" w:rsidRDefault="003A69BE" w:rsidP="00FB5C3E">
            <w:pPr>
              <w:spacing w:after="120" w:line="240" w:lineRule="auto"/>
              <w:rPr>
                <w:rFonts w:eastAsia="Times New Roman" w:cs="Arial"/>
                <w:color w:val="000000"/>
              </w:rPr>
            </w:pPr>
            <w:r w:rsidRPr="008E15A9">
              <w:rPr>
                <w:rFonts w:eastAsia="Times New Roman" w:cs="Arial"/>
                <w:color w:val="000000"/>
              </w:rPr>
              <w:t>2013</w:t>
            </w:r>
          </w:p>
        </w:tc>
        <w:tc>
          <w:tcPr>
            <w:tcW w:w="4770" w:type="dxa"/>
            <w:tcBorders>
              <w:top w:val="nil"/>
              <w:left w:val="nil"/>
              <w:bottom w:val="nil"/>
              <w:right w:val="nil"/>
            </w:tcBorders>
            <w:shd w:val="clear" w:color="auto" w:fill="auto"/>
            <w:noWrap/>
            <w:vAlign w:val="bottom"/>
            <w:hideMark/>
          </w:tcPr>
          <w:p w:rsidR="003A69BE" w:rsidRPr="008E15A9" w:rsidRDefault="003A69BE" w:rsidP="00FB5C3E">
            <w:pPr>
              <w:spacing w:after="120" w:line="240" w:lineRule="auto"/>
              <w:rPr>
                <w:rFonts w:eastAsia="Times New Roman" w:cs="Arial"/>
                <w:color w:val="000000"/>
              </w:rPr>
            </w:pPr>
            <w:r w:rsidRPr="008E15A9">
              <w:rPr>
                <w:rFonts w:eastAsia="Times New Roman" w:cs="Arial"/>
                <w:color w:val="000000"/>
              </w:rPr>
              <w:t>Base Discount (June-Dec.)</w:t>
            </w:r>
          </w:p>
        </w:tc>
        <w:tc>
          <w:tcPr>
            <w:tcW w:w="3326" w:type="dxa"/>
            <w:tcBorders>
              <w:top w:val="nil"/>
              <w:left w:val="nil"/>
              <w:bottom w:val="nil"/>
              <w:right w:val="nil"/>
            </w:tcBorders>
            <w:shd w:val="clear" w:color="auto" w:fill="auto"/>
            <w:noWrap/>
            <w:vAlign w:val="bottom"/>
            <w:hideMark/>
          </w:tcPr>
          <w:p w:rsidR="003A69BE" w:rsidRPr="008E15A9" w:rsidRDefault="003A69BE" w:rsidP="00FB5C3E">
            <w:pPr>
              <w:spacing w:after="120" w:line="240" w:lineRule="auto"/>
              <w:jc w:val="right"/>
              <w:rPr>
                <w:rFonts w:eastAsia="Times New Roman" w:cs="Arial"/>
                <w:color w:val="000000"/>
              </w:rPr>
            </w:pPr>
            <w:r w:rsidRPr="008E15A9">
              <w:rPr>
                <w:rFonts w:eastAsia="Times New Roman" w:cs="Arial"/>
                <w:color w:val="000000"/>
              </w:rPr>
              <w:t xml:space="preserve">$49,500,000 </w:t>
            </w:r>
          </w:p>
        </w:tc>
      </w:tr>
      <w:tr w:rsidR="003A69BE" w:rsidRPr="008E15A9" w:rsidTr="00E27F35">
        <w:trPr>
          <w:trHeight w:val="290"/>
          <w:jc w:val="center"/>
        </w:trPr>
        <w:tc>
          <w:tcPr>
            <w:tcW w:w="897" w:type="dxa"/>
            <w:tcBorders>
              <w:top w:val="nil"/>
              <w:left w:val="nil"/>
              <w:bottom w:val="nil"/>
              <w:right w:val="nil"/>
            </w:tcBorders>
            <w:shd w:val="clear" w:color="auto" w:fill="auto"/>
            <w:noWrap/>
            <w:vAlign w:val="bottom"/>
            <w:hideMark/>
          </w:tcPr>
          <w:p w:rsidR="003A69BE" w:rsidRPr="008E15A9" w:rsidRDefault="003A69BE" w:rsidP="00FB5C3E">
            <w:pPr>
              <w:spacing w:after="120" w:line="240" w:lineRule="auto"/>
              <w:rPr>
                <w:rFonts w:eastAsia="Times New Roman" w:cs="Arial"/>
                <w:color w:val="000000"/>
              </w:rPr>
            </w:pPr>
            <w:r w:rsidRPr="008E15A9">
              <w:rPr>
                <w:rFonts w:eastAsia="Times New Roman" w:cs="Arial"/>
                <w:color w:val="000000"/>
              </w:rPr>
              <w:t>2013</w:t>
            </w:r>
          </w:p>
        </w:tc>
        <w:tc>
          <w:tcPr>
            <w:tcW w:w="4770" w:type="dxa"/>
            <w:tcBorders>
              <w:top w:val="nil"/>
              <w:left w:val="nil"/>
              <w:bottom w:val="nil"/>
              <w:right w:val="nil"/>
            </w:tcBorders>
            <w:shd w:val="clear" w:color="auto" w:fill="auto"/>
            <w:noWrap/>
            <w:vAlign w:val="bottom"/>
            <w:hideMark/>
          </w:tcPr>
          <w:p w:rsidR="003A69BE" w:rsidRPr="008E15A9" w:rsidRDefault="003A69BE" w:rsidP="00FB5C3E">
            <w:pPr>
              <w:spacing w:after="120" w:line="240" w:lineRule="auto"/>
              <w:rPr>
                <w:rFonts w:eastAsia="Times New Roman" w:cs="Arial"/>
                <w:color w:val="000000"/>
              </w:rPr>
            </w:pPr>
            <w:r w:rsidRPr="008E15A9">
              <w:rPr>
                <w:rFonts w:eastAsia="Times New Roman" w:cs="Arial"/>
                <w:color w:val="000000"/>
              </w:rPr>
              <w:t>Fixed Generation Price</w:t>
            </w:r>
          </w:p>
        </w:tc>
        <w:tc>
          <w:tcPr>
            <w:tcW w:w="3326" w:type="dxa"/>
            <w:tcBorders>
              <w:top w:val="nil"/>
              <w:left w:val="nil"/>
              <w:bottom w:val="nil"/>
              <w:right w:val="nil"/>
            </w:tcBorders>
            <w:shd w:val="clear" w:color="auto" w:fill="auto"/>
            <w:noWrap/>
            <w:vAlign w:val="bottom"/>
            <w:hideMark/>
          </w:tcPr>
          <w:p w:rsidR="003A69BE" w:rsidRPr="008E15A9" w:rsidRDefault="003A69BE" w:rsidP="00FB5C3E">
            <w:pPr>
              <w:spacing w:after="120" w:line="240" w:lineRule="auto"/>
              <w:jc w:val="right"/>
              <w:rPr>
                <w:rFonts w:eastAsia="Times New Roman" w:cs="Arial"/>
                <w:color w:val="000000"/>
              </w:rPr>
            </w:pPr>
            <w:r w:rsidRPr="008E15A9">
              <w:rPr>
                <w:rFonts w:eastAsia="Times New Roman" w:cs="Arial"/>
                <w:color w:val="000000"/>
              </w:rPr>
              <w:t xml:space="preserve">$3,500,000 </w:t>
            </w:r>
          </w:p>
        </w:tc>
      </w:tr>
      <w:tr w:rsidR="003A69BE" w:rsidRPr="008E15A9" w:rsidTr="00E27F35">
        <w:trPr>
          <w:trHeight w:val="290"/>
          <w:jc w:val="center"/>
        </w:trPr>
        <w:tc>
          <w:tcPr>
            <w:tcW w:w="897" w:type="dxa"/>
            <w:tcBorders>
              <w:top w:val="nil"/>
              <w:left w:val="nil"/>
              <w:bottom w:val="nil"/>
              <w:right w:val="nil"/>
            </w:tcBorders>
            <w:shd w:val="clear" w:color="auto" w:fill="auto"/>
            <w:noWrap/>
            <w:vAlign w:val="bottom"/>
            <w:hideMark/>
          </w:tcPr>
          <w:p w:rsidR="003A69BE" w:rsidRPr="008E15A9" w:rsidRDefault="003A69BE" w:rsidP="00FB5C3E">
            <w:pPr>
              <w:spacing w:after="120" w:line="240" w:lineRule="auto"/>
              <w:rPr>
                <w:rFonts w:eastAsia="Times New Roman" w:cs="Arial"/>
                <w:color w:val="000000"/>
              </w:rPr>
            </w:pPr>
            <w:r w:rsidRPr="008E15A9">
              <w:rPr>
                <w:rFonts w:eastAsia="Times New Roman" w:cs="Arial"/>
                <w:color w:val="000000"/>
              </w:rPr>
              <w:t>2014</w:t>
            </w:r>
          </w:p>
        </w:tc>
        <w:tc>
          <w:tcPr>
            <w:tcW w:w="4770" w:type="dxa"/>
            <w:tcBorders>
              <w:top w:val="nil"/>
              <w:left w:val="nil"/>
              <w:bottom w:val="nil"/>
              <w:right w:val="nil"/>
            </w:tcBorders>
            <w:shd w:val="clear" w:color="auto" w:fill="auto"/>
            <w:noWrap/>
            <w:vAlign w:val="bottom"/>
            <w:hideMark/>
          </w:tcPr>
          <w:p w:rsidR="003A69BE" w:rsidRPr="008E15A9" w:rsidRDefault="003A69BE" w:rsidP="00FB5C3E">
            <w:pPr>
              <w:spacing w:after="120" w:line="240" w:lineRule="auto"/>
              <w:rPr>
                <w:rFonts w:eastAsia="Times New Roman" w:cs="Arial"/>
                <w:color w:val="000000"/>
              </w:rPr>
            </w:pPr>
            <w:r w:rsidRPr="008E15A9">
              <w:rPr>
                <w:rFonts w:eastAsia="Times New Roman" w:cs="Arial"/>
                <w:color w:val="000000"/>
              </w:rPr>
              <w:t>Base Discount</w:t>
            </w:r>
          </w:p>
        </w:tc>
        <w:tc>
          <w:tcPr>
            <w:tcW w:w="3326" w:type="dxa"/>
            <w:tcBorders>
              <w:top w:val="nil"/>
              <w:left w:val="nil"/>
              <w:bottom w:val="nil"/>
              <w:right w:val="nil"/>
            </w:tcBorders>
            <w:shd w:val="clear" w:color="auto" w:fill="auto"/>
            <w:noWrap/>
            <w:vAlign w:val="bottom"/>
            <w:hideMark/>
          </w:tcPr>
          <w:p w:rsidR="003A69BE" w:rsidRPr="008E15A9" w:rsidRDefault="003A69BE" w:rsidP="00FB5C3E">
            <w:pPr>
              <w:spacing w:after="120" w:line="240" w:lineRule="auto"/>
              <w:jc w:val="right"/>
              <w:rPr>
                <w:rFonts w:eastAsia="Times New Roman" w:cs="Arial"/>
                <w:color w:val="000000"/>
              </w:rPr>
            </w:pPr>
            <w:r w:rsidRPr="008E15A9">
              <w:rPr>
                <w:rFonts w:eastAsia="Times New Roman" w:cs="Arial"/>
                <w:color w:val="000000"/>
              </w:rPr>
              <w:t xml:space="preserve">$54,000,000 </w:t>
            </w:r>
          </w:p>
        </w:tc>
      </w:tr>
      <w:tr w:rsidR="003A69BE" w:rsidRPr="008E15A9" w:rsidTr="00E27F35">
        <w:trPr>
          <w:trHeight w:val="290"/>
          <w:jc w:val="center"/>
        </w:trPr>
        <w:tc>
          <w:tcPr>
            <w:tcW w:w="897" w:type="dxa"/>
            <w:tcBorders>
              <w:top w:val="nil"/>
              <w:left w:val="nil"/>
              <w:bottom w:val="nil"/>
              <w:right w:val="nil"/>
            </w:tcBorders>
            <w:shd w:val="clear" w:color="auto" w:fill="auto"/>
            <w:noWrap/>
            <w:vAlign w:val="bottom"/>
            <w:hideMark/>
          </w:tcPr>
          <w:p w:rsidR="003A69BE" w:rsidRPr="008E15A9" w:rsidRDefault="003A69BE" w:rsidP="00FB5C3E">
            <w:pPr>
              <w:spacing w:after="120" w:line="240" w:lineRule="auto"/>
              <w:rPr>
                <w:rFonts w:eastAsia="Times New Roman" w:cs="Arial"/>
                <w:color w:val="000000"/>
              </w:rPr>
            </w:pPr>
            <w:r w:rsidRPr="008E15A9">
              <w:rPr>
                <w:rFonts w:eastAsia="Times New Roman" w:cs="Arial"/>
                <w:color w:val="000000"/>
              </w:rPr>
              <w:t>2014</w:t>
            </w:r>
          </w:p>
        </w:tc>
        <w:tc>
          <w:tcPr>
            <w:tcW w:w="4770" w:type="dxa"/>
            <w:tcBorders>
              <w:top w:val="nil"/>
              <w:left w:val="nil"/>
              <w:bottom w:val="nil"/>
              <w:right w:val="nil"/>
            </w:tcBorders>
            <w:shd w:val="clear" w:color="auto" w:fill="auto"/>
            <w:noWrap/>
            <w:vAlign w:val="bottom"/>
            <w:hideMark/>
          </w:tcPr>
          <w:p w:rsidR="003A69BE" w:rsidRPr="008E15A9" w:rsidRDefault="003A69BE" w:rsidP="008D0D9F">
            <w:pPr>
              <w:spacing w:after="120" w:line="240" w:lineRule="auto"/>
              <w:rPr>
                <w:rFonts w:eastAsia="Times New Roman" w:cs="Arial"/>
                <w:color w:val="000000"/>
              </w:rPr>
            </w:pPr>
            <w:r w:rsidRPr="008E15A9">
              <w:rPr>
                <w:rFonts w:eastAsia="Times New Roman" w:cs="Arial"/>
                <w:color w:val="000000"/>
              </w:rPr>
              <w:t>$9</w:t>
            </w:r>
            <w:r w:rsidR="008D0D9F">
              <w:rPr>
                <w:rFonts w:eastAsia="Times New Roman" w:cs="Arial"/>
                <w:color w:val="000000"/>
              </w:rPr>
              <w:t>/</w:t>
            </w:r>
            <w:r w:rsidRPr="008E15A9">
              <w:rPr>
                <w:rFonts w:eastAsia="Times New Roman" w:cs="Arial"/>
                <w:color w:val="000000"/>
              </w:rPr>
              <w:t>MWh Shopping Credit (June-Dec.)</w:t>
            </w:r>
          </w:p>
        </w:tc>
        <w:tc>
          <w:tcPr>
            <w:tcW w:w="3326" w:type="dxa"/>
            <w:tcBorders>
              <w:top w:val="nil"/>
              <w:left w:val="nil"/>
              <w:bottom w:val="nil"/>
              <w:right w:val="nil"/>
            </w:tcBorders>
            <w:shd w:val="clear" w:color="auto" w:fill="auto"/>
            <w:noWrap/>
            <w:vAlign w:val="bottom"/>
            <w:hideMark/>
          </w:tcPr>
          <w:p w:rsidR="003A69BE" w:rsidRPr="008E15A9" w:rsidRDefault="003A69BE" w:rsidP="00FB5C3E">
            <w:pPr>
              <w:spacing w:after="120" w:line="240" w:lineRule="auto"/>
              <w:jc w:val="right"/>
              <w:rPr>
                <w:rFonts w:eastAsia="Times New Roman" w:cs="Arial"/>
                <w:color w:val="000000"/>
              </w:rPr>
            </w:pPr>
            <w:r w:rsidRPr="008E15A9">
              <w:rPr>
                <w:rFonts w:eastAsia="Times New Roman" w:cs="Arial"/>
                <w:color w:val="000000"/>
              </w:rPr>
              <w:t xml:space="preserve">$7,233,000 </w:t>
            </w:r>
          </w:p>
        </w:tc>
      </w:tr>
      <w:tr w:rsidR="003A69BE" w:rsidRPr="008E15A9" w:rsidTr="00E27F35">
        <w:trPr>
          <w:trHeight w:val="290"/>
          <w:jc w:val="center"/>
        </w:trPr>
        <w:tc>
          <w:tcPr>
            <w:tcW w:w="897" w:type="dxa"/>
            <w:tcBorders>
              <w:top w:val="nil"/>
              <w:left w:val="nil"/>
              <w:bottom w:val="nil"/>
              <w:right w:val="nil"/>
            </w:tcBorders>
            <w:shd w:val="clear" w:color="auto" w:fill="auto"/>
            <w:noWrap/>
            <w:vAlign w:val="bottom"/>
            <w:hideMark/>
          </w:tcPr>
          <w:p w:rsidR="003A69BE" w:rsidRPr="008E15A9" w:rsidRDefault="003A69BE" w:rsidP="00FB5C3E">
            <w:pPr>
              <w:spacing w:after="120" w:line="240" w:lineRule="auto"/>
              <w:rPr>
                <w:rFonts w:eastAsia="Times New Roman" w:cs="Arial"/>
                <w:color w:val="000000"/>
              </w:rPr>
            </w:pPr>
            <w:r w:rsidRPr="008E15A9">
              <w:rPr>
                <w:rFonts w:eastAsia="Times New Roman" w:cs="Arial"/>
                <w:color w:val="000000"/>
              </w:rPr>
              <w:t>2015</w:t>
            </w:r>
          </w:p>
        </w:tc>
        <w:tc>
          <w:tcPr>
            <w:tcW w:w="4770" w:type="dxa"/>
            <w:tcBorders>
              <w:top w:val="nil"/>
              <w:left w:val="nil"/>
              <w:bottom w:val="nil"/>
              <w:right w:val="nil"/>
            </w:tcBorders>
            <w:shd w:val="clear" w:color="auto" w:fill="auto"/>
            <w:noWrap/>
            <w:vAlign w:val="bottom"/>
            <w:hideMark/>
          </w:tcPr>
          <w:p w:rsidR="003A69BE" w:rsidRPr="008E15A9" w:rsidRDefault="003A69BE" w:rsidP="00FB5C3E">
            <w:pPr>
              <w:spacing w:after="120" w:line="240" w:lineRule="auto"/>
              <w:rPr>
                <w:rFonts w:eastAsia="Times New Roman" w:cs="Arial"/>
                <w:color w:val="000000"/>
              </w:rPr>
            </w:pPr>
            <w:r w:rsidRPr="008E15A9">
              <w:rPr>
                <w:rFonts w:eastAsia="Times New Roman" w:cs="Arial"/>
                <w:color w:val="000000"/>
              </w:rPr>
              <w:t>Base Discount</w:t>
            </w:r>
          </w:p>
        </w:tc>
        <w:tc>
          <w:tcPr>
            <w:tcW w:w="3326" w:type="dxa"/>
            <w:tcBorders>
              <w:top w:val="nil"/>
              <w:left w:val="nil"/>
              <w:bottom w:val="nil"/>
              <w:right w:val="nil"/>
            </w:tcBorders>
            <w:shd w:val="clear" w:color="auto" w:fill="auto"/>
            <w:noWrap/>
            <w:vAlign w:val="bottom"/>
            <w:hideMark/>
          </w:tcPr>
          <w:p w:rsidR="003A69BE" w:rsidRPr="008E15A9" w:rsidRDefault="003A69BE" w:rsidP="00FB5C3E">
            <w:pPr>
              <w:spacing w:after="120" w:line="240" w:lineRule="auto"/>
              <w:jc w:val="right"/>
              <w:rPr>
                <w:rFonts w:eastAsia="Times New Roman" w:cs="Arial"/>
                <w:color w:val="000000"/>
              </w:rPr>
            </w:pPr>
            <w:r w:rsidRPr="008E15A9">
              <w:rPr>
                <w:rFonts w:eastAsia="Times New Roman" w:cs="Arial"/>
                <w:color w:val="000000"/>
              </w:rPr>
              <w:t>$22,500,000</w:t>
            </w:r>
          </w:p>
        </w:tc>
      </w:tr>
      <w:tr w:rsidR="003A69BE" w:rsidRPr="008E15A9" w:rsidTr="00E27F35">
        <w:trPr>
          <w:trHeight w:val="290"/>
          <w:jc w:val="center"/>
        </w:trPr>
        <w:tc>
          <w:tcPr>
            <w:tcW w:w="897" w:type="dxa"/>
            <w:tcBorders>
              <w:top w:val="nil"/>
              <w:left w:val="nil"/>
              <w:bottom w:val="nil"/>
              <w:right w:val="nil"/>
            </w:tcBorders>
            <w:shd w:val="clear" w:color="auto" w:fill="auto"/>
            <w:noWrap/>
            <w:vAlign w:val="bottom"/>
            <w:hideMark/>
          </w:tcPr>
          <w:p w:rsidR="003A69BE" w:rsidRPr="008E15A9" w:rsidRDefault="003A69BE" w:rsidP="00FB5C3E">
            <w:pPr>
              <w:spacing w:after="120" w:line="240" w:lineRule="auto"/>
              <w:rPr>
                <w:rFonts w:eastAsia="Times New Roman" w:cs="Arial"/>
                <w:color w:val="000000"/>
              </w:rPr>
            </w:pPr>
            <w:r w:rsidRPr="008E15A9">
              <w:rPr>
                <w:rFonts w:eastAsia="Times New Roman" w:cs="Arial"/>
                <w:color w:val="000000"/>
              </w:rPr>
              <w:t>2015</w:t>
            </w:r>
          </w:p>
        </w:tc>
        <w:tc>
          <w:tcPr>
            <w:tcW w:w="4770" w:type="dxa"/>
            <w:tcBorders>
              <w:top w:val="nil"/>
              <w:left w:val="nil"/>
              <w:bottom w:val="nil"/>
              <w:right w:val="nil"/>
            </w:tcBorders>
            <w:shd w:val="clear" w:color="auto" w:fill="auto"/>
            <w:noWrap/>
            <w:vAlign w:val="bottom"/>
            <w:hideMark/>
          </w:tcPr>
          <w:p w:rsidR="003A69BE" w:rsidRPr="008E15A9" w:rsidRDefault="003A69BE" w:rsidP="008D0D9F">
            <w:pPr>
              <w:spacing w:after="120" w:line="240" w:lineRule="auto"/>
              <w:rPr>
                <w:rFonts w:eastAsia="Times New Roman" w:cs="Arial"/>
                <w:color w:val="000000"/>
              </w:rPr>
            </w:pPr>
            <w:r w:rsidRPr="008E15A9">
              <w:rPr>
                <w:rFonts w:eastAsia="Times New Roman" w:cs="Arial"/>
                <w:color w:val="000000"/>
              </w:rPr>
              <w:t>$9</w:t>
            </w:r>
            <w:r w:rsidR="008D0D9F">
              <w:rPr>
                <w:rFonts w:eastAsia="Times New Roman" w:cs="Arial"/>
                <w:color w:val="000000"/>
              </w:rPr>
              <w:t>/</w:t>
            </w:r>
            <w:r w:rsidRPr="008E15A9">
              <w:rPr>
                <w:rFonts w:eastAsia="Times New Roman" w:cs="Arial"/>
                <w:color w:val="000000"/>
              </w:rPr>
              <w:t>MWh Shopping Credit (Jan-May)</w:t>
            </w:r>
          </w:p>
        </w:tc>
        <w:tc>
          <w:tcPr>
            <w:tcW w:w="3326" w:type="dxa"/>
            <w:tcBorders>
              <w:top w:val="nil"/>
              <w:left w:val="nil"/>
              <w:bottom w:val="nil"/>
              <w:right w:val="nil"/>
            </w:tcBorders>
            <w:shd w:val="clear" w:color="auto" w:fill="auto"/>
            <w:noWrap/>
            <w:vAlign w:val="bottom"/>
            <w:hideMark/>
          </w:tcPr>
          <w:p w:rsidR="003A69BE" w:rsidRPr="008E15A9" w:rsidRDefault="003A69BE" w:rsidP="00FB5C3E">
            <w:pPr>
              <w:spacing w:after="120" w:line="240" w:lineRule="auto"/>
              <w:jc w:val="right"/>
              <w:rPr>
                <w:rFonts w:eastAsia="Times New Roman" w:cs="Arial"/>
                <w:color w:val="000000"/>
              </w:rPr>
            </w:pPr>
            <w:r w:rsidRPr="008E15A9">
              <w:rPr>
                <w:rFonts w:eastAsia="Times New Roman" w:cs="Arial"/>
                <w:color w:val="000000"/>
              </w:rPr>
              <w:t xml:space="preserve">$5,167,000 </w:t>
            </w:r>
          </w:p>
        </w:tc>
      </w:tr>
      <w:tr w:rsidR="003A69BE" w:rsidRPr="008E15A9" w:rsidTr="00E27F35">
        <w:trPr>
          <w:trHeight w:val="290"/>
          <w:jc w:val="center"/>
        </w:trPr>
        <w:tc>
          <w:tcPr>
            <w:tcW w:w="897" w:type="dxa"/>
            <w:tcBorders>
              <w:top w:val="nil"/>
              <w:left w:val="nil"/>
              <w:bottom w:val="nil"/>
              <w:right w:val="nil"/>
            </w:tcBorders>
            <w:shd w:val="clear" w:color="auto" w:fill="auto"/>
            <w:noWrap/>
            <w:vAlign w:val="bottom"/>
            <w:hideMark/>
          </w:tcPr>
          <w:p w:rsidR="003A69BE" w:rsidRPr="008E15A9" w:rsidRDefault="003A69BE" w:rsidP="00FB5C3E">
            <w:pPr>
              <w:spacing w:after="120" w:line="240" w:lineRule="auto"/>
              <w:rPr>
                <w:rFonts w:eastAsia="Times New Roman" w:cs="Arial"/>
                <w:color w:val="000000"/>
              </w:rPr>
            </w:pPr>
            <w:r w:rsidRPr="008E15A9">
              <w:rPr>
                <w:rFonts w:eastAsia="Times New Roman" w:cs="Arial"/>
                <w:color w:val="000000"/>
              </w:rPr>
              <w:t>2015</w:t>
            </w:r>
          </w:p>
        </w:tc>
        <w:tc>
          <w:tcPr>
            <w:tcW w:w="4770" w:type="dxa"/>
            <w:tcBorders>
              <w:top w:val="nil"/>
              <w:left w:val="nil"/>
              <w:bottom w:val="nil"/>
              <w:right w:val="nil"/>
            </w:tcBorders>
            <w:shd w:val="clear" w:color="auto" w:fill="auto"/>
            <w:noWrap/>
            <w:vAlign w:val="bottom"/>
            <w:hideMark/>
          </w:tcPr>
          <w:p w:rsidR="003A69BE" w:rsidRPr="008E15A9" w:rsidRDefault="003A69BE" w:rsidP="008D0D9F">
            <w:pPr>
              <w:spacing w:after="120" w:line="240" w:lineRule="auto"/>
              <w:rPr>
                <w:rFonts w:eastAsia="Times New Roman" w:cs="Arial"/>
                <w:color w:val="000000"/>
              </w:rPr>
            </w:pPr>
            <w:r w:rsidRPr="008E15A9">
              <w:rPr>
                <w:rFonts w:eastAsia="Times New Roman" w:cs="Arial"/>
                <w:color w:val="000000"/>
              </w:rPr>
              <w:t>$6</w:t>
            </w:r>
            <w:r w:rsidR="008D0D9F">
              <w:rPr>
                <w:rFonts w:eastAsia="Times New Roman" w:cs="Arial"/>
                <w:color w:val="000000"/>
              </w:rPr>
              <w:t>/</w:t>
            </w:r>
            <w:r w:rsidRPr="008E15A9">
              <w:rPr>
                <w:rFonts w:eastAsia="Times New Roman" w:cs="Arial"/>
                <w:color w:val="000000"/>
              </w:rPr>
              <w:t>MWh Shopping Credit (June-Dec.)</w:t>
            </w:r>
          </w:p>
        </w:tc>
        <w:tc>
          <w:tcPr>
            <w:tcW w:w="3326" w:type="dxa"/>
            <w:tcBorders>
              <w:top w:val="nil"/>
              <w:left w:val="nil"/>
              <w:bottom w:val="nil"/>
              <w:right w:val="nil"/>
            </w:tcBorders>
            <w:shd w:val="clear" w:color="auto" w:fill="auto"/>
            <w:noWrap/>
            <w:vAlign w:val="bottom"/>
            <w:hideMark/>
          </w:tcPr>
          <w:p w:rsidR="003A69BE" w:rsidRPr="008E15A9" w:rsidRDefault="003A69BE" w:rsidP="00FB5C3E">
            <w:pPr>
              <w:spacing w:after="120" w:line="240" w:lineRule="auto"/>
              <w:jc w:val="right"/>
              <w:rPr>
                <w:rFonts w:eastAsia="Times New Roman" w:cs="Arial"/>
                <w:color w:val="000000"/>
              </w:rPr>
            </w:pPr>
            <w:r w:rsidRPr="008E15A9">
              <w:rPr>
                <w:rFonts w:eastAsia="Times New Roman" w:cs="Arial"/>
                <w:color w:val="000000"/>
              </w:rPr>
              <w:t xml:space="preserve">$15,400,000 </w:t>
            </w:r>
          </w:p>
        </w:tc>
      </w:tr>
      <w:tr w:rsidR="003A69BE" w:rsidRPr="008E15A9" w:rsidTr="00E27F35">
        <w:trPr>
          <w:trHeight w:val="290"/>
          <w:jc w:val="center"/>
        </w:trPr>
        <w:tc>
          <w:tcPr>
            <w:tcW w:w="897" w:type="dxa"/>
            <w:tcBorders>
              <w:top w:val="nil"/>
              <w:left w:val="nil"/>
              <w:bottom w:val="nil"/>
              <w:right w:val="nil"/>
            </w:tcBorders>
            <w:shd w:val="clear" w:color="auto" w:fill="auto"/>
            <w:noWrap/>
            <w:vAlign w:val="bottom"/>
            <w:hideMark/>
          </w:tcPr>
          <w:p w:rsidR="003A69BE" w:rsidRPr="008E15A9" w:rsidRDefault="003A69BE" w:rsidP="00FB5C3E">
            <w:pPr>
              <w:spacing w:after="120" w:line="240" w:lineRule="auto"/>
              <w:rPr>
                <w:rFonts w:eastAsia="Times New Roman" w:cs="Arial"/>
                <w:color w:val="000000"/>
              </w:rPr>
            </w:pPr>
          </w:p>
        </w:tc>
        <w:tc>
          <w:tcPr>
            <w:tcW w:w="4770" w:type="dxa"/>
            <w:tcBorders>
              <w:top w:val="nil"/>
              <w:left w:val="nil"/>
              <w:bottom w:val="nil"/>
              <w:right w:val="nil"/>
            </w:tcBorders>
            <w:shd w:val="clear" w:color="auto" w:fill="auto"/>
            <w:noWrap/>
            <w:vAlign w:val="bottom"/>
            <w:hideMark/>
          </w:tcPr>
          <w:p w:rsidR="003A69BE" w:rsidRPr="008E15A9" w:rsidRDefault="003A69BE" w:rsidP="00FB5C3E">
            <w:pPr>
              <w:spacing w:after="120" w:line="240" w:lineRule="auto"/>
              <w:rPr>
                <w:rFonts w:eastAsia="Times New Roman" w:cs="Arial"/>
                <w:color w:val="000000"/>
              </w:rPr>
            </w:pPr>
            <w:r w:rsidRPr="008E15A9">
              <w:rPr>
                <w:rFonts w:eastAsia="Times New Roman" w:cs="Arial"/>
                <w:color w:val="000000"/>
              </w:rPr>
              <w:t>Total</w:t>
            </w:r>
          </w:p>
        </w:tc>
        <w:tc>
          <w:tcPr>
            <w:tcW w:w="3326" w:type="dxa"/>
            <w:tcBorders>
              <w:top w:val="nil"/>
              <w:left w:val="nil"/>
              <w:bottom w:val="nil"/>
              <w:right w:val="nil"/>
            </w:tcBorders>
            <w:shd w:val="clear" w:color="auto" w:fill="auto"/>
            <w:noWrap/>
            <w:vAlign w:val="bottom"/>
            <w:hideMark/>
          </w:tcPr>
          <w:p w:rsidR="003A69BE" w:rsidRPr="008E15A9" w:rsidRDefault="003A69BE" w:rsidP="00FB5C3E">
            <w:pPr>
              <w:spacing w:after="120" w:line="240" w:lineRule="auto"/>
              <w:jc w:val="right"/>
              <w:rPr>
                <w:rFonts w:eastAsia="Times New Roman" w:cs="Arial"/>
                <w:color w:val="000000"/>
              </w:rPr>
            </w:pPr>
            <w:r w:rsidRPr="008E15A9">
              <w:rPr>
                <w:rFonts w:eastAsia="Times New Roman" w:cs="Arial"/>
                <w:color w:val="000000"/>
              </w:rPr>
              <w:t xml:space="preserve">$157,300,000 </w:t>
            </w:r>
          </w:p>
        </w:tc>
      </w:tr>
    </w:tbl>
    <w:p w:rsidR="00234D30" w:rsidRDefault="00234D30" w:rsidP="00E27F35">
      <w:pPr>
        <w:spacing w:line="240" w:lineRule="auto"/>
        <w:ind w:firstLine="720"/>
      </w:pPr>
    </w:p>
    <w:p w:rsidR="00C96DE8" w:rsidRDefault="00FA6EA3" w:rsidP="00B42443">
      <w:pPr>
        <w:ind w:firstLine="720"/>
      </w:pPr>
      <w:r>
        <w:t>Although the amounts vary from the estimate identified by IEU-Ohio in its Comments filed on July 5, 2013, Ormet and AEP-Ohio</w:t>
      </w:r>
      <w:r w:rsidR="00BF05DB">
        <w:t xml:space="preserve"> agree that the </w:t>
      </w:r>
      <w:r w:rsidR="00F841DE">
        <w:t xml:space="preserve">consequences of Ormet’s proposed </w:t>
      </w:r>
      <w:r w:rsidR="00AE599B" w:rsidRPr="00AE599B">
        <w:t xml:space="preserve">modifications are substantial.  </w:t>
      </w:r>
      <w:r w:rsidR="00BF05DB">
        <w:t>Ormet estimated</w:t>
      </w:r>
      <w:r w:rsidR="00C96DE8">
        <w:t xml:space="preserve"> that the total </w:t>
      </w:r>
      <w:r w:rsidR="00B7032D">
        <w:t>subsidy</w:t>
      </w:r>
      <w:r w:rsidR="00C96DE8">
        <w:t xml:space="preserve"> is $132.1 million</w:t>
      </w:r>
      <w:r w:rsidR="00B7032D">
        <w:t xml:space="preserve"> if the </w:t>
      </w:r>
      <w:r w:rsidR="00814070">
        <w:t>Motion</w:t>
      </w:r>
      <w:r w:rsidR="00B7032D">
        <w:t xml:space="preserve"> is granted</w:t>
      </w:r>
      <w:r w:rsidR="00C96DE8">
        <w:t>.</w:t>
      </w:r>
      <w:r w:rsidR="00C96DE8">
        <w:rPr>
          <w:rStyle w:val="FootnoteReference"/>
        </w:rPr>
        <w:footnoteReference w:id="36"/>
      </w:r>
      <w:r w:rsidR="00C96DE8">
        <w:t xml:space="preserve">  AEP-Ohio estimates the </w:t>
      </w:r>
      <w:r w:rsidR="00DA676E">
        <w:t xml:space="preserve">incremental additional cost of the Ormet </w:t>
      </w:r>
      <w:r w:rsidR="00814070">
        <w:t>Motion</w:t>
      </w:r>
      <w:r w:rsidR="00DA676E">
        <w:t xml:space="preserve"> as</w:t>
      </w:r>
      <w:r w:rsidR="00BF05DB">
        <w:t xml:space="preserve"> $117 million,</w:t>
      </w:r>
      <w:r w:rsidR="00C96DE8">
        <w:rPr>
          <w:rStyle w:val="FootnoteReference"/>
        </w:rPr>
        <w:footnoteReference w:id="37"/>
      </w:r>
      <w:r w:rsidR="00DA676E">
        <w:t xml:space="preserve"> </w:t>
      </w:r>
      <w:r w:rsidR="00BF05DB">
        <w:t xml:space="preserve">and it expects to recover </w:t>
      </w:r>
      <w:r w:rsidR="00DA676E">
        <w:t xml:space="preserve">$99 million </w:t>
      </w:r>
      <w:r w:rsidR="00857D78">
        <w:t>of the $117 million</w:t>
      </w:r>
      <w:r w:rsidR="00C96DE8">
        <w:t xml:space="preserve"> from other </w:t>
      </w:r>
      <w:r w:rsidR="001D3665">
        <w:t>customers</w:t>
      </w:r>
      <w:r w:rsidR="00C96DE8">
        <w:t>.</w:t>
      </w:r>
      <w:r w:rsidR="00C96DE8">
        <w:rPr>
          <w:rStyle w:val="FootnoteReference"/>
        </w:rPr>
        <w:footnoteReference w:id="38"/>
      </w:r>
    </w:p>
    <w:p w:rsidR="00AE599B" w:rsidRPr="00AE599B" w:rsidRDefault="00AE599B" w:rsidP="005A3965">
      <w:pPr>
        <w:autoSpaceDE w:val="0"/>
        <w:autoSpaceDN w:val="0"/>
        <w:adjustRightInd w:val="0"/>
        <w:ind w:firstLine="720"/>
      </w:pPr>
      <w:r w:rsidRPr="00AE599B">
        <w:t xml:space="preserve">Approval of the Motion also will increase the risk of other customers in less direct ways.  For example, Ormet proposes to spread the repayment of its November and December 2012 electricity bills over an additional seven months.  </w:t>
      </w:r>
      <w:r w:rsidR="00097AD7">
        <w:t>The</w:t>
      </w:r>
      <w:r w:rsidR="00097AD7" w:rsidRPr="00AE599B">
        <w:t xml:space="preserve"> risk of nonpayment will fall </w:t>
      </w:r>
      <w:r w:rsidR="00097AD7">
        <w:t>substantially</w:t>
      </w:r>
      <w:r w:rsidR="00097AD7" w:rsidRPr="00AE599B">
        <w:t xml:space="preserve"> on other customers.</w:t>
      </w:r>
      <w:r w:rsidR="00097AD7">
        <w:rPr>
          <w:rStyle w:val="FootnoteReference"/>
        </w:rPr>
        <w:footnoteReference w:id="39"/>
      </w:r>
      <w:r w:rsidR="00097AD7">
        <w:t xml:space="preserve">  </w:t>
      </w:r>
      <w:r w:rsidRPr="00AE599B">
        <w:t xml:space="preserve">Delay increases the risk of nonpayment.  </w:t>
      </w:r>
    </w:p>
    <w:p w:rsidR="00AE599B" w:rsidRDefault="00AE599B" w:rsidP="005A3965">
      <w:pPr>
        <w:autoSpaceDE w:val="0"/>
        <w:autoSpaceDN w:val="0"/>
        <w:adjustRightInd w:val="0"/>
        <w:ind w:firstLine="720"/>
      </w:pPr>
      <w:r w:rsidRPr="00AE599B">
        <w:t xml:space="preserve">Additionally, Ormet appears to be seeking </w:t>
      </w:r>
      <w:r w:rsidR="001D3665">
        <w:t xml:space="preserve">an exemption </w:t>
      </w:r>
      <w:r w:rsidRPr="00AE599B">
        <w:t xml:space="preserve">from paying the </w:t>
      </w:r>
      <w:r w:rsidR="008D0D9F">
        <w:t>Alternative Energy Rider (“</w:t>
      </w:r>
      <w:r w:rsidRPr="00AE599B">
        <w:t>AER</w:t>
      </w:r>
      <w:r w:rsidR="008D0D9F">
        <w:t>”)</w:t>
      </w:r>
      <w:r w:rsidRPr="00AE599B">
        <w:t>.</w:t>
      </w:r>
      <w:r w:rsidRPr="00AE599B">
        <w:rPr>
          <w:vertAlign w:val="superscript"/>
        </w:rPr>
        <w:footnoteReference w:id="40"/>
      </w:r>
      <w:r w:rsidRPr="00AE599B">
        <w:t xml:space="preserve">  </w:t>
      </w:r>
      <w:r w:rsidR="00CC7FC8">
        <w:t xml:space="preserve">While supportive of this proposal, IEU-Ohio would further note that the Commission should assure that other customers are not adversely affected if the Commission adopts this portion of Ormet’s proposed modifications.  </w:t>
      </w:r>
      <w:r w:rsidRPr="00AE599B">
        <w:t>Without an adjustment to AEP-Ohio’s baseline for compliance with alternative energy requirements to remove Ormet’s total kilowatt hours sold, exempting Ormet from paying the AER will shift the costs of compliance to other customers.</w:t>
      </w:r>
      <w:r w:rsidR="00CC7FC8">
        <w:rPr>
          <w:rStyle w:val="FootnoteReference"/>
        </w:rPr>
        <w:footnoteReference w:id="41"/>
      </w:r>
    </w:p>
    <w:p w:rsidR="00556D65" w:rsidRDefault="00556D65" w:rsidP="005A3965">
      <w:pPr>
        <w:autoSpaceDE w:val="0"/>
        <w:autoSpaceDN w:val="0"/>
        <w:adjustRightInd w:val="0"/>
        <w:ind w:firstLine="720"/>
      </w:pPr>
      <w:r w:rsidRPr="00556D65">
        <w:t xml:space="preserve">Ormet’s </w:t>
      </w:r>
      <w:r w:rsidR="00CC7FC8">
        <w:t>Motion</w:t>
      </w:r>
      <w:r w:rsidRPr="00556D65">
        <w:t xml:space="preserve"> </w:t>
      </w:r>
      <w:r>
        <w:t>thus</w:t>
      </w:r>
      <w:r w:rsidRPr="00556D65">
        <w:t xml:space="preserve"> threatens additional rate increases on other customers in addition to the substantial increases resulting from the </w:t>
      </w:r>
      <w:r w:rsidR="00FA6EA3" w:rsidRPr="00857D78">
        <w:rPr>
          <w:i/>
        </w:rPr>
        <w:t xml:space="preserve">AEP-Ohio </w:t>
      </w:r>
      <w:r w:rsidRPr="00857D78">
        <w:rPr>
          <w:i/>
        </w:rPr>
        <w:t>ESP II</w:t>
      </w:r>
      <w:r w:rsidRPr="00556D65">
        <w:t xml:space="preserve"> Order.  </w:t>
      </w:r>
      <w:r>
        <w:t>For example</w:t>
      </w:r>
      <w:r w:rsidRPr="00556D65">
        <w:t xml:space="preserve">, the </w:t>
      </w:r>
      <w:r w:rsidR="00FA6EA3" w:rsidRPr="00857D78">
        <w:rPr>
          <w:i/>
        </w:rPr>
        <w:t xml:space="preserve">AEP-Ohio </w:t>
      </w:r>
      <w:r w:rsidRPr="00857D78">
        <w:rPr>
          <w:i/>
        </w:rPr>
        <w:t>ESP II</w:t>
      </w:r>
      <w:r w:rsidRPr="00556D65">
        <w:t xml:space="preserve"> Order </w:t>
      </w:r>
      <w:r w:rsidR="00FA6EA3">
        <w:t>authorized AEP-Ohio to increase its</w:t>
      </w:r>
      <w:r w:rsidRPr="00556D65">
        <w:t xml:space="preserve"> rates by $</w:t>
      </w:r>
      <w:r w:rsidR="007E25E7">
        <w:t>392</w:t>
      </w:r>
      <w:r w:rsidR="00A36108">
        <w:t>,000 to $</w:t>
      </w:r>
      <w:r w:rsidR="007E25E7">
        <w:t>418</w:t>
      </w:r>
      <w:r w:rsidR="00A36108">
        <w:t>,000</w:t>
      </w:r>
      <w:r w:rsidRPr="00556D65">
        <w:t xml:space="preserve"> monthly for a GS-4 customer </w:t>
      </w:r>
      <w:r w:rsidR="007E25E7">
        <w:t xml:space="preserve">served at transmission voltage </w:t>
      </w:r>
      <w:r w:rsidRPr="00556D65">
        <w:t xml:space="preserve">with </w:t>
      </w:r>
      <w:r w:rsidR="00B7032D">
        <w:t xml:space="preserve">a </w:t>
      </w:r>
      <w:r w:rsidR="00337611">
        <w:t xml:space="preserve">monthly </w:t>
      </w:r>
      <w:r w:rsidR="001D3665">
        <w:t xml:space="preserve">load </w:t>
      </w:r>
      <w:r w:rsidR="00B7032D">
        <w:t>profile</w:t>
      </w:r>
      <w:r w:rsidRPr="00556D65">
        <w:t xml:space="preserve"> of 50,000 </w:t>
      </w:r>
      <w:r w:rsidR="00337611">
        <w:t>Kilowatts (“KW”)</w:t>
      </w:r>
      <w:r w:rsidRPr="00556D65">
        <w:t xml:space="preserve"> and energy of 32.5 million </w:t>
      </w:r>
      <w:r w:rsidR="00337611">
        <w:t>Kilowatt-Hours (“KWh”)</w:t>
      </w:r>
      <w:r w:rsidRPr="00556D65">
        <w:t>.</w:t>
      </w:r>
      <w:r w:rsidR="00B7032D">
        <w:rPr>
          <w:rStyle w:val="FootnoteReference"/>
        </w:rPr>
        <w:footnoteReference w:id="42"/>
      </w:r>
      <w:r w:rsidRPr="00556D65">
        <w:t xml:space="preserve">  These same customers are facing additional increases </w:t>
      </w:r>
      <w:r w:rsidR="00337611" w:rsidRPr="00556D65">
        <w:t>because</w:t>
      </w:r>
      <w:r w:rsidRPr="00556D65">
        <w:t xml:space="preserve"> of AEP-Ohio’s recent transmission cost recovery rider filing.</w:t>
      </w:r>
      <w:r w:rsidRPr="00556D65">
        <w:rPr>
          <w:vertAlign w:val="superscript"/>
        </w:rPr>
        <w:footnoteReference w:id="43"/>
      </w:r>
    </w:p>
    <w:p w:rsidR="00321E6D" w:rsidRDefault="00C77EE2" w:rsidP="00203F57">
      <w:pPr>
        <w:autoSpaceDE w:val="0"/>
        <w:autoSpaceDN w:val="0"/>
        <w:adjustRightInd w:val="0"/>
        <w:ind w:firstLine="720"/>
        <w:rPr>
          <w:rFonts w:cs="Arial"/>
        </w:rPr>
      </w:pPr>
      <w:r>
        <w:t xml:space="preserve">The bill impact data, however, do not reflect more recent filings AEP-Ohio has made to increase its prices.  </w:t>
      </w:r>
      <w:r w:rsidRPr="00C77EE2">
        <w:rPr>
          <w:rFonts w:cs="Arial"/>
        </w:rPr>
        <w:t xml:space="preserve">On August 30, 2013, </w:t>
      </w:r>
      <w:r w:rsidR="00234D30">
        <w:rPr>
          <w:rFonts w:cs="Arial"/>
        </w:rPr>
        <w:t>AEP-Ohio</w:t>
      </w:r>
      <w:r w:rsidRPr="00C77EE2">
        <w:rPr>
          <w:rFonts w:cs="Arial"/>
        </w:rPr>
        <w:t xml:space="preserve"> filed an application to update its rates for the Fuel Adjustment Clause (”FAC”) and the </w:t>
      </w:r>
      <w:r>
        <w:rPr>
          <w:rFonts w:cs="Arial"/>
        </w:rPr>
        <w:t>AER</w:t>
      </w:r>
      <w:r w:rsidRPr="00C77EE2">
        <w:rPr>
          <w:rFonts w:cs="Arial"/>
        </w:rPr>
        <w:t>.</w:t>
      </w:r>
      <w:r w:rsidR="00116B3A">
        <w:rPr>
          <w:rStyle w:val="FootnoteReference"/>
          <w:rFonts w:cs="Arial"/>
        </w:rPr>
        <w:footnoteReference w:id="44"/>
      </w:r>
      <w:r w:rsidRPr="00C77EE2">
        <w:rPr>
          <w:rFonts w:cs="Arial"/>
        </w:rPr>
        <w:t xml:space="preserve">  The revised FAC rates are proposed to go into effect with bills rendered in the first billing cycle of October 2013 and will add to the significant electric bill increase</w:t>
      </w:r>
      <w:r w:rsidR="00234D30">
        <w:rPr>
          <w:rFonts w:cs="Arial"/>
        </w:rPr>
        <w:t>s</w:t>
      </w:r>
      <w:r w:rsidRPr="00C77EE2">
        <w:rPr>
          <w:rFonts w:cs="Arial"/>
        </w:rPr>
        <w:t xml:space="preserve"> that have already taken place.  </w:t>
      </w:r>
      <w:r>
        <w:rPr>
          <w:rFonts w:cs="Arial"/>
        </w:rPr>
        <w:t>T</w:t>
      </w:r>
      <w:r w:rsidRPr="00C77EE2">
        <w:rPr>
          <w:rFonts w:cs="Arial"/>
        </w:rPr>
        <w:t xml:space="preserve">he FAC and AER changes that </w:t>
      </w:r>
      <w:r w:rsidR="00234D30">
        <w:rPr>
          <w:rFonts w:cs="Arial"/>
        </w:rPr>
        <w:t>AEP-Ohio</w:t>
      </w:r>
      <w:r w:rsidRPr="00C77EE2">
        <w:rPr>
          <w:rFonts w:cs="Arial"/>
        </w:rPr>
        <w:t xml:space="preserve"> has proposed for the rate schedules applicable to businesses</w:t>
      </w:r>
      <w:r w:rsidR="00321E6D">
        <w:rPr>
          <w:rFonts w:cs="Arial"/>
        </w:rPr>
        <w:t xml:space="preserve"> are:</w:t>
      </w:r>
    </w:p>
    <w:p w:rsidR="00203F57" w:rsidRDefault="00321E6D" w:rsidP="00321E6D">
      <w:pPr>
        <w:autoSpaceDE w:val="0"/>
        <w:autoSpaceDN w:val="0"/>
        <w:adjustRightInd w:val="0"/>
        <w:spacing w:after="120" w:line="240" w:lineRule="auto"/>
        <w:ind w:firstLine="720"/>
        <w:rPr>
          <w:rFonts w:cs="Arial"/>
        </w:rPr>
      </w:pPr>
      <w:r>
        <w:rPr>
          <w:rFonts w:cs="Arial"/>
        </w:rPr>
        <w:tab/>
      </w:r>
      <w:r>
        <w:rPr>
          <w:rFonts w:cs="Arial"/>
        </w:rPr>
        <w:tab/>
      </w:r>
      <w:r>
        <w:rPr>
          <w:rFonts w:cs="Arial"/>
        </w:rPr>
        <w:tab/>
      </w:r>
      <w:r>
        <w:rPr>
          <w:rFonts w:cs="Arial"/>
        </w:rPr>
        <w:tab/>
      </w:r>
      <w:r>
        <w:rPr>
          <w:rFonts w:cs="Arial"/>
        </w:rPr>
        <w:tab/>
      </w:r>
      <w:r w:rsidR="00203F57">
        <w:rPr>
          <w:rFonts w:cs="Arial"/>
          <w:b/>
        </w:rPr>
        <w:t>Current</w:t>
      </w:r>
      <w:r w:rsidR="00203F57">
        <w:rPr>
          <w:rFonts w:cs="Arial"/>
          <w:b/>
        </w:rPr>
        <w:tab/>
      </w:r>
      <w:r w:rsidR="00C77EE2" w:rsidRPr="00C77EE2">
        <w:rPr>
          <w:rFonts w:cs="Arial"/>
          <w:b/>
        </w:rPr>
        <w:t>Proposed</w:t>
      </w:r>
      <w:r w:rsidR="00C77EE2" w:rsidRPr="00C77EE2">
        <w:rPr>
          <w:rFonts w:cs="Arial"/>
          <w:b/>
        </w:rPr>
        <w:tab/>
        <w:t>% Increase</w:t>
      </w:r>
    </w:p>
    <w:p w:rsidR="00203F57" w:rsidRDefault="00C77EE2" w:rsidP="00203F57">
      <w:pPr>
        <w:autoSpaceDE w:val="0"/>
        <w:autoSpaceDN w:val="0"/>
        <w:adjustRightInd w:val="0"/>
        <w:spacing w:line="240" w:lineRule="auto"/>
        <w:ind w:left="720" w:hanging="90"/>
        <w:rPr>
          <w:rFonts w:cs="Arial"/>
        </w:rPr>
      </w:pPr>
      <w:r w:rsidRPr="00C77EE2">
        <w:rPr>
          <w:rFonts w:cs="Arial"/>
          <w:b/>
        </w:rPr>
        <w:t>Columbus Southern FAC</w:t>
      </w:r>
    </w:p>
    <w:p w:rsidR="00203F57" w:rsidRDefault="00C77EE2" w:rsidP="00203F57">
      <w:pPr>
        <w:autoSpaceDE w:val="0"/>
        <w:autoSpaceDN w:val="0"/>
        <w:adjustRightInd w:val="0"/>
        <w:spacing w:line="240" w:lineRule="auto"/>
        <w:ind w:left="720" w:hanging="90"/>
        <w:rPr>
          <w:rFonts w:cs="Arial"/>
        </w:rPr>
      </w:pPr>
      <w:r w:rsidRPr="00C77EE2">
        <w:rPr>
          <w:rFonts w:cs="Arial"/>
        </w:rPr>
        <w:t>Secon</w:t>
      </w:r>
      <w:r w:rsidR="00203F57">
        <w:rPr>
          <w:rFonts w:cs="Arial"/>
        </w:rPr>
        <w:t>dary</w:t>
      </w:r>
      <w:r w:rsidR="00203F57">
        <w:rPr>
          <w:rFonts w:cs="Arial"/>
        </w:rPr>
        <w:tab/>
      </w:r>
      <w:r w:rsidR="00203F57">
        <w:rPr>
          <w:rFonts w:cs="Arial"/>
        </w:rPr>
        <w:tab/>
      </w:r>
      <w:r w:rsidR="00203F57">
        <w:rPr>
          <w:rFonts w:cs="Arial"/>
        </w:rPr>
        <w:tab/>
      </w:r>
      <w:r w:rsidR="00203F57">
        <w:rPr>
          <w:rFonts w:cs="Arial"/>
        </w:rPr>
        <w:tab/>
        <w:t>$0.0406652</w:t>
      </w:r>
      <w:r w:rsidR="00203F57">
        <w:rPr>
          <w:rFonts w:cs="Arial"/>
        </w:rPr>
        <w:tab/>
      </w:r>
      <w:r w:rsidRPr="00C77EE2">
        <w:rPr>
          <w:rFonts w:cs="Arial"/>
        </w:rPr>
        <w:t>$0.0435464</w:t>
      </w:r>
      <w:r w:rsidRPr="00C77EE2">
        <w:rPr>
          <w:rFonts w:cs="Arial"/>
        </w:rPr>
        <w:tab/>
      </w:r>
      <w:r w:rsidRPr="00C77EE2">
        <w:rPr>
          <w:rFonts w:cs="Arial"/>
        </w:rPr>
        <w:tab/>
        <w:t>7%</w:t>
      </w:r>
    </w:p>
    <w:p w:rsidR="00203F57" w:rsidRDefault="00203F57" w:rsidP="00203F57">
      <w:pPr>
        <w:autoSpaceDE w:val="0"/>
        <w:autoSpaceDN w:val="0"/>
        <w:adjustRightInd w:val="0"/>
        <w:spacing w:line="240" w:lineRule="auto"/>
        <w:ind w:left="720" w:hanging="90"/>
        <w:rPr>
          <w:rFonts w:cs="Arial"/>
        </w:rPr>
      </w:pPr>
      <w:r>
        <w:rPr>
          <w:rFonts w:cs="Arial"/>
        </w:rPr>
        <w:t>Primary</w:t>
      </w:r>
      <w:r>
        <w:rPr>
          <w:rFonts w:cs="Arial"/>
        </w:rPr>
        <w:tab/>
      </w:r>
      <w:r>
        <w:rPr>
          <w:rFonts w:cs="Arial"/>
        </w:rPr>
        <w:tab/>
      </w:r>
      <w:r>
        <w:rPr>
          <w:rFonts w:cs="Arial"/>
        </w:rPr>
        <w:tab/>
      </w:r>
      <w:r>
        <w:rPr>
          <w:rFonts w:cs="Arial"/>
        </w:rPr>
        <w:tab/>
        <w:t>$0.0392546</w:t>
      </w:r>
      <w:r>
        <w:rPr>
          <w:rFonts w:cs="Arial"/>
        </w:rPr>
        <w:tab/>
        <w:t>$0.0420357</w:t>
      </w:r>
      <w:r w:rsidR="00C77EE2" w:rsidRPr="00C77EE2">
        <w:rPr>
          <w:rFonts w:cs="Arial"/>
        </w:rPr>
        <w:tab/>
      </w:r>
      <w:r>
        <w:rPr>
          <w:rFonts w:cs="Arial"/>
        </w:rPr>
        <w:tab/>
      </w:r>
      <w:r w:rsidR="00C77EE2" w:rsidRPr="00C77EE2">
        <w:rPr>
          <w:rFonts w:cs="Arial"/>
        </w:rPr>
        <w:t>7%</w:t>
      </w:r>
    </w:p>
    <w:p w:rsidR="00203F57" w:rsidRDefault="00C77EE2" w:rsidP="00203F57">
      <w:pPr>
        <w:autoSpaceDE w:val="0"/>
        <w:autoSpaceDN w:val="0"/>
        <w:adjustRightInd w:val="0"/>
        <w:spacing w:after="120" w:line="240" w:lineRule="auto"/>
        <w:ind w:left="720" w:hanging="90"/>
        <w:rPr>
          <w:rFonts w:cs="Arial"/>
        </w:rPr>
      </w:pPr>
      <w:r w:rsidRPr="00C77EE2">
        <w:rPr>
          <w:rFonts w:cs="Arial"/>
        </w:rPr>
        <w:t>Sub-transm</w:t>
      </w:r>
      <w:r w:rsidR="00203F57">
        <w:rPr>
          <w:rFonts w:cs="Arial"/>
        </w:rPr>
        <w:t>ission/Transmission</w:t>
      </w:r>
      <w:r w:rsidR="00203F57">
        <w:rPr>
          <w:rFonts w:cs="Arial"/>
        </w:rPr>
        <w:tab/>
        <w:t>$0.0384725</w:t>
      </w:r>
      <w:r w:rsidR="00203F57">
        <w:rPr>
          <w:rFonts w:cs="Arial"/>
        </w:rPr>
        <w:tab/>
      </w:r>
      <w:r w:rsidRPr="00C77EE2">
        <w:rPr>
          <w:rFonts w:cs="Arial"/>
        </w:rPr>
        <w:t>$0.0411983</w:t>
      </w:r>
      <w:r w:rsidRPr="00C77EE2">
        <w:rPr>
          <w:rFonts w:cs="Arial"/>
        </w:rPr>
        <w:tab/>
      </w:r>
      <w:r w:rsidRPr="00C77EE2">
        <w:rPr>
          <w:rFonts w:cs="Arial"/>
        </w:rPr>
        <w:tab/>
        <w:t>7%</w:t>
      </w:r>
    </w:p>
    <w:p w:rsidR="00203F57" w:rsidRDefault="00C77EE2" w:rsidP="00203F57">
      <w:pPr>
        <w:autoSpaceDE w:val="0"/>
        <w:autoSpaceDN w:val="0"/>
        <w:adjustRightInd w:val="0"/>
        <w:spacing w:line="240" w:lineRule="auto"/>
        <w:ind w:left="720" w:hanging="90"/>
        <w:rPr>
          <w:rFonts w:cs="Arial"/>
        </w:rPr>
      </w:pPr>
      <w:r w:rsidRPr="00C77EE2">
        <w:rPr>
          <w:rFonts w:cs="Arial"/>
          <w:b/>
        </w:rPr>
        <w:t>Ohio Power FAC</w:t>
      </w:r>
      <w:r w:rsidRPr="00C77EE2">
        <w:rPr>
          <w:rFonts w:cs="Arial"/>
          <w:b/>
        </w:rPr>
        <w:tab/>
      </w:r>
      <w:r w:rsidRPr="00C77EE2">
        <w:rPr>
          <w:rFonts w:cs="Arial"/>
          <w:b/>
        </w:rPr>
        <w:tab/>
      </w:r>
      <w:r w:rsidRPr="00C77EE2">
        <w:rPr>
          <w:rFonts w:cs="Arial"/>
          <w:b/>
        </w:rPr>
        <w:tab/>
      </w:r>
    </w:p>
    <w:p w:rsidR="00203F57" w:rsidRDefault="00203F57" w:rsidP="00203F57">
      <w:pPr>
        <w:autoSpaceDE w:val="0"/>
        <w:autoSpaceDN w:val="0"/>
        <w:adjustRightInd w:val="0"/>
        <w:spacing w:line="240" w:lineRule="auto"/>
        <w:ind w:left="720" w:hanging="90"/>
        <w:rPr>
          <w:rFonts w:cs="Arial"/>
        </w:rPr>
      </w:pPr>
      <w:r>
        <w:rPr>
          <w:rFonts w:cs="Arial"/>
        </w:rPr>
        <w:t>Secondary</w:t>
      </w:r>
      <w:r>
        <w:rPr>
          <w:rFonts w:cs="Arial"/>
        </w:rPr>
        <w:tab/>
      </w:r>
      <w:r>
        <w:rPr>
          <w:rFonts w:cs="Arial"/>
        </w:rPr>
        <w:tab/>
      </w:r>
      <w:r>
        <w:rPr>
          <w:rFonts w:cs="Arial"/>
        </w:rPr>
        <w:tab/>
      </w:r>
      <w:r>
        <w:rPr>
          <w:rFonts w:cs="Arial"/>
        </w:rPr>
        <w:tab/>
        <w:t>$0.0341979</w:t>
      </w:r>
      <w:r>
        <w:rPr>
          <w:rFonts w:cs="Arial"/>
        </w:rPr>
        <w:tab/>
      </w:r>
      <w:r w:rsidR="00C77EE2" w:rsidRPr="00C77EE2">
        <w:rPr>
          <w:rFonts w:cs="Arial"/>
        </w:rPr>
        <w:t>$0.0372933</w:t>
      </w:r>
      <w:r w:rsidR="00C77EE2" w:rsidRPr="00C77EE2">
        <w:rPr>
          <w:rFonts w:cs="Arial"/>
        </w:rPr>
        <w:tab/>
      </w:r>
      <w:r w:rsidR="00C77EE2" w:rsidRPr="00C77EE2">
        <w:rPr>
          <w:rFonts w:cs="Arial"/>
        </w:rPr>
        <w:tab/>
        <w:t>9%</w:t>
      </w:r>
    </w:p>
    <w:p w:rsidR="00203F57" w:rsidRDefault="00203F57" w:rsidP="00203F57">
      <w:pPr>
        <w:autoSpaceDE w:val="0"/>
        <w:autoSpaceDN w:val="0"/>
        <w:adjustRightInd w:val="0"/>
        <w:spacing w:line="240" w:lineRule="auto"/>
        <w:ind w:left="720" w:hanging="90"/>
        <w:rPr>
          <w:rFonts w:cs="Arial"/>
        </w:rPr>
      </w:pPr>
      <w:r>
        <w:rPr>
          <w:rFonts w:cs="Arial"/>
        </w:rPr>
        <w:t>Primary</w:t>
      </w:r>
      <w:r>
        <w:rPr>
          <w:rFonts w:cs="Arial"/>
        </w:rPr>
        <w:tab/>
      </w:r>
      <w:r>
        <w:rPr>
          <w:rFonts w:cs="Arial"/>
        </w:rPr>
        <w:tab/>
      </w:r>
      <w:r>
        <w:rPr>
          <w:rFonts w:cs="Arial"/>
        </w:rPr>
        <w:tab/>
      </w:r>
      <w:r>
        <w:rPr>
          <w:rFonts w:cs="Arial"/>
        </w:rPr>
        <w:tab/>
        <w:t>$0.0330117</w:t>
      </w:r>
      <w:r>
        <w:rPr>
          <w:rFonts w:cs="Arial"/>
        </w:rPr>
        <w:tab/>
      </w:r>
      <w:r w:rsidR="00C77EE2" w:rsidRPr="00C77EE2">
        <w:rPr>
          <w:rFonts w:cs="Arial"/>
        </w:rPr>
        <w:t>$0.0359996</w:t>
      </w:r>
      <w:r w:rsidR="00C77EE2" w:rsidRPr="00C77EE2">
        <w:rPr>
          <w:rFonts w:cs="Arial"/>
        </w:rPr>
        <w:tab/>
      </w:r>
      <w:r w:rsidR="00C77EE2" w:rsidRPr="00C77EE2">
        <w:rPr>
          <w:rFonts w:cs="Arial"/>
        </w:rPr>
        <w:tab/>
        <w:t>9%</w:t>
      </w:r>
    </w:p>
    <w:p w:rsidR="00321E6D" w:rsidRDefault="00C77EE2" w:rsidP="00321E6D">
      <w:pPr>
        <w:autoSpaceDE w:val="0"/>
        <w:autoSpaceDN w:val="0"/>
        <w:adjustRightInd w:val="0"/>
        <w:spacing w:after="120" w:line="240" w:lineRule="auto"/>
        <w:ind w:left="720" w:hanging="86"/>
        <w:rPr>
          <w:rFonts w:cs="Arial"/>
        </w:rPr>
      </w:pPr>
      <w:r w:rsidRPr="00C77EE2">
        <w:rPr>
          <w:rFonts w:cs="Arial"/>
        </w:rPr>
        <w:t>Sub-transm</w:t>
      </w:r>
      <w:r w:rsidR="00203F57">
        <w:rPr>
          <w:rFonts w:cs="Arial"/>
        </w:rPr>
        <w:t>ission/Transmission</w:t>
      </w:r>
      <w:r w:rsidR="00203F57">
        <w:rPr>
          <w:rFonts w:cs="Arial"/>
        </w:rPr>
        <w:tab/>
        <w:t>$0.0323539</w:t>
      </w:r>
      <w:r w:rsidR="00203F57">
        <w:rPr>
          <w:rFonts w:cs="Arial"/>
        </w:rPr>
        <w:tab/>
      </w:r>
      <w:r w:rsidRPr="00C77EE2">
        <w:rPr>
          <w:rFonts w:cs="Arial"/>
        </w:rPr>
        <w:t>$0.0352824</w:t>
      </w:r>
      <w:r w:rsidRPr="00C77EE2">
        <w:rPr>
          <w:rFonts w:cs="Arial"/>
        </w:rPr>
        <w:tab/>
      </w:r>
      <w:r w:rsidRPr="00C77EE2">
        <w:rPr>
          <w:rFonts w:cs="Arial"/>
        </w:rPr>
        <w:tab/>
        <w:t>9%</w:t>
      </w:r>
    </w:p>
    <w:p w:rsidR="00203F57" w:rsidRDefault="00765980" w:rsidP="00765980">
      <w:pPr>
        <w:autoSpaceDE w:val="0"/>
        <w:autoSpaceDN w:val="0"/>
        <w:adjustRightInd w:val="0"/>
        <w:spacing w:line="240" w:lineRule="auto"/>
        <w:ind w:left="3600" w:firstLine="720"/>
        <w:rPr>
          <w:rFonts w:cs="Arial"/>
        </w:rPr>
      </w:pPr>
      <w:r>
        <w:rPr>
          <w:rFonts w:cs="Arial"/>
          <w:b/>
        </w:rPr>
        <w:t xml:space="preserve">Current </w:t>
      </w:r>
      <w:r>
        <w:rPr>
          <w:rFonts w:cs="Arial"/>
          <w:b/>
        </w:rPr>
        <w:tab/>
      </w:r>
      <w:r w:rsidR="00C77EE2" w:rsidRPr="00C77EE2">
        <w:rPr>
          <w:rFonts w:cs="Arial"/>
          <w:b/>
        </w:rPr>
        <w:t>Proposed</w:t>
      </w:r>
      <w:r w:rsidR="00C77EE2" w:rsidRPr="00C77EE2">
        <w:rPr>
          <w:rFonts w:cs="Arial"/>
          <w:b/>
        </w:rPr>
        <w:tab/>
        <w:t>% Increase</w:t>
      </w:r>
    </w:p>
    <w:p w:rsidR="00203F57" w:rsidRDefault="00C77EE2" w:rsidP="00765980">
      <w:pPr>
        <w:autoSpaceDE w:val="0"/>
        <w:autoSpaceDN w:val="0"/>
        <w:adjustRightInd w:val="0"/>
        <w:spacing w:line="240" w:lineRule="auto"/>
        <w:ind w:left="720"/>
        <w:rPr>
          <w:rFonts w:cs="Arial"/>
        </w:rPr>
      </w:pPr>
      <w:r w:rsidRPr="00C77EE2">
        <w:rPr>
          <w:rFonts w:cs="Arial"/>
          <w:b/>
        </w:rPr>
        <w:t>Columbus Southern AER</w:t>
      </w:r>
    </w:p>
    <w:p w:rsidR="00203F57" w:rsidRDefault="00765980" w:rsidP="00765980">
      <w:pPr>
        <w:autoSpaceDE w:val="0"/>
        <w:autoSpaceDN w:val="0"/>
        <w:adjustRightInd w:val="0"/>
        <w:spacing w:line="240" w:lineRule="auto"/>
        <w:ind w:firstLine="720"/>
        <w:rPr>
          <w:rFonts w:cs="Arial"/>
        </w:rPr>
      </w:pPr>
      <w:r>
        <w:rPr>
          <w:rFonts w:cs="Arial"/>
        </w:rPr>
        <w:t>Secondary</w:t>
      </w:r>
      <w:r>
        <w:rPr>
          <w:rFonts w:cs="Arial"/>
        </w:rPr>
        <w:tab/>
      </w:r>
      <w:r>
        <w:rPr>
          <w:rFonts w:cs="Arial"/>
        </w:rPr>
        <w:tab/>
      </w:r>
      <w:r>
        <w:rPr>
          <w:rFonts w:cs="Arial"/>
        </w:rPr>
        <w:tab/>
      </w:r>
      <w:r>
        <w:rPr>
          <w:rFonts w:cs="Arial"/>
        </w:rPr>
        <w:tab/>
        <w:t>$0.0005249</w:t>
      </w:r>
      <w:r>
        <w:rPr>
          <w:rFonts w:cs="Arial"/>
        </w:rPr>
        <w:tab/>
      </w:r>
      <w:r w:rsidR="00C77EE2" w:rsidRPr="00C77EE2">
        <w:rPr>
          <w:rFonts w:cs="Arial"/>
        </w:rPr>
        <w:t>$0.0016093</w:t>
      </w:r>
      <w:r w:rsidR="00C77EE2" w:rsidRPr="00C77EE2">
        <w:rPr>
          <w:rFonts w:cs="Arial"/>
        </w:rPr>
        <w:tab/>
      </w:r>
      <w:r w:rsidR="00C77EE2" w:rsidRPr="00C77EE2">
        <w:rPr>
          <w:rFonts w:cs="Arial"/>
        </w:rPr>
        <w:tab/>
        <w:t>207%</w:t>
      </w:r>
    </w:p>
    <w:p w:rsidR="00203F57" w:rsidRDefault="00203F57" w:rsidP="00765980">
      <w:pPr>
        <w:autoSpaceDE w:val="0"/>
        <w:autoSpaceDN w:val="0"/>
        <w:adjustRightInd w:val="0"/>
        <w:spacing w:line="240" w:lineRule="auto"/>
        <w:ind w:firstLine="720"/>
        <w:rPr>
          <w:rFonts w:cs="Arial"/>
        </w:rPr>
      </w:pPr>
      <w:r>
        <w:rPr>
          <w:rFonts w:cs="Arial"/>
        </w:rPr>
        <w:t>Primary</w:t>
      </w:r>
      <w:r>
        <w:rPr>
          <w:rFonts w:cs="Arial"/>
        </w:rPr>
        <w:tab/>
      </w:r>
      <w:r>
        <w:rPr>
          <w:rFonts w:cs="Arial"/>
        </w:rPr>
        <w:tab/>
      </w:r>
      <w:r>
        <w:rPr>
          <w:rFonts w:cs="Arial"/>
        </w:rPr>
        <w:tab/>
      </w:r>
      <w:r>
        <w:rPr>
          <w:rFonts w:cs="Arial"/>
        </w:rPr>
        <w:tab/>
      </w:r>
      <w:r w:rsidR="00765980">
        <w:rPr>
          <w:rFonts w:cs="Arial"/>
        </w:rPr>
        <w:t>$0.0005067</w:t>
      </w:r>
      <w:r w:rsidR="00765980">
        <w:rPr>
          <w:rFonts w:cs="Arial"/>
        </w:rPr>
        <w:tab/>
      </w:r>
      <w:r w:rsidR="00C77EE2" w:rsidRPr="00C77EE2">
        <w:rPr>
          <w:rFonts w:cs="Arial"/>
        </w:rPr>
        <w:t>$0.0015535</w:t>
      </w:r>
      <w:r w:rsidR="00C77EE2" w:rsidRPr="00C77EE2">
        <w:rPr>
          <w:rFonts w:cs="Arial"/>
        </w:rPr>
        <w:tab/>
      </w:r>
      <w:r w:rsidR="00C77EE2" w:rsidRPr="00C77EE2">
        <w:rPr>
          <w:rFonts w:cs="Arial"/>
        </w:rPr>
        <w:tab/>
        <w:t>207%</w:t>
      </w:r>
    </w:p>
    <w:p w:rsidR="00203F57" w:rsidRDefault="00C77EE2" w:rsidP="00765980">
      <w:pPr>
        <w:autoSpaceDE w:val="0"/>
        <w:autoSpaceDN w:val="0"/>
        <w:adjustRightInd w:val="0"/>
        <w:spacing w:after="120" w:line="240" w:lineRule="auto"/>
        <w:ind w:firstLine="720"/>
        <w:rPr>
          <w:rFonts w:cs="Arial"/>
        </w:rPr>
      </w:pPr>
      <w:r w:rsidRPr="00C77EE2">
        <w:rPr>
          <w:rFonts w:cs="Arial"/>
        </w:rPr>
        <w:t>Sub-transm</w:t>
      </w:r>
      <w:r w:rsidR="00765980">
        <w:rPr>
          <w:rFonts w:cs="Arial"/>
        </w:rPr>
        <w:t>ission/Transmission</w:t>
      </w:r>
      <w:r w:rsidR="00765980">
        <w:rPr>
          <w:rFonts w:cs="Arial"/>
        </w:rPr>
        <w:tab/>
        <w:t>$0.0004966</w:t>
      </w:r>
      <w:r w:rsidR="00765980">
        <w:rPr>
          <w:rFonts w:cs="Arial"/>
        </w:rPr>
        <w:tab/>
      </w:r>
      <w:r w:rsidRPr="00C77EE2">
        <w:rPr>
          <w:rFonts w:cs="Arial"/>
        </w:rPr>
        <w:t>$0.0015226</w:t>
      </w:r>
      <w:r w:rsidRPr="00C77EE2">
        <w:rPr>
          <w:rFonts w:cs="Arial"/>
        </w:rPr>
        <w:tab/>
      </w:r>
      <w:r w:rsidRPr="00C77EE2">
        <w:rPr>
          <w:rFonts w:cs="Arial"/>
        </w:rPr>
        <w:tab/>
        <w:t>207%</w:t>
      </w:r>
    </w:p>
    <w:p w:rsidR="00203F57" w:rsidRDefault="00C77EE2" w:rsidP="00765980">
      <w:pPr>
        <w:autoSpaceDE w:val="0"/>
        <w:autoSpaceDN w:val="0"/>
        <w:adjustRightInd w:val="0"/>
        <w:spacing w:line="240" w:lineRule="auto"/>
        <w:ind w:firstLine="720"/>
        <w:rPr>
          <w:rFonts w:cs="Arial"/>
        </w:rPr>
      </w:pPr>
      <w:r w:rsidRPr="00C77EE2">
        <w:rPr>
          <w:rFonts w:cs="Arial"/>
          <w:b/>
        </w:rPr>
        <w:t>Ohio Power AER</w:t>
      </w:r>
    </w:p>
    <w:p w:rsidR="00203F57" w:rsidRDefault="00765980" w:rsidP="00765980">
      <w:pPr>
        <w:autoSpaceDE w:val="0"/>
        <w:autoSpaceDN w:val="0"/>
        <w:adjustRightInd w:val="0"/>
        <w:spacing w:line="240" w:lineRule="auto"/>
        <w:ind w:firstLine="720"/>
        <w:rPr>
          <w:rFonts w:cs="Arial"/>
        </w:rPr>
      </w:pPr>
      <w:r>
        <w:rPr>
          <w:rFonts w:cs="Arial"/>
        </w:rPr>
        <w:t>Secondary</w:t>
      </w:r>
      <w:r>
        <w:rPr>
          <w:rFonts w:cs="Arial"/>
        </w:rPr>
        <w:tab/>
      </w:r>
      <w:r>
        <w:rPr>
          <w:rFonts w:cs="Arial"/>
        </w:rPr>
        <w:tab/>
      </w:r>
      <w:r>
        <w:rPr>
          <w:rFonts w:cs="Arial"/>
        </w:rPr>
        <w:tab/>
      </w:r>
      <w:r>
        <w:rPr>
          <w:rFonts w:cs="Arial"/>
        </w:rPr>
        <w:tab/>
        <w:t>$0.0001981</w:t>
      </w:r>
      <w:r>
        <w:rPr>
          <w:rFonts w:cs="Arial"/>
        </w:rPr>
        <w:tab/>
      </w:r>
      <w:r w:rsidR="00C77EE2" w:rsidRPr="00C77EE2">
        <w:rPr>
          <w:rFonts w:cs="Arial"/>
        </w:rPr>
        <w:t>$0.0010064</w:t>
      </w:r>
      <w:r w:rsidR="00C77EE2" w:rsidRPr="00C77EE2">
        <w:rPr>
          <w:rFonts w:cs="Arial"/>
        </w:rPr>
        <w:tab/>
      </w:r>
      <w:r w:rsidR="00C77EE2" w:rsidRPr="00C77EE2">
        <w:rPr>
          <w:rFonts w:cs="Arial"/>
        </w:rPr>
        <w:tab/>
        <w:t>408%</w:t>
      </w:r>
    </w:p>
    <w:p w:rsidR="00203F57" w:rsidRDefault="00203F57" w:rsidP="00765980">
      <w:pPr>
        <w:autoSpaceDE w:val="0"/>
        <w:autoSpaceDN w:val="0"/>
        <w:adjustRightInd w:val="0"/>
        <w:spacing w:line="240" w:lineRule="auto"/>
        <w:ind w:firstLine="720"/>
        <w:rPr>
          <w:rFonts w:cs="Arial"/>
        </w:rPr>
      </w:pPr>
      <w:r>
        <w:rPr>
          <w:rFonts w:cs="Arial"/>
        </w:rPr>
        <w:t>Primary</w:t>
      </w:r>
      <w:r>
        <w:rPr>
          <w:rFonts w:cs="Arial"/>
        </w:rPr>
        <w:tab/>
      </w:r>
      <w:r>
        <w:rPr>
          <w:rFonts w:cs="Arial"/>
        </w:rPr>
        <w:tab/>
      </w:r>
      <w:r>
        <w:rPr>
          <w:rFonts w:cs="Arial"/>
        </w:rPr>
        <w:tab/>
      </w:r>
      <w:r>
        <w:rPr>
          <w:rFonts w:cs="Arial"/>
        </w:rPr>
        <w:tab/>
      </w:r>
      <w:r w:rsidR="00765980">
        <w:rPr>
          <w:rFonts w:cs="Arial"/>
        </w:rPr>
        <w:t>$0.0001913</w:t>
      </w:r>
      <w:r w:rsidR="00765980">
        <w:rPr>
          <w:rFonts w:cs="Arial"/>
        </w:rPr>
        <w:tab/>
      </w:r>
      <w:r w:rsidR="00C77EE2" w:rsidRPr="00C77EE2">
        <w:rPr>
          <w:rFonts w:cs="Arial"/>
        </w:rPr>
        <w:t>$0.0009716</w:t>
      </w:r>
      <w:r w:rsidR="00C77EE2" w:rsidRPr="00C77EE2">
        <w:rPr>
          <w:rFonts w:cs="Arial"/>
        </w:rPr>
        <w:tab/>
      </w:r>
      <w:r w:rsidR="00C77EE2" w:rsidRPr="00C77EE2">
        <w:rPr>
          <w:rFonts w:cs="Arial"/>
        </w:rPr>
        <w:tab/>
        <w:t>408%</w:t>
      </w:r>
    </w:p>
    <w:p w:rsidR="00C77EE2" w:rsidRPr="00203F57" w:rsidRDefault="00C77EE2" w:rsidP="00765980">
      <w:pPr>
        <w:autoSpaceDE w:val="0"/>
        <w:autoSpaceDN w:val="0"/>
        <w:adjustRightInd w:val="0"/>
        <w:spacing w:after="240" w:line="240" w:lineRule="auto"/>
        <w:ind w:firstLine="720"/>
        <w:rPr>
          <w:rFonts w:cs="Arial"/>
        </w:rPr>
      </w:pPr>
      <w:r w:rsidRPr="00116B3A">
        <w:rPr>
          <w:rFonts w:cs="Arial"/>
        </w:rPr>
        <w:t>Sub-transm</w:t>
      </w:r>
      <w:r w:rsidR="00765980">
        <w:rPr>
          <w:rFonts w:cs="Arial"/>
        </w:rPr>
        <w:t>ission/Transmission</w:t>
      </w:r>
      <w:r w:rsidR="00765980">
        <w:rPr>
          <w:rFonts w:cs="Arial"/>
        </w:rPr>
        <w:tab/>
        <w:t>$0.0001875</w:t>
      </w:r>
      <w:r w:rsidR="00765980">
        <w:rPr>
          <w:rFonts w:cs="Arial"/>
        </w:rPr>
        <w:tab/>
      </w:r>
      <w:r w:rsidRPr="00116B3A">
        <w:rPr>
          <w:rFonts w:cs="Arial"/>
        </w:rPr>
        <w:t>$0.0009523</w:t>
      </w:r>
      <w:r w:rsidRPr="00116B3A">
        <w:rPr>
          <w:rFonts w:cs="Arial"/>
        </w:rPr>
        <w:tab/>
      </w:r>
      <w:r w:rsidRPr="00116B3A">
        <w:rPr>
          <w:rFonts w:cs="Arial"/>
        </w:rPr>
        <w:tab/>
        <w:t>408%</w:t>
      </w:r>
    </w:p>
    <w:p w:rsidR="00556D65" w:rsidRDefault="00556D65" w:rsidP="00DA0BB4">
      <w:pPr>
        <w:autoSpaceDE w:val="0"/>
        <w:autoSpaceDN w:val="0"/>
        <w:adjustRightInd w:val="0"/>
        <w:ind w:firstLine="720"/>
      </w:pPr>
      <w:r w:rsidRPr="00556D65">
        <w:t xml:space="preserve">While Ormet has offered evidence that </w:t>
      </w:r>
      <w:r w:rsidR="00337611">
        <w:t xml:space="preserve">a closure of the remaining potlines would adversely affect </w:t>
      </w:r>
      <w:r w:rsidRPr="00556D65">
        <w:t>the communities surrounding Ormet’s plant,</w:t>
      </w:r>
      <w:r w:rsidRPr="00556D65">
        <w:rPr>
          <w:vertAlign w:val="superscript"/>
        </w:rPr>
        <w:footnoteReference w:id="45"/>
      </w:r>
      <w:r w:rsidRPr="00556D65">
        <w:t xml:space="preserve"> it failed to address the additional impacts that increased rates would have on </w:t>
      </w:r>
      <w:r w:rsidR="001D3665">
        <w:t xml:space="preserve">customers located </w:t>
      </w:r>
      <w:r w:rsidR="00765980">
        <w:t xml:space="preserve">in </w:t>
      </w:r>
      <w:r w:rsidRPr="00556D65">
        <w:t>AEP-Ohio</w:t>
      </w:r>
      <w:r w:rsidR="001D3665">
        <w:t>’s distribution service area</w:t>
      </w:r>
      <w:r w:rsidRPr="00556D65">
        <w:t>.  This limitation on Ormet’s analysis is one which Ormet’s economic expert</w:t>
      </w:r>
      <w:r w:rsidR="00CC7FC8">
        <w:t>, Dr. Paul Coomes,</w:t>
      </w:r>
      <w:r w:rsidRPr="00556D65">
        <w:t xml:space="preserve"> was aware because the same issue was raised with a similar study he prepared to support Ormet’s application for the 2009 Reasonable Arrangement.  In the prior hearing, </w:t>
      </w:r>
      <w:r w:rsidR="00CC7FC8">
        <w:t>Dr. Coomes</w:t>
      </w:r>
      <w:r w:rsidRPr="00556D65">
        <w:t xml:space="preserve"> acknowledged that there would be adverse consequences to other ratepayers, but had not measured them.  In the recent hearing, he again acknowledged that rate increases would likely have adverse impact</w:t>
      </w:r>
      <w:r w:rsidR="001D3665">
        <w:t>s</w:t>
      </w:r>
      <w:r w:rsidR="00337611" w:rsidRPr="00556D65">
        <w:t>, but</w:t>
      </w:r>
      <w:r w:rsidRPr="00556D65">
        <w:t xml:space="preserve"> once again failed to address them.</w:t>
      </w:r>
      <w:r w:rsidRPr="00556D65">
        <w:rPr>
          <w:vertAlign w:val="superscript"/>
        </w:rPr>
        <w:footnoteReference w:id="46"/>
      </w:r>
    </w:p>
    <w:p w:rsidR="00556D65" w:rsidRDefault="00556D65" w:rsidP="005A3965">
      <w:pPr>
        <w:autoSpaceDE w:val="0"/>
        <w:autoSpaceDN w:val="0"/>
        <w:adjustRightInd w:val="0"/>
        <w:ind w:firstLine="720"/>
      </w:pPr>
      <w:r w:rsidRPr="00556D65">
        <w:t xml:space="preserve">The Commission cannot ignore the adverse consequences of further increasing other customers’ rates beyond the already significant and detrimental increases resulting from the </w:t>
      </w:r>
      <w:r w:rsidR="00765980" w:rsidRPr="00E27F35">
        <w:rPr>
          <w:i/>
        </w:rPr>
        <w:t>AEP-</w:t>
      </w:r>
      <w:r w:rsidR="00765980">
        <w:rPr>
          <w:i/>
        </w:rPr>
        <w:t xml:space="preserve">Ohio </w:t>
      </w:r>
      <w:r w:rsidRPr="00E27F35">
        <w:rPr>
          <w:i/>
        </w:rPr>
        <w:t>ESP II</w:t>
      </w:r>
      <w:r w:rsidRPr="00556D65">
        <w:t xml:space="preserve"> Order.</w:t>
      </w:r>
      <w:r>
        <w:t xml:space="preserve">  As the Commission recognized </w:t>
      </w:r>
      <w:r w:rsidR="00337611">
        <w:t>when it approved the 2009 Reasonable Arrangement</w:t>
      </w:r>
      <w:r>
        <w:t>, “the ability of ratepayers to fund the recovery of delta revenues is not unlimited.”</w:t>
      </w:r>
      <w:r>
        <w:rPr>
          <w:rStyle w:val="FootnoteReference"/>
        </w:rPr>
        <w:footnoteReference w:id="47"/>
      </w:r>
      <w:r w:rsidR="00B17E4B">
        <w:t xml:space="preserve">  The concerns that drove the cap in 2009 are no less relevant in light of increased rates c</w:t>
      </w:r>
      <w:r w:rsidR="00337611">
        <w:t>ustomers are paying currently.</w:t>
      </w:r>
    </w:p>
    <w:p w:rsidR="007974D8" w:rsidRPr="00321E6D" w:rsidRDefault="007974D8" w:rsidP="007974D8">
      <w:pPr>
        <w:pStyle w:val="Heading1"/>
        <w:rPr>
          <w:u w:val="none"/>
        </w:rPr>
      </w:pPr>
      <w:bookmarkStart w:id="37" w:name="_Toc366226441"/>
      <w:bookmarkStart w:id="38" w:name="_Toc366227528"/>
      <w:bookmarkStart w:id="39" w:name="_Toc366478737"/>
      <w:r w:rsidRPr="00321E6D">
        <w:rPr>
          <w:u w:val="none"/>
        </w:rPr>
        <w:t>The Commission should seek to reduce or eliminate reliance on ratepayer support by leveraging available market-based alternatives</w:t>
      </w:r>
      <w:bookmarkEnd w:id="37"/>
      <w:bookmarkEnd w:id="38"/>
      <w:bookmarkEnd w:id="39"/>
    </w:p>
    <w:p w:rsidR="00337611" w:rsidRDefault="007974D8" w:rsidP="00DB0F68">
      <w:pPr>
        <w:pStyle w:val="ListParagraph"/>
        <w:spacing w:after="0" w:line="480" w:lineRule="auto"/>
        <w:ind w:left="0" w:firstLine="720"/>
      </w:pPr>
      <w:r w:rsidRPr="00647247">
        <w:t xml:space="preserve">The Commission’s decisions in favor of much higher and much more non-bypassable AEP-Ohio electric prices have added to Ormet’s </w:t>
      </w:r>
      <w:r>
        <w:t>already considerable challenges.</w:t>
      </w:r>
      <w:r w:rsidRPr="00647247">
        <w:t xml:space="preserve"> </w:t>
      </w:r>
      <w:r>
        <w:t xml:space="preserve"> </w:t>
      </w:r>
      <w:r w:rsidRPr="00647247">
        <w:t>The market-based approach enabled and favored by Ohio law could have and should have made things much better for Ormet and all other AEP-Ohio customers.  In many respects, Ormet’s Motion is the consequence of AEP-Ohio</w:t>
      </w:r>
      <w:r w:rsidR="00B81344">
        <w:t>’s successful efforts</w:t>
      </w:r>
      <w:r w:rsidRPr="00647247">
        <w:t xml:space="preserve"> to secure above-market </w:t>
      </w:r>
      <w:r w:rsidR="00CC7FC8">
        <w:t>retail generation rates</w:t>
      </w:r>
      <w:r w:rsidRPr="00647247">
        <w:t xml:space="preserve"> from its competitive generation business even though Ohio law requires AEP-Ohio’s competitive generation business to be fully on its own in the competitive market.</w:t>
      </w:r>
      <w:r w:rsidRPr="00647247">
        <w:rPr>
          <w:vertAlign w:val="superscript"/>
        </w:rPr>
        <w:footnoteReference w:id="48"/>
      </w:r>
      <w:r w:rsidR="00B81344">
        <w:t xml:space="preserve">  As Ormet has shown, competitive generation prices are lower than the </w:t>
      </w:r>
      <w:r w:rsidR="00CC7FC8">
        <w:t>generation supply prices</w:t>
      </w:r>
      <w:r w:rsidR="00B81344">
        <w:t xml:space="preserve"> it pays AEP-Ohio.</w:t>
      </w:r>
      <w:r w:rsidR="00B81344">
        <w:rPr>
          <w:rStyle w:val="FootnoteReference"/>
        </w:rPr>
        <w:footnoteReference w:id="49"/>
      </w:r>
      <w:r w:rsidR="00B81344">
        <w:t xml:space="preserve">  Thus, </w:t>
      </w:r>
      <w:r w:rsidR="00337611">
        <w:t xml:space="preserve">it is understandable that </w:t>
      </w:r>
      <w:r w:rsidR="00B81344">
        <w:t xml:space="preserve">Ormet seeks to go to market to begin solving </w:t>
      </w:r>
      <w:r w:rsidR="008035CA">
        <w:t>its current financial problems.</w:t>
      </w:r>
      <w:r w:rsidR="00337611">
        <w:rPr>
          <w:rStyle w:val="FootnoteReference"/>
        </w:rPr>
        <w:footnoteReference w:id="50"/>
      </w:r>
    </w:p>
    <w:p w:rsidR="008035CA" w:rsidRDefault="008035CA" w:rsidP="00B42443">
      <w:pPr>
        <w:ind w:firstLine="720"/>
      </w:pPr>
      <w:r>
        <w:t>Despite AEP-Ohio’s assertion to the contrary,</w:t>
      </w:r>
      <w:r>
        <w:rPr>
          <w:rStyle w:val="FootnoteReference"/>
        </w:rPr>
        <w:footnoteReference w:id="51"/>
      </w:r>
      <w:r>
        <w:t xml:space="preserve"> Ormet is not prohibited from shopping.  The</w:t>
      </w:r>
      <w:r w:rsidR="00FA6EA3">
        <w:t xml:space="preserve">re is no provision in the </w:t>
      </w:r>
      <w:r>
        <w:t xml:space="preserve">2009 Reasonable Arrangement </w:t>
      </w:r>
      <w:r w:rsidR="00FA6EA3">
        <w:t>that</w:t>
      </w:r>
      <w:r>
        <w:t xml:space="preserve"> bar</w:t>
      </w:r>
      <w:r w:rsidR="00FA6EA3">
        <w:t>s</w:t>
      </w:r>
      <w:r>
        <w:t xml:space="preserve"> Ormet from shopping.</w:t>
      </w:r>
      <w:r w:rsidR="006C0A1E">
        <w:rPr>
          <w:rStyle w:val="FootnoteReference"/>
        </w:rPr>
        <w:footnoteReference w:id="52"/>
      </w:r>
      <w:r w:rsidR="006C0A1E">
        <w:t xml:space="preserve">  In its review of the 2009 Reasonable </w:t>
      </w:r>
      <w:r w:rsidR="00116B3A">
        <w:t>Arrangement</w:t>
      </w:r>
      <w:r w:rsidR="006C0A1E">
        <w:t xml:space="preserve">, the Commission on rehearing concluded “that the relevant period when Ormet cannot shop is the duration of AEP-Ohio’s current approved electric security plan.  It is not necessary to reach the question of whether Ormet can shop beyond the duration of the current ESP because no determination has been made whether future standard services offers will include a comparable POLR </w:t>
      </w:r>
      <w:r w:rsidR="008A32DE">
        <w:t xml:space="preserve">[Provider of Last Resort ] </w:t>
      </w:r>
      <w:r w:rsidR="006C0A1E">
        <w:t>charge.</w:t>
      </w:r>
      <w:r w:rsidR="00BE0178">
        <w:t>”</w:t>
      </w:r>
      <w:r w:rsidR="00BE0178">
        <w:rPr>
          <w:rStyle w:val="FootnoteReference"/>
        </w:rPr>
        <w:footnoteReference w:id="53"/>
      </w:r>
      <w:r w:rsidR="00BE0178">
        <w:t xml:space="preserve">  Since the Commission issued this Order, the Commission has found that there was no legal basis for the POLR</w:t>
      </w:r>
      <w:r w:rsidR="008A32DE">
        <w:t xml:space="preserve"> </w:t>
      </w:r>
      <w:r w:rsidR="00BE0178">
        <w:t>charge approved in the first AEP</w:t>
      </w:r>
      <w:r w:rsidR="00765980">
        <w:t>-Ohio</w:t>
      </w:r>
      <w:r w:rsidR="00BE0178">
        <w:t xml:space="preserve"> ESP proceeding.</w:t>
      </w:r>
      <w:r w:rsidR="00BE0178">
        <w:rPr>
          <w:rStyle w:val="FootnoteReference"/>
        </w:rPr>
        <w:footnoteReference w:id="54"/>
      </w:r>
      <w:r w:rsidR="00BE0178">
        <w:t xml:space="preserve">  Based on </w:t>
      </w:r>
      <w:r w:rsidR="00116B3A">
        <w:t xml:space="preserve">the terms of the 2009 Reasonable Arrangement and </w:t>
      </w:r>
      <w:r w:rsidR="00BE0178">
        <w:t xml:space="preserve">the Commission’s </w:t>
      </w:r>
      <w:r w:rsidR="00116B3A">
        <w:t>2009 orders approving it</w:t>
      </w:r>
      <w:r w:rsidR="00BE0178">
        <w:t xml:space="preserve">, </w:t>
      </w:r>
      <w:r w:rsidR="008A32DE">
        <w:t xml:space="preserve">therefore, </w:t>
      </w:r>
      <w:r w:rsidR="00BE0178">
        <w:t>Ormet may shop</w:t>
      </w:r>
      <w:r w:rsidR="00116B3A">
        <w:t xml:space="preserve"> now</w:t>
      </w:r>
      <w:r w:rsidR="00BE0178">
        <w:t>.</w:t>
      </w:r>
      <w:r w:rsidR="002D224E">
        <w:rPr>
          <w:rStyle w:val="FootnoteReference"/>
        </w:rPr>
        <w:footnoteReference w:id="55"/>
      </w:r>
    </w:p>
    <w:p w:rsidR="008035CA" w:rsidRDefault="008035CA" w:rsidP="00B42443">
      <w:pPr>
        <w:ind w:firstLine="720"/>
      </w:pPr>
      <w:r>
        <w:t xml:space="preserve">Even if the 2009 Reasonable Arrangement implicitly requires Ormet to take its generation service from AEP-Ohio, </w:t>
      </w:r>
      <w:r w:rsidR="008D0D9F">
        <w:t xml:space="preserve">the Commission can modify </w:t>
      </w:r>
      <w:r>
        <w:t xml:space="preserve">that requirement </w:t>
      </w:r>
      <w:r w:rsidR="005F24BF">
        <w:t xml:space="preserve">because </w:t>
      </w:r>
      <w:r w:rsidR="008D0D9F">
        <w:t>it</w:t>
      </w:r>
      <w:r>
        <w:t xml:space="preserve"> retains jurisdiction over the reasonable arrangement.</w:t>
      </w:r>
      <w:r w:rsidR="005F24BF">
        <w:rPr>
          <w:rStyle w:val="FootnoteReference"/>
        </w:rPr>
        <w:footnoteReference w:id="56"/>
      </w:r>
      <w:r>
        <w:t xml:space="preserve">  Thus, the Commission could alter the 2009 Reasonable Arrangement to permit Ormet to shop if the Commission finds that the modification to permit </w:t>
      </w:r>
      <w:r w:rsidR="005B1927">
        <w:t>shopping</w:t>
      </w:r>
      <w:r>
        <w:t xml:space="preserve"> is lawful, reasonable, and in the public interest.</w:t>
      </w:r>
    </w:p>
    <w:p w:rsidR="007974D8" w:rsidRDefault="007974D8" w:rsidP="005A3965">
      <w:pPr>
        <w:pStyle w:val="ListParagraph"/>
        <w:spacing w:after="0" w:line="480" w:lineRule="auto"/>
        <w:ind w:left="0" w:firstLine="720"/>
      </w:pPr>
      <w:r>
        <w:t xml:space="preserve">If, as suggested in Ormet’s Motion, it is possible to reduce Ormet’s electric bill by recourse to the electric </w:t>
      </w:r>
      <w:r w:rsidR="005B1927">
        <w:t xml:space="preserve">generation </w:t>
      </w:r>
      <w:r>
        <w:t>market, the Commission is obligated to proactively facilitate reliance on the market-based approach.</w:t>
      </w:r>
      <w:r w:rsidR="00CC7FC8">
        <w:rPr>
          <w:rStyle w:val="FootnoteReference"/>
        </w:rPr>
        <w:footnoteReference w:id="57"/>
      </w:r>
      <w:r>
        <w:t xml:space="preserve">  Therefore, IEU-Ohio urges the Commission to favor modifications </w:t>
      </w:r>
      <w:r w:rsidR="005F24BF">
        <w:t xml:space="preserve">(if they are necessary) </w:t>
      </w:r>
      <w:r>
        <w:t>that permit Ormet to access the competitive market in ways that may be beneficial to Ormet while reducing the potenti</w:t>
      </w:r>
      <w:r w:rsidR="005B1927">
        <w:t xml:space="preserve">al for </w:t>
      </w:r>
      <w:r w:rsidR="00FA6EA3">
        <w:t>Negative Delta Revenue</w:t>
      </w:r>
      <w:r>
        <w:t>.</w:t>
      </w:r>
    </w:p>
    <w:p w:rsidR="00321E6D" w:rsidRDefault="00321E6D" w:rsidP="00321E6D">
      <w:pPr>
        <w:pStyle w:val="Heading1"/>
        <w:numPr>
          <w:ilvl w:val="0"/>
          <w:numId w:val="0"/>
        </w:numPr>
        <w:ind w:left="720"/>
        <w:rPr>
          <w:u w:val="none"/>
        </w:rPr>
      </w:pPr>
      <w:bookmarkStart w:id="40" w:name="_Toc366226442"/>
    </w:p>
    <w:p w:rsidR="00DA676E" w:rsidRPr="00321E6D" w:rsidRDefault="00DA676E" w:rsidP="005A3965">
      <w:pPr>
        <w:pStyle w:val="Heading1"/>
        <w:rPr>
          <w:u w:val="none"/>
        </w:rPr>
      </w:pPr>
      <w:bookmarkStart w:id="41" w:name="_Toc366227529"/>
      <w:bookmarkStart w:id="42" w:name="_Toc366478738"/>
      <w:r w:rsidRPr="00321E6D">
        <w:rPr>
          <w:u w:val="none"/>
        </w:rPr>
        <w:t xml:space="preserve">Ormet has not satisfied the Commission’s demand </w:t>
      </w:r>
      <w:r w:rsidR="00857D78" w:rsidRPr="00321E6D">
        <w:rPr>
          <w:u w:val="none"/>
        </w:rPr>
        <w:t>that ormet</w:t>
      </w:r>
      <w:r w:rsidRPr="00321E6D">
        <w:rPr>
          <w:u w:val="none"/>
        </w:rPr>
        <w:t xml:space="preserve"> provide a viable business plan </w:t>
      </w:r>
      <w:r w:rsidR="00857D78" w:rsidRPr="00321E6D">
        <w:rPr>
          <w:u w:val="none"/>
        </w:rPr>
        <w:t>before the Commission will order</w:t>
      </w:r>
      <w:r w:rsidRPr="00321E6D">
        <w:rPr>
          <w:u w:val="none"/>
        </w:rPr>
        <w:t xml:space="preserve"> further modifications exposing other </w:t>
      </w:r>
      <w:r w:rsidR="00B2281F">
        <w:rPr>
          <w:u w:val="none"/>
        </w:rPr>
        <w:t>customers</w:t>
      </w:r>
      <w:r w:rsidR="000F4514" w:rsidRPr="00321E6D">
        <w:rPr>
          <w:u w:val="none"/>
        </w:rPr>
        <w:t xml:space="preserve"> </w:t>
      </w:r>
      <w:r w:rsidRPr="00321E6D">
        <w:rPr>
          <w:u w:val="none"/>
        </w:rPr>
        <w:t xml:space="preserve">to increased </w:t>
      </w:r>
      <w:r w:rsidR="00FA6EA3" w:rsidRPr="00321E6D">
        <w:rPr>
          <w:u w:val="none"/>
        </w:rPr>
        <w:t>Negative Delta Revenue</w:t>
      </w:r>
      <w:r w:rsidRPr="00321E6D">
        <w:rPr>
          <w:u w:val="none"/>
        </w:rPr>
        <w:t xml:space="preserve"> responsibility</w:t>
      </w:r>
      <w:bookmarkEnd w:id="40"/>
      <w:bookmarkEnd w:id="41"/>
      <w:bookmarkEnd w:id="42"/>
    </w:p>
    <w:p w:rsidR="00DA676E" w:rsidRDefault="00AB0821" w:rsidP="00B42443">
      <w:pPr>
        <w:ind w:firstLine="720"/>
      </w:pPr>
      <w:r>
        <w:t xml:space="preserve">The Commission has repeatedly warned Ormet that relief </w:t>
      </w:r>
      <w:r w:rsidR="005F24BF">
        <w:t xml:space="preserve">that relies on </w:t>
      </w:r>
      <w:r w:rsidR="000F4514">
        <w:t xml:space="preserve">funding from </w:t>
      </w:r>
      <w:r w:rsidR="005F24BF">
        <w:t xml:space="preserve">other ratepayers </w:t>
      </w:r>
      <w:r>
        <w:t xml:space="preserve">is </w:t>
      </w:r>
      <w:r w:rsidR="00B81344">
        <w:t xml:space="preserve">contingent on Ormet’s </w:t>
      </w:r>
      <w:r w:rsidR="000F4514">
        <w:t xml:space="preserve">demonstration of </w:t>
      </w:r>
      <w:r w:rsidR="00B81344">
        <w:t>financial viability</w:t>
      </w:r>
      <w:r>
        <w:t xml:space="preserve">.  </w:t>
      </w:r>
      <w:r w:rsidR="00B81344">
        <w:t>When the Commission approved the 2009 Reasonable Arrangement</w:t>
      </w:r>
      <w:r>
        <w:t xml:space="preserve">, the Commission added a provision that permitted the Commission to modify or terminate the arrangement if Ormet did not begin to reduce the amount of </w:t>
      </w:r>
      <w:r w:rsidR="002D224E">
        <w:t>Negative Delta Revenue</w:t>
      </w:r>
      <w:r>
        <w:t xml:space="preserve"> through the payment of above-tariff rates by April 1, 2012.</w:t>
      </w:r>
      <w:r>
        <w:rPr>
          <w:rStyle w:val="FootnoteReference"/>
        </w:rPr>
        <w:footnoteReference w:id="58"/>
      </w:r>
      <w:r>
        <w:t xml:space="preserve">  </w:t>
      </w:r>
      <w:r w:rsidR="007533CC">
        <w:t xml:space="preserve">When the Commission granted </w:t>
      </w:r>
      <w:r>
        <w:t xml:space="preserve">Ormet’s request to defer </w:t>
      </w:r>
      <w:r w:rsidR="00774C09">
        <w:t>payment of</w:t>
      </w:r>
      <w:r>
        <w:t xml:space="preserve"> its electric bills in 2012, </w:t>
      </w:r>
      <w:r w:rsidR="007533CC">
        <w:t xml:space="preserve">it also </w:t>
      </w:r>
      <w:r w:rsidR="00E322AA">
        <w:t>warned</w:t>
      </w:r>
      <w:r w:rsidR="007533CC">
        <w:t xml:space="preserve"> Ormet th</w:t>
      </w:r>
      <w:r w:rsidR="00E322AA">
        <w:t xml:space="preserve">at </w:t>
      </w:r>
      <w:r w:rsidR="007533CC">
        <w:t xml:space="preserve">any further </w:t>
      </w:r>
      <w:r w:rsidR="00E322AA">
        <w:t xml:space="preserve">relief it requested </w:t>
      </w:r>
      <w:r w:rsidR="002E31A7">
        <w:t>should</w:t>
      </w:r>
      <w:r w:rsidR="00E322AA">
        <w:t xml:space="preserve"> be accompanied by a detailed business plan confirming its long-term ability to exist without ratepayer support.</w:t>
      </w:r>
      <w:r w:rsidR="00DA676E">
        <w:rPr>
          <w:rStyle w:val="FootnoteReference"/>
        </w:rPr>
        <w:footnoteReference w:id="59"/>
      </w:r>
      <w:r w:rsidR="00DA676E" w:rsidRPr="00DA676E">
        <w:t xml:space="preserve">  </w:t>
      </w:r>
      <w:r>
        <w:t xml:space="preserve">Through this </w:t>
      </w:r>
      <w:r w:rsidR="00814070">
        <w:t>Motion</w:t>
      </w:r>
      <w:r>
        <w:t>, Ormet has sought several material modifications of the 2009 Reasonable Arrangement</w:t>
      </w:r>
      <w:r w:rsidR="005F24BF">
        <w:t xml:space="preserve"> that may require additional support from other </w:t>
      </w:r>
      <w:r w:rsidR="000F4514">
        <w:t xml:space="preserve">customers </w:t>
      </w:r>
      <w:r w:rsidR="005F24BF">
        <w:t>(</w:t>
      </w:r>
      <w:r w:rsidR="00FA6EA3">
        <w:t>particularly</w:t>
      </w:r>
      <w:r w:rsidR="005F24BF">
        <w:t xml:space="preserve"> if the Commission accepts AEP-Ohio’s </w:t>
      </w:r>
      <w:r w:rsidR="000F4514">
        <w:t>posi</w:t>
      </w:r>
      <w:r w:rsidR="007B5E82">
        <w:t>t</w:t>
      </w:r>
      <w:r w:rsidR="000F4514">
        <w:t xml:space="preserve">ion that </w:t>
      </w:r>
      <w:r w:rsidR="005F24BF">
        <w:t xml:space="preserve">$99 million of </w:t>
      </w:r>
      <w:r w:rsidR="007B5E82">
        <w:t xml:space="preserve">Ormet’s </w:t>
      </w:r>
      <w:r w:rsidR="000F4514">
        <w:t xml:space="preserve">proposed </w:t>
      </w:r>
      <w:r w:rsidR="005F24BF">
        <w:t>$1</w:t>
      </w:r>
      <w:r w:rsidR="00FA6EA3">
        <w:t>1</w:t>
      </w:r>
      <w:r w:rsidR="005F24BF">
        <w:t xml:space="preserve">7 million </w:t>
      </w:r>
      <w:r w:rsidR="007B5E82">
        <w:t>benefit addition to the 2009 Reasonable Arrangement must be picked up by other AEP-Ohio customers</w:t>
      </w:r>
      <w:r w:rsidR="005F24BF">
        <w:t xml:space="preserve">).  </w:t>
      </w:r>
      <w:r w:rsidR="00E322AA">
        <w:t>Ormet</w:t>
      </w:r>
      <w:r w:rsidR="002E31A7">
        <w:t>, however,</w:t>
      </w:r>
      <w:r w:rsidR="00E322AA">
        <w:t xml:space="preserve"> has failed to provide the Commission with the detailed business plan the Commission demanded</w:t>
      </w:r>
      <w:r w:rsidR="00DA676E">
        <w:t>.</w:t>
      </w:r>
    </w:p>
    <w:p w:rsidR="00AE599B" w:rsidRDefault="00B17E4B" w:rsidP="005A3965">
      <w:pPr>
        <w:ind w:firstLine="720"/>
      </w:pPr>
      <w:r>
        <w:t>While benefiting from the substantial discounts of the</w:t>
      </w:r>
      <w:r w:rsidR="008A561D">
        <w:t xml:space="preserve"> 2009 R</w:t>
      </w:r>
      <w:r w:rsidR="00EC324A">
        <w:t xml:space="preserve">easonable </w:t>
      </w:r>
      <w:r w:rsidR="008A561D">
        <w:t>A</w:t>
      </w:r>
      <w:r w:rsidR="00EC324A">
        <w:t>rrangement</w:t>
      </w:r>
      <w:r w:rsidR="008A561D">
        <w:t xml:space="preserve"> and while under the protection of the bankruptcy court, Ormet </w:t>
      </w:r>
      <w:r>
        <w:t>continues to incur</w:t>
      </w:r>
      <w:r w:rsidR="008A561D">
        <w:t xml:space="preserve"> substantial monthly losses.  </w:t>
      </w:r>
      <w:r w:rsidR="00AB0821">
        <w:t>Since filing for bankruptcy</w:t>
      </w:r>
      <w:r w:rsidR="008A561D">
        <w:t>, Ormet has lost $70.78 million.</w:t>
      </w:r>
      <w:r w:rsidR="008A561D">
        <w:rPr>
          <w:rStyle w:val="FootnoteReference"/>
        </w:rPr>
        <w:footnoteReference w:id="60"/>
      </w:r>
      <w:r w:rsidR="008A561D">
        <w:t xml:space="preserve">  </w:t>
      </w:r>
      <w:r w:rsidR="00467BB7">
        <w:rPr>
          <w:noProof/>
          <w:color w:val="000000"/>
          <w:highlight w:val="black"/>
        </w:rPr>
        <w:t>''''''''''''' ''''''''''''''''''''''''''''  '''''''''''''''' '''''''''''''''' '''''''''' '''''' '''''''''''''''''''''''' ''''' '''''''''''''''''''''  '''''''''''''''' '''''''''''''''''''' ''''''''''''''''''''''''''''' ''''''''''''''''''''''' '''''' ''''''''''''''''''''' ''''''''''''' ''''''''''''''' '''''''' ''''''''''''''''''''' ''''' '''''''''' '''''''''''''''''' ''''''''''''''' ''''''''''''''''''  ''''''''' '''''''''''''''''''''''''''' ''''''''''' '''''''''''''' ''''''''''''''''''''''''' ''''''''''''''' '''' ''''''''''''''''''''''' ''''''' ''''''''''''''''''''' ''''''''''' '''''''''''''''''''' '''''' '''''''' '''''''''''''''''''''' '''' ''''''''''''''''' '''''''''''''' ''''''''' ''' '''''''''''''''''''''''' '''''''''''''''''''' ''''' '''''''' '''''''''''' ''''' ''''''''''''''''''''''''  ''''''''''''''' '''''''''''''' ''''''''''''''''' '''' '''''''' ''''''''''''''''''''''' ''''''''''''''''''' ''''''''''' ''''''''''''''''' '''''''''''''' ''''''''''' '''''''' ''''''''''''''''''''''''' '''''''''''''''' '''''' '''''''''''''''''' '''''' '''''''''''''''''' '''''''''''''''''''  '''''''''' ''''''''''''''''''''''''''''''</w:t>
      </w:r>
      <w:r w:rsidR="000F1289">
        <w:t xml:space="preserve">  </w:t>
      </w:r>
      <w:r w:rsidR="00DC211D">
        <w:t xml:space="preserve">Additionally, </w:t>
      </w:r>
      <w:r w:rsidR="007B5E82">
        <w:t xml:space="preserve">the information presented by </w:t>
      </w:r>
      <w:r w:rsidR="00DC211D">
        <w:t xml:space="preserve">Ormet </w:t>
      </w:r>
      <w:r w:rsidR="007B5E82">
        <w:t xml:space="preserve">assumes </w:t>
      </w:r>
      <w:r w:rsidR="00DC211D">
        <w:t xml:space="preserve">four operational potlines and shopping for power beginning in January 2014.  </w:t>
      </w:r>
      <w:r w:rsidR="007B5E82">
        <w:t xml:space="preserve">In reality, </w:t>
      </w:r>
      <w:r w:rsidR="00DC211D">
        <w:t xml:space="preserve">Ormet has closed two of the remaining four </w:t>
      </w:r>
      <w:r w:rsidR="007B5E82">
        <w:t>pot</w:t>
      </w:r>
      <w:r w:rsidR="00DC211D">
        <w:t xml:space="preserve">lines and has no plan </w:t>
      </w:r>
      <w:r w:rsidR="00E27F35">
        <w:t>to</w:t>
      </w:r>
      <w:r w:rsidR="007B5E82">
        <w:t xml:space="preserve"> </w:t>
      </w:r>
      <w:r w:rsidR="00DC211D">
        <w:t>restart those lines.</w:t>
      </w:r>
      <w:r w:rsidR="00DC211D">
        <w:rPr>
          <w:rStyle w:val="FootnoteReference"/>
        </w:rPr>
        <w:footnoteReference w:id="61"/>
      </w:r>
      <w:r w:rsidR="00DC211D">
        <w:t xml:space="preserve">  Further, it has not contracted with a </w:t>
      </w:r>
      <w:r w:rsidR="007B5E82">
        <w:t xml:space="preserve">CRES </w:t>
      </w:r>
      <w:r w:rsidR="00DC211D">
        <w:t xml:space="preserve">provider </w:t>
      </w:r>
      <w:r w:rsidR="007B5E82">
        <w:t>to obtain generation supply</w:t>
      </w:r>
      <w:r w:rsidR="00DC211D">
        <w:t>.</w:t>
      </w:r>
      <w:r w:rsidR="00DC211D">
        <w:rPr>
          <w:rStyle w:val="FootnoteReference"/>
        </w:rPr>
        <w:footnoteReference w:id="62"/>
      </w:r>
      <w:r w:rsidR="00DC211D">
        <w:t xml:space="preserve">  </w:t>
      </w:r>
      <w:r w:rsidR="002E31A7">
        <w:t>Thus, it is clear that Ormet’s business plan does not address its currently reality</w:t>
      </w:r>
      <w:r w:rsidR="000F1289">
        <w:t>.</w:t>
      </w:r>
    </w:p>
    <w:p w:rsidR="00B17E4B" w:rsidRDefault="00216E51" w:rsidP="00B42443">
      <w:pPr>
        <w:ind w:firstLine="720"/>
      </w:pPr>
      <w:r>
        <w:t xml:space="preserve">Based on the record in this case, </w:t>
      </w:r>
      <w:r w:rsidR="00774C09">
        <w:t xml:space="preserve">therefore, </w:t>
      </w:r>
      <w:r>
        <w:t>Ormet has not satisfied the Commission’s reasonable requirement that Ormet demonstrate that it has a workable plan to resolve its financial problems.</w:t>
      </w:r>
      <w:r w:rsidR="000F1289">
        <w:rPr>
          <w:rStyle w:val="FootnoteReference"/>
        </w:rPr>
        <w:footnoteReference w:id="63"/>
      </w:r>
      <w:r>
        <w:t xml:space="preserve">  Without a workable plan, the Commission has no assurance that any of the support that other </w:t>
      </w:r>
      <w:r w:rsidR="0052050E">
        <w:t xml:space="preserve">customers </w:t>
      </w:r>
      <w:r w:rsidR="00E322AA">
        <w:t xml:space="preserve">may be required to provide </w:t>
      </w:r>
      <w:r>
        <w:t xml:space="preserve">will prevent the closure of Ormet’s smelter or </w:t>
      </w:r>
      <w:r w:rsidR="00DC211D">
        <w:t xml:space="preserve">the </w:t>
      </w:r>
      <w:r>
        <w:t>painful outcomes for the Hannibal community that may result from t</w:t>
      </w:r>
      <w:r w:rsidR="002E31A7">
        <w:t>hat closure.</w:t>
      </w:r>
    </w:p>
    <w:p w:rsidR="00907730" w:rsidRPr="00321E6D" w:rsidRDefault="00907730" w:rsidP="00E8798A">
      <w:pPr>
        <w:pStyle w:val="Heading1"/>
        <w:rPr>
          <w:u w:val="none"/>
        </w:rPr>
      </w:pPr>
      <w:bookmarkStart w:id="43" w:name="_Toc366226443"/>
      <w:bookmarkStart w:id="44" w:name="_Toc366227530"/>
      <w:bookmarkStart w:id="45" w:name="_Toc366478739"/>
      <w:r w:rsidRPr="00321E6D">
        <w:rPr>
          <w:u w:val="none"/>
        </w:rPr>
        <w:t>Ohio Power’s alternative solution is not just and reasonable</w:t>
      </w:r>
      <w:bookmarkEnd w:id="43"/>
      <w:bookmarkEnd w:id="44"/>
      <w:bookmarkEnd w:id="45"/>
    </w:p>
    <w:p w:rsidR="00907730" w:rsidRDefault="009832AF" w:rsidP="00B42443">
      <w:pPr>
        <w:ind w:firstLine="720"/>
      </w:pPr>
      <w:r>
        <w:t>AEP-Ohio protests that Ormet is not legally permitted to shop for generation service during the period covered by the</w:t>
      </w:r>
      <w:r w:rsidR="00F14519">
        <w:t xml:space="preserve"> agreement, </w:t>
      </w:r>
      <w:r>
        <w:t xml:space="preserve">demands </w:t>
      </w:r>
      <w:r w:rsidR="00774C09">
        <w:t xml:space="preserve">that any additional revenue lost from modifications of Ormet’s Reasonable Arrangement </w:t>
      </w:r>
      <w:r>
        <w:t xml:space="preserve">be made up by AEP-Ohio’s other </w:t>
      </w:r>
      <w:r w:rsidR="0052050E">
        <w:t>customers</w:t>
      </w:r>
      <w:r>
        <w:t xml:space="preserve">, and proposes an alternative that it claims would achieve an equivalent financial outcome </w:t>
      </w:r>
      <w:r w:rsidR="000F1289">
        <w:t xml:space="preserve">for Ormet, but which also </w:t>
      </w:r>
      <w:r>
        <w:t xml:space="preserve">would substantially increase potential </w:t>
      </w:r>
      <w:r w:rsidR="00FA6EA3">
        <w:t>Negative Delta Revenue</w:t>
      </w:r>
      <w:r>
        <w:t xml:space="preserve">.  </w:t>
      </w:r>
      <w:r w:rsidR="008D0D9F">
        <w:t>The Commission should reject e</w:t>
      </w:r>
      <w:r>
        <w:t>ach of AEP-Ohio’s positions.</w:t>
      </w:r>
    </w:p>
    <w:p w:rsidR="00DC5F7B" w:rsidRDefault="000F1289" w:rsidP="00B42443">
      <w:pPr>
        <w:ind w:firstLine="720"/>
      </w:pPr>
      <w:r>
        <w:t>AEP-</w:t>
      </w:r>
      <w:r w:rsidR="00FA6EA3">
        <w:t>Ohio’s</w:t>
      </w:r>
      <w:r>
        <w:t xml:space="preserve"> claim that Ormet cannot shop is incorrect.  A</w:t>
      </w:r>
      <w:r w:rsidR="00761CEA">
        <w:t xml:space="preserve">s noted above, </w:t>
      </w:r>
      <w:r w:rsidR="008D0D9F">
        <w:t xml:space="preserve">the 2009 Reasonable Arrangement does not prevent </w:t>
      </w:r>
      <w:r w:rsidR="00761CEA">
        <w:t xml:space="preserve">Ormet from shopping, and even if it </w:t>
      </w:r>
      <w:r w:rsidR="008D0D9F">
        <w:t>did</w:t>
      </w:r>
      <w:r w:rsidR="00761CEA">
        <w:t>, the Commission can modify the reasonable arrangement to allow Ormet to shop.</w:t>
      </w:r>
    </w:p>
    <w:p w:rsidR="00EA05CE" w:rsidRDefault="00EA05CE" w:rsidP="00B42443">
      <w:pPr>
        <w:ind w:firstLine="720"/>
      </w:pPr>
      <w:r>
        <w:t xml:space="preserve">Additionally, </w:t>
      </w:r>
      <w:r w:rsidR="00E322AA">
        <w:t xml:space="preserve">the Commission should not approve </w:t>
      </w:r>
      <w:r>
        <w:t>AEP-Ohio</w:t>
      </w:r>
      <w:r w:rsidR="002E31A7">
        <w:t>’s</w:t>
      </w:r>
      <w:r>
        <w:t xml:space="preserve"> </w:t>
      </w:r>
      <w:r w:rsidR="00E322AA">
        <w:t>request</w:t>
      </w:r>
      <w:r>
        <w:t xml:space="preserve"> to </w:t>
      </w:r>
      <w:r w:rsidR="0078042F">
        <w:t xml:space="preserve">increase its recovery of </w:t>
      </w:r>
      <w:r w:rsidR="00FA6EA3">
        <w:t>Negative Delta Revenue</w:t>
      </w:r>
      <w:r w:rsidR="0078042F">
        <w:t xml:space="preserve"> from other </w:t>
      </w:r>
      <w:r w:rsidR="0052050E">
        <w:t xml:space="preserve">customers </w:t>
      </w:r>
      <w:r>
        <w:t xml:space="preserve">if the Commission modifies the 2009 Reasonable Arrangement.  The Commission previously determined that customers should be responsible for no more than $54 million </w:t>
      </w:r>
      <w:r w:rsidR="00E322AA">
        <w:t xml:space="preserve">annually </w:t>
      </w:r>
      <w:r>
        <w:t xml:space="preserve">in </w:t>
      </w:r>
      <w:r w:rsidR="00FA6EA3">
        <w:t>Negative Delta Revenue</w:t>
      </w:r>
      <w:r>
        <w:t xml:space="preserve"> during the current term of the 2009 Reasonable Arrangement and </w:t>
      </w:r>
      <w:r w:rsidR="000F1289">
        <w:t xml:space="preserve">reduced that potential exposure </w:t>
      </w:r>
      <w:r>
        <w:t>by at least $10 million annually</w:t>
      </w:r>
      <w:r w:rsidR="000F1289">
        <w:t xml:space="preserve"> beginning in 2013</w:t>
      </w:r>
      <w:r w:rsidR="0078042F">
        <w:t>.</w:t>
      </w:r>
      <w:r w:rsidR="0078042F">
        <w:rPr>
          <w:rStyle w:val="FootnoteReference"/>
        </w:rPr>
        <w:footnoteReference w:id="64"/>
      </w:r>
      <w:r w:rsidR="0078042F">
        <w:t xml:space="preserve">  AEP-Ohio has offered no reasoned basis for modifying that limitation.</w:t>
      </w:r>
    </w:p>
    <w:p w:rsidR="0078042F" w:rsidRDefault="0078042F" w:rsidP="00B42443">
      <w:pPr>
        <w:ind w:firstLine="720"/>
      </w:pPr>
      <w:r>
        <w:t>Further, the Commission has no legal obligation to i</w:t>
      </w:r>
      <w:r w:rsidR="000F1289">
        <w:t>ncrease AEP-Ohio’s recovery of Negative Delta R</w:t>
      </w:r>
      <w:r>
        <w:t>evenue from other customers if the Commission materially modifies the 2009 Reasonable Arrangement.  Section 4905.31(E), Revised Code, grants the Commission the authority to limit delta revenue recovery.  As the Supreme Court concluded, “recovery is permitted but not required.”</w:t>
      </w:r>
      <w:r>
        <w:rPr>
          <w:rStyle w:val="FootnoteReference"/>
        </w:rPr>
        <w:footnoteReference w:id="65"/>
      </w:r>
      <w:r>
        <w:t xml:space="preserve">  </w:t>
      </w:r>
    </w:p>
    <w:p w:rsidR="00096BCB" w:rsidRDefault="00FF6869" w:rsidP="00B42443">
      <w:pPr>
        <w:ind w:firstLine="720"/>
      </w:pPr>
      <w:r>
        <w:t xml:space="preserve">Finally, the Commission should reject AEP-Ohio’s </w:t>
      </w:r>
      <w:r w:rsidR="000F1289">
        <w:t>proposal that would require Ormet to secure power from AEP-Ohio for a shortened term at a discount</w:t>
      </w:r>
      <w:r>
        <w:t>.  As described by its witness, AEP-Ohio’s proposal would require Ormet to remain with AEP-Ohio for generation service and increase the discounts available to Ormet to produce the same generation price it is seeking for 2013, $45.</w:t>
      </w:r>
      <w:r w:rsidR="008D0D9F">
        <w:t>89</w:t>
      </w:r>
      <w:r>
        <w:t>/MWh.</w:t>
      </w:r>
      <w:r w:rsidR="006E1A34">
        <w:t xml:space="preserve">  </w:t>
      </w:r>
      <w:r w:rsidR="002E31A7">
        <w:t>For every $5 increase in the auction price, the cost of AEP-Ohio’s proposal increases $19 million.</w:t>
      </w:r>
      <w:r w:rsidR="002E31A7">
        <w:rPr>
          <w:rStyle w:val="FootnoteReference"/>
        </w:rPr>
        <w:footnoteReference w:id="66"/>
      </w:r>
      <w:r w:rsidR="002E31A7">
        <w:t xml:space="preserve">  </w:t>
      </w:r>
      <w:r w:rsidR="006E1A34">
        <w:t>AEP-Ohio</w:t>
      </w:r>
      <w:r w:rsidR="00FB5C3E">
        <w:t>’s proposal</w:t>
      </w:r>
      <w:r w:rsidR="006E1A34">
        <w:t xml:space="preserve">, however, </w:t>
      </w:r>
      <w:r w:rsidR="00FB5C3E">
        <w:t>is contingent on an unknown auction price; the examples are “illustrative.”</w:t>
      </w:r>
      <w:r w:rsidR="00FB5C3E">
        <w:rPr>
          <w:rStyle w:val="FootnoteReference"/>
        </w:rPr>
        <w:footnoteReference w:id="67"/>
      </w:r>
    </w:p>
    <w:p w:rsidR="00AE599B" w:rsidRDefault="006E1A34" w:rsidP="00B42443">
      <w:pPr>
        <w:ind w:firstLine="720"/>
      </w:pPr>
      <w:r>
        <w:t>The amount of the discounts</w:t>
      </w:r>
      <w:r w:rsidR="00A954A1">
        <w:t xml:space="preserve"> AEP-Ohio is proposing</w:t>
      </w:r>
      <w:r w:rsidR="00096BCB">
        <w:t>, thus,</w:t>
      </w:r>
      <w:r>
        <w:t xml:space="preserve"> depend</w:t>
      </w:r>
      <w:r w:rsidR="007974D8">
        <w:t>s</w:t>
      </w:r>
      <w:r>
        <w:t xml:space="preserve"> on the results of the competitive bidding process.  </w:t>
      </w:r>
      <w:r w:rsidR="00096BCB">
        <w:t xml:space="preserve">The price increases that will result from the competitive bidding process, however, are already </w:t>
      </w:r>
      <w:r w:rsidR="008D0D9F">
        <w:t>well understood</w:t>
      </w:r>
      <w:r w:rsidR="00096BCB">
        <w:t xml:space="preserve">.  As the record developed in the Commission’s review of </w:t>
      </w:r>
      <w:r w:rsidR="00553E95">
        <w:t>AEP-Ohio’s</w:t>
      </w:r>
      <w:r w:rsidR="00096BCB">
        <w:t xml:space="preserve"> competitive bidding </w:t>
      </w:r>
      <w:r w:rsidR="00553E95">
        <w:t xml:space="preserve">process </w:t>
      </w:r>
      <w:r w:rsidR="00096BCB">
        <w:t>proposal</w:t>
      </w:r>
      <w:r w:rsidR="00FF30DE">
        <w:t xml:space="preserve"> showed</w:t>
      </w:r>
      <w:r w:rsidR="00096BCB">
        <w:t xml:space="preserve">, the predictable outcome </w:t>
      </w:r>
      <w:r w:rsidR="00B56AE2">
        <w:t xml:space="preserve">of the energy-only auction </w:t>
      </w:r>
      <w:r w:rsidR="008D0D9F">
        <w:t>is</w:t>
      </w:r>
      <w:r w:rsidR="00096BCB">
        <w:t xml:space="preserve"> an increase in default generation </w:t>
      </w:r>
      <w:r w:rsidR="00B56AE2">
        <w:t>prices</w:t>
      </w:r>
      <w:r w:rsidR="008D0D9F">
        <w:t xml:space="preserve">, not </w:t>
      </w:r>
      <w:r w:rsidR="00B56AE2">
        <w:t xml:space="preserve">the </w:t>
      </w:r>
      <w:r w:rsidR="008D0D9F">
        <w:t>decrease</w:t>
      </w:r>
      <w:r w:rsidR="00B56AE2">
        <w:t xml:space="preserve"> that the Commission said would offset the many other increases authorized by the Commission in the </w:t>
      </w:r>
      <w:r w:rsidR="00765980" w:rsidRPr="00E27F35">
        <w:rPr>
          <w:i/>
        </w:rPr>
        <w:t xml:space="preserve">AEP-Ohio </w:t>
      </w:r>
      <w:r w:rsidR="00B56AE2" w:rsidRPr="00E27F35">
        <w:rPr>
          <w:i/>
        </w:rPr>
        <w:t>ESP II</w:t>
      </w:r>
      <w:r w:rsidR="00B56AE2">
        <w:t xml:space="preserve"> Order</w:t>
      </w:r>
      <w:r w:rsidR="00096BCB">
        <w:t>.</w:t>
      </w:r>
      <w:r w:rsidR="00096BCB">
        <w:rPr>
          <w:rStyle w:val="FootnoteReference"/>
        </w:rPr>
        <w:footnoteReference w:id="68"/>
      </w:r>
      <w:r w:rsidR="0024393A">
        <w:t xml:space="preserve">  The predictable outcome of AEP-Ohio’s proposal in this case, then, is that the discounts afforded to Ormet will increase as the cost of generation service increases.  This outcome is not a reasonable solution that would mitigate the potential Negative Delta Revenue.</w:t>
      </w:r>
    </w:p>
    <w:p w:rsidR="00AE599B" w:rsidRDefault="00AF32C9" w:rsidP="00B42443">
      <w:pPr>
        <w:ind w:firstLine="720"/>
      </w:pPr>
      <w:r>
        <w:t xml:space="preserve">In summary, AEP-Ohio has not offered the Commission any reason to reject the use of a market-based approach to assist Ormet and </w:t>
      </w:r>
      <w:r w:rsidR="00096BCB">
        <w:t xml:space="preserve">reduce the exposure of </w:t>
      </w:r>
      <w:r>
        <w:t>other ratepayers</w:t>
      </w:r>
      <w:r w:rsidR="00096BCB">
        <w:t xml:space="preserve"> to Negative Delta Revenue</w:t>
      </w:r>
      <w:r>
        <w:t>.  Its claim that it has an exclusive right to serve Ormet is not supported by the 2009 Reasonable Arrangement itself</w:t>
      </w:r>
      <w:r w:rsidR="00E27F35">
        <w:t xml:space="preserve"> and</w:t>
      </w:r>
      <w:r>
        <w:t xml:space="preserve"> is unwarranted under Section 4905.31, Revised Code</w:t>
      </w:r>
      <w:r w:rsidR="002E31A7">
        <w:t>,</w:t>
      </w:r>
      <w:r w:rsidR="00B56AE2">
        <w:t xml:space="preserve"> and Chapter 4928’s elimination of any exclusive service rights for competitive retail electric service such as generation supply</w:t>
      </w:r>
      <w:r w:rsidR="00045B92">
        <w:t xml:space="preserve">.  </w:t>
      </w:r>
      <w:r w:rsidR="00096BCB">
        <w:t>Additionally</w:t>
      </w:r>
      <w:r>
        <w:t xml:space="preserve">, AEP-Ohio </w:t>
      </w:r>
      <w:r w:rsidR="00A954A1">
        <w:t>should not be permitted</w:t>
      </w:r>
      <w:r w:rsidR="00096BCB">
        <w:t xml:space="preserve"> to recover </w:t>
      </w:r>
      <w:r w:rsidR="00A954A1">
        <w:t>additional</w:t>
      </w:r>
      <w:r w:rsidR="00096BCB">
        <w:t xml:space="preserve"> Negative Delta R</w:t>
      </w:r>
      <w:r>
        <w:t xml:space="preserve">evenue from other customers.  Finally, its </w:t>
      </w:r>
      <w:r w:rsidR="00A954A1">
        <w:t>alternative proposal to provide generation service</w:t>
      </w:r>
      <w:r>
        <w:t xml:space="preserve"> </w:t>
      </w:r>
      <w:r w:rsidR="0024393A">
        <w:t xml:space="preserve">likely </w:t>
      </w:r>
      <w:r>
        <w:t xml:space="preserve">would </w:t>
      </w:r>
      <w:r w:rsidR="00096BCB">
        <w:t>add</w:t>
      </w:r>
      <w:r>
        <w:t xml:space="preserve"> to the already large burden caused by the </w:t>
      </w:r>
      <w:r w:rsidR="001A250A" w:rsidRPr="00096BCB">
        <w:rPr>
          <w:i/>
        </w:rPr>
        <w:t>AEP</w:t>
      </w:r>
      <w:r w:rsidR="001A250A">
        <w:rPr>
          <w:i/>
        </w:rPr>
        <w:t>-</w:t>
      </w:r>
      <w:r w:rsidR="00096BCB" w:rsidRPr="00096BCB">
        <w:rPr>
          <w:i/>
        </w:rPr>
        <w:t xml:space="preserve">Ohio </w:t>
      </w:r>
      <w:r w:rsidRPr="00096BCB">
        <w:rPr>
          <w:i/>
        </w:rPr>
        <w:t>ESP II</w:t>
      </w:r>
      <w:r>
        <w:t xml:space="preserve"> Order.</w:t>
      </w:r>
    </w:p>
    <w:p w:rsidR="007974D8" w:rsidRPr="00321E6D" w:rsidRDefault="007974D8" w:rsidP="00E64977">
      <w:pPr>
        <w:pStyle w:val="Heading1"/>
        <w:rPr>
          <w:u w:val="none"/>
        </w:rPr>
      </w:pPr>
      <w:bookmarkStart w:id="46" w:name="_Toc366226444"/>
      <w:bookmarkStart w:id="47" w:name="_Toc366227531"/>
      <w:bookmarkStart w:id="48" w:name="_Toc366478740"/>
      <w:r w:rsidRPr="00321E6D">
        <w:rPr>
          <w:u w:val="none"/>
        </w:rPr>
        <w:t>Conclusion</w:t>
      </w:r>
      <w:bookmarkEnd w:id="46"/>
      <w:bookmarkEnd w:id="47"/>
      <w:bookmarkEnd w:id="48"/>
    </w:p>
    <w:p w:rsidR="00116B3A" w:rsidRDefault="00045B92" w:rsidP="00B42443">
      <w:pPr>
        <w:ind w:firstLine="720"/>
      </w:pPr>
      <w:r>
        <w:t xml:space="preserve">The solutions to </w:t>
      </w:r>
      <w:r w:rsidR="00A954A1">
        <w:t xml:space="preserve">Ormet’s financial problems </w:t>
      </w:r>
      <w:r>
        <w:t xml:space="preserve">offered by both Ormet and AEP-Ohio rest on </w:t>
      </w:r>
      <w:r w:rsidR="00656A21">
        <w:t xml:space="preserve">an </w:t>
      </w:r>
      <w:r>
        <w:t xml:space="preserve">approach that </w:t>
      </w:r>
      <w:r w:rsidR="00656A21">
        <w:t xml:space="preserve">imposes </w:t>
      </w:r>
      <w:r w:rsidR="001F192D">
        <w:t xml:space="preserve">additional and </w:t>
      </w:r>
      <w:r w:rsidR="00656A21">
        <w:t xml:space="preserve">significant Negative Delta Revenue on </w:t>
      </w:r>
      <w:r>
        <w:t xml:space="preserve">other </w:t>
      </w:r>
      <w:r w:rsidR="00656A21">
        <w:t>customers</w:t>
      </w:r>
      <w:r w:rsidR="00A954A1">
        <w:t>.</w:t>
      </w:r>
      <w:r w:rsidR="00656A21">
        <w:t xml:space="preserve"> </w:t>
      </w:r>
      <w:r w:rsidR="00A954A1">
        <w:t xml:space="preserve"> The</w:t>
      </w:r>
      <w:r w:rsidR="00656A21">
        <w:t xml:space="preserve"> Commission</w:t>
      </w:r>
      <w:r w:rsidR="001F192D">
        <w:t>, however,</w:t>
      </w:r>
      <w:r w:rsidR="00656A21">
        <w:t xml:space="preserve"> has held that the Negative Delta Revenue previously authorized </w:t>
      </w:r>
      <w:r w:rsidR="0024393A">
        <w:t xml:space="preserve">to support Ormet </w:t>
      </w:r>
      <w:r w:rsidR="00656A21">
        <w:t>is</w:t>
      </w:r>
      <w:r>
        <w:t xml:space="preserve"> “the maximum amount of delta revenue </w:t>
      </w:r>
      <w:r w:rsidR="008D0D9F">
        <w:t>which</w:t>
      </w:r>
      <w:r>
        <w:t xml:space="preserve"> </w:t>
      </w:r>
      <w:r w:rsidR="008D0D9F">
        <w:t>ratepayers</w:t>
      </w:r>
      <w:r>
        <w:t xml:space="preserve"> should be expected to pay in a given year.”</w:t>
      </w:r>
      <w:r>
        <w:rPr>
          <w:rStyle w:val="FootnoteReference"/>
        </w:rPr>
        <w:footnoteReference w:id="69"/>
      </w:r>
      <w:r>
        <w:t xml:space="preserve">  Ormet and AEP-Ohio have not offered any </w:t>
      </w:r>
      <w:r w:rsidR="00E27F35">
        <w:t xml:space="preserve">legitimate </w:t>
      </w:r>
      <w:r>
        <w:t xml:space="preserve">basis for increasing that burden.  </w:t>
      </w:r>
      <w:r w:rsidR="001F192D">
        <w:t>The Commission, therefore, should not authorize any acceleration or increase in the collection of Negative Delta Revenue from other customers</w:t>
      </w:r>
      <w:r w:rsidR="0024393A">
        <w:t xml:space="preserve"> in this case</w:t>
      </w:r>
      <w:r w:rsidR="001F192D">
        <w:t>.</w:t>
      </w:r>
    </w:p>
    <w:p w:rsidR="00DD33C3" w:rsidRDefault="001F192D" w:rsidP="00B42443">
      <w:pPr>
        <w:ind w:firstLine="720"/>
      </w:pPr>
      <w:r>
        <w:t xml:space="preserve">Ormet, moreover, has other options.  In particular, it has the ability to secure market-based generation service from CRES providers currently.  </w:t>
      </w:r>
      <w:r w:rsidR="0024393A">
        <w:t>Because it has an alternative that has not been developed</w:t>
      </w:r>
      <w:r>
        <w:t xml:space="preserve">, </w:t>
      </w:r>
      <w:r w:rsidR="00116B3A">
        <w:t xml:space="preserve">Ormet must show that it has exhausted other means of securing </w:t>
      </w:r>
      <w:r>
        <w:t>lower priced generation service and lowering the exposure of other custom</w:t>
      </w:r>
      <w:r w:rsidR="0024393A">
        <w:t>ers to Negative Delta Revenue.</w:t>
      </w:r>
    </w:p>
    <w:p w:rsidR="00DD33C3" w:rsidRPr="00DD33C3" w:rsidRDefault="00DD33C3" w:rsidP="00DD33C3"/>
    <w:p w:rsidR="00434B2E" w:rsidRPr="00434B2E" w:rsidRDefault="00434B2E" w:rsidP="00434B2E">
      <w:pPr>
        <w:spacing w:after="240"/>
        <w:ind w:left="3600" w:firstLine="720"/>
        <w:rPr>
          <w:rFonts w:cs="Arial"/>
        </w:rPr>
      </w:pPr>
      <w:r w:rsidRPr="00434B2E">
        <w:rPr>
          <w:rFonts w:eastAsia="Times New Roman" w:cs="Times New Roman"/>
          <w:szCs w:val="20"/>
        </w:rPr>
        <w:t>Respectfully submitted,</w:t>
      </w:r>
    </w:p>
    <w:p w:rsidR="00434B2E" w:rsidRPr="00434B2E" w:rsidRDefault="00FF30DE" w:rsidP="00874AFF">
      <w:pPr>
        <w:tabs>
          <w:tab w:val="left" w:pos="-1440"/>
          <w:tab w:val="left" w:pos="-720"/>
          <w:tab w:val="left" w:pos="4320"/>
          <w:tab w:val="left" w:pos="4680"/>
          <w:tab w:val="left" w:pos="8820"/>
        </w:tabs>
        <w:spacing w:line="240" w:lineRule="auto"/>
        <w:ind w:left="4320"/>
        <w:rPr>
          <w:rFonts w:eastAsia="Times New Roman" w:cs="Arial"/>
          <w:u w:val="single"/>
        </w:rPr>
      </w:pPr>
      <w:r>
        <w:rPr>
          <w:rFonts w:eastAsia="Times New Roman" w:cs="Arial"/>
          <w:u w:val="single"/>
        </w:rPr>
        <w:tab/>
        <w:t>/s/ Frank P. Darr</w:t>
      </w:r>
      <w:r w:rsidR="00874AFF">
        <w:rPr>
          <w:rFonts w:eastAsia="Times New Roman" w:cs="Arial"/>
          <w:u w:val="single"/>
        </w:rPr>
        <w:tab/>
      </w:r>
    </w:p>
    <w:p w:rsidR="00434B2E" w:rsidRPr="00434B2E" w:rsidRDefault="00434B2E" w:rsidP="00434B2E">
      <w:pPr>
        <w:tabs>
          <w:tab w:val="left" w:pos="4320"/>
          <w:tab w:val="right" w:pos="8640"/>
        </w:tabs>
        <w:spacing w:line="240" w:lineRule="auto"/>
        <w:ind w:left="4320"/>
        <w:rPr>
          <w:rFonts w:eastAsia="Times New Roman" w:cs="Arial"/>
        </w:rPr>
      </w:pPr>
      <w:r w:rsidRPr="00434B2E">
        <w:rPr>
          <w:rFonts w:eastAsia="Times New Roman" w:cs="Arial"/>
        </w:rPr>
        <w:t>Samuel C. Randazzo (Counsel of Record)</w:t>
      </w:r>
    </w:p>
    <w:p w:rsidR="00434B2E" w:rsidRPr="00434B2E" w:rsidRDefault="00434B2E" w:rsidP="00434B2E">
      <w:pPr>
        <w:widowControl w:val="0"/>
        <w:tabs>
          <w:tab w:val="left" w:pos="4320"/>
        </w:tabs>
        <w:spacing w:line="240" w:lineRule="auto"/>
        <w:ind w:left="4320"/>
        <w:rPr>
          <w:rFonts w:eastAsia="Times New Roman" w:cs="Arial"/>
          <w:bCs/>
          <w:szCs w:val="20"/>
        </w:rPr>
      </w:pPr>
      <w:r w:rsidRPr="00434B2E">
        <w:rPr>
          <w:rFonts w:eastAsia="Times New Roman" w:cs="Arial"/>
          <w:bCs/>
          <w:szCs w:val="20"/>
        </w:rPr>
        <w:t>Frank P. Darr</w:t>
      </w:r>
    </w:p>
    <w:p w:rsidR="00434B2E" w:rsidRPr="00434B2E" w:rsidRDefault="00434B2E" w:rsidP="00434B2E">
      <w:pPr>
        <w:widowControl w:val="0"/>
        <w:tabs>
          <w:tab w:val="left" w:pos="4320"/>
        </w:tabs>
        <w:spacing w:line="240" w:lineRule="auto"/>
        <w:ind w:left="4320"/>
        <w:rPr>
          <w:rFonts w:eastAsia="Times New Roman" w:cs="Arial"/>
          <w:bCs/>
          <w:szCs w:val="20"/>
        </w:rPr>
      </w:pPr>
      <w:r w:rsidRPr="00434B2E">
        <w:rPr>
          <w:rFonts w:eastAsia="Times New Roman" w:cs="Arial"/>
          <w:bCs/>
          <w:szCs w:val="20"/>
        </w:rPr>
        <w:t>Joseph E. Oliker</w:t>
      </w:r>
    </w:p>
    <w:p w:rsidR="00434B2E" w:rsidRPr="00434B2E" w:rsidRDefault="00434B2E" w:rsidP="00434B2E">
      <w:pPr>
        <w:widowControl w:val="0"/>
        <w:tabs>
          <w:tab w:val="left" w:pos="4320"/>
        </w:tabs>
        <w:spacing w:line="240" w:lineRule="auto"/>
        <w:ind w:left="4320"/>
        <w:rPr>
          <w:rFonts w:eastAsia="Times New Roman" w:cs="Arial"/>
          <w:bCs/>
          <w:szCs w:val="20"/>
        </w:rPr>
      </w:pPr>
      <w:r w:rsidRPr="00434B2E">
        <w:rPr>
          <w:rFonts w:eastAsia="Times New Roman" w:cs="Arial"/>
          <w:bCs/>
          <w:szCs w:val="20"/>
        </w:rPr>
        <w:t>Matthew R. Pritchard</w:t>
      </w:r>
    </w:p>
    <w:p w:rsidR="00434B2E" w:rsidRPr="00434B2E" w:rsidRDefault="00434B2E" w:rsidP="00434B2E">
      <w:pPr>
        <w:widowControl w:val="0"/>
        <w:tabs>
          <w:tab w:val="left" w:pos="4320"/>
        </w:tabs>
        <w:spacing w:line="240" w:lineRule="auto"/>
        <w:ind w:left="4320"/>
        <w:rPr>
          <w:rFonts w:eastAsia="Times New Roman" w:cs="Arial"/>
          <w:bCs/>
          <w:smallCaps/>
        </w:rPr>
      </w:pPr>
      <w:r w:rsidRPr="00434B2E">
        <w:rPr>
          <w:rFonts w:eastAsia="Times New Roman" w:cs="Arial"/>
          <w:bCs/>
          <w:smallCaps/>
        </w:rPr>
        <w:t>McNees Wallace &amp; Nurick LLC</w:t>
      </w:r>
    </w:p>
    <w:p w:rsidR="00434B2E" w:rsidRPr="00434B2E" w:rsidRDefault="00434B2E" w:rsidP="00434B2E">
      <w:pPr>
        <w:widowControl w:val="0"/>
        <w:tabs>
          <w:tab w:val="left" w:pos="4320"/>
        </w:tabs>
        <w:spacing w:line="240" w:lineRule="auto"/>
        <w:ind w:left="4320"/>
        <w:rPr>
          <w:rFonts w:eastAsia="Times New Roman" w:cs="Arial"/>
          <w:bCs/>
          <w:szCs w:val="20"/>
        </w:rPr>
      </w:pPr>
      <w:r w:rsidRPr="00434B2E">
        <w:rPr>
          <w:rFonts w:eastAsia="Times New Roman" w:cs="Arial"/>
          <w:bCs/>
          <w:szCs w:val="20"/>
        </w:rPr>
        <w:t>21 East State Street, 17</w:t>
      </w:r>
      <w:r w:rsidRPr="00434B2E">
        <w:rPr>
          <w:rFonts w:eastAsia="Times New Roman" w:cs="Arial"/>
          <w:bCs/>
          <w:szCs w:val="20"/>
          <w:vertAlign w:val="superscript"/>
        </w:rPr>
        <w:t>TH</w:t>
      </w:r>
      <w:r w:rsidRPr="00434B2E">
        <w:rPr>
          <w:rFonts w:eastAsia="Times New Roman" w:cs="Arial"/>
          <w:bCs/>
          <w:szCs w:val="20"/>
        </w:rPr>
        <w:t xml:space="preserve"> Floor</w:t>
      </w:r>
    </w:p>
    <w:p w:rsidR="00434B2E" w:rsidRPr="00434B2E" w:rsidRDefault="00434B2E" w:rsidP="00434B2E">
      <w:pPr>
        <w:spacing w:line="240" w:lineRule="auto"/>
        <w:ind w:left="4320"/>
        <w:rPr>
          <w:rFonts w:eastAsia="Times New Roman" w:cs="Arial"/>
        </w:rPr>
      </w:pPr>
      <w:r w:rsidRPr="00434B2E">
        <w:rPr>
          <w:rFonts w:eastAsia="Times New Roman" w:cs="Arial"/>
        </w:rPr>
        <w:t>sam@mwncmh.com</w:t>
      </w:r>
    </w:p>
    <w:p w:rsidR="00434B2E" w:rsidRPr="00434B2E" w:rsidRDefault="00434B2E" w:rsidP="00434B2E">
      <w:pPr>
        <w:spacing w:line="240" w:lineRule="auto"/>
        <w:ind w:left="4320"/>
        <w:rPr>
          <w:rFonts w:eastAsia="Times New Roman" w:cs="Arial"/>
        </w:rPr>
      </w:pPr>
      <w:r w:rsidRPr="00434B2E">
        <w:rPr>
          <w:rFonts w:eastAsia="Times New Roman" w:cs="Arial"/>
        </w:rPr>
        <w:t>fdarr@mwncmh.com</w:t>
      </w:r>
    </w:p>
    <w:p w:rsidR="00434B2E" w:rsidRPr="00434B2E" w:rsidRDefault="00434B2E" w:rsidP="00434B2E">
      <w:pPr>
        <w:spacing w:line="240" w:lineRule="auto"/>
        <w:ind w:left="4320"/>
        <w:rPr>
          <w:rFonts w:eastAsia="Times New Roman" w:cs="Arial"/>
        </w:rPr>
      </w:pPr>
      <w:r w:rsidRPr="00434B2E">
        <w:rPr>
          <w:rFonts w:eastAsia="Times New Roman" w:cs="Arial"/>
        </w:rPr>
        <w:t>joliker@mwncmh.com</w:t>
      </w:r>
    </w:p>
    <w:p w:rsidR="00434B2E" w:rsidRPr="00434B2E" w:rsidRDefault="00434B2E" w:rsidP="00434B2E">
      <w:pPr>
        <w:spacing w:line="240" w:lineRule="auto"/>
        <w:ind w:left="4320"/>
        <w:rPr>
          <w:rFonts w:eastAsia="Times New Roman" w:cs="Arial"/>
        </w:rPr>
      </w:pPr>
      <w:r w:rsidRPr="00434B2E">
        <w:rPr>
          <w:rFonts w:eastAsia="Times New Roman" w:cs="Arial"/>
        </w:rPr>
        <w:t>mpritchard@mwncmh.com</w:t>
      </w:r>
    </w:p>
    <w:p w:rsidR="00434B2E" w:rsidRPr="00434B2E" w:rsidRDefault="00434B2E" w:rsidP="00434B2E">
      <w:pPr>
        <w:tabs>
          <w:tab w:val="left" w:pos="-1440"/>
          <w:tab w:val="left" w:pos="-720"/>
          <w:tab w:val="left" w:pos="4320"/>
          <w:tab w:val="left" w:pos="5040"/>
        </w:tabs>
        <w:spacing w:line="240" w:lineRule="auto"/>
        <w:ind w:left="4320"/>
        <w:rPr>
          <w:rFonts w:eastAsia="Times New Roman" w:cs="Arial"/>
        </w:rPr>
      </w:pPr>
    </w:p>
    <w:p w:rsidR="00434B2E" w:rsidRPr="00434B2E" w:rsidRDefault="00434B2E" w:rsidP="00434B2E">
      <w:pPr>
        <w:tabs>
          <w:tab w:val="left" w:pos="4320"/>
          <w:tab w:val="right" w:pos="8640"/>
        </w:tabs>
        <w:spacing w:line="240" w:lineRule="auto"/>
        <w:ind w:left="4320"/>
        <w:rPr>
          <w:rFonts w:eastAsia="Times New Roman" w:cs="Arial"/>
          <w:b/>
        </w:rPr>
        <w:sectPr w:rsidR="00434B2E" w:rsidRPr="00434B2E" w:rsidSect="00CB4622">
          <w:pgSz w:w="12240" w:h="15840" w:code="1"/>
          <w:pgMar w:top="1440" w:right="1440" w:bottom="1440" w:left="1440" w:header="720" w:footer="720" w:gutter="0"/>
          <w:pgNumType w:start="1"/>
          <w:cols w:space="720"/>
          <w:titlePg/>
          <w:docGrid w:linePitch="360"/>
        </w:sectPr>
      </w:pPr>
      <w:r w:rsidRPr="00434B2E">
        <w:rPr>
          <w:rFonts w:eastAsia="Times New Roman" w:cs="Arial"/>
          <w:b/>
          <w:bCs/>
        </w:rPr>
        <w:t>Attorneys for</w:t>
      </w:r>
      <w:r w:rsidRPr="00434B2E">
        <w:rPr>
          <w:rFonts w:eastAsia="Times New Roman" w:cs="Arial"/>
        </w:rPr>
        <w:t xml:space="preserve"> </w:t>
      </w:r>
      <w:r>
        <w:rPr>
          <w:rFonts w:eastAsia="Times New Roman" w:cs="Arial"/>
          <w:b/>
        </w:rPr>
        <w:t>Industrial Energy Users-Ohio</w:t>
      </w:r>
    </w:p>
    <w:p w:rsidR="00DD33C3" w:rsidRPr="00DD33C3" w:rsidRDefault="00DD33C3" w:rsidP="00DD33C3">
      <w:pPr>
        <w:tabs>
          <w:tab w:val="left" w:pos="2160"/>
          <w:tab w:val="left" w:pos="2280"/>
        </w:tabs>
        <w:spacing w:line="240" w:lineRule="auto"/>
        <w:jc w:val="center"/>
        <w:rPr>
          <w:rFonts w:ascii="Arial Bold" w:eastAsia="Times New Roman" w:hAnsi="Arial Bold" w:cs="Arial"/>
          <w:b/>
          <w:bCs/>
          <w:smallCaps/>
          <w:u w:val="single"/>
        </w:rPr>
      </w:pPr>
      <w:bookmarkStart w:id="49" w:name="_Toc385406742"/>
      <w:bookmarkStart w:id="50" w:name="_Toc381606702"/>
      <w:r w:rsidRPr="00DD33C3">
        <w:rPr>
          <w:rFonts w:ascii="Arial Bold" w:eastAsia="Times New Roman" w:hAnsi="Arial Bold" w:cs="Arial"/>
          <w:b/>
          <w:bCs/>
          <w:smallCaps/>
          <w:u w:val="single"/>
        </w:rPr>
        <w:t>Certificate of Service</w:t>
      </w:r>
      <w:bookmarkEnd w:id="49"/>
      <w:bookmarkEnd w:id="50"/>
    </w:p>
    <w:p w:rsidR="00DD33C3" w:rsidRPr="00DD33C3" w:rsidRDefault="00DD33C3" w:rsidP="00DD33C3">
      <w:pPr>
        <w:ind w:firstLine="720"/>
        <w:rPr>
          <w:rFonts w:eastAsia="Times New Roman" w:cs="Arial"/>
        </w:rPr>
      </w:pPr>
    </w:p>
    <w:p w:rsidR="00DD33C3" w:rsidRPr="00DD33C3" w:rsidRDefault="00DD33C3" w:rsidP="00DD33C3">
      <w:pPr>
        <w:ind w:firstLine="720"/>
        <w:rPr>
          <w:rFonts w:eastAsia="Times New Roman" w:cs="Arial"/>
        </w:rPr>
      </w:pPr>
      <w:r w:rsidRPr="00DD33C3">
        <w:rPr>
          <w:rFonts w:eastAsia="Times New Roman" w:cs="Arial"/>
        </w:rPr>
        <w:t>I hereby certify that a copy of the foregoing</w:t>
      </w:r>
      <w:r w:rsidRPr="00DD33C3">
        <w:rPr>
          <w:rFonts w:eastAsia="Times New Roman" w:cs="Arial"/>
          <w:smallCaps/>
        </w:rPr>
        <w:t xml:space="preserve"> </w:t>
      </w:r>
      <w:r w:rsidRPr="00DD33C3">
        <w:rPr>
          <w:rFonts w:eastAsia="Times New Roman" w:cs="Arial"/>
          <w:i/>
          <w:iCs/>
        </w:rPr>
        <w:t xml:space="preserve">Industrial Energy Users-Ohio’s </w:t>
      </w:r>
      <w:r>
        <w:rPr>
          <w:rFonts w:eastAsia="Times New Roman" w:cs="Arial"/>
          <w:i/>
          <w:iCs/>
        </w:rPr>
        <w:t>Post-Hearing Brief</w:t>
      </w:r>
      <w:r w:rsidRPr="00DD33C3">
        <w:rPr>
          <w:rFonts w:eastAsia="Times New Roman" w:cs="Arial"/>
        </w:rPr>
        <w:t xml:space="preserve"> was served upon the following parties of record this </w:t>
      </w:r>
      <w:r w:rsidR="00434B2E">
        <w:rPr>
          <w:rFonts w:eastAsia="Times New Roman" w:cs="Arial"/>
        </w:rPr>
        <w:t>9th</w:t>
      </w:r>
      <w:r w:rsidRPr="00DD33C3">
        <w:rPr>
          <w:rFonts w:eastAsia="Times New Roman" w:cs="Arial"/>
        </w:rPr>
        <w:t xml:space="preserve"> day of </w:t>
      </w:r>
      <w:r>
        <w:rPr>
          <w:rFonts w:eastAsia="Times New Roman" w:cs="Arial"/>
        </w:rPr>
        <w:t>September</w:t>
      </w:r>
      <w:r w:rsidRPr="00DD33C3">
        <w:rPr>
          <w:rFonts w:eastAsia="Times New Roman" w:cs="Arial"/>
        </w:rPr>
        <w:t xml:space="preserve"> 2013, </w:t>
      </w:r>
      <w:r w:rsidRPr="00DD33C3">
        <w:rPr>
          <w:rFonts w:eastAsia="Times New Roman" w:cs="Arial"/>
          <w:i/>
        </w:rPr>
        <w:t>via</w:t>
      </w:r>
      <w:r w:rsidRPr="00DD33C3">
        <w:rPr>
          <w:rFonts w:eastAsia="Times New Roman" w:cs="Arial"/>
        </w:rPr>
        <w:t xml:space="preserve"> electronic transmission, hand-delivery or first class mail, postage prepaid.</w:t>
      </w:r>
    </w:p>
    <w:p w:rsidR="00DD33C3" w:rsidRPr="00DD33C3" w:rsidRDefault="00DD33C3" w:rsidP="00DD33C3">
      <w:pPr>
        <w:tabs>
          <w:tab w:val="left" w:pos="-1440"/>
          <w:tab w:val="left" w:pos="-720"/>
          <w:tab w:val="left" w:pos="5040"/>
          <w:tab w:val="center" w:pos="7200"/>
        </w:tabs>
        <w:spacing w:line="240" w:lineRule="auto"/>
        <w:rPr>
          <w:rFonts w:eastAsia="Times New Roman" w:cs="Arial"/>
        </w:rPr>
      </w:pPr>
    </w:p>
    <w:p w:rsidR="00DD33C3" w:rsidRPr="00DD33C3" w:rsidRDefault="00DD33C3" w:rsidP="00DD33C3">
      <w:pPr>
        <w:tabs>
          <w:tab w:val="left" w:pos="-1440"/>
          <w:tab w:val="left" w:pos="-720"/>
          <w:tab w:val="left" w:pos="5040"/>
          <w:tab w:val="center" w:pos="7200"/>
          <w:tab w:val="right" w:pos="9360"/>
        </w:tabs>
        <w:spacing w:line="240" w:lineRule="auto"/>
        <w:ind w:firstLine="5040"/>
        <w:rPr>
          <w:rFonts w:eastAsia="Times New Roman" w:cs="Arial"/>
        </w:rPr>
      </w:pPr>
      <w:r w:rsidRPr="00DD33C3">
        <w:rPr>
          <w:rFonts w:eastAsia="Times New Roman" w:cs="Arial"/>
          <w:u w:val="single"/>
        </w:rPr>
        <w:t xml:space="preserve">  /s/ Frank P. Darr</w:t>
      </w:r>
      <w:r w:rsidRPr="00DD33C3">
        <w:rPr>
          <w:rFonts w:eastAsia="Times New Roman" w:cs="Arial"/>
          <w:u w:val="single"/>
        </w:rPr>
        <w:tab/>
      </w:r>
      <w:r w:rsidRPr="00DD33C3">
        <w:rPr>
          <w:rFonts w:eastAsia="Times New Roman" w:cs="Arial"/>
          <w:u w:val="single"/>
        </w:rPr>
        <w:tab/>
      </w:r>
    </w:p>
    <w:p w:rsidR="00DD33C3" w:rsidRDefault="00DD33C3" w:rsidP="00DD33C3">
      <w:pPr>
        <w:tabs>
          <w:tab w:val="left" w:pos="-1440"/>
          <w:tab w:val="left" w:pos="-720"/>
          <w:tab w:val="left" w:pos="5040"/>
          <w:tab w:val="center" w:pos="7200"/>
        </w:tabs>
        <w:spacing w:line="240" w:lineRule="auto"/>
        <w:ind w:firstLine="5040"/>
        <w:rPr>
          <w:rFonts w:eastAsia="Times New Roman" w:cs="Arial"/>
        </w:rPr>
      </w:pPr>
      <w:r w:rsidRPr="00DD33C3">
        <w:rPr>
          <w:rFonts w:eastAsia="Times New Roman" w:cs="Arial"/>
        </w:rPr>
        <w:tab/>
        <w:t>Frank P. Darr</w:t>
      </w:r>
    </w:p>
    <w:p w:rsidR="00DD33C3" w:rsidRDefault="00DD33C3" w:rsidP="00DD33C3">
      <w:pPr>
        <w:tabs>
          <w:tab w:val="left" w:pos="-1440"/>
          <w:tab w:val="left" w:pos="-720"/>
          <w:tab w:val="left" w:pos="5040"/>
          <w:tab w:val="center" w:pos="7200"/>
        </w:tabs>
        <w:spacing w:line="240" w:lineRule="auto"/>
        <w:ind w:firstLine="5040"/>
        <w:rPr>
          <w:rFonts w:eastAsia="Times New Roman" w:cs="Arial"/>
        </w:rPr>
        <w:sectPr w:rsidR="00DD33C3" w:rsidSect="00E0147A">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1"/>
          <w:cols w:space="720"/>
          <w:titlePg/>
          <w:docGrid w:linePitch="360"/>
        </w:sectPr>
      </w:pPr>
    </w:p>
    <w:p w:rsidR="00DD33C3" w:rsidRDefault="00DD33C3" w:rsidP="00DD33C3">
      <w:pPr>
        <w:tabs>
          <w:tab w:val="left" w:pos="-1440"/>
          <w:tab w:val="left" w:pos="-720"/>
          <w:tab w:val="left" w:pos="5040"/>
          <w:tab w:val="center" w:pos="7200"/>
        </w:tabs>
        <w:spacing w:line="240" w:lineRule="auto"/>
        <w:rPr>
          <w:rFonts w:eastAsia="Times New Roman" w:cs="Arial"/>
        </w:rPr>
      </w:pPr>
    </w:p>
    <w:p w:rsidR="00DD33C3" w:rsidRPr="00DD33C3" w:rsidRDefault="00DD33C3" w:rsidP="00DD33C3">
      <w:pPr>
        <w:tabs>
          <w:tab w:val="left" w:pos="-1440"/>
          <w:tab w:val="left" w:pos="-720"/>
          <w:tab w:val="left" w:pos="5040"/>
          <w:tab w:val="center" w:pos="7200"/>
        </w:tabs>
        <w:spacing w:line="240" w:lineRule="auto"/>
        <w:rPr>
          <w:rFonts w:eastAsia="Times New Roman" w:cs="Arial"/>
        </w:rPr>
      </w:pPr>
      <w:r w:rsidRPr="00DD33C3">
        <w:rPr>
          <w:rFonts w:eastAsia="Times New Roman" w:cs="Arial"/>
        </w:rPr>
        <w:t>Clinton A. Vince, Counsel of Record</w:t>
      </w:r>
    </w:p>
    <w:p w:rsidR="00DD33C3" w:rsidRPr="00DD33C3" w:rsidRDefault="00DD33C3" w:rsidP="00DD33C3">
      <w:pPr>
        <w:autoSpaceDE w:val="0"/>
        <w:autoSpaceDN w:val="0"/>
        <w:adjustRightInd w:val="0"/>
        <w:spacing w:line="240" w:lineRule="auto"/>
        <w:jc w:val="left"/>
        <w:rPr>
          <w:rFonts w:eastAsia="Calibri" w:cs="Arial"/>
        </w:rPr>
      </w:pPr>
      <w:r w:rsidRPr="00DD33C3">
        <w:rPr>
          <w:rFonts w:eastAsia="Calibri" w:cs="Arial"/>
        </w:rPr>
        <w:t xml:space="preserve">Dan Barnowski </w:t>
      </w:r>
    </w:p>
    <w:p w:rsidR="00DD33C3" w:rsidRPr="00DD33C3" w:rsidRDefault="00DD33C3" w:rsidP="00DD33C3">
      <w:pPr>
        <w:spacing w:line="240" w:lineRule="auto"/>
        <w:jc w:val="left"/>
        <w:rPr>
          <w:rFonts w:eastAsia="Times New Roman" w:cs="Arial"/>
        </w:rPr>
      </w:pPr>
      <w:r w:rsidRPr="00DD33C3">
        <w:rPr>
          <w:rFonts w:eastAsia="Times New Roman" w:cs="Arial"/>
        </w:rPr>
        <w:t>William D. Booth</w:t>
      </w:r>
    </w:p>
    <w:p w:rsidR="00DD33C3" w:rsidRPr="00DD33C3" w:rsidRDefault="00DD33C3" w:rsidP="00DD33C3">
      <w:pPr>
        <w:spacing w:line="240" w:lineRule="auto"/>
        <w:jc w:val="left"/>
        <w:rPr>
          <w:rFonts w:eastAsia="Times New Roman" w:cs="Arial"/>
        </w:rPr>
      </w:pPr>
      <w:r w:rsidRPr="00DD33C3">
        <w:rPr>
          <w:rFonts w:eastAsia="Times New Roman" w:cs="Arial"/>
        </w:rPr>
        <w:t>Emma F. Hand</w:t>
      </w:r>
    </w:p>
    <w:p w:rsidR="00DD33C3" w:rsidRPr="00DD33C3" w:rsidRDefault="00DD33C3" w:rsidP="00DD33C3">
      <w:pPr>
        <w:spacing w:line="240" w:lineRule="auto"/>
        <w:jc w:val="left"/>
        <w:rPr>
          <w:rFonts w:eastAsia="Times New Roman" w:cs="Arial"/>
        </w:rPr>
      </w:pPr>
      <w:r w:rsidRPr="00DD33C3">
        <w:rPr>
          <w:rFonts w:eastAsia="Times New Roman" w:cs="Arial"/>
        </w:rPr>
        <w:t>Scott M. Richardson</w:t>
      </w:r>
    </w:p>
    <w:p w:rsidR="00DD33C3" w:rsidRPr="00DD33C3" w:rsidRDefault="00DD33C3" w:rsidP="00DD33C3">
      <w:pPr>
        <w:spacing w:line="240" w:lineRule="auto"/>
        <w:jc w:val="left"/>
        <w:rPr>
          <w:rFonts w:eastAsia="Times New Roman" w:cs="Arial"/>
        </w:rPr>
      </w:pPr>
      <w:r w:rsidRPr="00DD33C3">
        <w:rPr>
          <w:rFonts w:eastAsia="Times New Roman" w:cs="Arial"/>
        </w:rPr>
        <w:t>SNR Denton</w:t>
      </w:r>
    </w:p>
    <w:p w:rsidR="00DD33C3" w:rsidRPr="00DD33C3" w:rsidRDefault="00DD33C3" w:rsidP="00DD33C3">
      <w:pPr>
        <w:spacing w:line="240" w:lineRule="auto"/>
        <w:jc w:val="left"/>
        <w:rPr>
          <w:rFonts w:eastAsia="Times New Roman" w:cs="Arial"/>
        </w:rPr>
      </w:pPr>
      <w:r w:rsidRPr="00DD33C3">
        <w:rPr>
          <w:rFonts w:eastAsia="Times New Roman" w:cs="Arial"/>
        </w:rPr>
        <w:t>1301 K Street NW</w:t>
      </w:r>
    </w:p>
    <w:p w:rsidR="00DD33C3" w:rsidRPr="00DD33C3" w:rsidRDefault="00DD33C3" w:rsidP="00DD33C3">
      <w:pPr>
        <w:spacing w:line="240" w:lineRule="auto"/>
        <w:jc w:val="left"/>
        <w:rPr>
          <w:rFonts w:eastAsia="Times New Roman" w:cs="Arial"/>
        </w:rPr>
      </w:pPr>
      <w:r w:rsidRPr="00DD33C3">
        <w:rPr>
          <w:rFonts w:eastAsia="Times New Roman" w:cs="Arial"/>
        </w:rPr>
        <w:t>Suite 600, East Tower</w:t>
      </w:r>
    </w:p>
    <w:p w:rsidR="00DD33C3" w:rsidRPr="00DD33C3" w:rsidRDefault="00DD33C3" w:rsidP="00DD33C3">
      <w:pPr>
        <w:spacing w:line="240" w:lineRule="auto"/>
        <w:jc w:val="left"/>
        <w:rPr>
          <w:rFonts w:eastAsia="Times New Roman" w:cs="Arial"/>
        </w:rPr>
      </w:pPr>
      <w:r w:rsidRPr="00DD33C3">
        <w:rPr>
          <w:rFonts w:eastAsia="Times New Roman" w:cs="Arial"/>
        </w:rPr>
        <w:t>Washington, DC  20005</w:t>
      </w:r>
    </w:p>
    <w:p w:rsidR="00DD33C3" w:rsidRPr="00DD33C3" w:rsidRDefault="00DD33C3" w:rsidP="00DD33C3">
      <w:pPr>
        <w:spacing w:line="240" w:lineRule="auto"/>
        <w:jc w:val="left"/>
        <w:rPr>
          <w:rFonts w:eastAsia="Times New Roman" w:cs="Arial"/>
        </w:rPr>
      </w:pPr>
      <w:r w:rsidRPr="00DD33C3">
        <w:rPr>
          <w:rFonts w:eastAsia="Times New Roman" w:cs="Arial"/>
        </w:rPr>
        <w:t>clinton.vince@snrdenton.com</w:t>
      </w:r>
    </w:p>
    <w:p w:rsidR="00DD33C3" w:rsidRPr="00DD33C3" w:rsidRDefault="00DD33C3" w:rsidP="00DD33C3">
      <w:pPr>
        <w:autoSpaceDE w:val="0"/>
        <w:autoSpaceDN w:val="0"/>
        <w:adjustRightInd w:val="0"/>
        <w:spacing w:line="240" w:lineRule="auto"/>
        <w:jc w:val="left"/>
        <w:rPr>
          <w:rFonts w:eastAsia="Calibri" w:cs="Arial"/>
        </w:rPr>
      </w:pPr>
      <w:r w:rsidRPr="00DD33C3">
        <w:rPr>
          <w:rFonts w:eastAsia="Calibri" w:cs="Arial"/>
        </w:rPr>
        <w:t>dan.barnowski@snrdenton.com</w:t>
      </w:r>
    </w:p>
    <w:p w:rsidR="00DD33C3" w:rsidRPr="00DD33C3" w:rsidRDefault="00DD33C3" w:rsidP="00DD33C3">
      <w:pPr>
        <w:spacing w:line="240" w:lineRule="auto"/>
        <w:jc w:val="left"/>
        <w:rPr>
          <w:rFonts w:eastAsia="Times New Roman" w:cs="Arial"/>
        </w:rPr>
      </w:pPr>
      <w:r w:rsidRPr="00DD33C3">
        <w:rPr>
          <w:rFonts w:eastAsia="Times New Roman" w:cs="Arial"/>
        </w:rPr>
        <w:t>William.booth@snrdenton.com</w:t>
      </w:r>
    </w:p>
    <w:p w:rsidR="00DD33C3" w:rsidRPr="00DD33C3" w:rsidRDefault="00DD33C3" w:rsidP="00DD33C3">
      <w:pPr>
        <w:spacing w:line="240" w:lineRule="auto"/>
        <w:jc w:val="left"/>
        <w:rPr>
          <w:rFonts w:eastAsia="Times New Roman" w:cs="Arial"/>
        </w:rPr>
      </w:pPr>
      <w:r w:rsidRPr="00DD33C3">
        <w:rPr>
          <w:rFonts w:eastAsia="Times New Roman" w:cs="Arial"/>
        </w:rPr>
        <w:t>emma.hand@snrdenton.com</w:t>
      </w:r>
    </w:p>
    <w:p w:rsidR="00DD33C3" w:rsidRPr="00DD33C3" w:rsidRDefault="00DD33C3" w:rsidP="00DD33C3">
      <w:pPr>
        <w:spacing w:line="240" w:lineRule="auto"/>
        <w:jc w:val="left"/>
        <w:rPr>
          <w:rFonts w:eastAsia="Times New Roman" w:cs="Arial"/>
        </w:rPr>
      </w:pPr>
    </w:p>
    <w:p w:rsidR="00DD33C3" w:rsidRPr="00DD33C3" w:rsidRDefault="00DD33C3" w:rsidP="00DD33C3">
      <w:pPr>
        <w:tabs>
          <w:tab w:val="left" w:pos="2160"/>
          <w:tab w:val="left" w:pos="2280"/>
        </w:tabs>
        <w:spacing w:line="240" w:lineRule="auto"/>
        <w:jc w:val="left"/>
        <w:rPr>
          <w:rFonts w:eastAsia="Times New Roman" w:cs="Arial"/>
          <w:color w:val="000000"/>
        </w:rPr>
      </w:pPr>
      <w:r w:rsidRPr="00DD33C3">
        <w:rPr>
          <w:rFonts w:eastAsia="Times New Roman" w:cs="Arial"/>
          <w:color w:val="000000"/>
        </w:rPr>
        <w:t>M. Howard Petricoff</w:t>
      </w:r>
    </w:p>
    <w:p w:rsidR="00DD33C3" w:rsidRPr="00DD33C3" w:rsidRDefault="00DD33C3" w:rsidP="00DD33C3">
      <w:pPr>
        <w:tabs>
          <w:tab w:val="left" w:pos="2160"/>
          <w:tab w:val="left" w:pos="2280"/>
        </w:tabs>
        <w:spacing w:line="240" w:lineRule="auto"/>
        <w:jc w:val="left"/>
        <w:rPr>
          <w:rFonts w:eastAsia="Times New Roman" w:cs="Arial"/>
          <w:color w:val="000000"/>
        </w:rPr>
      </w:pPr>
      <w:r w:rsidRPr="00DD33C3">
        <w:rPr>
          <w:rFonts w:eastAsia="Times New Roman" w:cs="Arial"/>
          <w:color w:val="000000"/>
        </w:rPr>
        <w:t>Stephen M. Howard</w:t>
      </w:r>
    </w:p>
    <w:p w:rsidR="00DD33C3" w:rsidRPr="00DD33C3" w:rsidRDefault="00DD33C3" w:rsidP="00DD33C3">
      <w:pPr>
        <w:tabs>
          <w:tab w:val="left" w:pos="2160"/>
          <w:tab w:val="left" w:pos="2280"/>
        </w:tabs>
        <w:spacing w:line="240" w:lineRule="auto"/>
        <w:jc w:val="left"/>
        <w:rPr>
          <w:rFonts w:eastAsia="Times New Roman" w:cs="Arial"/>
          <w:color w:val="000000"/>
        </w:rPr>
      </w:pPr>
      <w:r w:rsidRPr="00DD33C3">
        <w:rPr>
          <w:rFonts w:eastAsia="Times New Roman" w:cs="Arial"/>
          <w:color w:val="000000"/>
        </w:rPr>
        <w:t>Vorys, Sater, Seymour and Pease LLP</w:t>
      </w:r>
    </w:p>
    <w:p w:rsidR="00DD33C3" w:rsidRPr="00DD33C3" w:rsidRDefault="00DD33C3" w:rsidP="00DD33C3">
      <w:pPr>
        <w:tabs>
          <w:tab w:val="left" w:pos="2160"/>
          <w:tab w:val="left" w:pos="2280"/>
        </w:tabs>
        <w:spacing w:line="240" w:lineRule="auto"/>
        <w:jc w:val="left"/>
        <w:rPr>
          <w:rFonts w:eastAsia="Times New Roman" w:cs="Arial"/>
          <w:color w:val="000000"/>
        </w:rPr>
      </w:pPr>
      <w:r w:rsidRPr="00DD33C3">
        <w:rPr>
          <w:rFonts w:eastAsia="Times New Roman" w:cs="Arial"/>
          <w:color w:val="000000"/>
        </w:rPr>
        <w:t>52 E. Gay Street</w:t>
      </w:r>
    </w:p>
    <w:p w:rsidR="00DD33C3" w:rsidRPr="00DD33C3" w:rsidRDefault="00DD33C3" w:rsidP="00DD33C3">
      <w:pPr>
        <w:tabs>
          <w:tab w:val="left" w:pos="2160"/>
          <w:tab w:val="left" w:pos="2280"/>
        </w:tabs>
        <w:spacing w:line="240" w:lineRule="auto"/>
        <w:jc w:val="left"/>
        <w:rPr>
          <w:rFonts w:eastAsia="Times New Roman" w:cs="Arial"/>
          <w:color w:val="000000"/>
        </w:rPr>
      </w:pPr>
      <w:r w:rsidRPr="00DD33C3">
        <w:rPr>
          <w:rFonts w:eastAsia="Times New Roman" w:cs="Arial"/>
          <w:color w:val="000000"/>
        </w:rPr>
        <w:t>PO Box 1008</w:t>
      </w:r>
    </w:p>
    <w:p w:rsidR="00DD33C3" w:rsidRPr="00DD33C3" w:rsidRDefault="00DD33C3" w:rsidP="00DD33C3">
      <w:pPr>
        <w:tabs>
          <w:tab w:val="left" w:pos="2160"/>
          <w:tab w:val="left" w:pos="2280"/>
        </w:tabs>
        <w:spacing w:line="240" w:lineRule="auto"/>
        <w:jc w:val="left"/>
        <w:rPr>
          <w:rFonts w:eastAsia="Times New Roman" w:cs="Arial"/>
          <w:color w:val="000000"/>
        </w:rPr>
      </w:pPr>
      <w:r w:rsidRPr="00DD33C3">
        <w:rPr>
          <w:rFonts w:eastAsia="Times New Roman" w:cs="Arial"/>
          <w:color w:val="000000"/>
        </w:rPr>
        <w:t>Columbus, OH  43216-1008</w:t>
      </w:r>
    </w:p>
    <w:p w:rsidR="00DD33C3" w:rsidRPr="00DD33C3" w:rsidRDefault="00DD33C3" w:rsidP="00DD33C3">
      <w:pPr>
        <w:tabs>
          <w:tab w:val="left" w:pos="2160"/>
          <w:tab w:val="left" w:pos="2280"/>
        </w:tabs>
        <w:spacing w:line="240" w:lineRule="auto"/>
        <w:jc w:val="left"/>
        <w:rPr>
          <w:rFonts w:eastAsia="Times New Roman" w:cs="Arial"/>
          <w:color w:val="000000"/>
        </w:rPr>
      </w:pPr>
      <w:r w:rsidRPr="00DD33C3">
        <w:rPr>
          <w:rFonts w:eastAsia="Times New Roman" w:cs="Arial"/>
          <w:color w:val="000000"/>
        </w:rPr>
        <w:t>mhpetricoff@vorys.com</w:t>
      </w:r>
    </w:p>
    <w:p w:rsidR="00DD33C3" w:rsidRPr="00DD33C3" w:rsidRDefault="00DD33C3" w:rsidP="00DD33C3">
      <w:pPr>
        <w:tabs>
          <w:tab w:val="left" w:pos="2160"/>
          <w:tab w:val="left" w:pos="2280"/>
        </w:tabs>
        <w:spacing w:line="240" w:lineRule="auto"/>
        <w:jc w:val="left"/>
        <w:rPr>
          <w:rFonts w:eastAsia="Times New Roman" w:cs="Arial"/>
          <w:color w:val="000000"/>
        </w:rPr>
      </w:pPr>
      <w:r w:rsidRPr="00DD33C3">
        <w:rPr>
          <w:rFonts w:eastAsia="Times New Roman" w:cs="Arial"/>
          <w:color w:val="000000"/>
        </w:rPr>
        <w:t>smhoward@vorys.com</w:t>
      </w:r>
    </w:p>
    <w:p w:rsidR="00DD33C3" w:rsidRPr="00DD33C3" w:rsidRDefault="00DD33C3" w:rsidP="00DD33C3">
      <w:pPr>
        <w:spacing w:line="240" w:lineRule="auto"/>
        <w:jc w:val="left"/>
        <w:rPr>
          <w:rFonts w:eastAsia="Times New Roman" w:cs="Arial"/>
        </w:rPr>
      </w:pPr>
    </w:p>
    <w:p w:rsidR="00DD33C3" w:rsidRPr="00DD33C3" w:rsidRDefault="00DD33C3" w:rsidP="00DD33C3">
      <w:pPr>
        <w:spacing w:line="240" w:lineRule="auto"/>
        <w:jc w:val="left"/>
        <w:rPr>
          <w:rFonts w:eastAsia="Times New Roman" w:cs="Arial"/>
          <w:b/>
          <w:smallCaps/>
        </w:rPr>
      </w:pPr>
      <w:r w:rsidRPr="00DD33C3">
        <w:rPr>
          <w:rFonts w:eastAsia="Times New Roman" w:cs="Arial"/>
          <w:b/>
          <w:smallCaps/>
        </w:rPr>
        <w:t>On behalf of Ormet Primary Aluminum Corporation</w:t>
      </w:r>
    </w:p>
    <w:p w:rsidR="00DD33C3" w:rsidRPr="00DD33C3" w:rsidRDefault="00DD33C3" w:rsidP="00DD33C3">
      <w:pPr>
        <w:spacing w:line="240" w:lineRule="auto"/>
        <w:jc w:val="left"/>
        <w:rPr>
          <w:rFonts w:eastAsia="Times New Roman" w:cs="Arial"/>
        </w:rPr>
      </w:pPr>
    </w:p>
    <w:p w:rsidR="00DD33C3" w:rsidRDefault="00DD33C3" w:rsidP="00DD33C3">
      <w:pPr>
        <w:spacing w:line="240" w:lineRule="auto"/>
        <w:jc w:val="left"/>
        <w:rPr>
          <w:rFonts w:eastAsia="Times New Roman" w:cs="Arial"/>
        </w:rPr>
      </w:pPr>
      <w:r>
        <w:rPr>
          <w:rFonts w:eastAsia="Times New Roman" w:cs="Arial"/>
        </w:rPr>
        <w:br w:type="column"/>
      </w:r>
    </w:p>
    <w:p w:rsidR="00DD33C3" w:rsidRPr="00DD33C3" w:rsidRDefault="00DD33C3" w:rsidP="00DD33C3">
      <w:pPr>
        <w:spacing w:line="240" w:lineRule="auto"/>
        <w:jc w:val="left"/>
        <w:rPr>
          <w:rFonts w:eastAsia="Times New Roman" w:cs="Arial"/>
        </w:rPr>
      </w:pPr>
      <w:r w:rsidRPr="00DD33C3">
        <w:rPr>
          <w:rFonts w:eastAsia="Times New Roman" w:cs="Arial"/>
        </w:rPr>
        <w:t>Steven T. Nourse</w:t>
      </w:r>
    </w:p>
    <w:p w:rsidR="00DD33C3" w:rsidRPr="00DD33C3" w:rsidRDefault="00DD33C3" w:rsidP="00DD33C3">
      <w:pPr>
        <w:spacing w:line="240" w:lineRule="auto"/>
        <w:jc w:val="left"/>
        <w:rPr>
          <w:rFonts w:eastAsia="Times New Roman" w:cs="Arial"/>
        </w:rPr>
      </w:pPr>
      <w:r w:rsidRPr="00DD33C3">
        <w:rPr>
          <w:rFonts w:eastAsia="Times New Roman" w:cs="Arial"/>
        </w:rPr>
        <w:t>American Electric Power</w:t>
      </w:r>
    </w:p>
    <w:p w:rsidR="00DD33C3" w:rsidRPr="00DD33C3" w:rsidRDefault="00DD33C3" w:rsidP="00DD33C3">
      <w:pPr>
        <w:spacing w:line="240" w:lineRule="auto"/>
        <w:jc w:val="left"/>
        <w:rPr>
          <w:rFonts w:eastAsia="Times New Roman" w:cs="Arial"/>
        </w:rPr>
      </w:pPr>
      <w:r w:rsidRPr="00DD33C3">
        <w:rPr>
          <w:rFonts w:eastAsia="Times New Roman" w:cs="Arial"/>
        </w:rPr>
        <w:t xml:space="preserve">  Service Corporation</w:t>
      </w:r>
    </w:p>
    <w:p w:rsidR="00DD33C3" w:rsidRPr="00DD33C3" w:rsidRDefault="00DD33C3" w:rsidP="00DD33C3">
      <w:pPr>
        <w:spacing w:line="240" w:lineRule="auto"/>
        <w:jc w:val="left"/>
        <w:rPr>
          <w:rFonts w:eastAsia="Times New Roman" w:cs="Arial"/>
        </w:rPr>
      </w:pPr>
      <w:r w:rsidRPr="00DD33C3">
        <w:rPr>
          <w:rFonts w:eastAsia="Times New Roman" w:cs="Arial"/>
        </w:rPr>
        <w:t>1 Riverside Plaza, 29</w:t>
      </w:r>
      <w:r w:rsidRPr="00DD33C3">
        <w:rPr>
          <w:rFonts w:eastAsia="Times New Roman" w:cs="Arial"/>
          <w:vertAlign w:val="superscript"/>
        </w:rPr>
        <w:t>th</w:t>
      </w:r>
      <w:r w:rsidRPr="00DD33C3">
        <w:rPr>
          <w:rFonts w:eastAsia="Times New Roman" w:cs="Arial"/>
        </w:rPr>
        <w:t xml:space="preserve"> Floor</w:t>
      </w:r>
    </w:p>
    <w:p w:rsidR="00DD33C3" w:rsidRPr="00DD33C3" w:rsidRDefault="00DD33C3" w:rsidP="00DD33C3">
      <w:pPr>
        <w:spacing w:line="240" w:lineRule="auto"/>
        <w:jc w:val="left"/>
        <w:rPr>
          <w:rFonts w:eastAsia="Times New Roman" w:cs="Arial"/>
        </w:rPr>
      </w:pPr>
      <w:r w:rsidRPr="00DD33C3">
        <w:rPr>
          <w:rFonts w:eastAsia="Times New Roman" w:cs="Arial"/>
        </w:rPr>
        <w:t>Columbus, OH  43215-2373</w:t>
      </w:r>
    </w:p>
    <w:p w:rsidR="00DD33C3" w:rsidRPr="00DD33C3" w:rsidRDefault="00DD33C3" w:rsidP="00DD33C3">
      <w:pPr>
        <w:spacing w:line="240" w:lineRule="auto"/>
        <w:jc w:val="left"/>
        <w:rPr>
          <w:rFonts w:eastAsia="Times New Roman" w:cs="Arial"/>
        </w:rPr>
      </w:pPr>
      <w:r w:rsidRPr="00DD33C3">
        <w:rPr>
          <w:rFonts w:eastAsia="Times New Roman" w:cs="Arial"/>
        </w:rPr>
        <w:t>stnourse@aep.com</w:t>
      </w:r>
    </w:p>
    <w:p w:rsidR="00DD33C3" w:rsidRPr="00DD33C3" w:rsidRDefault="00DD33C3" w:rsidP="00DD33C3">
      <w:pPr>
        <w:spacing w:line="240" w:lineRule="auto"/>
        <w:jc w:val="left"/>
        <w:rPr>
          <w:rFonts w:eastAsia="Times New Roman" w:cs="Arial"/>
        </w:rPr>
      </w:pPr>
    </w:p>
    <w:p w:rsidR="00DD33C3" w:rsidRPr="00DD33C3" w:rsidRDefault="00DD33C3" w:rsidP="00DD33C3">
      <w:pPr>
        <w:spacing w:line="240" w:lineRule="auto"/>
        <w:jc w:val="left"/>
        <w:rPr>
          <w:rFonts w:eastAsia="Times New Roman" w:cs="Arial"/>
          <w:b/>
          <w:smallCaps/>
        </w:rPr>
      </w:pPr>
      <w:r w:rsidRPr="00DD33C3">
        <w:rPr>
          <w:rFonts w:eastAsia="Times New Roman" w:cs="Arial"/>
          <w:b/>
          <w:smallCaps/>
        </w:rPr>
        <w:t>On behalf of Ohio Power Company</w:t>
      </w:r>
    </w:p>
    <w:p w:rsidR="00DD33C3" w:rsidRPr="00DD33C3" w:rsidRDefault="00DD33C3" w:rsidP="00DD33C3">
      <w:pPr>
        <w:spacing w:line="240" w:lineRule="auto"/>
        <w:jc w:val="left"/>
        <w:rPr>
          <w:rFonts w:eastAsia="Times New Roman" w:cs="Arial"/>
        </w:rPr>
      </w:pPr>
    </w:p>
    <w:p w:rsidR="00DD33C3" w:rsidRPr="00DD33C3" w:rsidRDefault="00DD33C3" w:rsidP="00DD33C3">
      <w:pPr>
        <w:spacing w:line="240" w:lineRule="auto"/>
        <w:jc w:val="left"/>
        <w:rPr>
          <w:rFonts w:eastAsia="Times New Roman" w:cs="Arial"/>
        </w:rPr>
      </w:pPr>
      <w:r w:rsidRPr="00DD33C3">
        <w:rPr>
          <w:rFonts w:eastAsia="Times New Roman" w:cs="Arial"/>
        </w:rPr>
        <w:t>David F. Boehm</w:t>
      </w:r>
    </w:p>
    <w:p w:rsidR="00DD33C3" w:rsidRPr="00DD33C3" w:rsidRDefault="00DD33C3" w:rsidP="00DD33C3">
      <w:pPr>
        <w:spacing w:line="240" w:lineRule="auto"/>
        <w:jc w:val="left"/>
        <w:rPr>
          <w:rFonts w:eastAsia="Times New Roman" w:cs="Arial"/>
        </w:rPr>
      </w:pPr>
      <w:r w:rsidRPr="00DD33C3">
        <w:rPr>
          <w:rFonts w:eastAsia="Times New Roman" w:cs="Arial"/>
        </w:rPr>
        <w:t>Michael L. Kurtz</w:t>
      </w:r>
    </w:p>
    <w:p w:rsidR="00DD33C3" w:rsidRPr="00DD33C3" w:rsidRDefault="00DD33C3" w:rsidP="00DD33C3">
      <w:pPr>
        <w:spacing w:line="240" w:lineRule="auto"/>
        <w:jc w:val="left"/>
        <w:rPr>
          <w:rFonts w:eastAsia="Times New Roman" w:cs="Arial"/>
        </w:rPr>
      </w:pPr>
      <w:r w:rsidRPr="00DD33C3">
        <w:rPr>
          <w:rFonts w:eastAsia="Times New Roman" w:cs="Arial"/>
        </w:rPr>
        <w:t>Boehm, Kurtz &amp; Lowry</w:t>
      </w:r>
    </w:p>
    <w:p w:rsidR="00DD33C3" w:rsidRPr="00DD33C3" w:rsidRDefault="00DD33C3" w:rsidP="00DD33C3">
      <w:pPr>
        <w:spacing w:line="240" w:lineRule="auto"/>
        <w:jc w:val="left"/>
        <w:rPr>
          <w:rFonts w:eastAsia="Times New Roman" w:cs="Arial"/>
        </w:rPr>
      </w:pPr>
      <w:r w:rsidRPr="00DD33C3">
        <w:rPr>
          <w:rFonts w:eastAsia="Times New Roman" w:cs="Arial"/>
        </w:rPr>
        <w:t>36 East Seventh Street, Suite 1510</w:t>
      </w:r>
    </w:p>
    <w:p w:rsidR="00DD33C3" w:rsidRPr="00DD33C3" w:rsidRDefault="00DD33C3" w:rsidP="00DD33C3">
      <w:pPr>
        <w:spacing w:line="240" w:lineRule="auto"/>
        <w:jc w:val="left"/>
        <w:rPr>
          <w:rFonts w:eastAsia="Times New Roman" w:cs="Arial"/>
        </w:rPr>
      </w:pPr>
      <w:r w:rsidRPr="00DD33C3">
        <w:rPr>
          <w:rFonts w:eastAsia="Times New Roman" w:cs="Arial"/>
        </w:rPr>
        <w:t>Cincinnati, OH  45202</w:t>
      </w:r>
    </w:p>
    <w:p w:rsidR="00DD33C3" w:rsidRPr="00DD33C3" w:rsidRDefault="00DD33C3" w:rsidP="00DD33C3">
      <w:pPr>
        <w:spacing w:line="240" w:lineRule="auto"/>
        <w:jc w:val="left"/>
        <w:rPr>
          <w:rFonts w:eastAsia="Times New Roman" w:cs="Arial"/>
        </w:rPr>
      </w:pPr>
      <w:r w:rsidRPr="00DD33C3">
        <w:rPr>
          <w:rFonts w:eastAsia="Times New Roman" w:cs="Arial"/>
        </w:rPr>
        <w:t>dboehm@BKLlawfirm.com</w:t>
      </w:r>
    </w:p>
    <w:p w:rsidR="00DD33C3" w:rsidRPr="00DD33C3" w:rsidRDefault="00DD33C3" w:rsidP="00DD33C3">
      <w:pPr>
        <w:spacing w:line="240" w:lineRule="auto"/>
        <w:jc w:val="left"/>
        <w:rPr>
          <w:rFonts w:eastAsia="Times New Roman" w:cs="Arial"/>
        </w:rPr>
      </w:pPr>
      <w:r w:rsidRPr="00DD33C3">
        <w:rPr>
          <w:rFonts w:eastAsia="Times New Roman" w:cs="Arial"/>
        </w:rPr>
        <w:t>mkurtz@bkllawfirm.com</w:t>
      </w:r>
    </w:p>
    <w:p w:rsidR="00DD33C3" w:rsidRPr="00DD33C3" w:rsidRDefault="00DD33C3" w:rsidP="00DD33C3">
      <w:pPr>
        <w:spacing w:line="240" w:lineRule="auto"/>
        <w:jc w:val="left"/>
        <w:rPr>
          <w:rFonts w:eastAsia="Times New Roman" w:cs="Arial"/>
        </w:rPr>
      </w:pPr>
    </w:p>
    <w:p w:rsidR="00DD33C3" w:rsidRPr="00DD33C3" w:rsidRDefault="00DD33C3" w:rsidP="00DD33C3">
      <w:pPr>
        <w:spacing w:line="240" w:lineRule="auto"/>
        <w:jc w:val="left"/>
        <w:rPr>
          <w:rFonts w:eastAsia="Times New Roman" w:cs="Arial"/>
          <w:b/>
          <w:smallCaps/>
        </w:rPr>
      </w:pPr>
      <w:r w:rsidRPr="00DD33C3">
        <w:rPr>
          <w:rFonts w:eastAsia="Times New Roman" w:cs="Arial"/>
          <w:b/>
          <w:smallCaps/>
        </w:rPr>
        <w:t>On behalf of the Ohio Energy Group</w:t>
      </w:r>
    </w:p>
    <w:p w:rsidR="00DD33C3" w:rsidRPr="00DD33C3" w:rsidRDefault="00DD33C3" w:rsidP="00DD33C3">
      <w:pPr>
        <w:spacing w:line="240" w:lineRule="auto"/>
        <w:jc w:val="left"/>
        <w:rPr>
          <w:rFonts w:eastAsia="Times New Roman" w:cs="Arial"/>
        </w:rPr>
      </w:pPr>
    </w:p>
    <w:p w:rsidR="00DD33C3" w:rsidRDefault="00DD33C3" w:rsidP="00DD33C3">
      <w:pPr>
        <w:spacing w:line="240" w:lineRule="auto"/>
        <w:jc w:val="left"/>
        <w:rPr>
          <w:rFonts w:eastAsia="Times New Roman" w:cs="Arial"/>
        </w:rPr>
        <w:sectPr w:rsidR="00DD33C3" w:rsidSect="00DD33C3">
          <w:type w:val="continuous"/>
          <w:pgSz w:w="12240" w:h="15840" w:code="1"/>
          <w:pgMar w:top="1440" w:right="1440" w:bottom="1440" w:left="1440" w:header="720" w:footer="720" w:gutter="0"/>
          <w:pgNumType w:start="1"/>
          <w:cols w:num="2" w:space="720"/>
          <w:titlePg/>
          <w:docGrid w:linePitch="360"/>
        </w:sectPr>
      </w:pPr>
    </w:p>
    <w:p w:rsidR="00DD33C3" w:rsidRPr="00DD33C3" w:rsidRDefault="00DD33C3" w:rsidP="00DD33C3">
      <w:pPr>
        <w:spacing w:line="240" w:lineRule="auto"/>
        <w:jc w:val="left"/>
        <w:rPr>
          <w:rFonts w:eastAsia="Times New Roman" w:cs="Arial"/>
        </w:rPr>
      </w:pPr>
      <w:r w:rsidRPr="00DD33C3">
        <w:rPr>
          <w:rFonts w:eastAsia="Times New Roman" w:cs="Arial"/>
        </w:rPr>
        <w:t>Bruce J. Weston</w:t>
      </w:r>
    </w:p>
    <w:p w:rsidR="00DD33C3" w:rsidRPr="00DD33C3" w:rsidRDefault="00DD33C3" w:rsidP="00DD33C3">
      <w:pPr>
        <w:spacing w:line="240" w:lineRule="auto"/>
        <w:jc w:val="left"/>
        <w:rPr>
          <w:rFonts w:eastAsia="Times New Roman" w:cs="Arial"/>
        </w:rPr>
      </w:pPr>
      <w:r w:rsidRPr="00DD33C3">
        <w:rPr>
          <w:rFonts w:eastAsia="Times New Roman" w:cs="Arial"/>
        </w:rPr>
        <w:t>Consumers’ Counsel</w:t>
      </w:r>
    </w:p>
    <w:p w:rsidR="00DD33C3" w:rsidRPr="00DD33C3" w:rsidRDefault="00DD33C3" w:rsidP="00DD33C3">
      <w:pPr>
        <w:spacing w:line="240" w:lineRule="auto"/>
        <w:jc w:val="left"/>
        <w:rPr>
          <w:rFonts w:eastAsia="Times New Roman" w:cs="Arial"/>
        </w:rPr>
      </w:pPr>
      <w:r w:rsidRPr="00DD33C3">
        <w:rPr>
          <w:rFonts w:eastAsia="Times New Roman" w:cs="Arial"/>
        </w:rPr>
        <w:t>Maureen R. Grady, Counsel of Record</w:t>
      </w:r>
    </w:p>
    <w:p w:rsidR="00DD33C3" w:rsidRPr="00DD33C3" w:rsidRDefault="00DD33C3" w:rsidP="00DD33C3">
      <w:pPr>
        <w:spacing w:line="240" w:lineRule="auto"/>
        <w:jc w:val="left"/>
        <w:rPr>
          <w:rFonts w:eastAsia="Times New Roman" w:cs="Arial"/>
        </w:rPr>
      </w:pPr>
      <w:r w:rsidRPr="00DD33C3">
        <w:rPr>
          <w:rFonts w:eastAsia="Times New Roman" w:cs="Arial"/>
        </w:rPr>
        <w:t>Edmund “Tad” Berger</w:t>
      </w:r>
    </w:p>
    <w:p w:rsidR="00DD33C3" w:rsidRPr="00DD33C3" w:rsidRDefault="00DD33C3" w:rsidP="00DD33C3">
      <w:pPr>
        <w:spacing w:line="240" w:lineRule="auto"/>
        <w:jc w:val="left"/>
        <w:rPr>
          <w:rFonts w:eastAsia="Times New Roman" w:cs="Arial"/>
        </w:rPr>
      </w:pPr>
      <w:r w:rsidRPr="00DD33C3">
        <w:rPr>
          <w:rFonts w:eastAsia="Times New Roman" w:cs="Arial"/>
        </w:rPr>
        <w:t>Assistant Consumers’ Counsel</w:t>
      </w:r>
    </w:p>
    <w:p w:rsidR="00DD33C3" w:rsidRPr="00DD33C3" w:rsidRDefault="00DD33C3" w:rsidP="00DD33C3">
      <w:pPr>
        <w:spacing w:line="240" w:lineRule="auto"/>
        <w:jc w:val="left"/>
        <w:rPr>
          <w:rFonts w:eastAsia="Times New Roman" w:cs="Arial"/>
        </w:rPr>
      </w:pPr>
      <w:r w:rsidRPr="00DD33C3">
        <w:rPr>
          <w:rFonts w:eastAsia="Times New Roman" w:cs="Arial"/>
        </w:rPr>
        <w:t>Office of the Ohio Consumers’ Counsel</w:t>
      </w:r>
    </w:p>
    <w:p w:rsidR="00DD33C3" w:rsidRPr="00DD33C3" w:rsidRDefault="00DD33C3" w:rsidP="00DD33C3">
      <w:pPr>
        <w:spacing w:line="240" w:lineRule="auto"/>
        <w:jc w:val="left"/>
        <w:rPr>
          <w:rFonts w:eastAsia="Times New Roman" w:cs="Arial"/>
        </w:rPr>
      </w:pPr>
      <w:r w:rsidRPr="00DD33C3">
        <w:rPr>
          <w:rFonts w:eastAsia="Times New Roman" w:cs="Arial"/>
        </w:rPr>
        <w:t>10 West Broad Street, Suite 1800</w:t>
      </w:r>
    </w:p>
    <w:p w:rsidR="00DD33C3" w:rsidRPr="00DD33C3" w:rsidRDefault="00DD33C3" w:rsidP="00DD33C3">
      <w:pPr>
        <w:spacing w:line="240" w:lineRule="auto"/>
        <w:jc w:val="left"/>
        <w:rPr>
          <w:rFonts w:eastAsia="Times New Roman" w:cs="Arial"/>
        </w:rPr>
      </w:pPr>
      <w:r w:rsidRPr="00DD33C3">
        <w:rPr>
          <w:rFonts w:eastAsia="Times New Roman" w:cs="Arial"/>
        </w:rPr>
        <w:t>Columbus, OH  43215-3485</w:t>
      </w:r>
    </w:p>
    <w:p w:rsidR="00DD33C3" w:rsidRPr="00DD33C3" w:rsidRDefault="00DD33C3" w:rsidP="00DD33C3">
      <w:pPr>
        <w:spacing w:line="240" w:lineRule="auto"/>
        <w:jc w:val="left"/>
        <w:rPr>
          <w:rFonts w:eastAsia="Times New Roman" w:cs="Arial"/>
        </w:rPr>
      </w:pPr>
      <w:r w:rsidRPr="00DD33C3">
        <w:rPr>
          <w:rFonts w:eastAsia="Times New Roman" w:cs="Arial"/>
        </w:rPr>
        <w:t>grady@occ.state.oh.us</w:t>
      </w:r>
    </w:p>
    <w:p w:rsidR="00DD33C3" w:rsidRPr="00DD33C3" w:rsidRDefault="00DD33C3" w:rsidP="00DD33C3">
      <w:pPr>
        <w:spacing w:line="240" w:lineRule="auto"/>
        <w:jc w:val="left"/>
        <w:rPr>
          <w:rFonts w:eastAsia="Times New Roman" w:cs="Arial"/>
        </w:rPr>
      </w:pPr>
      <w:r w:rsidRPr="00DD33C3">
        <w:rPr>
          <w:rFonts w:eastAsia="Times New Roman" w:cs="Arial"/>
        </w:rPr>
        <w:t>berger@occ.state.oh.us</w:t>
      </w:r>
    </w:p>
    <w:p w:rsidR="00DD33C3" w:rsidRPr="00DD33C3" w:rsidRDefault="00DD33C3" w:rsidP="00DD33C3">
      <w:pPr>
        <w:spacing w:line="240" w:lineRule="auto"/>
        <w:jc w:val="left"/>
        <w:rPr>
          <w:rFonts w:eastAsia="Times New Roman" w:cs="Arial"/>
        </w:rPr>
      </w:pPr>
    </w:p>
    <w:p w:rsidR="00DD33C3" w:rsidRPr="00DD33C3" w:rsidRDefault="00DD33C3" w:rsidP="00DD33C3">
      <w:pPr>
        <w:spacing w:line="240" w:lineRule="auto"/>
        <w:jc w:val="left"/>
        <w:rPr>
          <w:rFonts w:eastAsia="Times New Roman" w:cs="Arial"/>
          <w:b/>
          <w:smallCaps/>
        </w:rPr>
      </w:pPr>
      <w:r w:rsidRPr="00DD33C3">
        <w:rPr>
          <w:rFonts w:eastAsia="Times New Roman" w:cs="Arial"/>
          <w:b/>
          <w:smallCaps/>
        </w:rPr>
        <w:t>On behalf of the Office of the Ohio Consumers’ Counsel</w:t>
      </w:r>
    </w:p>
    <w:p w:rsidR="00DD33C3" w:rsidRDefault="00DD33C3" w:rsidP="00DD33C3">
      <w:pPr>
        <w:spacing w:line="240" w:lineRule="auto"/>
        <w:jc w:val="left"/>
        <w:rPr>
          <w:rFonts w:eastAsia="Times New Roman" w:cs="Arial"/>
        </w:rPr>
      </w:pPr>
    </w:p>
    <w:p w:rsidR="00DD33C3" w:rsidRPr="00DD33C3" w:rsidRDefault="00DD33C3" w:rsidP="00DD33C3">
      <w:pPr>
        <w:spacing w:line="240" w:lineRule="auto"/>
        <w:jc w:val="left"/>
        <w:rPr>
          <w:rFonts w:eastAsia="Times New Roman" w:cs="Arial"/>
        </w:rPr>
      </w:pPr>
      <w:r w:rsidRPr="00DD33C3">
        <w:rPr>
          <w:rFonts w:eastAsia="Times New Roman" w:cs="Arial"/>
        </w:rPr>
        <w:t>Mark S. Yurick</w:t>
      </w:r>
    </w:p>
    <w:p w:rsidR="00DD33C3" w:rsidRPr="00DD33C3" w:rsidRDefault="00DD33C3" w:rsidP="00DD33C3">
      <w:pPr>
        <w:spacing w:line="240" w:lineRule="auto"/>
        <w:jc w:val="left"/>
        <w:rPr>
          <w:rFonts w:eastAsia="Times New Roman" w:cs="Arial"/>
        </w:rPr>
      </w:pPr>
      <w:r w:rsidRPr="00DD33C3">
        <w:rPr>
          <w:rFonts w:eastAsia="Times New Roman" w:cs="Arial"/>
        </w:rPr>
        <w:t>Taft, Stettinius &amp; Hollister</w:t>
      </w:r>
    </w:p>
    <w:p w:rsidR="00DD33C3" w:rsidRPr="00DD33C3" w:rsidRDefault="00DD33C3" w:rsidP="00DD33C3">
      <w:pPr>
        <w:spacing w:line="240" w:lineRule="auto"/>
        <w:jc w:val="left"/>
        <w:rPr>
          <w:rFonts w:eastAsia="Times New Roman" w:cs="Arial"/>
        </w:rPr>
      </w:pPr>
      <w:r w:rsidRPr="00DD33C3">
        <w:rPr>
          <w:rFonts w:eastAsia="Times New Roman" w:cs="Arial"/>
        </w:rPr>
        <w:t>65 East State Street, Suite 1000</w:t>
      </w:r>
    </w:p>
    <w:p w:rsidR="00DD33C3" w:rsidRPr="00DD33C3" w:rsidRDefault="00DD33C3" w:rsidP="00DD33C3">
      <w:pPr>
        <w:spacing w:line="240" w:lineRule="auto"/>
        <w:jc w:val="left"/>
        <w:rPr>
          <w:rFonts w:eastAsia="Times New Roman" w:cs="Arial"/>
        </w:rPr>
      </w:pPr>
      <w:r w:rsidRPr="00DD33C3">
        <w:rPr>
          <w:rFonts w:eastAsia="Times New Roman" w:cs="Arial"/>
        </w:rPr>
        <w:t>Columbus, OH  43215-4213</w:t>
      </w:r>
    </w:p>
    <w:p w:rsidR="00DD33C3" w:rsidRPr="00DD33C3" w:rsidRDefault="00DD33C3" w:rsidP="00DD33C3">
      <w:pPr>
        <w:spacing w:line="240" w:lineRule="auto"/>
        <w:jc w:val="left"/>
        <w:rPr>
          <w:rFonts w:eastAsia="Times New Roman" w:cs="Arial"/>
        </w:rPr>
      </w:pPr>
      <w:r w:rsidRPr="00DD33C3">
        <w:rPr>
          <w:rFonts w:eastAsia="Times New Roman" w:cs="Arial"/>
        </w:rPr>
        <w:t>myurick@taftlaw.com</w:t>
      </w:r>
    </w:p>
    <w:p w:rsidR="00DD33C3" w:rsidRPr="00DD33C3" w:rsidRDefault="00DD33C3" w:rsidP="00DD33C3">
      <w:pPr>
        <w:spacing w:line="240" w:lineRule="auto"/>
        <w:jc w:val="left"/>
        <w:rPr>
          <w:rFonts w:eastAsia="Times New Roman" w:cs="Arial"/>
        </w:rPr>
      </w:pPr>
    </w:p>
    <w:p w:rsidR="00DD33C3" w:rsidRPr="00DD33C3" w:rsidRDefault="00DD33C3" w:rsidP="00DD33C3">
      <w:pPr>
        <w:spacing w:line="240" w:lineRule="auto"/>
        <w:jc w:val="left"/>
        <w:rPr>
          <w:rFonts w:eastAsia="Times New Roman" w:cs="Arial"/>
          <w:b/>
          <w:smallCaps/>
        </w:rPr>
      </w:pPr>
      <w:r w:rsidRPr="00DD33C3">
        <w:rPr>
          <w:rFonts w:eastAsia="Times New Roman" w:cs="Arial"/>
          <w:b/>
          <w:smallCaps/>
        </w:rPr>
        <w:t>On behalf of The Kroger Company</w:t>
      </w:r>
    </w:p>
    <w:p w:rsidR="00DD33C3" w:rsidRPr="00DD33C3" w:rsidRDefault="00DD33C3" w:rsidP="00DD33C3">
      <w:pPr>
        <w:spacing w:line="240" w:lineRule="auto"/>
        <w:jc w:val="left"/>
        <w:rPr>
          <w:rFonts w:eastAsia="Times New Roman" w:cs="Arial"/>
        </w:rPr>
      </w:pPr>
    </w:p>
    <w:p w:rsidR="00DD33C3" w:rsidRPr="00DD33C3" w:rsidRDefault="00DD33C3" w:rsidP="00DD33C3">
      <w:pPr>
        <w:autoSpaceDE w:val="0"/>
        <w:autoSpaceDN w:val="0"/>
        <w:adjustRightInd w:val="0"/>
        <w:spacing w:line="240" w:lineRule="auto"/>
        <w:jc w:val="left"/>
        <w:rPr>
          <w:rFonts w:eastAsia="Calibri" w:cs="Arial"/>
        </w:rPr>
      </w:pPr>
      <w:r w:rsidRPr="00DD33C3">
        <w:rPr>
          <w:rFonts w:eastAsia="Calibri" w:cs="Arial"/>
        </w:rPr>
        <w:t>J. Thomas Siwo</w:t>
      </w:r>
    </w:p>
    <w:p w:rsidR="00DD33C3" w:rsidRPr="00DD33C3" w:rsidRDefault="00DD33C3" w:rsidP="00DD33C3">
      <w:pPr>
        <w:autoSpaceDE w:val="0"/>
        <w:autoSpaceDN w:val="0"/>
        <w:adjustRightInd w:val="0"/>
        <w:spacing w:line="240" w:lineRule="auto"/>
        <w:jc w:val="left"/>
        <w:rPr>
          <w:rFonts w:eastAsia="Calibri" w:cs="Arial"/>
        </w:rPr>
      </w:pPr>
      <w:r w:rsidRPr="00DD33C3">
        <w:rPr>
          <w:rFonts w:eastAsia="Calibri" w:cs="Arial"/>
        </w:rPr>
        <w:t>Maria J. Armstrong</w:t>
      </w:r>
    </w:p>
    <w:p w:rsidR="00DD33C3" w:rsidRPr="00DD33C3" w:rsidRDefault="00DD33C3" w:rsidP="00DD33C3">
      <w:pPr>
        <w:autoSpaceDE w:val="0"/>
        <w:autoSpaceDN w:val="0"/>
        <w:adjustRightInd w:val="0"/>
        <w:spacing w:line="240" w:lineRule="auto"/>
        <w:jc w:val="left"/>
        <w:rPr>
          <w:rFonts w:eastAsia="Calibri" w:cs="Arial"/>
        </w:rPr>
      </w:pPr>
      <w:r w:rsidRPr="00DD33C3">
        <w:rPr>
          <w:rFonts w:eastAsia="Calibri" w:cs="Arial"/>
        </w:rPr>
        <w:t>BRICKER &amp; ECKLER LLP</w:t>
      </w:r>
    </w:p>
    <w:p w:rsidR="00DD33C3" w:rsidRPr="00DD33C3" w:rsidRDefault="00DD33C3" w:rsidP="00DD33C3">
      <w:pPr>
        <w:autoSpaceDE w:val="0"/>
        <w:autoSpaceDN w:val="0"/>
        <w:adjustRightInd w:val="0"/>
        <w:spacing w:line="240" w:lineRule="auto"/>
        <w:jc w:val="left"/>
        <w:rPr>
          <w:rFonts w:eastAsia="Calibri" w:cs="Arial"/>
        </w:rPr>
      </w:pPr>
      <w:r w:rsidRPr="00DD33C3">
        <w:rPr>
          <w:rFonts w:eastAsia="Calibri" w:cs="Arial"/>
        </w:rPr>
        <w:t>100 South Third Street</w:t>
      </w:r>
    </w:p>
    <w:p w:rsidR="00DD33C3" w:rsidRPr="00DD33C3" w:rsidRDefault="00DD33C3" w:rsidP="00DD33C3">
      <w:pPr>
        <w:autoSpaceDE w:val="0"/>
        <w:autoSpaceDN w:val="0"/>
        <w:adjustRightInd w:val="0"/>
        <w:spacing w:line="240" w:lineRule="auto"/>
        <w:jc w:val="left"/>
        <w:rPr>
          <w:rFonts w:eastAsia="Calibri" w:cs="Arial"/>
        </w:rPr>
      </w:pPr>
      <w:r w:rsidRPr="00DD33C3">
        <w:rPr>
          <w:rFonts w:eastAsia="Calibri" w:cs="Arial"/>
        </w:rPr>
        <w:t>Columbus, OH 43215-4291</w:t>
      </w:r>
    </w:p>
    <w:p w:rsidR="00DD33C3" w:rsidRPr="00DD33C3" w:rsidRDefault="00DD33C3" w:rsidP="00DD33C3">
      <w:pPr>
        <w:spacing w:line="240" w:lineRule="auto"/>
        <w:jc w:val="left"/>
        <w:rPr>
          <w:rFonts w:eastAsia="Calibri" w:cs="Arial"/>
          <w:color w:val="000000"/>
        </w:rPr>
      </w:pPr>
      <w:r w:rsidRPr="00DD33C3">
        <w:rPr>
          <w:rFonts w:eastAsia="Calibri" w:cs="Arial"/>
          <w:color w:val="000000"/>
          <w:u w:val="single"/>
        </w:rPr>
        <w:t>tsiwo@bricker.com</w:t>
      </w:r>
    </w:p>
    <w:p w:rsidR="00DD33C3" w:rsidRPr="00DD33C3" w:rsidRDefault="00DD33C3" w:rsidP="00DD33C3">
      <w:pPr>
        <w:spacing w:line="240" w:lineRule="auto"/>
        <w:jc w:val="left"/>
        <w:rPr>
          <w:rFonts w:eastAsia="Calibri" w:cs="Arial"/>
        </w:rPr>
      </w:pPr>
      <w:r w:rsidRPr="00DD33C3">
        <w:rPr>
          <w:rFonts w:eastAsia="Calibri" w:cs="Arial"/>
        </w:rPr>
        <w:t>marmstrong@bricker.com</w:t>
      </w:r>
    </w:p>
    <w:p w:rsidR="00DD33C3" w:rsidRPr="00DD33C3" w:rsidRDefault="00DD33C3" w:rsidP="00DD33C3">
      <w:pPr>
        <w:spacing w:line="240" w:lineRule="auto"/>
        <w:jc w:val="left"/>
        <w:rPr>
          <w:rFonts w:eastAsia="Calibri" w:cs="Arial"/>
        </w:rPr>
      </w:pPr>
    </w:p>
    <w:p w:rsidR="00DD33C3" w:rsidRPr="00DD33C3" w:rsidRDefault="00DD33C3" w:rsidP="00DD33C3">
      <w:pPr>
        <w:spacing w:line="240" w:lineRule="auto"/>
        <w:jc w:val="left"/>
        <w:rPr>
          <w:rFonts w:eastAsia="Times New Roman" w:cs="Arial"/>
          <w:b/>
          <w:smallCaps/>
        </w:rPr>
      </w:pPr>
      <w:r w:rsidRPr="00DD33C3">
        <w:rPr>
          <w:rFonts w:eastAsia="Times New Roman" w:cs="Arial"/>
          <w:b/>
          <w:smallCaps/>
        </w:rPr>
        <w:t>On behalf of The OMA Energy Group</w:t>
      </w:r>
    </w:p>
    <w:p w:rsidR="00DD33C3" w:rsidRPr="00DD33C3" w:rsidRDefault="00DD33C3" w:rsidP="00DD33C3">
      <w:pPr>
        <w:spacing w:line="240" w:lineRule="auto"/>
        <w:rPr>
          <w:rFonts w:eastAsia="Times New Roman" w:cs="Arial"/>
        </w:rPr>
      </w:pPr>
    </w:p>
    <w:p w:rsidR="00DD33C3" w:rsidRPr="00DD33C3" w:rsidRDefault="00DD33C3" w:rsidP="00DD33C3">
      <w:pPr>
        <w:autoSpaceDE w:val="0"/>
        <w:autoSpaceDN w:val="0"/>
        <w:adjustRightInd w:val="0"/>
        <w:spacing w:line="240" w:lineRule="auto"/>
        <w:jc w:val="left"/>
        <w:rPr>
          <w:rFonts w:eastAsia="Calibri" w:cs="Arial"/>
        </w:rPr>
      </w:pPr>
      <w:r>
        <w:rPr>
          <w:rFonts w:eastAsia="Calibri" w:cs="Arial"/>
        </w:rPr>
        <w:br w:type="column"/>
      </w:r>
      <w:r w:rsidRPr="00DD33C3">
        <w:rPr>
          <w:rFonts w:eastAsia="Calibri" w:cs="Arial"/>
        </w:rPr>
        <w:t>Richard L. Sites</w:t>
      </w:r>
    </w:p>
    <w:p w:rsidR="00DD33C3" w:rsidRPr="00DD33C3" w:rsidRDefault="00DD33C3" w:rsidP="00DD33C3">
      <w:pPr>
        <w:autoSpaceDE w:val="0"/>
        <w:autoSpaceDN w:val="0"/>
        <w:adjustRightInd w:val="0"/>
        <w:spacing w:line="240" w:lineRule="auto"/>
        <w:jc w:val="left"/>
        <w:rPr>
          <w:rFonts w:eastAsia="Calibri" w:cs="Arial"/>
        </w:rPr>
      </w:pPr>
      <w:r w:rsidRPr="00DD33C3">
        <w:rPr>
          <w:rFonts w:eastAsia="Calibri" w:cs="Arial"/>
        </w:rPr>
        <w:t>General Counsel &amp; Senior Director of Health Policy</w:t>
      </w:r>
    </w:p>
    <w:p w:rsidR="00DD33C3" w:rsidRPr="00DD33C3" w:rsidRDefault="00DD33C3" w:rsidP="00DD33C3">
      <w:pPr>
        <w:autoSpaceDE w:val="0"/>
        <w:autoSpaceDN w:val="0"/>
        <w:adjustRightInd w:val="0"/>
        <w:spacing w:line="240" w:lineRule="auto"/>
        <w:jc w:val="left"/>
        <w:rPr>
          <w:rFonts w:eastAsia="Calibri" w:cs="Arial"/>
        </w:rPr>
      </w:pPr>
      <w:r w:rsidRPr="00DD33C3">
        <w:rPr>
          <w:rFonts w:eastAsia="Calibri" w:cs="Arial"/>
        </w:rPr>
        <w:t>Ohio Hospital Association</w:t>
      </w:r>
    </w:p>
    <w:p w:rsidR="00DD33C3" w:rsidRPr="00DD33C3" w:rsidRDefault="00DD33C3" w:rsidP="00DD33C3">
      <w:pPr>
        <w:autoSpaceDE w:val="0"/>
        <w:autoSpaceDN w:val="0"/>
        <w:adjustRightInd w:val="0"/>
        <w:spacing w:line="240" w:lineRule="auto"/>
        <w:jc w:val="left"/>
        <w:rPr>
          <w:rFonts w:eastAsia="Calibri" w:cs="Arial"/>
        </w:rPr>
      </w:pPr>
      <w:r w:rsidRPr="00DD33C3">
        <w:rPr>
          <w:rFonts w:eastAsia="Calibri" w:cs="Arial"/>
        </w:rPr>
        <w:t>155 East Broad Street, 15</w:t>
      </w:r>
      <w:r w:rsidRPr="00DD33C3">
        <w:rPr>
          <w:rFonts w:eastAsia="Calibri" w:cs="Arial"/>
          <w:vertAlign w:val="superscript"/>
        </w:rPr>
        <w:t>th</w:t>
      </w:r>
      <w:r w:rsidRPr="00DD33C3">
        <w:rPr>
          <w:rFonts w:eastAsia="Calibri" w:cs="Arial"/>
        </w:rPr>
        <w:t xml:space="preserve"> Floor</w:t>
      </w:r>
    </w:p>
    <w:p w:rsidR="00DD33C3" w:rsidRPr="00DD33C3" w:rsidRDefault="00DD33C3" w:rsidP="00DD33C3">
      <w:pPr>
        <w:autoSpaceDE w:val="0"/>
        <w:autoSpaceDN w:val="0"/>
        <w:adjustRightInd w:val="0"/>
        <w:spacing w:line="240" w:lineRule="auto"/>
        <w:jc w:val="left"/>
        <w:rPr>
          <w:rFonts w:eastAsia="Calibri" w:cs="Arial"/>
        </w:rPr>
      </w:pPr>
      <w:r w:rsidRPr="00DD33C3">
        <w:rPr>
          <w:rFonts w:eastAsia="Calibri" w:cs="Arial"/>
        </w:rPr>
        <w:t>Columbus, OH  43215-3620</w:t>
      </w:r>
    </w:p>
    <w:p w:rsidR="00DD33C3" w:rsidRPr="00DD33C3" w:rsidRDefault="00DD33C3" w:rsidP="00DD33C3">
      <w:pPr>
        <w:autoSpaceDE w:val="0"/>
        <w:autoSpaceDN w:val="0"/>
        <w:adjustRightInd w:val="0"/>
        <w:spacing w:line="240" w:lineRule="auto"/>
        <w:jc w:val="left"/>
        <w:rPr>
          <w:rFonts w:eastAsia="Calibri" w:cs="Arial"/>
        </w:rPr>
      </w:pPr>
      <w:r w:rsidRPr="00DD33C3">
        <w:rPr>
          <w:rFonts w:eastAsia="Calibri" w:cs="Arial"/>
        </w:rPr>
        <w:t>ricks@ohanet.org</w:t>
      </w:r>
    </w:p>
    <w:p w:rsidR="00DD33C3" w:rsidRPr="00DD33C3" w:rsidRDefault="00DD33C3" w:rsidP="00DD33C3">
      <w:pPr>
        <w:autoSpaceDE w:val="0"/>
        <w:autoSpaceDN w:val="0"/>
        <w:adjustRightInd w:val="0"/>
        <w:spacing w:line="240" w:lineRule="auto"/>
        <w:jc w:val="left"/>
        <w:rPr>
          <w:rFonts w:eastAsia="Calibri" w:cs="Arial"/>
        </w:rPr>
      </w:pPr>
    </w:p>
    <w:p w:rsidR="00DD33C3" w:rsidRPr="00DD33C3" w:rsidRDefault="00DD33C3" w:rsidP="00DD33C3">
      <w:pPr>
        <w:autoSpaceDE w:val="0"/>
        <w:autoSpaceDN w:val="0"/>
        <w:adjustRightInd w:val="0"/>
        <w:spacing w:line="240" w:lineRule="auto"/>
        <w:jc w:val="left"/>
        <w:rPr>
          <w:rFonts w:eastAsia="Calibri" w:cs="Arial"/>
        </w:rPr>
      </w:pPr>
      <w:r w:rsidRPr="00DD33C3">
        <w:rPr>
          <w:rFonts w:eastAsia="Calibri" w:cs="Arial"/>
        </w:rPr>
        <w:t>Thomas J. O’Brien</w:t>
      </w:r>
    </w:p>
    <w:p w:rsidR="00DD33C3" w:rsidRPr="00DD33C3" w:rsidRDefault="00DD33C3" w:rsidP="00DD33C3">
      <w:pPr>
        <w:autoSpaceDE w:val="0"/>
        <w:autoSpaceDN w:val="0"/>
        <w:adjustRightInd w:val="0"/>
        <w:spacing w:line="240" w:lineRule="auto"/>
        <w:jc w:val="left"/>
        <w:rPr>
          <w:rFonts w:eastAsia="Calibri" w:cs="Arial"/>
        </w:rPr>
      </w:pPr>
      <w:r w:rsidRPr="00DD33C3">
        <w:rPr>
          <w:rFonts w:eastAsia="Calibri" w:cs="Arial"/>
        </w:rPr>
        <w:t>BRICKER &amp; ECKLER LLP</w:t>
      </w:r>
    </w:p>
    <w:p w:rsidR="00DD33C3" w:rsidRPr="00DD33C3" w:rsidRDefault="00DD33C3" w:rsidP="00DD33C3">
      <w:pPr>
        <w:autoSpaceDE w:val="0"/>
        <w:autoSpaceDN w:val="0"/>
        <w:adjustRightInd w:val="0"/>
        <w:spacing w:line="240" w:lineRule="auto"/>
        <w:jc w:val="left"/>
        <w:rPr>
          <w:rFonts w:eastAsia="Calibri" w:cs="Arial"/>
        </w:rPr>
      </w:pPr>
      <w:r w:rsidRPr="00DD33C3">
        <w:rPr>
          <w:rFonts w:eastAsia="Calibri" w:cs="Arial"/>
        </w:rPr>
        <w:t>100 South Third Street</w:t>
      </w:r>
    </w:p>
    <w:p w:rsidR="00DD33C3" w:rsidRPr="00DD33C3" w:rsidRDefault="00DD33C3" w:rsidP="00DD33C3">
      <w:pPr>
        <w:autoSpaceDE w:val="0"/>
        <w:autoSpaceDN w:val="0"/>
        <w:adjustRightInd w:val="0"/>
        <w:spacing w:line="240" w:lineRule="auto"/>
        <w:jc w:val="left"/>
        <w:rPr>
          <w:rFonts w:eastAsia="Calibri" w:cs="Arial"/>
        </w:rPr>
      </w:pPr>
      <w:r w:rsidRPr="00DD33C3">
        <w:rPr>
          <w:rFonts w:eastAsia="Calibri" w:cs="Arial"/>
        </w:rPr>
        <w:t>Columbus, OH 43215-4291</w:t>
      </w:r>
    </w:p>
    <w:p w:rsidR="00DD33C3" w:rsidRPr="00DD33C3" w:rsidRDefault="00DD33C3" w:rsidP="00DD33C3">
      <w:pPr>
        <w:spacing w:line="240" w:lineRule="auto"/>
        <w:jc w:val="left"/>
        <w:rPr>
          <w:rFonts w:eastAsia="Calibri" w:cs="Arial"/>
        </w:rPr>
      </w:pPr>
      <w:r w:rsidRPr="00DD33C3">
        <w:rPr>
          <w:rFonts w:eastAsia="Calibri" w:cs="Arial"/>
        </w:rPr>
        <w:t>tobrien@bricker.com</w:t>
      </w:r>
    </w:p>
    <w:p w:rsidR="00DD33C3" w:rsidRPr="00DD33C3" w:rsidRDefault="00DD33C3" w:rsidP="00DD33C3">
      <w:pPr>
        <w:spacing w:line="240" w:lineRule="auto"/>
        <w:jc w:val="left"/>
        <w:rPr>
          <w:rFonts w:eastAsia="Calibri" w:cs="Arial"/>
        </w:rPr>
      </w:pPr>
    </w:p>
    <w:p w:rsidR="00DD33C3" w:rsidRPr="00DD33C3" w:rsidRDefault="00DD33C3" w:rsidP="00DD33C3">
      <w:pPr>
        <w:spacing w:line="240" w:lineRule="auto"/>
        <w:jc w:val="left"/>
        <w:rPr>
          <w:rFonts w:eastAsia="Times New Roman" w:cs="Arial"/>
          <w:b/>
          <w:smallCaps/>
        </w:rPr>
      </w:pPr>
      <w:r w:rsidRPr="00DD33C3">
        <w:rPr>
          <w:rFonts w:eastAsia="Times New Roman" w:cs="Arial"/>
          <w:b/>
          <w:smallCaps/>
        </w:rPr>
        <w:t>On behalf of Ohio Hospital Association</w:t>
      </w:r>
    </w:p>
    <w:p w:rsidR="00DD33C3" w:rsidRPr="00DD33C3" w:rsidRDefault="00DD33C3" w:rsidP="00DD33C3">
      <w:pPr>
        <w:autoSpaceDE w:val="0"/>
        <w:autoSpaceDN w:val="0"/>
        <w:adjustRightInd w:val="0"/>
        <w:spacing w:line="240" w:lineRule="auto"/>
        <w:jc w:val="left"/>
        <w:rPr>
          <w:rFonts w:eastAsia="Calibri" w:cs="Arial"/>
        </w:rPr>
      </w:pPr>
    </w:p>
    <w:p w:rsidR="00DD33C3" w:rsidRPr="00DD33C3" w:rsidRDefault="00DD33C3" w:rsidP="00DD33C3">
      <w:pPr>
        <w:autoSpaceDE w:val="0"/>
        <w:autoSpaceDN w:val="0"/>
        <w:adjustRightInd w:val="0"/>
        <w:spacing w:line="240" w:lineRule="auto"/>
        <w:jc w:val="left"/>
        <w:rPr>
          <w:rFonts w:eastAsia="Calibri" w:cs="Arial"/>
        </w:rPr>
      </w:pPr>
      <w:r w:rsidRPr="00DD33C3">
        <w:rPr>
          <w:rFonts w:eastAsia="Calibri" w:cs="Arial"/>
        </w:rPr>
        <w:t>Jay E. Jadwin</w:t>
      </w:r>
    </w:p>
    <w:p w:rsidR="00DD33C3" w:rsidRPr="00DD33C3" w:rsidRDefault="00DD33C3" w:rsidP="00DD33C3">
      <w:pPr>
        <w:autoSpaceDE w:val="0"/>
        <w:autoSpaceDN w:val="0"/>
        <w:adjustRightInd w:val="0"/>
        <w:spacing w:line="240" w:lineRule="auto"/>
        <w:jc w:val="left"/>
        <w:rPr>
          <w:rFonts w:eastAsia="Calibri" w:cs="Arial"/>
        </w:rPr>
      </w:pPr>
      <w:r w:rsidRPr="00DD33C3">
        <w:rPr>
          <w:rFonts w:eastAsia="Calibri" w:cs="Arial"/>
        </w:rPr>
        <w:t>American Electric Power Service Corporation</w:t>
      </w:r>
    </w:p>
    <w:p w:rsidR="00DD33C3" w:rsidRPr="00DD33C3" w:rsidRDefault="00DD33C3" w:rsidP="00DD33C3">
      <w:pPr>
        <w:autoSpaceDE w:val="0"/>
        <w:autoSpaceDN w:val="0"/>
        <w:adjustRightInd w:val="0"/>
        <w:spacing w:line="240" w:lineRule="auto"/>
        <w:jc w:val="left"/>
        <w:rPr>
          <w:rFonts w:eastAsia="Calibri" w:cs="Arial"/>
        </w:rPr>
      </w:pPr>
      <w:r w:rsidRPr="00DD33C3">
        <w:rPr>
          <w:rFonts w:eastAsia="Calibri" w:cs="Arial"/>
        </w:rPr>
        <w:t>155 Nationwide Avenue</w:t>
      </w:r>
    </w:p>
    <w:p w:rsidR="00DD33C3" w:rsidRPr="00DD33C3" w:rsidRDefault="00DD33C3" w:rsidP="00DD33C3">
      <w:pPr>
        <w:autoSpaceDE w:val="0"/>
        <w:autoSpaceDN w:val="0"/>
        <w:adjustRightInd w:val="0"/>
        <w:spacing w:line="240" w:lineRule="auto"/>
        <w:jc w:val="left"/>
        <w:rPr>
          <w:rFonts w:eastAsia="Calibri" w:cs="Arial"/>
          <w:color w:val="000000"/>
        </w:rPr>
      </w:pPr>
      <w:r w:rsidRPr="00DD33C3">
        <w:rPr>
          <w:rFonts w:eastAsia="Calibri" w:cs="Arial"/>
        </w:rPr>
        <w:t>Columbus, OH  43215</w:t>
      </w:r>
    </w:p>
    <w:p w:rsidR="00DD33C3" w:rsidRPr="00DD33C3" w:rsidRDefault="00DD33C3" w:rsidP="00DD33C3">
      <w:pPr>
        <w:tabs>
          <w:tab w:val="left" w:pos="2160"/>
          <w:tab w:val="left" w:pos="2280"/>
        </w:tabs>
        <w:spacing w:line="240" w:lineRule="auto"/>
        <w:jc w:val="left"/>
        <w:rPr>
          <w:rFonts w:eastAsia="Times New Roman" w:cs="Arial"/>
          <w:color w:val="000000"/>
        </w:rPr>
      </w:pPr>
      <w:r w:rsidRPr="00DD33C3">
        <w:rPr>
          <w:rFonts w:eastAsia="Times New Roman" w:cs="Arial"/>
          <w:color w:val="000000"/>
          <w:u w:val="single"/>
        </w:rPr>
        <w:t>jejadwin@aep.com</w:t>
      </w:r>
    </w:p>
    <w:p w:rsidR="00DD33C3" w:rsidRPr="00DD33C3" w:rsidRDefault="00DD33C3" w:rsidP="00DD33C3">
      <w:pPr>
        <w:spacing w:line="240" w:lineRule="auto"/>
        <w:jc w:val="left"/>
        <w:rPr>
          <w:rFonts w:eastAsia="Calibri" w:cs="Arial"/>
        </w:rPr>
      </w:pPr>
    </w:p>
    <w:p w:rsidR="00DD33C3" w:rsidRPr="00DD33C3" w:rsidRDefault="00DD33C3" w:rsidP="00DD33C3">
      <w:pPr>
        <w:spacing w:line="240" w:lineRule="auto"/>
        <w:jc w:val="left"/>
        <w:rPr>
          <w:rFonts w:eastAsia="Times New Roman" w:cs="Arial"/>
          <w:b/>
          <w:smallCaps/>
        </w:rPr>
      </w:pPr>
      <w:r w:rsidRPr="00DD33C3">
        <w:rPr>
          <w:rFonts w:eastAsia="Times New Roman" w:cs="Arial"/>
          <w:b/>
          <w:smallCaps/>
        </w:rPr>
        <w:t>On behalf of AEP Retail Energy Partners LLC</w:t>
      </w:r>
    </w:p>
    <w:p w:rsidR="00DD33C3" w:rsidRPr="00DD33C3" w:rsidRDefault="00DD33C3" w:rsidP="00DD33C3">
      <w:pPr>
        <w:spacing w:line="240" w:lineRule="auto"/>
        <w:rPr>
          <w:rFonts w:eastAsia="Times New Roman" w:cs="Arial"/>
        </w:rPr>
      </w:pPr>
    </w:p>
    <w:p w:rsidR="00DD33C3" w:rsidRPr="00DD33C3" w:rsidRDefault="00DD33C3" w:rsidP="00DD33C3">
      <w:pPr>
        <w:spacing w:line="240" w:lineRule="auto"/>
        <w:jc w:val="left"/>
        <w:rPr>
          <w:rFonts w:eastAsia="Times New Roman" w:cs="Arial"/>
        </w:rPr>
      </w:pPr>
      <w:r w:rsidRPr="00DD33C3">
        <w:rPr>
          <w:rFonts w:eastAsia="Times New Roman" w:cs="Arial"/>
        </w:rPr>
        <w:t>Gretchen L. Petrucci</w:t>
      </w:r>
    </w:p>
    <w:p w:rsidR="00DD33C3" w:rsidRPr="00DD33C3" w:rsidRDefault="00DD33C3" w:rsidP="00DD33C3">
      <w:pPr>
        <w:spacing w:line="240" w:lineRule="auto"/>
        <w:jc w:val="left"/>
        <w:rPr>
          <w:rFonts w:eastAsia="Times New Roman" w:cs="Arial"/>
        </w:rPr>
      </w:pPr>
      <w:r w:rsidRPr="00DD33C3">
        <w:rPr>
          <w:rFonts w:eastAsia="Times New Roman" w:cs="Arial"/>
        </w:rPr>
        <w:t>Vorys, Sater, Seymour and Pease LLP</w:t>
      </w:r>
    </w:p>
    <w:p w:rsidR="00DD33C3" w:rsidRPr="00DD33C3" w:rsidRDefault="00DD33C3" w:rsidP="00DD33C3">
      <w:pPr>
        <w:spacing w:line="240" w:lineRule="auto"/>
        <w:jc w:val="left"/>
        <w:rPr>
          <w:rFonts w:eastAsia="Times New Roman" w:cs="Arial"/>
        </w:rPr>
      </w:pPr>
      <w:r w:rsidRPr="00DD33C3">
        <w:rPr>
          <w:rFonts w:eastAsia="Times New Roman" w:cs="Arial"/>
        </w:rPr>
        <w:t>52 E. Gay Street</w:t>
      </w:r>
    </w:p>
    <w:p w:rsidR="00DD33C3" w:rsidRPr="00DD33C3" w:rsidRDefault="00DD33C3" w:rsidP="00DD33C3">
      <w:pPr>
        <w:spacing w:line="240" w:lineRule="auto"/>
        <w:jc w:val="left"/>
        <w:rPr>
          <w:rFonts w:eastAsia="Times New Roman" w:cs="Arial"/>
        </w:rPr>
      </w:pPr>
      <w:r w:rsidRPr="00DD33C3">
        <w:rPr>
          <w:rFonts w:eastAsia="Times New Roman" w:cs="Arial"/>
        </w:rPr>
        <w:t>PO Box 1008</w:t>
      </w:r>
    </w:p>
    <w:p w:rsidR="00DD33C3" w:rsidRPr="00DD33C3" w:rsidRDefault="00DD33C3" w:rsidP="00DD33C3">
      <w:pPr>
        <w:spacing w:line="240" w:lineRule="auto"/>
        <w:jc w:val="left"/>
        <w:rPr>
          <w:rFonts w:eastAsia="Times New Roman" w:cs="Arial"/>
        </w:rPr>
      </w:pPr>
      <w:r w:rsidRPr="00DD33C3">
        <w:rPr>
          <w:rFonts w:eastAsia="Times New Roman" w:cs="Arial"/>
        </w:rPr>
        <w:t>Columbus, OH  43216-1008</w:t>
      </w:r>
    </w:p>
    <w:p w:rsidR="00DD33C3" w:rsidRPr="00DD33C3" w:rsidRDefault="00DD33C3" w:rsidP="00DD33C3">
      <w:pPr>
        <w:spacing w:line="240" w:lineRule="auto"/>
        <w:jc w:val="left"/>
        <w:rPr>
          <w:rFonts w:eastAsia="Times New Roman" w:cs="Arial"/>
        </w:rPr>
      </w:pPr>
      <w:r w:rsidRPr="00DD33C3">
        <w:rPr>
          <w:rFonts w:eastAsia="Times New Roman" w:cs="Arial"/>
        </w:rPr>
        <w:t>glpetrucci@vorys.com</w:t>
      </w:r>
    </w:p>
    <w:p w:rsidR="00DD33C3" w:rsidRPr="00DD33C3" w:rsidRDefault="00DD33C3" w:rsidP="00DD33C3">
      <w:pPr>
        <w:spacing w:line="240" w:lineRule="auto"/>
        <w:jc w:val="left"/>
        <w:rPr>
          <w:rFonts w:eastAsia="Times New Roman" w:cs="Arial"/>
        </w:rPr>
      </w:pPr>
    </w:p>
    <w:p w:rsidR="00DD33C3" w:rsidRPr="00DD33C3" w:rsidRDefault="00DD33C3" w:rsidP="00DD33C3">
      <w:pPr>
        <w:spacing w:line="240" w:lineRule="auto"/>
        <w:jc w:val="left"/>
        <w:rPr>
          <w:rFonts w:eastAsia="Times New Roman" w:cs="Arial"/>
          <w:b/>
          <w:smallCaps/>
        </w:rPr>
      </w:pPr>
      <w:r w:rsidRPr="00DD33C3">
        <w:rPr>
          <w:rFonts w:eastAsia="Times New Roman" w:cs="Arial"/>
          <w:b/>
          <w:smallCaps/>
        </w:rPr>
        <w:t>On behalf of United Steelworkers</w:t>
      </w:r>
    </w:p>
    <w:p w:rsidR="00DD33C3" w:rsidRPr="00DD33C3" w:rsidRDefault="00DD33C3" w:rsidP="00DD33C3">
      <w:pPr>
        <w:spacing w:line="240" w:lineRule="auto"/>
        <w:rPr>
          <w:rFonts w:eastAsia="Times New Roman" w:cs="Arial"/>
        </w:rPr>
      </w:pPr>
    </w:p>
    <w:p w:rsidR="00DD33C3" w:rsidRPr="00DD33C3" w:rsidRDefault="00DD33C3" w:rsidP="00DD33C3">
      <w:pPr>
        <w:spacing w:line="240" w:lineRule="auto"/>
        <w:rPr>
          <w:rFonts w:eastAsia="Times New Roman" w:cs="Arial"/>
        </w:rPr>
      </w:pPr>
      <w:r w:rsidRPr="00DD33C3">
        <w:rPr>
          <w:rFonts w:eastAsia="Times New Roman" w:cs="Arial"/>
        </w:rPr>
        <w:br w:type="column"/>
        <w:t>Thomas W. McNamee</w:t>
      </w:r>
    </w:p>
    <w:p w:rsidR="00DD33C3" w:rsidRPr="00DD33C3" w:rsidRDefault="00DD33C3" w:rsidP="00DD33C3">
      <w:pPr>
        <w:spacing w:line="240" w:lineRule="auto"/>
        <w:rPr>
          <w:rFonts w:eastAsia="Times New Roman" w:cs="Arial"/>
        </w:rPr>
      </w:pPr>
      <w:r w:rsidRPr="00DD33C3">
        <w:rPr>
          <w:rFonts w:eastAsia="Times New Roman" w:cs="Arial"/>
        </w:rPr>
        <w:t>Assistant Attorney General</w:t>
      </w:r>
    </w:p>
    <w:p w:rsidR="00DD33C3" w:rsidRPr="00DD33C3" w:rsidRDefault="00DD33C3" w:rsidP="00DD33C3">
      <w:pPr>
        <w:spacing w:line="240" w:lineRule="auto"/>
        <w:rPr>
          <w:rFonts w:eastAsia="Times New Roman" w:cs="Arial"/>
        </w:rPr>
      </w:pPr>
      <w:r w:rsidRPr="00DD33C3">
        <w:rPr>
          <w:rFonts w:eastAsia="Times New Roman" w:cs="Arial"/>
        </w:rPr>
        <w:t>Public Utilities Section</w:t>
      </w:r>
    </w:p>
    <w:p w:rsidR="00DD33C3" w:rsidRPr="00DD33C3" w:rsidRDefault="00DD33C3" w:rsidP="00DD33C3">
      <w:pPr>
        <w:spacing w:line="240" w:lineRule="auto"/>
        <w:rPr>
          <w:rFonts w:eastAsia="Times New Roman" w:cs="Arial"/>
        </w:rPr>
      </w:pPr>
      <w:r w:rsidRPr="00DD33C3">
        <w:rPr>
          <w:rFonts w:eastAsia="Times New Roman" w:cs="Arial"/>
        </w:rPr>
        <w:t>180 East Broad Street, 9</w:t>
      </w:r>
      <w:r w:rsidRPr="00DD33C3">
        <w:rPr>
          <w:rFonts w:eastAsia="Times New Roman" w:cs="Arial"/>
          <w:vertAlign w:val="superscript"/>
        </w:rPr>
        <w:t>th</w:t>
      </w:r>
      <w:r w:rsidRPr="00DD33C3">
        <w:rPr>
          <w:rFonts w:eastAsia="Times New Roman" w:cs="Arial"/>
        </w:rPr>
        <w:t xml:space="preserve"> Floor</w:t>
      </w:r>
    </w:p>
    <w:p w:rsidR="00DD33C3" w:rsidRPr="00DD33C3" w:rsidRDefault="00DD33C3" w:rsidP="00DD33C3">
      <w:pPr>
        <w:spacing w:line="240" w:lineRule="auto"/>
        <w:jc w:val="left"/>
        <w:rPr>
          <w:rFonts w:eastAsia="Times New Roman" w:cs="Arial"/>
        </w:rPr>
      </w:pPr>
      <w:r w:rsidRPr="00DD33C3">
        <w:rPr>
          <w:rFonts w:eastAsia="Times New Roman" w:cs="Arial"/>
        </w:rPr>
        <w:t>Columbus, OH  43215</w:t>
      </w:r>
    </w:p>
    <w:p w:rsidR="00DD33C3" w:rsidRPr="00DD33C3" w:rsidRDefault="00DD33C3" w:rsidP="00DD33C3">
      <w:pPr>
        <w:spacing w:line="240" w:lineRule="auto"/>
        <w:jc w:val="left"/>
        <w:rPr>
          <w:rFonts w:eastAsia="Times New Roman" w:cs="Arial"/>
        </w:rPr>
      </w:pPr>
      <w:r w:rsidRPr="00DD33C3">
        <w:rPr>
          <w:rFonts w:eastAsia="Times New Roman" w:cs="Arial"/>
        </w:rPr>
        <w:t>thomas.mcnamee@puc.state.oh.us</w:t>
      </w:r>
    </w:p>
    <w:p w:rsidR="00DD33C3" w:rsidRPr="00DD33C3" w:rsidRDefault="00DD33C3" w:rsidP="00DD33C3">
      <w:pPr>
        <w:spacing w:line="240" w:lineRule="auto"/>
        <w:jc w:val="left"/>
        <w:rPr>
          <w:rFonts w:eastAsia="Times New Roman" w:cs="Arial"/>
        </w:rPr>
      </w:pPr>
    </w:p>
    <w:p w:rsidR="00DD33C3" w:rsidRPr="00DD33C3" w:rsidRDefault="00DD33C3" w:rsidP="00DD33C3">
      <w:pPr>
        <w:spacing w:line="240" w:lineRule="auto"/>
        <w:jc w:val="left"/>
        <w:rPr>
          <w:rFonts w:eastAsia="Times New Roman" w:cs="Arial"/>
          <w:b/>
          <w:smallCaps/>
        </w:rPr>
      </w:pPr>
      <w:r w:rsidRPr="00DD33C3">
        <w:rPr>
          <w:rFonts w:eastAsia="Times New Roman" w:cs="Arial"/>
          <w:b/>
          <w:smallCaps/>
        </w:rPr>
        <w:t>On behalf of the Public Utilities Commission of Ohio</w:t>
      </w:r>
    </w:p>
    <w:p w:rsidR="00DD33C3" w:rsidRPr="00DD33C3" w:rsidRDefault="00DD33C3" w:rsidP="00DD33C3">
      <w:pPr>
        <w:spacing w:line="240" w:lineRule="auto"/>
        <w:jc w:val="left"/>
        <w:rPr>
          <w:rFonts w:eastAsia="Times New Roman" w:cs="Arial"/>
        </w:rPr>
      </w:pPr>
    </w:p>
    <w:p w:rsidR="00DD33C3" w:rsidRPr="00DD33C3" w:rsidRDefault="00DD33C3" w:rsidP="00DD33C3">
      <w:pPr>
        <w:spacing w:line="240" w:lineRule="auto"/>
        <w:jc w:val="left"/>
        <w:rPr>
          <w:rFonts w:eastAsia="Times New Roman" w:cs="Arial"/>
        </w:rPr>
      </w:pPr>
      <w:r w:rsidRPr="00DD33C3">
        <w:rPr>
          <w:rFonts w:eastAsia="Times New Roman" w:cs="Arial"/>
        </w:rPr>
        <w:t>Sarah Parrot</w:t>
      </w:r>
    </w:p>
    <w:p w:rsidR="00DD33C3" w:rsidRPr="00DD33C3" w:rsidRDefault="00DD33C3" w:rsidP="00DD33C3">
      <w:pPr>
        <w:spacing w:line="240" w:lineRule="auto"/>
        <w:jc w:val="left"/>
        <w:rPr>
          <w:rFonts w:eastAsia="Times New Roman" w:cs="Arial"/>
        </w:rPr>
      </w:pPr>
      <w:r w:rsidRPr="00DD33C3">
        <w:rPr>
          <w:rFonts w:eastAsia="Times New Roman" w:cs="Arial"/>
        </w:rPr>
        <w:t>Attorney Examiner</w:t>
      </w:r>
    </w:p>
    <w:p w:rsidR="00DD33C3" w:rsidRPr="00DD33C3" w:rsidRDefault="00DD33C3" w:rsidP="00DD33C3">
      <w:pPr>
        <w:spacing w:line="240" w:lineRule="auto"/>
        <w:jc w:val="left"/>
        <w:rPr>
          <w:rFonts w:eastAsia="Times New Roman" w:cs="Arial"/>
        </w:rPr>
      </w:pPr>
      <w:r w:rsidRPr="00DD33C3">
        <w:rPr>
          <w:rFonts w:eastAsia="Times New Roman" w:cs="Arial"/>
        </w:rPr>
        <w:t>Public Utilities Commission of Ohio</w:t>
      </w:r>
    </w:p>
    <w:p w:rsidR="00DD33C3" w:rsidRPr="00DD33C3" w:rsidRDefault="00DD33C3" w:rsidP="00DD33C3">
      <w:pPr>
        <w:spacing w:line="240" w:lineRule="auto"/>
        <w:jc w:val="left"/>
        <w:rPr>
          <w:rFonts w:eastAsia="Times New Roman" w:cs="Arial"/>
        </w:rPr>
      </w:pPr>
      <w:r w:rsidRPr="00DD33C3">
        <w:rPr>
          <w:rFonts w:eastAsia="Times New Roman" w:cs="Arial"/>
        </w:rPr>
        <w:t>180 East Broad Street</w:t>
      </w:r>
    </w:p>
    <w:p w:rsidR="00DD33C3" w:rsidRPr="00DD33C3" w:rsidRDefault="00DD33C3" w:rsidP="00DD33C3">
      <w:pPr>
        <w:spacing w:line="240" w:lineRule="auto"/>
        <w:jc w:val="left"/>
        <w:rPr>
          <w:rFonts w:eastAsia="Times New Roman" w:cs="Arial"/>
        </w:rPr>
      </w:pPr>
      <w:r w:rsidRPr="00DD33C3">
        <w:rPr>
          <w:rFonts w:eastAsia="Times New Roman" w:cs="Arial"/>
        </w:rPr>
        <w:t>Columbus, OH  43215</w:t>
      </w:r>
    </w:p>
    <w:p w:rsidR="00DD33C3" w:rsidRPr="00DD33C3" w:rsidRDefault="00DD33C3" w:rsidP="00DD33C3">
      <w:pPr>
        <w:spacing w:line="240" w:lineRule="auto"/>
        <w:jc w:val="left"/>
        <w:rPr>
          <w:rFonts w:eastAsia="Times New Roman" w:cs="Arial"/>
        </w:rPr>
      </w:pPr>
      <w:r w:rsidRPr="00DD33C3">
        <w:rPr>
          <w:rFonts w:eastAsia="Times New Roman" w:cs="Arial"/>
        </w:rPr>
        <w:t>sarah.parrot@puc.state.oh.us</w:t>
      </w:r>
    </w:p>
    <w:p w:rsidR="00DD33C3" w:rsidRPr="00DD33C3" w:rsidRDefault="00DD33C3" w:rsidP="00DD33C3">
      <w:pPr>
        <w:spacing w:line="240" w:lineRule="auto"/>
        <w:jc w:val="left"/>
        <w:rPr>
          <w:rFonts w:eastAsia="Times New Roman" w:cs="Arial"/>
        </w:rPr>
      </w:pPr>
    </w:p>
    <w:p w:rsidR="007974D8" w:rsidRPr="00DD33C3" w:rsidRDefault="007974D8" w:rsidP="00DD33C3">
      <w:pPr>
        <w:rPr>
          <w:rFonts w:cs="Arial"/>
        </w:rPr>
      </w:pPr>
    </w:p>
    <w:sectPr w:rsidR="007974D8" w:rsidRPr="00DD33C3" w:rsidSect="00DD33C3">
      <w:pgSz w:w="12240" w:h="15840" w:code="1"/>
      <w:pgMar w:top="1440" w:right="1440" w:bottom="1440" w:left="1440" w:header="720" w:footer="720"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BB7" w:rsidRDefault="00467BB7" w:rsidP="0044040D">
      <w:pPr>
        <w:spacing w:line="240" w:lineRule="auto"/>
      </w:pPr>
      <w:r>
        <w:separator/>
      </w:r>
    </w:p>
  </w:endnote>
  <w:endnote w:type="continuationSeparator" w:id="0">
    <w:p w:rsidR="00467BB7" w:rsidRDefault="00467BB7" w:rsidP="004404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A5A" w:rsidRDefault="004B5A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514" w:rsidRPr="001A41A5" w:rsidRDefault="00467BB7" w:rsidP="00DA0BB4">
    <w:pPr>
      <w:pStyle w:val="Footer"/>
    </w:pPr>
    <w:r w:rsidRPr="00467BB7">
      <w:rPr>
        <w:noProof/>
        <w:sz w:val="16"/>
      </w:rPr>
      <w:t>{C41528: }</w:t>
    </w:r>
    <w:sdt>
      <w:sdtPr>
        <w:id w:val="-1117368825"/>
        <w:docPartObj>
          <w:docPartGallery w:val="Page Numbers (Bottom of Page)"/>
          <w:docPartUnique/>
        </w:docPartObj>
      </w:sdtPr>
      <w:sdtEndPr>
        <w:rPr>
          <w:noProof/>
        </w:rPr>
      </w:sdtEndPr>
      <w:sdtContent>
        <w:r w:rsidR="000F4514">
          <w:tab/>
        </w:r>
        <w:r w:rsidR="000F4514" w:rsidRPr="001A41A5">
          <w:fldChar w:fldCharType="begin"/>
        </w:r>
        <w:r w:rsidR="000F4514" w:rsidRPr="001A41A5">
          <w:instrText xml:space="preserve"> PAGE   \* MERGEFORMAT </w:instrText>
        </w:r>
        <w:r w:rsidR="000F4514" w:rsidRPr="001A41A5">
          <w:fldChar w:fldCharType="separate"/>
        </w:r>
        <w:r>
          <w:rPr>
            <w:noProof/>
          </w:rPr>
          <w:t>i</w:t>
        </w:r>
        <w:r w:rsidR="000F4514" w:rsidRPr="001A41A5">
          <w:rPr>
            <w:noProof/>
          </w:rPr>
          <w:fldChar w:fldCharType="end"/>
        </w:r>
      </w:sdtContent>
    </w:sdt>
  </w:p>
  <w:p w:rsidR="000F4514" w:rsidRPr="001A41A5" w:rsidRDefault="000F4514" w:rsidP="00E014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622" w:rsidRPr="00CB4622" w:rsidRDefault="00467BB7" w:rsidP="005762BE">
    <w:pPr>
      <w:pStyle w:val="Footer"/>
    </w:pPr>
    <w:r w:rsidRPr="00467BB7">
      <w:rPr>
        <w:noProof/>
        <w:sz w:val="16"/>
      </w:rPr>
      <w:t>{C41528: }</w:t>
    </w:r>
  </w:p>
  <w:p w:rsidR="000F4514" w:rsidRPr="00CB4622" w:rsidRDefault="00467BB7" w:rsidP="00E0147A">
    <w:pPr>
      <w:pStyle w:val="Footer"/>
    </w:pPr>
    <w:r>
      <w:t>REDACTED VERSION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622" w:rsidRDefault="00CB4622">
    <w:pPr>
      <w:pStyle w:val="Footer"/>
      <w:jc w:val="center"/>
    </w:pPr>
  </w:p>
  <w:p w:rsidR="00CB4622" w:rsidRPr="001A41A5" w:rsidRDefault="00CB4622" w:rsidP="00E0147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514" w:rsidRPr="00EB4048" w:rsidRDefault="000F4514">
    <w:pPr>
      <w:pStyle w:val="Footer"/>
    </w:pPr>
    <w:r w:rsidRPr="009D7441">
      <w:rPr>
        <w:noProof/>
      </w:rPr>
      <w:t>{C27955:3}</w:t>
    </w:r>
    <w:r w:rsidRPr="00015DF2">
      <w:rPr>
        <w:noProof/>
      </w:rPr>
      <w:t>{C27955:2}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514" w:rsidRPr="00D04A82" w:rsidRDefault="00467BB7" w:rsidP="00FB5C3E">
    <w:pPr>
      <w:pStyle w:val="Footer"/>
      <w:rPr>
        <w:sz w:val="22"/>
        <w:szCs w:val="22"/>
      </w:rPr>
    </w:pPr>
    <w:r w:rsidRPr="00467BB7">
      <w:rPr>
        <w:noProof/>
        <w:sz w:val="16"/>
        <w:szCs w:val="16"/>
      </w:rPr>
      <w:t>{C41528: }</w:t>
    </w:r>
    <w:r w:rsidR="000F4514">
      <w:rPr>
        <w:noProof/>
        <w:sz w:val="16"/>
        <w:szCs w:val="16"/>
      </w:rPr>
      <w:tab/>
    </w:r>
  </w:p>
  <w:p w:rsidR="000F4514" w:rsidRPr="00D04A82" w:rsidRDefault="000F4514" w:rsidP="00FB5C3E">
    <w:pPr>
      <w:pStyle w:val="Footer"/>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514" w:rsidRPr="00D04A82" w:rsidRDefault="00467BB7">
    <w:pPr>
      <w:pStyle w:val="Footer"/>
      <w:rPr>
        <w:sz w:val="16"/>
        <w:szCs w:val="16"/>
      </w:rPr>
    </w:pPr>
    <w:r w:rsidRPr="00467BB7">
      <w:rPr>
        <w:noProof/>
        <w:sz w:val="16"/>
        <w:szCs w:val="16"/>
      </w:rPr>
      <w:t>{C41528: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BB7" w:rsidRDefault="00467BB7" w:rsidP="0044040D">
      <w:pPr>
        <w:spacing w:line="240" w:lineRule="auto"/>
        <w:rPr>
          <w:noProof/>
        </w:rPr>
      </w:pPr>
      <w:r>
        <w:rPr>
          <w:noProof/>
        </w:rPr>
        <w:separator/>
      </w:r>
    </w:p>
  </w:footnote>
  <w:footnote w:type="continuationSeparator" w:id="0">
    <w:p w:rsidR="00467BB7" w:rsidRDefault="00467BB7" w:rsidP="0044040D">
      <w:pPr>
        <w:spacing w:line="240" w:lineRule="auto"/>
      </w:pPr>
      <w:r>
        <w:continuationSeparator/>
      </w:r>
    </w:p>
  </w:footnote>
  <w:footnote w:id="1">
    <w:p w:rsidR="000F4514" w:rsidRDefault="000F4514">
      <w:pPr>
        <w:pStyle w:val="FootnoteText"/>
      </w:pPr>
      <w:r>
        <w:rPr>
          <w:rStyle w:val="FootnoteReference"/>
        </w:rPr>
        <w:footnoteRef/>
      </w:r>
      <w:r>
        <w:t xml:space="preserve"> </w:t>
      </w:r>
      <w:r w:rsidR="00936408">
        <w:t>Motion to Amend the 2009 Unique Arrangement Between Ohio Power Company and Ormet Primary Aluminum Corporation and Request for Emergency Relief (June 14, 2013</w:t>
      </w:r>
      <w:r w:rsidR="00414223">
        <w:t>)</w:t>
      </w:r>
      <w:r w:rsidR="00936408">
        <w:t xml:space="preserve"> (“Motion”).</w:t>
      </w:r>
    </w:p>
  </w:footnote>
  <w:footnote w:id="2">
    <w:p w:rsidR="000F4514" w:rsidRDefault="000F4514" w:rsidP="00A225D9">
      <w:pPr>
        <w:pStyle w:val="FootnoteText"/>
        <w:spacing w:after="120"/>
      </w:pPr>
      <w:r>
        <w:rPr>
          <w:rStyle w:val="FootnoteReference"/>
        </w:rPr>
        <w:footnoteRef/>
      </w:r>
      <w:r>
        <w:t xml:space="preserve"> The Opinion and Order also approved discounts over an interim period not relevant here.  Opinion and Order at 4-5.</w:t>
      </w:r>
    </w:p>
  </w:footnote>
  <w:footnote w:id="3">
    <w:p w:rsidR="000F4514" w:rsidRDefault="000F4514" w:rsidP="00A225D9">
      <w:pPr>
        <w:pStyle w:val="FootnoteText"/>
        <w:spacing w:after="120"/>
      </w:pPr>
      <w:r>
        <w:rPr>
          <w:rStyle w:val="FootnoteReference"/>
        </w:rPr>
        <w:footnoteRef/>
      </w:r>
      <w:r>
        <w:t xml:space="preserve"> The 2009 Reasonable Arrangement formula calls for Ormet’s electric price to rise </w:t>
      </w:r>
      <w:r w:rsidR="00A225D9">
        <w:t xml:space="preserve">to </w:t>
      </w:r>
      <w:r w:rsidRPr="00332BF0">
        <w:t xml:space="preserve">102% of the </w:t>
      </w:r>
      <w:r>
        <w:t xml:space="preserve">otherwise applicable </w:t>
      </w:r>
      <w:r w:rsidRPr="00332BF0">
        <w:t xml:space="preserve">AEP-Ohio weighted </w:t>
      </w:r>
      <w:r>
        <w:t>average price (when the LME price of aluminum is greater than the target price but less than $300 per ton over the target price)</w:t>
      </w:r>
      <w:r w:rsidRPr="00332BF0">
        <w:t>.</w:t>
      </w:r>
      <w:r>
        <w:t xml:space="preserve">  If the LME price exceeds the target price by more than $300 per ton, Ormet’s electric price moves to 105% of </w:t>
      </w:r>
      <w:r w:rsidRPr="00332BF0">
        <w:t xml:space="preserve">the </w:t>
      </w:r>
      <w:r>
        <w:t xml:space="preserve">otherwise applicable </w:t>
      </w:r>
      <w:r w:rsidRPr="00332BF0">
        <w:t xml:space="preserve">AEP-Ohio weighted </w:t>
      </w:r>
      <w:r>
        <w:t>average price.  Opinion and Order at 6.  The GS-4 rate schedules for the Ohio Power Company and Columbus Southern Power Company Rate zones are averaged with each zone weighted at 50%.</w:t>
      </w:r>
    </w:p>
  </w:footnote>
  <w:footnote w:id="4">
    <w:p w:rsidR="000F4514" w:rsidRDefault="000F4514" w:rsidP="00A225D9">
      <w:pPr>
        <w:pStyle w:val="FootnoteText"/>
        <w:spacing w:after="120"/>
      </w:pPr>
      <w:r>
        <w:rPr>
          <w:rStyle w:val="FootnoteReference"/>
        </w:rPr>
        <w:footnoteRef/>
      </w:r>
      <w:r>
        <w:t xml:space="preserve"> </w:t>
      </w:r>
      <w:r w:rsidRPr="00D066E2">
        <w:rPr>
          <w:i/>
        </w:rPr>
        <w:t>Id</w:t>
      </w:r>
      <w:r>
        <w:t>. at 12.</w:t>
      </w:r>
    </w:p>
  </w:footnote>
  <w:footnote w:id="5">
    <w:p w:rsidR="000F4514" w:rsidRPr="005A3965" w:rsidRDefault="000F4514" w:rsidP="004A3C5E">
      <w:pPr>
        <w:pStyle w:val="FootnoteText"/>
        <w:spacing w:after="120"/>
      </w:pPr>
      <w:r w:rsidRPr="005A3965">
        <w:rPr>
          <w:rStyle w:val="FootnoteReference"/>
        </w:rPr>
        <w:footnoteRef/>
      </w:r>
      <w:r w:rsidRPr="005A3965">
        <w:t xml:space="preserve"> </w:t>
      </w:r>
      <w:r w:rsidRPr="005A3965">
        <w:rPr>
          <w:i/>
        </w:rPr>
        <w:t>Id</w:t>
      </w:r>
      <w:r w:rsidRPr="005A3965">
        <w:t>.</w:t>
      </w:r>
    </w:p>
  </w:footnote>
  <w:footnote w:id="6">
    <w:p w:rsidR="000F4514" w:rsidRPr="005A3965" w:rsidRDefault="000F4514" w:rsidP="00B42443">
      <w:pPr>
        <w:pStyle w:val="FootnoteText"/>
        <w:spacing w:after="120"/>
      </w:pPr>
      <w:r w:rsidRPr="005A3965">
        <w:rPr>
          <w:rStyle w:val="FootnoteReference"/>
        </w:rPr>
        <w:footnoteRef/>
      </w:r>
      <w:r w:rsidRPr="005A3965">
        <w:t xml:space="preserve"> </w:t>
      </w:r>
      <w:r w:rsidRPr="005A3965">
        <w:rPr>
          <w:i/>
        </w:rPr>
        <w:t>Id</w:t>
      </w:r>
      <w:r w:rsidRPr="005A3965">
        <w:t>. at 9.</w:t>
      </w:r>
    </w:p>
  </w:footnote>
  <w:footnote w:id="7">
    <w:p w:rsidR="000F4514" w:rsidRPr="005A3965" w:rsidRDefault="000F4514" w:rsidP="00B42443">
      <w:pPr>
        <w:spacing w:after="120" w:line="240" w:lineRule="auto"/>
        <w:rPr>
          <w:sz w:val="20"/>
          <w:szCs w:val="20"/>
        </w:rPr>
      </w:pPr>
      <w:r w:rsidRPr="005A3965">
        <w:rPr>
          <w:rStyle w:val="FootnoteReference"/>
          <w:sz w:val="20"/>
          <w:szCs w:val="20"/>
        </w:rPr>
        <w:footnoteRef/>
      </w:r>
      <w:r w:rsidRPr="005A3965">
        <w:rPr>
          <w:sz w:val="20"/>
          <w:szCs w:val="20"/>
        </w:rPr>
        <w:t xml:space="preserve"> </w:t>
      </w:r>
      <w:r w:rsidRPr="005A3965">
        <w:rPr>
          <w:i/>
          <w:sz w:val="20"/>
          <w:szCs w:val="20"/>
        </w:rPr>
        <w:t>Id</w:t>
      </w:r>
      <w:r w:rsidRPr="005A3965">
        <w:rPr>
          <w:sz w:val="20"/>
          <w:szCs w:val="20"/>
        </w:rPr>
        <w:t xml:space="preserve">. at 9-10.  The as-approved 2009 Reasonable Arrangement contains other provisions designed to limit Negative Delta Revenue potential.  The amount of Negative Delta Revenue recoverable through the EDR is capped at $54 million in any year.  For 2010 and 2011, the Commission authorized AEP-Ohio to defer, for future collection, Negative Delta Revenue between the $60 and $54 million (with the addition of a carrying cost allowance computed at a relatively high long term debt rate.  Negative Delta Revenue below the maximum amount could be carried over for use in a subsequent year.  The maximum amount of Negative Delta Revenue could also be reduced in the event Ormet did not maintain a full-time employment level of 650 people.  As an additional means of mitigating the Negative Delta Revenue potential of the 2009 Reasonable Arrangement, the Commission also required that the provider of last resort (“POLR”) charges paid by Ormet be treated as Positive Delta Revenue.  </w:t>
      </w:r>
      <w:r w:rsidRPr="005A3965">
        <w:rPr>
          <w:i/>
          <w:sz w:val="20"/>
          <w:szCs w:val="20"/>
        </w:rPr>
        <w:t>Id</w:t>
      </w:r>
      <w:r w:rsidRPr="005A3965">
        <w:rPr>
          <w:sz w:val="20"/>
          <w:szCs w:val="20"/>
        </w:rPr>
        <w:t>. at 10-14.</w:t>
      </w:r>
    </w:p>
  </w:footnote>
  <w:footnote w:id="8">
    <w:p w:rsidR="000F4514" w:rsidRPr="005A3965" w:rsidRDefault="000F4514" w:rsidP="00B42443">
      <w:pPr>
        <w:pStyle w:val="FootnoteText"/>
        <w:spacing w:after="120"/>
      </w:pPr>
      <w:r w:rsidRPr="005A3965">
        <w:rPr>
          <w:rStyle w:val="FootnoteReference"/>
        </w:rPr>
        <w:footnoteRef/>
      </w:r>
      <w:r w:rsidRPr="005A3965">
        <w:t xml:space="preserve"> </w:t>
      </w:r>
      <w:r w:rsidRPr="005A3965">
        <w:rPr>
          <w:i/>
        </w:rPr>
        <w:t>Id</w:t>
      </w:r>
      <w:r w:rsidRPr="005A3965">
        <w:t>. at 9.</w:t>
      </w:r>
    </w:p>
  </w:footnote>
  <w:footnote w:id="9">
    <w:p w:rsidR="000F4514" w:rsidRPr="005A3965" w:rsidRDefault="000F4514" w:rsidP="00B42443">
      <w:pPr>
        <w:pStyle w:val="FootnoteText"/>
        <w:spacing w:after="120"/>
      </w:pPr>
      <w:r w:rsidRPr="005A3965">
        <w:rPr>
          <w:rStyle w:val="FootnoteReference"/>
        </w:rPr>
        <w:footnoteRef/>
      </w:r>
      <w:r w:rsidRPr="005A3965">
        <w:t xml:space="preserve"> </w:t>
      </w:r>
      <w:r w:rsidRPr="005A3965">
        <w:rPr>
          <w:i/>
        </w:rPr>
        <w:t>Id</w:t>
      </w:r>
      <w:r w:rsidRPr="005A3965">
        <w:t>. at 10.</w:t>
      </w:r>
    </w:p>
  </w:footnote>
  <w:footnote w:id="10">
    <w:p w:rsidR="000F4514" w:rsidRDefault="000F4514" w:rsidP="004A3C5E">
      <w:pPr>
        <w:pStyle w:val="FootnoteText"/>
        <w:spacing w:after="120"/>
      </w:pPr>
      <w:r>
        <w:rPr>
          <w:rStyle w:val="FootnoteReference"/>
        </w:rPr>
        <w:footnoteRef/>
      </w:r>
      <w:r>
        <w:t xml:space="preserve"> </w:t>
      </w:r>
      <w:r w:rsidRPr="00D066E2">
        <w:rPr>
          <w:i/>
        </w:rPr>
        <w:t>Id</w:t>
      </w:r>
      <w:r>
        <w:t>. at 15.</w:t>
      </w:r>
    </w:p>
  </w:footnote>
  <w:footnote w:id="11">
    <w:p w:rsidR="000F4514" w:rsidRDefault="000F4514">
      <w:pPr>
        <w:pStyle w:val="FootnoteText"/>
        <w:spacing w:after="120"/>
      </w:pPr>
      <w:r>
        <w:rPr>
          <w:rStyle w:val="FootnoteReference"/>
        </w:rPr>
        <w:footnoteRef/>
      </w:r>
      <w:r>
        <w:t xml:space="preserve"> Tr. Vol. I at 143-44.</w:t>
      </w:r>
    </w:p>
  </w:footnote>
  <w:footnote w:id="12">
    <w:p w:rsidR="000F4514" w:rsidRDefault="000F4514">
      <w:pPr>
        <w:pStyle w:val="FootnoteText"/>
        <w:spacing w:after="120"/>
      </w:pPr>
      <w:r>
        <w:rPr>
          <w:rStyle w:val="FootnoteReference"/>
        </w:rPr>
        <w:footnoteRef/>
      </w:r>
      <w:r>
        <w:t xml:space="preserve"> </w:t>
      </w:r>
      <w:r w:rsidRPr="00332BF0">
        <w:rPr>
          <w:i/>
        </w:rPr>
        <w:t xml:space="preserve">In the Matter of the Application of Columbus Southern Power Company and Ohio Power Company for Authority to Establish a Standard Service Offer Pursuant to </w:t>
      </w:r>
      <w:r>
        <w:rPr>
          <w:i/>
        </w:rPr>
        <w:t xml:space="preserve">Section </w:t>
      </w:r>
      <w:r w:rsidRPr="00332BF0">
        <w:rPr>
          <w:i/>
        </w:rPr>
        <w:t xml:space="preserve">4928.143, </w:t>
      </w:r>
      <w:r>
        <w:rPr>
          <w:i/>
        </w:rPr>
        <w:t xml:space="preserve">Revised </w:t>
      </w:r>
      <w:r w:rsidRPr="00332BF0">
        <w:rPr>
          <w:i/>
        </w:rPr>
        <w:t>Code, in the Form of an Electric Security Plan</w:t>
      </w:r>
      <w:r w:rsidRPr="00332BF0">
        <w:t xml:space="preserve">, PUCO Case Nos. 11-346-EL-SSO, </w:t>
      </w:r>
      <w:r w:rsidRPr="00332BF0">
        <w:rPr>
          <w:i/>
        </w:rPr>
        <w:t>et al.</w:t>
      </w:r>
      <w:r w:rsidRPr="00332BF0">
        <w:t xml:space="preserve">, </w:t>
      </w:r>
      <w:r>
        <w:t>Application</w:t>
      </w:r>
      <w:r w:rsidRPr="00332BF0">
        <w:t xml:space="preserve"> (</w:t>
      </w:r>
      <w:r>
        <w:t>Jan. 27, 2011</w:t>
      </w:r>
      <w:r w:rsidRPr="00332BF0">
        <w:t>) (“</w:t>
      </w:r>
      <w:r w:rsidRPr="00332BF0">
        <w:rPr>
          <w:i/>
        </w:rPr>
        <w:t xml:space="preserve">AEP-Ohio ESP </w:t>
      </w:r>
      <w:r>
        <w:rPr>
          <w:i/>
        </w:rPr>
        <w:t>II</w:t>
      </w:r>
      <w:r w:rsidRPr="00332BF0">
        <w:t>”).</w:t>
      </w:r>
    </w:p>
  </w:footnote>
  <w:footnote w:id="13">
    <w:p w:rsidR="000F4514" w:rsidRDefault="000F4514">
      <w:pPr>
        <w:pStyle w:val="FootnoteText"/>
        <w:spacing w:after="120"/>
      </w:pPr>
      <w:r>
        <w:rPr>
          <w:rStyle w:val="FootnoteReference"/>
        </w:rPr>
        <w:footnoteRef/>
      </w:r>
      <w:r>
        <w:t xml:space="preserve"> </w:t>
      </w:r>
      <w:r w:rsidRPr="00F51105">
        <w:rPr>
          <w:i/>
        </w:rPr>
        <w:t>AEP-Ohio ESP II</w:t>
      </w:r>
      <w:r>
        <w:t>, Opinion and Order (Aug. 8, 2012).</w:t>
      </w:r>
    </w:p>
  </w:footnote>
  <w:footnote w:id="14">
    <w:p w:rsidR="000F4514" w:rsidRDefault="000F4514" w:rsidP="00E941AB">
      <w:pPr>
        <w:pStyle w:val="FootnoteText"/>
        <w:spacing w:after="120"/>
      </w:pPr>
      <w:r>
        <w:rPr>
          <w:rStyle w:val="FootnoteReference"/>
        </w:rPr>
        <w:footnoteRef/>
      </w:r>
      <w:r>
        <w:t xml:space="preserve"> IEU-Ohio Exs. 7-10.</w:t>
      </w:r>
    </w:p>
  </w:footnote>
  <w:footnote w:id="15">
    <w:p w:rsidR="000F4514" w:rsidRDefault="000F4514" w:rsidP="00E941AB">
      <w:pPr>
        <w:pStyle w:val="FootnoteText"/>
        <w:spacing w:after="120"/>
      </w:pPr>
      <w:r>
        <w:rPr>
          <w:rStyle w:val="FootnoteReference"/>
        </w:rPr>
        <w:footnoteRef/>
      </w:r>
      <w:r>
        <w:t xml:space="preserve"> </w:t>
      </w:r>
      <w:r w:rsidRPr="008E15A9">
        <w:rPr>
          <w:i/>
        </w:rPr>
        <w:t>AEP-Ohio ESP II</w:t>
      </w:r>
      <w:r>
        <w:t>, Post-Hearing Reply Brief of Ormet Primary Aluminum Corporation at 9 (July 9, 2012).</w:t>
      </w:r>
    </w:p>
  </w:footnote>
  <w:footnote w:id="16">
    <w:p w:rsidR="000F4514" w:rsidRDefault="000F4514" w:rsidP="00B42443">
      <w:pPr>
        <w:pStyle w:val="FootnoteText"/>
        <w:spacing w:after="120"/>
      </w:pPr>
      <w:r>
        <w:rPr>
          <w:rStyle w:val="FootnoteReference"/>
        </w:rPr>
        <w:footnoteRef/>
      </w:r>
      <w:r>
        <w:t xml:space="preserve"> The rate impacts for GS-4 customers are demonstrated in IEU-Ohio Exs. 7-10.</w:t>
      </w:r>
    </w:p>
  </w:footnote>
  <w:footnote w:id="17">
    <w:p w:rsidR="000F4514" w:rsidRDefault="000F4514" w:rsidP="00B42443">
      <w:pPr>
        <w:pStyle w:val="FootnoteText"/>
        <w:spacing w:after="120"/>
      </w:pPr>
      <w:r>
        <w:rPr>
          <w:rStyle w:val="FootnoteReference"/>
        </w:rPr>
        <w:footnoteRef/>
      </w:r>
      <w:r>
        <w:t xml:space="preserve"> Motion for Expedited Approval of Payment Deferral and Memorandum in Support (Oct. 12, 2012).</w:t>
      </w:r>
    </w:p>
  </w:footnote>
  <w:footnote w:id="18">
    <w:p w:rsidR="000F4514" w:rsidRDefault="000F4514" w:rsidP="00B42443">
      <w:pPr>
        <w:pStyle w:val="FootnoteText"/>
        <w:spacing w:after="120"/>
      </w:pPr>
      <w:r>
        <w:rPr>
          <w:rStyle w:val="FootnoteReference"/>
        </w:rPr>
        <w:footnoteRef/>
      </w:r>
      <w:r>
        <w:t xml:space="preserve"> Entry at 4 (Oct. 17, 2012). </w:t>
      </w:r>
    </w:p>
  </w:footnote>
  <w:footnote w:id="19">
    <w:p w:rsidR="000F4514" w:rsidRDefault="000F4514" w:rsidP="00B42443">
      <w:pPr>
        <w:pStyle w:val="FootnoteText"/>
        <w:spacing w:after="120"/>
      </w:pPr>
      <w:r>
        <w:rPr>
          <w:rStyle w:val="FootnoteReference"/>
        </w:rPr>
        <w:footnoteRef/>
      </w:r>
      <w:r>
        <w:t xml:space="preserve"> </w:t>
      </w:r>
      <w:r w:rsidR="00936408">
        <w:t xml:space="preserve">Motion at 3. </w:t>
      </w:r>
    </w:p>
  </w:footnote>
  <w:footnote w:id="20">
    <w:p w:rsidR="000F4514" w:rsidRDefault="000F4514" w:rsidP="00B42443">
      <w:pPr>
        <w:pStyle w:val="FootnoteText"/>
        <w:spacing w:after="120"/>
      </w:pPr>
      <w:r>
        <w:rPr>
          <w:rStyle w:val="FootnoteReference"/>
        </w:rPr>
        <w:footnoteRef/>
      </w:r>
      <w:r>
        <w:t xml:space="preserve"> </w:t>
      </w:r>
      <w:r w:rsidRPr="00F51105">
        <w:rPr>
          <w:i/>
        </w:rPr>
        <w:t>Id</w:t>
      </w:r>
      <w:r>
        <w:t>.</w:t>
      </w:r>
    </w:p>
  </w:footnote>
  <w:footnote w:id="21">
    <w:p w:rsidR="000F4514" w:rsidRDefault="000F4514" w:rsidP="00B42443">
      <w:pPr>
        <w:pStyle w:val="FootnoteText"/>
        <w:spacing w:after="120"/>
      </w:pPr>
      <w:r>
        <w:rPr>
          <w:rStyle w:val="FootnoteReference"/>
        </w:rPr>
        <w:footnoteRef/>
      </w:r>
      <w:r>
        <w:t xml:space="preserve"> </w:t>
      </w:r>
      <w:r w:rsidRPr="00D066E2">
        <w:rPr>
          <w:i/>
        </w:rPr>
        <w:t>Id</w:t>
      </w:r>
      <w:r>
        <w:t>.</w:t>
      </w:r>
    </w:p>
  </w:footnote>
  <w:footnote w:id="22">
    <w:p w:rsidR="000F4514" w:rsidRDefault="000F4514" w:rsidP="00B42443">
      <w:pPr>
        <w:pStyle w:val="FootnoteText"/>
        <w:spacing w:after="120"/>
      </w:pPr>
      <w:r>
        <w:rPr>
          <w:rStyle w:val="FootnoteReference"/>
        </w:rPr>
        <w:footnoteRef/>
      </w:r>
      <w:r>
        <w:t xml:space="preserve"> </w:t>
      </w:r>
      <w:r w:rsidR="002D224E" w:rsidRPr="002D224E">
        <w:rPr>
          <w:i/>
        </w:rPr>
        <w:t>Id</w:t>
      </w:r>
      <w:r w:rsidR="002D224E">
        <w:t>.</w:t>
      </w:r>
      <w:r>
        <w:t xml:space="preserve"> at 10.</w:t>
      </w:r>
    </w:p>
  </w:footnote>
  <w:footnote w:id="23">
    <w:p w:rsidR="000F4514" w:rsidRDefault="000F4514" w:rsidP="00B42443">
      <w:pPr>
        <w:pStyle w:val="FootnoteText"/>
        <w:spacing w:after="120"/>
      </w:pPr>
      <w:r>
        <w:rPr>
          <w:rStyle w:val="FootnoteReference"/>
        </w:rPr>
        <w:footnoteRef/>
      </w:r>
      <w:r>
        <w:t xml:space="preserve"> </w:t>
      </w:r>
      <w:r w:rsidRPr="00F51105">
        <w:rPr>
          <w:i/>
        </w:rPr>
        <w:t>Id</w:t>
      </w:r>
      <w:r>
        <w:t>.</w:t>
      </w:r>
    </w:p>
  </w:footnote>
  <w:footnote w:id="24">
    <w:p w:rsidR="000F4514" w:rsidRDefault="000F4514" w:rsidP="00B42443">
      <w:pPr>
        <w:pStyle w:val="FootnoteText"/>
        <w:spacing w:after="120"/>
      </w:pPr>
      <w:r>
        <w:rPr>
          <w:rStyle w:val="FootnoteReference"/>
        </w:rPr>
        <w:footnoteRef/>
      </w:r>
      <w:r>
        <w:t xml:space="preserve"> Ormet has proposed to pay several riders and tariff distribution fees in addition to the price of $45.89 per MWh, minus any Negative Delta Revenue benefit.  Ormet did not include AEP-Ohio’s AER in the list of riders it will continue to pay while it continues to obtain generation service from AEP-Ohio.  </w:t>
      </w:r>
      <w:r w:rsidRPr="00F51105">
        <w:rPr>
          <w:i/>
        </w:rPr>
        <w:t>Id</w:t>
      </w:r>
      <w:r>
        <w:t>.</w:t>
      </w:r>
    </w:p>
  </w:footnote>
  <w:footnote w:id="25">
    <w:p w:rsidR="000F4514" w:rsidRDefault="000F4514" w:rsidP="00B42443">
      <w:pPr>
        <w:pStyle w:val="FootnoteText"/>
        <w:spacing w:after="120"/>
      </w:pPr>
      <w:r>
        <w:rPr>
          <w:rStyle w:val="FootnoteReference"/>
        </w:rPr>
        <w:footnoteRef/>
      </w:r>
      <w:r>
        <w:t xml:space="preserve"> </w:t>
      </w:r>
      <w:r>
        <w:rPr>
          <w:i/>
        </w:rPr>
        <w:t>Id</w:t>
      </w:r>
      <w:r>
        <w:t>. at 10-11.</w:t>
      </w:r>
    </w:p>
  </w:footnote>
  <w:footnote w:id="26">
    <w:p w:rsidR="000F4514" w:rsidRDefault="000F4514" w:rsidP="00B42443">
      <w:pPr>
        <w:pStyle w:val="FootnoteText"/>
        <w:spacing w:after="120"/>
      </w:pPr>
      <w:r>
        <w:rPr>
          <w:rStyle w:val="FootnoteReference"/>
        </w:rPr>
        <w:footnoteRef/>
      </w:r>
      <w:r>
        <w:t xml:space="preserve"> </w:t>
      </w:r>
      <w:r w:rsidRPr="00F51105">
        <w:rPr>
          <w:i/>
        </w:rPr>
        <w:t>Id</w:t>
      </w:r>
      <w:r>
        <w:t>. at 11.</w:t>
      </w:r>
    </w:p>
  </w:footnote>
  <w:footnote w:id="27">
    <w:p w:rsidR="000F4514" w:rsidRDefault="000F4514" w:rsidP="004A3C5E">
      <w:pPr>
        <w:pStyle w:val="FootnoteText"/>
        <w:spacing w:after="120"/>
      </w:pPr>
      <w:r>
        <w:rPr>
          <w:rStyle w:val="FootnoteReference"/>
        </w:rPr>
        <w:footnoteRef/>
      </w:r>
      <w:r>
        <w:t xml:space="preserve"> </w:t>
      </w:r>
      <w:r w:rsidRPr="00F51105">
        <w:rPr>
          <w:i/>
        </w:rPr>
        <w:t>Id</w:t>
      </w:r>
      <w:r>
        <w:t>.</w:t>
      </w:r>
    </w:p>
  </w:footnote>
  <w:footnote w:id="28">
    <w:p w:rsidR="000F4514" w:rsidRDefault="000F4514">
      <w:pPr>
        <w:pStyle w:val="FootnoteText"/>
        <w:spacing w:after="120"/>
      </w:pPr>
      <w:r>
        <w:rPr>
          <w:rStyle w:val="FootnoteReference"/>
        </w:rPr>
        <w:footnoteRef/>
      </w:r>
      <w:r>
        <w:t xml:space="preserve"> </w:t>
      </w:r>
      <w:r w:rsidRPr="00F51105">
        <w:rPr>
          <w:i/>
        </w:rPr>
        <w:t>Id</w:t>
      </w:r>
      <w:r>
        <w:t>.</w:t>
      </w:r>
    </w:p>
  </w:footnote>
  <w:footnote w:id="29">
    <w:p w:rsidR="000F4514" w:rsidRDefault="000F4514">
      <w:pPr>
        <w:pStyle w:val="FootnoteText"/>
        <w:spacing w:after="120"/>
      </w:pPr>
      <w:r>
        <w:rPr>
          <w:rStyle w:val="FootnoteReference"/>
        </w:rPr>
        <w:footnoteRef/>
      </w:r>
      <w:r>
        <w:t xml:space="preserve"> Ormet suggests it plans to actively pursue building a natural gas-fired power plant to meet its electricity supply needs.  </w:t>
      </w:r>
      <w:r w:rsidRPr="00D066E2">
        <w:rPr>
          <w:i/>
        </w:rPr>
        <w:t>Id</w:t>
      </w:r>
      <w:r>
        <w:t>. at 14.</w:t>
      </w:r>
    </w:p>
  </w:footnote>
  <w:footnote w:id="30">
    <w:p w:rsidR="000F4514" w:rsidRDefault="000F4514">
      <w:pPr>
        <w:pStyle w:val="FootnoteText"/>
        <w:spacing w:after="120"/>
      </w:pPr>
      <w:r>
        <w:rPr>
          <w:rStyle w:val="FootnoteReference"/>
        </w:rPr>
        <w:footnoteRef/>
      </w:r>
      <w:r>
        <w:t xml:space="preserve"> </w:t>
      </w:r>
      <w:r w:rsidRPr="00F51105">
        <w:rPr>
          <w:i/>
        </w:rPr>
        <w:t>Id</w:t>
      </w:r>
      <w:r>
        <w:t>. at 12.</w:t>
      </w:r>
    </w:p>
  </w:footnote>
  <w:footnote w:id="31">
    <w:p w:rsidR="000F4514" w:rsidRDefault="000F4514">
      <w:pPr>
        <w:pStyle w:val="FootnoteText"/>
        <w:spacing w:after="120"/>
      </w:pPr>
      <w:r>
        <w:rPr>
          <w:rStyle w:val="FootnoteReference"/>
        </w:rPr>
        <w:footnoteRef/>
      </w:r>
      <w:r>
        <w:t xml:space="preserve"> </w:t>
      </w:r>
      <w:r w:rsidRPr="00D066E2">
        <w:rPr>
          <w:i/>
        </w:rPr>
        <w:t>Id</w:t>
      </w:r>
      <w:r>
        <w:t xml:space="preserve">. at 11. </w:t>
      </w:r>
    </w:p>
  </w:footnote>
  <w:footnote w:id="32">
    <w:p w:rsidR="000F4514" w:rsidRDefault="000F4514" w:rsidP="00E941AB">
      <w:pPr>
        <w:pStyle w:val="FootnoteText"/>
        <w:spacing w:after="120"/>
      </w:pPr>
      <w:r>
        <w:rPr>
          <w:rStyle w:val="FootnoteReference"/>
        </w:rPr>
        <w:footnoteRef/>
      </w:r>
      <w:r>
        <w:t xml:space="preserve"> Motion for Expedited Approval of Payment Deferral and Memorandum in Support of Ormet Primary Aluminum Corporation at 1 (July 31, 2013).</w:t>
      </w:r>
    </w:p>
  </w:footnote>
  <w:footnote w:id="33">
    <w:p w:rsidR="000F4514" w:rsidRDefault="000F4514" w:rsidP="00E941AB">
      <w:pPr>
        <w:pStyle w:val="FootnoteText"/>
        <w:spacing w:after="120"/>
      </w:pPr>
      <w:r>
        <w:rPr>
          <w:rStyle w:val="FootnoteReference"/>
        </w:rPr>
        <w:footnoteRef/>
      </w:r>
      <w:r>
        <w:t xml:space="preserve"> Entry at 6 (Aug. 21, 2013).</w:t>
      </w:r>
    </w:p>
  </w:footnote>
  <w:footnote w:id="34">
    <w:p w:rsidR="000F4514" w:rsidRDefault="000F4514" w:rsidP="00E941AB">
      <w:pPr>
        <w:pStyle w:val="FootnoteText"/>
        <w:spacing w:after="120"/>
      </w:pPr>
      <w:r>
        <w:rPr>
          <w:rStyle w:val="FootnoteReference"/>
        </w:rPr>
        <w:footnoteRef/>
      </w:r>
      <w:r>
        <w:t xml:space="preserve"> </w:t>
      </w:r>
      <w:r w:rsidRPr="00B7032D">
        <w:rPr>
          <w:i/>
        </w:rPr>
        <w:t>Id</w:t>
      </w:r>
      <w:r>
        <w:t>. at 7.</w:t>
      </w:r>
    </w:p>
  </w:footnote>
  <w:footnote w:id="35">
    <w:p w:rsidR="000F4514" w:rsidRDefault="000F4514" w:rsidP="00E941AB">
      <w:pPr>
        <w:pStyle w:val="FootnoteText"/>
        <w:spacing w:after="120"/>
      </w:pPr>
      <w:r>
        <w:rPr>
          <w:rStyle w:val="FootnoteReference"/>
        </w:rPr>
        <w:footnoteRef/>
      </w:r>
      <w:r>
        <w:t xml:space="preserve">  The 2009 Reasonable Arrangement provides for a cap on Negative Delta Revenue of $44 million in 2013, $34 million in 2014, $24 million in 2015, $14 million in 2016, and $4 million in 2017.  Opinion and Order at 10.</w:t>
      </w:r>
    </w:p>
  </w:footnote>
  <w:footnote w:id="36">
    <w:p w:rsidR="000F4514" w:rsidRDefault="000F4514" w:rsidP="00B42443">
      <w:pPr>
        <w:pStyle w:val="FootnoteText"/>
        <w:spacing w:after="120"/>
      </w:pPr>
      <w:r>
        <w:rPr>
          <w:rStyle w:val="FootnoteReference"/>
        </w:rPr>
        <w:footnoteRef/>
      </w:r>
      <w:r>
        <w:t xml:space="preserve"> Ormet Ex. 7 at 10.</w:t>
      </w:r>
    </w:p>
  </w:footnote>
  <w:footnote w:id="37">
    <w:p w:rsidR="000F4514" w:rsidRDefault="000F4514" w:rsidP="00321E6D">
      <w:pPr>
        <w:pStyle w:val="FootnoteText"/>
        <w:spacing w:after="120"/>
      </w:pPr>
      <w:r>
        <w:rPr>
          <w:rStyle w:val="FootnoteReference"/>
        </w:rPr>
        <w:footnoteRef/>
      </w:r>
      <w:r>
        <w:t xml:space="preserve"> AEP-Ohio Ex. 2 at DMR-1.</w:t>
      </w:r>
    </w:p>
  </w:footnote>
  <w:footnote w:id="38">
    <w:p w:rsidR="000F4514" w:rsidRDefault="000F4514" w:rsidP="00321E6D">
      <w:pPr>
        <w:pStyle w:val="FootnoteText"/>
        <w:spacing w:after="120"/>
      </w:pPr>
      <w:r>
        <w:rPr>
          <w:rStyle w:val="FootnoteReference"/>
        </w:rPr>
        <w:footnoteRef/>
      </w:r>
      <w:r>
        <w:t xml:space="preserve"> </w:t>
      </w:r>
      <w:r w:rsidRPr="00434B2E">
        <w:rPr>
          <w:i/>
        </w:rPr>
        <w:t>Id</w:t>
      </w:r>
      <w:r>
        <w:t>. at DMR-2 (full amount of each year’s increase in subsidies to Ormet treated as a “Cost to Other Customers”).</w:t>
      </w:r>
    </w:p>
  </w:footnote>
  <w:footnote w:id="39">
    <w:p w:rsidR="00097AD7" w:rsidRDefault="00097AD7" w:rsidP="00321E6D">
      <w:pPr>
        <w:pStyle w:val="FootnoteText"/>
        <w:spacing w:after="120"/>
      </w:pPr>
      <w:r>
        <w:rPr>
          <w:rStyle w:val="FootnoteReference"/>
        </w:rPr>
        <w:footnoteRef/>
      </w:r>
      <w:r>
        <w:t xml:space="preserve"> Entry at 3 (Oct. 17, 2012) (deferred revenue up to $20 million will be treated as foregone revenue if Ormet defaults).</w:t>
      </w:r>
    </w:p>
  </w:footnote>
  <w:footnote w:id="40">
    <w:p w:rsidR="000F4514" w:rsidRDefault="000F4514" w:rsidP="00321E6D">
      <w:pPr>
        <w:pStyle w:val="FootnoteText"/>
        <w:spacing w:after="120"/>
      </w:pPr>
      <w:r>
        <w:rPr>
          <w:rStyle w:val="FootnoteReference"/>
        </w:rPr>
        <w:footnoteRef/>
      </w:r>
      <w:r>
        <w:t xml:space="preserve"> According to its Motion, the AER is not a rider that Ormet proposes to continue paying while it continues to take generation service from AEP-Ohio.  Motion at 10.</w:t>
      </w:r>
    </w:p>
  </w:footnote>
  <w:footnote w:id="41">
    <w:p w:rsidR="00CC7FC8" w:rsidRDefault="00CC7FC8" w:rsidP="00321E6D">
      <w:pPr>
        <w:pStyle w:val="FootnoteText"/>
        <w:spacing w:after="120"/>
      </w:pPr>
      <w:r>
        <w:rPr>
          <w:rStyle w:val="FootnoteReference"/>
        </w:rPr>
        <w:footnoteRef/>
      </w:r>
      <w:r>
        <w:t xml:space="preserve"> The Commission may adjust the baseline of the electric distribution utility </w:t>
      </w:r>
      <w:r w:rsidR="00234D30">
        <w:t xml:space="preserve">(“EDU”) </w:t>
      </w:r>
      <w:r>
        <w:t>for new economic growth in the EDU’s certified territory.  Section 4928.64(B), Revised Code.</w:t>
      </w:r>
    </w:p>
  </w:footnote>
  <w:footnote w:id="42">
    <w:p w:rsidR="000F4514" w:rsidRDefault="000F4514" w:rsidP="00E941AB">
      <w:pPr>
        <w:pStyle w:val="FootnoteText"/>
        <w:spacing w:after="120"/>
      </w:pPr>
      <w:r>
        <w:rPr>
          <w:rStyle w:val="FootnoteReference"/>
        </w:rPr>
        <w:footnoteRef/>
      </w:r>
      <w:r>
        <w:t xml:space="preserve"> IEU-Ohio Exs. 7-10.</w:t>
      </w:r>
    </w:p>
  </w:footnote>
  <w:footnote w:id="43">
    <w:p w:rsidR="000F4514" w:rsidRDefault="000F4514" w:rsidP="004A3C5E">
      <w:pPr>
        <w:pStyle w:val="FootnoteText"/>
        <w:spacing w:after="120"/>
      </w:pPr>
      <w:r>
        <w:rPr>
          <w:rStyle w:val="FootnoteReference"/>
        </w:rPr>
        <w:footnoteRef/>
      </w:r>
      <w:r>
        <w:t xml:space="preserve"> The Commission denied authorization for a portion of the increase, but left open the possibility that AEP-Ohio may seek to justify the portion not allowed.  </w:t>
      </w:r>
      <w:r w:rsidRPr="00A36108">
        <w:rPr>
          <w:i/>
        </w:rPr>
        <w:t>In the Matter of the Application of Ohio Power Company to Update its Transmission Cost Recovery Rider Rates</w:t>
      </w:r>
      <w:r>
        <w:t>, Case No. 13-1406-EL-RDR, Finding and Order (Aug. 28, 2013).</w:t>
      </w:r>
    </w:p>
  </w:footnote>
  <w:footnote w:id="44">
    <w:p w:rsidR="00116B3A" w:rsidRDefault="00116B3A" w:rsidP="00116B3A">
      <w:pPr>
        <w:pStyle w:val="FootnoteText"/>
      </w:pPr>
      <w:r>
        <w:rPr>
          <w:rStyle w:val="FootnoteReference"/>
        </w:rPr>
        <w:footnoteRef/>
      </w:r>
      <w:r>
        <w:t xml:space="preserve"> </w:t>
      </w:r>
      <w:r w:rsidRPr="00116B3A">
        <w:rPr>
          <w:i/>
        </w:rPr>
        <w:t>In the Matter of the Fuel Adjustment Clauses for Ohio Power Company</w:t>
      </w:r>
      <w:r>
        <w:t>, Case No. 13-1892-EL-FAC (Aug. 30, 2013).</w:t>
      </w:r>
    </w:p>
  </w:footnote>
  <w:footnote w:id="45">
    <w:p w:rsidR="000F4514" w:rsidRDefault="000F4514">
      <w:pPr>
        <w:pStyle w:val="FootnoteText"/>
        <w:spacing w:after="120"/>
      </w:pPr>
      <w:r>
        <w:rPr>
          <w:rStyle w:val="FootnoteReference"/>
        </w:rPr>
        <w:footnoteRef/>
      </w:r>
      <w:r>
        <w:t xml:space="preserve"> Ormet Ex. 2.</w:t>
      </w:r>
    </w:p>
  </w:footnote>
  <w:footnote w:id="46">
    <w:p w:rsidR="000F4514" w:rsidRDefault="000F4514">
      <w:pPr>
        <w:pStyle w:val="FootnoteText"/>
        <w:spacing w:after="120"/>
      </w:pPr>
      <w:r>
        <w:rPr>
          <w:rStyle w:val="FootnoteReference"/>
        </w:rPr>
        <w:footnoteRef/>
      </w:r>
      <w:r>
        <w:t xml:space="preserve"> Tr. Vol. I at 72-74.</w:t>
      </w:r>
    </w:p>
  </w:footnote>
  <w:footnote w:id="47">
    <w:p w:rsidR="000F4514" w:rsidRDefault="000F4514" w:rsidP="00B42443">
      <w:pPr>
        <w:pStyle w:val="FootnoteText"/>
        <w:spacing w:after="120"/>
      </w:pPr>
      <w:r>
        <w:rPr>
          <w:rStyle w:val="FootnoteReference"/>
        </w:rPr>
        <w:footnoteRef/>
      </w:r>
      <w:r>
        <w:t xml:space="preserve"> Opinion and Order at 10.</w:t>
      </w:r>
    </w:p>
  </w:footnote>
  <w:footnote w:id="48">
    <w:p w:rsidR="000F4514" w:rsidRDefault="000F4514" w:rsidP="00B42443">
      <w:pPr>
        <w:pStyle w:val="FootnoteText"/>
        <w:spacing w:after="120"/>
      </w:pPr>
      <w:r>
        <w:rPr>
          <w:rStyle w:val="FootnoteReference"/>
        </w:rPr>
        <w:footnoteRef/>
      </w:r>
      <w:r>
        <w:t xml:space="preserve"> Section 4928.38, Revised Code.</w:t>
      </w:r>
    </w:p>
  </w:footnote>
  <w:footnote w:id="49">
    <w:p w:rsidR="000F4514" w:rsidRDefault="000F4514" w:rsidP="00B42443">
      <w:pPr>
        <w:pStyle w:val="FootnoteText"/>
        <w:spacing w:after="120"/>
      </w:pPr>
      <w:r>
        <w:rPr>
          <w:rStyle w:val="FootnoteReference"/>
        </w:rPr>
        <w:footnoteRef/>
      </w:r>
      <w:r>
        <w:t xml:space="preserve"> Ormet Ex. 7 at 5.</w:t>
      </w:r>
    </w:p>
  </w:footnote>
  <w:footnote w:id="50">
    <w:p w:rsidR="000F4514" w:rsidRDefault="000F4514" w:rsidP="00337611">
      <w:pPr>
        <w:pStyle w:val="FootnoteText"/>
        <w:spacing w:after="120"/>
      </w:pPr>
      <w:r>
        <w:rPr>
          <w:rStyle w:val="FootnoteReference"/>
        </w:rPr>
        <w:footnoteRef/>
      </w:r>
      <w:r>
        <w:t xml:space="preserve"> Given the recent low prices in the aluminum market, at least one other processor has sought to lower its generation price by seeking a market-based solution.  Century Kentucky, a Kentucky-based aluminum smelter, recently secured approval of a set of contracts from the Public Service Commission of Kentucky that permit it to secure power through market transactions.  </w:t>
      </w:r>
      <w:r w:rsidRPr="00434B2E">
        <w:rPr>
          <w:i/>
        </w:rPr>
        <w:t>In the Matter of Joint Application of Kenergy Corp. and Big Rivers Electric Corporation for Approval of Contracts and for a Declaratory Order,</w:t>
      </w:r>
      <w:r>
        <w:t xml:space="preserve"> Case No. 2013-00221, Order (Pub. Serv. Comm’n of Ky. Aug. 14, 2013).</w:t>
      </w:r>
    </w:p>
  </w:footnote>
  <w:footnote w:id="51">
    <w:p w:rsidR="000F4514" w:rsidRDefault="000F4514" w:rsidP="004A3C5E">
      <w:pPr>
        <w:pStyle w:val="FootnoteText"/>
        <w:spacing w:after="120"/>
      </w:pPr>
      <w:r>
        <w:rPr>
          <w:rStyle w:val="FootnoteReference"/>
        </w:rPr>
        <w:footnoteRef/>
      </w:r>
      <w:r>
        <w:t xml:space="preserve"> AEP-Ohio Ex. 2 at 7.</w:t>
      </w:r>
    </w:p>
  </w:footnote>
  <w:footnote w:id="52">
    <w:p w:rsidR="006C0A1E" w:rsidRDefault="006C0A1E" w:rsidP="006C0A1E">
      <w:pPr>
        <w:pStyle w:val="FootnoteText"/>
        <w:spacing w:after="120"/>
      </w:pPr>
      <w:r>
        <w:rPr>
          <w:rStyle w:val="FootnoteReference"/>
        </w:rPr>
        <w:footnoteRef/>
      </w:r>
      <w:r>
        <w:t xml:space="preserve"> </w:t>
      </w:r>
      <w:r w:rsidRPr="009832AF">
        <w:t>AEP-Ohio Ex. 1.</w:t>
      </w:r>
    </w:p>
  </w:footnote>
  <w:footnote w:id="53">
    <w:p w:rsidR="00BE0178" w:rsidRDefault="00BE0178" w:rsidP="00321E6D">
      <w:pPr>
        <w:pStyle w:val="FootnoteText"/>
        <w:spacing w:after="120"/>
      </w:pPr>
      <w:r>
        <w:rPr>
          <w:rStyle w:val="FootnoteReference"/>
        </w:rPr>
        <w:footnoteRef/>
      </w:r>
      <w:r>
        <w:t xml:space="preserve"> Entry on Rehearing at 8 (Sept. 15, 2009).</w:t>
      </w:r>
    </w:p>
  </w:footnote>
  <w:footnote w:id="54">
    <w:p w:rsidR="00BE0178" w:rsidRDefault="00BE0178" w:rsidP="00321E6D">
      <w:pPr>
        <w:pStyle w:val="FootnoteText"/>
        <w:spacing w:after="120"/>
      </w:pPr>
      <w:r>
        <w:rPr>
          <w:rStyle w:val="FootnoteReference"/>
        </w:rPr>
        <w:footnoteRef/>
      </w:r>
      <w:r>
        <w:t xml:space="preserve"> </w:t>
      </w:r>
      <w:r w:rsidRPr="00BE0178">
        <w:rPr>
          <w:i/>
        </w:rPr>
        <w:t>In the Matter of the Application of Columbus Southern Power Company for Approval of an Electric Security Plan; an Amendment to its Corporate Separation Plan; and the Sale or Transfer of Certain Generating Assets</w:t>
      </w:r>
      <w:r>
        <w:t xml:space="preserve">, Case No. 08-917-EL-SSO, </w:t>
      </w:r>
      <w:r w:rsidRPr="00E27F35">
        <w:rPr>
          <w:i/>
        </w:rPr>
        <w:t>et al</w:t>
      </w:r>
      <w:r>
        <w:t>., Order on Remand at 15-34 (Oct. 3, 2011).</w:t>
      </w:r>
    </w:p>
  </w:footnote>
  <w:footnote w:id="55">
    <w:p w:rsidR="002D224E" w:rsidRDefault="002D224E" w:rsidP="002D224E">
      <w:pPr>
        <w:pStyle w:val="FootnoteText"/>
        <w:spacing w:after="120"/>
      </w:pPr>
      <w:r>
        <w:rPr>
          <w:rStyle w:val="FootnoteReference"/>
        </w:rPr>
        <w:footnoteRef/>
      </w:r>
      <w:r>
        <w:t xml:space="preserve"> Nothing in the</w:t>
      </w:r>
      <w:r w:rsidRPr="002D224E">
        <w:t xml:space="preserve"> Supreme Court’s </w:t>
      </w:r>
      <w:r>
        <w:t>decision</w:t>
      </w:r>
      <w:r w:rsidRPr="002D224E">
        <w:t xml:space="preserve"> of the 2009 Reasonable Arrangement required Ormet to take service from AEP-Ohio for the remainder of the term of the Arrangement.  </w:t>
      </w:r>
      <w:r>
        <w:t xml:space="preserve">In that case, </w:t>
      </w:r>
      <w:r w:rsidRPr="002D224E">
        <w:t xml:space="preserve">AEP-Ohio asserted that the Commission erred when it determined that Ormet presented no risk of shopping because the Commission could modify the 2009 Reasonable Arrangement.  The Court held that the issue was not ripe.  </w:t>
      </w:r>
      <w:r w:rsidRPr="002D224E">
        <w:rPr>
          <w:i/>
        </w:rPr>
        <w:t>In re Application of Ormet Primary Aluminum Corp.</w:t>
      </w:r>
      <w:r w:rsidRPr="002D224E">
        <w:t>, 129 Ohio St.3d 9, 14 (2011) (“</w:t>
      </w:r>
      <w:r w:rsidRPr="002D224E">
        <w:rPr>
          <w:i/>
        </w:rPr>
        <w:t>Ormet Decision</w:t>
      </w:r>
      <w:r w:rsidRPr="002D224E">
        <w:t>”).</w:t>
      </w:r>
    </w:p>
  </w:footnote>
  <w:footnote w:id="56">
    <w:p w:rsidR="000F4514" w:rsidRDefault="000F4514" w:rsidP="00321E6D">
      <w:pPr>
        <w:pStyle w:val="FootnoteText"/>
        <w:spacing w:after="120"/>
      </w:pPr>
      <w:r>
        <w:rPr>
          <w:rStyle w:val="FootnoteReference"/>
        </w:rPr>
        <w:footnoteRef/>
      </w:r>
      <w:r>
        <w:t xml:space="preserve"> </w:t>
      </w:r>
      <w:r w:rsidRPr="005F24BF">
        <w:t>Section 4905.31, Revised Code</w:t>
      </w:r>
      <w:r>
        <w:t>.</w:t>
      </w:r>
    </w:p>
  </w:footnote>
  <w:footnote w:id="57">
    <w:p w:rsidR="00CC7FC8" w:rsidRDefault="00CC7FC8" w:rsidP="00321E6D">
      <w:pPr>
        <w:pStyle w:val="FootnoteText"/>
        <w:spacing w:after="120"/>
      </w:pPr>
      <w:r>
        <w:rPr>
          <w:rStyle w:val="FootnoteReference"/>
        </w:rPr>
        <w:footnoteRef/>
      </w:r>
      <w:r>
        <w:t xml:space="preserve"> Section 4928.02, Revised Code.</w:t>
      </w:r>
    </w:p>
  </w:footnote>
  <w:footnote w:id="58">
    <w:p w:rsidR="000F4514" w:rsidRDefault="000F4514" w:rsidP="00B42443">
      <w:pPr>
        <w:pStyle w:val="FootnoteText"/>
        <w:spacing w:after="120"/>
      </w:pPr>
      <w:r>
        <w:rPr>
          <w:rStyle w:val="FootnoteReference"/>
        </w:rPr>
        <w:footnoteRef/>
      </w:r>
      <w:r>
        <w:t xml:space="preserve"> Opinion and Order at 15.  Ormet was required to pay above-tariff prices if aluminum prices recovered to certain pre-determined levels.  Payments in excess of the tariff rates went first toward accumulated deferrals and then to reduce the EDR.</w:t>
      </w:r>
    </w:p>
  </w:footnote>
  <w:footnote w:id="59">
    <w:p w:rsidR="000F4514" w:rsidRDefault="000F4514" w:rsidP="00B42443">
      <w:pPr>
        <w:pStyle w:val="FootnoteText"/>
        <w:spacing w:after="120"/>
      </w:pPr>
      <w:r>
        <w:rPr>
          <w:rStyle w:val="FootnoteReference"/>
        </w:rPr>
        <w:footnoteRef/>
      </w:r>
      <w:r>
        <w:t xml:space="preserve"> Entry at 4 (Oct. 17, 2012).</w:t>
      </w:r>
    </w:p>
  </w:footnote>
  <w:footnote w:id="60">
    <w:p w:rsidR="000F4514" w:rsidRDefault="000F4514" w:rsidP="00B42443">
      <w:pPr>
        <w:pStyle w:val="FootnoteText"/>
        <w:spacing w:after="120"/>
      </w:pPr>
      <w:r>
        <w:rPr>
          <w:rStyle w:val="FootnoteReference"/>
        </w:rPr>
        <w:footnoteRef/>
      </w:r>
      <w:r>
        <w:t xml:space="preserve"> IEU-Ohio Ex. 1 at 8.</w:t>
      </w:r>
    </w:p>
  </w:footnote>
  <w:footnote w:id="61">
    <w:p w:rsidR="000F4514" w:rsidRDefault="000F4514">
      <w:pPr>
        <w:pStyle w:val="FootnoteText"/>
        <w:spacing w:after="120"/>
      </w:pPr>
      <w:r>
        <w:rPr>
          <w:rStyle w:val="FootnoteReference"/>
        </w:rPr>
        <w:footnoteRef/>
      </w:r>
      <w:r>
        <w:t xml:space="preserve"> Tr. Vol. I at 150.</w:t>
      </w:r>
    </w:p>
  </w:footnote>
  <w:footnote w:id="62">
    <w:p w:rsidR="000F4514" w:rsidRDefault="000F4514">
      <w:pPr>
        <w:pStyle w:val="FootnoteText"/>
        <w:spacing w:after="120"/>
      </w:pPr>
      <w:r>
        <w:rPr>
          <w:rStyle w:val="FootnoteReference"/>
        </w:rPr>
        <w:footnoteRef/>
      </w:r>
      <w:r>
        <w:t xml:space="preserve"> Tr. Vol. I at 143</w:t>
      </w:r>
    </w:p>
  </w:footnote>
  <w:footnote w:id="63">
    <w:p w:rsidR="000F4514" w:rsidRDefault="000F4514" w:rsidP="00E941AB">
      <w:pPr>
        <w:pStyle w:val="FootnoteText"/>
        <w:spacing w:after="120"/>
      </w:pPr>
      <w:r>
        <w:rPr>
          <w:rStyle w:val="FootnoteReference"/>
        </w:rPr>
        <w:footnoteRef/>
      </w:r>
      <w:r>
        <w:t xml:space="preserve"> Entry at 4 (Oct. 17, 2012).  In an emergency case, the Commission would not approve the request for relief without a demonstration that </w:t>
      </w:r>
      <w:r w:rsidR="00FF30DE">
        <w:t>the current business model can be sustained</w:t>
      </w:r>
      <w:r>
        <w:t xml:space="preserve">.  </w:t>
      </w:r>
      <w:r>
        <w:rPr>
          <w:rFonts w:cs="Arial"/>
          <w:i/>
        </w:rPr>
        <w:t>In the Matter of the Application of Akron Thermal, Limited Partnership for an Emergency Increase in its Rates and Charges for Steam and Hot Water Service</w:t>
      </w:r>
      <w:r>
        <w:rPr>
          <w:rFonts w:cs="Arial"/>
        </w:rPr>
        <w:t xml:space="preserve">, Case No. 09-453-HT-AEM, </w:t>
      </w:r>
      <w:r w:rsidRPr="00E941AB">
        <w:rPr>
          <w:rFonts w:cs="Arial"/>
          <w:i/>
        </w:rPr>
        <w:t>et al.,</w:t>
      </w:r>
      <w:r>
        <w:rPr>
          <w:rFonts w:cs="Arial"/>
        </w:rPr>
        <w:t xml:space="preserve"> Opinion and Order at 25 (Sept. 2, 2009) (“</w:t>
      </w:r>
      <w:r>
        <w:rPr>
          <w:rFonts w:cs="Arial"/>
          <w:i/>
        </w:rPr>
        <w:t>Akron Thermal</w:t>
      </w:r>
      <w:r>
        <w:rPr>
          <w:rFonts w:cs="Arial"/>
        </w:rPr>
        <w:t>”).</w:t>
      </w:r>
    </w:p>
  </w:footnote>
  <w:footnote w:id="64">
    <w:p w:rsidR="000F4514" w:rsidRDefault="000F4514" w:rsidP="004A3C5E">
      <w:pPr>
        <w:pStyle w:val="FootnoteText"/>
        <w:spacing w:after="120"/>
      </w:pPr>
      <w:r>
        <w:rPr>
          <w:rStyle w:val="FootnoteReference"/>
        </w:rPr>
        <w:footnoteRef/>
      </w:r>
      <w:r>
        <w:t xml:space="preserve"> Opinion and Order at 10.  The Commission further determined that the amount of the discount would be further decreased if Ormet failed to maintain employment levels exceeding 650 </w:t>
      </w:r>
      <w:r w:rsidR="00765980">
        <w:t>employees</w:t>
      </w:r>
      <w:r>
        <w:t>.</w:t>
      </w:r>
    </w:p>
  </w:footnote>
  <w:footnote w:id="65">
    <w:p w:rsidR="000F4514" w:rsidRDefault="000F4514">
      <w:pPr>
        <w:pStyle w:val="FootnoteText"/>
        <w:spacing w:after="120"/>
      </w:pPr>
      <w:r>
        <w:rPr>
          <w:rStyle w:val="FootnoteReference"/>
        </w:rPr>
        <w:footnoteRef/>
      </w:r>
      <w:r>
        <w:t xml:space="preserve"> </w:t>
      </w:r>
      <w:r w:rsidRPr="0078042F">
        <w:rPr>
          <w:i/>
        </w:rPr>
        <w:t xml:space="preserve">Ormet </w:t>
      </w:r>
      <w:r>
        <w:rPr>
          <w:i/>
        </w:rPr>
        <w:t>Decision</w:t>
      </w:r>
      <w:r>
        <w:t>, 129 Ohio St.3d at 12.</w:t>
      </w:r>
    </w:p>
  </w:footnote>
  <w:footnote w:id="66">
    <w:p w:rsidR="002E31A7" w:rsidRDefault="002E31A7" w:rsidP="002E31A7">
      <w:pPr>
        <w:pStyle w:val="FootnoteText"/>
        <w:spacing w:after="120"/>
      </w:pPr>
      <w:r>
        <w:rPr>
          <w:rStyle w:val="FootnoteReference"/>
        </w:rPr>
        <w:footnoteRef/>
      </w:r>
      <w:r>
        <w:t xml:space="preserve"> Tr. Vol. II at 446.</w:t>
      </w:r>
    </w:p>
  </w:footnote>
  <w:footnote w:id="67">
    <w:p w:rsidR="000F4514" w:rsidRDefault="000F4514" w:rsidP="00E11379">
      <w:pPr>
        <w:pStyle w:val="FootnoteText"/>
        <w:spacing w:after="120"/>
      </w:pPr>
      <w:r>
        <w:rPr>
          <w:rStyle w:val="FootnoteReference"/>
        </w:rPr>
        <w:footnoteRef/>
      </w:r>
      <w:r>
        <w:t xml:space="preserve"> Tr. Vol. II at 446.  </w:t>
      </w:r>
      <w:r w:rsidRPr="008D0D9F">
        <w:t>Even those examples understate the potential total Negative Delta Revenue.</w:t>
      </w:r>
      <w:r>
        <w:t xml:space="preserve">  When AEP-Ohio’s witness performed what he described as “an apples to apples” comparison of the Ormet and AEP-Ohio proposals, the cost of the AEP-Ohio </w:t>
      </w:r>
      <w:r w:rsidR="00765980">
        <w:t xml:space="preserve">proposal </w:t>
      </w:r>
      <w:r>
        <w:t>was substantially higher than each of the examples presented in his testimony as DMR-3.  Tr. Vol. II at 443-46.</w:t>
      </w:r>
    </w:p>
  </w:footnote>
  <w:footnote w:id="68">
    <w:p w:rsidR="000F4514" w:rsidRDefault="000F4514" w:rsidP="00096BCB">
      <w:pPr>
        <w:pStyle w:val="FootnoteText"/>
        <w:spacing w:after="120"/>
      </w:pPr>
      <w:r>
        <w:rPr>
          <w:rStyle w:val="FootnoteReference"/>
        </w:rPr>
        <w:footnoteRef/>
      </w:r>
      <w:r>
        <w:t xml:space="preserve"> </w:t>
      </w:r>
      <w:r w:rsidRPr="00A36108">
        <w:rPr>
          <w:i/>
        </w:rPr>
        <w:t>In the Matter of the Application of Ohio Power Company to Establish a Competitive Bidding Process for Procurement of Energy to Support its Standard Service Offer</w:t>
      </w:r>
      <w:r>
        <w:t>, Case No. 12-3254-EL-UNC, Joint Post-Hearing Brief of the Ohio Energy Group and the Office of the Ohio Consumers’ Counsel at 2 (Aug. 16, 2013).</w:t>
      </w:r>
    </w:p>
  </w:footnote>
  <w:footnote w:id="69">
    <w:p w:rsidR="000F4514" w:rsidRDefault="000F4514" w:rsidP="005A3965">
      <w:pPr>
        <w:pStyle w:val="FootnoteText"/>
        <w:spacing w:after="120"/>
      </w:pPr>
      <w:r>
        <w:rPr>
          <w:rStyle w:val="FootnoteReference"/>
        </w:rPr>
        <w:footnoteRef/>
      </w:r>
      <w:r>
        <w:t xml:space="preserve"> Opinion and Order at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A5A" w:rsidRDefault="004B5A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A5A" w:rsidRDefault="004B5A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A5A" w:rsidRDefault="004B5A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514" w:rsidRDefault="000F451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514" w:rsidRDefault="000F45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514" w:rsidRDefault="000F45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163E3"/>
    <w:multiLevelType w:val="multilevel"/>
    <w:tmpl w:val="440E3F92"/>
    <w:name w:val="IEU-default"/>
    <w:lvl w:ilvl="0">
      <w:start w:val="1"/>
      <w:numFmt w:val="upperRoman"/>
      <w:pStyle w:val="Heading1"/>
      <w:lvlText w:val="%1."/>
      <w:lvlJc w:val="left"/>
      <w:pPr>
        <w:tabs>
          <w:tab w:val="num" w:pos="720"/>
        </w:tabs>
        <w:ind w:left="720" w:hanging="720"/>
      </w:pPr>
      <w:rPr>
        <w:rFonts w:ascii="Arial" w:eastAsiaTheme="majorEastAsia" w:hAnsi="Arial" w:cs="Arial"/>
        <w:b/>
        <w:caps w:val="0"/>
        <w:vanish w:val="0"/>
        <w:color w:val="010000"/>
        <w:u w:val="none"/>
      </w:rPr>
    </w:lvl>
    <w:lvl w:ilvl="1">
      <w:start w:val="1"/>
      <w:numFmt w:val="upperLetter"/>
      <w:pStyle w:val="Heading2"/>
      <w:lvlText w:val="%2."/>
      <w:lvlJc w:val="left"/>
      <w:pPr>
        <w:tabs>
          <w:tab w:val="num" w:pos="1440"/>
        </w:tabs>
        <w:ind w:left="1440" w:hanging="720"/>
      </w:pPr>
      <w:rPr>
        <w:b/>
        <w:caps w:val="0"/>
        <w:small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enterLevel1TOC" w:val="False"/>
    <w:docVar w:name="DefaultNumberOfLevelsInTOCForThisScheme" w:val="3"/>
    <w:docVar w:name="ExcludeDirectFormattingInTOC" w:val="False"/>
    <w:docVar w:name="HyperlinkTOC" w:val="False"/>
    <w:docVar w:name="IncludeTOCAndPageHeadings" w:val="True"/>
    <w:docVar w:name="LastSchemeChoice" w:val="IEU-default"/>
    <w:docVar w:name="LastSchemeUniqueID" w:val="1"/>
    <w:docVar w:name="NoNumberLevel1TOC" w:val="False"/>
    <w:docVar w:name="Option0True" w:val="False"/>
    <w:docVar w:name="Option1True" w:val="False"/>
    <w:docVar w:name="Option2True" w:val="False"/>
    <w:docVar w:name="TOCFormatConst" w:val="0"/>
    <w:docVar w:name="TOCFormatPreference" w:val="Leave TOC styles 'as is' in current document (default)"/>
    <w:docVar w:name="TOCHeadingAllCaps" w:val="False"/>
    <w:docVar w:name="TOCHeadingUnderlined" w:val="False"/>
    <w:docVar w:name="TOCIncludeNonHeadings" w:val="False"/>
    <w:docVar w:name="TOCIncludeSectionBreaks" w:val="False"/>
    <w:docVar w:name="TOCIncludeTCFields" w:val="False"/>
    <w:docVar w:name="TOCPageUnderlined" w:val="False"/>
    <w:docVar w:name="TOCRun" w:val="True"/>
    <w:docVar w:name="TOCSpecialLevels" w:val="False"/>
    <w:docVar w:name="UnderlineTOCLevel1" w:val="False"/>
    <w:docVar w:name="UpperLevelTOC" w:val="3"/>
  </w:docVars>
  <w:rsids>
    <w:rsidRoot w:val="00FD4782"/>
    <w:rsid w:val="00041745"/>
    <w:rsid w:val="00043D76"/>
    <w:rsid w:val="00045B92"/>
    <w:rsid w:val="00087599"/>
    <w:rsid w:val="00096BCB"/>
    <w:rsid w:val="00097AD7"/>
    <w:rsid w:val="000A0E03"/>
    <w:rsid w:val="000D32D8"/>
    <w:rsid w:val="000F1289"/>
    <w:rsid w:val="000F4514"/>
    <w:rsid w:val="00116B3A"/>
    <w:rsid w:val="00135C7B"/>
    <w:rsid w:val="00175812"/>
    <w:rsid w:val="0018372B"/>
    <w:rsid w:val="001921B0"/>
    <w:rsid w:val="00197915"/>
    <w:rsid w:val="001A250A"/>
    <w:rsid w:val="001A41A5"/>
    <w:rsid w:val="001D3665"/>
    <w:rsid w:val="001E36A2"/>
    <w:rsid w:val="001E54F1"/>
    <w:rsid w:val="001F192D"/>
    <w:rsid w:val="00203F57"/>
    <w:rsid w:val="00216E51"/>
    <w:rsid w:val="00234D30"/>
    <w:rsid w:val="0024393A"/>
    <w:rsid w:val="0028693B"/>
    <w:rsid w:val="002926A8"/>
    <w:rsid w:val="002D224E"/>
    <w:rsid w:val="002E31A7"/>
    <w:rsid w:val="00301176"/>
    <w:rsid w:val="00312AC0"/>
    <w:rsid w:val="00321E6D"/>
    <w:rsid w:val="00337611"/>
    <w:rsid w:val="003A69BE"/>
    <w:rsid w:val="004036CF"/>
    <w:rsid w:val="00414223"/>
    <w:rsid w:val="00434B2E"/>
    <w:rsid w:val="0044040D"/>
    <w:rsid w:val="00467BB7"/>
    <w:rsid w:val="004A3C5E"/>
    <w:rsid w:val="004B5A5A"/>
    <w:rsid w:val="004E0D0C"/>
    <w:rsid w:val="00516426"/>
    <w:rsid w:val="0052050E"/>
    <w:rsid w:val="005426B3"/>
    <w:rsid w:val="00553E95"/>
    <w:rsid w:val="00556D65"/>
    <w:rsid w:val="00567D09"/>
    <w:rsid w:val="005762BE"/>
    <w:rsid w:val="005A3965"/>
    <w:rsid w:val="005B1927"/>
    <w:rsid w:val="005F24BF"/>
    <w:rsid w:val="00647247"/>
    <w:rsid w:val="00656A21"/>
    <w:rsid w:val="006C0A1E"/>
    <w:rsid w:val="006E1A34"/>
    <w:rsid w:val="006F2F6C"/>
    <w:rsid w:val="00724F60"/>
    <w:rsid w:val="0074301A"/>
    <w:rsid w:val="007533CC"/>
    <w:rsid w:val="007547F7"/>
    <w:rsid w:val="00761CEA"/>
    <w:rsid w:val="00763C0B"/>
    <w:rsid w:val="007640D6"/>
    <w:rsid w:val="00765980"/>
    <w:rsid w:val="00774C09"/>
    <w:rsid w:val="0078042F"/>
    <w:rsid w:val="007974D8"/>
    <w:rsid w:val="007B5E82"/>
    <w:rsid w:val="007D7AEF"/>
    <w:rsid w:val="007E1CEE"/>
    <w:rsid w:val="007E25E7"/>
    <w:rsid w:val="007E7898"/>
    <w:rsid w:val="008035CA"/>
    <w:rsid w:val="00814070"/>
    <w:rsid w:val="00821A00"/>
    <w:rsid w:val="00840900"/>
    <w:rsid w:val="00857D78"/>
    <w:rsid w:val="00873623"/>
    <w:rsid w:val="00874AFF"/>
    <w:rsid w:val="008828CA"/>
    <w:rsid w:val="008A32DE"/>
    <w:rsid w:val="008A561D"/>
    <w:rsid w:val="008A69E8"/>
    <w:rsid w:val="008B7865"/>
    <w:rsid w:val="008D0D9F"/>
    <w:rsid w:val="008E15A9"/>
    <w:rsid w:val="008E30CE"/>
    <w:rsid w:val="008E3BF4"/>
    <w:rsid w:val="00907730"/>
    <w:rsid w:val="00936408"/>
    <w:rsid w:val="0098011F"/>
    <w:rsid w:val="009832AF"/>
    <w:rsid w:val="0098584A"/>
    <w:rsid w:val="009A2FB0"/>
    <w:rsid w:val="009C2400"/>
    <w:rsid w:val="00A225D9"/>
    <w:rsid w:val="00A36108"/>
    <w:rsid w:val="00A401B5"/>
    <w:rsid w:val="00A900CF"/>
    <w:rsid w:val="00A954A1"/>
    <w:rsid w:val="00AA340E"/>
    <w:rsid w:val="00AB04BF"/>
    <w:rsid w:val="00AB0821"/>
    <w:rsid w:val="00AC5870"/>
    <w:rsid w:val="00AE599B"/>
    <w:rsid w:val="00AF32C9"/>
    <w:rsid w:val="00B17E4B"/>
    <w:rsid w:val="00B2281F"/>
    <w:rsid w:val="00B42443"/>
    <w:rsid w:val="00B56AE2"/>
    <w:rsid w:val="00B61061"/>
    <w:rsid w:val="00B7032D"/>
    <w:rsid w:val="00B81344"/>
    <w:rsid w:val="00BB5C7C"/>
    <w:rsid w:val="00BC3CC0"/>
    <w:rsid w:val="00BC4110"/>
    <w:rsid w:val="00BE0178"/>
    <w:rsid w:val="00BF05DB"/>
    <w:rsid w:val="00BF67EC"/>
    <w:rsid w:val="00C0405A"/>
    <w:rsid w:val="00C43118"/>
    <w:rsid w:val="00C77EE2"/>
    <w:rsid w:val="00C928B7"/>
    <w:rsid w:val="00C92FFB"/>
    <w:rsid w:val="00C96DE8"/>
    <w:rsid w:val="00CA3355"/>
    <w:rsid w:val="00CA5FA5"/>
    <w:rsid w:val="00CB4622"/>
    <w:rsid w:val="00CC7FC8"/>
    <w:rsid w:val="00CD0D18"/>
    <w:rsid w:val="00CD4BD0"/>
    <w:rsid w:val="00D24D02"/>
    <w:rsid w:val="00D508E7"/>
    <w:rsid w:val="00D573A4"/>
    <w:rsid w:val="00DA0BB4"/>
    <w:rsid w:val="00DA676E"/>
    <w:rsid w:val="00DB0796"/>
    <w:rsid w:val="00DB0F68"/>
    <w:rsid w:val="00DC211D"/>
    <w:rsid w:val="00DC5F7B"/>
    <w:rsid w:val="00DD33C3"/>
    <w:rsid w:val="00E011FB"/>
    <w:rsid w:val="00E0147A"/>
    <w:rsid w:val="00E11379"/>
    <w:rsid w:val="00E16F3F"/>
    <w:rsid w:val="00E27F35"/>
    <w:rsid w:val="00E322AA"/>
    <w:rsid w:val="00E64977"/>
    <w:rsid w:val="00E8798A"/>
    <w:rsid w:val="00E941AB"/>
    <w:rsid w:val="00EA05CE"/>
    <w:rsid w:val="00EC324A"/>
    <w:rsid w:val="00EF42D9"/>
    <w:rsid w:val="00F14519"/>
    <w:rsid w:val="00F63A3A"/>
    <w:rsid w:val="00F841DE"/>
    <w:rsid w:val="00F9304F"/>
    <w:rsid w:val="00FA2058"/>
    <w:rsid w:val="00FA695E"/>
    <w:rsid w:val="00FA6EA3"/>
    <w:rsid w:val="00FB5C3E"/>
    <w:rsid w:val="00FD4782"/>
    <w:rsid w:val="00FF30DE"/>
    <w:rsid w:val="00FF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BD0"/>
  </w:style>
  <w:style w:type="paragraph" w:styleId="Heading1">
    <w:name w:val="heading 1"/>
    <w:basedOn w:val="Normal"/>
    <w:next w:val="Normal"/>
    <w:link w:val="Heading1Char"/>
    <w:uiPriority w:val="9"/>
    <w:qFormat/>
    <w:rsid w:val="00321E6D"/>
    <w:pPr>
      <w:numPr>
        <w:numId w:val="1"/>
      </w:numPr>
      <w:tabs>
        <w:tab w:val="clear" w:pos="720"/>
      </w:tabs>
      <w:spacing w:after="24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unhideWhenUsed/>
    <w:qFormat/>
    <w:rsid w:val="00321E6D"/>
    <w:pPr>
      <w:numPr>
        <w:ilvl w:val="1"/>
        <w:numId w:val="1"/>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unhideWhenUsed/>
    <w:qFormat/>
    <w:rsid w:val="00321E6D"/>
    <w:pPr>
      <w:numPr>
        <w:ilvl w:val="2"/>
        <w:numId w:val="1"/>
      </w:numPr>
      <w:spacing w:after="240" w:line="240" w:lineRule="auto"/>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321E6D"/>
    <w:pPr>
      <w:numPr>
        <w:ilvl w:val="3"/>
        <w:numId w:val="1"/>
      </w:numPr>
      <w:spacing w:after="240" w:line="240" w:lineRule="auto"/>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321E6D"/>
    <w:pPr>
      <w:numPr>
        <w:ilvl w:val="4"/>
        <w:numId w:val="1"/>
      </w:numPr>
      <w:spacing w:after="240" w:line="240" w:lineRule="auto"/>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321E6D"/>
    <w:pPr>
      <w:numPr>
        <w:ilvl w:val="5"/>
        <w:numId w:val="1"/>
      </w:numPr>
      <w:spacing w:after="240" w:line="240" w:lineRule="auto"/>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321E6D"/>
    <w:pPr>
      <w:numPr>
        <w:ilvl w:val="6"/>
        <w:numId w:val="1"/>
      </w:numPr>
      <w:spacing w:after="240" w:line="240" w:lineRule="auto"/>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321E6D"/>
    <w:pPr>
      <w:numPr>
        <w:ilvl w:val="7"/>
        <w:numId w:val="1"/>
      </w:numPr>
      <w:spacing w:after="240" w:line="240" w:lineRule="auto"/>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rsid w:val="00321E6D"/>
    <w:pPr>
      <w:numPr>
        <w:ilvl w:val="8"/>
        <w:numId w:val="1"/>
      </w:numPr>
      <w:spacing w:after="240" w:line="240" w:lineRule="auto"/>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unhideWhenUsed/>
    <w:qFormat/>
    <w:rsid w:val="0074301A"/>
    <w:pPr>
      <w:spacing w:line="240" w:lineRule="auto"/>
    </w:pPr>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74301A"/>
    <w:rPr>
      <w:sz w:val="20"/>
      <w:szCs w:val="20"/>
    </w:rPr>
  </w:style>
  <w:style w:type="paragraph" w:styleId="Header">
    <w:name w:val="header"/>
    <w:basedOn w:val="Normal"/>
    <w:link w:val="HeaderChar"/>
    <w:uiPriority w:val="99"/>
    <w:unhideWhenUsed/>
    <w:rsid w:val="0044040D"/>
    <w:pPr>
      <w:tabs>
        <w:tab w:val="center" w:pos="4680"/>
        <w:tab w:val="right" w:pos="9360"/>
      </w:tabs>
      <w:spacing w:line="240" w:lineRule="auto"/>
    </w:pPr>
  </w:style>
  <w:style w:type="character" w:customStyle="1" w:styleId="HeaderChar">
    <w:name w:val="Header Char"/>
    <w:basedOn w:val="DefaultParagraphFont"/>
    <w:link w:val="Header"/>
    <w:uiPriority w:val="99"/>
    <w:rsid w:val="0044040D"/>
  </w:style>
  <w:style w:type="paragraph" w:styleId="Footer">
    <w:name w:val="footer"/>
    <w:basedOn w:val="Normal"/>
    <w:link w:val="FooterChar"/>
    <w:uiPriority w:val="99"/>
    <w:unhideWhenUsed/>
    <w:rsid w:val="0044040D"/>
    <w:pPr>
      <w:tabs>
        <w:tab w:val="center" w:pos="4680"/>
        <w:tab w:val="right" w:pos="9360"/>
      </w:tabs>
      <w:spacing w:line="240" w:lineRule="auto"/>
    </w:pPr>
  </w:style>
  <w:style w:type="character" w:customStyle="1" w:styleId="FooterChar">
    <w:name w:val="Footer Char"/>
    <w:basedOn w:val="DefaultParagraphFont"/>
    <w:link w:val="Footer"/>
    <w:uiPriority w:val="99"/>
    <w:rsid w:val="0044040D"/>
  </w:style>
  <w:style w:type="character" w:customStyle="1" w:styleId="Heading1Char">
    <w:name w:val="Heading 1 Char"/>
    <w:basedOn w:val="DefaultParagraphFont"/>
    <w:link w:val="Heading1"/>
    <w:uiPriority w:val="9"/>
    <w:rsid w:val="00321E6D"/>
    <w:rPr>
      <w:rFonts w:eastAsiaTheme="majorEastAsia" w:cs="Arial"/>
      <w:b/>
      <w:bCs/>
      <w:caps/>
      <w:szCs w:val="28"/>
      <w:u w:val="single"/>
    </w:rPr>
  </w:style>
  <w:style w:type="character" w:customStyle="1" w:styleId="Heading2Char">
    <w:name w:val="Heading 2 Char"/>
    <w:basedOn w:val="DefaultParagraphFont"/>
    <w:link w:val="Heading2"/>
    <w:uiPriority w:val="9"/>
    <w:rsid w:val="00321E6D"/>
    <w:rPr>
      <w:rFonts w:eastAsiaTheme="majorEastAsia" w:cs="Arial"/>
      <w:b/>
      <w:bCs/>
      <w:szCs w:val="26"/>
    </w:rPr>
  </w:style>
  <w:style w:type="character" w:customStyle="1" w:styleId="Heading3Char">
    <w:name w:val="Heading 3 Char"/>
    <w:basedOn w:val="DefaultParagraphFont"/>
    <w:link w:val="Heading3"/>
    <w:uiPriority w:val="9"/>
    <w:rsid w:val="00321E6D"/>
    <w:rPr>
      <w:rFonts w:eastAsiaTheme="majorEastAsia" w:cs="Arial"/>
      <w:b/>
      <w:bCs/>
    </w:rPr>
  </w:style>
  <w:style w:type="character" w:customStyle="1" w:styleId="Heading4Char">
    <w:name w:val="Heading 4 Char"/>
    <w:basedOn w:val="DefaultParagraphFont"/>
    <w:link w:val="Heading4"/>
    <w:uiPriority w:val="9"/>
    <w:semiHidden/>
    <w:rsid w:val="00321E6D"/>
    <w:rPr>
      <w:rFonts w:eastAsiaTheme="majorEastAsia" w:cs="Arial"/>
      <w:b/>
      <w:bCs/>
      <w:i/>
      <w:iCs/>
    </w:rPr>
  </w:style>
  <w:style w:type="character" w:customStyle="1" w:styleId="Heading5Char">
    <w:name w:val="Heading 5 Char"/>
    <w:basedOn w:val="DefaultParagraphFont"/>
    <w:link w:val="Heading5"/>
    <w:uiPriority w:val="9"/>
    <w:semiHidden/>
    <w:rsid w:val="00321E6D"/>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321E6D"/>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321E6D"/>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321E6D"/>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321E6D"/>
    <w:rPr>
      <w:rFonts w:asciiTheme="majorHAnsi" w:eastAsiaTheme="majorEastAsia" w:hAnsiTheme="majorHAnsi" w:cs="Arial"/>
      <w:iCs/>
      <w:color w:val="404040" w:themeColor="text1" w:themeTint="BF"/>
      <w:szCs w:val="20"/>
    </w:rPr>
  </w:style>
  <w:style w:type="character" w:styleId="FootnoteReference">
    <w:name w:val="footnote reference"/>
    <w:aliases w:val="Style 42,o,fr,(NECG) Footnote Reference,Style 17,Style 20,Style 13,Style 12,o1,fr1,o2,fr2,o3,fr3,Style 15,Style 8,Style 9,Style 18,Style 7,Style 19,Style 28"/>
    <w:basedOn w:val="DefaultParagraphFont"/>
    <w:uiPriority w:val="99"/>
    <w:unhideWhenUsed/>
    <w:rsid w:val="00CA5FA5"/>
    <w:rPr>
      <w:vertAlign w:val="superscript"/>
    </w:rPr>
  </w:style>
  <w:style w:type="paragraph" w:styleId="BodyText">
    <w:name w:val="Body Text"/>
    <w:basedOn w:val="Normal"/>
    <w:link w:val="BodyTextChar"/>
    <w:uiPriority w:val="99"/>
    <w:semiHidden/>
    <w:unhideWhenUsed/>
    <w:rsid w:val="00CA5FA5"/>
    <w:pPr>
      <w:spacing w:after="120"/>
    </w:pPr>
  </w:style>
  <w:style w:type="character" w:customStyle="1" w:styleId="BodyTextChar">
    <w:name w:val="Body Text Char"/>
    <w:basedOn w:val="DefaultParagraphFont"/>
    <w:link w:val="BodyText"/>
    <w:uiPriority w:val="99"/>
    <w:semiHidden/>
    <w:rsid w:val="00CA5FA5"/>
  </w:style>
  <w:style w:type="paragraph" w:styleId="ListParagraph">
    <w:name w:val="List Paragraph"/>
    <w:basedOn w:val="Normal"/>
    <w:uiPriority w:val="34"/>
    <w:qFormat/>
    <w:rsid w:val="00647247"/>
    <w:pPr>
      <w:spacing w:after="120" w:line="240" w:lineRule="auto"/>
      <w:ind w:left="720"/>
      <w:contextualSpacing/>
    </w:pPr>
  </w:style>
  <w:style w:type="character" w:styleId="CommentReference">
    <w:name w:val="annotation reference"/>
    <w:basedOn w:val="DefaultParagraphFont"/>
    <w:uiPriority w:val="99"/>
    <w:semiHidden/>
    <w:unhideWhenUsed/>
    <w:rsid w:val="00EC324A"/>
    <w:rPr>
      <w:sz w:val="16"/>
      <w:szCs w:val="16"/>
    </w:rPr>
  </w:style>
  <w:style w:type="paragraph" w:styleId="CommentText">
    <w:name w:val="annotation text"/>
    <w:basedOn w:val="Normal"/>
    <w:link w:val="CommentTextChar"/>
    <w:uiPriority w:val="99"/>
    <w:semiHidden/>
    <w:unhideWhenUsed/>
    <w:rsid w:val="00EC324A"/>
    <w:pPr>
      <w:spacing w:line="240" w:lineRule="auto"/>
    </w:pPr>
    <w:rPr>
      <w:sz w:val="20"/>
      <w:szCs w:val="20"/>
    </w:rPr>
  </w:style>
  <w:style w:type="character" w:customStyle="1" w:styleId="CommentTextChar">
    <w:name w:val="Comment Text Char"/>
    <w:basedOn w:val="DefaultParagraphFont"/>
    <w:link w:val="CommentText"/>
    <w:uiPriority w:val="99"/>
    <w:semiHidden/>
    <w:rsid w:val="00EC324A"/>
    <w:rPr>
      <w:sz w:val="20"/>
      <w:szCs w:val="20"/>
    </w:rPr>
  </w:style>
  <w:style w:type="paragraph" w:styleId="CommentSubject">
    <w:name w:val="annotation subject"/>
    <w:basedOn w:val="CommentText"/>
    <w:next w:val="CommentText"/>
    <w:link w:val="CommentSubjectChar"/>
    <w:uiPriority w:val="99"/>
    <w:semiHidden/>
    <w:unhideWhenUsed/>
    <w:rsid w:val="00EC324A"/>
    <w:rPr>
      <w:b/>
      <w:bCs/>
    </w:rPr>
  </w:style>
  <w:style w:type="character" w:customStyle="1" w:styleId="CommentSubjectChar">
    <w:name w:val="Comment Subject Char"/>
    <w:basedOn w:val="CommentTextChar"/>
    <w:link w:val="CommentSubject"/>
    <w:uiPriority w:val="99"/>
    <w:semiHidden/>
    <w:rsid w:val="00EC324A"/>
    <w:rPr>
      <w:b/>
      <w:bCs/>
      <w:sz w:val="20"/>
      <w:szCs w:val="20"/>
    </w:rPr>
  </w:style>
  <w:style w:type="paragraph" w:styleId="BalloonText">
    <w:name w:val="Balloon Text"/>
    <w:basedOn w:val="Normal"/>
    <w:link w:val="BalloonTextChar"/>
    <w:uiPriority w:val="99"/>
    <w:semiHidden/>
    <w:unhideWhenUsed/>
    <w:rsid w:val="00EC32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24A"/>
    <w:rPr>
      <w:rFonts w:ascii="Tahoma" w:hAnsi="Tahoma" w:cs="Tahoma"/>
      <w:sz w:val="16"/>
      <w:szCs w:val="16"/>
    </w:rPr>
  </w:style>
  <w:style w:type="paragraph" w:styleId="BodyTextIndent">
    <w:name w:val="Body Text Indent"/>
    <w:basedOn w:val="Normal"/>
    <w:link w:val="BodyTextIndentChar"/>
    <w:uiPriority w:val="99"/>
    <w:semiHidden/>
    <w:unhideWhenUsed/>
    <w:rsid w:val="00DD33C3"/>
    <w:pPr>
      <w:spacing w:after="120"/>
      <w:ind w:left="360"/>
    </w:pPr>
  </w:style>
  <w:style w:type="character" w:customStyle="1" w:styleId="BodyTextIndentChar">
    <w:name w:val="Body Text Indent Char"/>
    <w:basedOn w:val="DefaultParagraphFont"/>
    <w:link w:val="BodyTextIndent"/>
    <w:uiPriority w:val="99"/>
    <w:semiHidden/>
    <w:rsid w:val="00DD33C3"/>
  </w:style>
  <w:style w:type="paragraph" w:styleId="TOCHeading">
    <w:name w:val="TOC Heading"/>
    <w:basedOn w:val="Normal"/>
    <w:next w:val="TOC1"/>
    <w:uiPriority w:val="39"/>
    <w:unhideWhenUsed/>
    <w:qFormat/>
    <w:rsid w:val="00321E6D"/>
    <w:pPr>
      <w:keepNext/>
      <w:keepLines/>
      <w:spacing w:before="480" w:after="240" w:line="240" w:lineRule="auto"/>
      <w:jc w:val="center"/>
    </w:pPr>
    <w:rPr>
      <w:rFonts w:cs="Arial"/>
      <w:b/>
      <w:color w:val="365F91" w:themeColor="accent1" w:themeShade="BF"/>
    </w:rPr>
  </w:style>
  <w:style w:type="paragraph" w:styleId="TOC1">
    <w:name w:val="toc 1"/>
    <w:basedOn w:val="Normal"/>
    <w:next w:val="Normal"/>
    <w:autoRedefine/>
    <w:uiPriority w:val="39"/>
    <w:unhideWhenUsed/>
    <w:rsid w:val="00321E6D"/>
    <w:pPr>
      <w:tabs>
        <w:tab w:val="left" w:pos="720"/>
        <w:tab w:val="right" w:leader="dot" w:pos="9360"/>
      </w:tabs>
      <w:spacing w:after="120" w:line="240" w:lineRule="auto"/>
      <w:ind w:left="720" w:right="720" w:hanging="720"/>
    </w:pPr>
  </w:style>
  <w:style w:type="paragraph" w:styleId="TOC2">
    <w:name w:val="toc 2"/>
    <w:basedOn w:val="Normal"/>
    <w:next w:val="Normal"/>
    <w:autoRedefine/>
    <w:uiPriority w:val="39"/>
    <w:unhideWhenUsed/>
    <w:rsid w:val="00321E6D"/>
    <w:pPr>
      <w:tabs>
        <w:tab w:val="left" w:pos="1440"/>
        <w:tab w:val="right" w:leader="dot" w:pos="9360"/>
      </w:tabs>
      <w:spacing w:after="120" w:line="240" w:lineRule="auto"/>
      <w:ind w:left="1440" w:right="720" w:hanging="720"/>
    </w:pPr>
  </w:style>
  <w:style w:type="paragraph" w:styleId="TOC3">
    <w:name w:val="toc 3"/>
    <w:basedOn w:val="Normal"/>
    <w:next w:val="Normal"/>
    <w:autoRedefine/>
    <w:uiPriority w:val="39"/>
    <w:semiHidden/>
    <w:unhideWhenUsed/>
    <w:rsid w:val="00321E6D"/>
    <w:pPr>
      <w:spacing w:after="100"/>
      <w:ind w:left="480"/>
    </w:pPr>
  </w:style>
  <w:style w:type="paragraph" w:styleId="TOC4">
    <w:name w:val="toc 4"/>
    <w:basedOn w:val="Normal"/>
    <w:next w:val="Normal"/>
    <w:autoRedefine/>
    <w:uiPriority w:val="39"/>
    <w:semiHidden/>
    <w:unhideWhenUsed/>
    <w:rsid w:val="00321E6D"/>
    <w:pPr>
      <w:spacing w:after="100"/>
      <w:ind w:left="720"/>
    </w:pPr>
  </w:style>
  <w:style w:type="paragraph" w:styleId="TOC5">
    <w:name w:val="toc 5"/>
    <w:basedOn w:val="Normal"/>
    <w:next w:val="Normal"/>
    <w:autoRedefine/>
    <w:uiPriority w:val="39"/>
    <w:semiHidden/>
    <w:unhideWhenUsed/>
    <w:rsid w:val="00321E6D"/>
    <w:pPr>
      <w:spacing w:after="100"/>
      <w:ind w:left="960"/>
    </w:pPr>
  </w:style>
  <w:style w:type="paragraph" w:styleId="TOC6">
    <w:name w:val="toc 6"/>
    <w:basedOn w:val="Normal"/>
    <w:next w:val="Normal"/>
    <w:autoRedefine/>
    <w:uiPriority w:val="39"/>
    <w:semiHidden/>
    <w:unhideWhenUsed/>
    <w:rsid w:val="00321E6D"/>
    <w:pPr>
      <w:spacing w:after="100"/>
      <w:ind w:left="1200"/>
    </w:pPr>
  </w:style>
  <w:style w:type="paragraph" w:styleId="TOC7">
    <w:name w:val="toc 7"/>
    <w:basedOn w:val="Normal"/>
    <w:next w:val="Normal"/>
    <w:autoRedefine/>
    <w:uiPriority w:val="39"/>
    <w:semiHidden/>
    <w:unhideWhenUsed/>
    <w:rsid w:val="00321E6D"/>
    <w:pPr>
      <w:spacing w:after="100"/>
      <w:ind w:left="1440"/>
    </w:pPr>
  </w:style>
  <w:style w:type="paragraph" w:styleId="TOC8">
    <w:name w:val="toc 8"/>
    <w:basedOn w:val="Normal"/>
    <w:next w:val="Normal"/>
    <w:autoRedefine/>
    <w:uiPriority w:val="39"/>
    <w:semiHidden/>
    <w:unhideWhenUsed/>
    <w:rsid w:val="00321E6D"/>
    <w:pPr>
      <w:spacing w:after="100"/>
      <w:ind w:left="1680"/>
    </w:pPr>
  </w:style>
  <w:style w:type="paragraph" w:styleId="TOC9">
    <w:name w:val="toc 9"/>
    <w:basedOn w:val="Normal"/>
    <w:next w:val="Normal"/>
    <w:autoRedefine/>
    <w:uiPriority w:val="39"/>
    <w:semiHidden/>
    <w:unhideWhenUsed/>
    <w:rsid w:val="00321E6D"/>
    <w:pPr>
      <w:spacing w:after="100"/>
      <w:ind w:left="1920"/>
    </w:pPr>
  </w:style>
  <w:style w:type="paragraph" w:customStyle="1" w:styleId="TOCPage">
    <w:name w:val="TOC Page"/>
    <w:basedOn w:val="Normal"/>
    <w:next w:val="Normal"/>
    <w:link w:val="TOCPageChar"/>
    <w:rsid w:val="00321E6D"/>
    <w:pPr>
      <w:spacing w:after="240" w:line="240" w:lineRule="auto"/>
      <w:jc w:val="right"/>
    </w:pPr>
    <w:rPr>
      <w:rFonts w:eastAsia="Times New Roman" w:cs="Arial"/>
      <w:b/>
      <w:smallCaps/>
    </w:rPr>
  </w:style>
  <w:style w:type="character" w:customStyle="1" w:styleId="TOCPageChar">
    <w:name w:val="TOC Page Char"/>
    <w:basedOn w:val="DefaultParagraphFont"/>
    <w:link w:val="TOCPage"/>
    <w:rsid w:val="00321E6D"/>
    <w:rPr>
      <w:rFonts w:eastAsia="Times New Roman" w:cs="Arial"/>
      <w:b/>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BD0"/>
  </w:style>
  <w:style w:type="paragraph" w:styleId="Heading1">
    <w:name w:val="heading 1"/>
    <w:basedOn w:val="Normal"/>
    <w:next w:val="Normal"/>
    <w:link w:val="Heading1Char"/>
    <w:uiPriority w:val="9"/>
    <w:qFormat/>
    <w:rsid w:val="00321E6D"/>
    <w:pPr>
      <w:numPr>
        <w:numId w:val="1"/>
      </w:numPr>
      <w:tabs>
        <w:tab w:val="clear" w:pos="720"/>
      </w:tabs>
      <w:spacing w:after="24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unhideWhenUsed/>
    <w:qFormat/>
    <w:rsid w:val="00321E6D"/>
    <w:pPr>
      <w:numPr>
        <w:ilvl w:val="1"/>
        <w:numId w:val="1"/>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unhideWhenUsed/>
    <w:qFormat/>
    <w:rsid w:val="00321E6D"/>
    <w:pPr>
      <w:numPr>
        <w:ilvl w:val="2"/>
        <w:numId w:val="1"/>
      </w:numPr>
      <w:spacing w:after="240" w:line="240" w:lineRule="auto"/>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321E6D"/>
    <w:pPr>
      <w:numPr>
        <w:ilvl w:val="3"/>
        <w:numId w:val="1"/>
      </w:numPr>
      <w:spacing w:after="240" w:line="240" w:lineRule="auto"/>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321E6D"/>
    <w:pPr>
      <w:numPr>
        <w:ilvl w:val="4"/>
        <w:numId w:val="1"/>
      </w:numPr>
      <w:spacing w:after="240" w:line="240" w:lineRule="auto"/>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321E6D"/>
    <w:pPr>
      <w:numPr>
        <w:ilvl w:val="5"/>
        <w:numId w:val="1"/>
      </w:numPr>
      <w:spacing w:after="240" w:line="240" w:lineRule="auto"/>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321E6D"/>
    <w:pPr>
      <w:numPr>
        <w:ilvl w:val="6"/>
        <w:numId w:val="1"/>
      </w:numPr>
      <w:spacing w:after="240" w:line="240" w:lineRule="auto"/>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321E6D"/>
    <w:pPr>
      <w:numPr>
        <w:ilvl w:val="7"/>
        <w:numId w:val="1"/>
      </w:numPr>
      <w:spacing w:after="240" w:line="240" w:lineRule="auto"/>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rsid w:val="00321E6D"/>
    <w:pPr>
      <w:numPr>
        <w:ilvl w:val="8"/>
        <w:numId w:val="1"/>
      </w:numPr>
      <w:spacing w:after="240" w:line="240" w:lineRule="auto"/>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unhideWhenUsed/>
    <w:qFormat/>
    <w:rsid w:val="0074301A"/>
    <w:pPr>
      <w:spacing w:line="240" w:lineRule="auto"/>
    </w:pPr>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74301A"/>
    <w:rPr>
      <w:sz w:val="20"/>
      <w:szCs w:val="20"/>
    </w:rPr>
  </w:style>
  <w:style w:type="paragraph" w:styleId="Header">
    <w:name w:val="header"/>
    <w:basedOn w:val="Normal"/>
    <w:link w:val="HeaderChar"/>
    <w:uiPriority w:val="99"/>
    <w:unhideWhenUsed/>
    <w:rsid w:val="0044040D"/>
    <w:pPr>
      <w:tabs>
        <w:tab w:val="center" w:pos="4680"/>
        <w:tab w:val="right" w:pos="9360"/>
      </w:tabs>
      <w:spacing w:line="240" w:lineRule="auto"/>
    </w:pPr>
  </w:style>
  <w:style w:type="character" w:customStyle="1" w:styleId="HeaderChar">
    <w:name w:val="Header Char"/>
    <w:basedOn w:val="DefaultParagraphFont"/>
    <w:link w:val="Header"/>
    <w:uiPriority w:val="99"/>
    <w:rsid w:val="0044040D"/>
  </w:style>
  <w:style w:type="paragraph" w:styleId="Footer">
    <w:name w:val="footer"/>
    <w:basedOn w:val="Normal"/>
    <w:link w:val="FooterChar"/>
    <w:uiPriority w:val="99"/>
    <w:unhideWhenUsed/>
    <w:rsid w:val="0044040D"/>
    <w:pPr>
      <w:tabs>
        <w:tab w:val="center" w:pos="4680"/>
        <w:tab w:val="right" w:pos="9360"/>
      </w:tabs>
      <w:spacing w:line="240" w:lineRule="auto"/>
    </w:pPr>
  </w:style>
  <w:style w:type="character" w:customStyle="1" w:styleId="FooterChar">
    <w:name w:val="Footer Char"/>
    <w:basedOn w:val="DefaultParagraphFont"/>
    <w:link w:val="Footer"/>
    <w:uiPriority w:val="99"/>
    <w:rsid w:val="0044040D"/>
  </w:style>
  <w:style w:type="character" w:customStyle="1" w:styleId="Heading1Char">
    <w:name w:val="Heading 1 Char"/>
    <w:basedOn w:val="DefaultParagraphFont"/>
    <w:link w:val="Heading1"/>
    <w:uiPriority w:val="9"/>
    <w:rsid w:val="00321E6D"/>
    <w:rPr>
      <w:rFonts w:eastAsiaTheme="majorEastAsia" w:cs="Arial"/>
      <w:b/>
      <w:bCs/>
      <w:caps/>
      <w:szCs w:val="28"/>
      <w:u w:val="single"/>
    </w:rPr>
  </w:style>
  <w:style w:type="character" w:customStyle="1" w:styleId="Heading2Char">
    <w:name w:val="Heading 2 Char"/>
    <w:basedOn w:val="DefaultParagraphFont"/>
    <w:link w:val="Heading2"/>
    <w:uiPriority w:val="9"/>
    <w:rsid w:val="00321E6D"/>
    <w:rPr>
      <w:rFonts w:eastAsiaTheme="majorEastAsia" w:cs="Arial"/>
      <w:b/>
      <w:bCs/>
      <w:szCs w:val="26"/>
    </w:rPr>
  </w:style>
  <w:style w:type="character" w:customStyle="1" w:styleId="Heading3Char">
    <w:name w:val="Heading 3 Char"/>
    <w:basedOn w:val="DefaultParagraphFont"/>
    <w:link w:val="Heading3"/>
    <w:uiPriority w:val="9"/>
    <w:rsid w:val="00321E6D"/>
    <w:rPr>
      <w:rFonts w:eastAsiaTheme="majorEastAsia" w:cs="Arial"/>
      <w:b/>
      <w:bCs/>
    </w:rPr>
  </w:style>
  <w:style w:type="character" w:customStyle="1" w:styleId="Heading4Char">
    <w:name w:val="Heading 4 Char"/>
    <w:basedOn w:val="DefaultParagraphFont"/>
    <w:link w:val="Heading4"/>
    <w:uiPriority w:val="9"/>
    <w:semiHidden/>
    <w:rsid w:val="00321E6D"/>
    <w:rPr>
      <w:rFonts w:eastAsiaTheme="majorEastAsia" w:cs="Arial"/>
      <w:b/>
      <w:bCs/>
      <w:i/>
      <w:iCs/>
    </w:rPr>
  </w:style>
  <w:style w:type="character" w:customStyle="1" w:styleId="Heading5Char">
    <w:name w:val="Heading 5 Char"/>
    <w:basedOn w:val="DefaultParagraphFont"/>
    <w:link w:val="Heading5"/>
    <w:uiPriority w:val="9"/>
    <w:semiHidden/>
    <w:rsid w:val="00321E6D"/>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321E6D"/>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321E6D"/>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321E6D"/>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321E6D"/>
    <w:rPr>
      <w:rFonts w:asciiTheme="majorHAnsi" w:eastAsiaTheme="majorEastAsia" w:hAnsiTheme="majorHAnsi" w:cs="Arial"/>
      <w:iCs/>
      <w:color w:val="404040" w:themeColor="text1" w:themeTint="BF"/>
      <w:szCs w:val="20"/>
    </w:rPr>
  </w:style>
  <w:style w:type="character" w:styleId="FootnoteReference">
    <w:name w:val="footnote reference"/>
    <w:aliases w:val="Style 42,o,fr,(NECG) Footnote Reference,Style 17,Style 20,Style 13,Style 12,o1,fr1,o2,fr2,o3,fr3,Style 15,Style 8,Style 9,Style 18,Style 7,Style 19,Style 28"/>
    <w:basedOn w:val="DefaultParagraphFont"/>
    <w:uiPriority w:val="99"/>
    <w:unhideWhenUsed/>
    <w:rsid w:val="00CA5FA5"/>
    <w:rPr>
      <w:vertAlign w:val="superscript"/>
    </w:rPr>
  </w:style>
  <w:style w:type="paragraph" w:styleId="BodyText">
    <w:name w:val="Body Text"/>
    <w:basedOn w:val="Normal"/>
    <w:link w:val="BodyTextChar"/>
    <w:uiPriority w:val="99"/>
    <w:semiHidden/>
    <w:unhideWhenUsed/>
    <w:rsid w:val="00CA5FA5"/>
    <w:pPr>
      <w:spacing w:after="120"/>
    </w:pPr>
  </w:style>
  <w:style w:type="character" w:customStyle="1" w:styleId="BodyTextChar">
    <w:name w:val="Body Text Char"/>
    <w:basedOn w:val="DefaultParagraphFont"/>
    <w:link w:val="BodyText"/>
    <w:uiPriority w:val="99"/>
    <w:semiHidden/>
    <w:rsid w:val="00CA5FA5"/>
  </w:style>
  <w:style w:type="paragraph" w:styleId="ListParagraph">
    <w:name w:val="List Paragraph"/>
    <w:basedOn w:val="Normal"/>
    <w:uiPriority w:val="34"/>
    <w:qFormat/>
    <w:rsid w:val="00647247"/>
    <w:pPr>
      <w:spacing w:after="120" w:line="240" w:lineRule="auto"/>
      <w:ind w:left="720"/>
      <w:contextualSpacing/>
    </w:pPr>
  </w:style>
  <w:style w:type="character" w:styleId="CommentReference">
    <w:name w:val="annotation reference"/>
    <w:basedOn w:val="DefaultParagraphFont"/>
    <w:uiPriority w:val="99"/>
    <w:semiHidden/>
    <w:unhideWhenUsed/>
    <w:rsid w:val="00EC324A"/>
    <w:rPr>
      <w:sz w:val="16"/>
      <w:szCs w:val="16"/>
    </w:rPr>
  </w:style>
  <w:style w:type="paragraph" w:styleId="CommentText">
    <w:name w:val="annotation text"/>
    <w:basedOn w:val="Normal"/>
    <w:link w:val="CommentTextChar"/>
    <w:uiPriority w:val="99"/>
    <w:semiHidden/>
    <w:unhideWhenUsed/>
    <w:rsid w:val="00EC324A"/>
    <w:pPr>
      <w:spacing w:line="240" w:lineRule="auto"/>
    </w:pPr>
    <w:rPr>
      <w:sz w:val="20"/>
      <w:szCs w:val="20"/>
    </w:rPr>
  </w:style>
  <w:style w:type="character" w:customStyle="1" w:styleId="CommentTextChar">
    <w:name w:val="Comment Text Char"/>
    <w:basedOn w:val="DefaultParagraphFont"/>
    <w:link w:val="CommentText"/>
    <w:uiPriority w:val="99"/>
    <w:semiHidden/>
    <w:rsid w:val="00EC324A"/>
    <w:rPr>
      <w:sz w:val="20"/>
      <w:szCs w:val="20"/>
    </w:rPr>
  </w:style>
  <w:style w:type="paragraph" w:styleId="CommentSubject">
    <w:name w:val="annotation subject"/>
    <w:basedOn w:val="CommentText"/>
    <w:next w:val="CommentText"/>
    <w:link w:val="CommentSubjectChar"/>
    <w:uiPriority w:val="99"/>
    <w:semiHidden/>
    <w:unhideWhenUsed/>
    <w:rsid w:val="00EC324A"/>
    <w:rPr>
      <w:b/>
      <w:bCs/>
    </w:rPr>
  </w:style>
  <w:style w:type="character" w:customStyle="1" w:styleId="CommentSubjectChar">
    <w:name w:val="Comment Subject Char"/>
    <w:basedOn w:val="CommentTextChar"/>
    <w:link w:val="CommentSubject"/>
    <w:uiPriority w:val="99"/>
    <w:semiHidden/>
    <w:rsid w:val="00EC324A"/>
    <w:rPr>
      <w:b/>
      <w:bCs/>
      <w:sz w:val="20"/>
      <w:szCs w:val="20"/>
    </w:rPr>
  </w:style>
  <w:style w:type="paragraph" w:styleId="BalloonText">
    <w:name w:val="Balloon Text"/>
    <w:basedOn w:val="Normal"/>
    <w:link w:val="BalloonTextChar"/>
    <w:uiPriority w:val="99"/>
    <w:semiHidden/>
    <w:unhideWhenUsed/>
    <w:rsid w:val="00EC32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24A"/>
    <w:rPr>
      <w:rFonts w:ascii="Tahoma" w:hAnsi="Tahoma" w:cs="Tahoma"/>
      <w:sz w:val="16"/>
      <w:szCs w:val="16"/>
    </w:rPr>
  </w:style>
  <w:style w:type="paragraph" w:styleId="BodyTextIndent">
    <w:name w:val="Body Text Indent"/>
    <w:basedOn w:val="Normal"/>
    <w:link w:val="BodyTextIndentChar"/>
    <w:uiPriority w:val="99"/>
    <w:semiHidden/>
    <w:unhideWhenUsed/>
    <w:rsid w:val="00DD33C3"/>
    <w:pPr>
      <w:spacing w:after="120"/>
      <w:ind w:left="360"/>
    </w:pPr>
  </w:style>
  <w:style w:type="character" w:customStyle="1" w:styleId="BodyTextIndentChar">
    <w:name w:val="Body Text Indent Char"/>
    <w:basedOn w:val="DefaultParagraphFont"/>
    <w:link w:val="BodyTextIndent"/>
    <w:uiPriority w:val="99"/>
    <w:semiHidden/>
    <w:rsid w:val="00DD33C3"/>
  </w:style>
  <w:style w:type="paragraph" w:styleId="TOCHeading">
    <w:name w:val="TOC Heading"/>
    <w:basedOn w:val="Normal"/>
    <w:next w:val="TOC1"/>
    <w:uiPriority w:val="39"/>
    <w:unhideWhenUsed/>
    <w:qFormat/>
    <w:rsid w:val="00321E6D"/>
    <w:pPr>
      <w:keepNext/>
      <w:keepLines/>
      <w:spacing w:before="480" w:after="240" w:line="240" w:lineRule="auto"/>
      <w:jc w:val="center"/>
    </w:pPr>
    <w:rPr>
      <w:rFonts w:cs="Arial"/>
      <w:b/>
      <w:color w:val="365F91" w:themeColor="accent1" w:themeShade="BF"/>
    </w:rPr>
  </w:style>
  <w:style w:type="paragraph" w:styleId="TOC1">
    <w:name w:val="toc 1"/>
    <w:basedOn w:val="Normal"/>
    <w:next w:val="Normal"/>
    <w:autoRedefine/>
    <w:uiPriority w:val="39"/>
    <w:unhideWhenUsed/>
    <w:rsid w:val="00321E6D"/>
    <w:pPr>
      <w:tabs>
        <w:tab w:val="left" w:pos="720"/>
        <w:tab w:val="right" w:leader="dot" w:pos="9360"/>
      </w:tabs>
      <w:spacing w:after="120" w:line="240" w:lineRule="auto"/>
      <w:ind w:left="720" w:right="720" w:hanging="720"/>
    </w:pPr>
  </w:style>
  <w:style w:type="paragraph" w:styleId="TOC2">
    <w:name w:val="toc 2"/>
    <w:basedOn w:val="Normal"/>
    <w:next w:val="Normal"/>
    <w:autoRedefine/>
    <w:uiPriority w:val="39"/>
    <w:unhideWhenUsed/>
    <w:rsid w:val="00321E6D"/>
    <w:pPr>
      <w:tabs>
        <w:tab w:val="left" w:pos="1440"/>
        <w:tab w:val="right" w:leader="dot" w:pos="9360"/>
      </w:tabs>
      <w:spacing w:after="120" w:line="240" w:lineRule="auto"/>
      <w:ind w:left="1440" w:right="720" w:hanging="720"/>
    </w:pPr>
  </w:style>
  <w:style w:type="paragraph" w:styleId="TOC3">
    <w:name w:val="toc 3"/>
    <w:basedOn w:val="Normal"/>
    <w:next w:val="Normal"/>
    <w:autoRedefine/>
    <w:uiPriority w:val="39"/>
    <w:semiHidden/>
    <w:unhideWhenUsed/>
    <w:rsid w:val="00321E6D"/>
    <w:pPr>
      <w:spacing w:after="100"/>
      <w:ind w:left="480"/>
    </w:pPr>
  </w:style>
  <w:style w:type="paragraph" w:styleId="TOC4">
    <w:name w:val="toc 4"/>
    <w:basedOn w:val="Normal"/>
    <w:next w:val="Normal"/>
    <w:autoRedefine/>
    <w:uiPriority w:val="39"/>
    <w:semiHidden/>
    <w:unhideWhenUsed/>
    <w:rsid w:val="00321E6D"/>
    <w:pPr>
      <w:spacing w:after="100"/>
      <w:ind w:left="720"/>
    </w:pPr>
  </w:style>
  <w:style w:type="paragraph" w:styleId="TOC5">
    <w:name w:val="toc 5"/>
    <w:basedOn w:val="Normal"/>
    <w:next w:val="Normal"/>
    <w:autoRedefine/>
    <w:uiPriority w:val="39"/>
    <w:semiHidden/>
    <w:unhideWhenUsed/>
    <w:rsid w:val="00321E6D"/>
    <w:pPr>
      <w:spacing w:after="100"/>
      <w:ind w:left="960"/>
    </w:pPr>
  </w:style>
  <w:style w:type="paragraph" w:styleId="TOC6">
    <w:name w:val="toc 6"/>
    <w:basedOn w:val="Normal"/>
    <w:next w:val="Normal"/>
    <w:autoRedefine/>
    <w:uiPriority w:val="39"/>
    <w:semiHidden/>
    <w:unhideWhenUsed/>
    <w:rsid w:val="00321E6D"/>
    <w:pPr>
      <w:spacing w:after="100"/>
      <w:ind w:left="1200"/>
    </w:pPr>
  </w:style>
  <w:style w:type="paragraph" w:styleId="TOC7">
    <w:name w:val="toc 7"/>
    <w:basedOn w:val="Normal"/>
    <w:next w:val="Normal"/>
    <w:autoRedefine/>
    <w:uiPriority w:val="39"/>
    <w:semiHidden/>
    <w:unhideWhenUsed/>
    <w:rsid w:val="00321E6D"/>
    <w:pPr>
      <w:spacing w:after="100"/>
      <w:ind w:left="1440"/>
    </w:pPr>
  </w:style>
  <w:style w:type="paragraph" w:styleId="TOC8">
    <w:name w:val="toc 8"/>
    <w:basedOn w:val="Normal"/>
    <w:next w:val="Normal"/>
    <w:autoRedefine/>
    <w:uiPriority w:val="39"/>
    <w:semiHidden/>
    <w:unhideWhenUsed/>
    <w:rsid w:val="00321E6D"/>
    <w:pPr>
      <w:spacing w:after="100"/>
      <w:ind w:left="1680"/>
    </w:pPr>
  </w:style>
  <w:style w:type="paragraph" w:styleId="TOC9">
    <w:name w:val="toc 9"/>
    <w:basedOn w:val="Normal"/>
    <w:next w:val="Normal"/>
    <w:autoRedefine/>
    <w:uiPriority w:val="39"/>
    <w:semiHidden/>
    <w:unhideWhenUsed/>
    <w:rsid w:val="00321E6D"/>
    <w:pPr>
      <w:spacing w:after="100"/>
      <w:ind w:left="1920"/>
    </w:pPr>
  </w:style>
  <w:style w:type="paragraph" w:customStyle="1" w:styleId="TOCPage">
    <w:name w:val="TOC Page"/>
    <w:basedOn w:val="Normal"/>
    <w:next w:val="Normal"/>
    <w:link w:val="TOCPageChar"/>
    <w:rsid w:val="00321E6D"/>
    <w:pPr>
      <w:spacing w:after="240" w:line="240" w:lineRule="auto"/>
      <w:jc w:val="right"/>
    </w:pPr>
    <w:rPr>
      <w:rFonts w:eastAsia="Times New Roman" w:cs="Arial"/>
      <w:b/>
      <w:smallCaps/>
    </w:rPr>
  </w:style>
  <w:style w:type="character" w:customStyle="1" w:styleId="TOCPageChar">
    <w:name w:val="TOC Page Char"/>
    <w:basedOn w:val="DefaultParagraphFont"/>
    <w:link w:val="TOCPage"/>
    <w:rsid w:val="00321E6D"/>
    <w:rPr>
      <w:rFonts w:eastAsia="Times New Roman" w:cs="Arial"/>
      <w:b/>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7382A-8EE1-4279-B4BE-DCB0633A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4465</Words>
  <Characters>26239</Characters>
  <Application>Microsoft Office Word</Application>
  <DocSecurity>0</DocSecurity>
  <PresentationFormat/>
  <Lines>601</Lines>
  <Paragraphs>250</Paragraphs>
  <ScaleCrop>false</ScaleCrop>
  <HeadingPairs>
    <vt:vector size="2" baseType="variant">
      <vt:variant>
        <vt:lpstr>Title</vt:lpstr>
      </vt:variant>
      <vt:variant>
        <vt:i4>1</vt:i4>
      </vt:variant>
    </vt:vector>
  </HeadingPairs>
  <TitlesOfParts>
    <vt:vector size="1" baseType="lpstr">
      <vt:lpstr>ormet initial brief outline (C41434-2).DOCX</vt:lpstr>
    </vt:vector>
  </TitlesOfParts>
  <Company/>
  <LinksUpToDate>false</LinksUpToDate>
  <CharactersWithSpaces>30736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Redacted version of IEU-Ohio's Post-Hearing Brief (Ormet) 09-119-EL-AEC (C41528).DOCX</dc:title>
  <dc:subject>C41528: /font=8</dc:subject>
  <dc:creator>Karen Bowman</dc:creator>
  <cp:keywords/>
  <dc:description/>
  <cp:lastModifiedBy>Karen Bowman</cp:lastModifiedBy>
  <cp:revision>1</cp:revision>
  <cp:lastPrinted>2013-09-09T11:43:00Z</cp:lastPrinted>
  <dcterms:created xsi:type="dcterms:W3CDTF">2013-09-09T13:08:00Z</dcterms:created>
  <dcterms:modified xsi:type="dcterms:W3CDTF">2013-09-09T13:13:00Z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9/5/2013 12:12:29 PM</vt:lpwstr>
  </property>
</Properties>
</file>