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396BAE">
      <w:pPr>
        <w:pStyle w:val="HTMLPreformatted"/>
        <w:jc w:val="center"/>
        <w:rPr>
          <w:rFonts w:ascii="Times New Roman" w:hAnsi="Times New Roman"/>
          <w:sz w:val="24"/>
        </w:rPr>
      </w:pPr>
    </w:p>
    <w:tbl>
      <w:tblPr>
        <w:tblW w:w="9800" w:type="dxa"/>
        <w:tblInd w:w="0" w:type="dxa"/>
        <w:tblCellMar>
          <w:top w:w="0" w:type="dxa"/>
          <w:left w:w="108" w:type="dxa"/>
          <w:bottom w:w="0" w:type="dxa"/>
          <w:right w:w="108" w:type="dxa"/>
        </w:tblCellMar>
        <w:tblLook w:val="01E0"/>
      </w:tblPr>
      <w:tblGrid>
        <w:gridCol w:w="4950"/>
        <w:gridCol w:w="450"/>
        <w:gridCol w:w="4400"/>
      </w:tblGrid>
      <w:tr w:rsidTr="00104D9A">
        <w:tblPrEx>
          <w:tblW w:w="9800" w:type="dxa"/>
          <w:tblInd w:w="0" w:type="dxa"/>
          <w:tblCellMar>
            <w:top w:w="0" w:type="dxa"/>
            <w:left w:w="108" w:type="dxa"/>
            <w:bottom w:w="0" w:type="dxa"/>
            <w:right w:w="108" w:type="dxa"/>
          </w:tblCellMar>
          <w:tblLook w:val="01E0"/>
        </w:tblPrEx>
        <w:trPr>
          <w:trHeight w:val="807"/>
        </w:trPr>
        <w:tc>
          <w:tcPr>
            <w:tcW w:w="4950" w:type="dxa"/>
            <w:shd w:val="clear" w:color="auto" w:fill="auto"/>
          </w:tcPr>
          <w:p w:rsidR="000F18EF" w:rsidRPr="000F18EF" w:rsidP="000F18EF">
            <w:pPr>
              <w:autoSpaceDE w:val="0"/>
              <w:autoSpaceDN w:val="0"/>
              <w:adjustRightInd w:val="0"/>
              <w:rPr>
                <w:rStyle w:val="DefaultParagraphFont"/>
                <w:sz w:val="24"/>
                <w:szCs w:val="24"/>
                <w:lang w:val="en-US" w:eastAsia="en-US" w:bidi="ar-SA"/>
              </w:rPr>
            </w:pPr>
            <w:r>
              <w:rPr>
                <w:sz w:val="24"/>
                <w:szCs w:val="24"/>
                <w:lang w:val="en-US" w:eastAsia="en-US" w:bidi="ar-SA"/>
              </w:rPr>
              <w:t xml:space="preserve">In the Matter of the Application of Duke Energy Ohio, Inc. to Adjust Rider AU for 2017 Grid Modernization Costs. </w:t>
            </w:r>
          </w:p>
        </w:tc>
        <w:tc>
          <w:tcPr>
            <w:tcW w:w="450" w:type="dxa"/>
            <w:shd w:val="clear" w:color="auto" w:fill="auto"/>
          </w:tcPr>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0F18EF">
              <w:rPr>
                <w:rFonts w:eastAsia="Courier New"/>
                <w:sz w:val="24"/>
                <w:szCs w:val="24"/>
                <w:lang w:val="en-US" w:eastAsia="en-US" w:bidi="ar-SA"/>
              </w:rPr>
              <w:t>)</w:t>
            </w:r>
          </w:p>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0F18EF">
              <w:rPr>
                <w:rFonts w:eastAsia="Courier New"/>
                <w:sz w:val="24"/>
                <w:szCs w:val="24"/>
                <w:lang w:val="en-US" w:eastAsia="en-US" w:bidi="ar-SA"/>
              </w:rPr>
              <w:t>)</w:t>
            </w:r>
          </w:p>
          <w:p w:rsidR="00C743BC"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0F18EF">
              <w:rPr>
                <w:rFonts w:eastAsia="Courier New"/>
                <w:sz w:val="24"/>
                <w:szCs w:val="24"/>
                <w:lang w:val="en-US" w:eastAsia="en-US" w:bidi="ar-SA"/>
              </w:rPr>
              <w:t>)</w:t>
            </w:r>
          </w:p>
        </w:tc>
        <w:tc>
          <w:tcPr>
            <w:tcW w:w="4400" w:type="dxa"/>
            <w:shd w:val="clear" w:color="auto" w:fill="auto"/>
          </w:tcPr>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Case No. 18-837-GA-RDR</w:t>
            </w:r>
          </w:p>
        </w:tc>
      </w:tr>
    </w:tbl>
    <w:p w:rsidR="000F18EF" w:rsidP="002242E0">
      <w:pPr>
        <w:pStyle w:val="HTMLPreformatted"/>
        <w:rPr>
          <w:rFonts w:ascii="Times New Roman" w:hAnsi="Times New Roman"/>
          <w:sz w:val="24"/>
        </w:rPr>
      </w:pPr>
    </w:p>
    <w:p w:rsidR="00A044B5" w:rsidRPr="00D62B78">
      <w:pPr>
        <w:pStyle w:val="HTMLPreformatted"/>
        <w:pBdr>
          <w:top w:val="single" w:sz="12" w:space="1" w:color="auto"/>
        </w:pBdr>
        <w:rPr>
          <w:rFonts w:ascii="Times New Roman" w:hAnsi="Times New Roman"/>
          <w:sz w:val="16"/>
          <w:szCs w:val="16"/>
        </w:rPr>
      </w:pPr>
    </w:p>
    <w:p w:rsidR="004C7C40" w:rsidRPr="00BA7911">
      <w:pPr>
        <w:jc w:val="center"/>
        <w:rPr>
          <w:rFonts w:asciiTheme="majorBidi" w:hAnsiTheme="majorBidi" w:cstheme="majorBidi"/>
          <w:b/>
          <w:bCs/>
          <w:caps/>
        </w:rPr>
      </w:pPr>
      <w:r>
        <w:rPr>
          <w:rFonts w:asciiTheme="majorBidi" w:hAnsiTheme="majorBidi" w:cstheme="majorBidi"/>
          <w:b/>
          <w:bCs/>
          <w:caps/>
        </w:rPr>
        <w:t>INITIAL POST-HEARING BRIEF</w:t>
      </w:r>
    </w:p>
    <w:p w:rsidR="00A044B5" w:rsidRPr="00BA7911">
      <w:pPr>
        <w:jc w:val="center"/>
        <w:rPr>
          <w:rFonts w:asciiTheme="majorBidi" w:hAnsiTheme="majorBidi" w:cstheme="majorBidi"/>
          <w:b/>
          <w:bCs/>
          <w:caps/>
        </w:rPr>
      </w:pPr>
      <w:r w:rsidRPr="00BA7911">
        <w:rPr>
          <w:rFonts w:asciiTheme="majorBidi" w:hAnsiTheme="majorBidi" w:cstheme="majorBidi"/>
          <w:b/>
          <w:bCs/>
          <w:caps/>
        </w:rPr>
        <w:t>BY</w:t>
      </w:r>
    </w:p>
    <w:p w:rsidR="00A044B5" w:rsidRPr="00BA7911">
      <w:pPr>
        <w:jc w:val="center"/>
        <w:rPr>
          <w:rFonts w:asciiTheme="majorBidi" w:hAnsiTheme="majorBidi" w:cstheme="majorBidi"/>
          <w:b/>
          <w:bCs/>
          <w:caps/>
        </w:rPr>
      </w:pPr>
      <w:r w:rsidRPr="00BA7911">
        <w:rPr>
          <w:rFonts w:asciiTheme="majorBidi" w:hAnsiTheme="majorBidi" w:cstheme="majorBidi"/>
          <w:b/>
          <w:bCs/>
          <w:caps/>
        </w:rPr>
        <w:t xml:space="preserve">THE OFFICE OF THE OHIO CONSUMERS' COUNSEL </w:t>
      </w:r>
    </w:p>
    <w:p w:rsidR="00A044B5" w:rsidRPr="00D62B78">
      <w:pPr>
        <w:pBdr>
          <w:bottom w:val="single" w:sz="12" w:space="1" w:color="auto"/>
        </w:pBdr>
        <w:tabs>
          <w:tab w:val="left" w:pos="4320"/>
        </w:tabs>
        <w:rPr>
          <w:sz w:val="16"/>
          <w:szCs w:val="16"/>
        </w:rPr>
      </w:pPr>
    </w:p>
    <w:p w:rsidR="00BA7911" w:rsidP="00BA7911"/>
    <w:p w:rsidR="006D5706" w:rsidP="00863375">
      <w:pPr>
        <w:pStyle w:val="Heading1"/>
      </w:pPr>
      <w:r w:rsidRPr="00104D9A">
        <w:t>I.</w:t>
      </w:r>
      <w:r>
        <w:tab/>
      </w:r>
      <w:r w:rsidRPr="006D5706">
        <w:t>Introduction</w:t>
      </w:r>
    </w:p>
    <w:p w:rsidR="001B599A" w:rsidP="00104D9A">
      <w:pPr>
        <w:spacing w:line="480" w:lineRule="auto"/>
        <w:ind w:firstLine="720"/>
      </w:pPr>
      <w:r w:rsidRPr="00FE5832">
        <w:t>Duke Energy Ohio, Inc. (“Duke”</w:t>
      </w:r>
      <w:r>
        <w:t>)</w:t>
      </w:r>
      <w:r w:rsidRPr="00FE5832">
        <w:t xml:space="preserve"> seeks to </w:t>
      </w:r>
      <w:r>
        <w:t>collect from customers</w:t>
      </w:r>
      <w:r w:rsidRPr="00FE5832">
        <w:t xml:space="preserve"> 201</w:t>
      </w:r>
      <w:r>
        <w:t>7</w:t>
      </w:r>
      <w:r w:rsidRPr="00FE5832">
        <w:t xml:space="preserve"> operation and maintenance and capital-related expenses associated with </w:t>
      </w:r>
      <w:r>
        <w:t xml:space="preserve">its </w:t>
      </w:r>
      <w:r w:rsidRPr="00FE5832">
        <w:t>201</w:t>
      </w:r>
      <w:r>
        <w:t>7</w:t>
      </w:r>
      <w:r w:rsidRPr="00FE5832">
        <w:t xml:space="preserve"> investment in grid modernization and related systems associated with gas service. </w:t>
      </w:r>
      <w:r w:rsidR="005C1605">
        <w:t xml:space="preserve">Duke collects these expenses from customers through a charge in Rider AU.  </w:t>
      </w:r>
      <w:r w:rsidRPr="00FE5832">
        <w:t xml:space="preserve">The current monthly rate for </w:t>
      </w:r>
      <w:r>
        <w:t>most Duke gas customers</w:t>
      </w:r>
      <w:r w:rsidRPr="00FE5832">
        <w:t xml:space="preserve"> is </w:t>
      </w:r>
      <w:r>
        <w:t>80</w:t>
      </w:r>
      <w:r w:rsidRPr="00FE5832">
        <w:t xml:space="preserve"> </w:t>
      </w:r>
      <w:r w:rsidR="00DA3D59">
        <w:t xml:space="preserve">cents </w:t>
      </w:r>
      <w:r w:rsidRPr="00FE5832">
        <w:t xml:space="preserve">and the proposed </w:t>
      </w:r>
      <w:r w:rsidR="00A10801">
        <w:t xml:space="preserve">monthly </w:t>
      </w:r>
      <w:r w:rsidRPr="00FE5832">
        <w:t xml:space="preserve">rate </w:t>
      </w:r>
      <w:r w:rsidR="00A10801">
        <w:t xml:space="preserve">in the application </w:t>
      </w:r>
      <w:r w:rsidRPr="00FE5832">
        <w:t xml:space="preserve">is </w:t>
      </w:r>
      <w:r>
        <w:t>6</w:t>
      </w:r>
      <w:r w:rsidRPr="00FE5832">
        <w:t>0</w:t>
      </w:r>
      <w:r w:rsidR="00DA3D59">
        <w:t xml:space="preserve"> cents</w:t>
      </w:r>
      <w:r w:rsidRPr="00FE5832">
        <w:t>.</w:t>
      </w:r>
      <w:r>
        <w:rPr>
          <w:rStyle w:val="FootnoteReference"/>
        </w:rPr>
        <w:footnoteReference w:id="3"/>
      </w:r>
      <w:r>
        <w:t xml:space="preserve"> </w:t>
      </w:r>
    </w:p>
    <w:p w:rsidR="00E8116C" w:rsidP="00104D9A">
      <w:pPr>
        <w:spacing w:line="480" w:lineRule="auto"/>
        <w:ind w:firstLine="720"/>
        <w:sectPr w:rsidSect="00BA791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r>
        <w:t>Duke attempts to cast this case as strictly involving a reduction in the amount customers pay for natural gas.</w:t>
      </w:r>
      <w:r>
        <w:rPr>
          <w:rStyle w:val="FootnoteReference"/>
        </w:rPr>
        <w:footnoteReference w:id="4"/>
      </w:r>
      <w:r>
        <w:t xml:space="preserve">  But that is not the </w:t>
      </w:r>
      <w:r w:rsidR="005C1605">
        <w:t>situation</w:t>
      </w:r>
      <w:r>
        <w:t xml:space="preserve"> for Duke’s </w:t>
      </w:r>
      <w:r w:rsidR="003200D3">
        <w:t xml:space="preserve">8,365 </w:t>
      </w:r>
      <w:r>
        <w:t>gas-only customers residing in Adams County, Georgetown, and Lebanon, Ohio.</w:t>
      </w:r>
      <w:r>
        <w:rPr>
          <w:rStyle w:val="FootnoteReference"/>
        </w:rPr>
        <w:footnoteReference w:id="5"/>
      </w:r>
      <w:r>
        <w:t xml:space="preserve"> </w:t>
      </w:r>
      <w:r w:rsidR="003200D3">
        <w:t xml:space="preserve"> These</w:t>
      </w:r>
      <w:r>
        <w:t xml:space="preserve"> customers will see a rate increase</w:t>
      </w:r>
      <w:r w:rsidR="00A10801">
        <w:t xml:space="preserve"> in the form of a reduced monthly credit</w:t>
      </w:r>
      <w:r>
        <w:t xml:space="preserve">.  </w:t>
      </w:r>
      <w:r w:rsidR="003200D3">
        <w:t xml:space="preserve">Duke’s gas-only </w:t>
      </w:r>
      <w:r>
        <w:t xml:space="preserve">customers receive a credit because of </w:t>
      </w:r>
      <w:r w:rsidR="00DA3D59">
        <w:t xml:space="preserve">the </w:t>
      </w:r>
      <w:r>
        <w:t xml:space="preserve">cost allocation between electric and gas.  </w:t>
      </w:r>
    </w:p>
    <w:p w:rsidR="001B599A" w:rsidP="00E8116C">
      <w:pPr>
        <w:spacing w:line="480" w:lineRule="auto"/>
      </w:pPr>
      <w:r>
        <w:t>That credit has steadily decreased through the years.</w:t>
      </w:r>
      <w:r>
        <w:rPr>
          <w:rStyle w:val="FootnoteReference"/>
        </w:rPr>
        <w:footnoteReference w:id="6"/>
      </w:r>
      <w:r>
        <w:t xml:space="preserve">  </w:t>
      </w:r>
      <w:r w:rsidR="00C77E72">
        <w:t>Per the application,</w:t>
      </w:r>
      <w:r>
        <w:t xml:space="preserve"> the credit will decrease by </w:t>
      </w:r>
      <w:r w:rsidR="00DA3D59">
        <w:t>11</w:t>
      </w:r>
      <w:r>
        <w:t xml:space="preserve"> cents, from 40 cents per month to 29 cents per month.  So, </w:t>
      </w:r>
      <w:r w:rsidR="003200D3">
        <w:t>D</w:t>
      </w:r>
      <w:r>
        <w:t>uke’s gas-only customers will pay more as a result of this case.</w:t>
      </w:r>
    </w:p>
    <w:p w:rsidR="00E00846" w:rsidP="00104D9A">
      <w:pPr>
        <w:spacing w:line="480" w:lineRule="auto"/>
        <w:ind w:firstLine="720"/>
      </w:pPr>
      <w:r>
        <w:t xml:space="preserve">The </w:t>
      </w:r>
      <w:r w:rsidR="003200D3">
        <w:t xml:space="preserve">Office of the </w:t>
      </w:r>
      <w:r>
        <w:t xml:space="preserve">Ohio Consumers’ Counsel (“OCC”) is concerned that </w:t>
      </w:r>
      <w:r w:rsidR="003200D3">
        <w:t xml:space="preserve">all of Duke’s natural gas </w:t>
      </w:r>
      <w:r>
        <w:t xml:space="preserve">customers </w:t>
      </w:r>
      <w:r w:rsidR="003200D3">
        <w:t xml:space="preserve">may be </w:t>
      </w:r>
      <w:r>
        <w:t>overpay</w:t>
      </w:r>
      <w:r w:rsidR="003200D3">
        <w:t>ing</w:t>
      </w:r>
      <w:r>
        <w:t xml:space="preserve"> for</w:t>
      </w:r>
      <w:r w:rsidR="003200D3">
        <w:t xml:space="preserve"> gas service</w:t>
      </w:r>
      <w:r>
        <w:t xml:space="preserve">.  </w:t>
      </w:r>
      <w:r w:rsidR="003200D3">
        <w:t>OCC does not dispute the charges to customers</w:t>
      </w:r>
      <w:r>
        <w:t xml:space="preserve"> </w:t>
      </w:r>
      <w:r w:rsidR="003200D3">
        <w:t xml:space="preserve">proposed in this case.  However, there is a broader issue regarding Duke’s natural gas service that the Public Utilities Commission of Ohio (“PUCO”) has deemed to be relevant to this case – a natural gas distribution rate case for Duke.  </w:t>
      </w:r>
    </w:p>
    <w:p w:rsidR="004E471E" w:rsidP="00E00846">
      <w:pPr>
        <w:spacing w:line="480" w:lineRule="auto"/>
        <w:ind w:firstLine="720"/>
      </w:pPr>
      <w:r>
        <w:t xml:space="preserve">It has been </w:t>
      </w:r>
      <w:r w:rsidR="00941A42">
        <w:t xml:space="preserve">six </w:t>
      </w:r>
      <w:r>
        <w:t xml:space="preserve">years since </w:t>
      </w:r>
      <w:r w:rsidR="00941A42">
        <w:t>Duke’s last natural gas rate case (Case No. 12-1685-GA-AIR) and at least four years since Duke’s natural gas smart grid was fully deployed.</w:t>
      </w:r>
      <w:r>
        <w:rPr>
          <w:rStyle w:val="FootnoteReference"/>
        </w:rPr>
        <w:footnoteReference w:id="7"/>
      </w:r>
      <w:r w:rsidR="000007F1">
        <w:t xml:space="preserve">  Consumers should be receiving actual savings attributable to Duke’s natural gas smart grid, rather than the estimated savings they have received since 2012</w:t>
      </w:r>
      <w:r w:rsidR="00225124">
        <w:t xml:space="preserve"> from the PUCO’s Order in Case No. 12-1811-GE-RDR</w:t>
      </w:r>
      <w:r w:rsidR="000007F1">
        <w:t>.</w:t>
      </w:r>
      <w:r w:rsidR="00E00846">
        <w:t xml:space="preserve">  As part of this case, the PUCO should order Duke to file a natural gas rate case.</w:t>
      </w:r>
    </w:p>
    <w:p w:rsidR="00E8116C">
      <w:pPr>
        <w:rPr>
          <w:b/>
        </w:rPr>
      </w:pPr>
      <w:r>
        <w:rPr>
          <w:b/>
        </w:rPr>
        <w:br w:type="page"/>
      </w:r>
    </w:p>
    <w:p w:rsidR="00EB01AA" w:rsidRPr="00FE5832" w:rsidP="00E00846">
      <w:pPr>
        <w:spacing w:before="240" w:line="480" w:lineRule="auto"/>
      </w:pPr>
      <w:r w:rsidRPr="00D0565F">
        <w:rPr>
          <w:b/>
        </w:rPr>
        <w:t>II.</w:t>
      </w:r>
      <w:r>
        <w:tab/>
      </w:r>
      <w:r w:rsidR="00E00846">
        <w:rPr>
          <w:b/>
        </w:rPr>
        <w:t>RECOMMENDATIONS</w:t>
      </w:r>
    </w:p>
    <w:p w:rsidR="00BA7911" w:rsidRPr="00E00846" w:rsidP="00E8116C">
      <w:pPr>
        <w:spacing w:after="240"/>
        <w:ind w:left="1440" w:right="720" w:hanging="720"/>
        <w:rPr>
          <w:b/>
        </w:rPr>
      </w:pPr>
      <w:r>
        <w:rPr>
          <w:b/>
        </w:rPr>
        <w:t>A.</w:t>
      </w:r>
      <w:r>
        <w:rPr>
          <w:b/>
        </w:rPr>
        <w:tab/>
        <w:t xml:space="preserve">The PUCO should reject Duke’s claim that a natural </w:t>
      </w:r>
      <w:r w:rsidR="004C17E5">
        <w:rPr>
          <w:b/>
        </w:rPr>
        <w:t>gas</w:t>
      </w:r>
      <w:r>
        <w:rPr>
          <w:b/>
        </w:rPr>
        <w:t xml:space="preserve"> distribution rate case, which wou</w:t>
      </w:r>
      <w:r w:rsidR="00C930C2">
        <w:rPr>
          <w:b/>
        </w:rPr>
        <w:t xml:space="preserve">ld </w:t>
      </w:r>
      <w:r w:rsidR="00DA3D59">
        <w:rPr>
          <w:b/>
        </w:rPr>
        <w:t>safeguard</w:t>
      </w:r>
      <w:r w:rsidR="00C930C2">
        <w:rPr>
          <w:b/>
        </w:rPr>
        <w:t xml:space="preserve"> that Duke’s gas customers pay just and reasonable rates, is irrelevant to this proceeding.</w:t>
      </w:r>
    </w:p>
    <w:p w:rsidR="00F95075" w:rsidP="005D0F2D">
      <w:pPr>
        <w:spacing w:line="480" w:lineRule="auto"/>
        <w:ind w:firstLine="720"/>
      </w:pPr>
      <w:r>
        <w:t xml:space="preserve">Duke has vigorously opposed the PUCO considering a natural gas distribution rate case in this proceeding.  OCC properly raised the issue in two filings in this case: Comments filed in October 2018 and the testimony of James Williams filed on November 23, 2018.  </w:t>
      </w:r>
      <w:r w:rsidR="00350A8D">
        <w:t>Duke then moved to strike Mr. Williams’s testimony in its entirety.</w:t>
      </w:r>
      <w:r>
        <w:rPr>
          <w:rStyle w:val="FootnoteReference"/>
        </w:rPr>
        <w:footnoteReference w:id="8"/>
      </w:r>
      <w:r w:rsidR="00350A8D">
        <w:t xml:space="preserve">  </w:t>
      </w:r>
      <w:r w:rsidR="00A10801">
        <w:t xml:space="preserve">In its motion, </w:t>
      </w:r>
      <w:r w:rsidR="00350A8D">
        <w:t xml:space="preserve">Duke also asked the PUCO to delay the deadlines for Duke to file supplemental testimony </w:t>
      </w:r>
      <w:r w:rsidR="00857624">
        <w:t>(November 30, 2018)</w:t>
      </w:r>
      <w:r w:rsidR="00350A8D">
        <w:t xml:space="preserve"> and for the hearing in this case</w:t>
      </w:r>
      <w:r w:rsidR="00857624">
        <w:t xml:space="preserve"> (December 6, 2018)</w:t>
      </w:r>
      <w:r w:rsidR="00350A8D">
        <w:t>.</w:t>
      </w:r>
      <w:r>
        <w:rPr>
          <w:rStyle w:val="FootnoteReference"/>
        </w:rPr>
        <w:footnoteReference w:id="9"/>
      </w:r>
    </w:p>
    <w:p w:rsidR="00E8116C" w:rsidP="00151A31">
      <w:pPr>
        <w:spacing w:line="480" w:lineRule="auto"/>
        <w:ind w:firstLine="720"/>
      </w:pPr>
      <w:r>
        <w:t>The PUCO</w:t>
      </w:r>
      <w:r w:rsidR="00857624">
        <w:t xml:space="preserve"> properly</w:t>
      </w:r>
      <w:r>
        <w:t xml:space="preserve"> d</w:t>
      </w:r>
      <w:r w:rsidR="00857624">
        <w:t>enied Duke’s motion to strike Mr. Williams’s testimony.</w:t>
      </w:r>
      <w:r>
        <w:rPr>
          <w:rStyle w:val="FootnoteReference"/>
        </w:rPr>
        <w:footnoteReference w:id="10"/>
      </w:r>
      <w:r w:rsidR="00857624">
        <w:t xml:space="preserve">  Nevertheless, Duke continues to argue that the issue of a natural gas distribution rate case is irrelevant to this proceeding.</w:t>
      </w:r>
      <w:r>
        <w:rPr>
          <w:rStyle w:val="FootnoteReference"/>
        </w:rPr>
        <w:footnoteReference w:id="11"/>
      </w:r>
      <w:r w:rsidR="00857624">
        <w:t xml:space="preserve">  </w:t>
      </w:r>
      <w:r w:rsidR="00151A31">
        <w:t>The PUCO should question Duke’s motives in continuing to argue against an issue that the PUCO has already decided.  Why is Duke so vehemently against a natural gas distribution rate case?</w:t>
      </w:r>
    </w:p>
    <w:p w:rsidR="00E8116C">
      <w:r>
        <w:br w:type="page"/>
      </w:r>
    </w:p>
    <w:p w:rsidR="00E00846" w:rsidRPr="00BA7911" w:rsidP="00E8116C">
      <w:pPr>
        <w:spacing w:after="240"/>
        <w:ind w:left="1440" w:right="720" w:hanging="720"/>
        <w:rPr>
          <w:b/>
          <w:bCs/>
        </w:rPr>
      </w:pPr>
      <w:r w:rsidRPr="00E00846">
        <w:rPr>
          <w:b/>
        </w:rPr>
        <w:t>B.</w:t>
      </w:r>
      <w:r>
        <w:tab/>
      </w:r>
      <w:r w:rsidRPr="00BA7911">
        <w:rPr>
          <w:b/>
          <w:bCs/>
        </w:rPr>
        <w:t xml:space="preserve">Duke should be required to file a natural gas distribution rate case </w:t>
      </w:r>
      <w:r w:rsidR="00225124">
        <w:rPr>
          <w:b/>
          <w:bCs/>
        </w:rPr>
        <w:t>within the next 12 months</w:t>
      </w:r>
      <w:r w:rsidR="00406E17">
        <w:rPr>
          <w:b/>
          <w:bCs/>
        </w:rPr>
        <w:t xml:space="preserve"> so that Duke’s gas customers are charged only just and reasonable rates</w:t>
      </w:r>
      <w:r w:rsidR="00250EE8">
        <w:rPr>
          <w:b/>
          <w:bCs/>
        </w:rPr>
        <w:t>,</w:t>
      </w:r>
      <w:r w:rsidR="00406E17">
        <w:rPr>
          <w:b/>
          <w:bCs/>
        </w:rPr>
        <w:t xml:space="preserve"> actual</w:t>
      </w:r>
      <w:r w:rsidRPr="00BA7911" w:rsidR="00406E17">
        <w:rPr>
          <w:b/>
          <w:bCs/>
        </w:rPr>
        <w:t xml:space="preserve"> operation</w:t>
      </w:r>
      <w:r w:rsidR="00406E17">
        <w:rPr>
          <w:b/>
          <w:bCs/>
        </w:rPr>
        <w:t>al</w:t>
      </w:r>
      <w:r w:rsidRPr="00BA7911" w:rsidR="00406E17">
        <w:rPr>
          <w:b/>
          <w:bCs/>
        </w:rPr>
        <w:t xml:space="preserve"> savings </w:t>
      </w:r>
      <w:r w:rsidR="00250EE8">
        <w:rPr>
          <w:b/>
          <w:bCs/>
        </w:rPr>
        <w:t xml:space="preserve">are passed along </w:t>
      </w:r>
      <w:r w:rsidR="00406E17">
        <w:rPr>
          <w:b/>
          <w:bCs/>
        </w:rPr>
        <w:t xml:space="preserve">to </w:t>
      </w:r>
      <w:r w:rsidRPr="00BA7911" w:rsidR="00406E17">
        <w:rPr>
          <w:b/>
          <w:bCs/>
        </w:rPr>
        <w:t>consumers</w:t>
      </w:r>
      <w:r w:rsidR="00250EE8">
        <w:rPr>
          <w:b/>
          <w:bCs/>
        </w:rPr>
        <w:t>,</w:t>
      </w:r>
      <w:r w:rsidR="00406E17">
        <w:rPr>
          <w:b/>
          <w:bCs/>
        </w:rPr>
        <w:t xml:space="preserve"> and </w:t>
      </w:r>
      <w:r w:rsidRPr="00BA7911">
        <w:rPr>
          <w:b/>
          <w:bCs/>
        </w:rPr>
        <w:t xml:space="preserve">prudently incurred smart grid investment </w:t>
      </w:r>
      <w:r w:rsidR="00250EE8">
        <w:rPr>
          <w:b/>
          <w:bCs/>
        </w:rPr>
        <w:t xml:space="preserve">is placed </w:t>
      </w:r>
      <w:r w:rsidRPr="00BA7911">
        <w:rPr>
          <w:b/>
          <w:bCs/>
        </w:rPr>
        <w:t xml:space="preserve">into base rates.   </w:t>
      </w:r>
    </w:p>
    <w:p w:rsidR="005D0F2D" w:rsidP="005D0F2D">
      <w:pPr>
        <w:spacing w:line="480" w:lineRule="auto"/>
        <w:ind w:firstLine="720"/>
      </w:pPr>
      <w:r>
        <w:t>It has been six years since Duke’s last natural gas rate case (Case No. 12-1685-GA-AIR) and at least four years since Duke’s natural gas smart grid was fully deployed.</w:t>
      </w:r>
      <w:r>
        <w:rPr>
          <w:rStyle w:val="FootnoteReference"/>
        </w:rPr>
        <w:footnoteReference w:id="12"/>
      </w:r>
      <w:r>
        <w:t xml:space="preserve">  It has also been six years since the estimated operational savings that Duke is passing along to consumers were last examined (in Case No. 12-1811-GE-RDR).</w:t>
      </w:r>
      <w:r w:rsidR="00303A1C">
        <w:t xml:space="preserve">  It is time for Duke to file a natural gas distribution rate case so that customers are </w:t>
      </w:r>
      <w:r w:rsidR="00DA3D59">
        <w:t>guaranteed</w:t>
      </w:r>
      <w:r w:rsidR="00303A1C">
        <w:t xml:space="preserve"> that they are paying just and reasonable rates.</w:t>
      </w:r>
    </w:p>
    <w:p w:rsidR="00303A1C" w:rsidP="005D0F2D">
      <w:pPr>
        <w:spacing w:line="480" w:lineRule="auto"/>
        <w:ind w:firstLine="720"/>
        <w:rPr>
          <w:iCs/>
        </w:rPr>
      </w:pPr>
      <w:r>
        <w:t xml:space="preserve">As Mr. Williams testified, </w:t>
      </w:r>
      <w:r w:rsidRPr="0021020B">
        <w:rPr>
          <w:iCs/>
        </w:rPr>
        <w:t xml:space="preserve">a gas distribution rate case </w:t>
      </w:r>
      <w:r>
        <w:rPr>
          <w:iCs/>
        </w:rPr>
        <w:t>will</w:t>
      </w:r>
      <w:r w:rsidRPr="0021020B">
        <w:rPr>
          <w:iCs/>
        </w:rPr>
        <w:t xml:space="preserve"> </w:t>
      </w:r>
      <w:r w:rsidR="00DA3D59">
        <w:rPr>
          <w:iCs/>
        </w:rPr>
        <w:t xml:space="preserve">provide for an </w:t>
      </w:r>
      <w:r w:rsidRPr="0021020B">
        <w:rPr>
          <w:iCs/>
        </w:rPr>
        <w:t>examination of all of Duke’s revenues and expenses to help safeguard that customers are being charged just and reasonable rates.</w:t>
      </w:r>
      <w:r>
        <w:rPr>
          <w:rStyle w:val="FootnoteReference"/>
          <w:iCs/>
        </w:rPr>
        <w:footnoteReference w:id="13"/>
      </w:r>
      <w:r w:rsidRPr="0021020B">
        <w:rPr>
          <w:iCs/>
        </w:rPr>
        <w:t xml:space="preserve"> </w:t>
      </w:r>
      <w:r>
        <w:rPr>
          <w:iCs/>
        </w:rPr>
        <w:t>Even though the</w:t>
      </w:r>
      <w:r w:rsidRPr="0021020B">
        <w:rPr>
          <w:iCs/>
        </w:rPr>
        <w:t xml:space="preserve"> charges </w:t>
      </w:r>
      <w:r>
        <w:rPr>
          <w:iCs/>
        </w:rPr>
        <w:t xml:space="preserve">to most </w:t>
      </w:r>
      <w:r w:rsidR="004C17E5">
        <w:rPr>
          <w:iCs/>
        </w:rPr>
        <w:t xml:space="preserve">of </w:t>
      </w:r>
      <w:r>
        <w:rPr>
          <w:iCs/>
        </w:rPr>
        <w:t>Duke</w:t>
      </w:r>
      <w:r w:rsidR="004C17E5">
        <w:rPr>
          <w:iCs/>
        </w:rPr>
        <w:t>’s</w:t>
      </w:r>
      <w:r>
        <w:rPr>
          <w:iCs/>
        </w:rPr>
        <w:t xml:space="preserve"> natural gas customers would </w:t>
      </w:r>
      <w:r w:rsidRPr="0021020B">
        <w:rPr>
          <w:iCs/>
        </w:rPr>
        <w:t xml:space="preserve">decrease by 20 </w:t>
      </w:r>
      <w:r w:rsidR="00DA3D59">
        <w:rPr>
          <w:iCs/>
        </w:rPr>
        <w:t xml:space="preserve">cents </w:t>
      </w:r>
      <w:r w:rsidRPr="0021020B">
        <w:rPr>
          <w:iCs/>
        </w:rPr>
        <w:t>per month</w:t>
      </w:r>
      <w:r>
        <w:rPr>
          <w:iCs/>
        </w:rPr>
        <w:t xml:space="preserve"> under the application in</w:t>
      </w:r>
      <w:r w:rsidR="004C17E5">
        <w:rPr>
          <w:iCs/>
        </w:rPr>
        <w:t xml:space="preserve"> this</w:t>
      </w:r>
      <w:r>
        <w:rPr>
          <w:iCs/>
        </w:rPr>
        <w:t xml:space="preserve"> case</w:t>
      </w:r>
      <w:r w:rsidRPr="0021020B">
        <w:rPr>
          <w:iCs/>
        </w:rPr>
        <w:t>, customers may be due even greater monthly savings. Duke</w:t>
      </w:r>
      <w:r>
        <w:rPr>
          <w:iCs/>
        </w:rPr>
        <w:t>’s</w:t>
      </w:r>
      <w:r w:rsidRPr="0021020B">
        <w:rPr>
          <w:iCs/>
        </w:rPr>
        <w:t xml:space="preserve"> natural gas operating costs </w:t>
      </w:r>
      <w:r>
        <w:rPr>
          <w:iCs/>
        </w:rPr>
        <w:t xml:space="preserve">should have been substantially reduced </w:t>
      </w:r>
      <w:r w:rsidRPr="0021020B">
        <w:rPr>
          <w:iCs/>
        </w:rPr>
        <w:t>due to the full deployment of automated meter reading.</w:t>
      </w:r>
      <w:r>
        <w:rPr>
          <w:rStyle w:val="FootnoteReference"/>
          <w:iCs/>
        </w:rPr>
        <w:footnoteReference w:id="14"/>
      </w:r>
      <w:r w:rsidRPr="0021020B">
        <w:rPr>
          <w:iCs/>
        </w:rPr>
        <w:t xml:space="preserve"> </w:t>
      </w:r>
      <w:r>
        <w:rPr>
          <w:iCs/>
        </w:rPr>
        <w:t xml:space="preserve"> </w:t>
      </w:r>
      <w:r w:rsidRPr="0021020B">
        <w:rPr>
          <w:iCs/>
        </w:rPr>
        <w:t>Customers</w:t>
      </w:r>
      <w:r>
        <w:rPr>
          <w:iCs/>
        </w:rPr>
        <w:t xml:space="preserve"> will</w:t>
      </w:r>
      <w:r w:rsidRPr="0021020B">
        <w:rPr>
          <w:iCs/>
        </w:rPr>
        <w:t xml:space="preserve"> not fully share in these promised savings until rates are reduced in a distribution rate case.</w:t>
      </w:r>
      <w:r>
        <w:rPr>
          <w:rStyle w:val="FootnoteReference"/>
          <w:iCs/>
        </w:rPr>
        <w:footnoteReference w:id="15"/>
      </w:r>
    </w:p>
    <w:p w:rsidR="00250EE8" w:rsidP="005D0F2D">
      <w:pPr>
        <w:spacing w:line="480" w:lineRule="auto"/>
        <w:ind w:firstLine="720"/>
        <w:rPr>
          <w:iCs/>
        </w:rPr>
      </w:pPr>
      <w:r>
        <w:rPr>
          <w:iCs/>
        </w:rPr>
        <w:t>In addition,</w:t>
      </w:r>
      <w:r w:rsidR="00030881">
        <w:rPr>
          <w:iCs/>
        </w:rPr>
        <w:t xml:space="preserve"> part of the rates in Rider AU</w:t>
      </w:r>
      <w:r>
        <w:rPr>
          <w:iCs/>
        </w:rPr>
        <w:t xml:space="preserve"> include a level of operational savings that was agreed upon in previous rider cases</w:t>
      </w:r>
      <w:r w:rsidR="00030881">
        <w:rPr>
          <w:iCs/>
        </w:rPr>
        <w:t>.</w:t>
      </w:r>
      <w:r>
        <w:rPr>
          <w:rStyle w:val="FootnoteReference"/>
          <w:iCs/>
        </w:rPr>
        <w:footnoteReference w:id="16"/>
      </w:r>
      <w:r w:rsidR="00030881">
        <w:rPr>
          <w:iCs/>
        </w:rPr>
        <w:t xml:space="preserve">  </w:t>
      </w:r>
      <w:r>
        <w:rPr>
          <w:iCs/>
        </w:rPr>
        <w:t>But t</w:t>
      </w:r>
      <w:r w:rsidR="00030881">
        <w:rPr>
          <w:iCs/>
        </w:rPr>
        <w:t xml:space="preserve">hese savings are based </w:t>
      </w:r>
      <w:r>
        <w:rPr>
          <w:iCs/>
        </w:rPr>
        <w:t xml:space="preserve">only </w:t>
      </w:r>
      <w:r w:rsidR="00030881">
        <w:rPr>
          <w:iCs/>
        </w:rPr>
        <w:t>on projected operational savings from the audit in the mid-deployment review case.</w:t>
      </w:r>
      <w:r>
        <w:rPr>
          <w:rStyle w:val="FootnoteReference"/>
          <w:iCs/>
        </w:rPr>
        <w:footnoteReference w:id="17"/>
      </w:r>
      <w:r w:rsidR="00030881">
        <w:rPr>
          <w:iCs/>
        </w:rPr>
        <w:t xml:space="preserve">  </w:t>
      </w:r>
      <w:r w:rsidR="004B2F8B">
        <w:rPr>
          <w:iCs/>
        </w:rPr>
        <w:t>As Mr. Williams testified, the projected operational savings should be passed along to customers through the rider only until “actual operational savings are established through a distribution base rate proceeding.”</w:t>
      </w:r>
      <w:r>
        <w:rPr>
          <w:rStyle w:val="FootnoteReference"/>
          <w:iCs/>
        </w:rPr>
        <w:footnoteReference w:id="18"/>
      </w:r>
      <w:r w:rsidR="004B2F8B">
        <w:rPr>
          <w:iCs/>
        </w:rPr>
        <w:t xml:space="preserve">  </w:t>
      </w:r>
    </w:p>
    <w:p w:rsidR="00303A1C" w:rsidP="005D0F2D">
      <w:pPr>
        <w:spacing w:line="480" w:lineRule="auto"/>
        <w:ind w:firstLine="720"/>
      </w:pPr>
      <w:r>
        <w:rPr>
          <w:iCs/>
        </w:rPr>
        <w:t xml:space="preserve">Even </w:t>
      </w:r>
      <w:r w:rsidR="008D2EAA">
        <w:rPr>
          <w:iCs/>
        </w:rPr>
        <w:t xml:space="preserve">though </w:t>
      </w:r>
      <w:r w:rsidR="00250EE8">
        <w:rPr>
          <w:iCs/>
        </w:rPr>
        <w:t>a level of</w:t>
      </w:r>
      <w:r>
        <w:rPr>
          <w:iCs/>
        </w:rPr>
        <w:t xml:space="preserve"> </w:t>
      </w:r>
      <w:r w:rsidR="002E5D41">
        <w:rPr>
          <w:iCs/>
        </w:rPr>
        <w:t xml:space="preserve">smart grid </w:t>
      </w:r>
      <w:r>
        <w:rPr>
          <w:iCs/>
        </w:rPr>
        <w:t>operational savings for Duke’s electric customers are now in base rates,</w:t>
      </w:r>
      <w:r>
        <w:rPr>
          <w:rStyle w:val="FootnoteReference"/>
          <w:iCs/>
        </w:rPr>
        <w:footnoteReference w:id="19"/>
      </w:r>
      <w:r>
        <w:rPr>
          <w:iCs/>
        </w:rPr>
        <w:t xml:space="preserve"> the </w:t>
      </w:r>
      <w:r w:rsidR="00030881">
        <w:rPr>
          <w:iCs/>
        </w:rPr>
        <w:t xml:space="preserve">projected savings </w:t>
      </w:r>
      <w:r>
        <w:rPr>
          <w:iCs/>
        </w:rPr>
        <w:t xml:space="preserve">for natural gas customers </w:t>
      </w:r>
      <w:r w:rsidR="00030881">
        <w:rPr>
          <w:iCs/>
        </w:rPr>
        <w:t xml:space="preserve">have not been </w:t>
      </w:r>
      <w:r w:rsidR="00250EE8">
        <w:rPr>
          <w:iCs/>
        </w:rPr>
        <w:t>addressed</w:t>
      </w:r>
      <w:r w:rsidR="00030881">
        <w:rPr>
          <w:iCs/>
        </w:rPr>
        <w:t xml:space="preserve"> </w:t>
      </w:r>
      <w:r w:rsidR="00DA3D59">
        <w:rPr>
          <w:iCs/>
        </w:rPr>
        <w:t xml:space="preserve">or updated </w:t>
      </w:r>
      <w:r w:rsidR="004B2F8B">
        <w:rPr>
          <w:iCs/>
        </w:rPr>
        <w:t>since</w:t>
      </w:r>
      <w:r>
        <w:rPr>
          <w:iCs/>
        </w:rPr>
        <w:t xml:space="preserve"> 2012.  Even then,</w:t>
      </w:r>
      <w:r w:rsidR="004B2F8B">
        <w:rPr>
          <w:iCs/>
        </w:rPr>
        <w:t xml:space="preserve"> </w:t>
      </w:r>
      <w:r>
        <w:rPr>
          <w:iCs/>
        </w:rPr>
        <w:t xml:space="preserve">the same projected savings from Case No. 10-2326-GE-RDR were merely incorporated into </w:t>
      </w:r>
      <w:r w:rsidR="004B2F8B">
        <w:t>Case No. 12-1811-GE-RDR.</w:t>
      </w:r>
      <w:r w:rsidR="00250EE8">
        <w:t xml:space="preserve">  Now that Duke’s smart grid is fully deployed, it is time to examine the actual operational savings from Duke’s natural gas smart grid and </w:t>
      </w:r>
      <w:r w:rsidR="00DA3D59">
        <w:t xml:space="preserve">to fully </w:t>
      </w:r>
      <w:r w:rsidR="00250EE8">
        <w:t>pass those savings along to consumers.  A natural distribution rate case is needed for that purpose.</w:t>
      </w:r>
    </w:p>
    <w:p w:rsidR="005B07AE" w:rsidP="00863375">
      <w:pPr>
        <w:spacing w:line="480" w:lineRule="auto"/>
        <w:ind w:firstLine="720"/>
      </w:pPr>
      <w:r>
        <w:rPr>
          <w:iCs/>
        </w:rPr>
        <w:t>Further, a</w:t>
      </w:r>
      <w:r w:rsidRPr="0021020B" w:rsidR="00250EE8">
        <w:rPr>
          <w:iCs/>
        </w:rPr>
        <w:t xml:space="preserve"> natural gas distribution rate case provides the opportunity for a full examination of the prudenc</w:t>
      </w:r>
      <w:r w:rsidR="00DA3D59">
        <w:rPr>
          <w:iCs/>
        </w:rPr>
        <w:t>e</w:t>
      </w:r>
      <w:r w:rsidRPr="0021020B" w:rsidR="00250EE8">
        <w:rPr>
          <w:iCs/>
        </w:rPr>
        <w:t xml:space="preserve"> of the investments that Duke made in its automated gas meter reading systems.  </w:t>
      </w:r>
      <w:r w:rsidR="00250EE8">
        <w:rPr>
          <w:iCs/>
        </w:rPr>
        <w:t>T</w:t>
      </w:r>
      <w:r w:rsidRPr="0021020B" w:rsidR="00250EE8">
        <w:rPr>
          <w:iCs/>
        </w:rPr>
        <w:t xml:space="preserve">he automated gas meter reading systems have been fully deployed </w:t>
      </w:r>
      <w:r w:rsidR="00250EE8">
        <w:rPr>
          <w:iCs/>
        </w:rPr>
        <w:t>since</w:t>
      </w:r>
      <w:r w:rsidRPr="0021020B" w:rsidR="00250EE8">
        <w:rPr>
          <w:iCs/>
        </w:rPr>
        <w:t xml:space="preserve"> </w:t>
      </w:r>
      <w:r w:rsidR="00250EE8">
        <w:rPr>
          <w:iCs/>
        </w:rPr>
        <w:t>at least 2015.  A</w:t>
      </w:r>
      <w:r w:rsidRPr="0021020B" w:rsidR="00250EE8">
        <w:rPr>
          <w:iCs/>
        </w:rPr>
        <w:t xml:space="preserve">nd </w:t>
      </w:r>
      <w:r w:rsidR="00250EE8">
        <w:rPr>
          <w:iCs/>
        </w:rPr>
        <w:t xml:space="preserve">as Mr. Williams testified, </w:t>
      </w:r>
      <w:r w:rsidRPr="0021020B" w:rsidR="00250EE8">
        <w:rPr>
          <w:iCs/>
        </w:rPr>
        <w:t xml:space="preserve">Duke </w:t>
      </w:r>
      <w:r w:rsidR="00250EE8">
        <w:rPr>
          <w:iCs/>
        </w:rPr>
        <w:t>has plans to</w:t>
      </w:r>
      <w:r w:rsidRPr="0021020B" w:rsidR="00250EE8">
        <w:rPr>
          <w:iCs/>
        </w:rPr>
        <w:t xml:space="preserve"> replac</w:t>
      </w:r>
      <w:r w:rsidR="00250EE8">
        <w:rPr>
          <w:iCs/>
        </w:rPr>
        <w:t>e</w:t>
      </w:r>
      <w:r w:rsidRPr="0021020B" w:rsidR="00250EE8">
        <w:rPr>
          <w:iCs/>
        </w:rPr>
        <w:t xml:space="preserve"> the infrastructure due to obsolete communication systems.</w:t>
      </w:r>
      <w:r>
        <w:rPr>
          <w:rStyle w:val="FootnoteReference"/>
          <w:iCs/>
        </w:rPr>
        <w:footnoteReference w:id="20"/>
      </w:r>
      <w:r w:rsidRPr="0021020B" w:rsidR="00250EE8">
        <w:rPr>
          <w:iCs/>
        </w:rPr>
        <w:t xml:space="preserve"> Duke should not be permitted to continue charging customers under Rider AU for meter reading infrastructure that is being replaced and whose costs will ultimately be passed on to customers as charges through rider(s) or distribution rates.</w:t>
      </w:r>
    </w:p>
    <w:p w:rsidR="000F18EF" w:rsidP="00863375">
      <w:pPr>
        <w:pStyle w:val="Heading1"/>
      </w:pPr>
      <w:r>
        <w:t xml:space="preserve"> </w:t>
      </w:r>
      <w:bookmarkStart w:id="1" w:name="_Toc344714698"/>
      <w:bookmarkStart w:id="2" w:name="_Toc475094441"/>
      <w:r w:rsidRPr="00745B6F">
        <w:t>III.</w:t>
      </w:r>
      <w:r w:rsidRPr="00745B6F">
        <w:tab/>
        <w:t>CONCLUSION</w:t>
      </w:r>
      <w:bookmarkEnd w:id="1"/>
      <w:bookmarkEnd w:id="2"/>
    </w:p>
    <w:p w:rsidR="006541F1" w:rsidRPr="00425205" w:rsidP="00BA7911">
      <w:pPr>
        <w:spacing w:line="480" w:lineRule="auto"/>
        <w:ind w:firstLine="720"/>
      </w:pPr>
      <w:r>
        <w:t xml:space="preserve">For seven years Duke has been </w:t>
      </w:r>
      <w:r w:rsidR="002E5D41">
        <w:t>calculating its charges to</w:t>
      </w:r>
      <w:r>
        <w:t xml:space="preserve"> customers for smart grid expenses</w:t>
      </w:r>
      <w:r w:rsidR="002E5D41">
        <w:t xml:space="preserve"> using savings calculations that were projected in the audit in Case No. 10-2326.  It is time for natural gas consumers to receive the actual savings from Duke’s smart grid deployment.  The PUCO should</w:t>
      </w:r>
      <w:r w:rsidR="005853C2">
        <w:t xml:space="preserve"> instruct</w:t>
      </w:r>
      <w:r w:rsidR="002E5D41">
        <w:t xml:space="preserve"> Duke </w:t>
      </w:r>
      <w:r w:rsidR="005853C2">
        <w:t>to file a base rate case within one year of the Order in this case. The base rate case will allow Duke’s investment to be reviewed for prudence</w:t>
      </w:r>
      <w:r w:rsidR="002E5D41">
        <w:t xml:space="preserve"> and</w:t>
      </w:r>
      <w:r w:rsidR="005853C2">
        <w:t xml:space="preserve"> will help </w:t>
      </w:r>
      <w:r w:rsidR="00DA3D59">
        <w:t>safeguard</w:t>
      </w:r>
      <w:r w:rsidR="005853C2">
        <w:t xml:space="preserve"> that actual operational savings from the smart grid program are being passed on to </w:t>
      </w:r>
      <w:r w:rsidR="002E5D41">
        <w:t xml:space="preserve">Duke’s </w:t>
      </w:r>
      <w:r w:rsidR="005853C2">
        <w:t xml:space="preserve">gas customers. </w:t>
      </w:r>
      <w:r w:rsidR="002E5D41">
        <w:t xml:space="preserve"> A gas distribution rate case is necessary to protect consumers.  </w:t>
      </w:r>
    </w:p>
    <w:p w:rsidR="00BA7911" w:rsidP="005B07AE">
      <w:pPr>
        <w:ind w:left="4320"/>
      </w:pPr>
    </w:p>
    <w:p w:rsidR="00C743BC" w:rsidP="005B07AE">
      <w:pPr>
        <w:ind w:left="4320"/>
      </w:pPr>
      <w:r w:rsidRPr="00C743BC">
        <w:t>Respectfully submitted,</w:t>
      </w:r>
    </w:p>
    <w:p w:rsidR="005B07AE" w:rsidRPr="00062346" w:rsidP="005B07AE">
      <w:pPr>
        <w:ind w:left="4320"/>
        <w:rPr>
          <w:sz w:val="20"/>
          <w:szCs w:val="16"/>
        </w:rPr>
      </w:pPr>
    </w:p>
    <w:p w:rsidR="00C743BC" w:rsidRPr="00C743BC" w:rsidP="005B07AE">
      <w:pPr>
        <w:ind w:left="4320"/>
      </w:pPr>
      <w:r w:rsidRPr="00C743BC">
        <w:t>Bruce Weston (0016973)</w:t>
      </w:r>
    </w:p>
    <w:p w:rsidR="00C743BC" w:rsidRPr="00C743BC" w:rsidP="005B07AE">
      <w:pPr>
        <w:ind w:left="4320"/>
      </w:pPr>
      <w:r w:rsidRPr="00C743BC">
        <w:t>Ohio Consumers’ Counsel</w:t>
      </w:r>
    </w:p>
    <w:p w:rsidR="00C743BC" w:rsidRPr="00062346" w:rsidP="005B07AE">
      <w:pPr>
        <w:ind w:left="4320"/>
        <w:rPr>
          <w:sz w:val="16"/>
          <w:szCs w:val="12"/>
        </w:rPr>
      </w:pPr>
      <w:r w:rsidRPr="00C743BC">
        <w:tab/>
      </w:r>
    </w:p>
    <w:p w:rsidR="007B6756" w:rsidP="005B07AE">
      <w:pPr>
        <w:ind w:left="4320"/>
      </w:pPr>
      <w:r w:rsidRPr="00C743BC">
        <w:rPr>
          <w:i/>
          <w:u w:val="single"/>
        </w:rPr>
        <w:t>/s/</w:t>
      </w:r>
      <w:r>
        <w:rPr>
          <w:i/>
          <w:u w:val="single"/>
        </w:rPr>
        <w:t xml:space="preserve"> </w:t>
      </w:r>
      <w:r w:rsidR="004C17E5">
        <w:rPr>
          <w:i/>
          <w:u w:val="single"/>
        </w:rPr>
        <w:t>Terry L. Etter</w:t>
      </w:r>
      <w:r w:rsidR="004C17E5">
        <w:rPr>
          <w:i/>
          <w:u w:val="single"/>
        </w:rPr>
        <w:tab/>
      </w:r>
      <w:r w:rsidR="004C17E5">
        <w:rPr>
          <w:i/>
          <w:u w:val="single"/>
        </w:rPr>
        <w:tab/>
      </w:r>
      <w:r w:rsidRPr="00C743BC">
        <w:rPr>
          <w:i/>
          <w:u w:val="single"/>
        </w:rPr>
        <w:t xml:space="preserve"> </w:t>
      </w:r>
    </w:p>
    <w:p w:rsidR="00104D9A" w:rsidP="005B07AE">
      <w:pPr>
        <w:ind w:left="4320"/>
      </w:pPr>
      <w:r>
        <w:t>Terry L. Etter (0067445)</w:t>
      </w:r>
      <w:r w:rsidR="00C930C2">
        <w:t xml:space="preserve">, </w:t>
      </w:r>
      <w:r w:rsidRPr="00C743BC">
        <w:t>Counsel of Record</w:t>
      </w:r>
    </w:p>
    <w:p w:rsidR="00042E80" w:rsidP="005B07AE">
      <w:pPr>
        <w:ind w:left="4320"/>
      </w:pPr>
      <w:r>
        <w:t>Amy Botschner O’Brien (0074423)</w:t>
      </w:r>
    </w:p>
    <w:p w:rsidR="00C743BC" w:rsidRPr="00C743BC" w:rsidP="005B07AE">
      <w:pPr>
        <w:ind w:left="4320"/>
      </w:pPr>
      <w:r w:rsidRPr="00C743BC">
        <w:t>Assistant Consumers’ Counsel</w:t>
      </w:r>
    </w:p>
    <w:p w:rsidR="00C743BC" w:rsidRPr="00062346" w:rsidP="005B07AE">
      <w:pPr>
        <w:ind w:left="4320"/>
        <w:rPr>
          <w:b/>
          <w:sz w:val="18"/>
          <w:szCs w:val="14"/>
        </w:rPr>
      </w:pPr>
      <w:r w:rsidRPr="00C743BC">
        <w:rPr>
          <w:b/>
        </w:rPr>
        <w:tab/>
      </w:r>
    </w:p>
    <w:p w:rsidR="00C743BC" w:rsidRPr="00C743BC" w:rsidP="005B07AE">
      <w:pPr>
        <w:ind w:left="4320"/>
        <w:rPr>
          <w:b/>
        </w:rPr>
      </w:pPr>
      <w:r w:rsidRPr="00C743BC">
        <w:rPr>
          <w:b/>
        </w:rPr>
        <w:t>Office of the Ohio Consumers’ Counsel</w:t>
      </w:r>
    </w:p>
    <w:p w:rsidR="005B07AE" w:rsidP="005B07AE">
      <w:pPr>
        <w:ind w:left="4320"/>
      </w:pPr>
      <w:r>
        <w:t>65</w:t>
      </w:r>
      <w:r w:rsidRPr="00C743BC">
        <w:t xml:space="preserve"> </w:t>
      </w:r>
      <w:r>
        <w:t xml:space="preserve">East State </w:t>
      </w:r>
      <w:r w:rsidRPr="00C743BC">
        <w:t xml:space="preserve">Street, </w:t>
      </w:r>
      <w:r>
        <w:t>7</w:t>
      </w:r>
      <w:r w:rsidRPr="00042E80">
        <w:rPr>
          <w:vertAlign w:val="superscript"/>
        </w:rPr>
        <w:t>th</w:t>
      </w:r>
      <w:r>
        <w:t xml:space="preserve"> Floor</w:t>
      </w:r>
      <w:r w:rsidRPr="00C743BC">
        <w:tab/>
      </w:r>
    </w:p>
    <w:p w:rsidR="00C743BC" w:rsidRPr="00C743BC" w:rsidP="005B07AE">
      <w:pPr>
        <w:ind w:left="4320"/>
      </w:pPr>
      <w:r w:rsidRPr="00C743BC">
        <w:t>Columbus, Ohio 43215</w:t>
      </w:r>
      <w:r>
        <w:t>-4213</w:t>
      </w:r>
    </w:p>
    <w:p w:rsidR="00C743BC" w:rsidP="005B07AE">
      <w:pPr>
        <w:ind w:left="4320"/>
      </w:pPr>
      <w:r w:rsidRPr="00C743BC">
        <w:t>Telephone [</w:t>
      </w:r>
      <w:r>
        <w:t>Etter</w:t>
      </w:r>
      <w:r w:rsidRPr="00C743BC">
        <w:t xml:space="preserve">]: </w:t>
      </w:r>
      <w:r>
        <w:t>(614) 466-7964</w:t>
      </w:r>
    </w:p>
    <w:p w:rsidR="00E8116C" w:rsidP="005B07AE">
      <w:pPr>
        <w:ind w:left="4320"/>
      </w:pPr>
      <w:r>
        <w:t>Telephone [</w:t>
      </w:r>
      <w:r>
        <w:t xml:space="preserve">Botschner </w:t>
      </w:r>
      <w:r>
        <w:t xml:space="preserve">O’Brien]: </w:t>
      </w:r>
    </w:p>
    <w:p w:rsidR="00104D9A" w:rsidRPr="00C743BC" w:rsidP="005B07AE">
      <w:pPr>
        <w:ind w:left="4320"/>
      </w:pPr>
      <w:r>
        <w:t>(614) 466-9575</w:t>
      </w:r>
    </w:p>
    <w:p w:rsidR="00E8116C" w:rsidP="005B07AE">
      <w:pPr>
        <w:ind w:left="4320"/>
      </w:pPr>
      <w:r>
        <w:fldChar w:fldCharType="begin"/>
      </w:r>
      <w:r>
        <w:instrText xml:space="preserve"> HYPERLINK "mailto:terry.etter@occ.ohio.gov" </w:instrText>
      </w:r>
      <w:r>
        <w:fldChar w:fldCharType="separate"/>
      </w:r>
      <w:r w:rsidRPr="00CE56A7">
        <w:rPr>
          <w:rStyle w:val="Hyperlink"/>
        </w:rPr>
        <w:t>terry.etter@occ.ohio.gov</w:t>
      </w:r>
      <w:r>
        <w:fldChar w:fldCharType="end"/>
      </w:r>
    </w:p>
    <w:p w:rsidR="005B07AE" w:rsidP="005B07AE">
      <w:pPr>
        <w:ind w:left="4320"/>
      </w:pPr>
      <w:r>
        <w:fldChar w:fldCharType="begin"/>
      </w:r>
      <w:r>
        <w:instrText xml:space="preserve"> HYPERLINK "mailto:amy.botschner.obrien@occ.ohio.gov" </w:instrText>
      </w:r>
      <w:r>
        <w:fldChar w:fldCharType="separate"/>
      </w:r>
      <w:r w:rsidRPr="00CE56A7" w:rsidR="00E8116C">
        <w:rPr>
          <w:rStyle w:val="Hyperlink"/>
        </w:rPr>
        <w:t>amy.botschner.obrien@occ.ohio.gov</w:t>
      </w:r>
      <w:r>
        <w:fldChar w:fldCharType="end"/>
      </w:r>
    </w:p>
    <w:p w:rsidR="00C743BC" w:rsidRPr="00BA7911" w:rsidP="005B07AE">
      <w:pPr>
        <w:ind w:left="4320"/>
      </w:pPr>
      <w:r w:rsidRPr="00BA7911">
        <w:t>(will accept service via email)</w:t>
      </w:r>
    </w:p>
    <w:p w:rsidR="00BA7911" w:rsidP="00C743BC">
      <w:pPr>
        <w:ind w:left="1440" w:firstLine="720"/>
        <w:rPr>
          <w:b/>
          <w:bCs/>
          <w:szCs w:val="24"/>
          <w:u w:val="single"/>
        </w:rPr>
        <w:sectPr w:rsidSect="00BA7911">
          <w:footerReference w:type="first" r:id="rId11"/>
          <w:pgSz w:w="12240" w:h="15840"/>
          <w:pgMar w:top="1440" w:right="1800" w:bottom="1440" w:left="1800" w:header="720" w:footer="720" w:gutter="0"/>
          <w:cols w:space="720"/>
          <w:titlePg/>
          <w:docGrid w:linePitch="65"/>
        </w:sectPr>
      </w:pPr>
    </w:p>
    <w:p w:rsidR="000F18EF" w:rsidRPr="000F18EF" w:rsidP="00C743BC">
      <w:pPr>
        <w:ind w:left="1440" w:firstLine="720"/>
        <w:rPr>
          <w:b/>
          <w:bCs/>
          <w:szCs w:val="24"/>
          <w:u w:val="single"/>
        </w:rPr>
      </w:pPr>
      <w:r w:rsidRPr="000F18EF">
        <w:rPr>
          <w:b/>
          <w:bCs/>
          <w:szCs w:val="24"/>
          <w:u w:val="single"/>
        </w:rPr>
        <w:t>CERTIFICATE OF SERVICE</w:t>
      </w:r>
    </w:p>
    <w:p w:rsidR="000F18EF" w:rsidRPr="000F18EF" w:rsidP="000F18EF">
      <w:pPr>
        <w:spacing w:line="480" w:lineRule="atLeast"/>
        <w:ind w:firstLine="720"/>
        <w:rPr>
          <w:szCs w:val="24"/>
        </w:rPr>
      </w:pPr>
      <w:r w:rsidRPr="000F18EF">
        <w:rPr>
          <w:szCs w:val="24"/>
        </w:rPr>
        <w:t xml:space="preserve">I hereby certify that a copy of </w:t>
      </w:r>
      <w:r w:rsidR="002E5D41">
        <w:rPr>
          <w:szCs w:val="24"/>
        </w:rPr>
        <w:t>this Initial Brief</w:t>
      </w:r>
      <w:r w:rsidRPr="000F18EF">
        <w:rPr>
          <w:szCs w:val="24"/>
        </w:rPr>
        <w:t xml:space="preserve"> was served on the persons stated below via electronic transmission, this </w:t>
      </w:r>
      <w:r w:rsidR="002E5D41">
        <w:rPr>
          <w:szCs w:val="24"/>
        </w:rPr>
        <w:t>30</w:t>
      </w:r>
      <w:r w:rsidRPr="002E5D41" w:rsidR="002E5D41">
        <w:rPr>
          <w:szCs w:val="24"/>
          <w:vertAlign w:val="superscript"/>
        </w:rPr>
        <w:t>th</w:t>
      </w:r>
      <w:r w:rsidR="002E5D41">
        <w:rPr>
          <w:szCs w:val="24"/>
        </w:rPr>
        <w:t xml:space="preserve"> </w:t>
      </w:r>
      <w:r>
        <w:rPr>
          <w:szCs w:val="24"/>
        </w:rPr>
        <w:t xml:space="preserve">day of </w:t>
      </w:r>
      <w:r w:rsidR="002E5D41">
        <w:rPr>
          <w:szCs w:val="24"/>
        </w:rPr>
        <w:t xml:space="preserve">May </w:t>
      </w:r>
      <w:r w:rsidRPr="000F18EF">
        <w:rPr>
          <w:szCs w:val="24"/>
        </w:rPr>
        <w:t>201</w:t>
      </w:r>
      <w:r w:rsidR="002E5D41">
        <w:rPr>
          <w:szCs w:val="24"/>
        </w:rPr>
        <w:t>9</w:t>
      </w:r>
      <w:r w:rsidRPr="000F18EF">
        <w:rPr>
          <w:szCs w:val="24"/>
        </w:rPr>
        <w:t>.</w:t>
      </w:r>
    </w:p>
    <w:p w:rsidR="000F18EF" w:rsidRPr="000F18EF" w:rsidP="000F18EF">
      <w:pPr>
        <w:spacing w:line="480" w:lineRule="atLeast"/>
        <w:rPr>
          <w:szCs w:val="24"/>
        </w:rPr>
      </w:pPr>
    </w:p>
    <w:p w:rsidR="000F18EF" w:rsidRPr="000F18EF" w:rsidP="000F18EF">
      <w:pPr>
        <w:tabs>
          <w:tab w:val="left" w:pos="4320"/>
        </w:tabs>
        <w:rPr>
          <w:szCs w:val="24"/>
          <w:u w:val="single"/>
        </w:rPr>
      </w:pPr>
      <w:r w:rsidRPr="000F18EF">
        <w:rPr>
          <w:szCs w:val="24"/>
        </w:rPr>
        <w:tab/>
      </w:r>
      <w:r w:rsidRPr="000F18EF">
        <w:rPr>
          <w:i/>
          <w:szCs w:val="24"/>
          <w:u w:val="single"/>
        </w:rPr>
        <w:t>/s/</w:t>
      </w:r>
      <w:r w:rsidRPr="000F18EF">
        <w:rPr>
          <w:szCs w:val="24"/>
          <w:u w:val="single"/>
        </w:rPr>
        <w:t> </w:t>
      </w:r>
      <w:r w:rsidR="004C17E5">
        <w:rPr>
          <w:i/>
          <w:szCs w:val="24"/>
          <w:u w:val="single"/>
        </w:rPr>
        <w:t>Terry L. Etter</w:t>
      </w:r>
      <w:r w:rsidR="004C17E5">
        <w:rPr>
          <w:i/>
          <w:szCs w:val="24"/>
          <w:u w:val="single"/>
        </w:rPr>
        <w:tab/>
      </w:r>
      <w:r>
        <w:rPr>
          <w:szCs w:val="24"/>
          <w:u w:val="single"/>
        </w:rPr>
        <w:t>     </w:t>
      </w:r>
      <w:r w:rsidRPr="000F18EF">
        <w:rPr>
          <w:szCs w:val="24"/>
          <w:u w:val="single"/>
        </w:rPr>
        <w:t> </w:t>
      </w:r>
    </w:p>
    <w:p w:rsidR="00C743BC" w:rsidP="000F18EF">
      <w:pPr>
        <w:tabs>
          <w:tab w:val="left" w:pos="4320"/>
        </w:tabs>
        <w:ind w:left="4320"/>
        <w:rPr>
          <w:szCs w:val="24"/>
        </w:rPr>
      </w:pPr>
      <w:r>
        <w:rPr>
          <w:szCs w:val="24"/>
        </w:rPr>
        <w:t>Terry L. Etter</w:t>
      </w:r>
    </w:p>
    <w:p w:rsidR="000F18EF" w:rsidRPr="000F18EF" w:rsidP="000F18EF">
      <w:pPr>
        <w:tabs>
          <w:tab w:val="left" w:pos="4320"/>
        </w:tabs>
        <w:ind w:left="4320"/>
        <w:rPr>
          <w:szCs w:val="24"/>
        </w:rPr>
      </w:pPr>
      <w:r w:rsidRPr="000F18EF">
        <w:rPr>
          <w:szCs w:val="24"/>
        </w:rPr>
        <w:t>Assistant Consumers’ Counsel</w:t>
      </w:r>
    </w:p>
    <w:p w:rsidR="000F18EF" w:rsidRPr="000F18EF" w:rsidP="000F18EF"/>
    <w:p w:rsidR="000F18EF" w:rsidRPr="000F18EF" w:rsidP="000F18EF">
      <w:pPr>
        <w:rPr>
          <w:szCs w:val="24"/>
        </w:rPr>
      </w:pPr>
    </w:p>
    <w:p w:rsidR="000F18EF" w:rsidRPr="000F18EF" w:rsidP="000F18EF">
      <w:pPr>
        <w:jc w:val="center"/>
        <w:rPr>
          <w:b/>
          <w:szCs w:val="24"/>
          <w:u w:val="single"/>
        </w:rPr>
      </w:pPr>
      <w:r w:rsidRPr="000F18EF">
        <w:rPr>
          <w:b/>
          <w:szCs w:val="24"/>
          <w:u w:val="single"/>
        </w:rPr>
        <w:t>SERVICE LIST</w:t>
      </w:r>
    </w:p>
    <w:p w:rsidR="000F18EF" w:rsidRPr="000F18EF" w:rsidP="000F18EF">
      <w:pPr>
        <w:jc w:val="both"/>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7B675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AE5E11" w:rsidR="004C17E5">
              <w:rPr>
                <w:rStyle w:val="Hyperlink"/>
                <w:color w:val="0000FF"/>
                <w:sz w:val="24"/>
                <w:szCs w:val="24"/>
                <w:u w:val="single"/>
                <w:lang w:val="en-US" w:eastAsia="en-US" w:bidi="ar-SA"/>
              </w:rPr>
              <w:t>john.jones@ohioattorneygeneral.gov</w:t>
            </w:r>
            <w:r>
              <w:fldChar w:fldCharType="end"/>
            </w:r>
            <w:r w:rsidR="004C17E5">
              <w:rPr>
                <w:sz w:val="24"/>
                <w:szCs w:val="24"/>
                <w:lang w:val="en-US" w:eastAsia="en-US" w:bidi="ar-SA"/>
              </w:rPr>
              <w:t xml:space="preserve"> </w:t>
            </w:r>
          </w:p>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AE5E11" w:rsidR="004C17E5">
              <w:rPr>
                <w:rStyle w:val="Hyperlink"/>
                <w:color w:val="0000FF"/>
                <w:sz w:val="24"/>
                <w:szCs w:val="24"/>
                <w:u w:val="single"/>
                <w:lang w:val="en-US" w:eastAsia="en-US" w:bidi="ar-SA"/>
              </w:rPr>
              <w:t>cmooney@ohiopartners.org</w:t>
            </w:r>
            <w:r>
              <w:fldChar w:fldCharType="end"/>
            </w:r>
            <w:r w:rsidR="004C17E5">
              <w:rPr>
                <w:sz w:val="24"/>
                <w:szCs w:val="24"/>
                <w:lang w:val="en-US" w:eastAsia="en-US" w:bidi="ar-SA"/>
              </w:rPr>
              <w:t xml:space="preserve"> </w:t>
            </w:r>
          </w:p>
          <w:p w:rsidR="007B6756" w:rsidP="007B6756">
            <w:pPr>
              <w:rPr>
                <w:rStyle w:val="DefaultParagraphFont"/>
                <w:sz w:val="24"/>
                <w:szCs w:val="24"/>
                <w:lang w:val="en-US" w:eastAsia="en-US" w:bidi="ar-SA"/>
              </w:rPr>
            </w:pPr>
          </w:p>
          <w:p w:rsidR="007B6756" w:rsidP="007B6756">
            <w:pPr>
              <w:rPr>
                <w:rStyle w:val="DefaultParagraphFont"/>
                <w:sz w:val="24"/>
                <w:szCs w:val="24"/>
                <w:lang w:val="en-US" w:eastAsia="en-US" w:bidi="ar-SA"/>
              </w:rPr>
            </w:pPr>
            <w:r>
              <w:rPr>
                <w:sz w:val="24"/>
                <w:szCs w:val="24"/>
                <w:lang w:val="en-US" w:eastAsia="en-US" w:bidi="ar-SA"/>
              </w:rPr>
              <w:t>Attorney Examiner:</w:t>
            </w:r>
          </w:p>
          <w:p w:rsidR="00E8116C" w:rsidP="007B6756">
            <w:pPr>
              <w:rPr>
                <w:rStyle w:val="DefaultParagraphFont"/>
                <w:sz w:val="24"/>
                <w:szCs w:val="24"/>
                <w:lang w:val="en-US" w:eastAsia="en-US" w:bidi="ar-SA"/>
              </w:rPr>
            </w:pPr>
          </w:p>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"mailto:sarah.parrot@puco.ohio.gov" </w:instrText>
            </w:r>
            <w:r>
              <w:fldChar w:fldCharType="separate"/>
            </w:r>
            <w:r w:rsidRPr="00AE5E11" w:rsidR="004C17E5">
              <w:rPr>
                <w:rStyle w:val="Hyperlink"/>
                <w:color w:val="0000FF"/>
                <w:sz w:val="24"/>
                <w:szCs w:val="24"/>
                <w:u w:val="single"/>
                <w:lang w:val="en-US" w:eastAsia="en-US" w:bidi="ar-SA"/>
              </w:rPr>
              <w:t>sarah.parrot@puco.ohio.gov</w:t>
            </w:r>
            <w:r>
              <w:fldChar w:fldCharType="end"/>
            </w:r>
            <w:r w:rsidR="004C17E5">
              <w:rPr>
                <w:sz w:val="24"/>
                <w:szCs w:val="24"/>
                <w:lang w:val="en-US" w:eastAsia="en-US" w:bidi="ar-SA"/>
              </w:rPr>
              <w:t xml:space="preserve"> </w:t>
            </w:r>
          </w:p>
        </w:tc>
        <w:tc>
          <w:tcPr>
            <w:tcW w:w="4315" w:type="dxa"/>
          </w:tcPr>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AE5E11" w:rsidR="004C17E5">
              <w:rPr>
                <w:rStyle w:val="Hyperlink"/>
                <w:color w:val="0000FF"/>
                <w:sz w:val="24"/>
                <w:szCs w:val="24"/>
                <w:u w:val="single"/>
                <w:lang w:val="en-US" w:eastAsia="en-US" w:bidi="ar-SA"/>
              </w:rPr>
              <w:t>Rocco.dascenzo@duke-energy.com</w:t>
            </w:r>
            <w:r>
              <w:fldChar w:fldCharType="end"/>
            </w:r>
            <w:r w:rsidR="004C17E5">
              <w:rPr>
                <w:sz w:val="24"/>
                <w:szCs w:val="24"/>
                <w:lang w:val="en-US" w:eastAsia="en-US" w:bidi="ar-SA"/>
              </w:rPr>
              <w:t xml:space="preserve"> </w:t>
            </w:r>
            <w:r w:rsidR="005853C2">
              <w:rPr>
                <w:sz w:val="24"/>
                <w:szCs w:val="24"/>
                <w:lang w:val="en-US" w:eastAsia="en-US" w:bidi="ar-SA"/>
              </w:rPr>
              <w:t xml:space="preserve"> </w:t>
            </w:r>
          </w:p>
          <w:p w:rsidR="007B6756" w:rsidP="007B6756">
            <w:pPr>
              <w:rPr>
                <w:rStyle w:val="DefaultParagraphFont"/>
                <w:sz w:val="24"/>
                <w:szCs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AE5E11" w:rsidR="004C17E5">
              <w:rPr>
                <w:rStyle w:val="Hyperlink"/>
                <w:color w:val="0000FF"/>
                <w:sz w:val="24"/>
                <w:szCs w:val="24"/>
                <w:u w:val="single"/>
                <w:lang w:val="en-US" w:eastAsia="en-US" w:bidi="ar-SA"/>
              </w:rPr>
              <w:t>Elizabeth.watts@duke-energy.com</w:t>
            </w:r>
            <w:r>
              <w:fldChar w:fldCharType="end"/>
            </w:r>
            <w:r w:rsidR="004C17E5">
              <w:rPr>
                <w:sz w:val="24"/>
                <w:szCs w:val="24"/>
                <w:lang w:val="en-US" w:eastAsia="en-US" w:bidi="ar-SA"/>
              </w:rPr>
              <w:t xml:space="preserve"> </w:t>
            </w:r>
            <w:r w:rsidR="005853C2">
              <w:rPr>
                <w:sz w:val="24"/>
                <w:szCs w:val="24"/>
                <w:lang w:val="en-US" w:eastAsia="en-US" w:bidi="ar-SA"/>
              </w:rPr>
              <w:t xml:space="preserve"> </w:t>
            </w:r>
          </w:p>
        </w:tc>
      </w:tr>
    </w:tbl>
    <w:p w:rsidR="000F18EF" w:rsidRPr="000F18EF" w:rsidP="003547B0">
      <w:pPr>
        <w:spacing w:line="480" w:lineRule="auto"/>
        <w:rPr>
          <w:szCs w:val="24"/>
        </w:rPr>
      </w:pPr>
    </w:p>
    <w:sectPr>
      <w:headerReference w:type="even" r:id="rId12"/>
      <w:head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858106"/>
      <w:docPartObj>
        <w:docPartGallery w:val="Page Numbers (Bottom of Page)"/>
        <w:docPartUnique/>
      </w:docPartObj>
    </w:sdtPr>
    <w:sdtEndPr>
      <w:rPr>
        <w:noProof/>
        <w:sz w:val="24"/>
        <w:szCs w:val="24"/>
      </w:rPr>
    </w:sdtEndPr>
    <w:sdtContent>
      <w:p w:rsidR="00151A31" w:rsidRPr="00E24358">
        <w:pPr>
          <w:pStyle w:val="Footer"/>
          <w:jc w:val="center"/>
          <w:rPr>
            <w:sz w:val="24"/>
            <w:szCs w:val="24"/>
          </w:rPr>
        </w:pPr>
        <w:r w:rsidRPr="00E24358">
          <w:rPr>
            <w:sz w:val="24"/>
            <w:szCs w:val="24"/>
          </w:rPr>
          <w:fldChar w:fldCharType="begin"/>
        </w:r>
        <w:r w:rsidRPr="00E24358">
          <w:rPr>
            <w:sz w:val="24"/>
            <w:szCs w:val="24"/>
          </w:rPr>
          <w:instrText xml:space="preserve"> PAGE   \* MERGEFORMAT </w:instrText>
        </w:r>
        <w:r w:rsidRPr="00E24358">
          <w:rPr>
            <w:sz w:val="24"/>
            <w:szCs w:val="24"/>
          </w:rPr>
          <w:fldChar w:fldCharType="separate"/>
        </w:r>
        <w:r w:rsidRPr="00E24358">
          <w:rPr>
            <w:noProof/>
            <w:sz w:val="24"/>
            <w:szCs w:val="24"/>
          </w:rPr>
          <w:t>2</w:t>
        </w:r>
        <w:r w:rsidRPr="00E24358">
          <w:rPr>
            <w:noProof/>
            <w:sz w:val="24"/>
            <w:szCs w:val="24"/>
          </w:rPr>
          <w:fldChar w:fldCharType="end"/>
        </w:r>
      </w:p>
    </w:sdtContent>
  </w:sdt>
  <w:p w:rsidR="00151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2380817"/>
      <w:docPartObj>
        <w:docPartGallery w:val="Page Numbers (Bottom of Page)"/>
        <w:docPartUnique/>
      </w:docPartObj>
    </w:sdtPr>
    <w:sdtEndPr>
      <w:rPr>
        <w:noProof/>
      </w:rPr>
    </w:sdtEndPr>
    <w:sdtContent>
      <w:p w:rsidR="00E8116C">
        <w:pPr>
          <w:pStyle w:val="Footer"/>
          <w:jc w:val="center"/>
        </w:pPr>
      </w:p>
    </w:sdtContent>
  </w:sdt>
  <w:p w:rsidR="00BA7911" w:rsidRPr="00BA7911">
    <w:pPr>
      <w:pStyle w:val="Foote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5994557"/>
      <w:docPartObj>
        <w:docPartGallery w:val="Page Numbers (Bottom of Page)"/>
        <w:docPartUnique/>
      </w:docPartObj>
    </w:sdtPr>
    <w:sdtEndPr>
      <w:rPr>
        <w:noProof/>
        <w:sz w:val="24"/>
        <w:szCs w:val="24"/>
      </w:rPr>
    </w:sdtEndPr>
    <w:sdtContent>
      <w:p w:rsidR="00E8116C" w:rsidRPr="00E8116C">
        <w:pPr>
          <w:pStyle w:val="Footer"/>
          <w:jc w:val="center"/>
          <w:rPr>
            <w:sz w:val="24"/>
            <w:szCs w:val="24"/>
          </w:rPr>
        </w:pPr>
        <w:r w:rsidRPr="00E8116C">
          <w:rPr>
            <w:sz w:val="24"/>
            <w:szCs w:val="24"/>
          </w:rPr>
          <w:fldChar w:fldCharType="begin"/>
        </w:r>
        <w:r w:rsidRPr="00E8116C">
          <w:rPr>
            <w:sz w:val="24"/>
            <w:szCs w:val="24"/>
          </w:rPr>
          <w:instrText xml:space="preserve"> PAGE   \* MERGEFORMAT </w:instrText>
        </w:r>
        <w:r w:rsidRPr="00E8116C">
          <w:rPr>
            <w:sz w:val="24"/>
            <w:szCs w:val="24"/>
          </w:rPr>
          <w:fldChar w:fldCharType="separate"/>
        </w:r>
        <w:r w:rsidRPr="00E8116C">
          <w:rPr>
            <w:noProof/>
            <w:sz w:val="24"/>
            <w:szCs w:val="24"/>
          </w:rPr>
          <w:t>2</w:t>
        </w:r>
        <w:r w:rsidRPr="00E8116C">
          <w:rPr>
            <w:noProof/>
            <w:sz w:val="24"/>
            <w:szCs w:val="24"/>
          </w:rPr>
          <w:fldChar w:fldCharType="end"/>
        </w:r>
      </w:p>
    </w:sdtContent>
  </w:sdt>
  <w:p w:rsidR="00E8116C" w:rsidRPr="00BA7911">
    <w:pPr>
      <w:pStyle w:val="Footer"/>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7911" w:rsidRPr="00BA7911">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38C8">
      <w:r>
        <w:separator/>
      </w:r>
    </w:p>
  </w:footnote>
  <w:footnote w:type="continuationSeparator" w:id="1">
    <w:p w:rsidR="003838C8">
      <w:r>
        <w:continuationSeparator/>
      </w:r>
    </w:p>
  </w:footnote>
  <w:footnote w:type="continuationNotice" w:id="2">
    <w:p w:rsidR="003838C8"/>
  </w:footnote>
  <w:footnote w:id="3">
    <w:p w:rsidR="001B599A" w:rsidRPr="00BA7911" w:rsidP="001B599A">
      <w:pPr>
        <w:pStyle w:val="FootnoteText"/>
      </w:pPr>
      <w:r w:rsidRPr="00BA7911">
        <w:rPr>
          <w:rStyle w:val="FootnoteReference"/>
        </w:rPr>
        <w:footnoteRef/>
      </w:r>
      <w:r w:rsidRPr="00BA7911">
        <w:t xml:space="preserve"> </w:t>
      </w:r>
      <w:r w:rsidR="00C77E72">
        <w:t>Duke Exhibit 2 (</w:t>
      </w:r>
      <w:r w:rsidRPr="00BA7911">
        <w:t xml:space="preserve">Lawler </w:t>
      </w:r>
      <w:r w:rsidR="00C77E72">
        <w:t>Direct T</w:t>
      </w:r>
      <w:r w:rsidRPr="00BA7911">
        <w:t>estimony</w:t>
      </w:r>
      <w:r w:rsidR="00C77E72">
        <w:t>)</w:t>
      </w:r>
      <w:r w:rsidRPr="00BA7911">
        <w:t xml:space="preserve"> at Att. SEL-1, page 21.</w:t>
      </w:r>
    </w:p>
  </w:footnote>
  <w:footnote w:id="4">
    <w:p w:rsidR="005C1605" w:rsidRPr="005C1605">
      <w:pPr>
        <w:pStyle w:val="FootnoteText"/>
      </w:pPr>
      <w:r>
        <w:rPr>
          <w:rStyle w:val="FootnoteReference"/>
        </w:rPr>
        <w:footnoteRef/>
      </w:r>
      <w:r>
        <w:t xml:space="preserve"> </w:t>
      </w:r>
      <w:r>
        <w:rPr>
          <w:i/>
        </w:rPr>
        <w:t>See</w:t>
      </w:r>
      <w:r>
        <w:t xml:space="preserve"> Duke Exhibit 4 (Lawler Supplemental Testimony) at 1.</w:t>
      </w:r>
    </w:p>
  </w:footnote>
  <w:footnote w:id="5">
    <w:p w:rsidR="005C1605" w:rsidRPr="005C1605">
      <w:pPr>
        <w:pStyle w:val="FootnoteText"/>
      </w:pPr>
      <w:r>
        <w:rPr>
          <w:rStyle w:val="FootnoteReference"/>
        </w:rPr>
        <w:footnoteRef/>
      </w:r>
      <w:r>
        <w:t xml:space="preserve"> </w:t>
      </w:r>
      <w:r>
        <w:rPr>
          <w:i/>
        </w:rPr>
        <w:t xml:space="preserve">See </w:t>
      </w:r>
      <w:r>
        <w:t>Duke Exhibit 2 (</w:t>
      </w:r>
      <w:r w:rsidRPr="00BA7911">
        <w:t xml:space="preserve">Lawler </w:t>
      </w:r>
      <w:r>
        <w:t>Direct T</w:t>
      </w:r>
      <w:r w:rsidRPr="00BA7911">
        <w:t>estimony</w:t>
      </w:r>
      <w:r>
        <w:t>) at 5-6.</w:t>
      </w:r>
    </w:p>
  </w:footnote>
  <w:footnote w:id="6">
    <w:p w:rsidR="00C77E72" w:rsidRPr="00C77E72">
      <w:pPr>
        <w:pStyle w:val="FootnoteText"/>
        <w:rPr>
          <w:i/>
        </w:rPr>
      </w:pPr>
      <w:r>
        <w:rPr>
          <w:rStyle w:val="FootnoteReference"/>
        </w:rPr>
        <w:footnoteRef/>
      </w:r>
      <w:r>
        <w:t xml:space="preserve"> In 2013, the credit was $1.37 per month.  </w:t>
      </w:r>
      <w:r>
        <w:rPr>
          <w:i/>
        </w:rPr>
        <w:t xml:space="preserve">See </w:t>
      </w:r>
      <w:r w:rsidRPr="00C77E72">
        <w:rPr>
          <w:i/>
        </w:rPr>
        <w:t>In the Matter of the Application of Duke Energy Ohio, Inc., to Adjust Rider DR-IM and Rider AU for 2011 SmartGrid Costs</w:t>
      </w:r>
      <w:r>
        <w:t>, Case No. 12-1811-GE-RDR, Opinion and Order (March 27, 2013) at 5.</w:t>
      </w:r>
    </w:p>
  </w:footnote>
  <w:footnote w:id="7">
    <w:p w:rsidR="00941A42" w:rsidRPr="00941A42">
      <w:pPr>
        <w:pStyle w:val="FootnoteText"/>
      </w:pPr>
      <w:r>
        <w:rPr>
          <w:rStyle w:val="FootnoteReference"/>
        </w:rPr>
        <w:footnoteRef/>
      </w:r>
      <w:r>
        <w:t xml:space="preserve"> </w:t>
      </w:r>
      <w:r>
        <w:rPr>
          <w:i/>
        </w:rPr>
        <w:t>See</w:t>
      </w:r>
      <w:r>
        <w:t xml:space="preserve"> Tr. at 56.</w:t>
      </w:r>
    </w:p>
  </w:footnote>
  <w:footnote w:id="8">
    <w:p w:rsidR="00350A8D">
      <w:pPr>
        <w:pStyle w:val="FootnoteText"/>
      </w:pPr>
      <w:r>
        <w:rPr>
          <w:rStyle w:val="FootnoteReference"/>
        </w:rPr>
        <w:footnoteRef/>
      </w:r>
      <w:r>
        <w:t xml:space="preserve"> Duke Motion to Strike OCC’s Testimony, Motion to Continue Date for Filing Testimony and Hearing and Request for Expedited Treatment (November 28, 2018).</w:t>
      </w:r>
    </w:p>
  </w:footnote>
  <w:footnote w:id="9">
    <w:p w:rsidR="00350A8D" w:rsidRPr="00350A8D">
      <w:pPr>
        <w:pStyle w:val="FootnoteText"/>
      </w:pPr>
      <w:r>
        <w:rPr>
          <w:rStyle w:val="FootnoteReference"/>
        </w:rPr>
        <w:footnoteRef/>
      </w:r>
      <w:r>
        <w:t xml:space="preserve"> </w:t>
      </w:r>
      <w:r>
        <w:rPr>
          <w:i/>
        </w:rPr>
        <w:t>Id.</w:t>
      </w:r>
      <w:r>
        <w:t xml:space="preserve">  The PUCO </w:t>
      </w:r>
      <w:r w:rsidR="00857624">
        <w:t>suspended the procedural schedule in an Entry issued on December 11, 2018.</w:t>
      </w:r>
      <w:r>
        <w:t xml:space="preserve"> </w:t>
      </w:r>
    </w:p>
  </w:footnote>
  <w:footnote w:id="10">
    <w:p w:rsidR="00857624">
      <w:pPr>
        <w:pStyle w:val="FootnoteText"/>
      </w:pPr>
      <w:r>
        <w:rPr>
          <w:rStyle w:val="FootnoteReference"/>
        </w:rPr>
        <w:footnoteRef/>
      </w:r>
      <w:r>
        <w:t xml:space="preserve"> Entry (March 6, 2019).</w:t>
      </w:r>
    </w:p>
  </w:footnote>
  <w:footnote w:id="11">
    <w:p w:rsidR="00857624" w:rsidRPr="00857624">
      <w:pPr>
        <w:pStyle w:val="FootnoteText"/>
      </w:pPr>
      <w:r>
        <w:rPr>
          <w:rStyle w:val="FootnoteReference"/>
        </w:rPr>
        <w:footnoteRef/>
      </w:r>
      <w:r>
        <w:t xml:space="preserve"> </w:t>
      </w:r>
      <w:r>
        <w:rPr>
          <w:i/>
        </w:rPr>
        <w:t>See</w:t>
      </w:r>
      <w:r>
        <w:t xml:space="preserve"> Duke Exhibit 4 (Lawler Supplemental Testimony) at 3, 5-6.</w:t>
      </w:r>
    </w:p>
  </w:footnote>
  <w:footnote w:id="12">
    <w:p w:rsidR="00225124" w:rsidRPr="00941A42" w:rsidP="00225124">
      <w:pPr>
        <w:pStyle w:val="FootnoteText"/>
      </w:pPr>
      <w:r>
        <w:rPr>
          <w:rStyle w:val="FootnoteReference"/>
        </w:rPr>
        <w:footnoteRef/>
      </w:r>
      <w:r>
        <w:t xml:space="preserve"> </w:t>
      </w:r>
      <w:r>
        <w:rPr>
          <w:i/>
        </w:rPr>
        <w:t>See</w:t>
      </w:r>
      <w:r>
        <w:t xml:space="preserve"> Tr. at 56.</w:t>
      </w:r>
    </w:p>
  </w:footnote>
  <w:footnote w:id="13">
    <w:p w:rsidR="00303A1C" w:rsidP="00303A1C">
      <w:pPr>
        <w:pStyle w:val="FootnoteText"/>
      </w:pPr>
      <w:r>
        <w:rPr>
          <w:rStyle w:val="FootnoteReference"/>
        </w:rPr>
        <w:footnoteRef/>
      </w:r>
      <w:r>
        <w:t xml:space="preserve"> OCC Exhibit 5 (Williams Direct Testimony) at 7.</w:t>
      </w:r>
    </w:p>
  </w:footnote>
  <w:footnote w:id="14">
    <w:p w:rsidR="00303A1C" w:rsidP="00303A1C">
      <w:pPr>
        <w:pStyle w:val="FootnoteText"/>
      </w:pPr>
      <w:r>
        <w:rPr>
          <w:rStyle w:val="FootnoteReference"/>
        </w:rPr>
        <w:footnoteRef/>
      </w:r>
      <w:r>
        <w:t xml:space="preserve"> </w:t>
      </w:r>
      <w:r>
        <w:rPr>
          <w:i/>
        </w:rPr>
        <w:t>See id</w:t>
      </w:r>
      <w:r>
        <w:t>.</w:t>
      </w:r>
    </w:p>
  </w:footnote>
  <w:footnote w:id="15">
    <w:p w:rsidR="00303A1C" w:rsidP="00303A1C">
      <w:pPr>
        <w:pStyle w:val="FootnoteText"/>
      </w:pPr>
      <w:r>
        <w:rPr>
          <w:rStyle w:val="FootnoteReference"/>
        </w:rPr>
        <w:footnoteRef/>
      </w:r>
      <w:r>
        <w:t xml:space="preserve"> </w:t>
      </w:r>
      <w:r>
        <w:rPr>
          <w:i/>
        </w:rPr>
        <w:t>Id.</w:t>
      </w:r>
      <w:r>
        <w:t>,</w:t>
      </w:r>
      <w:r>
        <w:rPr>
          <w:i/>
        </w:rPr>
        <w:t xml:space="preserve"> </w:t>
      </w:r>
      <w:r>
        <w:t>citing Lawler Direct Testimony, Attachment SEL-1, page 20.</w:t>
      </w:r>
    </w:p>
  </w:footnote>
  <w:footnote w:id="16">
    <w:p w:rsidR="002E5D41" w:rsidRPr="002E5D41">
      <w:pPr>
        <w:pStyle w:val="FootnoteText"/>
      </w:pPr>
      <w:r>
        <w:rPr>
          <w:rStyle w:val="FootnoteReference"/>
        </w:rPr>
        <w:footnoteRef/>
      </w:r>
      <w:r>
        <w:t xml:space="preserve"> </w:t>
      </w:r>
      <w:r>
        <w:rPr>
          <w:i/>
        </w:rPr>
        <w:t>See</w:t>
      </w:r>
      <w:r>
        <w:t xml:space="preserve"> Duke Exhibit 2 (Lawler Direct Testimony) at 5.</w:t>
      </w:r>
    </w:p>
  </w:footnote>
  <w:footnote w:id="17">
    <w:p w:rsidR="00030881">
      <w:pPr>
        <w:pStyle w:val="FootnoteText"/>
      </w:pPr>
      <w:r>
        <w:rPr>
          <w:rStyle w:val="FootnoteReference"/>
        </w:rPr>
        <w:footnoteRef/>
      </w:r>
      <w:r>
        <w:t xml:space="preserve"> </w:t>
      </w:r>
      <w:r w:rsidRPr="00832578">
        <w:rPr>
          <w:i/>
        </w:rPr>
        <w:t>In the Matter of the Application of Duke Energy Ohio, Inc. to Adjust and Set Its Gas and Electric Recovery Rate for 2010 SmartGrid Costs Under Riders AU and Rider DR-IM and Mid-deployment Review of AMI/SmartGrid Program</w:t>
      </w:r>
      <w:r w:rsidR="00406E17">
        <w:t>,</w:t>
      </w:r>
      <w:r>
        <w:t xml:space="preserve"> Case</w:t>
      </w:r>
      <w:r w:rsidR="00406E17">
        <w:t xml:space="preserve"> No.</w:t>
      </w:r>
      <w:r>
        <w:t xml:space="preserve"> 10-2326-GE-RDR.</w:t>
      </w:r>
    </w:p>
  </w:footnote>
  <w:footnote w:id="18">
    <w:p w:rsidR="004B2F8B">
      <w:pPr>
        <w:pStyle w:val="FootnoteText"/>
      </w:pPr>
      <w:r>
        <w:rPr>
          <w:rStyle w:val="FootnoteReference"/>
        </w:rPr>
        <w:footnoteRef/>
      </w:r>
      <w:r>
        <w:t xml:space="preserve"> </w:t>
      </w:r>
      <w:r w:rsidR="00406E17">
        <w:t>Tr. at 45.</w:t>
      </w:r>
    </w:p>
  </w:footnote>
  <w:footnote w:id="19">
    <w:p w:rsidR="00406E17">
      <w:pPr>
        <w:pStyle w:val="FootnoteText"/>
      </w:pPr>
      <w:r>
        <w:rPr>
          <w:rStyle w:val="FootnoteReference"/>
        </w:rPr>
        <w:footnoteRef/>
      </w:r>
      <w:r>
        <w:t xml:space="preserve"> </w:t>
      </w:r>
      <w:r w:rsidR="00C5478A">
        <w:t xml:space="preserve">In the electric case, smart grid expenses were incorporated into base rates and the electric smart grid rider (Rider DR-IM) was eliminated.  </w:t>
      </w:r>
      <w:r>
        <w:t>Case No. 17-32-EL-AIR, Order (</w:t>
      </w:r>
      <w:r w:rsidR="002463FE">
        <w:t>December 19, 2018), ¶112.</w:t>
      </w:r>
    </w:p>
  </w:footnote>
  <w:footnote w:id="20">
    <w:p w:rsidR="00250EE8">
      <w:pPr>
        <w:pStyle w:val="FootnoteText"/>
      </w:pPr>
      <w:r>
        <w:rPr>
          <w:rStyle w:val="FootnoteReference"/>
        </w:rPr>
        <w:footnoteRef/>
      </w:r>
      <w:r>
        <w:t xml:space="preserve"> OCC Exhibit 5 (Williams Direct Testimony) at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797268B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D89C36"/>
    <w:lvl w:ilvl="0">
      <w:start w:val="1"/>
      <w:numFmt w:val="decimal"/>
      <w:lvlText w:val="%1."/>
      <w:lvlJc w:val="left"/>
      <w:pPr>
        <w:tabs>
          <w:tab w:val="num" w:pos="1800"/>
        </w:tabs>
        <w:ind w:left="1800" w:hanging="360"/>
      </w:pPr>
    </w:lvl>
  </w:abstractNum>
  <w:abstractNum w:abstractNumId="2">
    <w:nsid w:val="FFFFFF7D"/>
    <w:multiLevelType w:val="singleLevel"/>
    <w:tmpl w:val="DBCA5222"/>
    <w:lvl w:ilvl="0">
      <w:start w:val="1"/>
      <w:numFmt w:val="decimal"/>
      <w:lvlText w:val="%1."/>
      <w:lvlJc w:val="left"/>
      <w:pPr>
        <w:tabs>
          <w:tab w:val="num" w:pos="1440"/>
        </w:tabs>
        <w:ind w:left="1440" w:hanging="360"/>
      </w:pPr>
    </w:lvl>
  </w:abstractNum>
  <w:abstractNum w:abstractNumId="3">
    <w:nsid w:val="FFFFFF7E"/>
    <w:multiLevelType w:val="singleLevel"/>
    <w:tmpl w:val="647C444E"/>
    <w:lvl w:ilvl="0">
      <w:start w:val="1"/>
      <w:numFmt w:val="decimal"/>
      <w:lvlText w:val="%1."/>
      <w:lvlJc w:val="left"/>
      <w:pPr>
        <w:tabs>
          <w:tab w:val="num" w:pos="1080"/>
        </w:tabs>
        <w:ind w:left="1080" w:hanging="360"/>
      </w:pPr>
    </w:lvl>
  </w:abstractNum>
  <w:abstractNum w:abstractNumId="4">
    <w:nsid w:val="FFFFFF7F"/>
    <w:multiLevelType w:val="singleLevel"/>
    <w:tmpl w:val="9DF68950"/>
    <w:lvl w:ilvl="0">
      <w:start w:val="1"/>
      <w:numFmt w:val="decimal"/>
      <w:lvlText w:val="%1."/>
      <w:lvlJc w:val="left"/>
      <w:pPr>
        <w:tabs>
          <w:tab w:val="num" w:pos="720"/>
        </w:tabs>
        <w:ind w:left="720" w:hanging="360"/>
      </w:pPr>
    </w:lvl>
  </w:abstractNum>
  <w:abstractNum w:abstractNumId="5">
    <w:nsid w:val="FFFFFF80"/>
    <w:multiLevelType w:val="singleLevel"/>
    <w:tmpl w:val="34C03BA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8E6E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D34C5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6875D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23861B4"/>
    <w:lvl w:ilvl="0">
      <w:start w:val="1"/>
      <w:numFmt w:val="decimal"/>
      <w:lvlText w:val="%1."/>
      <w:lvlJc w:val="left"/>
      <w:pPr>
        <w:tabs>
          <w:tab w:val="num" w:pos="360"/>
        </w:tabs>
        <w:ind w:left="360" w:hanging="360"/>
      </w:pPr>
    </w:lvl>
  </w:abstractNum>
  <w:abstractNum w:abstractNumId="10">
    <w:nsid w:val="FFFFFF89"/>
    <w:multiLevelType w:val="singleLevel"/>
    <w:tmpl w:val="9D66E41E"/>
    <w:lvl w:ilvl="0">
      <w:start w:val="1"/>
      <w:numFmt w:val="bullet"/>
      <w:lvlText w:val=""/>
      <w:lvlJc w:val="left"/>
      <w:pPr>
        <w:tabs>
          <w:tab w:val="num" w:pos="360"/>
        </w:tabs>
        <w:ind w:left="360" w:hanging="360"/>
      </w:pPr>
      <w:rPr>
        <w:rFonts w:ascii="Symbol" w:hAnsi="Symbol" w:hint="default"/>
      </w:rPr>
    </w:lvl>
  </w:abstractNum>
  <w:abstractNum w:abstractNumId="11">
    <w:nsid w:val="06B75C02"/>
    <w:multiLevelType w:val="hybridMultilevel"/>
    <w:tmpl w:val="68AC13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8861E96"/>
    <w:multiLevelType w:val="hybridMultilevel"/>
    <w:tmpl w:val="1EB457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7107C68"/>
    <w:multiLevelType w:val="hybridMultilevel"/>
    <w:tmpl w:val="32847FF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80A6962"/>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D9F07D3"/>
    <w:multiLevelType w:val="hybridMultilevel"/>
    <w:tmpl w:val="EF483A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DE36EB"/>
    <w:multiLevelType w:val="hybridMultilevel"/>
    <w:tmpl w:val="35FC76C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41905F4"/>
    <w:multiLevelType w:val="hybridMultilevel"/>
    <w:tmpl w:val="D5F49500"/>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97C2BDD"/>
    <w:multiLevelType w:val="hybridMultilevel"/>
    <w:tmpl w:val="5C1E82B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DD74DD0"/>
    <w:multiLevelType w:val="hybridMultilevel"/>
    <w:tmpl w:val="7C30C3E8"/>
    <w:lvl w:ilvl="0">
      <w:start w:val="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E593936"/>
    <w:multiLevelType w:val="hybridMultilevel"/>
    <w:tmpl w:val="024673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DA58BD"/>
    <w:multiLevelType w:val="hybridMultilevel"/>
    <w:tmpl w:val="A91E72A4"/>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1922FD"/>
    <w:multiLevelType w:val="hybridMultilevel"/>
    <w:tmpl w:val="0B28715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20550B0"/>
    <w:multiLevelType w:val="hybridMultilevel"/>
    <w:tmpl w:val="89EA52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5E2C7CE8"/>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6"/>
  </w:num>
  <w:num w:numId="2">
    <w:abstractNumId w:val="25"/>
  </w:num>
  <w:num w:numId="3">
    <w:abstractNumId w:val="29"/>
  </w:num>
  <w:num w:numId="4">
    <w:abstractNumId w:val="28"/>
  </w:num>
  <w:num w:numId="5">
    <w:abstractNumId w:val="13"/>
  </w:num>
  <w:num w:numId="6">
    <w:abstractNumId w:val="30"/>
  </w:num>
  <w:num w:numId="7">
    <w:abstractNumId w:val="22"/>
  </w:num>
  <w:num w:numId="8">
    <w:abstractNumId w:val="12"/>
  </w:num>
  <w:num w:numId="9">
    <w:abstractNumId w:val="23"/>
  </w:num>
  <w:num w:numId="10">
    <w:abstractNumId w:val="14"/>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1"/>
  </w:num>
  <w:num w:numId="16">
    <w:abstractNumId w:val="16"/>
  </w:num>
  <w:num w:numId="17">
    <w:abstractNumId w:val="19"/>
  </w:num>
  <w:num w:numId="18">
    <w:abstractNumId w:val="24"/>
  </w:num>
  <w:num w:numId="19">
    <w:abstractNumId w:val="17"/>
  </w:num>
  <w:num w:numId="20">
    <w:abstractNumId w:val="20"/>
  </w:num>
  <w:num w:numId="21">
    <w:abstractNumId w:val="18"/>
  </w:num>
  <w:num w:numId="22">
    <w:abstractNumId w:val="21"/>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isplayBackgroundShap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72"/>
    <w:rPr>
      <w:sz w:val="24"/>
    </w:rPr>
  </w:style>
  <w:style w:type="paragraph" w:styleId="Heading1">
    <w:name w:val="heading 1"/>
    <w:basedOn w:val="Normal"/>
    <w:next w:val="Normal"/>
    <w:link w:val="Heading1Char"/>
    <w:autoRedefine/>
    <w:qFormat/>
    <w:rsid w:val="00863375"/>
    <w:pPr>
      <w:keepNext/>
      <w:spacing w:before="240" w:line="480" w:lineRule="auto"/>
      <w:outlineLvl w:val="0"/>
    </w:pPr>
    <w:rPr>
      <w:b/>
      <w:bCs/>
      <w:caps/>
      <w:szCs w:val="24"/>
    </w:rPr>
  </w:style>
  <w:style w:type="paragraph" w:styleId="Heading2">
    <w:name w:val="heading 2"/>
    <w:basedOn w:val="Normal"/>
    <w:next w:val="Normal"/>
    <w:autoRedefine/>
    <w:qFormat/>
    <w:rsid w:val="00383A45"/>
    <w:pPr>
      <w:keepNext/>
      <w:numPr>
        <w:numId w:val="21"/>
      </w:numPr>
      <w:spacing w:after="240"/>
      <w:ind w:left="1440" w:right="720" w:hanging="720"/>
      <w:outlineLvl w:val="1"/>
    </w:pPr>
    <w:rPr>
      <w:b/>
    </w:rPr>
  </w:style>
  <w:style w:type="paragraph" w:styleId="Heading3">
    <w:name w:val="heading 3"/>
    <w:basedOn w:val="Normal"/>
    <w:next w:val="Normal"/>
    <w:autoRedefine/>
    <w:qFormat/>
    <w:rsid w:val="00383A45"/>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Footnote Text Char Char,Footnote Text Char Char Char Char,Footnote Text Char1,Footnote Text Char1 Char Char1,Footnote Text Char1 Char Char1 Char Char Char,Footnote Text Char2 Char Char Char Char1,fn"/>
    <w:basedOn w:val="Normal"/>
    <w:link w:val="FootnoteTextChar"/>
    <w:uiPriority w:val="99"/>
    <w:rsid w:val="00C77E72"/>
    <w:pPr>
      <w:spacing w:after="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ALTS FOOTNOTE Char,Footnote Text Char Char Char Char Char1,Footnote Text Char Char Char1,Footnote Text Char1 Char Char1 Char Char Char Char1,Footnote Text Char1 Char Char1 Char1,Footnote Text Char1 Char1,fn Char1"/>
    <w:link w:val="FootnoteText"/>
    <w:uiPriority w:val="99"/>
    <w:locked/>
    <w:rsid w:val="00C77E72"/>
  </w:style>
  <w:style w:type="character" w:customStyle="1" w:styleId="StyleFooter12ptChar">
    <w:name w:val="Style Footer + 12 pt Char"/>
    <w:link w:val="StyleFooter12pt"/>
    <w:locked/>
    <w:rsid w:val="00E31276"/>
    <w:rPr>
      <w:sz w:val="24"/>
    </w:rPr>
  </w:style>
  <w:style w:type="character" w:customStyle="1" w:styleId="BodyTextChar">
    <w:name w:val="Body Text Char"/>
    <w:link w:val="BodyText"/>
    <w:rsid w:val="00DA7746"/>
    <w:rPr>
      <w:sz w:val="24"/>
    </w:rPr>
  </w:style>
  <w:style w:type="character" w:customStyle="1" w:styleId="BodyTextIndentChar">
    <w:name w:val="Body Text Indent Char"/>
    <w:link w:val="BodyTextIndent"/>
    <w:rsid w:val="00DA7746"/>
    <w:rPr>
      <w:sz w:val="24"/>
    </w:rPr>
  </w:style>
  <w:style w:type="paragraph" w:customStyle="1" w:styleId="StyleFooter12pt">
    <w:name w:val="Style Footer + 12 pt"/>
    <w:basedOn w:val="Footer"/>
    <w:link w:val="StyleFooter12ptChar"/>
    <w:rsid w:val="00E31276"/>
    <w:pPr>
      <w:framePr w:wrap="around" w:vAnchor="text" w:hAnchor="text" w:y="1"/>
      <w:widowControl w:val="0"/>
    </w:pPr>
    <w:rPr>
      <w:sz w:val="24"/>
    </w:rPr>
  </w:style>
  <w:style w:type="character" w:customStyle="1" w:styleId="HeaderChar">
    <w:name w:val="Header Char"/>
    <w:link w:val="Header"/>
    <w:rsid w:val="00E37EE1"/>
    <w:rPr>
      <w:sz w:val="24"/>
    </w:rPr>
  </w:style>
  <w:style w:type="character" w:customStyle="1" w:styleId="Heading1Char">
    <w:name w:val="Heading 1 Char"/>
    <w:link w:val="Heading1"/>
    <w:rsid w:val="00863375"/>
    <w:rPr>
      <w:b/>
      <w:bCs/>
      <w:caps/>
      <w:sz w:val="24"/>
      <w:szCs w:val="24"/>
    </w:rPr>
  </w:style>
  <w:style w:type="character" w:customStyle="1" w:styleId="FooterChar">
    <w:name w:val="Footer Char"/>
    <w:link w:val="Footer"/>
    <w:uiPriority w:val="99"/>
    <w:rsid w:val="002242E0"/>
  </w:style>
  <w:style w:type="character" w:customStyle="1" w:styleId="BodyTextIndent3Char">
    <w:name w:val="Body Text Indent 3 Char"/>
    <w:link w:val="BodyTextIndent3"/>
    <w:rsid w:val="002242E0"/>
    <w:rPr>
      <w:sz w:val="24"/>
    </w:rPr>
  </w:style>
  <w:style w:type="paragraph" w:styleId="NormalWeb">
    <w:name w:val="Normal (Web)"/>
    <w:basedOn w:val="Normal"/>
    <w:uiPriority w:val="99"/>
    <w:unhideWhenUsed/>
    <w:rsid w:val="008F2600"/>
    <w:pPr>
      <w:spacing w:before="100" w:beforeAutospacing="1" w:after="100" w:afterAutospacing="1"/>
    </w:pPr>
    <w:rPr>
      <w:szCs w:val="24"/>
    </w:rPr>
  </w:style>
  <w:style w:type="paragraph" w:customStyle="1" w:styleId="ColorfulList-Accent11">
    <w:name w:val="Colorful List - Accent 11"/>
    <w:basedOn w:val="Normal"/>
    <w:uiPriority w:val="34"/>
    <w:qFormat/>
    <w:rsid w:val="008F2600"/>
    <w:pPr>
      <w:spacing w:after="200" w:line="276" w:lineRule="auto"/>
      <w:ind w:left="720"/>
      <w:contextualSpacing/>
    </w:pPr>
    <w:rPr>
      <w:rFonts w:ascii="Calibri" w:eastAsia="Calibri" w:hAnsi="Calibri"/>
      <w:sz w:val="22"/>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locked/>
    <w:rsid w:val="00FE744A"/>
    <w:rPr>
      <w:lang w:val="en-US" w:eastAsia="en-US" w:bidi="ar-SA"/>
    </w:rPr>
  </w:style>
  <w:style w:type="character" w:customStyle="1" w:styleId="CommentTextChar">
    <w:name w:val="Comment Text Char"/>
    <w:link w:val="CommentText"/>
    <w:uiPriority w:val="99"/>
    <w:rsid w:val="00FE744A"/>
    <w:rPr>
      <w:sz w:val="24"/>
      <w:szCs w:val="24"/>
    </w:rPr>
  </w:style>
  <w:style w:type="paragraph" w:styleId="ListParagraph">
    <w:name w:val="List Paragraph"/>
    <w:basedOn w:val="Normal"/>
    <w:uiPriority w:val="34"/>
    <w:qFormat/>
    <w:rsid w:val="006D5706"/>
    <w:pPr>
      <w:spacing w:after="200" w:line="276" w:lineRule="auto"/>
      <w:ind w:left="720"/>
      <w:contextualSpacing/>
    </w:pPr>
    <w:rPr>
      <w:rFonts w:asciiTheme="minorHAnsi" w:eastAsiaTheme="minorHAnsi" w:hAnsiTheme="minorHAnsi" w:cstheme="minorBidi"/>
      <w:sz w:val="22"/>
      <w:szCs w:val="22"/>
    </w:rPr>
  </w:style>
  <w:style w:type="character" w:customStyle="1" w:styleId="HTMLPreformattedChar">
    <w:name w:val="HTML Preformatted Char"/>
    <w:basedOn w:val="DefaultParagraphFont"/>
    <w:link w:val="HTMLPreformatted"/>
    <w:rsid w:val="00D62B78"/>
    <w:rPr>
      <w:rFonts w:ascii="Courier New" w:eastAsia="Courier New" w:hAnsi="Courier New" w:cs="Courier New"/>
    </w:rPr>
  </w:style>
  <w:style w:type="character" w:customStyle="1" w:styleId="ssleftalign">
    <w:name w:val="ss_leftalign"/>
    <w:basedOn w:val="DefaultParagraphFont"/>
    <w:rsid w:val="000A7B09"/>
  </w:style>
  <w:style w:type="character" w:customStyle="1" w:styleId="sssh">
    <w:name w:val="ss_sh"/>
    <w:basedOn w:val="DefaultParagraphFont"/>
    <w:rsid w:val="000A7B09"/>
  </w:style>
  <w:style w:type="character" w:customStyle="1" w:styleId="Mention1">
    <w:name w:val="Mention1"/>
    <w:basedOn w:val="DefaultParagraphFont"/>
    <w:rsid w:val="00104D9A"/>
    <w:rPr>
      <w:color w:val="2B579A"/>
      <w:shd w:val="clear" w:color="auto" w:fill="E6E6E6"/>
    </w:rPr>
  </w:style>
  <w:style w:type="character" w:customStyle="1" w:styleId="UnresolvedMention1">
    <w:name w:val="Unresolved Mention1"/>
    <w:basedOn w:val="DefaultParagraphFont"/>
    <w:uiPriority w:val="99"/>
    <w:semiHidden/>
    <w:unhideWhenUsed/>
    <w:rsid w:val="005B07AE"/>
    <w:rPr>
      <w:color w:val="605E5C"/>
      <w:shd w:val="clear" w:color="auto" w:fill="E1DFDD"/>
    </w:rPr>
  </w:style>
  <w:style w:type="paragraph" w:styleId="Revision">
    <w:name w:val="Revision"/>
    <w:hidden/>
    <w:uiPriority w:val="99"/>
    <w:semiHidden/>
    <w:rsid w:val="00145A49"/>
    <w:rPr>
      <w:sz w:val="24"/>
    </w:rPr>
  </w:style>
  <w:style w:type="character" w:customStyle="1" w:styleId="UnresolvedMention">
    <w:name w:val="Unresolved Mention"/>
    <w:basedOn w:val="DefaultParagraphFont"/>
    <w:rsid w:val="004C1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2019-05-30T15:28:55Z</dcterms:created>
  <dcterms:modified xsi:type="dcterms:W3CDTF">2019-05-30T15:28:55Z</dcterms:modified>
</cp:coreProperties>
</file>