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06" w:rsidRPr="00712EFC" w:rsidRDefault="00E7416A" w:rsidP="00A15E06">
      <w:pPr>
        <w:tabs>
          <w:tab w:val="left" w:pos="8640"/>
        </w:tabs>
        <w:rPr>
          <w:rFonts w:ascii="GoudyOlSt BT" w:hAnsi="GoudyOlSt BT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382FBD" wp14:editId="748C3C20">
            <wp:simplePos x="0" y="0"/>
            <wp:positionH relativeFrom="column">
              <wp:posOffset>-1485900</wp:posOffset>
            </wp:positionH>
            <wp:positionV relativeFrom="paragraph">
              <wp:posOffset>-685800</wp:posOffset>
            </wp:positionV>
            <wp:extent cx="1088390" cy="2710815"/>
            <wp:effectExtent l="19050" t="0" r="0" b="0"/>
            <wp:wrapSquare wrapText="bothSides"/>
            <wp:docPr id="2" name="Picture 2" descr="MDllp2C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llp2C-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E06">
        <w:rPr>
          <w:rFonts w:ascii="Goudy Old Style" w:hAnsi="Goudy Old Style"/>
          <w:sz w:val="18"/>
          <w:lang w:val="fr-FR"/>
        </w:rPr>
        <w:t>asalimbene@mdllp</w:t>
      </w:r>
      <w:r w:rsidR="00A15E06" w:rsidRPr="002A3D73">
        <w:rPr>
          <w:rFonts w:ascii="Goudy Old Style" w:hAnsi="Goudy Old Style"/>
          <w:sz w:val="18"/>
          <w:lang w:val="fr-FR"/>
        </w:rPr>
        <w:t>.net</w:t>
      </w:r>
    </w:p>
    <w:p w:rsidR="00A15E06" w:rsidRPr="00712EFC" w:rsidRDefault="00A15E06" w:rsidP="00A15E06">
      <w:pPr>
        <w:rPr>
          <w:rFonts w:ascii="GoudyOlSt BT" w:hAnsi="GoudyOlSt BT"/>
        </w:rPr>
      </w:pPr>
    </w:p>
    <w:p w:rsidR="00274C51" w:rsidRDefault="00274C51" w:rsidP="00D47641">
      <w:pPr>
        <w:rPr>
          <w:rFonts w:ascii="GoudyOlSt BT" w:hAnsi="GoudyOlSt BT"/>
        </w:rPr>
      </w:pPr>
    </w:p>
    <w:p w:rsidR="00D47641" w:rsidRPr="00FE5BAC" w:rsidRDefault="00D47641" w:rsidP="00D47641">
      <w:pPr>
        <w:rPr>
          <w:rFonts w:ascii="GoudyOlSt BT" w:hAnsi="GoudyOlSt BT"/>
        </w:rPr>
      </w:pPr>
      <w:r>
        <w:rPr>
          <w:rFonts w:ascii="GoudyOlSt BT" w:hAnsi="GoudyOlSt BT"/>
        </w:rPr>
        <w:t>November 6, 2013</w:t>
      </w:r>
    </w:p>
    <w:p w:rsidR="00D47641" w:rsidRDefault="00D47641" w:rsidP="00D47641">
      <w:pPr>
        <w:rPr>
          <w:rFonts w:ascii="GoudyOlSt BT" w:hAnsi="GoudyOlSt BT"/>
          <w:b/>
          <w:i/>
        </w:rPr>
      </w:pPr>
    </w:p>
    <w:p w:rsidR="00D47641" w:rsidRPr="00E152A0" w:rsidRDefault="00D47641" w:rsidP="00D47641">
      <w:pPr>
        <w:rPr>
          <w:rFonts w:ascii="GoudyOlSt BT" w:hAnsi="GoudyOlSt BT"/>
          <w:b/>
          <w:i/>
        </w:rPr>
      </w:pPr>
      <w:r w:rsidRPr="00E152A0">
        <w:rPr>
          <w:rFonts w:ascii="GoudyOlSt BT" w:hAnsi="GoudyOlSt BT"/>
          <w:b/>
          <w:i/>
        </w:rPr>
        <w:t>Electronic Filing</w:t>
      </w: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contextualSpacing/>
        <w:rPr>
          <w:rFonts w:ascii="GoudyOlSt BT" w:hAnsi="GoudyOlSt BT"/>
        </w:rPr>
      </w:pPr>
      <w:r>
        <w:rPr>
          <w:rFonts w:ascii="GoudyOlSt BT" w:hAnsi="GoudyOlSt BT"/>
        </w:rPr>
        <w:t xml:space="preserve">Todd </w:t>
      </w:r>
      <w:proofErr w:type="spellStart"/>
      <w:r>
        <w:rPr>
          <w:rFonts w:ascii="GoudyOlSt BT" w:hAnsi="GoudyOlSt BT"/>
        </w:rPr>
        <w:t>Snitchler</w:t>
      </w:r>
      <w:proofErr w:type="spellEnd"/>
      <w:r>
        <w:rPr>
          <w:rFonts w:ascii="GoudyOlSt BT" w:hAnsi="GoudyOlSt BT"/>
        </w:rPr>
        <w:t>, Chairman</w:t>
      </w:r>
    </w:p>
    <w:p w:rsidR="00D47641" w:rsidRPr="003F6526" w:rsidRDefault="00D47641" w:rsidP="00D47641">
      <w:pPr>
        <w:contextualSpacing/>
        <w:rPr>
          <w:rFonts w:ascii="GoudyOlSt BT" w:hAnsi="GoudyOlSt BT"/>
        </w:rPr>
      </w:pPr>
      <w:r w:rsidRPr="003F6526">
        <w:rPr>
          <w:rFonts w:ascii="GoudyOlSt BT" w:hAnsi="GoudyOlSt BT"/>
        </w:rPr>
        <w:t>Ohio Power Siting Board</w:t>
      </w:r>
    </w:p>
    <w:p w:rsidR="00D47641" w:rsidRPr="003F6526" w:rsidRDefault="00D47641" w:rsidP="00D47641">
      <w:pPr>
        <w:contextualSpacing/>
        <w:rPr>
          <w:rFonts w:ascii="GoudyOlSt BT" w:hAnsi="GoudyOlSt BT"/>
        </w:rPr>
      </w:pPr>
      <w:r w:rsidRPr="003F6526">
        <w:rPr>
          <w:rFonts w:ascii="GoudyOlSt BT" w:hAnsi="GoudyOlSt BT"/>
        </w:rPr>
        <w:t>180 East Broad Street, 11</w:t>
      </w:r>
      <w:r w:rsidRPr="003F6526">
        <w:rPr>
          <w:rFonts w:ascii="GoudyOlSt BT" w:hAnsi="GoudyOlSt BT"/>
          <w:vertAlign w:val="superscript"/>
        </w:rPr>
        <w:t>th</w:t>
      </w:r>
      <w:r>
        <w:rPr>
          <w:rFonts w:ascii="GoudyOlSt BT" w:hAnsi="GoudyOlSt BT"/>
        </w:rPr>
        <w:t xml:space="preserve"> </w:t>
      </w:r>
      <w:r w:rsidRPr="003F6526">
        <w:rPr>
          <w:rFonts w:ascii="GoudyOlSt BT" w:hAnsi="GoudyOlSt BT"/>
        </w:rPr>
        <w:t>Floor</w:t>
      </w:r>
    </w:p>
    <w:p w:rsidR="00D47641" w:rsidRDefault="00D47641" w:rsidP="00D47641">
      <w:pPr>
        <w:contextualSpacing/>
        <w:rPr>
          <w:rFonts w:ascii="GoudyOlSt BT" w:hAnsi="GoudyOlSt BT"/>
        </w:rPr>
      </w:pPr>
      <w:r w:rsidRPr="003F6526">
        <w:rPr>
          <w:rFonts w:ascii="GoudyOlSt BT" w:hAnsi="GoudyOlSt BT"/>
        </w:rPr>
        <w:t>Columbus, O</w:t>
      </w:r>
      <w:r>
        <w:rPr>
          <w:rFonts w:ascii="GoudyOlSt BT" w:hAnsi="GoudyOlSt BT"/>
        </w:rPr>
        <w:t>hio</w:t>
      </w:r>
      <w:r w:rsidRPr="003F6526">
        <w:rPr>
          <w:rFonts w:ascii="GoudyOlSt BT" w:hAnsi="GoudyOlSt BT"/>
        </w:rPr>
        <w:t xml:space="preserve"> 43215-3793</w:t>
      </w: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  <w:r>
        <w:rPr>
          <w:rFonts w:ascii="GoudyOlSt BT" w:hAnsi="GoudyOlSt BT"/>
        </w:rPr>
        <w:t>Re:</w:t>
      </w:r>
      <w:r>
        <w:rPr>
          <w:rFonts w:ascii="GoudyOlSt BT" w:hAnsi="GoudyOlSt BT"/>
        </w:rPr>
        <w:tab/>
        <w:t>Pre-Application Notification Letter</w:t>
      </w:r>
    </w:p>
    <w:p w:rsidR="00D47641" w:rsidRDefault="00D47641" w:rsidP="00D47641">
      <w:pPr>
        <w:rPr>
          <w:rFonts w:ascii="GoudyOlSt BT" w:hAnsi="GoudyOlSt BT"/>
        </w:rPr>
      </w:pPr>
      <w:r>
        <w:rPr>
          <w:rFonts w:ascii="GoudyOlSt BT" w:hAnsi="GoudyOlSt BT"/>
        </w:rPr>
        <w:tab/>
        <w:t>Lake Erie Energy Development Corps (</w:t>
      </w:r>
      <w:proofErr w:type="spellStart"/>
      <w:r>
        <w:rPr>
          <w:rFonts w:ascii="GoudyOlSt BT" w:hAnsi="GoudyOlSt BT"/>
        </w:rPr>
        <w:t>LEEDCo</w:t>
      </w:r>
      <w:proofErr w:type="spellEnd"/>
      <w:r>
        <w:rPr>
          <w:rFonts w:ascii="GoudyOlSt BT" w:hAnsi="GoudyOlSt BT"/>
        </w:rPr>
        <w:t>) Project Icebreaker</w:t>
      </w:r>
    </w:p>
    <w:p w:rsidR="00D47641" w:rsidRPr="00D47641" w:rsidRDefault="00D47641" w:rsidP="00D47641">
      <w:pPr>
        <w:rPr>
          <w:rFonts w:ascii="GoudyOlSt BT" w:hAnsi="GoudyOlSt BT"/>
        </w:rPr>
      </w:pPr>
      <w:r>
        <w:rPr>
          <w:rFonts w:ascii="GoudyOlSt BT" w:hAnsi="GoudyOlSt BT"/>
        </w:rPr>
        <w:tab/>
      </w:r>
      <w:r w:rsidRPr="00D47641">
        <w:rPr>
          <w:rFonts w:ascii="GoudyOlSt BT" w:hAnsi="GoudyOlSt BT"/>
        </w:rPr>
        <w:t>Case No: 13-2033-EL-BGN</w:t>
      </w:r>
    </w:p>
    <w:p w:rsidR="00D47641" w:rsidRPr="00D47641" w:rsidRDefault="00D47641" w:rsidP="00D47641">
      <w:pPr>
        <w:rPr>
          <w:rFonts w:ascii="GoudyOlSt BT" w:hAnsi="GoudyOlSt BT"/>
        </w:rPr>
      </w:pPr>
    </w:p>
    <w:p w:rsidR="00D47641" w:rsidRPr="00FE5BAC" w:rsidRDefault="00D47641" w:rsidP="00D47641">
      <w:pPr>
        <w:rPr>
          <w:rFonts w:ascii="GoudyOlSt BT" w:hAnsi="GoudyOlSt BT" w:cs="Arial"/>
        </w:rPr>
      </w:pPr>
      <w:r w:rsidRPr="00FE5BAC">
        <w:rPr>
          <w:rFonts w:ascii="GoudyOlSt BT" w:hAnsi="GoudyOlSt BT" w:cs="Arial"/>
        </w:rPr>
        <w:t xml:space="preserve">Dear </w:t>
      </w:r>
      <w:r>
        <w:rPr>
          <w:rFonts w:ascii="GoudyOlSt BT" w:hAnsi="GoudyOlSt BT" w:cs="Arial"/>
        </w:rPr>
        <w:t xml:space="preserve">Chairman </w:t>
      </w:r>
      <w:proofErr w:type="spellStart"/>
      <w:r>
        <w:rPr>
          <w:rFonts w:ascii="GoudyOlSt BT" w:hAnsi="GoudyOlSt BT" w:cs="Arial"/>
        </w:rPr>
        <w:t>Snitchler</w:t>
      </w:r>
      <w:proofErr w:type="spellEnd"/>
      <w:r>
        <w:rPr>
          <w:rFonts w:ascii="GoudyOlSt BT" w:hAnsi="GoudyOlSt BT" w:cs="Arial"/>
        </w:rPr>
        <w:t xml:space="preserve">, </w:t>
      </w:r>
    </w:p>
    <w:p w:rsidR="00D47641" w:rsidRPr="00FE5BAC" w:rsidRDefault="00D47641" w:rsidP="00D47641">
      <w:pPr>
        <w:rPr>
          <w:rFonts w:ascii="GoudyOlSt BT" w:hAnsi="GoudyOlSt BT" w:cs="Arial"/>
        </w:rPr>
      </w:pPr>
    </w:p>
    <w:p w:rsidR="00D47641" w:rsidRDefault="00D47641" w:rsidP="00D47641">
      <w:pPr>
        <w:jc w:val="both"/>
        <w:rPr>
          <w:rFonts w:ascii="GoudyOlSt BT" w:hAnsi="GoudyOlSt BT" w:cs="Arial"/>
        </w:rPr>
      </w:pPr>
      <w:r>
        <w:rPr>
          <w:rFonts w:ascii="GoudyOlSt BT" w:hAnsi="GoudyOlSt BT" w:cs="Arial"/>
        </w:rPr>
        <w:t>The Lake Erie Energy Development Corporation (</w:t>
      </w:r>
      <w:proofErr w:type="spellStart"/>
      <w:r>
        <w:rPr>
          <w:rFonts w:ascii="GoudyOlSt BT" w:hAnsi="GoudyOlSt BT" w:cs="Arial"/>
        </w:rPr>
        <w:t>LEEDCo</w:t>
      </w:r>
      <w:proofErr w:type="spellEnd"/>
      <w:r>
        <w:rPr>
          <w:rFonts w:ascii="GoudyOlSt BT" w:hAnsi="GoudyOlSt BT" w:cs="Arial"/>
        </w:rPr>
        <w:t>) hereby submits its Pre-Application Notification Letter pursuant to Ohio Administrative Code (O.A.C.) 4906-5-08(A):</w:t>
      </w:r>
    </w:p>
    <w:p w:rsidR="00D47641" w:rsidRDefault="00D47641" w:rsidP="00D47641">
      <w:pPr>
        <w:jc w:val="both"/>
        <w:rPr>
          <w:rFonts w:ascii="GoudyOlSt BT" w:hAnsi="GoudyOlSt BT" w:cs="Arial"/>
        </w:rPr>
      </w:pPr>
    </w:p>
    <w:p w:rsidR="00D47641" w:rsidRPr="00C33F43" w:rsidRDefault="00D47641" w:rsidP="00D47641">
      <w:pPr>
        <w:pStyle w:val="ListParagraph"/>
        <w:numPr>
          <w:ilvl w:val="0"/>
          <w:numId w:val="1"/>
        </w:numPr>
        <w:rPr>
          <w:rFonts w:ascii="GoudyOlSt BT" w:hAnsi="GoudyOlSt BT"/>
        </w:rPr>
      </w:pPr>
      <w:r w:rsidRPr="007F73F2">
        <w:rPr>
          <w:rFonts w:ascii="GoudyOlSt BT" w:hAnsi="GoudyOlSt BT" w:cs="Arial"/>
          <w:b/>
        </w:rPr>
        <w:t>Basic Description of the Project.</w:t>
      </w:r>
      <w:r w:rsidRPr="007F73F2">
        <w:rPr>
          <w:rFonts w:ascii="GoudyOlSt BT" w:hAnsi="GoudyOlSt BT" w:cs="Arial"/>
        </w:rPr>
        <w:t xml:space="preserve">  </w:t>
      </w:r>
      <w:proofErr w:type="spellStart"/>
      <w:r w:rsidRPr="007F73F2">
        <w:rPr>
          <w:rFonts w:ascii="GoudyOlSt BT" w:hAnsi="GoudyOlSt BT"/>
        </w:rPr>
        <w:t>LEEDCo’s</w:t>
      </w:r>
      <w:proofErr w:type="spellEnd"/>
      <w:r w:rsidRPr="007F73F2">
        <w:rPr>
          <w:rFonts w:ascii="GoudyOlSt BT" w:hAnsi="GoudyOlSt BT"/>
        </w:rPr>
        <w:t xml:space="preserve"> "Project Icebreaker" is funded in part by a Cooperative Agreement between </w:t>
      </w:r>
      <w:proofErr w:type="spellStart"/>
      <w:r w:rsidRPr="007F73F2">
        <w:rPr>
          <w:rFonts w:ascii="GoudyOlSt BT" w:hAnsi="GoudyOlSt BT"/>
        </w:rPr>
        <w:t>LEEDCo</w:t>
      </w:r>
      <w:proofErr w:type="spellEnd"/>
      <w:r w:rsidRPr="007F73F2">
        <w:rPr>
          <w:rFonts w:ascii="GoudyOlSt BT" w:hAnsi="GoudyOlSt BT"/>
        </w:rPr>
        <w:t xml:space="preserve"> and the U.S. Department of Energy Wind and Water Power Program for U.S. Offshore Wind Advanced Technology Demonstration Projects.  Project Icebreaker is a demonstration-scale project that will consist of six Siemens SWT-3.0-113 wind turbine generators installed approximately seven to nine miles off the coast of Cleveland in Lake Erie for a total project capacity of 18 megawatts (“MW”).  The southeastern most turbine will be located approximately four miles northwest of the City of Cleveland’s Water Intake Crib.  </w:t>
      </w:r>
      <w:r>
        <w:rPr>
          <w:rFonts w:ascii="GoudyOlSt BT" w:hAnsi="GoudyOlSt BT"/>
        </w:rPr>
        <w:t xml:space="preserve">A buried interconnection cable will transport power to the point of interconnection to the bulk power grid proposed at the Cleveland Public Power Lake Road Substation in Cleveland, Ohio.  </w:t>
      </w:r>
      <w:r w:rsidRPr="00C33F43">
        <w:rPr>
          <w:rFonts w:ascii="GoudyOlSt BT" w:hAnsi="GoudyOlSt BT"/>
        </w:rPr>
        <w:t xml:space="preserve">The turbines will have a hub height of approximately 87.5 meters; a rotor diameter of approximately 120 meters; and a surface water elevation of approximately 27.5 meters.  The overall goal is that Project Icebreaker will serve as a technology innovation and validation center to reduce the </w:t>
      </w:r>
      <w:proofErr w:type="spellStart"/>
      <w:r w:rsidRPr="00C33F43">
        <w:rPr>
          <w:rFonts w:ascii="GoudyOlSt BT" w:hAnsi="GoudyOlSt BT"/>
        </w:rPr>
        <w:t>levelized</w:t>
      </w:r>
      <w:proofErr w:type="spellEnd"/>
      <w:r w:rsidRPr="00C33F43">
        <w:rPr>
          <w:rFonts w:ascii="GoudyOlSt BT" w:hAnsi="GoudyOlSt BT"/>
        </w:rPr>
        <w:t xml:space="preserve"> cost of offshore wind energy for the shallow waters of the Great Lakes. </w:t>
      </w:r>
    </w:p>
    <w:p w:rsidR="00D47641" w:rsidRDefault="00D47641" w:rsidP="00D47641">
      <w:pPr>
        <w:pStyle w:val="ListParagraph"/>
        <w:rPr>
          <w:rFonts w:ascii="GoudyOlSt BT" w:hAnsi="GoudyOlSt BT"/>
        </w:rPr>
      </w:pPr>
    </w:p>
    <w:p w:rsidR="00D47641" w:rsidRPr="00B24FF2" w:rsidRDefault="00D47641" w:rsidP="00D47641">
      <w:pPr>
        <w:pStyle w:val="ListParagraph"/>
        <w:numPr>
          <w:ilvl w:val="0"/>
          <w:numId w:val="1"/>
        </w:numPr>
        <w:rPr>
          <w:rFonts w:ascii="GoudyOlSt BT" w:hAnsi="GoudyOlSt BT"/>
        </w:rPr>
      </w:pPr>
      <w:r w:rsidRPr="007F73F2">
        <w:rPr>
          <w:rFonts w:ascii="GoudyOlSt BT" w:hAnsi="GoudyOlSt BT" w:cs="Arial"/>
          <w:b/>
        </w:rPr>
        <w:t>Public Informational Meeting.</w:t>
      </w:r>
      <w:r w:rsidRPr="007F73F2">
        <w:rPr>
          <w:rFonts w:ascii="GoudyOlSt BT" w:hAnsi="GoudyOlSt BT" w:cs="Arial"/>
        </w:rPr>
        <w:t xml:space="preserve">  </w:t>
      </w:r>
      <w:proofErr w:type="spellStart"/>
      <w:r w:rsidRPr="007F73F2">
        <w:rPr>
          <w:rFonts w:ascii="GoudyOlSt BT" w:hAnsi="GoudyOlSt BT" w:cs="Arial"/>
        </w:rPr>
        <w:t>LEEDCo</w:t>
      </w:r>
      <w:proofErr w:type="spellEnd"/>
      <w:r w:rsidRPr="007F73F2">
        <w:rPr>
          <w:rFonts w:ascii="GoudyOlSt BT" w:hAnsi="GoudyOlSt BT" w:cs="Arial"/>
        </w:rPr>
        <w:t xml:space="preserve"> plans to hold the public informational meeting required by O.A.C. 4906-5-08(B) on November </w:t>
      </w:r>
      <w:r>
        <w:rPr>
          <w:rFonts w:ascii="GoudyOlSt BT" w:hAnsi="GoudyOlSt BT" w:cs="Arial"/>
        </w:rPr>
        <w:t>21</w:t>
      </w:r>
      <w:r w:rsidRPr="007F73F2">
        <w:rPr>
          <w:rFonts w:ascii="GoudyOlSt BT" w:hAnsi="GoudyOlSt BT" w:cs="Arial"/>
        </w:rPr>
        <w:t xml:space="preserve">, 2013 at </w:t>
      </w:r>
      <w:r>
        <w:rPr>
          <w:rFonts w:ascii="GoudyOlSt BT" w:hAnsi="GoudyOlSt BT" w:cs="Arial"/>
        </w:rPr>
        <w:t>4</w:t>
      </w:r>
      <w:r w:rsidRPr="007F73F2">
        <w:rPr>
          <w:rFonts w:ascii="GoudyOlSt BT" w:hAnsi="GoudyOlSt BT" w:cs="Arial"/>
        </w:rPr>
        <w:t xml:space="preserve"> p.m. at </w:t>
      </w:r>
      <w:r>
        <w:rPr>
          <w:rFonts w:ascii="GoudyOlSt BT" w:hAnsi="GoudyOlSt BT" w:cs="Arial"/>
        </w:rPr>
        <w:t>The Cleveland Public Library, 325 Superior Avenue, NE, Room 218, Cleveland, Ohio 44114.</w:t>
      </w: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Pr="00B24FF2" w:rsidRDefault="00D47641" w:rsidP="00D47641">
      <w:pPr>
        <w:rPr>
          <w:rFonts w:ascii="GoudyOlSt BT" w:hAnsi="GoudyOlSt BT"/>
        </w:rPr>
      </w:pPr>
    </w:p>
    <w:p w:rsidR="00D47641" w:rsidRPr="00C730EB" w:rsidRDefault="00D47641" w:rsidP="00D47641">
      <w:pPr>
        <w:pStyle w:val="ListParagraph"/>
        <w:numPr>
          <w:ilvl w:val="0"/>
          <w:numId w:val="1"/>
        </w:numPr>
        <w:rPr>
          <w:rFonts w:ascii="GoudyOlSt BT" w:hAnsi="GoudyOlSt BT"/>
        </w:rPr>
      </w:pPr>
      <w:r w:rsidRPr="00455413">
        <w:rPr>
          <w:rFonts w:ascii="GoudyOlSt BT" w:hAnsi="GoudyOlSt BT" w:cs="Arial"/>
          <w:b/>
        </w:rPr>
        <w:t>Anticipated Waivers.</w:t>
      </w:r>
      <w:r w:rsidRPr="00455413">
        <w:rPr>
          <w:rFonts w:ascii="GoudyOlSt BT" w:hAnsi="GoudyOlSt BT" w:cs="Arial"/>
        </w:rPr>
        <w:t xml:space="preserve">  </w:t>
      </w:r>
      <w:proofErr w:type="spellStart"/>
      <w:r>
        <w:rPr>
          <w:rFonts w:ascii="GoudyOlSt BT" w:hAnsi="GoudyOlSt BT" w:cs="Arial"/>
        </w:rPr>
        <w:t>LEEDCo</w:t>
      </w:r>
      <w:proofErr w:type="spellEnd"/>
      <w:r>
        <w:rPr>
          <w:rFonts w:ascii="GoudyOlSt BT" w:hAnsi="GoudyOlSt BT" w:cs="Arial"/>
        </w:rPr>
        <w:t xml:space="preserve"> anticipates asserting within its application that certain requirements are not applicable because the project is located offshore, but </w:t>
      </w:r>
      <w:proofErr w:type="spellStart"/>
      <w:r w:rsidRPr="00455413">
        <w:rPr>
          <w:rFonts w:ascii="GoudyOlSt BT" w:hAnsi="GoudyOlSt BT" w:cs="Arial"/>
        </w:rPr>
        <w:t>LEEDCo</w:t>
      </w:r>
      <w:proofErr w:type="spellEnd"/>
      <w:r w:rsidRPr="00455413">
        <w:rPr>
          <w:rFonts w:ascii="GoudyOlSt BT" w:hAnsi="GoudyOlSt BT" w:cs="Arial"/>
        </w:rPr>
        <w:t xml:space="preserve"> </w:t>
      </w:r>
      <w:r>
        <w:rPr>
          <w:rFonts w:ascii="GoudyOlSt BT" w:hAnsi="GoudyOlSt BT" w:cs="Arial"/>
        </w:rPr>
        <w:t>does not anticipate</w:t>
      </w:r>
      <w:r w:rsidRPr="00455413">
        <w:rPr>
          <w:rFonts w:ascii="GoudyOlSt BT" w:hAnsi="GoudyOlSt BT" w:cs="Arial"/>
        </w:rPr>
        <w:t xml:space="preserve"> requesting </w:t>
      </w:r>
      <w:r>
        <w:rPr>
          <w:rFonts w:ascii="GoudyOlSt BT" w:hAnsi="GoudyOlSt BT" w:cs="Arial"/>
        </w:rPr>
        <w:t>any waivers at this time.</w:t>
      </w:r>
    </w:p>
    <w:p w:rsidR="00D47641" w:rsidRDefault="00D47641" w:rsidP="00D47641">
      <w:pPr>
        <w:rPr>
          <w:rFonts w:ascii="GoudyOlSt BT" w:hAnsi="GoudyOlSt BT"/>
        </w:rPr>
      </w:pPr>
    </w:p>
    <w:p w:rsidR="00D47641" w:rsidRPr="00000473" w:rsidRDefault="00D47641" w:rsidP="00D47641">
      <w:pPr>
        <w:rPr>
          <w:rFonts w:ascii="GoudyOlSt BT" w:hAnsi="GoudyOlSt BT"/>
        </w:rPr>
      </w:pPr>
      <w:r w:rsidRPr="00000473">
        <w:rPr>
          <w:rFonts w:ascii="GoudyOlSt BT" w:hAnsi="GoudyOlSt BT"/>
        </w:rPr>
        <w:t>Sincerely,</w:t>
      </w:r>
    </w:p>
    <w:p w:rsidR="00D47641" w:rsidRPr="00000473" w:rsidRDefault="00D47641" w:rsidP="00D47641">
      <w:pPr>
        <w:rPr>
          <w:rFonts w:ascii="GoudyOlSt BT" w:hAnsi="GoudyOlSt BT"/>
        </w:rPr>
      </w:pPr>
    </w:p>
    <w:p w:rsidR="00D47641" w:rsidRPr="00000473" w:rsidRDefault="00D47641" w:rsidP="00D47641">
      <w:pPr>
        <w:rPr>
          <w:rFonts w:ascii="GoudyOlSt BT" w:hAnsi="GoudyOlSt BT"/>
          <w:smallCaps/>
        </w:rPr>
      </w:pPr>
      <w:r w:rsidRPr="00000473">
        <w:rPr>
          <w:rFonts w:ascii="GoudyOlSt BT" w:hAnsi="GoudyOlSt BT"/>
          <w:smallCaps/>
        </w:rPr>
        <w:t xml:space="preserve">McMahon DeGulis </w:t>
      </w:r>
      <w:proofErr w:type="spellStart"/>
      <w:r w:rsidRPr="00000473">
        <w:rPr>
          <w:rFonts w:ascii="GoudyOlSt BT" w:hAnsi="GoudyOlSt BT"/>
          <w:smallCaps/>
        </w:rPr>
        <w:t>llp</w:t>
      </w:r>
      <w:proofErr w:type="spellEnd"/>
    </w:p>
    <w:p w:rsidR="00D47641" w:rsidRPr="00000473" w:rsidRDefault="00D47641" w:rsidP="00D47641">
      <w:pPr>
        <w:rPr>
          <w:rFonts w:ascii="GoudyOlSt BT" w:hAnsi="GoudyOlSt BT"/>
          <w:smallCaps/>
        </w:rPr>
      </w:pPr>
    </w:p>
    <w:p w:rsidR="00D47641" w:rsidRDefault="00393A71" w:rsidP="00D47641">
      <w:pPr>
        <w:rPr>
          <w:rFonts w:ascii="GoudyOlSt BT" w:hAnsi="GoudyOlSt BT"/>
          <w:smallCaps/>
        </w:rPr>
      </w:pPr>
      <w:r>
        <w:rPr>
          <w:rFonts w:ascii="GoudyOlSt BT" w:hAnsi="GoudyOlSt BT"/>
          <w:smallCaps/>
        </w:rPr>
        <w:t>/AMS</w:t>
      </w:r>
    </w:p>
    <w:p w:rsidR="00393A71" w:rsidRPr="00000473" w:rsidRDefault="00393A71" w:rsidP="00D47641">
      <w:pPr>
        <w:rPr>
          <w:rFonts w:ascii="GoudyOlSt BT" w:hAnsi="GoudyOlSt BT"/>
          <w:smallCaps/>
        </w:rPr>
      </w:pPr>
    </w:p>
    <w:p w:rsidR="00D47641" w:rsidRDefault="00D47641" w:rsidP="00D47641">
      <w:pPr>
        <w:rPr>
          <w:rFonts w:ascii="GoudyOlSt BT" w:hAnsi="GoudyOlSt BT"/>
        </w:rPr>
      </w:pPr>
      <w:r>
        <w:rPr>
          <w:rFonts w:ascii="GoudyOlSt BT" w:hAnsi="GoudyOlSt BT"/>
        </w:rPr>
        <w:t>Andrea M. Salimbene</w:t>
      </w:r>
    </w:p>
    <w:p w:rsidR="00D47641" w:rsidRDefault="00220993" w:rsidP="00D47641">
      <w:pPr>
        <w:rPr>
          <w:rFonts w:ascii="GoudyOlSt BT" w:hAnsi="GoudyOlSt BT"/>
        </w:rPr>
      </w:pPr>
      <w:r>
        <w:rPr>
          <w:rFonts w:ascii="GoudyOlSt BT" w:hAnsi="GoudyOlSt BT"/>
        </w:rPr>
        <w:t xml:space="preserve">Counsel for </w:t>
      </w:r>
      <w:proofErr w:type="spellStart"/>
      <w:r>
        <w:rPr>
          <w:rFonts w:ascii="GoudyOlSt BT" w:hAnsi="GoudyOlSt BT"/>
        </w:rPr>
        <w:t>LEEDCo</w:t>
      </w:r>
      <w:proofErr w:type="spellEnd"/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  <w:bookmarkStart w:id="0" w:name="_GoBack"/>
      <w:bookmarkEnd w:id="0"/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Default="00D47641" w:rsidP="00D47641">
      <w:pPr>
        <w:rPr>
          <w:rFonts w:ascii="GoudyOlSt BT" w:hAnsi="GoudyOlSt BT"/>
        </w:rPr>
      </w:pPr>
    </w:p>
    <w:p w:rsidR="00D47641" w:rsidRPr="00B53588" w:rsidRDefault="00D47641" w:rsidP="00D47641">
      <w:pPr>
        <w:rPr>
          <w:rFonts w:ascii="GoudyOlSt BT" w:hAnsi="GoudyOlSt BT"/>
        </w:rPr>
      </w:pPr>
    </w:p>
    <w:p w:rsidR="00A15E06" w:rsidRDefault="00A15E06" w:rsidP="00A15E06">
      <w:pPr>
        <w:rPr>
          <w:rFonts w:ascii="GoudyOlSt BT" w:hAnsi="GoudyOlSt BT"/>
        </w:rPr>
      </w:pPr>
    </w:p>
    <w:sectPr w:rsidR="00A15E06" w:rsidSect="00DE6E07">
      <w:footerReference w:type="default" r:id="rId9"/>
      <w:pgSz w:w="12240" w:h="15840" w:code="1"/>
      <w:pgMar w:top="1440" w:right="1440" w:bottom="1080" w:left="252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51" w:rsidRDefault="00274C51">
      <w:r>
        <w:separator/>
      </w:r>
    </w:p>
  </w:endnote>
  <w:endnote w:type="continuationSeparator" w:id="0">
    <w:p w:rsidR="00274C51" w:rsidRDefault="0027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OlSt BT"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51" w:rsidRPr="00E7416A" w:rsidRDefault="00274C51" w:rsidP="00E7416A">
    <w:pPr>
      <w:tabs>
        <w:tab w:val="center" w:pos="4680"/>
        <w:tab w:val="right" w:pos="9360"/>
      </w:tabs>
      <w:rPr>
        <w:rFonts w:ascii="Helvetica" w:eastAsiaTheme="minorHAnsi" w:hAnsi="Helvetica" w:cstheme="minorBidi"/>
        <w:sz w:val="16"/>
        <w:szCs w:val="16"/>
      </w:rPr>
    </w:pPr>
    <w:r w:rsidRPr="00E7416A">
      <w:rPr>
        <w:rFonts w:ascii="Helvetica" w:eastAsiaTheme="minorHAnsi" w:hAnsi="Helvetica" w:cstheme="minorBidi"/>
        <w:b/>
        <w:bCs/>
        <w:color w:val="435125"/>
        <w:sz w:val="18"/>
        <w:szCs w:val="18"/>
      </w:rPr>
      <w:t xml:space="preserve">McMahon DeGulis </w:t>
    </w:r>
    <w:proofErr w:type="spellStart"/>
    <w:r w:rsidRPr="00E7416A">
      <w:rPr>
        <w:rFonts w:ascii="Helvetica" w:eastAsiaTheme="minorHAnsi" w:hAnsi="Helvetica" w:cstheme="minorBidi"/>
        <w:b/>
        <w:bCs/>
        <w:color w:val="435125"/>
        <w:sz w:val="18"/>
        <w:szCs w:val="18"/>
      </w:rPr>
      <w:t>llp</w:t>
    </w:r>
    <w:proofErr w:type="spellEnd"/>
    <w:r w:rsidRPr="00E7416A">
      <w:rPr>
        <w:rFonts w:ascii="Helvetica" w:eastAsiaTheme="minorHAnsi" w:hAnsi="Helvetica" w:cstheme="minorBidi"/>
        <w:b/>
        <w:bCs/>
        <w:color w:val="435125"/>
        <w:sz w:val="18"/>
        <w:szCs w:val="18"/>
      </w:rPr>
      <w:t xml:space="preserve">  </w:t>
    </w:r>
    <w:r w:rsidRPr="00E7416A">
      <w:rPr>
        <w:rFonts w:ascii="Helvetica" w:eastAsiaTheme="minorHAnsi" w:hAnsi="Helvetica" w:cstheme="minorBidi"/>
        <w:b/>
        <w:color w:val="435125"/>
        <w:sz w:val="16"/>
        <w:szCs w:val="16"/>
      </w:rPr>
      <w:t xml:space="preserve">|  </w:t>
    </w:r>
    <w:r w:rsidRPr="00E7416A">
      <w:rPr>
        <w:rFonts w:ascii="Helvetica" w:eastAsiaTheme="minorHAnsi" w:hAnsi="Helvetica" w:cstheme="minorBidi"/>
        <w:color w:val="435125"/>
        <w:sz w:val="16"/>
        <w:szCs w:val="16"/>
      </w:rPr>
      <w:t>Attorneys</w:t>
    </w:r>
    <w:r>
      <w:rPr>
        <w:rFonts w:ascii="Helvetica" w:eastAsiaTheme="minorHAnsi" w:hAnsi="Helvetica" w:cstheme="minorBidi"/>
        <w:color w:val="435125"/>
        <w:sz w:val="16"/>
        <w:szCs w:val="16"/>
      </w:rPr>
      <w:t xml:space="preserve">  </w:t>
    </w:r>
    <w:r w:rsidRPr="00E7416A">
      <w:rPr>
        <w:rFonts w:ascii="Helvetica" w:eastAsiaTheme="minorHAnsi" w:hAnsi="Helvetica" w:cstheme="minorBidi"/>
        <w:bCs/>
        <w:color w:val="435125"/>
        <w:sz w:val="16"/>
        <w:szCs w:val="16"/>
      </w:rPr>
      <w:t xml:space="preserve"> </w:t>
    </w:r>
    <w:r w:rsidRPr="00E7416A">
      <w:rPr>
        <w:rFonts w:ascii="Helvetica" w:eastAsiaTheme="minorHAnsi" w:hAnsi="Helvetica" w:cstheme="minorBidi"/>
        <w:color w:val="435125"/>
        <w:sz w:val="16"/>
        <w:szCs w:val="16"/>
      </w:rPr>
      <w:t>|   www.mdllp.net</w:t>
    </w:r>
  </w:p>
  <w:p w:rsidR="00274C51" w:rsidRPr="00E7416A" w:rsidRDefault="00274C51" w:rsidP="00E7416A">
    <w:pPr>
      <w:tabs>
        <w:tab w:val="center" w:pos="4680"/>
        <w:tab w:val="right" w:pos="9360"/>
      </w:tabs>
      <w:rPr>
        <w:rFonts w:ascii="Helvetica" w:eastAsiaTheme="minorHAnsi" w:hAnsi="Helvetica" w:cstheme="minorBidi"/>
        <w:sz w:val="8"/>
        <w:szCs w:val="8"/>
      </w:rPr>
    </w:pPr>
  </w:p>
  <w:p w:rsidR="00274C51" w:rsidRPr="00E7416A" w:rsidRDefault="00274C51" w:rsidP="00E7416A">
    <w:pPr>
      <w:tabs>
        <w:tab w:val="center" w:pos="4680"/>
        <w:tab w:val="right" w:pos="9360"/>
      </w:tabs>
      <w:rPr>
        <w:rFonts w:ascii="Helvetica" w:eastAsiaTheme="minorHAnsi" w:hAnsi="Helvetica" w:cstheme="minorBidi"/>
        <w:sz w:val="16"/>
        <w:szCs w:val="16"/>
      </w:rPr>
    </w:pPr>
    <w:r w:rsidRPr="00E7416A">
      <w:rPr>
        <w:rFonts w:ascii="Helvetica" w:eastAsiaTheme="minorHAnsi" w:hAnsi="Helvetica" w:cstheme="minorBidi"/>
        <w:sz w:val="16"/>
        <w:szCs w:val="16"/>
      </w:rPr>
      <w:t xml:space="preserve">1335 Dublin Road </w:t>
    </w:r>
    <w:r w:rsidRPr="00E7416A">
      <w:rPr>
        <w:rFonts w:ascii="Helvetica" w:eastAsiaTheme="minorHAnsi" w:hAnsi="Helvetica" w:cstheme="minorBidi"/>
        <w:b/>
        <w:bCs/>
        <w:sz w:val="16"/>
        <w:szCs w:val="16"/>
      </w:rPr>
      <w:t xml:space="preserve"> </w:t>
    </w:r>
    <w:r w:rsidRPr="00E7416A">
      <w:rPr>
        <w:rFonts w:ascii="Helvetica" w:eastAsiaTheme="minorHAnsi" w:hAnsi="Helvetica" w:cstheme="minorBidi"/>
        <w:sz w:val="16"/>
        <w:szCs w:val="16"/>
      </w:rPr>
      <w:t xml:space="preserve">|  Suite 216A |   Columbus, Ohio 43215 </w:t>
    </w:r>
    <w:r w:rsidRPr="00E7416A">
      <w:rPr>
        <w:rFonts w:ascii="Helvetica" w:eastAsiaTheme="minorHAnsi" w:hAnsi="Helvetica" w:cstheme="minorBidi"/>
        <w:b/>
        <w:bCs/>
        <w:sz w:val="16"/>
        <w:szCs w:val="16"/>
      </w:rPr>
      <w:t xml:space="preserve"> </w:t>
    </w:r>
    <w:r w:rsidRPr="00E7416A">
      <w:rPr>
        <w:rFonts w:ascii="Helvetica" w:eastAsiaTheme="minorHAnsi" w:hAnsi="Helvetica" w:cstheme="minorBidi"/>
        <w:sz w:val="16"/>
        <w:szCs w:val="16"/>
      </w:rPr>
      <w:t>|  614.849.0300 |  Fax: 614.485.9108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51" w:rsidRDefault="00274C51">
      <w:r>
        <w:separator/>
      </w:r>
    </w:p>
  </w:footnote>
  <w:footnote w:type="continuationSeparator" w:id="0">
    <w:p w:rsidR="00274C51" w:rsidRDefault="0027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1443"/>
    <w:multiLevelType w:val="hybridMultilevel"/>
    <w:tmpl w:val="E7C2888A"/>
    <w:lvl w:ilvl="0" w:tplc="4FDABCF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90E"/>
    <w:rsid w:val="00070BED"/>
    <w:rsid w:val="000749F2"/>
    <w:rsid w:val="000C7C46"/>
    <w:rsid w:val="00171753"/>
    <w:rsid w:val="001837DC"/>
    <w:rsid w:val="001B308E"/>
    <w:rsid w:val="001E6CDA"/>
    <w:rsid w:val="00220993"/>
    <w:rsid w:val="00274C51"/>
    <w:rsid w:val="002A3F98"/>
    <w:rsid w:val="002F49D8"/>
    <w:rsid w:val="00351198"/>
    <w:rsid w:val="00393A71"/>
    <w:rsid w:val="003B7652"/>
    <w:rsid w:val="004B6BF7"/>
    <w:rsid w:val="00582856"/>
    <w:rsid w:val="005A3D7D"/>
    <w:rsid w:val="005E49F7"/>
    <w:rsid w:val="006F2C5A"/>
    <w:rsid w:val="00750E95"/>
    <w:rsid w:val="007B128D"/>
    <w:rsid w:val="0084113E"/>
    <w:rsid w:val="008B55EE"/>
    <w:rsid w:val="008D05C9"/>
    <w:rsid w:val="00942869"/>
    <w:rsid w:val="00944AEC"/>
    <w:rsid w:val="00960A19"/>
    <w:rsid w:val="009A24C4"/>
    <w:rsid w:val="009C6F1B"/>
    <w:rsid w:val="00A06F68"/>
    <w:rsid w:val="00A15E06"/>
    <w:rsid w:val="00A30B14"/>
    <w:rsid w:val="00A36B5A"/>
    <w:rsid w:val="00AD5DE3"/>
    <w:rsid w:val="00B00DEF"/>
    <w:rsid w:val="00B51E77"/>
    <w:rsid w:val="00B53588"/>
    <w:rsid w:val="00B57F56"/>
    <w:rsid w:val="00B61762"/>
    <w:rsid w:val="00BA190E"/>
    <w:rsid w:val="00BB03A1"/>
    <w:rsid w:val="00BB6A0D"/>
    <w:rsid w:val="00CE68B6"/>
    <w:rsid w:val="00CF6E39"/>
    <w:rsid w:val="00D47641"/>
    <w:rsid w:val="00D56E70"/>
    <w:rsid w:val="00D92515"/>
    <w:rsid w:val="00DD4360"/>
    <w:rsid w:val="00DE6E07"/>
    <w:rsid w:val="00E05D00"/>
    <w:rsid w:val="00E65770"/>
    <w:rsid w:val="00E71722"/>
    <w:rsid w:val="00E7416A"/>
    <w:rsid w:val="00E87C6A"/>
    <w:rsid w:val="00ED7746"/>
    <w:rsid w:val="00E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F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0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1198"/>
    <w:rPr>
      <w:color w:val="0000FF"/>
      <w:u w:val="single"/>
    </w:rPr>
  </w:style>
  <w:style w:type="paragraph" w:styleId="Header">
    <w:name w:val="header"/>
    <w:basedOn w:val="Normal"/>
    <w:rsid w:val="004B6B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6B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7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1, 2005</vt:lpstr>
    </vt:vector>
  </TitlesOfParts>
  <Company>McMahon, DeGulis, Hoffmann &amp; Lombardi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1, 2005</dc:title>
  <dc:creator>mconnell</dc:creator>
  <cp:lastModifiedBy>Andrea M. Salimbene</cp:lastModifiedBy>
  <cp:revision>7</cp:revision>
  <cp:lastPrinted>2005-12-05T20:05:00Z</cp:lastPrinted>
  <dcterms:created xsi:type="dcterms:W3CDTF">2013-11-06T16:54:00Z</dcterms:created>
  <dcterms:modified xsi:type="dcterms:W3CDTF">2013-11-06T17:39:00Z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