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C7060" w:rsidRPr="0004462F" w:rsidP="00E710B3" w14:paraId="0BADE212" w14:textId="77777777">
      <w:pPr>
        <w:jc w:val="center"/>
        <w:rPr>
          <w:b/>
        </w:rPr>
      </w:pPr>
      <w:bookmarkStart w:id="0" w:name="_GoBack"/>
      <w:bookmarkEnd w:id="0"/>
      <w:r w:rsidRPr="0004462F">
        <w:rPr>
          <w:b/>
        </w:rPr>
        <w:t>BEFORE</w:t>
      </w:r>
    </w:p>
    <w:p w:rsidR="00DC7060" w:rsidRPr="0004462F" w:rsidP="00E710B3" w14:paraId="28C6748D" w14:textId="77777777">
      <w:pPr>
        <w:jc w:val="center"/>
        <w:rPr>
          <w:b/>
        </w:rPr>
      </w:pPr>
      <w:r w:rsidRPr="0004462F">
        <w:rPr>
          <w:b/>
        </w:rPr>
        <w:t>THE PUBLIC UTILITIES COMMISSION OF OHIO</w:t>
      </w:r>
    </w:p>
    <w:p w:rsidR="00665656" w:rsidRPr="0004462F" w:rsidP="00E710B3" w14:paraId="60721E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p>
    <w:tbl>
      <w:tblPr>
        <w:tblW w:w="9092" w:type="dxa"/>
        <w:tblLook w:val="01E0"/>
      </w:tblPr>
      <w:tblGrid>
        <w:gridCol w:w="4332"/>
        <w:gridCol w:w="360"/>
        <w:gridCol w:w="4400"/>
      </w:tblGrid>
      <w:tr w14:paraId="791DB0A0" w14:textId="77777777" w:rsidTr="00620F7D">
        <w:tblPrEx>
          <w:tblW w:w="9092" w:type="dxa"/>
          <w:tblLook w:val="01E0"/>
        </w:tblPrEx>
        <w:trPr>
          <w:trHeight w:val="807"/>
        </w:trPr>
        <w:tc>
          <w:tcPr>
            <w:tcW w:w="4332" w:type="dxa"/>
            <w:shd w:val="clear" w:color="auto" w:fill="auto"/>
          </w:tcPr>
          <w:p w:rsidR="00665656" w:rsidRPr="0004462F" w:rsidP="00E710B3" w14:paraId="1518BABF" w14:textId="77777777">
            <w:pPr>
              <w:pStyle w:val="InsideAddress"/>
              <w:rPr>
                <w:rFonts w:ascii="Times New Roman" w:eastAsia="Times New Roman" w:hAnsi="Times New Roman"/>
                <w:szCs w:val="24"/>
              </w:rPr>
            </w:pPr>
            <w:r w:rsidRPr="0004462F">
              <w:rPr>
                <w:rFonts w:ascii="Times New Roman" w:eastAsia="Times New Roman" w:hAnsi="Times New Roman"/>
                <w:szCs w:val="24"/>
              </w:rPr>
              <w:t>In the Matter of the Review of Ohio Adm.</w:t>
            </w:r>
            <w:r w:rsidRPr="0004462F" w:rsidR="0072508C">
              <w:rPr>
                <w:rFonts w:ascii="Times New Roman" w:eastAsia="Times New Roman" w:hAnsi="Times New Roman"/>
                <w:szCs w:val="24"/>
              </w:rPr>
              <w:t xml:space="preserve"> </w:t>
            </w:r>
            <w:r w:rsidRPr="0004462F">
              <w:rPr>
                <w:rFonts w:ascii="Times New Roman" w:eastAsia="Times New Roman" w:hAnsi="Times New Roman"/>
                <w:szCs w:val="24"/>
              </w:rPr>
              <w:t>Code Chapter 4901-1 Rules Regarding Practice and Procedure Before the Commission.</w:t>
            </w:r>
          </w:p>
        </w:tc>
        <w:tc>
          <w:tcPr>
            <w:tcW w:w="360" w:type="dxa"/>
            <w:shd w:val="clear" w:color="auto" w:fill="auto"/>
          </w:tcPr>
          <w:p w:rsidR="00665656" w:rsidRPr="0004462F" w:rsidP="00E710B3" w14:paraId="70C0ECA7"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p w:rsidR="00665656" w:rsidRPr="0004462F" w:rsidP="00E710B3" w14:paraId="3443B682"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p w:rsidR="00665656" w:rsidRPr="0004462F" w:rsidP="00E710B3" w14:paraId="24BD6C2D"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p w:rsidR="00665656" w:rsidRPr="0004462F" w:rsidP="00E710B3" w14:paraId="11EBB0C0"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tc>
        <w:tc>
          <w:tcPr>
            <w:tcW w:w="4400" w:type="dxa"/>
            <w:shd w:val="clear" w:color="auto" w:fill="auto"/>
          </w:tcPr>
          <w:p w:rsidR="00665656" w:rsidRPr="0004462F" w:rsidP="00E710B3" w14:paraId="19E86448" w14:textId="77777777">
            <w:pPr>
              <w:pStyle w:val="HTMLPreformatted"/>
              <w:rPr>
                <w:rFonts w:ascii="Times New Roman" w:hAnsi="Times New Roman" w:cs="Times New Roman"/>
                <w:sz w:val="24"/>
                <w:szCs w:val="24"/>
              </w:rPr>
            </w:pPr>
          </w:p>
          <w:p w:rsidR="00665656" w:rsidRPr="0004462F" w:rsidP="00E710B3" w14:paraId="035BF048" w14:textId="003FE3CB">
            <w:pPr>
              <w:pStyle w:val="HTMLPreformatted"/>
              <w:rPr>
                <w:rFonts w:ascii="Times New Roman" w:hAnsi="Times New Roman" w:cs="Times New Roman"/>
                <w:sz w:val="24"/>
                <w:szCs w:val="24"/>
              </w:rPr>
            </w:pPr>
            <w:r w:rsidRPr="0004462F">
              <w:rPr>
                <w:rFonts w:ascii="Times New Roman" w:hAnsi="Times New Roman" w:cs="Times New Roman"/>
                <w:sz w:val="24"/>
                <w:szCs w:val="24"/>
              </w:rPr>
              <w:t xml:space="preserve">Case No. 18-275-AU-ORD </w:t>
            </w:r>
          </w:p>
        </w:tc>
      </w:tr>
    </w:tbl>
    <w:p w:rsidR="00DC7060" w:rsidRPr="0004462F" w:rsidP="00E710B3" w14:paraId="030DEC5B" w14:textId="77777777">
      <w:pPr>
        <w:pBdr>
          <w:bottom w:val="single" w:sz="12" w:space="1" w:color="auto"/>
        </w:pBdr>
      </w:pPr>
    </w:p>
    <w:p w:rsidR="00DC7060" w:rsidRPr="0004462F" w:rsidP="00E710B3" w14:paraId="483106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7060" w:rsidRPr="0004462F" w:rsidP="00E710B3" w14:paraId="1BE077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62F">
        <w:rPr>
          <w:b/>
        </w:rPr>
        <w:t>COMMENTS</w:t>
      </w:r>
      <w:r w:rsidRPr="0004462F" w:rsidR="002F0D33">
        <w:rPr>
          <w:b/>
        </w:rPr>
        <w:t xml:space="preserve"> ON THE PUCO’S RULES OF PRACTICE</w:t>
      </w:r>
    </w:p>
    <w:p w:rsidR="00DC7060" w:rsidRPr="0004462F" w:rsidP="00E710B3" w14:paraId="0D59CF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62F">
        <w:rPr>
          <w:b/>
        </w:rPr>
        <w:t>BY</w:t>
      </w:r>
    </w:p>
    <w:p w:rsidR="00E13C57" w:rsidRPr="0004462F" w:rsidP="00E710B3" w14:paraId="3A6C8699" w14:textId="322B3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62F">
        <w:rPr>
          <w:b/>
        </w:rPr>
        <w:t xml:space="preserve">THE </w:t>
      </w:r>
      <w:r w:rsidRPr="0004462F" w:rsidR="00665656">
        <w:rPr>
          <w:b/>
        </w:rPr>
        <w:t>OFFICE OF THE OHIO CONSUMERS' COUNSEL</w:t>
      </w:r>
      <w:r w:rsidRPr="0004462F" w:rsidR="00D55578">
        <w:rPr>
          <w:b/>
        </w:rPr>
        <w:t xml:space="preserve"> </w:t>
      </w:r>
    </w:p>
    <w:p w:rsidR="00DC7060" w:rsidRPr="0004462F" w:rsidP="00E710B3" w14:paraId="70E74E6A" w14:textId="59AC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62F">
        <w:rPr>
          <w:b/>
        </w:rPr>
        <w:t>AND</w:t>
      </w:r>
    </w:p>
    <w:p w:rsidR="00D55578" w:rsidRPr="0004462F" w:rsidP="00E710B3" w14:paraId="74B822AE" w14:textId="4ECC8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r w:rsidRPr="0004462F">
        <w:rPr>
          <w:b/>
        </w:rPr>
        <w:t>THE NORTHWEST OHIO AGGREGATION COALITION</w:t>
      </w:r>
    </w:p>
    <w:p w:rsidR="00DC7060" w:rsidRPr="0004462F" w:rsidP="00E710B3" w14:paraId="571755E2"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rPr>
      </w:pPr>
    </w:p>
    <w:p w:rsidR="00DC7060" w:rsidRPr="0004462F" w:rsidP="00E710B3" w14:paraId="3546B5DD" w14:textId="77777777">
      <w:pPr>
        <w:rPr>
          <w:rFonts w:eastAsiaTheme="minorEastAsia"/>
        </w:rPr>
      </w:pPr>
    </w:p>
    <w:p w:rsidR="00DC7060" w:rsidRPr="0004462F" w:rsidP="00E710B3" w14:paraId="74BBB54D" w14:textId="77777777">
      <w:pPr>
        <w:ind w:firstLine="4320"/>
        <w:rPr>
          <w:rFonts w:eastAsia="Times New Roman"/>
        </w:rPr>
      </w:pPr>
    </w:p>
    <w:p w:rsidR="00665656" w:rsidRPr="0004462F" w:rsidP="00E710B3" w14:paraId="55C6D39A" w14:textId="77777777">
      <w:pPr>
        <w:pStyle w:val="BodyTextIndent3"/>
        <w:ind w:left="3600" w:right="-312" w:firstLine="720"/>
        <w:rPr>
          <w:sz w:val="24"/>
          <w:szCs w:val="24"/>
        </w:rPr>
      </w:pPr>
    </w:p>
    <w:p w:rsidR="00665656" w:rsidRPr="0004462F" w:rsidP="000A59E7" w14:paraId="47B0ABDD" w14:textId="77777777">
      <w:pPr>
        <w:pStyle w:val="BodyTextIndent3"/>
        <w:spacing w:after="0"/>
        <w:ind w:left="3600" w:right="-312" w:firstLine="720"/>
        <w:rPr>
          <w:sz w:val="24"/>
          <w:szCs w:val="24"/>
        </w:rPr>
      </w:pPr>
      <w:r w:rsidRPr="0004462F">
        <w:rPr>
          <w:sz w:val="24"/>
          <w:szCs w:val="24"/>
        </w:rPr>
        <w:t>Bruce Weston (0016973)</w:t>
      </w:r>
    </w:p>
    <w:p w:rsidR="00665656" w:rsidRPr="0004462F" w:rsidP="000A59E7" w14:paraId="5FBE0CDB" w14:textId="77777777">
      <w:pPr>
        <w:tabs>
          <w:tab w:val="left" w:pos="4320"/>
        </w:tabs>
      </w:pPr>
      <w:r w:rsidRPr="0004462F">
        <w:tab/>
        <w:t>Ohio Consumers’ Counsel</w:t>
      </w:r>
    </w:p>
    <w:p w:rsidR="00665656" w:rsidRPr="0004462F" w:rsidP="00E710B3" w14:paraId="19002A04" w14:textId="77777777">
      <w:pPr>
        <w:tabs>
          <w:tab w:val="left" w:pos="4320"/>
        </w:tabs>
      </w:pPr>
      <w:r w:rsidRPr="0004462F">
        <w:tab/>
      </w:r>
    </w:p>
    <w:p w:rsidR="00665656" w:rsidRPr="0004462F" w:rsidP="00E710B3" w14:paraId="3658A9FB" w14:textId="77777777">
      <w:pPr>
        <w:tabs>
          <w:tab w:val="left" w:pos="4320"/>
        </w:tabs>
      </w:pPr>
      <w:r w:rsidRPr="0004462F">
        <w:tab/>
        <w:t>Maureen R. Willis (0020847)</w:t>
      </w:r>
      <w:r w:rsidRPr="0004462F">
        <w:tab/>
      </w:r>
    </w:p>
    <w:p w:rsidR="00665656" w:rsidRPr="0004462F" w:rsidP="00E710B3" w14:paraId="027DC373" w14:textId="77777777">
      <w:pPr>
        <w:tabs>
          <w:tab w:val="left" w:pos="4320"/>
        </w:tabs>
      </w:pPr>
      <w:r w:rsidRPr="0004462F">
        <w:tab/>
        <w:t>Senior Counsel</w:t>
      </w:r>
    </w:p>
    <w:p w:rsidR="00665656" w:rsidRPr="0004462F" w:rsidP="00E710B3" w14:paraId="2DBFCE46" w14:textId="77777777">
      <w:pPr>
        <w:tabs>
          <w:tab w:val="left" w:pos="4320"/>
        </w:tabs>
      </w:pPr>
      <w:r w:rsidRPr="0004462F">
        <w:tab/>
        <w:t>Counsel of Record</w:t>
      </w:r>
    </w:p>
    <w:p w:rsidR="00665656" w:rsidRPr="0004462F" w:rsidP="00E710B3" w14:paraId="32590F73" w14:textId="77777777">
      <w:pPr>
        <w:tabs>
          <w:tab w:val="left" w:pos="4320"/>
        </w:tabs>
      </w:pPr>
      <w:r w:rsidRPr="0004462F">
        <w:tab/>
        <w:t>Christopher Healey (0086027)</w:t>
      </w:r>
      <w:r w:rsidRPr="0004462F">
        <w:tab/>
      </w:r>
    </w:p>
    <w:p w:rsidR="00665656" w:rsidRPr="0004462F" w:rsidP="00E710B3" w14:paraId="1DB28C37" w14:textId="77777777">
      <w:pPr>
        <w:tabs>
          <w:tab w:val="left" w:pos="4320"/>
        </w:tabs>
      </w:pPr>
      <w:r w:rsidRPr="0004462F">
        <w:tab/>
        <w:t>Assistant Consumers’ Counsel</w:t>
      </w:r>
    </w:p>
    <w:p w:rsidR="00665656" w:rsidRPr="0004462F" w:rsidP="00E710B3" w14:paraId="65B9E0DC" w14:textId="77777777">
      <w:pPr>
        <w:ind w:left="4320"/>
        <w:rPr>
          <w:b/>
        </w:rPr>
      </w:pPr>
    </w:p>
    <w:p w:rsidR="00665656" w:rsidRPr="0004462F" w:rsidP="00E710B3" w14:paraId="26F451AF" w14:textId="77777777">
      <w:pPr>
        <w:ind w:left="4320"/>
        <w:rPr>
          <w:b/>
        </w:rPr>
      </w:pPr>
      <w:r w:rsidRPr="0004462F">
        <w:rPr>
          <w:b/>
        </w:rPr>
        <w:t>Office of the Ohio Consumers’ Counsel</w:t>
      </w:r>
    </w:p>
    <w:p w:rsidR="00665656" w:rsidRPr="0004462F" w:rsidP="00E710B3" w14:paraId="05EE606C" w14:textId="77777777">
      <w:pPr>
        <w:ind w:left="4320"/>
      </w:pPr>
      <w:r w:rsidRPr="0004462F">
        <w:t>65 East State Street, 7th Floor</w:t>
      </w:r>
    </w:p>
    <w:p w:rsidR="00665656" w:rsidRPr="0004462F" w:rsidP="00E710B3" w14:paraId="24F5CB67" w14:textId="77777777">
      <w:pPr>
        <w:ind w:left="4320"/>
      </w:pPr>
      <w:r w:rsidRPr="0004462F">
        <w:t>Columbus, Ohio 43215</w:t>
      </w:r>
    </w:p>
    <w:p w:rsidR="00665656" w:rsidRPr="0004462F" w:rsidP="00E710B3" w14:paraId="048902CB" w14:textId="77777777">
      <w:pPr>
        <w:autoSpaceDE w:val="0"/>
        <w:autoSpaceDN w:val="0"/>
        <w:adjustRightInd w:val="0"/>
        <w:ind w:left="4320"/>
      </w:pPr>
      <w:r w:rsidRPr="0004462F">
        <w:t>Telephone: [Willis] (614) 466-9567</w:t>
      </w:r>
    </w:p>
    <w:p w:rsidR="00665656" w:rsidRPr="0004462F" w:rsidP="00E710B3" w14:paraId="173CC718" w14:textId="77777777">
      <w:pPr>
        <w:autoSpaceDE w:val="0"/>
        <w:autoSpaceDN w:val="0"/>
        <w:adjustRightInd w:val="0"/>
        <w:ind w:left="3600" w:firstLine="720"/>
      </w:pPr>
      <w:r w:rsidRPr="0004462F">
        <w:t>Telephone [Healey]: (614) 466-9571</w:t>
      </w:r>
    </w:p>
    <w:p w:rsidR="00665656" w:rsidRPr="0004462F" w:rsidP="00E710B3" w14:paraId="11AE90AE" w14:textId="77777777">
      <w:pPr>
        <w:autoSpaceDE w:val="0"/>
        <w:autoSpaceDN w:val="0"/>
        <w:adjustRightInd w:val="0"/>
        <w:ind w:left="3600" w:firstLine="720"/>
        <w:rPr>
          <w:color w:val="0000FF"/>
          <w:u w:val="single"/>
        </w:rPr>
      </w:pPr>
      <w:hyperlink r:id="rId6" w:history="1">
        <w:r w:rsidRPr="0004462F" w:rsidR="005D3CC6">
          <w:rPr>
            <w:color w:val="0000FF"/>
            <w:u w:val="single"/>
          </w:rPr>
          <w:t>maureen.willis@occ.ohio.gov</w:t>
        </w:r>
      </w:hyperlink>
    </w:p>
    <w:p w:rsidR="00665656" w:rsidRPr="0004462F" w:rsidP="00E710B3" w14:paraId="6BE930A4" w14:textId="0EACF65B">
      <w:r w:rsidRPr="0004462F">
        <w:tab/>
      </w:r>
      <w:r w:rsidRPr="0004462F">
        <w:tab/>
      </w:r>
      <w:r w:rsidRPr="0004462F">
        <w:tab/>
      </w:r>
      <w:r w:rsidRPr="0004462F">
        <w:tab/>
      </w:r>
      <w:r w:rsidRPr="0004462F">
        <w:tab/>
      </w:r>
      <w:r w:rsidRPr="0004462F">
        <w:tab/>
        <w:t>(Willing to accept service by e-mail)</w:t>
      </w:r>
    </w:p>
    <w:p w:rsidR="00F82485" w:rsidRPr="0004462F" w:rsidP="00E710B3" w14:paraId="6B672488" w14:textId="77777777"/>
    <w:p w:rsidR="0004462F" w:rsidRPr="0004462F" w:rsidP="0004462F" w14:paraId="53CB8D00" w14:textId="77777777">
      <w:pPr>
        <w:autoSpaceDE w:val="0"/>
        <w:autoSpaceDN w:val="0"/>
        <w:ind w:left="4320"/>
        <w:rPr>
          <w:color w:val="000000"/>
        </w:rPr>
      </w:pPr>
      <w:r w:rsidRPr="0004462F">
        <w:rPr>
          <w:color w:val="000000"/>
        </w:rPr>
        <w:t>Thomas R. Hays,</w:t>
      </w:r>
    </w:p>
    <w:p w:rsidR="0004462F" w:rsidRPr="0004462F" w:rsidP="0004462F" w14:paraId="42ED263F" w14:textId="77777777">
      <w:pPr>
        <w:autoSpaceDE w:val="0"/>
        <w:autoSpaceDN w:val="0"/>
        <w:ind w:left="4320"/>
        <w:rPr>
          <w:color w:val="000000"/>
        </w:rPr>
      </w:pPr>
      <w:r w:rsidRPr="0004462F">
        <w:rPr>
          <w:color w:val="000000"/>
        </w:rPr>
        <w:t>Counsel for Lucas County (0054062)</w:t>
      </w:r>
    </w:p>
    <w:p w:rsidR="0004462F" w:rsidRPr="0004462F" w:rsidP="0004462F" w14:paraId="1EE11249" w14:textId="77777777">
      <w:pPr>
        <w:autoSpaceDE w:val="0"/>
        <w:autoSpaceDN w:val="0"/>
        <w:ind w:left="4320"/>
        <w:rPr>
          <w:color w:val="000000"/>
        </w:rPr>
      </w:pPr>
      <w:r w:rsidRPr="0004462F">
        <w:rPr>
          <w:color w:val="000000"/>
        </w:rPr>
        <w:t>8355 Island Lane</w:t>
      </w:r>
    </w:p>
    <w:p w:rsidR="0004462F" w:rsidRPr="0004462F" w:rsidP="0004462F" w14:paraId="3B87345D" w14:textId="77777777">
      <w:pPr>
        <w:autoSpaceDE w:val="0"/>
        <w:autoSpaceDN w:val="0"/>
        <w:ind w:left="4320"/>
        <w:rPr>
          <w:color w:val="000000"/>
        </w:rPr>
      </w:pPr>
      <w:r w:rsidRPr="0004462F">
        <w:rPr>
          <w:color w:val="000000"/>
        </w:rPr>
        <w:t>Maineville, OH 45039</w:t>
      </w:r>
    </w:p>
    <w:p w:rsidR="0004462F" w:rsidRPr="0004462F" w:rsidP="0004462F" w14:paraId="4CF0B651" w14:textId="77777777">
      <w:pPr>
        <w:autoSpaceDE w:val="0"/>
        <w:autoSpaceDN w:val="0"/>
        <w:ind w:left="4320"/>
        <w:rPr>
          <w:color w:val="000000"/>
        </w:rPr>
      </w:pPr>
      <w:r w:rsidRPr="0004462F">
        <w:rPr>
          <w:color w:val="000000"/>
        </w:rPr>
        <w:t>419-410-7069</w:t>
      </w:r>
    </w:p>
    <w:p w:rsidR="0004462F" w:rsidRPr="0004462F" w:rsidP="0004462F" w14:paraId="498F15CB" w14:textId="77777777">
      <w:pPr>
        <w:pStyle w:val="BodyTextIndent3"/>
        <w:spacing w:after="0"/>
        <w:ind w:left="4320"/>
        <w:jc w:val="both"/>
        <w:rPr>
          <w:sz w:val="24"/>
          <w:szCs w:val="24"/>
        </w:rPr>
      </w:pPr>
      <w:hyperlink r:id="rId7" w:history="1">
        <w:r w:rsidRPr="0004462F" w:rsidR="005D3CC6">
          <w:rPr>
            <w:rStyle w:val="Hyperlink"/>
            <w:sz w:val="24"/>
            <w:szCs w:val="24"/>
          </w:rPr>
          <w:t>trhayslaw@gmail.com</w:t>
        </w:r>
      </w:hyperlink>
    </w:p>
    <w:p w:rsidR="0004462F" w:rsidRPr="0004462F" w:rsidP="0004462F" w14:paraId="1143FAD2" w14:textId="77777777">
      <w:pPr>
        <w:ind w:left="4320"/>
      </w:pPr>
      <w:r w:rsidRPr="0004462F">
        <w:t>(Willing to accept service by e-mail)</w:t>
      </w:r>
    </w:p>
    <w:p w:rsidR="0004462F" w:rsidRPr="0004462F" w:rsidP="0004462F" w14:paraId="77F9F73E" w14:textId="77777777">
      <w:pPr>
        <w:autoSpaceDE w:val="0"/>
        <w:autoSpaceDN w:val="0"/>
        <w:ind w:left="4320"/>
        <w:rPr>
          <w:i/>
          <w:iCs/>
          <w:color w:val="000000"/>
        </w:rPr>
      </w:pPr>
    </w:p>
    <w:p w:rsidR="0004462F" w:rsidRPr="0004462F" w:rsidP="0004462F" w14:paraId="4B8F0520" w14:textId="77777777">
      <w:pPr>
        <w:autoSpaceDE w:val="0"/>
        <w:autoSpaceDN w:val="0"/>
        <w:ind w:left="4320"/>
        <w:rPr>
          <w:i/>
          <w:iCs/>
          <w:color w:val="000000"/>
        </w:rPr>
      </w:pPr>
      <w:r w:rsidRPr="0004462F">
        <w:rPr>
          <w:i/>
          <w:iCs/>
          <w:color w:val="000000"/>
        </w:rPr>
        <w:t>Attorney for The Northwest Ohio</w:t>
      </w:r>
    </w:p>
    <w:p w:rsidR="0004462F" w:rsidRPr="0004462F" w:rsidP="0004462F" w14:paraId="48C4835A" w14:textId="77777777">
      <w:pPr>
        <w:pStyle w:val="BodyTextIndent3"/>
        <w:spacing w:line="480" w:lineRule="auto"/>
        <w:jc w:val="both"/>
        <w:rPr>
          <w:i/>
          <w:iCs/>
          <w:color w:val="000000"/>
          <w:sz w:val="24"/>
          <w:szCs w:val="24"/>
        </w:rPr>
      </w:pPr>
      <w:r w:rsidRPr="0004462F">
        <w:rPr>
          <w:iCs/>
          <w:color w:val="000000"/>
          <w:sz w:val="24"/>
          <w:szCs w:val="24"/>
        </w:rPr>
        <w:t>January 13, 2020</w:t>
      </w:r>
      <w:r w:rsidRPr="0004462F">
        <w:rPr>
          <w:i/>
          <w:iCs/>
          <w:color w:val="000000"/>
          <w:sz w:val="24"/>
          <w:szCs w:val="24"/>
        </w:rPr>
        <w:tab/>
      </w:r>
      <w:r w:rsidRPr="0004462F">
        <w:rPr>
          <w:i/>
          <w:iCs/>
          <w:color w:val="000000"/>
          <w:sz w:val="24"/>
          <w:szCs w:val="24"/>
        </w:rPr>
        <w:tab/>
      </w:r>
      <w:r w:rsidRPr="0004462F">
        <w:rPr>
          <w:i/>
          <w:iCs/>
          <w:color w:val="000000"/>
          <w:sz w:val="24"/>
          <w:szCs w:val="24"/>
        </w:rPr>
        <w:tab/>
      </w:r>
      <w:r w:rsidRPr="0004462F">
        <w:rPr>
          <w:i/>
          <w:iCs/>
          <w:color w:val="000000"/>
          <w:sz w:val="24"/>
          <w:szCs w:val="24"/>
        </w:rPr>
        <w:tab/>
        <w:t>Aggregation Coalition</w:t>
      </w:r>
    </w:p>
    <w:p w:rsidR="0004462F" w:rsidP="00E710B3" w14:paraId="1D2C1F57" w14:textId="77777777">
      <w:pPr>
        <w:sectPr w:rsidSect="0004462F">
          <w:footerReference w:type="default" r:id="rId8"/>
          <w:pgSz w:w="12240" w:h="15840"/>
          <w:pgMar w:top="1440" w:right="1800" w:bottom="1440" w:left="1800" w:header="720" w:footer="720" w:gutter="0"/>
          <w:pgNumType w:fmt="lowerRoman" w:start="1"/>
          <w:cols w:space="720"/>
          <w:docGrid w:linePitch="360"/>
        </w:sectPr>
      </w:pPr>
    </w:p>
    <w:p w:rsidR="00DC7060" w:rsidRPr="0004462F" w:rsidP="00E710B3" w14:paraId="3D4F6B3B" w14:textId="77777777">
      <w:pPr>
        <w:jc w:val="center"/>
        <w:rPr>
          <w:b/>
          <w:bCs/>
          <w:u w:val="single"/>
        </w:rPr>
      </w:pPr>
      <w:r w:rsidRPr="0004462F">
        <w:rPr>
          <w:b/>
          <w:bCs/>
          <w:u w:val="single"/>
        </w:rPr>
        <w:t>TABLE OF CONTENTS</w:t>
      </w:r>
    </w:p>
    <w:p w:rsidR="00F64D77" w:rsidRPr="0004462F" w:rsidP="00E710B3" w14:paraId="2AD19D29" w14:textId="77777777">
      <w:pPr>
        <w:jc w:val="center"/>
        <w:rPr>
          <w:b/>
          <w:bCs/>
          <w:u w:val="single"/>
        </w:rPr>
      </w:pPr>
    </w:p>
    <w:p w:rsidR="00F64D77" w:rsidRPr="0004462F" w:rsidP="00E710B3" w14:paraId="468708DB" w14:textId="77777777">
      <w:pPr>
        <w:jc w:val="right"/>
        <w:rPr>
          <w:b/>
          <w:bCs/>
        </w:rPr>
      </w:pPr>
      <w:r w:rsidRPr="0004462F">
        <w:rPr>
          <w:b/>
          <w:bCs/>
        </w:rPr>
        <w:t>PAGE</w:t>
      </w:r>
    </w:p>
    <w:p w:rsidR="00F82485" w:rsidRPr="0004462F" w:rsidP="00E710B3" w14:paraId="456BA707" w14:textId="77777777">
      <w:pPr>
        <w:jc w:val="right"/>
        <w:rPr>
          <w:b/>
          <w:bCs/>
        </w:rPr>
      </w:pPr>
    </w:p>
    <w:p w:rsidR="00FF3078" w14:paraId="70AA47B4" w14:textId="03564383">
      <w:pPr>
        <w:pStyle w:val="TOC1"/>
        <w:rPr>
          <w:rFonts w:asciiTheme="minorHAnsi" w:eastAsiaTheme="minorEastAsia" w:hAnsiTheme="minorHAnsi" w:cstheme="minorBidi"/>
          <w:noProof/>
          <w:sz w:val="22"/>
          <w:szCs w:val="22"/>
        </w:rPr>
      </w:pPr>
      <w:r w:rsidRPr="0004462F">
        <w:rPr>
          <w:b/>
        </w:rPr>
        <w:fldChar w:fldCharType="begin"/>
      </w:r>
      <w:r w:rsidRPr="0004462F" w:rsidR="00F82485">
        <w:rPr>
          <w:b/>
        </w:rPr>
        <w:instrText xml:space="preserve"> TOC \o "1-3" \h \z \u </w:instrText>
      </w:r>
      <w:r w:rsidRPr="0004462F">
        <w:rPr>
          <w:b/>
        </w:rPr>
        <w:fldChar w:fldCharType="separate"/>
      </w:r>
      <w:hyperlink w:anchor="_Toc29827595" w:history="1">
        <w:r w:rsidRPr="00390332">
          <w:rPr>
            <w:rStyle w:val="Hyperlink"/>
            <w:noProof/>
          </w:rPr>
          <w:t>I.</w:t>
        </w:r>
        <w:r>
          <w:rPr>
            <w:rFonts w:asciiTheme="minorHAnsi" w:eastAsiaTheme="minorEastAsia" w:hAnsiTheme="minorHAnsi" w:cstheme="minorBidi"/>
            <w:noProof/>
            <w:sz w:val="22"/>
            <w:szCs w:val="22"/>
          </w:rPr>
          <w:tab/>
        </w:r>
        <w:r w:rsidRPr="00390332">
          <w:rPr>
            <w:rStyle w:val="Hyperlink"/>
            <w:noProof/>
          </w:rPr>
          <w:t>RECOMMENDATIONS</w:t>
        </w:r>
        <w:r>
          <w:rPr>
            <w:noProof/>
            <w:webHidden/>
          </w:rPr>
          <w:tab/>
        </w:r>
        <w:r>
          <w:rPr>
            <w:noProof/>
            <w:webHidden/>
          </w:rPr>
          <w:fldChar w:fldCharType="begin"/>
        </w:r>
        <w:r>
          <w:rPr>
            <w:noProof/>
            <w:webHidden/>
          </w:rPr>
          <w:instrText xml:space="preserve"> PAGEREF _Toc29827595 \h </w:instrText>
        </w:r>
        <w:r>
          <w:rPr>
            <w:noProof/>
            <w:webHidden/>
          </w:rPr>
          <w:fldChar w:fldCharType="separate"/>
        </w:r>
        <w:r>
          <w:rPr>
            <w:noProof/>
            <w:webHidden/>
          </w:rPr>
          <w:t>2</w:t>
        </w:r>
        <w:r>
          <w:rPr>
            <w:noProof/>
            <w:webHidden/>
          </w:rPr>
          <w:fldChar w:fldCharType="end"/>
        </w:r>
      </w:hyperlink>
    </w:p>
    <w:p w:rsidR="00FF3078" w14:paraId="4F8DB695" w14:textId="5C1FDF63">
      <w:pPr>
        <w:pStyle w:val="TOC2"/>
        <w:rPr>
          <w:rFonts w:asciiTheme="minorHAnsi" w:eastAsiaTheme="minorEastAsia" w:hAnsiTheme="minorHAnsi" w:cstheme="minorBidi"/>
          <w:noProof/>
          <w:sz w:val="22"/>
          <w:szCs w:val="22"/>
        </w:rPr>
      </w:pPr>
      <w:hyperlink w:anchor="_Toc29827596" w:history="1">
        <w:r w:rsidRPr="00390332" w:rsidR="005D3CC6">
          <w:rPr>
            <w:rStyle w:val="Hyperlink"/>
            <w:noProof/>
          </w:rPr>
          <w:t>O.A.C. 4901-1-02 Filing of pleadings and other documents</w:t>
        </w:r>
        <w:r w:rsidR="005D3CC6">
          <w:rPr>
            <w:noProof/>
            <w:webHidden/>
          </w:rPr>
          <w:tab/>
        </w:r>
        <w:r w:rsidR="005D3CC6">
          <w:rPr>
            <w:noProof/>
            <w:webHidden/>
          </w:rPr>
          <w:fldChar w:fldCharType="begin"/>
        </w:r>
        <w:r w:rsidR="005D3CC6">
          <w:rPr>
            <w:noProof/>
            <w:webHidden/>
          </w:rPr>
          <w:instrText xml:space="preserve"> PAGEREF _Toc29827596 \h </w:instrText>
        </w:r>
        <w:r w:rsidR="005D3CC6">
          <w:rPr>
            <w:noProof/>
            <w:webHidden/>
          </w:rPr>
          <w:fldChar w:fldCharType="separate"/>
        </w:r>
        <w:r w:rsidR="005D3CC6">
          <w:rPr>
            <w:noProof/>
            <w:webHidden/>
          </w:rPr>
          <w:t>2</w:t>
        </w:r>
        <w:r w:rsidR="005D3CC6">
          <w:rPr>
            <w:noProof/>
            <w:webHidden/>
          </w:rPr>
          <w:fldChar w:fldCharType="end"/>
        </w:r>
      </w:hyperlink>
    </w:p>
    <w:p w:rsidR="00FF3078" w14:paraId="0AA24514" w14:textId="4E3F161C">
      <w:pPr>
        <w:pStyle w:val="TOC2"/>
        <w:rPr>
          <w:rFonts w:asciiTheme="minorHAnsi" w:eastAsiaTheme="minorEastAsia" w:hAnsiTheme="minorHAnsi" w:cstheme="minorBidi"/>
          <w:noProof/>
          <w:sz w:val="22"/>
          <w:szCs w:val="22"/>
        </w:rPr>
      </w:pPr>
      <w:hyperlink w:anchor="_Toc29827597" w:history="1">
        <w:r w:rsidRPr="00390332" w:rsidR="005D3CC6">
          <w:rPr>
            <w:rStyle w:val="Hyperlink"/>
            <w:noProof/>
          </w:rPr>
          <w:t>O.A.C. 4901-1-03 Form of pleadings and other papers</w:t>
        </w:r>
        <w:r w:rsidR="005D3CC6">
          <w:rPr>
            <w:noProof/>
            <w:webHidden/>
          </w:rPr>
          <w:tab/>
        </w:r>
        <w:r w:rsidR="005D3CC6">
          <w:rPr>
            <w:noProof/>
            <w:webHidden/>
          </w:rPr>
          <w:fldChar w:fldCharType="begin"/>
        </w:r>
        <w:r w:rsidR="005D3CC6">
          <w:rPr>
            <w:noProof/>
            <w:webHidden/>
          </w:rPr>
          <w:instrText xml:space="preserve"> PAGEREF _Toc29827597 \h </w:instrText>
        </w:r>
        <w:r w:rsidR="005D3CC6">
          <w:rPr>
            <w:noProof/>
            <w:webHidden/>
          </w:rPr>
          <w:fldChar w:fldCharType="separate"/>
        </w:r>
        <w:r w:rsidR="005D3CC6">
          <w:rPr>
            <w:noProof/>
            <w:webHidden/>
          </w:rPr>
          <w:t>2</w:t>
        </w:r>
        <w:r w:rsidR="005D3CC6">
          <w:rPr>
            <w:noProof/>
            <w:webHidden/>
          </w:rPr>
          <w:fldChar w:fldCharType="end"/>
        </w:r>
      </w:hyperlink>
    </w:p>
    <w:p w:rsidR="00FF3078" w14:paraId="0E40C6AB" w14:textId="66BB5084">
      <w:pPr>
        <w:pStyle w:val="TOC2"/>
        <w:rPr>
          <w:rFonts w:asciiTheme="minorHAnsi" w:eastAsiaTheme="minorEastAsia" w:hAnsiTheme="minorHAnsi" w:cstheme="minorBidi"/>
          <w:noProof/>
          <w:sz w:val="22"/>
          <w:szCs w:val="22"/>
        </w:rPr>
      </w:pPr>
      <w:hyperlink w:anchor="_Toc29827598" w:history="1">
        <w:r w:rsidRPr="00390332" w:rsidR="005D3CC6">
          <w:rPr>
            <w:rStyle w:val="Hyperlink"/>
            <w:noProof/>
          </w:rPr>
          <w:t>O.A.C. 4901-1-05 Service of pleadings and other papers</w:t>
        </w:r>
        <w:r w:rsidR="005D3CC6">
          <w:rPr>
            <w:noProof/>
            <w:webHidden/>
          </w:rPr>
          <w:tab/>
        </w:r>
        <w:r w:rsidR="005D3CC6">
          <w:rPr>
            <w:noProof/>
            <w:webHidden/>
          </w:rPr>
          <w:fldChar w:fldCharType="begin"/>
        </w:r>
        <w:r w:rsidR="005D3CC6">
          <w:rPr>
            <w:noProof/>
            <w:webHidden/>
          </w:rPr>
          <w:instrText xml:space="preserve"> PAGEREF _Toc29827598 \h </w:instrText>
        </w:r>
        <w:r w:rsidR="005D3CC6">
          <w:rPr>
            <w:noProof/>
            <w:webHidden/>
          </w:rPr>
          <w:fldChar w:fldCharType="separate"/>
        </w:r>
        <w:r w:rsidR="005D3CC6">
          <w:rPr>
            <w:noProof/>
            <w:webHidden/>
          </w:rPr>
          <w:t>3</w:t>
        </w:r>
        <w:r w:rsidR="005D3CC6">
          <w:rPr>
            <w:noProof/>
            <w:webHidden/>
          </w:rPr>
          <w:fldChar w:fldCharType="end"/>
        </w:r>
      </w:hyperlink>
    </w:p>
    <w:p w:rsidR="00FF3078" w14:paraId="66123CA6" w14:textId="73FEA888">
      <w:pPr>
        <w:pStyle w:val="TOC2"/>
        <w:rPr>
          <w:rFonts w:asciiTheme="minorHAnsi" w:eastAsiaTheme="minorEastAsia" w:hAnsiTheme="minorHAnsi" w:cstheme="minorBidi"/>
          <w:noProof/>
          <w:sz w:val="22"/>
          <w:szCs w:val="22"/>
        </w:rPr>
      </w:pPr>
      <w:hyperlink w:anchor="_Toc29827599" w:history="1">
        <w:r w:rsidRPr="00390332" w:rsidR="005D3CC6">
          <w:rPr>
            <w:rStyle w:val="Hyperlink"/>
            <w:noProof/>
          </w:rPr>
          <w:t>O.A.C. 4901-1-08 Practice before the commission, representation of corporations, and designation of counsel of record.</w:t>
        </w:r>
        <w:r w:rsidR="005D3CC6">
          <w:rPr>
            <w:noProof/>
            <w:webHidden/>
          </w:rPr>
          <w:tab/>
        </w:r>
        <w:r w:rsidR="005D3CC6">
          <w:rPr>
            <w:noProof/>
            <w:webHidden/>
          </w:rPr>
          <w:fldChar w:fldCharType="begin"/>
        </w:r>
        <w:r w:rsidR="005D3CC6">
          <w:rPr>
            <w:noProof/>
            <w:webHidden/>
          </w:rPr>
          <w:instrText xml:space="preserve"> PAGEREF _Toc29827599 \h </w:instrText>
        </w:r>
        <w:r w:rsidR="005D3CC6">
          <w:rPr>
            <w:noProof/>
            <w:webHidden/>
          </w:rPr>
          <w:fldChar w:fldCharType="separate"/>
        </w:r>
        <w:r w:rsidR="005D3CC6">
          <w:rPr>
            <w:noProof/>
            <w:webHidden/>
          </w:rPr>
          <w:t>3</w:t>
        </w:r>
        <w:r w:rsidR="005D3CC6">
          <w:rPr>
            <w:noProof/>
            <w:webHidden/>
          </w:rPr>
          <w:fldChar w:fldCharType="end"/>
        </w:r>
      </w:hyperlink>
    </w:p>
    <w:p w:rsidR="00FF3078" w14:paraId="64ADA4CA" w14:textId="56BE61C3">
      <w:pPr>
        <w:pStyle w:val="TOC2"/>
        <w:rPr>
          <w:rFonts w:asciiTheme="minorHAnsi" w:eastAsiaTheme="minorEastAsia" w:hAnsiTheme="minorHAnsi" w:cstheme="minorBidi"/>
          <w:noProof/>
          <w:sz w:val="22"/>
          <w:szCs w:val="22"/>
        </w:rPr>
      </w:pPr>
      <w:hyperlink w:anchor="_Toc29827600" w:history="1">
        <w:r w:rsidRPr="00390332" w:rsidR="005D3CC6">
          <w:rPr>
            <w:rStyle w:val="Hyperlink"/>
            <w:noProof/>
          </w:rPr>
          <w:t>O.A.C. 4901-1-09 Ex parte discussion of cases</w:t>
        </w:r>
        <w:r w:rsidR="005D3CC6">
          <w:rPr>
            <w:noProof/>
            <w:webHidden/>
          </w:rPr>
          <w:tab/>
        </w:r>
        <w:r w:rsidR="005D3CC6">
          <w:rPr>
            <w:noProof/>
            <w:webHidden/>
          </w:rPr>
          <w:fldChar w:fldCharType="begin"/>
        </w:r>
        <w:r w:rsidR="005D3CC6">
          <w:rPr>
            <w:noProof/>
            <w:webHidden/>
          </w:rPr>
          <w:instrText xml:space="preserve"> PAGEREF _Toc29827600 \h </w:instrText>
        </w:r>
        <w:r w:rsidR="005D3CC6">
          <w:rPr>
            <w:noProof/>
            <w:webHidden/>
          </w:rPr>
          <w:fldChar w:fldCharType="separate"/>
        </w:r>
        <w:r w:rsidR="005D3CC6">
          <w:rPr>
            <w:noProof/>
            <w:webHidden/>
          </w:rPr>
          <w:t>4</w:t>
        </w:r>
        <w:r w:rsidR="005D3CC6">
          <w:rPr>
            <w:noProof/>
            <w:webHidden/>
          </w:rPr>
          <w:fldChar w:fldCharType="end"/>
        </w:r>
      </w:hyperlink>
    </w:p>
    <w:p w:rsidR="00FF3078" w14:paraId="7497B637" w14:textId="44968551">
      <w:pPr>
        <w:pStyle w:val="TOC2"/>
        <w:rPr>
          <w:rFonts w:asciiTheme="minorHAnsi" w:eastAsiaTheme="minorEastAsia" w:hAnsiTheme="minorHAnsi" w:cstheme="minorBidi"/>
          <w:noProof/>
          <w:sz w:val="22"/>
          <w:szCs w:val="22"/>
        </w:rPr>
      </w:pPr>
      <w:hyperlink w:anchor="_Toc29827601" w:history="1">
        <w:r w:rsidRPr="00390332" w:rsidR="005D3CC6">
          <w:rPr>
            <w:rStyle w:val="Hyperlink"/>
            <w:noProof/>
          </w:rPr>
          <w:t>O.A.C. 4901-1-10 Parties</w:t>
        </w:r>
        <w:r w:rsidR="005D3CC6">
          <w:rPr>
            <w:noProof/>
            <w:webHidden/>
          </w:rPr>
          <w:tab/>
        </w:r>
        <w:r w:rsidR="005D3CC6">
          <w:rPr>
            <w:noProof/>
            <w:webHidden/>
          </w:rPr>
          <w:fldChar w:fldCharType="begin"/>
        </w:r>
        <w:r w:rsidR="005D3CC6">
          <w:rPr>
            <w:noProof/>
            <w:webHidden/>
          </w:rPr>
          <w:instrText xml:space="preserve"> PAGEREF _Toc29827601 \h </w:instrText>
        </w:r>
        <w:r w:rsidR="005D3CC6">
          <w:rPr>
            <w:noProof/>
            <w:webHidden/>
          </w:rPr>
          <w:fldChar w:fldCharType="separate"/>
        </w:r>
        <w:r w:rsidR="005D3CC6">
          <w:rPr>
            <w:noProof/>
            <w:webHidden/>
          </w:rPr>
          <w:t>6</w:t>
        </w:r>
        <w:r w:rsidR="005D3CC6">
          <w:rPr>
            <w:noProof/>
            <w:webHidden/>
          </w:rPr>
          <w:fldChar w:fldCharType="end"/>
        </w:r>
      </w:hyperlink>
    </w:p>
    <w:p w:rsidR="00FF3078" w14:paraId="7B365E34" w14:textId="5E043947">
      <w:pPr>
        <w:pStyle w:val="TOC2"/>
        <w:rPr>
          <w:rFonts w:asciiTheme="minorHAnsi" w:eastAsiaTheme="minorEastAsia" w:hAnsiTheme="minorHAnsi" w:cstheme="minorBidi"/>
          <w:noProof/>
          <w:sz w:val="22"/>
          <w:szCs w:val="22"/>
        </w:rPr>
      </w:pPr>
      <w:hyperlink w:anchor="_Toc29827602" w:history="1">
        <w:r w:rsidRPr="00390332" w:rsidR="005D3CC6">
          <w:rPr>
            <w:rStyle w:val="Hyperlink"/>
            <w:noProof/>
          </w:rPr>
          <w:t>O.A.C. 4901-1-11 Intervention</w:t>
        </w:r>
        <w:r w:rsidR="005D3CC6">
          <w:rPr>
            <w:noProof/>
            <w:webHidden/>
          </w:rPr>
          <w:tab/>
        </w:r>
        <w:r w:rsidR="005D3CC6">
          <w:rPr>
            <w:noProof/>
            <w:webHidden/>
          </w:rPr>
          <w:fldChar w:fldCharType="begin"/>
        </w:r>
        <w:r w:rsidR="005D3CC6">
          <w:rPr>
            <w:noProof/>
            <w:webHidden/>
          </w:rPr>
          <w:instrText xml:space="preserve"> PAGEREF _Toc29827602 \h </w:instrText>
        </w:r>
        <w:r w:rsidR="005D3CC6">
          <w:rPr>
            <w:noProof/>
            <w:webHidden/>
          </w:rPr>
          <w:fldChar w:fldCharType="separate"/>
        </w:r>
        <w:r w:rsidR="005D3CC6">
          <w:rPr>
            <w:noProof/>
            <w:webHidden/>
          </w:rPr>
          <w:t>7</w:t>
        </w:r>
        <w:r w:rsidR="005D3CC6">
          <w:rPr>
            <w:noProof/>
            <w:webHidden/>
          </w:rPr>
          <w:fldChar w:fldCharType="end"/>
        </w:r>
      </w:hyperlink>
    </w:p>
    <w:p w:rsidR="00FF3078" w14:paraId="6FC8E567" w14:textId="69E2B182">
      <w:pPr>
        <w:pStyle w:val="TOC3"/>
        <w:tabs>
          <w:tab w:val="left" w:pos="2160"/>
        </w:tabs>
        <w:rPr>
          <w:rFonts w:asciiTheme="minorHAnsi" w:eastAsiaTheme="minorEastAsia" w:hAnsiTheme="minorHAnsi" w:cstheme="minorBidi"/>
          <w:noProof/>
          <w:sz w:val="22"/>
          <w:szCs w:val="22"/>
        </w:rPr>
      </w:pPr>
      <w:hyperlink w:anchor="_Toc29827603" w:history="1">
        <w:r w:rsidRPr="00390332" w:rsidR="005D3CC6">
          <w:rPr>
            <w:rStyle w:val="Hyperlink"/>
            <w:noProof/>
          </w:rPr>
          <w:t>A.</w:t>
        </w:r>
        <w:r w:rsidR="005D3CC6">
          <w:rPr>
            <w:rFonts w:asciiTheme="minorHAnsi" w:eastAsiaTheme="minorEastAsia" w:hAnsiTheme="minorHAnsi" w:cstheme="minorBidi"/>
            <w:noProof/>
            <w:sz w:val="22"/>
            <w:szCs w:val="22"/>
          </w:rPr>
          <w:tab/>
        </w:r>
        <w:r w:rsidRPr="00390332" w:rsidR="005D3CC6">
          <w:rPr>
            <w:rStyle w:val="Hyperlink"/>
            <w:noProof/>
          </w:rPr>
          <w:t>Rule 4901-1-11(B)(5) should be deleted as contrary to R.C. 4903.221 and Ohio Supreme Court precedent.</w:t>
        </w:r>
        <w:r w:rsidR="005D3CC6">
          <w:rPr>
            <w:noProof/>
            <w:webHidden/>
          </w:rPr>
          <w:tab/>
        </w:r>
        <w:r w:rsidR="005D3CC6">
          <w:rPr>
            <w:noProof/>
            <w:webHidden/>
          </w:rPr>
          <w:fldChar w:fldCharType="begin"/>
        </w:r>
        <w:r w:rsidR="005D3CC6">
          <w:rPr>
            <w:noProof/>
            <w:webHidden/>
          </w:rPr>
          <w:instrText xml:space="preserve"> PAGEREF _Toc29827603 \h </w:instrText>
        </w:r>
        <w:r w:rsidR="005D3CC6">
          <w:rPr>
            <w:noProof/>
            <w:webHidden/>
          </w:rPr>
          <w:fldChar w:fldCharType="separate"/>
        </w:r>
        <w:r w:rsidR="005D3CC6">
          <w:rPr>
            <w:noProof/>
            <w:webHidden/>
          </w:rPr>
          <w:t>7</w:t>
        </w:r>
        <w:r w:rsidR="005D3CC6">
          <w:rPr>
            <w:noProof/>
            <w:webHidden/>
          </w:rPr>
          <w:fldChar w:fldCharType="end"/>
        </w:r>
      </w:hyperlink>
    </w:p>
    <w:p w:rsidR="00FF3078" w14:paraId="09158BA5" w14:textId="52AB859D">
      <w:pPr>
        <w:pStyle w:val="TOC2"/>
        <w:rPr>
          <w:rFonts w:asciiTheme="minorHAnsi" w:eastAsiaTheme="minorEastAsia" w:hAnsiTheme="minorHAnsi" w:cstheme="minorBidi"/>
          <w:noProof/>
          <w:sz w:val="22"/>
          <w:szCs w:val="22"/>
        </w:rPr>
      </w:pPr>
      <w:hyperlink w:anchor="_Toc29827604" w:history="1">
        <w:r w:rsidRPr="00390332" w:rsidR="005D3CC6">
          <w:rPr>
            <w:rStyle w:val="Hyperlink"/>
            <w:noProof/>
          </w:rPr>
          <w:t>O.A.C. 4901-1-15 Interlocutory appeals</w:t>
        </w:r>
        <w:r w:rsidR="005D3CC6">
          <w:rPr>
            <w:noProof/>
            <w:webHidden/>
          </w:rPr>
          <w:tab/>
        </w:r>
        <w:r w:rsidR="005D3CC6">
          <w:rPr>
            <w:noProof/>
            <w:webHidden/>
          </w:rPr>
          <w:fldChar w:fldCharType="begin"/>
        </w:r>
        <w:r w:rsidR="005D3CC6">
          <w:rPr>
            <w:noProof/>
            <w:webHidden/>
          </w:rPr>
          <w:instrText xml:space="preserve"> PAGEREF _Toc29827604 \h </w:instrText>
        </w:r>
        <w:r w:rsidR="005D3CC6">
          <w:rPr>
            <w:noProof/>
            <w:webHidden/>
          </w:rPr>
          <w:fldChar w:fldCharType="separate"/>
        </w:r>
        <w:r w:rsidR="005D3CC6">
          <w:rPr>
            <w:noProof/>
            <w:webHidden/>
          </w:rPr>
          <w:t>9</w:t>
        </w:r>
        <w:r w:rsidR="005D3CC6">
          <w:rPr>
            <w:noProof/>
            <w:webHidden/>
          </w:rPr>
          <w:fldChar w:fldCharType="end"/>
        </w:r>
      </w:hyperlink>
    </w:p>
    <w:p w:rsidR="00FF3078" w14:paraId="1A9AE9B9" w14:textId="2198DA86">
      <w:pPr>
        <w:pStyle w:val="TOC2"/>
        <w:rPr>
          <w:rFonts w:asciiTheme="minorHAnsi" w:eastAsiaTheme="minorEastAsia" w:hAnsiTheme="minorHAnsi" w:cstheme="minorBidi"/>
          <w:noProof/>
          <w:sz w:val="22"/>
          <w:szCs w:val="22"/>
        </w:rPr>
      </w:pPr>
      <w:hyperlink w:anchor="_Toc29827605" w:history="1">
        <w:r w:rsidRPr="00390332" w:rsidR="005D3CC6">
          <w:rPr>
            <w:rStyle w:val="Hyperlink"/>
            <w:noProof/>
          </w:rPr>
          <w:t>O.A.C. 4901-1-16 General provisions and scope of discovery</w:t>
        </w:r>
        <w:r w:rsidR="005D3CC6">
          <w:rPr>
            <w:noProof/>
            <w:webHidden/>
          </w:rPr>
          <w:tab/>
        </w:r>
        <w:r w:rsidR="005D3CC6">
          <w:rPr>
            <w:noProof/>
            <w:webHidden/>
          </w:rPr>
          <w:fldChar w:fldCharType="begin"/>
        </w:r>
        <w:r w:rsidR="005D3CC6">
          <w:rPr>
            <w:noProof/>
            <w:webHidden/>
          </w:rPr>
          <w:instrText xml:space="preserve"> PAGEREF _Toc29827605 \h </w:instrText>
        </w:r>
        <w:r w:rsidR="005D3CC6">
          <w:rPr>
            <w:noProof/>
            <w:webHidden/>
          </w:rPr>
          <w:fldChar w:fldCharType="separate"/>
        </w:r>
        <w:r w:rsidR="005D3CC6">
          <w:rPr>
            <w:noProof/>
            <w:webHidden/>
          </w:rPr>
          <w:t>11</w:t>
        </w:r>
        <w:r w:rsidR="005D3CC6">
          <w:rPr>
            <w:noProof/>
            <w:webHidden/>
          </w:rPr>
          <w:fldChar w:fldCharType="end"/>
        </w:r>
      </w:hyperlink>
    </w:p>
    <w:p w:rsidR="00FF3078" w14:paraId="44051B33" w14:textId="3797548D">
      <w:pPr>
        <w:pStyle w:val="TOC2"/>
        <w:rPr>
          <w:rFonts w:asciiTheme="minorHAnsi" w:eastAsiaTheme="minorEastAsia" w:hAnsiTheme="minorHAnsi" w:cstheme="minorBidi"/>
          <w:noProof/>
          <w:sz w:val="22"/>
          <w:szCs w:val="22"/>
        </w:rPr>
      </w:pPr>
      <w:hyperlink w:anchor="_Toc29827606" w:history="1">
        <w:r w:rsidRPr="00390332" w:rsidR="005D3CC6">
          <w:rPr>
            <w:rStyle w:val="Hyperlink"/>
            <w:noProof/>
          </w:rPr>
          <w:t>O.A.C. 4901-1-17 Time periods for discovery</w:t>
        </w:r>
        <w:r w:rsidR="005D3CC6">
          <w:rPr>
            <w:noProof/>
            <w:webHidden/>
          </w:rPr>
          <w:tab/>
        </w:r>
        <w:r w:rsidR="005D3CC6">
          <w:rPr>
            <w:noProof/>
            <w:webHidden/>
          </w:rPr>
          <w:fldChar w:fldCharType="begin"/>
        </w:r>
        <w:r w:rsidR="005D3CC6">
          <w:rPr>
            <w:noProof/>
            <w:webHidden/>
          </w:rPr>
          <w:instrText xml:space="preserve"> PAGEREF _Toc29827606 \h </w:instrText>
        </w:r>
        <w:r w:rsidR="005D3CC6">
          <w:rPr>
            <w:noProof/>
            <w:webHidden/>
          </w:rPr>
          <w:fldChar w:fldCharType="separate"/>
        </w:r>
        <w:r w:rsidR="005D3CC6">
          <w:rPr>
            <w:noProof/>
            <w:webHidden/>
          </w:rPr>
          <w:t>11</w:t>
        </w:r>
        <w:r w:rsidR="005D3CC6">
          <w:rPr>
            <w:noProof/>
            <w:webHidden/>
          </w:rPr>
          <w:fldChar w:fldCharType="end"/>
        </w:r>
      </w:hyperlink>
    </w:p>
    <w:p w:rsidR="00FF3078" w14:paraId="12F147D3" w14:textId="0CE303D3">
      <w:pPr>
        <w:pStyle w:val="TOC2"/>
        <w:rPr>
          <w:rFonts w:asciiTheme="minorHAnsi" w:eastAsiaTheme="minorEastAsia" w:hAnsiTheme="minorHAnsi" w:cstheme="minorBidi"/>
          <w:noProof/>
          <w:sz w:val="22"/>
          <w:szCs w:val="22"/>
        </w:rPr>
      </w:pPr>
      <w:hyperlink w:anchor="_Toc29827607" w:history="1">
        <w:r w:rsidRPr="00390332" w:rsidR="005D3CC6">
          <w:rPr>
            <w:rStyle w:val="Hyperlink"/>
            <w:noProof/>
          </w:rPr>
          <w:t>O.A.C. 4901-1-19 Interrogatories and response time</w:t>
        </w:r>
        <w:r w:rsidR="005D3CC6">
          <w:rPr>
            <w:noProof/>
            <w:webHidden/>
          </w:rPr>
          <w:tab/>
        </w:r>
        <w:r w:rsidR="005D3CC6">
          <w:rPr>
            <w:noProof/>
            <w:webHidden/>
          </w:rPr>
          <w:fldChar w:fldCharType="begin"/>
        </w:r>
        <w:r w:rsidR="005D3CC6">
          <w:rPr>
            <w:noProof/>
            <w:webHidden/>
          </w:rPr>
          <w:instrText xml:space="preserve"> PAGEREF _Toc29827607 \h </w:instrText>
        </w:r>
        <w:r w:rsidR="005D3CC6">
          <w:rPr>
            <w:noProof/>
            <w:webHidden/>
          </w:rPr>
          <w:fldChar w:fldCharType="separate"/>
        </w:r>
        <w:r w:rsidR="005D3CC6">
          <w:rPr>
            <w:noProof/>
            <w:webHidden/>
          </w:rPr>
          <w:t>12</w:t>
        </w:r>
        <w:r w:rsidR="005D3CC6">
          <w:rPr>
            <w:noProof/>
            <w:webHidden/>
          </w:rPr>
          <w:fldChar w:fldCharType="end"/>
        </w:r>
      </w:hyperlink>
    </w:p>
    <w:p w:rsidR="00FF3078" w14:paraId="4D5D2A64" w14:textId="01D4B3C9">
      <w:pPr>
        <w:pStyle w:val="TOC2"/>
        <w:rPr>
          <w:rFonts w:asciiTheme="minorHAnsi" w:eastAsiaTheme="minorEastAsia" w:hAnsiTheme="minorHAnsi" w:cstheme="minorBidi"/>
          <w:noProof/>
          <w:sz w:val="22"/>
          <w:szCs w:val="22"/>
        </w:rPr>
      </w:pPr>
      <w:hyperlink w:anchor="_Toc29827608" w:history="1">
        <w:r w:rsidRPr="00390332" w:rsidR="005D3CC6">
          <w:rPr>
            <w:rStyle w:val="Hyperlink"/>
            <w:noProof/>
          </w:rPr>
          <w:t>O.A.C. 4901-1-20 Production of documents and things; entry upon land or other property</w:t>
        </w:r>
        <w:r w:rsidR="005D3CC6">
          <w:rPr>
            <w:noProof/>
            <w:webHidden/>
          </w:rPr>
          <w:tab/>
        </w:r>
        <w:r w:rsidR="005D3CC6">
          <w:rPr>
            <w:noProof/>
            <w:webHidden/>
          </w:rPr>
          <w:fldChar w:fldCharType="begin"/>
        </w:r>
        <w:r w:rsidR="005D3CC6">
          <w:rPr>
            <w:noProof/>
            <w:webHidden/>
          </w:rPr>
          <w:instrText xml:space="preserve"> PAGEREF _Toc29827608 \h </w:instrText>
        </w:r>
        <w:r w:rsidR="005D3CC6">
          <w:rPr>
            <w:noProof/>
            <w:webHidden/>
          </w:rPr>
          <w:fldChar w:fldCharType="separate"/>
        </w:r>
        <w:r w:rsidR="005D3CC6">
          <w:rPr>
            <w:noProof/>
            <w:webHidden/>
          </w:rPr>
          <w:t>13</w:t>
        </w:r>
        <w:r w:rsidR="005D3CC6">
          <w:rPr>
            <w:noProof/>
            <w:webHidden/>
          </w:rPr>
          <w:fldChar w:fldCharType="end"/>
        </w:r>
      </w:hyperlink>
    </w:p>
    <w:p w:rsidR="00FF3078" w14:paraId="0A3015C6" w14:textId="5B4F1FCF">
      <w:pPr>
        <w:pStyle w:val="TOC2"/>
        <w:rPr>
          <w:rFonts w:asciiTheme="minorHAnsi" w:eastAsiaTheme="minorEastAsia" w:hAnsiTheme="minorHAnsi" w:cstheme="minorBidi"/>
          <w:noProof/>
          <w:sz w:val="22"/>
          <w:szCs w:val="22"/>
        </w:rPr>
      </w:pPr>
      <w:hyperlink w:anchor="_Toc29827609" w:history="1">
        <w:r w:rsidRPr="00390332" w:rsidR="005D3CC6">
          <w:rPr>
            <w:rStyle w:val="Hyperlink"/>
            <w:noProof/>
          </w:rPr>
          <w:t>O.A.C. 4901-1-21 Depositions</w:t>
        </w:r>
        <w:r w:rsidR="005D3CC6">
          <w:rPr>
            <w:noProof/>
            <w:webHidden/>
          </w:rPr>
          <w:tab/>
        </w:r>
        <w:r w:rsidR="005D3CC6">
          <w:rPr>
            <w:noProof/>
            <w:webHidden/>
          </w:rPr>
          <w:fldChar w:fldCharType="begin"/>
        </w:r>
        <w:r w:rsidR="005D3CC6">
          <w:rPr>
            <w:noProof/>
            <w:webHidden/>
          </w:rPr>
          <w:instrText xml:space="preserve"> PAGEREF _Toc29827609 \h </w:instrText>
        </w:r>
        <w:r w:rsidR="005D3CC6">
          <w:rPr>
            <w:noProof/>
            <w:webHidden/>
          </w:rPr>
          <w:fldChar w:fldCharType="separate"/>
        </w:r>
        <w:r w:rsidR="005D3CC6">
          <w:rPr>
            <w:noProof/>
            <w:webHidden/>
          </w:rPr>
          <w:t>14</w:t>
        </w:r>
        <w:r w:rsidR="005D3CC6">
          <w:rPr>
            <w:noProof/>
            <w:webHidden/>
          </w:rPr>
          <w:fldChar w:fldCharType="end"/>
        </w:r>
      </w:hyperlink>
    </w:p>
    <w:p w:rsidR="00FF3078" w14:paraId="71BFFF6E" w14:textId="39D582E6">
      <w:pPr>
        <w:pStyle w:val="TOC2"/>
        <w:rPr>
          <w:rFonts w:asciiTheme="minorHAnsi" w:eastAsiaTheme="minorEastAsia" w:hAnsiTheme="minorHAnsi" w:cstheme="minorBidi"/>
          <w:noProof/>
          <w:sz w:val="22"/>
          <w:szCs w:val="22"/>
        </w:rPr>
      </w:pPr>
      <w:hyperlink w:anchor="_Toc29827610" w:history="1">
        <w:r w:rsidRPr="00390332" w:rsidR="005D3CC6">
          <w:rPr>
            <w:rStyle w:val="Hyperlink"/>
            <w:noProof/>
          </w:rPr>
          <w:t>O.A.C. 4901-1-22 Requests for admission</w:t>
        </w:r>
        <w:r w:rsidR="005D3CC6">
          <w:rPr>
            <w:noProof/>
            <w:webHidden/>
          </w:rPr>
          <w:tab/>
        </w:r>
        <w:r w:rsidR="005D3CC6">
          <w:rPr>
            <w:noProof/>
            <w:webHidden/>
          </w:rPr>
          <w:fldChar w:fldCharType="begin"/>
        </w:r>
        <w:r w:rsidR="005D3CC6">
          <w:rPr>
            <w:noProof/>
            <w:webHidden/>
          </w:rPr>
          <w:instrText xml:space="preserve"> PAGEREF _Toc29827610 \h </w:instrText>
        </w:r>
        <w:r w:rsidR="005D3CC6">
          <w:rPr>
            <w:noProof/>
            <w:webHidden/>
          </w:rPr>
          <w:fldChar w:fldCharType="separate"/>
        </w:r>
        <w:r w:rsidR="005D3CC6">
          <w:rPr>
            <w:noProof/>
            <w:webHidden/>
          </w:rPr>
          <w:t>16</w:t>
        </w:r>
        <w:r w:rsidR="005D3CC6">
          <w:rPr>
            <w:noProof/>
            <w:webHidden/>
          </w:rPr>
          <w:fldChar w:fldCharType="end"/>
        </w:r>
      </w:hyperlink>
    </w:p>
    <w:p w:rsidR="00FF3078" w14:paraId="6DB70922" w14:textId="08F812FB">
      <w:pPr>
        <w:pStyle w:val="TOC2"/>
        <w:rPr>
          <w:rFonts w:asciiTheme="minorHAnsi" w:eastAsiaTheme="minorEastAsia" w:hAnsiTheme="minorHAnsi" w:cstheme="minorBidi"/>
          <w:noProof/>
          <w:sz w:val="22"/>
          <w:szCs w:val="22"/>
        </w:rPr>
      </w:pPr>
      <w:hyperlink w:anchor="_Toc29827611" w:history="1">
        <w:r w:rsidRPr="00390332" w:rsidR="005D3CC6">
          <w:rPr>
            <w:rStyle w:val="Hyperlink"/>
            <w:noProof/>
          </w:rPr>
          <w:t>O.A.C. 4901-1-25 Subpoenas</w:t>
        </w:r>
        <w:r w:rsidR="005D3CC6">
          <w:rPr>
            <w:noProof/>
            <w:webHidden/>
          </w:rPr>
          <w:tab/>
        </w:r>
        <w:r w:rsidR="005D3CC6">
          <w:rPr>
            <w:noProof/>
            <w:webHidden/>
          </w:rPr>
          <w:fldChar w:fldCharType="begin"/>
        </w:r>
        <w:r w:rsidR="005D3CC6">
          <w:rPr>
            <w:noProof/>
            <w:webHidden/>
          </w:rPr>
          <w:instrText xml:space="preserve"> PAGEREF _Toc29827611 \h </w:instrText>
        </w:r>
        <w:r w:rsidR="005D3CC6">
          <w:rPr>
            <w:noProof/>
            <w:webHidden/>
          </w:rPr>
          <w:fldChar w:fldCharType="separate"/>
        </w:r>
        <w:r w:rsidR="005D3CC6">
          <w:rPr>
            <w:noProof/>
            <w:webHidden/>
          </w:rPr>
          <w:t>17</w:t>
        </w:r>
        <w:r w:rsidR="005D3CC6">
          <w:rPr>
            <w:noProof/>
            <w:webHidden/>
          </w:rPr>
          <w:fldChar w:fldCharType="end"/>
        </w:r>
      </w:hyperlink>
    </w:p>
    <w:p w:rsidR="00FF3078" w14:paraId="21E64607" w14:textId="1071CD2F">
      <w:pPr>
        <w:pStyle w:val="TOC2"/>
        <w:rPr>
          <w:rFonts w:asciiTheme="minorHAnsi" w:eastAsiaTheme="minorEastAsia" w:hAnsiTheme="minorHAnsi" w:cstheme="minorBidi"/>
          <w:noProof/>
          <w:sz w:val="22"/>
          <w:szCs w:val="22"/>
        </w:rPr>
      </w:pPr>
      <w:hyperlink w:anchor="_Toc29827612" w:history="1">
        <w:r w:rsidRPr="00390332" w:rsidR="005D3CC6">
          <w:rPr>
            <w:rStyle w:val="Hyperlink"/>
            <w:noProof/>
          </w:rPr>
          <w:t>O.A.C. 4901-1-26 Prehearing conferences</w:t>
        </w:r>
        <w:r w:rsidR="005D3CC6">
          <w:rPr>
            <w:noProof/>
            <w:webHidden/>
          </w:rPr>
          <w:tab/>
        </w:r>
        <w:r w:rsidR="005D3CC6">
          <w:rPr>
            <w:noProof/>
            <w:webHidden/>
          </w:rPr>
          <w:fldChar w:fldCharType="begin"/>
        </w:r>
        <w:r w:rsidR="005D3CC6">
          <w:rPr>
            <w:noProof/>
            <w:webHidden/>
          </w:rPr>
          <w:instrText xml:space="preserve"> PAGEREF _Toc29827612 \h </w:instrText>
        </w:r>
        <w:r w:rsidR="005D3CC6">
          <w:rPr>
            <w:noProof/>
            <w:webHidden/>
          </w:rPr>
          <w:fldChar w:fldCharType="separate"/>
        </w:r>
        <w:r w:rsidR="005D3CC6">
          <w:rPr>
            <w:noProof/>
            <w:webHidden/>
          </w:rPr>
          <w:t>19</w:t>
        </w:r>
        <w:r w:rsidR="005D3CC6">
          <w:rPr>
            <w:noProof/>
            <w:webHidden/>
          </w:rPr>
          <w:fldChar w:fldCharType="end"/>
        </w:r>
      </w:hyperlink>
    </w:p>
    <w:p w:rsidR="00FF3078" w14:paraId="1A194AF2" w14:textId="4242F63A">
      <w:pPr>
        <w:pStyle w:val="TOC2"/>
        <w:rPr>
          <w:rFonts w:asciiTheme="minorHAnsi" w:eastAsiaTheme="minorEastAsia" w:hAnsiTheme="minorHAnsi" w:cstheme="minorBidi"/>
          <w:noProof/>
          <w:sz w:val="22"/>
          <w:szCs w:val="22"/>
        </w:rPr>
      </w:pPr>
      <w:hyperlink w:anchor="_Toc29827613" w:history="1">
        <w:r w:rsidRPr="00390332" w:rsidR="005D3CC6">
          <w:rPr>
            <w:rStyle w:val="Hyperlink"/>
            <w:noProof/>
          </w:rPr>
          <w:t>O.A.C. 4901-1-28 Reports of investigation and objections thereto</w:t>
        </w:r>
        <w:r w:rsidR="005D3CC6">
          <w:rPr>
            <w:noProof/>
            <w:webHidden/>
          </w:rPr>
          <w:tab/>
        </w:r>
        <w:r w:rsidR="005D3CC6">
          <w:rPr>
            <w:noProof/>
            <w:webHidden/>
          </w:rPr>
          <w:fldChar w:fldCharType="begin"/>
        </w:r>
        <w:r w:rsidR="005D3CC6">
          <w:rPr>
            <w:noProof/>
            <w:webHidden/>
          </w:rPr>
          <w:instrText xml:space="preserve"> PAGEREF _Toc29827613 \h </w:instrText>
        </w:r>
        <w:r w:rsidR="005D3CC6">
          <w:rPr>
            <w:noProof/>
            <w:webHidden/>
          </w:rPr>
          <w:fldChar w:fldCharType="separate"/>
        </w:r>
        <w:r w:rsidR="005D3CC6">
          <w:rPr>
            <w:noProof/>
            <w:webHidden/>
          </w:rPr>
          <w:t>19</w:t>
        </w:r>
        <w:r w:rsidR="005D3CC6">
          <w:rPr>
            <w:noProof/>
            <w:webHidden/>
          </w:rPr>
          <w:fldChar w:fldCharType="end"/>
        </w:r>
      </w:hyperlink>
    </w:p>
    <w:p w:rsidR="00FF3078" w14:paraId="575CD591" w14:textId="2698AE55">
      <w:pPr>
        <w:pStyle w:val="TOC2"/>
        <w:rPr>
          <w:rFonts w:asciiTheme="minorHAnsi" w:eastAsiaTheme="minorEastAsia" w:hAnsiTheme="minorHAnsi" w:cstheme="minorBidi"/>
          <w:noProof/>
          <w:sz w:val="22"/>
          <w:szCs w:val="22"/>
        </w:rPr>
      </w:pPr>
      <w:hyperlink w:anchor="_Toc29827614" w:history="1">
        <w:r w:rsidRPr="00390332" w:rsidR="005D3CC6">
          <w:rPr>
            <w:rStyle w:val="Hyperlink"/>
            <w:noProof/>
          </w:rPr>
          <w:t>O.A.C. 4901-1-29 Expert testimony</w:t>
        </w:r>
        <w:r w:rsidR="005D3CC6">
          <w:rPr>
            <w:noProof/>
            <w:webHidden/>
          </w:rPr>
          <w:tab/>
        </w:r>
        <w:r w:rsidR="005D3CC6">
          <w:rPr>
            <w:noProof/>
            <w:webHidden/>
          </w:rPr>
          <w:fldChar w:fldCharType="begin"/>
        </w:r>
        <w:r w:rsidR="005D3CC6">
          <w:rPr>
            <w:noProof/>
            <w:webHidden/>
          </w:rPr>
          <w:instrText xml:space="preserve"> PAGEREF _Toc29827614 \h </w:instrText>
        </w:r>
        <w:r w:rsidR="005D3CC6">
          <w:rPr>
            <w:noProof/>
            <w:webHidden/>
          </w:rPr>
          <w:fldChar w:fldCharType="separate"/>
        </w:r>
        <w:r w:rsidR="005D3CC6">
          <w:rPr>
            <w:noProof/>
            <w:webHidden/>
          </w:rPr>
          <w:t>21</w:t>
        </w:r>
        <w:r w:rsidR="005D3CC6">
          <w:rPr>
            <w:noProof/>
            <w:webHidden/>
          </w:rPr>
          <w:fldChar w:fldCharType="end"/>
        </w:r>
      </w:hyperlink>
    </w:p>
    <w:p w:rsidR="00FF3078" w14:paraId="1F7A0999" w14:textId="167C12A0">
      <w:pPr>
        <w:pStyle w:val="TOC2"/>
        <w:rPr>
          <w:rFonts w:asciiTheme="minorHAnsi" w:eastAsiaTheme="minorEastAsia" w:hAnsiTheme="minorHAnsi" w:cstheme="minorBidi"/>
          <w:noProof/>
          <w:sz w:val="22"/>
          <w:szCs w:val="22"/>
        </w:rPr>
      </w:pPr>
      <w:hyperlink w:anchor="_Toc29827615" w:history="1">
        <w:r w:rsidRPr="00390332" w:rsidR="005D3CC6">
          <w:rPr>
            <w:rStyle w:val="Hyperlink"/>
            <w:noProof/>
          </w:rPr>
          <w:t>O.A.C. 4901-1-30 Stipulations</w:t>
        </w:r>
        <w:r w:rsidR="005D3CC6">
          <w:rPr>
            <w:noProof/>
            <w:webHidden/>
          </w:rPr>
          <w:tab/>
        </w:r>
        <w:r w:rsidR="005D3CC6">
          <w:rPr>
            <w:noProof/>
            <w:webHidden/>
          </w:rPr>
          <w:fldChar w:fldCharType="begin"/>
        </w:r>
        <w:r w:rsidR="005D3CC6">
          <w:rPr>
            <w:noProof/>
            <w:webHidden/>
          </w:rPr>
          <w:instrText xml:space="preserve"> PAGEREF _Toc29827615 \h </w:instrText>
        </w:r>
        <w:r w:rsidR="005D3CC6">
          <w:rPr>
            <w:noProof/>
            <w:webHidden/>
          </w:rPr>
          <w:fldChar w:fldCharType="separate"/>
        </w:r>
        <w:r w:rsidR="005D3CC6">
          <w:rPr>
            <w:noProof/>
            <w:webHidden/>
          </w:rPr>
          <w:t>22</w:t>
        </w:r>
        <w:r w:rsidR="005D3CC6">
          <w:rPr>
            <w:noProof/>
            <w:webHidden/>
          </w:rPr>
          <w:fldChar w:fldCharType="end"/>
        </w:r>
      </w:hyperlink>
    </w:p>
    <w:p w:rsidR="00FF3078" w14:paraId="27CEF7F8" w14:textId="18011ECF">
      <w:pPr>
        <w:pStyle w:val="TOC2"/>
        <w:rPr>
          <w:rFonts w:asciiTheme="minorHAnsi" w:eastAsiaTheme="minorEastAsia" w:hAnsiTheme="minorHAnsi" w:cstheme="minorBidi"/>
          <w:noProof/>
          <w:sz w:val="22"/>
          <w:szCs w:val="22"/>
        </w:rPr>
      </w:pPr>
      <w:hyperlink w:anchor="_Toc29827616" w:history="1">
        <w:r w:rsidRPr="00390332" w:rsidR="005D3CC6">
          <w:rPr>
            <w:rStyle w:val="Hyperlink"/>
            <w:noProof/>
          </w:rPr>
          <w:t>O.A.C. 4901-1-35 Applications for rehearing</w:t>
        </w:r>
        <w:r w:rsidR="005D3CC6">
          <w:rPr>
            <w:noProof/>
            <w:webHidden/>
          </w:rPr>
          <w:tab/>
        </w:r>
        <w:r w:rsidR="005D3CC6">
          <w:rPr>
            <w:noProof/>
            <w:webHidden/>
          </w:rPr>
          <w:fldChar w:fldCharType="begin"/>
        </w:r>
        <w:r w:rsidR="005D3CC6">
          <w:rPr>
            <w:noProof/>
            <w:webHidden/>
          </w:rPr>
          <w:instrText xml:space="preserve"> PAGEREF _Toc29827616 \h </w:instrText>
        </w:r>
        <w:r w:rsidR="005D3CC6">
          <w:rPr>
            <w:noProof/>
            <w:webHidden/>
          </w:rPr>
          <w:fldChar w:fldCharType="separate"/>
        </w:r>
        <w:r w:rsidR="005D3CC6">
          <w:rPr>
            <w:noProof/>
            <w:webHidden/>
          </w:rPr>
          <w:t>28</w:t>
        </w:r>
        <w:r w:rsidR="005D3CC6">
          <w:rPr>
            <w:noProof/>
            <w:webHidden/>
          </w:rPr>
          <w:fldChar w:fldCharType="end"/>
        </w:r>
      </w:hyperlink>
    </w:p>
    <w:p w:rsidR="00FF3078" w14:paraId="4A0BA036" w14:textId="08280473">
      <w:pPr>
        <w:pStyle w:val="TOC2"/>
        <w:rPr>
          <w:rFonts w:asciiTheme="minorHAnsi" w:eastAsiaTheme="minorEastAsia" w:hAnsiTheme="minorHAnsi" w:cstheme="minorBidi"/>
          <w:noProof/>
          <w:sz w:val="22"/>
          <w:szCs w:val="22"/>
        </w:rPr>
      </w:pPr>
      <w:hyperlink w:anchor="_Toc29827617" w:history="1">
        <w:r w:rsidRPr="00390332" w:rsidR="005D3CC6">
          <w:rPr>
            <w:rStyle w:val="Hyperlink"/>
            <w:noProof/>
          </w:rPr>
          <w:t>New Rule: 4901-1-39 Supporting Documentation for Tariff Filings</w:t>
        </w:r>
        <w:r w:rsidR="005D3CC6">
          <w:rPr>
            <w:noProof/>
            <w:webHidden/>
          </w:rPr>
          <w:tab/>
        </w:r>
        <w:r w:rsidR="005D3CC6">
          <w:rPr>
            <w:noProof/>
            <w:webHidden/>
          </w:rPr>
          <w:fldChar w:fldCharType="begin"/>
        </w:r>
        <w:r w:rsidR="005D3CC6">
          <w:rPr>
            <w:noProof/>
            <w:webHidden/>
          </w:rPr>
          <w:instrText xml:space="preserve"> PAGEREF _Toc29827617 \h </w:instrText>
        </w:r>
        <w:r w:rsidR="005D3CC6">
          <w:rPr>
            <w:noProof/>
            <w:webHidden/>
          </w:rPr>
          <w:fldChar w:fldCharType="separate"/>
        </w:r>
        <w:r w:rsidR="005D3CC6">
          <w:rPr>
            <w:noProof/>
            <w:webHidden/>
          </w:rPr>
          <w:t>28</w:t>
        </w:r>
        <w:r w:rsidR="005D3CC6">
          <w:rPr>
            <w:noProof/>
            <w:webHidden/>
          </w:rPr>
          <w:fldChar w:fldCharType="end"/>
        </w:r>
      </w:hyperlink>
    </w:p>
    <w:p w:rsidR="00FF3078" w14:paraId="3B0E1D85" w14:textId="56D4EF01">
      <w:pPr>
        <w:pStyle w:val="TOC1"/>
        <w:rPr>
          <w:rFonts w:asciiTheme="minorHAnsi" w:eastAsiaTheme="minorEastAsia" w:hAnsiTheme="minorHAnsi" w:cstheme="minorBidi"/>
          <w:noProof/>
          <w:sz w:val="22"/>
          <w:szCs w:val="22"/>
        </w:rPr>
      </w:pPr>
      <w:hyperlink w:anchor="_Toc29827618" w:history="1">
        <w:r w:rsidRPr="00390332" w:rsidR="005D3CC6">
          <w:rPr>
            <w:rStyle w:val="Hyperlink"/>
            <w:noProof/>
          </w:rPr>
          <w:t>II.</w:t>
        </w:r>
        <w:r w:rsidR="005D3CC6">
          <w:rPr>
            <w:rFonts w:asciiTheme="minorHAnsi" w:eastAsiaTheme="minorEastAsia" w:hAnsiTheme="minorHAnsi" w:cstheme="minorBidi"/>
            <w:noProof/>
            <w:sz w:val="22"/>
            <w:szCs w:val="22"/>
          </w:rPr>
          <w:tab/>
        </w:r>
        <w:r w:rsidRPr="00390332" w:rsidR="005D3CC6">
          <w:rPr>
            <w:rStyle w:val="Hyperlink"/>
            <w:noProof/>
          </w:rPr>
          <w:t>CONCLUSION</w:t>
        </w:r>
        <w:r w:rsidR="005D3CC6">
          <w:rPr>
            <w:noProof/>
            <w:webHidden/>
          </w:rPr>
          <w:tab/>
        </w:r>
        <w:r w:rsidR="005D3CC6">
          <w:rPr>
            <w:noProof/>
            <w:webHidden/>
          </w:rPr>
          <w:fldChar w:fldCharType="begin"/>
        </w:r>
        <w:r w:rsidR="005D3CC6">
          <w:rPr>
            <w:noProof/>
            <w:webHidden/>
          </w:rPr>
          <w:instrText xml:space="preserve"> PAGEREF _Toc29827618 \h </w:instrText>
        </w:r>
        <w:r w:rsidR="005D3CC6">
          <w:rPr>
            <w:noProof/>
            <w:webHidden/>
          </w:rPr>
          <w:fldChar w:fldCharType="separate"/>
        </w:r>
        <w:r w:rsidR="005D3CC6">
          <w:rPr>
            <w:noProof/>
            <w:webHidden/>
          </w:rPr>
          <w:t>30</w:t>
        </w:r>
        <w:r w:rsidR="005D3CC6">
          <w:rPr>
            <w:noProof/>
            <w:webHidden/>
          </w:rPr>
          <w:fldChar w:fldCharType="end"/>
        </w:r>
      </w:hyperlink>
    </w:p>
    <w:p w:rsidR="0004462F" w:rsidP="00F82485" w14:paraId="1DC77062" w14:textId="2AD962A6">
      <w:pPr>
        <w:ind w:left="2880" w:firstLine="720"/>
        <w:rPr>
          <w:b/>
        </w:rPr>
        <w:sectPr w:rsidSect="0004462F">
          <w:headerReference w:type="default" r:id="rId9"/>
          <w:footerReference w:type="default" r:id="rId10"/>
          <w:pgSz w:w="12240" w:h="15840"/>
          <w:pgMar w:top="1440" w:right="1800" w:bottom="1440" w:left="1800" w:header="720" w:footer="720" w:gutter="0"/>
          <w:pgNumType w:fmt="lowerRoman" w:start="1"/>
          <w:cols w:space="720"/>
          <w:docGrid w:linePitch="360"/>
        </w:sectPr>
      </w:pPr>
      <w:r w:rsidRPr="0004462F">
        <w:rPr>
          <w:b/>
        </w:rPr>
        <w:fldChar w:fldCharType="end"/>
      </w:r>
    </w:p>
    <w:p w:rsidR="00DC7060" w:rsidRPr="0004462F" w:rsidP="00F82485" w14:paraId="6A9773B0" w14:textId="25ADF61D">
      <w:pPr>
        <w:ind w:left="2880" w:firstLine="720"/>
        <w:rPr>
          <w:b/>
        </w:rPr>
      </w:pPr>
      <w:r w:rsidRPr="0004462F">
        <w:rPr>
          <w:b/>
        </w:rPr>
        <w:t>BEFORE</w:t>
      </w:r>
    </w:p>
    <w:p w:rsidR="00DC7060" w:rsidRPr="0004462F" w:rsidP="00E710B3" w14:paraId="4F3E1CF3" w14:textId="77777777">
      <w:pPr>
        <w:jc w:val="center"/>
        <w:rPr>
          <w:b/>
        </w:rPr>
      </w:pPr>
      <w:r w:rsidRPr="0004462F">
        <w:rPr>
          <w:b/>
        </w:rPr>
        <w:t>THE PUBLIC UTILITIES COMMISSION OF OHIO</w:t>
      </w:r>
    </w:p>
    <w:p w:rsidR="00665656" w:rsidRPr="0004462F" w:rsidP="00E710B3" w14:paraId="1CE9735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p>
    <w:tbl>
      <w:tblPr>
        <w:tblW w:w="9092" w:type="dxa"/>
        <w:tblLook w:val="01E0"/>
      </w:tblPr>
      <w:tblGrid>
        <w:gridCol w:w="4332"/>
        <w:gridCol w:w="360"/>
        <w:gridCol w:w="4400"/>
      </w:tblGrid>
      <w:tr w14:paraId="477C30AC" w14:textId="77777777" w:rsidTr="00620F7D">
        <w:tblPrEx>
          <w:tblW w:w="9092" w:type="dxa"/>
          <w:tblLook w:val="01E0"/>
        </w:tblPrEx>
        <w:trPr>
          <w:trHeight w:val="807"/>
        </w:trPr>
        <w:tc>
          <w:tcPr>
            <w:tcW w:w="4332" w:type="dxa"/>
            <w:shd w:val="clear" w:color="auto" w:fill="auto"/>
          </w:tcPr>
          <w:p w:rsidR="00665656" w:rsidRPr="0004462F" w:rsidP="00E710B3" w14:paraId="42FA9B02" w14:textId="77777777">
            <w:pPr>
              <w:pStyle w:val="InsideAddress"/>
              <w:rPr>
                <w:rFonts w:ascii="Times New Roman" w:eastAsia="Times New Roman" w:hAnsi="Times New Roman"/>
                <w:szCs w:val="24"/>
              </w:rPr>
            </w:pPr>
            <w:r w:rsidRPr="0004462F">
              <w:rPr>
                <w:rFonts w:ascii="Times New Roman" w:eastAsia="Times New Roman" w:hAnsi="Times New Roman"/>
                <w:szCs w:val="24"/>
              </w:rPr>
              <w:t>In the Matter of the Review of Ohio Adm.</w:t>
            </w:r>
            <w:r w:rsidRPr="0004462F" w:rsidR="00056EC0">
              <w:rPr>
                <w:rFonts w:ascii="Times New Roman" w:eastAsia="Times New Roman" w:hAnsi="Times New Roman"/>
                <w:szCs w:val="24"/>
              </w:rPr>
              <w:t xml:space="preserve"> </w:t>
            </w:r>
            <w:r w:rsidRPr="0004462F">
              <w:rPr>
                <w:rFonts w:ascii="Times New Roman" w:eastAsia="Times New Roman" w:hAnsi="Times New Roman"/>
                <w:szCs w:val="24"/>
              </w:rPr>
              <w:t>Code Chapter 4901-1 Rules Regarding Practice and Procedure Before the Commission.</w:t>
            </w:r>
          </w:p>
        </w:tc>
        <w:tc>
          <w:tcPr>
            <w:tcW w:w="360" w:type="dxa"/>
            <w:shd w:val="clear" w:color="auto" w:fill="auto"/>
          </w:tcPr>
          <w:p w:rsidR="00665656" w:rsidRPr="0004462F" w:rsidP="00E710B3" w14:paraId="231983BB"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p w:rsidR="00665656" w:rsidRPr="0004462F" w:rsidP="00E710B3" w14:paraId="24DF54E8"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p w:rsidR="00665656" w:rsidRPr="0004462F" w:rsidP="00E710B3" w14:paraId="26C9160F"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p w:rsidR="00665656" w:rsidRPr="0004462F" w:rsidP="00E710B3" w14:paraId="0B6005C2" w14:textId="77777777">
            <w:pPr>
              <w:pStyle w:val="HTMLPreformatted"/>
              <w:rPr>
                <w:rFonts w:ascii="Times New Roman" w:hAnsi="Times New Roman" w:cs="Times New Roman"/>
                <w:sz w:val="24"/>
                <w:szCs w:val="24"/>
              </w:rPr>
            </w:pPr>
            <w:r w:rsidRPr="0004462F">
              <w:rPr>
                <w:rFonts w:ascii="Times New Roman" w:hAnsi="Times New Roman" w:cs="Times New Roman"/>
                <w:sz w:val="24"/>
                <w:szCs w:val="24"/>
              </w:rPr>
              <w:t>)</w:t>
            </w:r>
          </w:p>
        </w:tc>
        <w:tc>
          <w:tcPr>
            <w:tcW w:w="4400" w:type="dxa"/>
            <w:shd w:val="clear" w:color="auto" w:fill="auto"/>
          </w:tcPr>
          <w:p w:rsidR="00665656" w:rsidRPr="0004462F" w:rsidP="00E710B3" w14:paraId="7DC9A1D0" w14:textId="77777777">
            <w:pPr>
              <w:pStyle w:val="HTMLPreformatted"/>
              <w:rPr>
                <w:rFonts w:ascii="Times New Roman" w:hAnsi="Times New Roman" w:cs="Times New Roman"/>
                <w:sz w:val="24"/>
                <w:szCs w:val="24"/>
              </w:rPr>
            </w:pPr>
          </w:p>
          <w:p w:rsidR="00665656" w:rsidRPr="0004462F" w:rsidP="00E710B3" w14:paraId="3B51AD90" w14:textId="7AC55AF8">
            <w:pPr>
              <w:pStyle w:val="HTMLPreformatted"/>
              <w:rPr>
                <w:rFonts w:ascii="Times New Roman" w:hAnsi="Times New Roman" w:cs="Times New Roman"/>
                <w:sz w:val="24"/>
                <w:szCs w:val="24"/>
              </w:rPr>
            </w:pPr>
            <w:r w:rsidRPr="0004462F">
              <w:rPr>
                <w:rFonts w:ascii="Times New Roman" w:hAnsi="Times New Roman" w:cs="Times New Roman"/>
                <w:sz w:val="24"/>
                <w:szCs w:val="24"/>
              </w:rPr>
              <w:t xml:space="preserve">Case No. 18-275-AU-ORD </w:t>
            </w:r>
          </w:p>
        </w:tc>
      </w:tr>
    </w:tbl>
    <w:p w:rsidR="00DC7060" w:rsidRPr="0004462F" w:rsidP="00E710B3" w14:paraId="02641BA4" w14:textId="77777777">
      <w:pPr>
        <w:pBdr>
          <w:bottom w:val="single" w:sz="12" w:space="1" w:color="auto"/>
        </w:pBdr>
      </w:pPr>
    </w:p>
    <w:p w:rsidR="00F02B94" w:rsidRPr="0004462F" w:rsidP="00E710B3" w14:paraId="55851E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3714A" w:rsidRPr="0004462F" w:rsidP="0003714A" w14:paraId="6EE81A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62F">
        <w:rPr>
          <w:b/>
        </w:rPr>
        <w:t>COMMENTS ON THE PUCO’S RULES OF PRACTICE</w:t>
      </w:r>
    </w:p>
    <w:p w:rsidR="00F02B94" w:rsidRPr="0004462F" w:rsidP="00E710B3" w14:paraId="594ECAD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62F">
        <w:rPr>
          <w:b/>
        </w:rPr>
        <w:t>BY</w:t>
      </w:r>
    </w:p>
    <w:p w:rsidR="0003714A" w:rsidRPr="0004462F" w:rsidP="00E710B3" w14:paraId="3EC888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62F">
        <w:rPr>
          <w:b/>
        </w:rPr>
        <w:t>THE OFFICE OF THE OHIO CONSUMERS' COUNSEL</w:t>
      </w:r>
      <w:r w:rsidRPr="0004462F" w:rsidR="0000300C">
        <w:rPr>
          <w:b/>
        </w:rPr>
        <w:t xml:space="preserve"> </w:t>
      </w:r>
    </w:p>
    <w:p w:rsidR="00F02B94" w:rsidRPr="0004462F" w:rsidP="00E710B3" w14:paraId="2E2E38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r w:rsidRPr="0004462F">
        <w:rPr>
          <w:b/>
        </w:rPr>
        <w:t xml:space="preserve">AND </w:t>
      </w:r>
      <w:r w:rsidRPr="0004462F">
        <w:rPr>
          <w:b/>
        </w:rPr>
        <w:br/>
        <w:t>THE NORTHWEST OHIO AGGREGATION COALITION</w:t>
      </w:r>
    </w:p>
    <w:p w:rsidR="00F02B94" w:rsidRPr="0004462F" w:rsidP="00E710B3" w14:paraId="3E4969B5"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rPr>
      </w:pPr>
    </w:p>
    <w:p w:rsidR="00F02B94" w:rsidRPr="0004462F" w:rsidP="00E710B3" w14:paraId="2169074B" w14:textId="77777777">
      <w:pPr>
        <w:rPr>
          <w:rFonts w:eastAsiaTheme="minorEastAsia"/>
        </w:rPr>
      </w:pPr>
    </w:p>
    <w:p w:rsidR="00056EC0" w:rsidRPr="0004462F" w:rsidP="00E710B3" w14:paraId="5549871C" w14:textId="7A03B1B5">
      <w:pPr>
        <w:spacing w:line="480" w:lineRule="auto"/>
        <w:ind w:firstLine="720"/>
      </w:pPr>
      <w:bookmarkStart w:id="1" w:name="_Toc25592383"/>
      <w:bookmarkStart w:id="2" w:name="_Toc25592664"/>
      <w:bookmarkStart w:id="3" w:name="_Toc25592785"/>
      <w:bookmarkStart w:id="4" w:name="_Toc25593103"/>
      <w:r w:rsidRPr="0004462F">
        <w:t>The PUCO’s rules should provide for a fair</w:t>
      </w:r>
      <w:r w:rsidRPr="0004462F" w:rsidR="00635EE5">
        <w:t>, just</w:t>
      </w:r>
      <w:r w:rsidRPr="0004462F">
        <w:t xml:space="preserve"> and </w:t>
      </w:r>
      <w:r w:rsidRPr="0004462F" w:rsidR="00635EE5">
        <w:t xml:space="preserve">efficient </w:t>
      </w:r>
      <w:r w:rsidRPr="0004462F">
        <w:t xml:space="preserve">process in its administrative proceedings—a process that </w:t>
      </w:r>
      <w:r w:rsidRPr="0004462F" w:rsidR="00635EE5">
        <w:t xml:space="preserve">promotes justice and </w:t>
      </w:r>
      <w:r w:rsidRPr="0004462F">
        <w:t xml:space="preserve">allows all interested parties a chance to be fully heard on the </w:t>
      </w:r>
      <w:r w:rsidRPr="0004462F" w:rsidR="00635EE5">
        <w:t xml:space="preserve">significant </w:t>
      </w:r>
      <w:r w:rsidRPr="0004462F">
        <w:t xml:space="preserve">issues that affect utilities and </w:t>
      </w:r>
      <w:r w:rsidRPr="0004462F" w:rsidR="0065072A">
        <w:t xml:space="preserve">millions of Ohio </w:t>
      </w:r>
      <w:r w:rsidRPr="0004462F">
        <w:t xml:space="preserve">customers. </w:t>
      </w:r>
      <w:r w:rsidRPr="0004462F" w:rsidR="00F13F71">
        <w:t xml:space="preserve">Ohio </w:t>
      </w:r>
      <w:r w:rsidRPr="0004462F">
        <w:t>Administrative Code Chapter 4901-1 contains many of the PUCO’s most important rules in this regard.</w:t>
      </w:r>
      <w:r w:rsidR="008C5061">
        <w:t xml:space="preserve">  This opportunity to comment is appreciated.</w:t>
      </w:r>
    </w:p>
    <w:p w:rsidR="00CA4238" w:rsidRPr="0004462F" w:rsidP="00E710B3" w14:paraId="00D1263A" w14:textId="559F082C">
      <w:pPr>
        <w:spacing w:line="480" w:lineRule="auto"/>
        <w:ind w:firstLine="720"/>
      </w:pPr>
      <w:r w:rsidRPr="0004462F">
        <w:t xml:space="preserve">The Office of the Ohio Consumers’ Counsel (“OCC”) regularly participates in </w:t>
      </w:r>
      <w:r w:rsidRPr="0004462F" w:rsidR="0065072A">
        <w:t>many</w:t>
      </w:r>
      <w:r w:rsidRPr="0004462F">
        <w:t xml:space="preserve"> types of cases before the </w:t>
      </w:r>
      <w:r w:rsidRPr="0004462F" w:rsidR="00F8338A">
        <w:t>PUCO</w:t>
      </w:r>
      <w:r w:rsidRPr="0004462F" w:rsidR="009F39BF">
        <w:t>. A</w:t>
      </w:r>
      <w:r w:rsidRPr="0004462F">
        <w:t xml:space="preserve">nd </w:t>
      </w:r>
      <w:r w:rsidRPr="0004462F" w:rsidR="009F39BF">
        <w:t xml:space="preserve">OCC </w:t>
      </w:r>
      <w:r w:rsidRPr="0004462F">
        <w:t>has spent thousand</w:t>
      </w:r>
      <w:r w:rsidRPr="0004462F" w:rsidR="009F39BF">
        <w:t>s</w:t>
      </w:r>
      <w:r w:rsidRPr="0004462F">
        <w:t xml:space="preserve"> upon thousands of hours over the last 40</w:t>
      </w:r>
      <w:r w:rsidRPr="0004462F" w:rsidR="009F39BF">
        <w:t>-</w:t>
      </w:r>
      <w:r w:rsidRPr="0004462F">
        <w:t>plus years</w:t>
      </w:r>
      <w:r w:rsidRPr="0004462F" w:rsidR="00252E40">
        <w:t xml:space="preserve"> for consumer protection</w:t>
      </w:r>
      <w:r w:rsidRPr="0004462F">
        <w:t xml:space="preserve"> in the </w:t>
      </w:r>
      <w:r w:rsidRPr="0004462F" w:rsidR="009F39BF">
        <w:t xml:space="preserve">PUCO’s </w:t>
      </w:r>
      <w:r w:rsidRPr="0004462F">
        <w:t>regulatory process.</w:t>
      </w:r>
      <w:r w:rsidRPr="0004462F" w:rsidR="0065072A">
        <w:t xml:space="preserve"> For its part, the Northwest Ohio Aggregation Coalition</w:t>
      </w:r>
      <w:r w:rsidRPr="0004462F" w:rsidR="0000300C">
        <w:t xml:space="preserve"> (“NOAC”)</w:t>
      </w:r>
      <w:r w:rsidRPr="0004462F" w:rsidR="0065072A">
        <w:t xml:space="preserve"> and its local community members have advocated for </w:t>
      </w:r>
      <w:r w:rsidRPr="0004462F" w:rsidR="00252E40">
        <w:t>N</w:t>
      </w:r>
      <w:r w:rsidRPr="0004462F" w:rsidR="0065072A">
        <w:t>orthwest Ohioans since the advent of electric deregulation.</w:t>
      </w:r>
      <w:r w:rsidRPr="0004462F">
        <w:t xml:space="preserve"> Accordingly, </w:t>
      </w:r>
      <w:r w:rsidRPr="0004462F" w:rsidR="0065072A">
        <w:t>these Comments contain</w:t>
      </w:r>
      <w:r w:rsidRPr="0004462F">
        <w:t xml:space="preserve"> recommendations for modifications and improvements to the PUCO’s current rules. </w:t>
      </w:r>
    </w:p>
    <w:p w:rsidR="00CA4238" w:rsidRPr="0004462F" w14:paraId="72B42581" w14:textId="77777777">
      <w:pPr>
        <w:rPr>
          <w:b/>
          <w:bCs/>
        </w:rPr>
      </w:pPr>
      <w:r w:rsidRPr="0004462F">
        <w:rPr>
          <w:b/>
          <w:bCs/>
        </w:rPr>
        <w:br w:type="page"/>
      </w:r>
    </w:p>
    <w:p w:rsidR="00E710B3" w:rsidRPr="0004462F" w:rsidP="0016455A" w14:paraId="040FCD0A" w14:textId="77777777">
      <w:pPr>
        <w:pStyle w:val="Heading1"/>
        <w:rPr>
          <w:rFonts w:ascii="Times New Roman" w:hAnsi="Times New Roman" w:cs="Times New Roman"/>
          <w:szCs w:val="24"/>
        </w:rPr>
      </w:pPr>
      <w:bookmarkStart w:id="5" w:name="_Toc29827595"/>
      <w:r w:rsidRPr="0004462F">
        <w:rPr>
          <w:rFonts w:ascii="Times New Roman" w:hAnsi="Times New Roman" w:cs="Times New Roman"/>
          <w:szCs w:val="24"/>
        </w:rPr>
        <w:t>I.</w:t>
      </w:r>
      <w:r w:rsidRPr="0004462F">
        <w:rPr>
          <w:rFonts w:ascii="Times New Roman" w:hAnsi="Times New Roman" w:cs="Times New Roman"/>
          <w:szCs w:val="24"/>
        </w:rPr>
        <w:tab/>
        <w:t>RECOMMENDATIONS</w:t>
      </w:r>
      <w:bookmarkEnd w:id="5"/>
    </w:p>
    <w:p w:rsidR="004F12B7" w:rsidRPr="0004462F" w:rsidP="00712CE5" w14:paraId="6D39AB5B" w14:textId="77777777">
      <w:pPr>
        <w:pStyle w:val="Heading2"/>
        <w:rPr>
          <w:rFonts w:ascii="Times New Roman" w:hAnsi="Times New Roman" w:cs="Times New Roman"/>
          <w:szCs w:val="24"/>
        </w:rPr>
      </w:pPr>
      <w:bookmarkStart w:id="6" w:name="_Toc29827596"/>
      <w:bookmarkStart w:id="7" w:name="_Toc25593109"/>
      <w:bookmarkEnd w:id="1"/>
      <w:bookmarkEnd w:id="2"/>
      <w:bookmarkEnd w:id="3"/>
      <w:bookmarkEnd w:id="4"/>
      <w:r w:rsidRPr="0004462F">
        <w:rPr>
          <w:rFonts w:ascii="Times New Roman" w:hAnsi="Times New Roman" w:cs="Times New Roman"/>
          <w:szCs w:val="24"/>
        </w:rPr>
        <w:t>O.A.C. 4901-1-02 Filing of pleadings and other documents</w:t>
      </w:r>
      <w:bookmarkEnd w:id="6"/>
    </w:p>
    <w:p w:rsidR="00C03A1E" w:rsidRPr="0004462F" w:rsidP="00E710B3" w14:paraId="586FC123" w14:textId="77777777">
      <w:pPr>
        <w:spacing w:line="480" w:lineRule="auto"/>
        <w:ind w:firstLine="720"/>
      </w:pPr>
      <w:r w:rsidRPr="0004462F">
        <w:t xml:space="preserve">First, </w:t>
      </w:r>
      <w:r w:rsidRPr="0004462F" w:rsidR="0025639A">
        <w:t xml:space="preserve">there should be </w:t>
      </w:r>
      <w:r w:rsidRPr="0004462F">
        <w:t xml:space="preserve">changes to the rule for opening a closed case. Currently, when a case is closed, any person seeking to reopen a case must contact the attorney examiner. </w:t>
      </w:r>
      <w:r w:rsidRPr="0004462F" w:rsidR="00C87EE8">
        <w:t xml:space="preserve">The rule should require that </w:t>
      </w:r>
      <w:r w:rsidRPr="0004462F">
        <w:t xml:space="preserve">all other parties to the case be included on any such communication. </w:t>
      </w:r>
      <w:r w:rsidRPr="0004462F" w:rsidR="00F86344">
        <w:t>This process</w:t>
      </w:r>
      <w:r w:rsidRPr="0004462F">
        <w:t xml:space="preserve"> should be treated similarly</w:t>
      </w:r>
      <w:r w:rsidRPr="0004462F" w:rsidR="00F86344">
        <w:t xml:space="preserve"> to an ex parte communication</w:t>
      </w:r>
      <w:r w:rsidRPr="0004462F">
        <w:t xml:space="preserve"> </w:t>
      </w:r>
      <w:r w:rsidRPr="0004462F" w:rsidR="00F86344">
        <w:t xml:space="preserve">to promote fairness. </w:t>
      </w:r>
      <w:r w:rsidRPr="0004462F" w:rsidR="00C87EE8">
        <w:t>T</w:t>
      </w:r>
      <w:r w:rsidRPr="0004462F">
        <w:t>he following change</w:t>
      </w:r>
      <w:r w:rsidRPr="0004462F" w:rsidR="00827419">
        <w:t xml:space="preserve">s to </w:t>
      </w:r>
      <w:r w:rsidRPr="0004462F" w:rsidR="00387E8C">
        <w:t xml:space="preserve">O.A.C. </w:t>
      </w:r>
      <w:r w:rsidRPr="0004462F" w:rsidR="00827419">
        <w:t>4901-1-02(E)(2)</w:t>
      </w:r>
      <w:r w:rsidRPr="0004462F" w:rsidR="00C87EE8">
        <w:t xml:space="preserve"> should be adopted</w:t>
      </w:r>
      <w:r w:rsidRPr="0004462F" w:rsidR="00827419">
        <w:t>:</w:t>
      </w:r>
    </w:p>
    <w:p w:rsidR="00827419" w:rsidRPr="0004462F" w:rsidP="00827419" w14:paraId="525137F3" w14:textId="77777777">
      <w:pPr>
        <w:spacing w:after="240"/>
        <w:ind w:left="720" w:right="720"/>
        <w:jc w:val="both"/>
        <w:rPr>
          <w:rFonts w:eastAsia="Times New Roman"/>
          <w:color w:val="000000"/>
        </w:rPr>
      </w:pPr>
      <w:r w:rsidRPr="0004462F">
        <w:rPr>
          <w:rFonts w:eastAsia="Times New Roman"/>
          <w:color w:val="000000"/>
        </w:rPr>
        <w:t xml:space="preserve">A closed case is one in which no further filings may be made without the consent of the commission's legal department. When a case is closed, any person seeking to make a filing in a case must first contact the ALJ assigned to the case or the commission's legal director. </w:t>
      </w:r>
      <w:r w:rsidRPr="0004462F">
        <w:rPr>
          <w:rFonts w:eastAsia="Times New Roman"/>
          <w:color w:val="FF0000"/>
          <w:u w:val="single"/>
        </w:rPr>
        <w:t xml:space="preserve">If the contact is made by email, all parties to the case shall be copied on such email. If the contact is </w:t>
      </w:r>
      <w:r w:rsidRPr="0004462F" w:rsidR="002E74BD">
        <w:rPr>
          <w:rFonts w:eastAsia="Times New Roman"/>
          <w:color w:val="FF0000"/>
          <w:u w:val="single"/>
        </w:rPr>
        <w:t xml:space="preserve">to be </w:t>
      </w:r>
      <w:r w:rsidRPr="0004462F">
        <w:rPr>
          <w:rFonts w:eastAsia="Times New Roman"/>
          <w:color w:val="FF0000"/>
          <w:u w:val="single"/>
        </w:rPr>
        <w:t>made by phone, all parties shall be invited to participate on such call. If the contact is</w:t>
      </w:r>
      <w:r w:rsidRPr="0004462F" w:rsidR="002E74BD">
        <w:rPr>
          <w:rFonts w:eastAsia="Times New Roman"/>
          <w:color w:val="FF0000"/>
          <w:u w:val="single"/>
        </w:rPr>
        <w:t xml:space="preserve"> to be</w:t>
      </w:r>
      <w:r w:rsidRPr="0004462F">
        <w:rPr>
          <w:rFonts w:eastAsia="Times New Roman"/>
          <w:color w:val="FF0000"/>
          <w:u w:val="single"/>
        </w:rPr>
        <w:t xml:space="preserve"> made in person, all parties shall be invited to attend such in-person meeting.</w:t>
      </w:r>
      <w:r w:rsidRPr="0004462F">
        <w:rPr>
          <w:rFonts w:eastAsia="Times New Roman"/>
          <w:color w:val="000000"/>
        </w:rPr>
        <w:t xml:space="preserve"> If the ALJ or legal director agrees to permit the filing, the docketing division will be notified to reopen the case. If an additional filing is permitted, the case status will be changed to open and service of the filing must be made by the filer upon the parties to the case in accordance wit</w:t>
      </w:r>
      <w:r w:rsidRPr="0004462F">
        <w:rPr>
          <w:rFonts w:eastAsia="Times New Roman"/>
        </w:rPr>
        <w:t>h rule 4901-1-05 o</w:t>
      </w:r>
      <w:r w:rsidRPr="0004462F">
        <w:rPr>
          <w:rFonts w:eastAsia="Times New Roman"/>
          <w:color w:val="000000"/>
        </w:rPr>
        <w:t>f the Administrative Code.</w:t>
      </w:r>
    </w:p>
    <w:p w:rsidR="0016455A" w:rsidRPr="0004462F" w14:paraId="10DC561F" w14:textId="77777777">
      <w:pPr>
        <w:rPr>
          <w:b/>
          <w:bCs/>
          <w:u w:val="single"/>
        </w:rPr>
      </w:pPr>
    </w:p>
    <w:p w:rsidR="00C03A1E" w:rsidRPr="0004462F" w:rsidP="00712CE5" w14:paraId="6FE0ABDD" w14:textId="77777777">
      <w:pPr>
        <w:pStyle w:val="Heading2"/>
        <w:rPr>
          <w:rFonts w:ascii="Times New Roman" w:hAnsi="Times New Roman" w:cs="Times New Roman"/>
          <w:szCs w:val="24"/>
        </w:rPr>
      </w:pPr>
      <w:bookmarkStart w:id="8" w:name="_Toc29827597"/>
      <w:r w:rsidRPr="0004462F">
        <w:rPr>
          <w:rFonts w:ascii="Times New Roman" w:hAnsi="Times New Roman" w:cs="Times New Roman"/>
          <w:szCs w:val="24"/>
        </w:rPr>
        <w:t xml:space="preserve">O.A.C. </w:t>
      </w:r>
      <w:r w:rsidRPr="0004462F" w:rsidR="002E74BD">
        <w:rPr>
          <w:rFonts w:ascii="Times New Roman" w:hAnsi="Times New Roman" w:cs="Times New Roman"/>
          <w:szCs w:val="24"/>
        </w:rPr>
        <w:t>4901-1-03 Form of pleadings and other papers</w:t>
      </w:r>
      <w:bookmarkEnd w:id="8"/>
    </w:p>
    <w:p w:rsidR="00F86344" w:rsidRPr="0004462F" w:rsidP="00E710B3" w14:paraId="192E3DDD" w14:textId="4410B448">
      <w:pPr>
        <w:spacing w:line="480" w:lineRule="auto"/>
        <w:ind w:firstLine="720"/>
      </w:pPr>
      <w:r w:rsidRPr="0004462F">
        <w:t>The PUCO should adopt</w:t>
      </w:r>
      <w:r w:rsidRPr="0004462F" w:rsidR="002E74BD">
        <w:t xml:space="preserve"> a new rule</w:t>
      </w:r>
      <w:r w:rsidRPr="0004462F">
        <w:t>,</w:t>
      </w:r>
      <w:r w:rsidRPr="0004462F" w:rsidR="002E74BD">
        <w:t xml:space="preserve"> 4901-1-03(D), which would </w:t>
      </w:r>
      <w:r w:rsidRPr="0004462F">
        <w:t xml:space="preserve">promote administrative efficiency by </w:t>
      </w:r>
      <w:r w:rsidRPr="0004462F" w:rsidR="002E74BD">
        <w:t>requir</w:t>
      </w:r>
      <w:r w:rsidRPr="0004462F">
        <w:t>ing</w:t>
      </w:r>
      <w:r w:rsidRPr="0004462F" w:rsidR="002E74BD">
        <w:t xml:space="preserve"> parties represented by counsel to file all papers</w:t>
      </w:r>
      <w:r w:rsidRPr="0004462F" w:rsidR="006B6AEE">
        <w:t xml:space="preserve"> (except </w:t>
      </w:r>
      <w:r w:rsidRPr="0004462F" w:rsidR="00A25A30">
        <w:t xml:space="preserve">scanned </w:t>
      </w:r>
      <w:r w:rsidRPr="0004462F" w:rsidR="006B6AEE">
        <w:t>attachments)</w:t>
      </w:r>
      <w:r w:rsidRPr="0004462F" w:rsidR="002E74BD">
        <w:t xml:space="preserve"> as </w:t>
      </w:r>
      <w:r w:rsidRPr="0004462F" w:rsidR="00CA4238">
        <w:t>searchable</w:t>
      </w:r>
      <w:r w:rsidRPr="0004462F" w:rsidR="002E74BD">
        <w:t xml:space="preserve"> PDFs. When a party files a paper as an image, other parties reading the paper cannot use the search function to identify key words and cannot cut and paste text from the file.</w:t>
      </w:r>
      <w:r>
        <w:rPr>
          <w:rStyle w:val="FootnoteReference"/>
        </w:rPr>
        <w:footnoteReference w:id="2"/>
      </w:r>
    </w:p>
    <w:p w:rsidR="00E710B3" w:rsidRPr="0004462F" w:rsidP="00E710B3" w14:paraId="1E081570" w14:textId="1E85D52C">
      <w:pPr>
        <w:spacing w:line="480" w:lineRule="auto"/>
        <w:ind w:firstLine="720"/>
      </w:pPr>
      <w:r w:rsidRPr="0004462F">
        <w:t xml:space="preserve">Requiring parties to file their documents as readable PDFs imposes no </w:t>
      </w:r>
      <w:r w:rsidRPr="0004462F" w:rsidR="002D41E7">
        <w:t xml:space="preserve">undue </w:t>
      </w:r>
      <w:r w:rsidRPr="0004462F">
        <w:t>burden</w:t>
      </w:r>
      <w:r w:rsidRPr="0004462F" w:rsidR="00F86344">
        <w:t xml:space="preserve"> in the 21</w:t>
      </w:r>
      <w:r w:rsidRPr="0004462F" w:rsidR="00040C68">
        <w:rPr>
          <w:vertAlign w:val="superscript"/>
        </w:rPr>
        <w:t>st</w:t>
      </w:r>
      <w:r w:rsidRPr="0004462F" w:rsidR="00F86344">
        <w:t xml:space="preserve"> Century</w:t>
      </w:r>
      <w:r w:rsidRPr="0004462F">
        <w:t xml:space="preserve">. </w:t>
      </w:r>
      <w:r w:rsidRPr="0004462F" w:rsidR="009B5B81">
        <w:t>For example, w</w:t>
      </w:r>
      <w:r w:rsidRPr="0004462F">
        <w:t xml:space="preserve">hen documents are </w:t>
      </w:r>
      <w:r w:rsidRPr="0004462F" w:rsidR="002D41E7">
        <w:t xml:space="preserve">converted </w:t>
      </w:r>
      <w:r w:rsidRPr="0004462F">
        <w:t>from Microsoft Word to PDF, they are readable</w:t>
      </w:r>
      <w:r w:rsidRPr="0004462F" w:rsidR="00CA4238">
        <w:t xml:space="preserve"> and searchable</w:t>
      </w:r>
      <w:r w:rsidRPr="0004462F">
        <w:t>. Readable PDF files are generally smaller documents as well (in terms of file size), thus reducing the burden on the PUCO’s server and saving space on parties’ hard drives</w:t>
      </w:r>
      <w:r w:rsidRPr="0004462F" w:rsidR="00CA4238">
        <w:t xml:space="preserve"> or cloud servers</w:t>
      </w:r>
      <w:r w:rsidRPr="0004462F">
        <w:t>.</w:t>
      </w:r>
    </w:p>
    <w:p w:rsidR="002E74BD" w:rsidRPr="0004462F" w:rsidP="00E710B3" w14:paraId="372B2E79" w14:textId="77777777">
      <w:pPr>
        <w:spacing w:line="480" w:lineRule="auto"/>
        <w:ind w:firstLine="720"/>
      </w:pPr>
      <w:r w:rsidRPr="0004462F">
        <w:t xml:space="preserve">Accordingly, the following new </w:t>
      </w:r>
      <w:r w:rsidRPr="0004462F" w:rsidR="00726831">
        <w:t xml:space="preserve">O.A.C. </w:t>
      </w:r>
      <w:r w:rsidRPr="0004462F">
        <w:t>4901-1-03(D)</w:t>
      </w:r>
      <w:r w:rsidRPr="0004462F" w:rsidR="00C87EE8">
        <w:t xml:space="preserve"> should be adopted</w:t>
      </w:r>
      <w:r w:rsidRPr="0004462F">
        <w:t>:</w:t>
      </w:r>
    </w:p>
    <w:p w:rsidR="002E74BD" w:rsidRPr="0004462F" w:rsidP="0004462F" w14:paraId="0EA2A80F" w14:textId="07C5FEB8">
      <w:pPr>
        <w:spacing w:after="240"/>
        <w:ind w:left="720" w:right="720"/>
        <w:rPr>
          <w:u w:val="single"/>
        </w:rPr>
      </w:pPr>
      <w:r w:rsidRPr="0004462F">
        <w:rPr>
          <w:rFonts w:eastAsia="Times New Roman"/>
        </w:rPr>
        <w:t>For any party represented by counsel, all pleadings or other papers</w:t>
      </w:r>
      <w:r w:rsidRPr="0004462F" w:rsidR="00BB047E">
        <w:rPr>
          <w:rFonts w:eastAsia="Times New Roman"/>
        </w:rPr>
        <w:t xml:space="preserve"> </w:t>
      </w:r>
      <w:r w:rsidRPr="0004462F" w:rsidR="00180EED">
        <w:rPr>
          <w:rFonts w:eastAsia="Times New Roman"/>
        </w:rPr>
        <w:t>to be</w:t>
      </w:r>
      <w:r w:rsidRPr="0004462F" w:rsidR="00BB047E">
        <w:rPr>
          <w:rFonts w:eastAsia="Times New Roman"/>
        </w:rPr>
        <w:t xml:space="preserve"> </w:t>
      </w:r>
      <w:r w:rsidRPr="0004462F">
        <w:rPr>
          <w:rFonts w:eastAsia="Times New Roman"/>
        </w:rPr>
        <w:t>e-filed</w:t>
      </w:r>
      <w:r w:rsidRPr="0004462F" w:rsidR="009B5B81">
        <w:rPr>
          <w:rFonts w:eastAsia="Times New Roman"/>
        </w:rPr>
        <w:t xml:space="preserve"> (except </w:t>
      </w:r>
      <w:r w:rsidRPr="0004462F" w:rsidR="00A25A30">
        <w:rPr>
          <w:rFonts w:eastAsia="Times New Roman"/>
        </w:rPr>
        <w:t xml:space="preserve">scanned </w:t>
      </w:r>
      <w:r w:rsidRPr="0004462F" w:rsidR="009B5B81">
        <w:rPr>
          <w:rFonts w:eastAsia="Times New Roman"/>
        </w:rPr>
        <w:t>attachments)</w:t>
      </w:r>
      <w:r w:rsidRPr="0004462F">
        <w:rPr>
          <w:rFonts w:eastAsia="Times New Roman"/>
        </w:rPr>
        <w:t xml:space="preserve"> shall be filed as a searchable PDF</w:t>
      </w:r>
      <w:r w:rsidRPr="0004462F" w:rsidR="00A25A30">
        <w:rPr>
          <w:rFonts w:eastAsia="Times New Roman"/>
        </w:rPr>
        <w:t>.</w:t>
      </w:r>
    </w:p>
    <w:p w:rsidR="0016455A" w:rsidRPr="0004462F" w14:paraId="11160199" w14:textId="77777777">
      <w:pPr>
        <w:rPr>
          <w:b/>
          <w:bCs/>
          <w:u w:val="single"/>
        </w:rPr>
      </w:pPr>
    </w:p>
    <w:p w:rsidR="00E710B3" w:rsidRPr="0004462F" w:rsidP="00712CE5" w14:paraId="1447FC43" w14:textId="77777777">
      <w:pPr>
        <w:pStyle w:val="Heading2"/>
        <w:rPr>
          <w:rFonts w:ascii="Times New Roman" w:hAnsi="Times New Roman" w:cs="Times New Roman"/>
          <w:szCs w:val="24"/>
        </w:rPr>
      </w:pPr>
      <w:bookmarkStart w:id="9" w:name="_Toc29827598"/>
      <w:r w:rsidRPr="0004462F">
        <w:rPr>
          <w:rFonts w:ascii="Times New Roman" w:hAnsi="Times New Roman" w:cs="Times New Roman"/>
          <w:szCs w:val="24"/>
        </w:rPr>
        <w:t xml:space="preserve">O.A.C. </w:t>
      </w:r>
      <w:r w:rsidRPr="0004462F" w:rsidR="002E74BD">
        <w:rPr>
          <w:rFonts w:ascii="Times New Roman" w:hAnsi="Times New Roman" w:cs="Times New Roman"/>
          <w:szCs w:val="24"/>
        </w:rPr>
        <w:t>4901-1-05 Service of pleadings and other papers</w:t>
      </w:r>
      <w:bookmarkEnd w:id="9"/>
    </w:p>
    <w:p w:rsidR="00E710B3" w:rsidRPr="0004462F" w:rsidP="00E710B3" w14:paraId="28A55A3A" w14:textId="77777777">
      <w:pPr>
        <w:spacing w:line="480" w:lineRule="auto"/>
        <w:ind w:firstLine="720"/>
      </w:pPr>
      <w:r w:rsidRPr="0004462F">
        <w:t>One</w:t>
      </w:r>
      <w:r w:rsidRPr="0004462F" w:rsidR="000C5DBE">
        <w:t xml:space="preserve"> minor change</w:t>
      </w:r>
      <w:r w:rsidRPr="0004462F" w:rsidR="000C0378">
        <w:t xml:space="preserve"> should be made</w:t>
      </w:r>
      <w:r w:rsidRPr="0004462F" w:rsidR="000C5DBE">
        <w:t xml:space="preserve"> to this rule.</w:t>
      </w:r>
      <w:r w:rsidRPr="0004462F">
        <w:t xml:space="preserve"> T</w:t>
      </w:r>
      <w:r w:rsidRPr="0004462F" w:rsidR="002E74BD">
        <w:t xml:space="preserve">he </w:t>
      </w:r>
      <w:r w:rsidRPr="0004462F">
        <w:t xml:space="preserve">PUCO </w:t>
      </w:r>
      <w:r w:rsidRPr="0004462F" w:rsidR="002E74BD">
        <w:t>recommended adding the following language to Rule 4901-1-05(D): “Unless service is completed through the commission’s e-filing system as set forth in paragraph (B) of this rule or email service is impractical, an attorney representing a party before the commission shall accomplish service upon other attorney-represented parties by email.”</w:t>
      </w:r>
      <w:r w:rsidRPr="0004462F">
        <w:t xml:space="preserve"> </w:t>
      </w:r>
      <w:r w:rsidRPr="0004462F" w:rsidR="005C4241">
        <w:t xml:space="preserve">In this regard, </w:t>
      </w:r>
      <w:r w:rsidRPr="0004462F" w:rsidR="002E74BD">
        <w:t xml:space="preserve">the words “or email service is impractical” </w:t>
      </w:r>
      <w:r w:rsidRPr="0004462F" w:rsidR="005C4241">
        <w:t xml:space="preserve">should </w:t>
      </w:r>
      <w:r w:rsidRPr="0004462F" w:rsidR="002E74BD">
        <w:t xml:space="preserve">be deleted. </w:t>
      </w:r>
      <w:r w:rsidRPr="0004462F" w:rsidR="000C5DBE">
        <w:t>In 20</w:t>
      </w:r>
      <w:r w:rsidRPr="0004462F">
        <w:t>20</w:t>
      </w:r>
      <w:r w:rsidRPr="0004462F" w:rsidR="000C5DBE">
        <w:t xml:space="preserve"> and beyond, email service from one attorney to another </w:t>
      </w:r>
      <w:r w:rsidRPr="0004462F" w:rsidR="009A7844">
        <w:t>should n</w:t>
      </w:r>
      <w:r w:rsidRPr="0004462F" w:rsidR="000C5DBE">
        <w:t>ever be less practical than another form of service, like snail mail. Thus, this qualification does not appear necessary.</w:t>
      </w:r>
    </w:p>
    <w:p w:rsidR="0016455A" w:rsidRPr="0004462F" w14:paraId="6A832C46" w14:textId="77777777">
      <w:pPr>
        <w:rPr>
          <w:b/>
          <w:bCs/>
          <w:u w:val="single"/>
        </w:rPr>
      </w:pPr>
    </w:p>
    <w:p w:rsidR="000C5DBE" w:rsidRPr="0004462F" w:rsidP="00712CE5" w14:paraId="45466507" w14:textId="77777777">
      <w:pPr>
        <w:pStyle w:val="Heading2"/>
        <w:rPr>
          <w:rFonts w:ascii="Times New Roman" w:hAnsi="Times New Roman" w:cs="Times New Roman"/>
          <w:szCs w:val="24"/>
        </w:rPr>
      </w:pPr>
      <w:bookmarkStart w:id="10" w:name="_Toc29827599"/>
      <w:r w:rsidRPr="0004462F">
        <w:rPr>
          <w:rFonts w:ascii="Times New Roman" w:hAnsi="Times New Roman" w:cs="Times New Roman"/>
          <w:szCs w:val="24"/>
        </w:rPr>
        <w:t>O.A.C. 4901-1-08 Practice before the commission, representation of corporations, and designation of counsel of record.</w:t>
      </w:r>
      <w:bookmarkEnd w:id="10"/>
    </w:p>
    <w:p w:rsidR="008E2184" w:rsidRPr="0004462F" w:rsidP="00E710B3" w14:paraId="389E9117" w14:textId="77777777">
      <w:pPr>
        <w:spacing w:line="480" w:lineRule="auto"/>
        <w:ind w:firstLine="720"/>
      </w:pPr>
      <w:r w:rsidRPr="0004462F">
        <w:t>The PUCO recommends that rule 4901-1-08(D) be expanded</w:t>
      </w:r>
      <w:r w:rsidRPr="0004462F" w:rsidR="00387E8C">
        <w:t>,</w:t>
      </w:r>
      <w:r w:rsidRPr="0004462F">
        <w:t xml:space="preserve"> </w:t>
      </w:r>
      <w:r w:rsidRPr="0004462F" w:rsidR="005A24E1">
        <w:t xml:space="preserve">by broadening the applicability of the </w:t>
      </w:r>
      <w:r w:rsidRPr="0004462F" w:rsidR="00BB047E">
        <w:t>rule to all cases.</w:t>
      </w:r>
      <w:r w:rsidRPr="0004462F" w:rsidR="005A24E1">
        <w:t xml:space="preserve"> </w:t>
      </w:r>
      <w:r w:rsidRPr="0004462F" w:rsidR="001768CD">
        <w:t xml:space="preserve">This approach would </w:t>
      </w:r>
      <w:r w:rsidRPr="0004462F">
        <w:t>potentially plac</w:t>
      </w:r>
      <w:r w:rsidRPr="0004462F" w:rsidR="001768CD">
        <w:t>e</w:t>
      </w:r>
      <w:r w:rsidRPr="0004462F">
        <w:t xml:space="preserve"> further limits on the ability of parties to use non-lawyer exp</w:t>
      </w:r>
      <w:r w:rsidRPr="0004462F" w:rsidR="00BB047E">
        <w:t xml:space="preserve">erts in settlement discussion. </w:t>
      </w:r>
      <w:r w:rsidRPr="0004462F">
        <w:t>Currently</w:t>
      </w:r>
      <w:r w:rsidRPr="0004462F" w:rsidR="00BB047E">
        <w:t>,</w:t>
      </w:r>
      <w:r w:rsidRPr="0004462F">
        <w:t xml:space="preserve"> the rules addre</w:t>
      </w:r>
      <w:r w:rsidRPr="0004462F" w:rsidR="00BB047E">
        <w:t xml:space="preserve">ss complaint cases only. </w:t>
      </w:r>
      <w:r w:rsidRPr="0004462F">
        <w:t xml:space="preserve">But with the </w:t>
      </w:r>
      <w:r w:rsidRPr="0004462F" w:rsidR="00387E8C">
        <w:t xml:space="preserve">PUCO’s </w:t>
      </w:r>
      <w:r w:rsidRPr="0004462F">
        <w:t xml:space="preserve">proposed changes the restrictions would apply to all cases before the Commission. </w:t>
      </w:r>
      <w:r w:rsidRPr="0004462F" w:rsidR="00BB047E">
        <w:t>T</w:t>
      </w:r>
      <w:r w:rsidRPr="0004462F">
        <w:t>his change</w:t>
      </w:r>
      <w:r w:rsidRPr="0004462F" w:rsidR="00EC7829">
        <w:t xml:space="preserve"> should not be adopted</w:t>
      </w:r>
      <w:r w:rsidRPr="0004462F">
        <w:t xml:space="preserve">, as it may lead to unintended consequences. </w:t>
      </w:r>
    </w:p>
    <w:p w:rsidR="008E2184" w:rsidRPr="0004462F" w:rsidP="00E710B3" w14:paraId="3630E723" w14:textId="77777777">
      <w:pPr>
        <w:spacing w:line="480" w:lineRule="auto"/>
        <w:ind w:firstLine="720"/>
      </w:pPr>
      <w:r w:rsidRPr="0004462F">
        <w:t xml:space="preserve">In many settlement discussions, parties—including utilities, OCC, the PUCO Staff, and others—rely on the technical expertise of non-lawyer </w:t>
      </w:r>
      <w:r w:rsidRPr="0004462F" w:rsidR="00A5509B">
        <w:t xml:space="preserve">regulatory </w:t>
      </w:r>
      <w:r w:rsidRPr="0004462F">
        <w:t>experts. As amended, the rule could be interpreted to mean that these technical experts are not allowed to speak during settlement meetings without running the risk that they might be deemed to be “representing” a party in violation of the rule. This would likely interfere with candid and in-depth settlement discussions, which can require the dire</w:t>
      </w:r>
      <w:r w:rsidRPr="0004462F" w:rsidR="00BB047E">
        <w:t xml:space="preserve">ct input of technical experts. </w:t>
      </w:r>
      <w:r w:rsidRPr="0004462F">
        <w:t>The PUCO should n</w:t>
      </w:r>
      <w:r w:rsidRPr="0004462F" w:rsidR="00BB047E">
        <w:t>ot adopt the expansive change.</w:t>
      </w:r>
    </w:p>
    <w:p w:rsidR="002E74BD" w:rsidRPr="0004462F" w:rsidP="00E710B3" w14:paraId="0D200402" w14:textId="77777777">
      <w:pPr>
        <w:spacing w:line="480" w:lineRule="auto"/>
        <w:ind w:firstLine="720"/>
      </w:pPr>
      <w:r w:rsidRPr="0004462F">
        <w:t xml:space="preserve">Alternatively, </w:t>
      </w:r>
      <w:r w:rsidRPr="0004462F" w:rsidR="003E2EEE">
        <w:t>the rule should be modified to clarify that it only applies when settlement is discussed as part of a prehearing conference (</w:t>
      </w:r>
      <w:r w:rsidRPr="0004462F" w:rsidR="003E2EEE">
        <w:rPr>
          <w:i/>
          <w:iCs/>
        </w:rPr>
        <w:t>i.e.</w:t>
      </w:r>
      <w:r w:rsidRPr="0004462F" w:rsidR="003E2EEE">
        <w:t>, in the presence of an ALJ) and not to private settlement discussions between parties.</w:t>
      </w:r>
      <w:r w:rsidRPr="0004462F" w:rsidR="0045117B">
        <w:t xml:space="preserve"> Such a clarification would be more in line with preventing behavior that could allegedly amount t</w:t>
      </w:r>
      <w:r w:rsidRPr="0004462F" w:rsidR="00BB047E">
        <w:t>o unauthorized practice of law.</w:t>
      </w:r>
    </w:p>
    <w:p w:rsidR="0016455A" w:rsidRPr="0004462F" w:rsidP="0004462F" w14:paraId="20466F7C" w14:textId="77777777">
      <w:pPr>
        <w:rPr>
          <w:b/>
          <w:bCs/>
          <w:u w:val="single"/>
        </w:rPr>
      </w:pPr>
    </w:p>
    <w:p w:rsidR="002E74BD" w:rsidRPr="0004462F" w:rsidP="00712CE5" w14:paraId="492FA8B6" w14:textId="77777777">
      <w:pPr>
        <w:pStyle w:val="Heading2"/>
        <w:rPr>
          <w:rFonts w:ascii="Times New Roman" w:hAnsi="Times New Roman" w:cs="Times New Roman"/>
          <w:szCs w:val="24"/>
        </w:rPr>
      </w:pPr>
      <w:bookmarkStart w:id="11" w:name="_Toc29827600"/>
      <w:r w:rsidRPr="0004462F">
        <w:rPr>
          <w:rFonts w:ascii="Times New Roman" w:hAnsi="Times New Roman" w:cs="Times New Roman"/>
          <w:szCs w:val="24"/>
        </w:rPr>
        <w:t xml:space="preserve">O.A.C. </w:t>
      </w:r>
      <w:r w:rsidRPr="0004462F" w:rsidR="002A3F27">
        <w:rPr>
          <w:rFonts w:ascii="Times New Roman" w:hAnsi="Times New Roman" w:cs="Times New Roman"/>
          <w:szCs w:val="24"/>
        </w:rPr>
        <w:t>4901-1-09 Ex parte discussion of cases</w:t>
      </w:r>
      <w:bookmarkEnd w:id="11"/>
    </w:p>
    <w:p w:rsidR="00F9248B" w:rsidRPr="0004462F" w14:paraId="44681E97" w14:textId="4039799D">
      <w:pPr>
        <w:spacing w:line="480" w:lineRule="auto"/>
        <w:ind w:firstLine="720"/>
      </w:pPr>
      <w:r w:rsidRPr="0004462F">
        <w:t>The rule should be changed</w:t>
      </w:r>
      <w:r w:rsidRPr="0004462F" w:rsidR="00BB047E">
        <w:t xml:space="preserve"> </w:t>
      </w:r>
      <w:r w:rsidRPr="0004462F" w:rsidR="001768CD">
        <w:t>to</w:t>
      </w:r>
      <w:r w:rsidRPr="0004462F" w:rsidR="00BB047E">
        <w:t xml:space="preserve"> </w:t>
      </w:r>
      <w:r w:rsidRPr="0004462F">
        <w:t xml:space="preserve">provide more definition and structure </w:t>
      </w:r>
      <w:r w:rsidRPr="0004462F" w:rsidR="00425FCA">
        <w:t>for</w:t>
      </w:r>
      <w:r w:rsidRPr="0004462F">
        <w:t xml:space="preserve"> the rule</w:t>
      </w:r>
      <w:r w:rsidRPr="0004462F" w:rsidR="002C592B">
        <w:t xml:space="preserve"> that</w:t>
      </w:r>
      <w:r w:rsidRPr="0004462F" w:rsidR="00BB047E">
        <w:t xml:space="preserve"> </w:t>
      </w:r>
      <w:r w:rsidRPr="0004462F">
        <w:t>protect</w:t>
      </w:r>
      <w:r w:rsidRPr="0004462F" w:rsidR="002C592B">
        <w:t>s</w:t>
      </w:r>
      <w:r w:rsidRPr="0004462F">
        <w:t xml:space="preserve"> record-based decision-making for </w:t>
      </w:r>
      <w:r w:rsidRPr="0004462F" w:rsidR="002C592B">
        <w:t>the public</w:t>
      </w:r>
      <w:r w:rsidRPr="0004462F" w:rsidR="00A5509B">
        <w:t>, the PUCO</w:t>
      </w:r>
      <w:r w:rsidRPr="0004462F" w:rsidR="002C592B">
        <w:t xml:space="preserve"> and others</w:t>
      </w:r>
      <w:r w:rsidRPr="0004462F">
        <w:t xml:space="preserve">. </w:t>
      </w:r>
      <w:r w:rsidRPr="0004462F" w:rsidR="002C592B">
        <w:t>Ideally, the law itself could be improved, but here the focus is on rules.</w:t>
      </w:r>
      <w:r w:rsidRPr="0004462F">
        <w:t xml:space="preserve"> </w:t>
      </w:r>
    </w:p>
    <w:p w:rsidR="00F9248B" w:rsidRPr="0004462F" w:rsidP="00F9248B" w14:paraId="696A63D7" w14:textId="469AF346">
      <w:pPr>
        <w:spacing w:line="480" w:lineRule="auto"/>
        <w:ind w:firstLine="720"/>
        <w:rPr>
          <w:rFonts w:eastAsia="Times New Roman"/>
          <w:color w:val="000000"/>
        </w:rPr>
      </w:pPr>
      <w:r w:rsidRPr="0004462F">
        <w:t xml:space="preserve">Currently, </w:t>
      </w:r>
      <w:r w:rsidRPr="0004462F" w:rsidR="002C592B">
        <w:t>O.A.C.</w:t>
      </w:r>
      <w:r w:rsidRPr="0004462F">
        <w:t xml:space="preserve"> 4901-1-09 only includes communications with a “commissioner” or “attorney examiner assigned to the case” as being considered an ex parte communication. The </w:t>
      </w:r>
      <w:r w:rsidRPr="0004462F" w:rsidR="008E7375">
        <w:t xml:space="preserve"> scope of this rule should be broadened to include communications</w:t>
      </w:r>
      <w:r w:rsidRPr="0004462F" w:rsidR="00C66D53">
        <w:t xml:space="preserve"> as ex parte</w:t>
      </w:r>
      <w:r w:rsidRPr="0004462F" w:rsidR="008E7375">
        <w:t xml:space="preserve"> with </w:t>
      </w:r>
      <w:r w:rsidRPr="0004462F" w:rsidR="007831CF">
        <w:t xml:space="preserve">those who are </w:t>
      </w:r>
      <w:r w:rsidRPr="0004462F" w:rsidR="00A5509B">
        <w:t xml:space="preserve">reasonably expected to be involved in the decisional process of a proceeding. </w:t>
      </w:r>
      <w:r w:rsidRPr="0004462F" w:rsidR="00A5509B">
        <w:rPr>
          <w:rFonts w:eastAsia="Times New Roman"/>
          <w:color w:val="000000"/>
        </w:rPr>
        <w:t>As stated, e</w:t>
      </w:r>
      <w:r w:rsidRPr="0004462F">
        <w:rPr>
          <w:rFonts w:eastAsia="Times New Roman"/>
          <w:color w:val="000000"/>
        </w:rPr>
        <w:t xml:space="preserve">xpanding the scope of agency personnel that are included in the ex parte prohibition is consistent with </w:t>
      </w:r>
      <w:r w:rsidRPr="0004462F" w:rsidR="00A5509B">
        <w:rPr>
          <w:rFonts w:eastAsia="Times New Roman"/>
          <w:color w:val="000000"/>
        </w:rPr>
        <w:t xml:space="preserve">ex parte </w:t>
      </w:r>
      <w:r w:rsidRPr="0004462F">
        <w:rPr>
          <w:rFonts w:eastAsia="Times New Roman"/>
          <w:color w:val="000000"/>
        </w:rPr>
        <w:t xml:space="preserve">restrictions </w:t>
      </w:r>
      <w:r w:rsidRPr="0004462F" w:rsidR="00A5509B">
        <w:rPr>
          <w:rFonts w:eastAsia="Times New Roman"/>
          <w:color w:val="000000"/>
        </w:rPr>
        <w:t>in some other jurisdictions</w:t>
      </w:r>
      <w:r w:rsidRPr="0004462F">
        <w:rPr>
          <w:rFonts w:eastAsia="Times New Roman"/>
          <w:color w:val="000000"/>
        </w:rPr>
        <w:t>.</w:t>
      </w:r>
      <w:r>
        <w:rPr>
          <w:rStyle w:val="FootnoteReference"/>
          <w:rFonts w:eastAsia="Times New Roman"/>
          <w:color w:val="000000"/>
        </w:rPr>
        <w:footnoteReference w:id="3"/>
      </w:r>
      <w:r w:rsidRPr="0004462F">
        <w:rPr>
          <w:rFonts w:eastAsia="Times New Roman"/>
          <w:color w:val="000000"/>
        </w:rPr>
        <w:t xml:space="preserve"> </w:t>
      </w:r>
    </w:p>
    <w:p w:rsidR="00F9248B" w:rsidRPr="0004462F" w:rsidP="00F9248B" w14:paraId="5A19420A" w14:textId="77777777">
      <w:pPr>
        <w:spacing w:line="480" w:lineRule="auto"/>
        <w:ind w:firstLine="720"/>
        <w:rPr>
          <w:rFonts w:eastAsia="Times New Roman"/>
          <w:color w:val="000000"/>
        </w:rPr>
      </w:pPr>
      <w:r w:rsidRPr="0004462F">
        <w:rPr>
          <w:rFonts w:eastAsia="Times New Roman"/>
          <w:color w:val="000000"/>
        </w:rPr>
        <w:t>With respect to the provision</w:t>
      </w:r>
      <w:r w:rsidRPr="0004462F" w:rsidR="000F4599">
        <w:rPr>
          <w:rFonts w:eastAsia="Times New Roman"/>
          <w:color w:val="000000"/>
        </w:rPr>
        <w:t xml:space="preserve"> in the rule for </w:t>
      </w:r>
      <w:r w:rsidRPr="0004462F" w:rsidR="0025639A">
        <w:rPr>
          <w:rFonts w:eastAsia="Times New Roman"/>
          <w:color w:val="000000"/>
        </w:rPr>
        <w:t xml:space="preserve">providing upfront </w:t>
      </w:r>
      <w:r w:rsidRPr="0004462F" w:rsidR="000F4599">
        <w:rPr>
          <w:rFonts w:eastAsia="Times New Roman"/>
          <w:color w:val="000000"/>
        </w:rPr>
        <w:t>notice of</w:t>
      </w:r>
      <w:r w:rsidRPr="0004462F" w:rsidR="0025639A">
        <w:rPr>
          <w:rFonts w:eastAsia="Times New Roman"/>
          <w:color w:val="000000"/>
        </w:rPr>
        <w:t xml:space="preserve"> ex parte commun</w:t>
      </w:r>
      <w:r w:rsidRPr="0004462F" w:rsidR="00E94034">
        <w:rPr>
          <w:rFonts w:eastAsia="Times New Roman"/>
          <w:color w:val="000000"/>
        </w:rPr>
        <w:t>i</w:t>
      </w:r>
      <w:r w:rsidRPr="0004462F" w:rsidR="0025639A">
        <w:rPr>
          <w:rFonts w:eastAsia="Times New Roman"/>
          <w:color w:val="000000"/>
        </w:rPr>
        <w:t>cation</w:t>
      </w:r>
      <w:r w:rsidRPr="0004462F">
        <w:rPr>
          <w:rFonts w:eastAsia="Times New Roman"/>
          <w:color w:val="000000"/>
        </w:rPr>
        <w:t xml:space="preserve">, </w:t>
      </w:r>
      <w:r w:rsidRPr="0004462F" w:rsidR="000F4599">
        <w:rPr>
          <w:rFonts w:eastAsia="Times New Roman"/>
          <w:color w:val="000000"/>
        </w:rPr>
        <w:t>there should be</w:t>
      </w:r>
      <w:r w:rsidRPr="0004462F">
        <w:rPr>
          <w:rFonts w:eastAsia="Times New Roman"/>
          <w:color w:val="000000"/>
        </w:rPr>
        <w:t xml:space="preserve"> a time</w:t>
      </w:r>
      <w:r w:rsidRPr="0004462F" w:rsidR="00E94034">
        <w:rPr>
          <w:rFonts w:eastAsia="Times New Roman"/>
          <w:color w:val="000000"/>
        </w:rPr>
        <w:t xml:space="preserve">line </w:t>
      </w:r>
      <w:r w:rsidRPr="0004462F">
        <w:rPr>
          <w:rFonts w:eastAsia="Times New Roman"/>
          <w:color w:val="000000"/>
        </w:rPr>
        <w:t>for the</w:t>
      </w:r>
      <w:r w:rsidRPr="0004462F" w:rsidR="000F4599">
        <w:rPr>
          <w:rFonts w:eastAsia="Times New Roman"/>
          <w:color w:val="000000"/>
        </w:rPr>
        <w:t xml:space="preserve"> ex parte communicator to give</w:t>
      </w:r>
      <w:r w:rsidRPr="0004462F">
        <w:rPr>
          <w:rFonts w:eastAsia="Times New Roman"/>
          <w:color w:val="000000"/>
        </w:rPr>
        <w:t xml:space="preserve"> notice before the planned communication.</w:t>
      </w:r>
      <w:r>
        <w:rPr>
          <w:rStyle w:val="FootnoteReference"/>
          <w:rFonts w:eastAsia="Times New Roman"/>
          <w:color w:val="000000"/>
        </w:rPr>
        <w:footnoteReference w:id="4"/>
      </w:r>
      <w:r w:rsidRPr="0004462F">
        <w:rPr>
          <w:rFonts w:eastAsia="Times New Roman"/>
          <w:color w:val="000000"/>
        </w:rPr>
        <w:t xml:space="preserve"> </w:t>
      </w:r>
      <w:r w:rsidRPr="0004462F" w:rsidR="000F4599">
        <w:rPr>
          <w:rFonts w:eastAsia="Times New Roman"/>
          <w:color w:val="000000"/>
        </w:rPr>
        <w:t xml:space="preserve">The notice should be seven days. </w:t>
      </w:r>
      <w:r w:rsidRPr="0004462F">
        <w:rPr>
          <w:rFonts w:eastAsia="Times New Roman"/>
          <w:color w:val="000000"/>
        </w:rPr>
        <w:t>Otherwise</w:t>
      </w:r>
      <w:r w:rsidRPr="0004462F" w:rsidR="00DC05E7">
        <w:rPr>
          <w:rFonts w:eastAsia="Times New Roman"/>
          <w:color w:val="000000"/>
        </w:rPr>
        <w:t>,</w:t>
      </w:r>
      <w:r w:rsidRPr="0004462F">
        <w:rPr>
          <w:rFonts w:eastAsia="Times New Roman"/>
          <w:color w:val="000000"/>
        </w:rPr>
        <w:t xml:space="preserve"> there is no time</w:t>
      </w:r>
      <w:r w:rsidRPr="0004462F" w:rsidR="00E94034">
        <w:rPr>
          <w:rFonts w:eastAsia="Times New Roman"/>
          <w:color w:val="000000"/>
        </w:rPr>
        <w:t xml:space="preserve"> period mentioned in the rule. </w:t>
      </w:r>
      <w:r w:rsidRPr="0004462F" w:rsidR="001B341C">
        <w:rPr>
          <w:rFonts w:eastAsia="Times New Roman"/>
          <w:color w:val="000000"/>
        </w:rPr>
        <w:t>Seven</w:t>
      </w:r>
      <w:r w:rsidRPr="0004462F">
        <w:rPr>
          <w:rFonts w:eastAsia="Times New Roman"/>
          <w:color w:val="000000"/>
        </w:rPr>
        <w:t xml:space="preserve"> days gives parties who might want to attend the discussion adequate time to arrange for participation in the communication. </w:t>
      </w:r>
    </w:p>
    <w:p w:rsidR="00F9248B" w:rsidRPr="0004462F" w:rsidP="00F9248B" w14:paraId="32B83384" w14:textId="77777777">
      <w:pPr>
        <w:spacing w:line="480" w:lineRule="auto"/>
        <w:ind w:firstLine="720"/>
        <w:rPr>
          <w:rFonts w:eastAsia="Times New Roman"/>
          <w:color w:val="000000"/>
        </w:rPr>
      </w:pPr>
      <w:r w:rsidRPr="0004462F">
        <w:rPr>
          <w:rFonts w:eastAsia="Times New Roman"/>
          <w:color w:val="000000"/>
        </w:rPr>
        <w:t>T</w:t>
      </w:r>
      <w:r w:rsidRPr="0004462F" w:rsidR="00E94034">
        <w:rPr>
          <w:rFonts w:eastAsia="Times New Roman"/>
          <w:color w:val="000000"/>
        </w:rPr>
        <w:t>he Ohio rule</w:t>
      </w:r>
      <w:r w:rsidRPr="0004462F">
        <w:rPr>
          <w:rFonts w:eastAsia="Times New Roman"/>
          <w:color w:val="000000"/>
        </w:rPr>
        <w:t xml:space="preserve"> </w:t>
      </w:r>
      <w:r w:rsidRPr="0004462F" w:rsidR="0025639A">
        <w:rPr>
          <w:rFonts w:eastAsia="Times New Roman"/>
          <w:color w:val="000000"/>
        </w:rPr>
        <w:t xml:space="preserve">(4901-1-09) </w:t>
      </w:r>
      <w:r w:rsidRPr="0004462F">
        <w:rPr>
          <w:rFonts w:eastAsia="Times New Roman"/>
          <w:color w:val="000000"/>
        </w:rPr>
        <w:t>give</w:t>
      </w:r>
      <w:r w:rsidRPr="0004462F" w:rsidR="0025639A">
        <w:rPr>
          <w:rFonts w:eastAsia="Times New Roman"/>
          <w:color w:val="000000"/>
        </w:rPr>
        <w:t>s</w:t>
      </w:r>
      <w:r w:rsidRPr="0004462F">
        <w:rPr>
          <w:rFonts w:eastAsia="Times New Roman"/>
          <w:color w:val="000000"/>
        </w:rPr>
        <w:t xml:space="preserve"> parties the chance to voice disagreement with the </w:t>
      </w:r>
      <w:r w:rsidRPr="0004462F" w:rsidR="00973267">
        <w:rPr>
          <w:rFonts w:eastAsia="Times New Roman"/>
          <w:color w:val="000000"/>
        </w:rPr>
        <w:t xml:space="preserve">ex parte </w:t>
      </w:r>
      <w:r w:rsidRPr="0004462F">
        <w:rPr>
          <w:rFonts w:eastAsia="Times New Roman"/>
          <w:color w:val="000000"/>
        </w:rPr>
        <w:t>disclosure document where the representation is not accurate or communications are not fully disclosed</w:t>
      </w:r>
      <w:r w:rsidRPr="0004462F" w:rsidR="00E94034">
        <w:rPr>
          <w:rFonts w:eastAsia="Times New Roman"/>
          <w:color w:val="000000"/>
        </w:rPr>
        <w:t xml:space="preserve">. </w:t>
      </w:r>
      <w:r w:rsidRPr="0004462F">
        <w:rPr>
          <w:rFonts w:eastAsia="Times New Roman"/>
          <w:color w:val="000000"/>
        </w:rPr>
        <w:t xml:space="preserve">But they do not provide parties with an opportunity to substantively respond to the communication. </w:t>
      </w:r>
      <w:r w:rsidRPr="0004462F" w:rsidR="00E94034">
        <w:rPr>
          <w:rFonts w:eastAsia="Times New Roman"/>
          <w:color w:val="000000"/>
        </w:rPr>
        <w:t>P</w:t>
      </w:r>
      <w:r w:rsidRPr="0004462F">
        <w:rPr>
          <w:rFonts w:eastAsia="Times New Roman"/>
          <w:color w:val="000000"/>
        </w:rPr>
        <w:t xml:space="preserve">arties to the case involved in the ex parte communication </w:t>
      </w:r>
      <w:r w:rsidRPr="0004462F" w:rsidR="00E94034">
        <w:rPr>
          <w:rFonts w:eastAsia="Times New Roman"/>
          <w:color w:val="000000"/>
        </w:rPr>
        <w:t xml:space="preserve">should </w:t>
      </w:r>
      <w:r w:rsidRPr="0004462F">
        <w:rPr>
          <w:rFonts w:eastAsia="Times New Roman"/>
          <w:color w:val="000000"/>
        </w:rPr>
        <w:t xml:space="preserve">be allowed to substantively respond to the disclosing document “within </w:t>
      </w:r>
      <w:r w:rsidRPr="0004462F" w:rsidR="009D1F64">
        <w:rPr>
          <w:rFonts w:eastAsia="Times New Roman"/>
          <w:color w:val="000000"/>
        </w:rPr>
        <w:t xml:space="preserve">fourteen </w:t>
      </w:r>
      <w:r w:rsidRPr="0004462F">
        <w:rPr>
          <w:rFonts w:eastAsia="Times New Roman"/>
          <w:color w:val="000000"/>
        </w:rPr>
        <w:t>(1</w:t>
      </w:r>
      <w:r w:rsidRPr="0004462F" w:rsidR="009D1F64">
        <w:rPr>
          <w:rFonts w:eastAsia="Times New Roman"/>
          <w:color w:val="000000"/>
        </w:rPr>
        <w:t>4</w:t>
      </w:r>
      <w:r w:rsidRPr="0004462F">
        <w:rPr>
          <w:rFonts w:eastAsia="Times New Roman"/>
          <w:color w:val="000000"/>
        </w:rPr>
        <w:t>) days on the record.”</w:t>
      </w:r>
    </w:p>
    <w:p w:rsidR="000A45E2" w:rsidP="00F9248B" w14:paraId="7C068371" w14:textId="77777777">
      <w:pPr>
        <w:spacing w:line="480" w:lineRule="auto"/>
        <w:ind w:firstLine="720"/>
        <w:rPr>
          <w:rFonts w:eastAsia="Times New Roman"/>
          <w:color w:val="000000"/>
        </w:rPr>
        <w:sectPr w:rsidSect="0004462F">
          <w:pgSz w:w="12240" w:h="15840"/>
          <w:pgMar w:top="1440" w:right="1800" w:bottom="1440" w:left="1800" w:header="720" w:footer="720" w:gutter="0"/>
          <w:pgNumType w:start="1"/>
          <w:cols w:space="720"/>
          <w:docGrid w:linePitch="360"/>
        </w:sectPr>
      </w:pPr>
    </w:p>
    <w:p w:rsidR="00056D54" w:rsidRPr="0004462F" w:rsidP="00F9248B" w14:paraId="5F9D2BDD" w14:textId="1AA9B80D">
      <w:pPr>
        <w:spacing w:line="480" w:lineRule="auto"/>
        <w:ind w:firstLine="720"/>
        <w:rPr>
          <w:rFonts w:eastAsia="Times New Roman"/>
          <w:color w:val="000000"/>
        </w:rPr>
      </w:pPr>
      <w:r w:rsidRPr="0004462F">
        <w:rPr>
          <w:rFonts w:eastAsia="Times New Roman"/>
          <w:color w:val="000000"/>
        </w:rPr>
        <w:t xml:space="preserve">In sum, </w:t>
      </w:r>
      <w:r w:rsidRPr="0004462F" w:rsidR="0025639A">
        <w:rPr>
          <w:rFonts w:eastAsia="Times New Roman"/>
          <w:color w:val="000000"/>
        </w:rPr>
        <w:t xml:space="preserve">the proposed modifications are </w:t>
      </w:r>
      <w:r w:rsidRPr="0004462F">
        <w:rPr>
          <w:rFonts w:eastAsia="Times New Roman"/>
          <w:color w:val="000000"/>
        </w:rPr>
        <w:t>as follows:</w:t>
      </w:r>
    </w:p>
    <w:p w:rsidR="00056D54" w:rsidRPr="0004462F" w:rsidP="00056D54" w14:paraId="2BA8A01E" w14:textId="2B11213D">
      <w:pPr>
        <w:pStyle w:val="NormalWeb"/>
        <w:spacing w:before="0" w:beforeAutospacing="0" w:after="240" w:afterAutospacing="0"/>
        <w:ind w:left="720" w:right="720"/>
        <w:jc w:val="both"/>
      </w:pPr>
      <w:r w:rsidRPr="0004462F">
        <w:t>After a case has been assigned a formal docket number, no commission</w:t>
      </w:r>
      <w:r w:rsidRPr="0004462F" w:rsidR="00E94034">
        <w:t>er</w:t>
      </w:r>
      <w:r w:rsidRPr="0004462F" w:rsidR="007831CF">
        <w:rPr>
          <w:color w:val="FF0000"/>
          <w:u w:val="single"/>
        </w:rPr>
        <w:t xml:space="preserve"> </w:t>
      </w:r>
      <w:r w:rsidRPr="0004462F" w:rsidR="00E94034">
        <w:rPr>
          <w:color w:val="FF0000"/>
          <w:u w:val="single"/>
        </w:rPr>
        <w:t xml:space="preserve">or anyone </w:t>
      </w:r>
      <w:r w:rsidRPr="0004462F" w:rsidR="007831CF">
        <w:rPr>
          <w:color w:val="FF0000"/>
          <w:u w:val="single"/>
        </w:rPr>
        <w:t xml:space="preserve">else </w:t>
      </w:r>
      <w:r w:rsidRPr="0004462F" w:rsidR="00E94034">
        <w:rPr>
          <w:color w:val="FF0000"/>
          <w:u w:val="single"/>
        </w:rPr>
        <w:t>reasonably expected to be involved in the decisional process of the proceeding</w:t>
      </w:r>
      <w:r w:rsidRPr="0004462F">
        <w:t xml:space="preserve"> </w:t>
      </w:r>
      <w:r w:rsidRPr="0004462F">
        <w:rPr>
          <w:strike/>
          <w:color w:val="4472C4" w:themeColor="accent1"/>
        </w:rPr>
        <w:t>or attorney examiner assigned to the case</w:t>
      </w:r>
      <w:r w:rsidRPr="0004462F">
        <w:t xml:space="preserve"> shall directly or indirectly discuss the merits</w:t>
      </w:r>
      <w:r w:rsidRPr="0004462F" w:rsidR="0025639A">
        <w:t xml:space="preserve"> </w:t>
      </w:r>
      <w:r w:rsidRPr="0004462F">
        <w:t xml:space="preserve">of the case with any party to the proceeding </w:t>
      </w:r>
      <w:r w:rsidRPr="0004462F">
        <w:rPr>
          <w:strike/>
          <w:color w:val="4472C4" w:themeColor="accent1"/>
        </w:rPr>
        <w:t xml:space="preserve">or a representative of a party, </w:t>
      </w:r>
      <w:r w:rsidRPr="0004462F">
        <w:t xml:space="preserve">unless all parties have been notified </w:t>
      </w:r>
      <w:r w:rsidRPr="0004462F">
        <w:rPr>
          <w:color w:val="FF0000"/>
          <w:u w:val="single"/>
        </w:rPr>
        <w:t xml:space="preserve">within </w:t>
      </w:r>
      <w:r w:rsidRPr="0004462F" w:rsidR="00D52843">
        <w:rPr>
          <w:color w:val="FF0000"/>
          <w:u w:val="single"/>
        </w:rPr>
        <w:t>seven</w:t>
      </w:r>
      <w:r w:rsidRPr="0004462F">
        <w:rPr>
          <w:color w:val="FF0000"/>
          <w:u w:val="single"/>
        </w:rPr>
        <w:t xml:space="preserve"> days of the planned communication</w:t>
      </w:r>
      <w:r w:rsidRPr="0004462F">
        <w:t xml:space="preserve"> and given the opportunity to be present or to participate by telephone, or a full disclosure of the communication insofar as it pertains to the su</w:t>
      </w:r>
      <w:r w:rsidRPr="0004462F" w:rsidR="009F7779">
        <w:t xml:space="preserve">bject matter of the case is made. </w:t>
      </w:r>
      <w:r w:rsidRPr="0004462F">
        <w:t xml:space="preserve">When an ex parte discussion occurs, a representative of the party or parties participating in the discussion shall prepare a document identifying all the participants, </w:t>
      </w:r>
      <w:r w:rsidRPr="0004462F">
        <w:rPr>
          <w:color w:val="FF0000"/>
          <w:u w:val="single"/>
        </w:rPr>
        <w:t>attendees</w:t>
      </w:r>
      <w:r w:rsidRPr="0004462F">
        <w:rPr>
          <w:u w:val="single"/>
        </w:rPr>
        <w:t>,</w:t>
      </w:r>
      <w:r w:rsidRPr="0004462F">
        <w:t xml:space="preserve"> and the location of the discussion, and fully disclosing the communications made. Within two business days of the occurrence of the ex parte discussion, the document shall be provided to the commission's legal director or his designee or to an attorney examiner present at the discussion for review. Upon completion of the review, the final document with any necessary changes shall be filed with the commission's docketing </w:t>
      </w:r>
      <w:r w:rsidRPr="0004462F">
        <w:rPr>
          <w:color w:val="FF0000"/>
          <w:u w:val="single"/>
        </w:rPr>
        <w:t>division in the case subject to the ex parte discussion</w:t>
      </w:r>
      <w:r w:rsidRPr="0004462F">
        <w:t xml:space="preserve"> within two business days and the filer shall serve a copy upon the parties to the case and to each participant in the discussion. The document filed and served shall include the following language: Any participant in the discussion who believes that any representation made in this document is inaccurate or that the communications made during the discussion have not been fully disclosed shall prepare a letter explaining the participant's disagreement with the document and shall file the letter with the commission and serve the letter upon all parties </w:t>
      </w:r>
      <w:r w:rsidRPr="0004462F">
        <w:rPr>
          <w:color w:val="FF0000"/>
          <w:u w:val="single"/>
        </w:rPr>
        <w:t>and participants in the discussion within two business days of receipt of this document. Parties to the case in which the ex parte communication took p</w:t>
      </w:r>
      <w:r w:rsidRPr="0004462F" w:rsidR="0000300C">
        <w:rPr>
          <w:color w:val="FF0000"/>
          <w:u w:val="single"/>
        </w:rPr>
        <w:t xml:space="preserve">lace may respond in the record </w:t>
      </w:r>
      <w:r w:rsidRPr="0004462F">
        <w:rPr>
          <w:color w:val="FF0000"/>
          <w:u w:val="single"/>
        </w:rPr>
        <w:t xml:space="preserve">to the ex parte filing within </w:t>
      </w:r>
      <w:r w:rsidRPr="0004462F" w:rsidR="009D1F64">
        <w:rPr>
          <w:color w:val="FF0000"/>
          <w:u w:val="single"/>
        </w:rPr>
        <w:t xml:space="preserve">fourteen </w:t>
      </w:r>
      <w:r w:rsidRPr="0004462F">
        <w:rPr>
          <w:color w:val="FF0000"/>
          <w:u w:val="single"/>
        </w:rPr>
        <w:t>(1</w:t>
      </w:r>
      <w:r w:rsidRPr="0004462F" w:rsidR="009D1F64">
        <w:rPr>
          <w:color w:val="FF0000"/>
          <w:u w:val="single"/>
        </w:rPr>
        <w:t>4</w:t>
      </w:r>
      <w:r w:rsidRPr="0004462F">
        <w:rPr>
          <w:color w:val="FF0000"/>
          <w:u w:val="single"/>
        </w:rPr>
        <w:t>) days</w:t>
      </w:r>
      <w:r w:rsidRPr="0004462F">
        <w:rPr>
          <w:color w:val="FF0000"/>
        </w:rPr>
        <w:t>.</w:t>
      </w:r>
    </w:p>
    <w:p w:rsidR="0016455A" w:rsidRPr="0004462F" w14:paraId="26A777E1" w14:textId="77777777">
      <w:pPr>
        <w:rPr>
          <w:b/>
          <w:bCs/>
          <w:u w:val="single"/>
        </w:rPr>
      </w:pPr>
    </w:p>
    <w:p w:rsidR="002A3F27" w:rsidRPr="0004462F" w:rsidP="00712CE5" w14:paraId="01AEC7A3" w14:textId="77777777">
      <w:pPr>
        <w:pStyle w:val="Heading2"/>
        <w:rPr>
          <w:rFonts w:ascii="Times New Roman" w:hAnsi="Times New Roman" w:cs="Times New Roman"/>
          <w:szCs w:val="24"/>
        </w:rPr>
      </w:pPr>
      <w:bookmarkStart w:id="12" w:name="_Toc29827601"/>
      <w:r w:rsidRPr="0004462F">
        <w:rPr>
          <w:rFonts w:ascii="Times New Roman" w:hAnsi="Times New Roman" w:cs="Times New Roman"/>
          <w:szCs w:val="24"/>
        </w:rPr>
        <w:t>O.A.C. 4901-1-10 Parties</w:t>
      </w:r>
      <w:bookmarkEnd w:id="12"/>
    </w:p>
    <w:p w:rsidR="002A3F27" w:rsidRPr="0004462F" w:rsidP="00E710B3" w14:paraId="292D63FA" w14:textId="77777777">
      <w:pPr>
        <w:spacing w:line="480" w:lineRule="auto"/>
        <w:ind w:firstLine="720"/>
      </w:pPr>
      <w:r w:rsidRPr="0004462F">
        <w:t xml:space="preserve">There should be three rules modifications. First, a new subsection (9) should be added to rule 4901-1-10(A) that recognizes as a party “Any person with a statutorily recognized right to intervene.” </w:t>
      </w:r>
    </w:p>
    <w:p w:rsidR="00A576F9" w:rsidP="00BC5172" w14:paraId="22BA441D" w14:textId="7642BF29">
      <w:pPr>
        <w:spacing w:line="480" w:lineRule="auto"/>
        <w:ind w:firstLine="720"/>
      </w:pPr>
      <w:r w:rsidRPr="0004462F">
        <w:t>Second</w:t>
      </w:r>
      <w:r w:rsidRPr="0004462F" w:rsidR="00051E8B">
        <w:t>, rule 4901-1-19(C) should be modified to provide that the PUCO Staff is considered a party for purposes of discovery</w:t>
      </w:r>
      <w:r w:rsidRPr="0004462F" w:rsidR="00BC5172">
        <w:t>, but only</w:t>
      </w:r>
      <w:r w:rsidRPr="0004462F" w:rsidR="00051E8B">
        <w:t xml:space="preserve"> in certain circumstances. First, the PUCO Staff </w:t>
      </w:r>
      <w:r w:rsidRPr="0004462F" w:rsidR="00525969">
        <w:t>sh</w:t>
      </w:r>
      <w:r w:rsidRPr="0004462F" w:rsidR="00051E8B">
        <w:t xml:space="preserve">ould be subject to discovery if </w:t>
      </w:r>
      <w:r w:rsidRPr="0004462F" w:rsidR="008E7093">
        <w:t xml:space="preserve">the PUCO </w:t>
      </w:r>
      <w:r w:rsidRPr="0004462F" w:rsidR="00051E8B">
        <w:t>Staff (</w:t>
      </w:r>
      <w:r w:rsidRPr="0004462F" w:rsidR="00525969">
        <w:t>1</w:t>
      </w:r>
      <w:r w:rsidRPr="0004462F" w:rsidR="00051E8B">
        <w:t>) signs a stipulation</w:t>
      </w:r>
      <w:r w:rsidRPr="0004462F" w:rsidR="008E7093">
        <w:t xml:space="preserve"> and will testify to support it</w:t>
      </w:r>
      <w:r w:rsidRPr="0004462F" w:rsidR="00051E8B">
        <w:t xml:space="preserve"> or (</w:t>
      </w:r>
      <w:r w:rsidRPr="0004462F" w:rsidR="00525969">
        <w:t>2</w:t>
      </w:r>
      <w:r w:rsidRPr="0004462F" w:rsidR="00051E8B">
        <w:t>) </w:t>
      </w:r>
      <w:r w:rsidRPr="0004462F" w:rsidR="008E7093">
        <w:t>will submit</w:t>
      </w:r>
      <w:r w:rsidRPr="0004462F" w:rsidR="00051E8B">
        <w:t xml:space="preserve"> pre-filed testimony. Second, discovery on Staff </w:t>
      </w:r>
      <w:r w:rsidRPr="0004462F" w:rsidR="00525969">
        <w:t>sh</w:t>
      </w:r>
      <w:r w:rsidRPr="0004462F" w:rsidR="00051E8B">
        <w:t xml:space="preserve">ould be limited to taking the deposition of the relevant Staff witnesses. </w:t>
      </w:r>
      <w:r w:rsidRPr="0004462F" w:rsidR="00E9272A">
        <w:t>I</w:t>
      </w:r>
      <w:r w:rsidRPr="0004462F" w:rsidR="00051E8B">
        <w:t>n the interest of fairness, it is reasonable for parties to have an opportunity to depose Staff witnesses before they are cross-examined at hearing.</w:t>
      </w:r>
      <w:r w:rsidRPr="0004462F" w:rsidR="009F7779">
        <w:t xml:space="preserve"> </w:t>
      </w:r>
      <w:r w:rsidRPr="0004462F" w:rsidR="007831CF">
        <w:t xml:space="preserve">It is consistent with Ohio Rule 4901-1-16, that the purpose of the discovery rules is to encourage the prompt and expeditious use of prehearing discovery in order to facilitate </w:t>
      </w:r>
      <w:r w:rsidRPr="0004462F" w:rsidR="00FF7B4C">
        <w:t xml:space="preserve">thorough and adequate preparation for participation in commission proceedings. </w:t>
      </w:r>
      <w:r w:rsidRPr="0004462F">
        <w:t xml:space="preserve">Allowing limited discovery on Staff would </w:t>
      </w:r>
      <w:r w:rsidRPr="0004462F" w:rsidR="008E7093">
        <w:t>promote fairness in PUCO proceedings</w:t>
      </w:r>
      <w:r w:rsidRPr="0004462F">
        <w:t>.</w:t>
      </w:r>
    </w:p>
    <w:p w:rsidR="000A45E2" w:rsidRPr="0004462F" w:rsidP="000A45E2" w14:paraId="79AC89AB" w14:textId="77777777">
      <w:pPr>
        <w:ind w:firstLine="720"/>
      </w:pPr>
    </w:p>
    <w:p w:rsidR="002A3F27" w:rsidRPr="0004462F" w:rsidP="00712CE5" w14:paraId="7F17C6A0" w14:textId="77777777">
      <w:pPr>
        <w:pStyle w:val="Heading2"/>
        <w:rPr>
          <w:rFonts w:ascii="Times New Roman" w:hAnsi="Times New Roman" w:cs="Times New Roman"/>
          <w:szCs w:val="24"/>
        </w:rPr>
      </w:pPr>
      <w:bookmarkStart w:id="13" w:name="_Toc29827602"/>
      <w:r w:rsidRPr="0004462F">
        <w:rPr>
          <w:rFonts w:ascii="Times New Roman" w:hAnsi="Times New Roman" w:cs="Times New Roman"/>
          <w:szCs w:val="24"/>
        </w:rPr>
        <w:t xml:space="preserve">O.A.C. </w:t>
      </w:r>
      <w:r w:rsidRPr="0004462F" w:rsidR="008917A8">
        <w:rPr>
          <w:rFonts w:ascii="Times New Roman" w:hAnsi="Times New Roman" w:cs="Times New Roman"/>
          <w:szCs w:val="24"/>
        </w:rPr>
        <w:t>4901-1-11 Intervention</w:t>
      </w:r>
      <w:bookmarkEnd w:id="13"/>
    </w:p>
    <w:p w:rsidR="001A42F6" w:rsidRPr="0004462F" w:rsidP="003871A5" w14:paraId="4E2BE6C1" w14:textId="77777777">
      <w:pPr>
        <w:pStyle w:val="Heading3"/>
        <w:rPr>
          <w:rFonts w:ascii="Times New Roman" w:hAnsi="Times New Roman" w:cs="Times New Roman"/>
        </w:rPr>
      </w:pPr>
      <w:bookmarkStart w:id="14" w:name="_Toc29827603"/>
      <w:r w:rsidRPr="0004462F">
        <w:rPr>
          <w:rFonts w:ascii="Times New Roman" w:hAnsi="Times New Roman" w:cs="Times New Roman"/>
        </w:rPr>
        <w:t>A.</w:t>
      </w:r>
      <w:r w:rsidRPr="0004462F">
        <w:rPr>
          <w:rFonts w:ascii="Times New Roman" w:hAnsi="Times New Roman" w:cs="Times New Roman"/>
        </w:rPr>
        <w:tab/>
        <w:t>Rule 4901-1-11(B)(5) should be deleted as contrary to R.C. 4903.221 and Ohio Supreme Court precedent.</w:t>
      </w:r>
      <w:bookmarkEnd w:id="14"/>
    </w:p>
    <w:p w:rsidR="00FA18DA" w:rsidRPr="0004462F" w:rsidP="00BC5172" w14:paraId="0540530F" w14:textId="569BA98C">
      <w:pPr>
        <w:spacing w:line="480" w:lineRule="auto"/>
        <w:ind w:firstLine="720"/>
      </w:pPr>
      <w:r w:rsidRPr="0004462F">
        <w:t>The law guarantees parties a right to intervene in any PUCO proceeding where they may be adversely affected.</w:t>
      </w:r>
      <w:r>
        <w:rPr>
          <w:rStyle w:val="FootnoteReference"/>
        </w:rPr>
        <w:footnoteReference w:id="5"/>
      </w:r>
      <w:r w:rsidRPr="0004462F">
        <w:t xml:space="preserve"> It also directs the PUCO to consider four criteria in considering a timely motion to intervene: (1) the “nature and extent of the prospective intervenor’s interest,” (2) the “legal position advanced by the prospective intervenor and its probabl</w:t>
      </w:r>
      <w:r w:rsidR="008C5061">
        <w:t>e</w:t>
      </w:r>
      <w:r w:rsidRPr="0004462F">
        <w:t xml:space="preserve"> relation to the merits of the case,” (3) “</w:t>
      </w:r>
      <w:r w:rsidRPr="0004462F" w:rsidR="006460A6">
        <w:t>[w]</w:t>
      </w:r>
      <w:r w:rsidRPr="0004462F">
        <w:t xml:space="preserve">hether the intervention </w:t>
      </w:r>
      <w:r w:rsidRPr="0004462F" w:rsidR="006460A6">
        <w:t>by the prospective intervenor will unduly prolong or delay the proceedings,” and (4) “[w]hether the prospective intervenor will significantly contribute to full development and equitable resolution of the factual issues.”</w:t>
      </w:r>
      <w:r>
        <w:rPr>
          <w:rStyle w:val="FootnoteReference"/>
        </w:rPr>
        <w:footnoteReference w:id="6"/>
      </w:r>
      <w:r w:rsidRPr="0004462F" w:rsidR="00BC5172">
        <w:t xml:space="preserve"> </w:t>
      </w:r>
      <w:r w:rsidRPr="0004462F">
        <w:t>The Supreme Court of Ohio has interpreted this law to mean that “intervention ought to be liberally allowed so that the positions of all persons with a real and substantial interest in the proceedings can be considered by the PUCO.”</w:t>
      </w:r>
      <w:r>
        <w:rPr>
          <w:rStyle w:val="FootnoteReference"/>
        </w:rPr>
        <w:footnoteReference w:id="7"/>
      </w:r>
      <w:r w:rsidRPr="0004462F">
        <w:t xml:space="preserve"> </w:t>
      </w:r>
    </w:p>
    <w:p w:rsidR="006460A6" w:rsidRPr="0004462F" w:rsidP="00E710B3" w14:paraId="0FBF0ADE" w14:textId="77777777">
      <w:pPr>
        <w:spacing w:line="480" w:lineRule="auto"/>
        <w:ind w:firstLine="720"/>
      </w:pPr>
      <w:r w:rsidRPr="0004462F">
        <w:t>The PUCO’s intervention rule should be modified to be consistent with the Ohio Revised Code. Currently, the PUCO’s rule includes the four requirements from R.C. 4903.221, but it also adds a fifth factor: the “extent to which the person’s interest is represented by existing parties.”</w:t>
      </w:r>
      <w:r>
        <w:rPr>
          <w:rStyle w:val="FootnoteReference"/>
        </w:rPr>
        <w:footnoteReference w:id="8"/>
      </w:r>
      <w:r w:rsidRPr="0004462F">
        <w:t xml:space="preserve"> </w:t>
      </w:r>
      <w:r w:rsidRPr="0004462F" w:rsidR="001A42F6">
        <w:t xml:space="preserve">Essentially, this factor suggests that if two parties have similar interests in a proceeding, one of those parties—presumably whichever files its motion to intervene later—could be denied intervention. </w:t>
      </w:r>
      <w:r w:rsidRPr="0004462F">
        <w:t xml:space="preserve">This fifth factor </w:t>
      </w:r>
      <w:r w:rsidRPr="0004462F" w:rsidR="001A42F6">
        <w:t>must</w:t>
      </w:r>
      <w:r w:rsidRPr="0004462F">
        <w:t xml:space="preserve"> be deleted from the rule.</w:t>
      </w:r>
    </w:p>
    <w:p w:rsidR="001A42F6" w:rsidRPr="0004462F" w:rsidP="00E710B3" w14:paraId="2F10A4C4" w14:textId="77777777">
      <w:pPr>
        <w:spacing w:line="480" w:lineRule="auto"/>
        <w:ind w:firstLine="720"/>
      </w:pPr>
      <w:r w:rsidRPr="0004462F">
        <w:t>As the Supreme Court of Ohio ruled long ago, “Administrative rules may facilitate the operation of what has been enacted by the General Assembly but may not add to or subtract from the legislative enactment.”</w:t>
      </w:r>
      <w:r>
        <w:rPr>
          <w:rStyle w:val="FootnoteReference"/>
        </w:rPr>
        <w:footnoteReference w:id="9"/>
      </w:r>
      <w:r w:rsidRPr="0004462F">
        <w:t xml:space="preserve"> Similarly, the Court has ruled that a “rule that is contrary to statute is invalid.”</w:t>
      </w:r>
      <w:r>
        <w:rPr>
          <w:rStyle w:val="FootnoteReference"/>
        </w:rPr>
        <w:footnoteReference w:id="10"/>
      </w:r>
      <w:r w:rsidRPr="0004462F">
        <w:t xml:space="preserve"> And of course, the PUCO, as a creature of statute, cannot go beyond what is provided by law.</w:t>
      </w:r>
      <w:r>
        <w:rPr>
          <w:rStyle w:val="FootnoteReference"/>
        </w:rPr>
        <w:footnoteReference w:id="11"/>
      </w:r>
    </w:p>
    <w:p w:rsidR="00FC1C53" w:rsidRPr="0004462F" w:rsidP="006C6C0B" w14:paraId="2C8DBCEF" w14:textId="77777777">
      <w:pPr>
        <w:spacing w:line="480" w:lineRule="auto"/>
        <w:ind w:firstLine="720"/>
      </w:pPr>
      <w:r w:rsidRPr="0004462F">
        <w:t xml:space="preserve">Here, PUCO Rule 4901-1-11(B)(5) attempts </w:t>
      </w:r>
      <w:r w:rsidRPr="0004462F" w:rsidR="004F4DAD">
        <w:t xml:space="preserve">improperly </w:t>
      </w:r>
      <w:r w:rsidRPr="0004462F">
        <w:t>to “add to ... the legislative enactment”</w:t>
      </w:r>
      <w:r>
        <w:rPr>
          <w:rStyle w:val="FootnoteReference"/>
        </w:rPr>
        <w:footnoteReference w:id="12"/>
      </w:r>
      <w:r w:rsidRPr="0004462F">
        <w:t xml:space="preserve"> found in R.C. 4903.221</w:t>
      </w:r>
      <w:r w:rsidRPr="0004462F" w:rsidR="00D52843">
        <w:t xml:space="preserve">. </w:t>
      </w:r>
      <w:r w:rsidRPr="0004462F">
        <w:t xml:space="preserve">Thus, this </w:t>
      </w:r>
      <w:r w:rsidRPr="0004462F" w:rsidR="00BB5668">
        <w:t xml:space="preserve">part of the PUCO’s intervention </w:t>
      </w:r>
      <w:r w:rsidRPr="0004462F">
        <w:t>rule is “contrary to statute [and] is invalid.”</w:t>
      </w:r>
      <w:r>
        <w:rPr>
          <w:rStyle w:val="FootnoteReference"/>
        </w:rPr>
        <w:footnoteReference w:id="13"/>
      </w:r>
    </w:p>
    <w:p w:rsidR="00FA18DA" w:rsidRPr="0004462F" w:rsidP="00E710B3" w14:paraId="5495EC79" w14:textId="77777777">
      <w:pPr>
        <w:spacing w:line="480" w:lineRule="auto"/>
        <w:ind w:firstLine="720"/>
      </w:pPr>
      <w:r w:rsidRPr="0004462F">
        <w:t xml:space="preserve">In addition, </w:t>
      </w:r>
      <w:r w:rsidRPr="0004462F" w:rsidR="009F7779">
        <w:t>one</w:t>
      </w:r>
      <w:r w:rsidRPr="0004462F">
        <w:t xml:space="preserve"> other change to this rule</w:t>
      </w:r>
      <w:r w:rsidRPr="0004462F" w:rsidR="003871A5">
        <w:t xml:space="preserve"> should be made</w:t>
      </w:r>
      <w:r w:rsidRPr="0004462F">
        <w:t xml:space="preserve">. Rule 4901-1-11(F) </w:t>
      </w:r>
      <w:r w:rsidRPr="0004462F" w:rsidR="003871A5">
        <w:t xml:space="preserve">should </w:t>
      </w:r>
      <w:r w:rsidRPr="0004462F">
        <w:t xml:space="preserve">be modified as follows: “A motion to intervene which is not timely </w:t>
      </w:r>
      <w:r w:rsidRPr="0004462F">
        <w:rPr>
          <w:strike/>
          <w:color w:val="4472C4" w:themeColor="accent1"/>
        </w:rPr>
        <w:t>will be granted only under extraordinary circumstances</w:t>
      </w:r>
      <w:r w:rsidRPr="0004462F">
        <w:t xml:space="preserve"> </w:t>
      </w:r>
      <w:r w:rsidRPr="0004462F">
        <w:rPr>
          <w:color w:val="FF0000"/>
          <w:u w:val="single"/>
        </w:rPr>
        <w:t>may be granted for good cause shown</w:t>
      </w:r>
      <w:r w:rsidRPr="0004462F">
        <w:t>.”</w:t>
      </w:r>
      <w:r w:rsidRPr="0004462F" w:rsidR="00C634C0">
        <w:t xml:space="preserve"> </w:t>
      </w:r>
      <w:r w:rsidRPr="0004462F" w:rsidR="008D73A0">
        <w:t>P</w:t>
      </w:r>
      <w:r w:rsidRPr="0004462F" w:rsidR="00C634C0">
        <w:t>arties should generally be required to file timely motions to intervene. At the same time, however, the rule’s “extraordinary circumstances” standard is inconsistent with</w:t>
      </w:r>
      <w:r w:rsidRPr="0004462F" w:rsidR="004D6F8C">
        <w:t xml:space="preserve"> Ohio</w:t>
      </w:r>
      <w:r w:rsidRPr="0004462F" w:rsidR="00C634C0">
        <w:t xml:space="preserve"> law. R.C. 4903.221 provides that the PUCO may grant a late motion to intervene “for good cause shown.” The Rule should mirror the statutory language rather than imposing a higher standard of “extraordinary circumstances.”</w:t>
      </w:r>
    </w:p>
    <w:p w:rsidR="0016455A" w:rsidRPr="0004462F" w14:paraId="169DBB05" w14:textId="77777777">
      <w:pPr>
        <w:rPr>
          <w:b/>
          <w:bCs/>
          <w:u w:val="single"/>
        </w:rPr>
      </w:pPr>
    </w:p>
    <w:p w:rsidR="000C0DBD" w:rsidRPr="0004462F" w:rsidP="00712CE5" w14:paraId="3C1C7939" w14:textId="77777777">
      <w:pPr>
        <w:pStyle w:val="Heading2"/>
        <w:rPr>
          <w:rFonts w:ascii="Times New Roman" w:hAnsi="Times New Roman" w:cs="Times New Roman"/>
          <w:szCs w:val="24"/>
        </w:rPr>
      </w:pPr>
      <w:bookmarkStart w:id="15" w:name="_Toc29827604"/>
      <w:r w:rsidRPr="0004462F">
        <w:rPr>
          <w:rFonts w:ascii="Times New Roman" w:hAnsi="Times New Roman" w:cs="Times New Roman"/>
          <w:szCs w:val="24"/>
        </w:rPr>
        <w:t>O.A.C. 4901-1-15 Interlocutory appeals</w:t>
      </w:r>
      <w:bookmarkEnd w:id="15"/>
    </w:p>
    <w:p w:rsidR="002E74BD" w:rsidRPr="0004462F" w:rsidP="00E710B3" w14:paraId="2B634159" w14:textId="77777777">
      <w:pPr>
        <w:spacing w:line="480" w:lineRule="auto"/>
        <w:ind w:firstLine="720"/>
        <w:rPr>
          <w:rFonts w:eastAsia="Times New Roman"/>
          <w:color w:val="000000"/>
        </w:rPr>
      </w:pPr>
      <w:r w:rsidRPr="0004462F">
        <w:t>Currently</w:t>
      </w:r>
      <w:r w:rsidRPr="0004462F" w:rsidR="00E62EE2">
        <w:t xml:space="preserve">, </w:t>
      </w:r>
      <w:r w:rsidRPr="0004462F">
        <w:t>r</w:t>
      </w:r>
      <w:r w:rsidRPr="0004462F" w:rsidR="00E62EE2">
        <w:t>ule 4901-1-15(A)(1)</w:t>
      </w:r>
      <w:r w:rsidRPr="0004462F">
        <w:t xml:space="preserve"> </w:t>
      </w:r>
      <w:r w:rsidRPr="0004462F">
        <w:rPr>
          <w:rFonts w:eastAsia="Times New Roman"/>
          <w:color w:val="000000"/>
        </w:rPr>
        <w:t xml:space="preserve">allows an interlocutory appeal if a motion to compel is granted but not if one is denied. It also allows an interlocutory appeal if a motion for protective order is denied but not if one is granted. </w:t>
      </w:r>
      <w:r w:rsidRPr="0004462F" w:rsidR="00AA1453">
        <w:rPr>
          <w:rFonts w:eastAsia="Times New Roman"/>
          <w:color w:val="000000"/>
        </w:rPr>
        <w:t xml:space="preserve">These rules have long favored utilities. Most discovery is served on the applicant in a case, which tends to be the utility. Thus, motions for protective orders (against discovery) tend to be filed by utilities. And motions to compel answers to discovery tend to be filed against utilities. So it favors the utilities to be able to file an interlocutory appeal from a denied protective order that they sought or from a granted motion to compel that they opposed. </w:t>
      </w:r>
      <w:r w:rsidRPr="0004462F">
        <w:rPr>
          <w:rFonts w:eastAsia="Times New Roman"/>
          <w:color w:val="000000"/>
        </w:rPr>
        <w:t>Both of these rules should be</w:t>
      </w:r>
      <w:r w:rsidRPr="0004462F" w:rsidR="00AA1453">
        <w:rPr>
          <w:rFonts w:eastAsia="Times New Roman"/>
          <w:color w:val="000000"/>
        </w:rPr>
        <w:t xml:space="preserve"> made</w:t>
      </w:r>
      <w:r w:rsidRPr="0004462F">
        <w:rPr>
          <w:rFonts w:eastAsia="Times New Roman"/>
          <w:color w:val="000000"/>
        </w:rPr>
        <w:t xml:space="preserve"> symmetrical. Thus, the rule should be modified as follows:</w:t>
      </w:r>
      <w:r w:rsidRPr="0004462F" w:rsidR="00E62EE2">
        <w:t xml:space="preserve"> “</w:t>
      </w:r>
      <w:r w:rsidRPr="0004462F" w:rsidR="00E62EE2">
        <w:rPr>
          <w:rFonts w:eastAsia="Times New Roman"/>
          <w:color w:val="000000"/>
        </w:rPr>
        <w:t xml:space="preserve">Grants </w:t>
      </w:r>
      <w:r w:rsidRPr="0004462F" w:rsidR="00E62EE2">
        <w:rPr>
          <w:rFonts w:eastAsia="Times New Roman"/>
          <w:color w:val="FF0000"/>
          <w:u w:val="single"/>
        </w:rPr>
        <w:t>or denies</w:t>
      </w:r>
      <w:r w:rsidRPr="0004462F" w:rsidR="00E62EE2">
        <w:rPr>
          <w:rFonts w:eastAsia="Times New Roman"/>
          <w:color w:val="000000"/>
        </w:rPr>
        <w:t xml:space="preserve"> a motion to compel discovery or </w:t>
      </w:r>
      <w:r w:rsidRPr="0004462F" w:rsidR="00E62EE2">
        <w:rPr>
          <w:rFonts w:eastAsia="Times New Roman"/>
          <w:strike/>
          <w:color w:val="4472C4" w:themeColor="accent1"/>
        </w:rPr>
        <w:t>denies</w:t>
      </w:r>
      <w:r w:rsidRPr="0004462F" w:rsidR="00E62EE2">
        <w:rPr>
          <w:rFonts w:eastAsia="Times New Roman"/>
          <w:color w:val="000000"/>
        </w:rPr>
        <w:t xml:space="preserve"> a motion for a protective order.”</w:t>
      </w:r>
    </w:p>
    <w:p w:rsidR="00BF0B90" w:rsidRPr="0004462F" w:rsidP="00E710B3" w14:paraId="19CEAB4E" w14:textId="77777777">
      <w:pPr>
        <w:spacing w:line="480" w:lineRule="auto"/>
        <w:ind w:firstLine="720"/>
        <w:rPr>
          <w:rFonts w:eastAsia="Times New Roman"/>
          <w:color w:val="000000"/>
        </w:rPr>
      </w:pPr>
      <w:r w:rsidRPr="0004462F">
        <w:rPr>
          <w:rFonts w:eastAsia="Times New Roman"/>
          <w:color w:val="000000"/>
        </w:rPr>
        <w:t>Similarly</w:t>
      </w:r>
      <w:r w:rsidRPr="0004462F" w:rsidR="00E62EE2">
        <w:rPr>
          <w:rFonts w:eastAsia="Times New Roman"/>
          <w:color w:val="000000"/>
        </w:rPr>
        <w:t>, Rule 4901-1-15(A)(3) should be modified</w:t>
      </w:r>
      <w:r w:rsidRPr="0004462F">
        <w:rPr>
          <w:rFonts w:eastAsia="Times New Roman"/>
          <w:color w:val="000000"/>
        </w:rPr>
        <w:t xml:space="preserve">. It allows an interlocutory appeal if the PUCO “Refuses to quash a subpoena.” </w:t>
      </w:r>
    </w:p>
    <w:p w:rsidR="00E62EE2" w:rsidRPr="0004462F" w:rsidP="00E710B3" w14:paraId="288E9D1D" w14:textId="77777777">
      <w:pPr>
        <w:spacing w:line="480" w:lineRule="auto"/>
        <w:ind w:firstLine="720"/>
        <w:rPr>
          <w:rFonts w:eastAsia="Times New Roman"/>
          <w:color w:val="000000"/>
        </w:rPr>
      </w:pPr>
      <w:r w:rsidRPr="0004462F">
        <w:rPr>
          <w:rFonts w:eastAsia="Times New Roman"/>
          <w:color w:val="000000"/>
        </w:rPr>
        <w:t>Utilities tend to be the subject of subpoenas, so they tend to file motions to quash subpoenas. So it favors utilities that an interlocutory appeal can only be taken from a denial of a motion to quash</w:t>
      </w:r>
      <w:r w:rsidRPr="0004462F" w:rsidR="00BF0B90">
        <w:rPr>
          <w:rFonts w:eastAsia="Times New Roman"/>
          <w:color w:val="000000"/>
        </w:rPr>
        <w:t>.</w:t>
      </w:r>
      <w:r w:rsidRPr="0004462F">
        <w:rPr>
          <w:rFonts w:eastAsia="Times New Roman"/>
          <w:color w:val="000000"/>
        </w:rPr>
        <w:t xml:space="preserve"> </w:t>
      </w:r>
      <w:r w:rsidRPr="0004462F" w:rsidR="00BF0B90">
        <w:rPr>
          <w:rFonts w:eastAsia="Times New Roman"/>
          <w:color w:val="000000"/>
        </w:rPr>
        <w:t>The same appeal allowance does not apply to the granting of a motion to quash against the filer of the subpoena request.</w:t>
      </w:r>
      <w:r w:rsidRPr="0004462F">
        <w:rPr>
          <w:rFonts w:eastAsia="Times New Roman"/>
          <w:color w:val="000000"/>
        </w:rPr>
        <w:t xml:space="preserve"> The rule </w:t>
      </w:r>
      <w:r w:rsidRPr="0004462F" w:rsidR="00BF0B90">
        <w:rPr>
          <w:rFonts w:eastAsia="Times New Roman"/>
          <w:color w:val="000000"/>
        </w:rPr>
        <w:t>should be changed</w:t>
      </w:r>
      <w:r w:rsidRPr="0004462F">
        <w:rPr>
          <w:rFonts w:eastAsia="Times New Roman"/>
          <w:color w:val="000000"/>
        </w:rPr>
        <w:t xml:space="preserve"> as follows: “</w:t>
      </w:r>
      <w:r w:rsidRPr="0004462F">
        <w:rPr>
          <w:rFonts w:eastAsia="Times New Roman"/>
          <w:color w:val="FF0000"/>
          <w:u w:val="single"/>
        </w:rPr>
        <w:t xml:space="preserve">Quashes or refuses </w:t>
      </w:r>
      <w:r w:rsidRPr="0004462F">
        <w:rPr>
          <w:rFonts w:eastAsia="Times New Roman"/>
          <w:strike/>
          <w:color w:val="4472C4" w:themeColor="accent1"/>
        </w:rPr>
        <w:t>Refuses</w:t>
      </w:r>
      <w:r w:rsidRPr="0004462F">
        <w:rPr>
          <w:rFonts w:eastAsia="Times New Roman"/>
          <w:color w:val="000000"/>
        </w:rPr>
        <w:t xml:space="preserve"> to quash a subpoena.” Again, this rule should be symmetrical so that a party can file an interlocutory appeal if a subpoena is improperly quashed.</w:t>
      </w:r>
    </w:p>
    <w:p w:rsidR="00E62EE2" w:rsidRPr="0004462F" w:rsidP="00E710B3" w14:paraId="022E29D8" w14:textId="77777777">
      <w:pPr>
        <w:spacing w:line="480" w:lineRule="auto"/>
        <w:ind w:firstLine="720"/>
      </w:pPr>
      <w:r w:rsidRPr="0004462F">
        <w:t xml:space="preserve">Third, Rule 4901-1-15(B) should be amended to provide </w:t>
      </w:r>
      <w:r w:rsidRPr="0004462F" w:rsidR="00D52843">
        <w:t>th</w:t>
      </w:r>
      <w:r w:rsidRPr="0004462F">
        <w:t xml:space="preserve">at a </w:t>
      </w:r>
      <w:r w:rsidRPr="0004462F">
        <w:rPr>
          <w:i/>
          <w:iCs/>
        </w:rPr>
        <w:t>non-presiding</w:t>
      </w:r>
      <w:r w:rsidRPr="0004462F">
        <w:t xml:space="preserve"> ALJ, as opposed to the presiding ALJ, should </w:t>
      </w:r>
      <w:r w:rsidRPr="0004462F" w:rsidR="008A71FF">
        <w:t xml:space="preserve">consider </w:t>
      </w:r>
      <w:r w:rsidRPr="0004462F">
        <w:t>certify</w:t>
      </w:r>
      <w:r w:rsidRPr="0004462F" w:rsidR="008A71FF">
        <w:t>ing</w:t>
      </w:r>
      <w:r w:rsidRPr="0004462F">
        <w:t xml:space="preserve"> an interlocutory appeal. It makes more sense </w:t>
      </w:r>
      <w:r w:rsidRPr="0004462F" w:rsidR="00BF0B90">
        <w:t>f</w:t>
      </w:r>
      <w:r w:rsidRPr="0004462F">
        <w:t xml:space="preserve">or a non-presiding ALJ to make this determination </w:t>
      </w:r>
      <w:r w:rsidRPr="0004462F" w:rsidR="00BF0B90">
        <w:t>to avoid</w:t>
      </w:r>
      <w:r w:rsidRPr="0004462F">
        <w:t xml:space="preserve"> the presiding ALJ </w:t>
      </w:r>
      <w:r w:rsidRPr="0004462F" w:rsidR="00BF0B90">
        <w:t>being</w:t>
      </w:r>
      <w:r w:rsidRPr="0004462F">
        <w:t xml:space="preserve"> </w:t>
      </w:r>
      <w:r w:rsidRPr="0004462F" w:rsidR="00BF0B90">
        <w:t xml:space="preserve">asked to </w:t>
      </w:r>
      <w:r w:rsidRPr="0004462F">
        <w:t xml:space="preserve">certify an appeal </w:t>
      </w:r>
      <w:r w:rsidRPr="0004462F" w:rsidR="00BF0B90">
        <w:t>from</w:t>
      </w:r>
      <w:r w:rsidRPr="0004462F">
        <w:t xml:space="preserve"> his or her own decision </w:t>
      </w:r>
      <w:r w:rsidRPr="0004462F" w:rsidR="00BF0B90">
        <w:t>which is in dispute.</w:t>
      </w:r>
    </w:p>
    <w:p w:rsidR="00E62EE2" w:rsidRPr="0004462F" w:rsidP="00E710B3" w14:paraId="400801CF" w14:textId="77777777">
      <w:pPr>
        <w:spacing w:line="480" w:lineRule="auto"/>
        <w:ind w:firstLine="720"/>
      </w:pPr>
      <w:r w:rsidRPr="0004462F">
        <w:t xml:space="preserve">Fourth, Rule 4901-1-15(B) should be modified to provide that the likelihood of undue prejudice or expense to a party is an independent justification for an interlocutory appeal. Currently, the rule provides that the appeal must be one that “presents a new or novel question of interpretation, law, or policy, or is taken from a ruling which represents a departure from past precedent </w:t>
      </w:r>
      <w:r w:rsidRPr="0004462F">
        <w:rPr>
          <w:i/>
          <w:iCs/>
        </w:rPr>
        <w:t>and</w:t>
      </w:r>
      <w:r w:rsidRPr="0004462F">
        <w:t xml:space="preserve"> an immediate determination by the commission is needed to prevent the likelihood of undue prejudice or expense to one or more of the parties.”</w:t>
      </w:r>
      <w:r>
        <w:rPr>
          <w:rStyle w:val="FootnoteReference"/>
        </w:rPr>
        <w:footnoteReference w:id="14"/>
      </w:r>
      <w:r w:rsidRPr="0004462F">
        <w:t xml:space="preserve"> The word “and” should be changed to “or” so that undue prejudice is, by itself, sufficient for granting an interlocutory appeal.</w:t>
      </w:r>
    </w:p>
    <w:p w:rsidR="00E710B3" w:rsidRPr="0004462F" w:rsidP="00E710B3" w14:paraId="0E3A40D7" w14:textId="77777777">
      <w:pPr>
        <w:spacing w:line="480" w:lineRule="auto"/>
        <w:ind w:firstLine="720"/>
      </w:pPr>
      <w:r w:rsidRPr="0004462F">
        <w:t xml:space="preserve">Fifth, Rule 4901-1-15(E)(2) should be modified. Currently, the rule allows the PUCO to defer ruling on an interlocutory appeal until “some later point in the proceeding.” This rule should be qualified to provide that deferring </w:t>
      </w:r>
      <w:r w:rsidRPr="0004462F" w:rsidR="00BF0B90">
        <w:t xml:space="preserve">the </w:t>
      </w:r>
      <w:r w:rsidRPr="0004462F">
        <w:t>ruling is only appropriate if there is no harm to the parties by deferring the ruling.</w:t>
      </w:r>
      <w:r w:rsidRPr="0004462F" w:rsidR="000B5CC3">
        <w:t xml:space="preserve"> Thus, the following language should be added to the end of the current rule: “provided that there is no harm to the parties by deferring the ruling.”</w:t>
      </w:r>
    </w:p>
    <w:p w:rsidR="0016455A" w:rsidRPr="0004462F" w14:paraId="6BD62C07" w14:textId="77777777">
      <w:pPr>
        <w:rPr>
          <w:b/>
          <w:bCs/>
          <w:u w:val="single"/>
        </w:rPr>
      </w:pPr>
    </w:p>
    <w:p w:rsidR="000B5CC3" w:rsidRPr="0004462F" w:rsidP="00712CE5" w14:paraId="21FB4135" w14:textId="77777777">
      <w:pPr>
        <w:pStyle w:val="Heading2"/>
        <w:rPr>
          <w:rFonts w:ascii="Times New Roman" w:hAnsi="Times New Roman" w:cs="Times New Roman"/>
          <w:szCs w:val="24"/>
        </w:rPr>
      </w:pPr>
      <w:bookmarkStart w:id="16" w:name="_Toc29827605"/>
      <w:r w:rsidRPr="0004462F">
        <w:rPr>
          <w:rFonts w:ascii="Times New Roman" w:hAnsi="Times New Roman" w:cs="Times New Roman"/>
          <w:szCs w:val="24"/>
        </w:rPr>
        <w:t>O.A.C. 4901-1-16 General provisions and scope of discovery</w:t>
      </w:r>
      <w:bookmarkEnd w:id="16"/>
    </w:p>
    <w:p w:rsidR="00815C32" w:rsidRPr="0004462F" w:rsidP="00620F7D" w14:paraId="387C4812" w14:textId="2CC44C22">
      <w:pPr>
        <w:spacing w:line="480" w:lineRule="auto"/>
        <w:ind w:firstLine="720"/>
        <w:rPr>
          <w:rFonts w:eastAsia="Times New Roman"/>
          <w:color w:val="000000"/>
        </w:rPr>
      </w:pPr>
      <w:r w:rsidRPr="0004462F">
        <w:t>O.A.C. 4901-1-16(E) should be modified as follows: “</w:t>
      </w:r>
      <w:r w:rsidRPr="0004462F">
        <w:rPr>
          <w:rFonts w:eastAsia="Times New Roman"/>
          <w:color w:val="000000"/>
        </w:rPr>
        <w:t xml:space="preserve">The supplementation of responses required under paragraphs (D)(1) to (D)(3) and (D)(6) of this rule shall be provided within </w:t>
      </w:r>
      <w:r w:rsidRPr="0004462F">
        <w:rPr>
          <w:rFonts w:eastAsia="Times New Roman"/>
        </w:rPr>
        <w:t>five business</w:t>
      </w:r>
      <w:r w:rsidRPr="0004462F">
        <w:rPr>
          <w:rFonts w:eastAsia="Times New Roman"/>
          <w:color w:val="000000"/>
        </w:rPr>
        <w:t xml:space="preserve"> days of discovery of the new information. </w:t>
      </w:r>
      <w:r w:rsidRPr="0004462F">
        <w:rPr>
          <w:rFonts w:eastAsia="Times New Roman"/>
          <w:color w:val="FF0000"/>
          <w:u w:val="single"/>
        </w:rPr>
        <w:t xml:space="preserve">The supplementation of responses required under paragraph (D)(5) shall be provided within </w:t>
      </w:r>
      <w:r w:rsidRPr="0004462F" w:rsidR="00FF7B4C">
        <w:rPr>
          <w:rFonts w:eastAsia="Times New Roman"/>
          <w:color w:val="FF0000"/>
          <w:u w:val="single"/>
        </w:rPr>
        <w:t xml:space="preserve">five business days </w:t>
      </w:r>
      <w:r w:rsidRPr="0004462F">
        <w:rPr>
          <w:rFonts w:eastAsia="Times New Roman"/>
          <w:color w:val="FF0000"/>
          <w:u w:val="single"/>
        </w:rPr>
        <w:t>or any shorter deadline established by the ALJ.</w:t>
      </w:r>
      <w:r w:rsidRPr="0004462F">
        <w:rPr>
          <w:rFonts w:eastAsia="Times New Roman"/>
          <w:color w:val="000000"/>
        </w:rPr>
        <w:t xml:space="preserve">” </w:t>
      </w:r>
      <w:r w:rsidRPr="0004462F" w:rsidR="00FF7B4C">
        <w:rPr>
          <w:rFonts w:eastAsia="Times New Roman"/>
          <w:color w:val="000000"/>
        </w:rPr>
        <w:t>T</w:t>
      </w:r>
      <w:r w:rsidRPr="0004462F">
        <w:rPr>
          <w:rFonts w:eastAsia="Times New Roman"/>
          <w:color w:val="000000"/>
        </w:rPr>
        <w:t>he rule should provide a specific deadline for supplementing responses when a party asks for supplementation</w:t>
      </w:r>
      <w:r w:rsidRPr="0004462F" w:rsidR="00B168A2">
        <w:rPr>
          <w:rFonts w:eastAsia="Times New Roman"/>
          <w:color w:val="000000"/>
        </w:rPr>
        <w:t xml:space="preserve">; OCC proposes </w:t>
      </w:r>
      <w:r w:rsidRPr="0004462F" w:rsidR="00FF7B4C">
        <w:rPr>
          <w:rFonts w:eastAsia="Times New Roman"/>
          <w:color w:val="000000"/>
        </w:rPr>
        <w:t xml:space="preserve">five business </w:t>
      </w:r>
      <w:r w:rsidRPr="0004462F" w:rsidR="00B168A2">
        <w:rPr>
          <w:rFonts w:eastAsia="Times New Roman"/>
          <w:color w:val="000000"/>
        </w:rPr>
        <w:t>days.</w:t>
      </w:r>
    </w:p>
    <w:p w:rsidR="00B168A2" w:rsidRPr="0004462F" w:rsidP="00620F7D" w14:paraId="12E59F07" w14:textId="77777777">
      <w:pPr>
        <w:spacing w:line="480" w:lineRule="auto"/>
        <w:ind w:firstLine="720"/>
      </w:pPr>
      <w:r w:rsidRPr="0004462F">
        <w:rPr>
          <w:rFonts w:eastAsia="Times New Roman"/>
          <w:color w:val="000000"/>
        </w:rPr>
        <w:t>Rule 4901-1-16(I) should be modified as follows: “R</w:t>
      </w:r>
      <w:r w:rsidRPr="0004462F">
        <w:rPr>
          <w:rFonts w:eastAsia="Times New Roman"/>
        </w:rPr>
        <w:t>ules 4901-1-16 to 4901-1-24 of the Administrative Code do not apply to the commission staff</w:t>
      </w:r>
      <w:r w:rsidRPr="0004462F">
        <w:rPr>
          <w:rFonts w:eastAsia="Times New Roman"/>
          <w:color w:val="FF0000"/>
          <w:u w:val="single"/>
        </w:rPr>
        <w:t>, except as provided in rule 4901-1-10(C) of the Administrative Code</w:t>
      </w:r>
      <w:r w:rsidRPr="0004462F">
        <w:rPr>
          <w:rFonts w:eastAsia="Times New Roman"/>
        </w:rPr>
        <w:t xml:space="preserve">.” This edit simply recognizes </w:t>
      </w:r>
      <w:r w:rsidRPr="0004462F" w:rsidR="005E6A2F">
        <w:rPr>
          <w:rFonts w:eastAsia="Times New Roman"/>
        </w:rPr>
        <w:t>our</w:t>
      </w:r>
      <w:r w:rsidRPr="0004462F">
        <w:rPr>
          <w:rFonts w:eastAsia="Times New Roman"/>
        </w:rPr>
        <w:t xml:space="preserve"> recommended changes to Rule 4901-1-10(C) allowing depositions of Staff in limited circumstances.</w:t>
      </w:r>
    </w:p>
    <w:p w:rsidR="0016455A" w:rsidRPr="0004462F" w14:paraId="0E1283C5" w14:textId="77777777">
      <w:pPr>
        <w:rPr>
          <w:b/>
          <w:bCs/>
          <w:u w:val="single"/>
        </w:rPr>
      </w:pPr>
    </w:p>
    <w:p w:rsidR="00620F7D" w:rsidRPr="0004462F" w:rsidP="00712CE5" w14:paraId="7755E731" w14:textId="77777777">
      <w:pPr>
        <w:pStyle w:val="Heading2"/>
        <w:rPr>
          <w:rFonts w:ascii="Times New Roman" w:hAnsi="Times New Roman" w:cs="Times New Roman"/>
          <w:szCs w:val="24"/>
        </w:rPr>
      </w:pPr>
      <w:bookmarkStart w:id="17" w:name="_Toc29827606"/>
      <w:r w:rsidRPr="0004462F">
        <w:rPr>
          <w:rFonts w:ascii="Times New Roman" w:hAnsi="Times New Roman" w:cs="Times New Roman"/>
          <w:szCs w:val="24"/>
        </w:rPr>
        <w:t xml:space="preserve">O.A.C. </w:t>
      </w:r>
      <w:r w:rsidRPr="0004462F" w:rsidR="000C24E4">
        <w:rPr>
          <w:rFonts w:ascii="Times New Roman" w:hAnsi="Times New Roman" w:cs="Times New Roman"/>
          <w:szCs w:val="24"/>
        </w:rPr>
        <w:t>4901-1-17 Time periods for discovery</w:t>
      </w:r>
      <w:bookmarkEnd w:id="17"/>
    </w:p>
    <w:p w:rsidR="005552E8" w:rsidRPr="0004462F" w:rsidP="005552E8" w14:paraId="35933FB5" w14:textId="77777777">
      <w:pPr>
        <w:spacing w:line="480" w:lineRule="auto"/>
        <w:ind w:firstLine="720"/>
      </w:pPr>
      <w:r w:rsidRPr="0004462F">
        <w:t>The PUCO should adopt</w:t>
      </w:r>
      <w:r w:rsidRPr="0004462F" w:rsidR="000C24E4">
        <w:t xml:space="preserve"> addition</w:t>
      </w:r>
      <w:r w:rsidRPr="0004462F" w:rsidR="002413EE">
        <w:t>al language in</w:t>
      </w:r>
      <w:r w:rsidRPr="0004462F" w:rsidR="000C24E4">
        <w:t xml:space="preserve"> Rule 4901-1-17(A)</w:t>
      </w:r>
      <w:r w:rsidRPr="0004462F" w:rsidR="00984C96">
        <w:t xml:space="preserve"> </w:t>
      </w:r>
      <w:r w:rsidRPr="0004462F">
        <w:t>to</w:t>
      </w:r>
      <w:r w:rsidRPr="0004462F">
        <w:rPr>
          <w:rFonts w:eastAsia="Times New Roman"/>
          <w:color w:val="000000"/>
        </w:rPr>
        <w:t xml:space="preserve"> make it more clear that discovery (including the duty to answer discovery) begins immediately upon filing for intervention in a docketed case.</w:t>
      </w:r>
      <w:r w:rsidRPr="0004462F" w:rsidR="00984C96">
        <w:rPr>
          <w:rFonts w:eastAsia="Times New Roman"/>
          <w:color w:val="000000"/>
        </w:rPr>
        <w:t xml:space="preserve"> </w:t>
      </w:r>
      <w:r w:rsidRPr="0004462F" w:rsidR="002413EE">
        <w:rPr>
          <w:rFonts w:eastAsia="Times New Roman"/>
          <w:color w:val="000000"/>
        </w:rPr>
        <w:t>The rule</w:t>
      </w:r>
      <w:r w:rsidRPr="0004462F">
        <w:rPr>
          <w:rFonts w:eastAsia="Times New Roman"/>
          <w:color w:val="000000"/>
        </w:rPr>
        <w:t xml:space="preserve"> should be modified as follows:</w:t>
      </w:r>
    </w:p>
    <w:p w:rsidR="00815C32" w:rsidP="00620F7D" w14:paraId="6CFFD4CC" w14:textId="0F42BEA7">
      <w:pPr>
        <w:spacing w:line="480" w:lineRule="auto"/>
        <w:ind w:firstLine="720"/>
        <w:rPr>
          <w:rFonts w:eastAsia="Times New Roman"/>
          <w:color w:val="000000"/>
        </w:rPr>
      </w:pPr>
      <w:r w:rsidRPr="0004462F">
        <w:t>“</w:t>
      </w:r>
      <w:r w:rsidRPr="0004462F">
        <w:rPr>
          <w:rFonts w:eastAsia="Times New Roman"/>
          <w:color w:val="000000"/>
        </w:rPr>
        <w:t xml:space="preserve">Except as provided in paragraph (E) of this rule, discovery may begin immediately after a proceeding is commenced and should be completed as expeditiously as possible. </w:t>
      </w:r>
      <w:r w:rsidRPr="0004462F">
        <w:rPr>
          <w:rFonts w:eastAsia="Times New Roman"/>
          <w:color w:val="FF0000"/>
          <w:u w:val="single"/>
        </w:rPr>
        <w:t>A proceeding is commenced with the docketing of the matter by the commission.</w:t>
      </w:r>
      <w:r w:rsidRPr="0004462F">
        <w:rPr>
          <w:rFonts w:eastAsia="Times New Roman"/>
          <w:color w:val="000000"/>
        </w:rPr>
        <w:t xml:space="preserve"> Unless otherwise ordered for good cause shown, discovery must be completed prior to the commencement of the hearing.” </w:t>
      </w:r>
    </w:p>
    <w:p w:rsidR="0016455A" w:rsidRPr="0004462F" w14:paraId="2D939258" w14:textId="77777777">
      <w:pPr>
        <w:rPr>
          <w:b/>
          <w:bCs/>
          <w:u w:val="single"/>
        </w:rPr>
      </w:pPr>
    </w:p>
    <w:p w:rsidR="00815C32" w:rsidRPr="0004462F" w:rsidP="00712CE5" w14:paraId="1161F3BE" w14:textId="77777777">
      <w:pPr>
        <w:pStyle w:val="Heading2"/>
        <w:rPr>
          <w:rFonts w:ascii="Times New Roman" w:hAnsi="Times New Roman" w:cs="Times New Roman"/>
          <w:szCs w:val="24"/>
        </w:rPr>
      </w:pPr>
      <w:bookmarkStart w:id="18" w:name="_Toc29827607"/>
      <w:r w:rsidRPr="0004462F">
        <w:rPr>
          <w:rFonts w:ascii="Times New Roman" w:hAnsi="Times New Roman" w:cs="Times New Roman"/>
          <w:szCs w:val="24"/>
        </w:rPr>
        <w:t xml:space="preserve">O.A.C. </w:t>
      </w:r>
      <w:r w:rsidRPr="0004462F" w:rsidR="00D31659">
        <w:rPr>
          <w:rFonts w:ascii="Times New Roman" w:hAnsi="Times New Roman" w:cs="Times New Roman"/>
          <w:szCs w:val="24"/>
        </w:rPr>
        <w:t>4901-1-19 Interrogatories and response time</w:t>
      </w:r>
      <w:bookmarkEnd w:id="18"/>
    </w:p>
    <w:p w:rsidR="0042297A" w:rsidRPr="0004462F" w:rsidP="00620F7D" w14:paraId="75D07538" w14:textId="77777777">
      <w:pPr>
        <w:spacing w:line="480" w:lineRule="auto"/>
        <w:ind w:firstLine="720"/>
      </w:pPr>
      <w:r w:rsidRPr="0004462F">
        <w:t>First, t</w:t>
      </w:r>
      <w:r w:rsidRPr="0004462F" w:rsidR="00DE71B7">
        <w:t>he current 20-day deadline for responding to interrogatories should be modified in certain circumstances. For example, by rule,</w:t>
      </w:r>
      <w:r>
        <w:rPr>
          <w:rStyle w:val="FootnoteReference"/>
        </w:rPr>
        <w:footnoteReference w:id="15"/>
      </w:r>
      <w:r w:rsidRPr="0004462F" w:rsidR="00DE71B7">
        <w:t xml:space="preserve"> in an economic development, energy efficiency arrangement, or unique arrangement case, parties are required to file comments and objections within 20 days of the filing of the application. With a 20-day discovery deadline, it is impossible for a party to obtain any discovery before filing comments or objections, which makes it difficult (if not impossible) for a party to meaningfully evaluate the application. </w:t>
      </w:r>
    </w:p>
    <w:p w:rsidR="0000300C" w:rsidRPr="0004462F" w:rsidP="00620F7D" w14:paraId="592DE432" w14:textId="77777777">
      <w:pPr>
        <w:spacing w:line="480" w:lineRule="auto"/>
        <w:ind w:firstLine="720"/>
        <w:rPr>
          <w:rFonts w:eastAsia="Times New Roman"/>
          <w:color w:val="000000"/>
        </w:rPr>
      </w:pPr>
      <w:r w:rsidRPr="0004462F">
        <w:t>T</w:t>
      </w:r>
      <w:r w:rsidRPr="0004462F" w:rsidR="00DE71B7">
        <w:t>herefore</w:t>
      </w:r>
      <w:r w:rsidRPr="0004462F">
        <w:t xml:space="preserve">, </w:t>
      </w:r>
      <w:r w:rsidRPr="0004462F" w:rsidR="00DE71B7">
        <w:t xml:space="preserve">the following change to </w:t>
      </w:r>
      <w:r w:rsidRPr="0004462F" w:rsidR="00A95B19">
        <w:t>rule 4901-1-19(A)</w:t>
      </w:r>
      <w:r w:rsidRPr="0004462F">
        <w:t xml:space="preserve"> should be adopted</w:t>
      </w:r>
      <w:r w:rsidRPr="0004462F" w:rsidR="00DE71B7">
        <w:t>: “</w:t>
      </w:r>
      <w:r w:rsidRPr="0004462F" w:rsidR="00DE71B7">
        <w:rPr>
          <w:rFonts w:eastAsia="Times New Roman"/>
          <w:color w:val="000000"/>
        </w:rPr>
        <w:t>The party upon whom the interrogatories have been served shall serve a copy of the answers or objections upon the party submitting the interrogatories and all other parties within twenty days after the service thereof, or within such shorter or longer time as the commission, the legal director, the deputy legal director, or an ALJ may allow</w:t>
      </w:r>
      <w:r w:rsidRPr="0004462F" w:rsidR="00984C96">
        <w:rPr>
          <w:rFonts w:eastAsia="Times New Roman"/>
          <w:color w:val="000000"/>
        </w:rPr>
        <w:t xml:space="preserve">. </w:t>
      </w:r>
      <w:r w:rsidRPr="0004462F" w:rsidR="00536CF4">
        <w:rPr>
          <w:rFonts w:eastAsia="Times New Roman"/>
          <w:color w:val="FF0000"/>
          <w:u w:val="single"/>
        </w:rPr>
        <w:t>H</w:t>
      </w:r>
      <w:r w:rsidRPr="0004462F" w:rsidR="00DE71B7">
        <w:rPr>
          <w:rFonts w:eastAsia="Times New Roman"/>
          <w:color w:val="FF0000"/>
          <w:u w:val="single"/>
        </w:rPr>
        <w:t>owever, in any case in which there is a deadline for response to an application</w:t>
      </w:r>
      <w:r w:rsidRPr="0004462F" w:rsidR="0089681C">
        <w:rPr>
          <w:rFonts w:eastAsia="Times New Roman"/>
          <w:color w:val="FF0000"/>
          <w:u w:val="single"/>
        </w:rPr>
        <w:t xml:space="preserve"> or other filing</w:t>
      </w:r>
      <w:r w:rsidRPr="0004462F" w:rsidR="00DE71B7">
        <w:rPr>
          <w:rFonts w:eastAsia="Times New Roman"/>
          <w:color w:val="FF0000"/>
          <w:u w:val="single"/>
        </w:rPr>
        <w:t xml:space="preserve"> that is less than 45 days, </w:t>
      </w:r>
      <w:r w:rsidRPr="0004462F" w:rsidR="00984C96">
        <w:rPr>
          <w:rFonts w:eastAsia="Times New Roman"/>
          <w:color w:val="FF0000"/>
          <w:u w:val="single"/>
        </w:rPr>
        <w:t xml:space="preserve">or in any case subject to automatic approval in less than 45 days, </w:t>
      </w:r>
      <w:r w:rsidRPr="0004462F" w:rsidR="00DE71B7">
        <w:rPr>
          <w:rFonts w:eastAsia="Times New Roman"/>
          <w:color w:val="FF0000"/>
          <w:u w:val="single"/>
        </w:rPr>
        <w:t>the party upon whom the interrogatories have been served shall serve a copy of the answers or objections within seven days after the service thereof</w:t>
      </w:r>
      <w:r w:rsidRPr="0004462F" w:rsidR="00DE71B7">
        <w:rPr>
          <w:rFonts w:eastAsia="Times New Roman"/>
          <w:color w:val="000000"/>
        </w:rPr>
        <w:t>.”</w:t>
      </w:r>
    </w:p>
    <w:p w:rsidR="001249D6" w:rsidRPr="0004462F" w:rsidP="00620F7D" w14:paraId="50983FEF" w14:textId="77777777">
      <w:pPr>
        <w:spacing w:line="480" w:lineRule="auto"/>
        <w:ind w:firstLine="720"/>
      </w:pPr>
      <w:r w:rsidRPr="0004462F">
        <w:t xml:space="preserve">Second, the end of </w:t>
      </w:r>
      <w:r w:rsidRPr="0004462F" w:rsidR="00984C96">
        <w:t>O.A.C.</w:t>
      </w:r>
      <w:r w:rsidRPr="0004462F">
        <w:t xml:space="preserve"> 4901-1-19(A) should be modified as follows:</w:t>
      </w:r>
      <w:r w:rsidRPr="0004462F" w:rsidR="0089681C">
        <w:t xml:space="preserve"> </w:t>
      </w:r>
      <w:r w:rsidRPr="0004462F">
        <w:t>“</w:t>
      </w:r>
      <w:r w:rsidRPr="0004462F" w:rsidR="008D73A0">
        <w:t>Parties have a duty to respond to discovery unless the PUCO has ruled otherwise.”</w:t>
      </w:r>
    </w:p>
    <w:p w:rsidR="00D31659" w:rsidRPr="0004462F" w:rsidP="00620F7D" w14:paraId="7BD991A2" w14:textId="77777777">
      <w:pPr>
        <w:spacing w:line="480" w:lineRule="auto"/>
        <w:ind w:firstLine="720"/>
      </w:pPr>
      <w:r w:rsidRPr="0004462F">
        <w:t xml:space="preserve">Further, </w:t>
      </w:r>
      <w:r w:rsidRPr="0004462F" w:rsidR="00984C96">
        <w:t>O.A.C.</w:t>
      </w:r>
      <w:r w:rsidRPr="0004462F">
        <w:t xml:space="preserve"> 4901-1-19(D) should be amended to require electronic documents to be shared electronically. For example, if the response to an interrogatory requires the responding party to produce an electronic document (</w:t>
      </w:r>
      <w:r w:rsidRPr="0004462F" w:rsidR="001249D6">
        <w:t>Excel spreadsheet, PDF, etc.), the responding party must produce the document by email, download link, USB drive, DVD, or similar method. There have been times when OCC has sought a document, and a responding party has refused to provide the document to OCC and instead insisted that OCC travel to the responding party’s office to look at the electronic document there. This is not a good use of anyone’s time. It should not be sufficient for the respo</w:t>
      </w:r>
      <w:r w:rsidRPr="0004462F" w:rsidR="00984C96">
        <w:t>nding party to allow only an on</w:t>
      </w:r>
      <w:r w:rsidRPr="0004462F" w:rsidR="001249D6">
        <w:t>site inspection of such file. Thus, the following modification</w:t>
      </w:r>
      <w:r w:rsidRPr="0004462F" w:rsidR="0042297A">
        <w:t xml:space="preserve"> should be adopted</w:t>
      </w:r>
      <w:r w:rsidRPr="0004462F" w:rsidR="001249D6">
        <w:t xml:space="preserve"> to rule 4901-1-19(D): </w:t>
      </w:r>
    </w:p>
    <w:p w:rsidR="001249D6" w:rsidRPr="0004462F" w:rsidP="001249D6" w14:paraId="64B4DD93" w14:textId="1CBA7947">
      <w:pPr>
        <w:spacing w:after="240"/>
        <w:ind w:left="720" w:right="720"/>
        <w:jc w:val="both"/>
      </w:pPr>
      <w:r w:rsidRPr="0004462F">
        <w:rPr>
          <w:rFonts w:eastAsia="Times New Roman"/>
          <w:color w:val="000000"/>
        </w:rPr>
        <w:t xml:space="preserve">Where the answer to an interrogatory may be derived or ascertained from the business records of the party upon whom the interrogatory has been served or from an examination, audit, or inspection of such records, and the burden of deriving the answer is substantially the same for the party submitting the interrogatory as for the party served, it is a sufficient answer to such interrogatory to specify the records from which the answer may be derived or ascertained and to afford the party submitting the interrogatory a reasonable opportunity to examine, audit, or inspect such records. </w:t>
      </w:r>
      <w:r w:rsidRPr="0004462F">
        <w:rPr>
          <w:rFonts w:eastAsia="Times New Roman"/>
          <w:color w:val="FF0000"/>
          <w:u w:val="single"/>
        </w:rPr>
        <w:t xml:space="preserve">If such records are stored electronically, then the party upon whom the interrogatory has been served shall provide an electronic copy of such records to the party making the request. It shall not be sufficient for the party receiving the request to permit </w:t>
      </w:r>
      <w:r w:rsidRPr="0004462F" w:rsidR="002E28BD">
        <w:rPr>
          <w:rFonts w:eastAsia="Times New Roman"/>
          <w:color w:val="FF0000"/>
          <w:u w:val="single"/>
        </w:rPr>
        <w:t>on-site</w:t>
      </w:r>
      <w:r w:rsidRPr="0004462F">
        <w:rPr>
          <w:rFonts w:eastAsia="Times New Roman"/>
          <w:color w:val="FF0000"/>
          <w:u w:val="single"/>
        </w:rPr>
        <w:t xml:space="preserve"> inspection of electronically-stored documents.</w:t>
      </w:r>
    </w:p>
    <w:p w:rsidR="0016455A" w:rsidRPr="0004462F" w14:paraId="09A535A2" w14:textId="77777777">
      <w:pPr>
        <w:rPr>
          <w:b/>
          <w:bCs/>
          <w:u w:val="single"/>
        </w:rPr>
      </w:pPr>
    </w:p>
    <w:p w:rsidR="00D31659" w:rsidRPr="0004462F" w:rsidP="00712CE5" w14:paraId="22074A8A" w14:textId="77777777">
      <w:pPr>
        <w:pStyle w:val="Heading2"/>
        <w:rPr>
          <w:rFonts w:ascii="Times New Roman" w:hAnsi="Times New Roman" w:cs="Times New Roman"/>
          <w:szCs w:val="24"/>
        </w:rPr>
      </w:pPr>
      <w:bookmarkStart w:id="19" w:name="_Toc29827608"/>
      <w:r w:rsidRPr="0004462F">
        <w:rPr>
          <w:rFonts w:ascii="Times New Roman" w:hAnsi="Times New Roman" w:cs="Times New Roman"/>
          <w:szCs w:val="24"/>
        </w:rPr>
        <w:t xml:space="preserve">O.A.C. </w:t>
      </w:r>
      <w:r w:rsidRPr="0004462F" w:rsidR="001249D6">
        <w:rPr>
          <w:rFonts w:ascii="Times New Roman" w:hAnsi="Times New Roman" w:cs="Times New Roman"/>
          <w:szCs w:val="24"/>
        </w:rPr>
        <w:t>4901-1-20 Production of documents and things; entry upon land or other property</w:t>
      </w:r>
      <w:bookmarkEnd w:id="19"/>
    </w:p>
    <w:p w:rsidR="00A95B19" w:rsidRPr="0004462F" w:rsidP="00A95B19" w14:paraId="0CC35CF0" w14:textId="77777777">
      <w:pPr>
        <w:spacing w:line="480" w:lineRule="auto"/>
        <w:ind w:firstLine="720"/>
      </w:pPr>
      <w:r w:rsidRPr="0004462F">
        <w:t>C</w:t>
      </w:r>
      <w:r w:rsidRPr="0004462F" w:rsidR="001249D6">
        <w:t xml:space="preserve">omments on this rule are the same as </w:t>
      </w:r>
      <w:r w:rsidRPr="0004462F">
        <w:t xml:space="preserve">above </w:t>
      </w:r>
      <w:r w:rsidRPr="0004462F" w:rsidR="001249D6">
        <w:t>for rule 4901-1-19 on interrogatories.</w:t>
      </w:r>
      <w:r w:rsidRPr="0004462F">
        <w:t xml:space="preserve"> </w:t>
      </w:r>
    </w:p>
    <w:p w:rsidR="00A95B19" w:rsidRPr="0004462F" w:rsidP="00A95B19" w14:paraId="3DD11DA2" w14:textId="77777777">
      <w:pPr>
        <w:spacing w:line="480" w:lineRule="auto"/>
        <w:ind w:firstLine="720"/>
      </w:pPr>
      <w:r w:rsidRPr="0004462F">
        <w:t xml:space="preserve">First, </w:t>
      </w:r>
      <w:r w:rsidRPr="0004462F" w:rsidR="001249D6">
        <w:t xml:space="preserve">Rule </w:t>
      </w:r>
      <w:r w:rsidRPr="0004462F" w:rsidR="00961B8F">
        <w:t xml:space="preserve">4901-1-29(C) should be modified as follows: </w:t>
      </w:r>
    </w:p>
    <w:p w:rsidR="001249D6" w:rsidRPr="0004462F" w:rsidP="00A95B19" w14:paraId="1A6A9D68" w14:textId="77777777">
      <w:pPr>
        <w:spacing w:after="240"/>
        <w:ind w:left="720" w:right="720"/>
        <w:jc w:val="both"/>
        <w:rPr>
          <w:rFonts w:eastAsia="Times New Roman"/>
          <w:color w:val="000000"/>
        </w:rPr>
      </w:pPr>
      <w:r w:rsidRPr="0004462F">
        <w:rPr>
          <w:rFonts w:eastAsia="Times New Roman"/>
          <w:color w:val="000000"/>
        </w:rPr>
        <w:t>The party upon whom the request is served shall serve a written response within twenty days after the service of the request, or within such shorter or longer time as the commission, the legal director, the deputy legal director, or an ALJ may allow</w:t>
      </w:r>
      <w:r w:rsidRPr="0004462F" w:rsidR="003D3B16">
        <w:rPr>
          <w:rFonts w:eastAsia="Times New Roman"/>
          <w:color w:val="FF0000"/>
          <w:u w:val="single"/>
        </w:rPr>
        <w:t>. H</w:t>
      </w:r>
      <w:r w:rsidRPr="0004462F">
        <w:rPr>
          <w:rFonts w:eastAsia="Times New Roman"/>
          <w:color w:val="FF0000"/>
          <w:u w:val="single"/>
        </w:rPr>
        <w:t xml:space="preserve">owever, in any case in which there is a deadline for response to an application </w:t>
      </w:r>
      <w:r w:rsidRPr="0004462F" w:rsidR="0089681C">
        <w:rPr>
          <w:rFonts w:eastAsia="Times New Roman"/>
          <w:color w:val="FF0000"/>
          <w:u w:val="single"/>
        </w:rPr>
        <w:t xml:space="preserve">or other filing </w:t>
      </w:r>
      <w:r w:rsidRPr="0004462F">
        <w:rPr>
          <w:rFonts w:eastAsia="Times New Roman"/>
          <w:color w:val="FF0000"/>
          <w:u w:val="single"/>
        </w:rPr>
        <w:t>that is less than 45 days,</w:t>
      </w:r>
      <w:r w:rsidRPr="0004462F" w:rsidR="00984C96">
        <w:rPr>
          <w:rFonts w:eastAsia="Times New Roman"/>
          <w:color w:val="FF0000"/>
          <w:u w:val="single"/>
        </w:rPr>
        <w:t xml:space="preserve"> or in any case subject to automatic approval in less than 45 days,</w:t>
      </w:r>
      <w:r w:rsidRPr="0004462F">
        <w:rPr>
          <w:rFonts w:eastAsia="Times New Roman"/>
          <w:color w:val="FF0000"/>
          <w:u w:val="single"/>
        </w:rPr>
        <w:t xml:space="preserve"> the party upon whom the requests have been served shall serve a copy of the response within seven days after the service thereof</w:t>
      </w:r>
      <w:r w:rsidRPr="0004462F">
        <w:rPr>
          <w:rFonts w:eastAsia="Times New Roman"/>
          <w:color w:val="000000"/>
        </w:rPr>
        <w:t>.</w:t>
      </w:r>
      <w:r w:rsidRPr="0004462F" w:rsidR="00A95B19">
        <w:rPr>
          <w:rFonts w:eastAsia="Times New Roman"/>
          <w:color w:val="000000"/>
        </w:rPr>
        <w:t xml:space="preserve"> The response shall state, with respect to each item or category, that the inspection and related activities will be permitted as requested, unless the request is objected to, in which case the reason for the objection shall be stated. If an objection is made to part of an item or category, that part shall be specified. The party submitting the request may move for an order under rule </w:t>
      </w:r>
      <w:hyperlink r:id="rId11" w:tooltip="Motions to compel discovery" w:history="1">
        <w:r w:rsidRPr="0004462F" w:rsidR="00A95B19">
          <w:rPr>
            <w:rFonts w:eastAsia="Times New Roman"/>
          </w:rPr>
          <w:t>4901-1-23</w:t>
        </w:r>
      </w:hyperlink>
      <w:r w:rsidRPr="0004462F" w:rsidR="00A95B19">
        <w:rPr>
          <w:rFonts w:eastAsia="Times New Roman"/>
        </w:rPr>
        <w:t xml:space="preserve"> of t</w:t>
      </w:r>
      <w:r w:rsidRPr="0004462F" w:rsidR="00A95B19">
        <w:rPr>
          <w:rFonts w:eastAsia="Times New Roman"/>
          <w:color w:val="000000"/>
        </w:rPr>
        <w:t>he Administrative Code with respect to any objection or other failure to respond to a request or any part thereof, or any failure to permit inspection as requested.</w:t>
      </w:r>
      <w:r w:rsidRPr="0004462F" w:rsidR="008D73A0">
        <w:rPr>
          <w:rFonts w:eastAsia="Times New Roman"/>
          <w:color w:val="FF0000"/>
          <w:u w:val="single"/>
        </w:rPr>
        <w:t xml:space="preserve"> The Party upon whom a request is served must respond to discovery unless the PUCO </w:t>
      </w:r>
      <w:r w:rsidRPr="0004462F" w:rsidR="006B652B">
        <w:rPr>
          <w:rFonts w:eastAsia="Times New Roman"/>
          <w:color w:val="FF0000"/>
          <w:u w:val="single"/>
        </w:rPr>
        <w:t xml:space="preserve">has </w:t>
      </w:r>
      <w:r w:rsidRPr="0004462F" w:rsidR="008D73A0">
        <w:rPr>
          <w:rFonts w:eastAsia="Times New Roman"/>
          <w:color w:val="FF0000"/>
          <w:u w:val="single"/>
        </w:rPr>
        <w:t>rule</w:t>
      </w:r>
      <w:r w:rsidRPr="0004462F" w:rsidR="006B652B">
        <w:rPr>
          <w:rFonts w:eastAsia="Times New Roman"/>
          <w:color w:val="FF0000"/>
          <w:u w:val="single"/>
        </w:rPr>
        <w:t>d</w:t>
      </w:r>
      <w:r w:rsidRPr="0004462F" w:rsidR="008D73A0">
        <w:rPr>
          <w:rFonts w:eastAsia="Times New Roman"/>
          <w:color w:val="FF0000"/>
          <w:u w:val="single"/>
        </w:rPr>
        <w:t xml:space="preserve"> otherwise</w:t>
      </w:r>
      <w:r w:rsidRPr="0004462F" w:rsidR="00A95B19">
        <w:rPr>
          <w:rFonts w:eastAsia="Times New Roman"/>
          <w:color w:val="FF0000"/>
          <w:u w:val="single"/>
        </w:rPr>
        <w:t>.</w:t>
      </w:r>
    </w:p>
    <w:p w:rsidR="00961B8F" w:rsidRPr="0004462F" w:rsidP="001249D6" w14:paraId="07255230" w14:textId="77777777">
      <w:pPr>
        <w:spacing w:line="480" w:lineRule="auto"/>
        <w:ind w:firstLine="720"/>
      </w:pPr>
      <w:r w:rsidRPr="0004462F">
        <w:t>Second, a new rule 4901-1-20(E) should be added, which states: “</w:t>
      </w:r>
      <w:r w:rsidRPr="0004462F">
        <w:rPr>
          <w:rFonts w:eastAsia="Times New Roman"/>
          <w:color w:val="000000"/>
        </w:rPr>
        <w:t xml:space="preserve">Any document that is stored electronically shall be provided electronically to the party making the request. It shall not be sufficient for the party receiving the request to </w:t>
      </w:r>
      <w:r w:rsidRPr="0004462F" w:rsidR="000C3C1D">
        <w:rPr>
          <w:rFonts w:eastAsia="Times New Roman"/>
          <w:color w:val="000000"/>
        </w:rPr>
        <w:t xml:space="preserve">merely </w:t>
      </w:r>
      <w:r w:rsidRPr="0004462F">
        <w:rPr>
          <w:rFonts w:eastAsia="Times New Roman"/>
          <w:color w:val="000000"/>
        </w:rPr>
        <w:t>permit on</w:t>
      </w:r>
      <w:r w:rsidRPr="0004462F" w:rsidR="000C3C1D">
        <w:rPr>
          <w:rFonts w:eastAsia="Times New Roman"/>
          <w:color w:val="000000"/>
        </w:rPr>
        <w:t>-</w:t>
      </w:r>
      <w:r w:rsidRPr="0004462F">
        <w:rPr>
          <w:rFonts w:eastAsia="Times New Roman"/>
          <w:color w:val="000000"/>
        </w:rPr>
        <w:t>site inspection of electronically-stored documents.”</w:t>
      </w:r>
    </w:p>
    <w:p w:rsidR="0016455A" w:rsidRPr="0004462F" w14:paraId="3DCE9FC7" w14:textId="77777777">
      <w:pPr>
        <w:rPr>
          <w:b/>
          <w:bCs/>
          <w:u w:val="single"/>
        </w:rPr>
      </w:pPr>
    </w:p>
    <w:p w:rsidR="001249D6" w:rsidRPr="0004462F" w:rsidP="00712CE5" w14:paraId="3AD472CE" w14:textId="77777777">
      <w:pPr>
        <w:pStyle w:val="Heading2"/>
        <w:rPr>
          <w:rFonts w:ascii="Times New Roman" w:hAnsi="Times New Roman" w:cs="Times New Roman"/>
          <w:szCs w:val="24"/>
        </w:rPr>
      </w:pPr>
      <w:bookmarkStart w:id="20" w:name="_Toc29827609"/>
      <w:r w:rsidRPr="0004462F">
        <w:rPr>
          <w:rFonts w:ascii="Times New Roman" w:hAnsi="Times New Roman" w:cs="Times New Roman"/>
          <w:szCs w:val="24"/>
        </w:rPr>
        <w:t xml:space="preserve">O.A.C. </w:t>
      </w:r>
      <w:r w:rsidRPr="0004462F" w:rsidR="00A95B19">
        <w:rPr>
          <w:rFonts w:ascii="Times New Roman" w:hAnsi="Times New Roman" w:cs="Times New Roman"/>
          <w:szCs w:val="24"/>
        </w:rPr>
        <w:t>4901-1-21 Depositions</w:t>
      </w:r>
      <w:bookmarkEnd w:id="20"/>
    </w:p>
    <w:p w:rsidR="001249D6" w:rsidRPr="0004462F" w:rsidP="00620F7D" w14:paraId="034516B1" w14:textId="77777777">
      <w:pPr>
        <w:spacing w:line="480" w:lineRule="auto"/>
        <w:ind w:firstLine="720"/>
      </w:pPr>
      <w:r w:rsidRPr="0004462F">
        <w:t>First, rule 4901-1-21(A) should be modified to delete the phrase “other than a member of the commission staff,” consistent with OCC’s recommendation that Staff be subject to depositions under certain limited circumstances.</w:t>
      </w:r>
    </w:p>
    <w:p w:rsidR="00A95B19" w:rsidRPr="0004462F" w:rsidP="00620F7D" w14:paraId="45C75134" w14:textId="2B5C8553">
      <w:pPr>
        <w:spacing w:line="480" w:lineRule="auto"/>
        <w:ind w:firstLine="720"/>
        <w:rPr>
          <w:rFonts w:eastAsia="Times New Roman"/>
          <w:color w:val="000000"/>
        </w:rPr>
      </w:pPr>
      <w:r w:rsidRPr="0004462F">
        <w:t>Second</w:t>
      </w:r>
      <w:r w:rsidRPr="0004462F">
        <w:rPr>
          <w:rFonts w:eastAsia="Times New Roman"/>
          <w:color w:val="000000"/>
        </w:rPr>
        <w:t>, rule 4901-1-21(E) should be modified as follows: “The notice to a party deponent may be accompanied by a request, made in compliance with rul</w:t>
      </w:r>
      <w:r w:rsidRPr="0004462F">
        <w:rPr>
          <w:rFonts w:eastAsia="Times New Roman"/>
        </w:rPr>
        <w:t>e 4901-1-20 o</w:t>
      </w:r>
      <w:r w:rsidRPr="0004462F">
        <w:rPr>
          <w:rFonts w:eastAsia="Times New Roman"/>
          <w:color w:val="000000"/>
        </w:rPr>
        <w:t xml:space="preserve">f the Administrative Code, for the production of documents or tangible things at the taking of the deposition. </w:t>
      </w:r>
      <w:r w:rsidRPr="0004462F">
        <w:rPr>
          <w:rFonts w:eastAsia="Times New Roman"/>
          <w:color w:val="FF0000"/>
          <w:u w:val="single"/>
        </w:rPr>
        <w:t xml:space="preserve">Any such documents or tangible things shall be produced no later than the earlier of </w:t>
      </w:r>
      <w:r w:rsidRPr="0004462F" w:rsidR="00285AB9">
        <w:rPr>
          <w:rFonts w:eastAsia="Times New Roman"/>
          <w:color w:val="FF0000"/>
          <w:u w:val="single"/>
        </w:rPr>
        <w:t>seven (</w:t>
      </w:r>
      <w:r w:rsidRPr="0004462F">
        <w:rPr>
          <w:rFonts w:eastAsia="Times New Roman"/>
          <w:color w:val="FF0000"/>
          <w:u w:val="single"/>
        </w:rPr>
        <w:t>7</w:t>
      </w:r>
      <w:r w:rsidRPr="0004462F" w:rsidR="00285AB9">
        <w:rPr>
          <w:rFonts w:eastAsia="Times New Roman"/>
          <w:color w:val="FF0000"/>
          <w:u w:val="single"/>
        </w:rPr>
        <w:t>)</w:t>
      </w:r>
      <w:r w:rsidRPr="0004462F">
        <w:rPr>
          <w:rFonts w:eastAsia="Times New Roman"/>
          <w:color w:val="FF0000"/>
          <w:u w:val="single"/>
        </w:rPr>
        <w:t xml:space="preserve"> days following the notice of deposition or at the beginning of the deposition.</w:t>
      </w:r>
      <w:r w:rsidRPr="0004462F">
        <w:rPr>
          <w:rFonts w:eastAsia="Times New Roman"/>
          <w:color w:val="000000"/>
        </w:rPr>
        <w:t xml:space="preserve">” There has been some confusion among parties about the deadline for producing documents when the request accompanies a deposition notice. Rule 4901-1-21(E) references rule 4901-1-20, which has a 20-day turnaround for discovery. But Rule 4901-1-21(E) also provides that the deposition notice can include a request to produce documents “at the taking of the deposition.” A deposition notice is often served fewer than 20 days before the deposition. Under such circumstances, the responding party </w:t>
      </w:r>
      <w:r w:rsidRPr="0004462F" w:rsidR="00F54CD0">
        <w:rPr>
          <w:rFonts w:eastAsia="Times New Roman"/>
          <w:color w:val="000000"/>
        </w:rPr>
        <w:t>might claim it can</w:t>
      </w:r>
      <w:r w:rsidRPr="0004462F">
        <w:rPr>
          <w:rFonts w:eastAsia="Times New Roman"/>
          <w:color w:val="000000"/>
        </w:rPr>
        <w:t xml:space="preserve"> refuse to provide the requested documents at the deposition and instead provide them under the 20-day deadline found in Rule 4901-1-20. </w:t>
      </w:r>
      <w:r w:rsidRPr="0004462F" w:rsidR="0042297A">
        <w:rPr>
          <w:rFonts w:eastAsia="Times New Roman"/>
          <w:color w:val="000000"/>
        </w:rPr>
        <w:t xml:space="preserve">The following </w:t>
      </w:r>
      <w:r w:rsidRPr="0004462F">
        <w:rPr>
          <w:rFonts w:eastAsia="Times New Roman"/>
          <w:color w:val="000000"/>
        </w:rPr>
        <w:t>proposed language solves this issue.</w:t>
      </w:r>
    </w:p>
    <w:p w:rsidR="00A95B19" w:rsidRPr="0004462F" w:rsidP="00620F7D" w14:paraId="0A830789" w14:textId="177385A4">
      <w:pPr>
        <w:spacing w:line="480" w:lineRule="auto"/>
        <w:ind w:firstLine="720"/>
        <w:rPr>
          <w:rFonts w:eastAsia="Times New Roman"/>
          <w:color w:val="000000"/>
        </w:rPr>
      </w:pPr>
      <w:r w:rsidRPr="0004462F">
        <w:rPr>
          <w:rFonts w:eastAsia="Times New Roman"/>
          <w:color w:val="000000"/>
        </w:rPr>
        <w:t>Third, rule 4901-1-21(F) should be modified to ensure that parties have a right to depose the relevant corporate witnesses. If a party produces a corporate witness of its choosing under this rule, and that witness is unable to answers questions within the scope of the deposition, then the party should be required to produce another witness for a future deposition who can answer the question</w:t>
      </w:r>
      <w:r w:rsidRPr="0004462F" w:rsidR="00285AB9">
        <w:rPr>
          <w:rFonts w:eastAsia="Times New Roman"/>
          <w:color w:val="000000"/>
        </w:rPr>
        <w:t>s</w:t>
      </w:r>
      <w:r w:rsidRPr="0004462F">
        <w:rPr>
          <w:rFonts w:eastAsia="Times New Roman"/>
          <w:color w:val="000000"/>
        </w:rPr>
        <w:t>. Thus, the following change</w:t>
      </w:r>
      <w:r w:rsidRPr="0004462F" w:rsidR="0042297A">
        <w:rPr>
          <w:rFonts w:eastAsia="Times New Roman"/>
          <w:color w:val="000000"/>
        </w:rPr>
        <w:t xml:space="preserve"> should be adopted</w:t>
      </w:r>
      <w:r w:rsidRPr="0004462F">
        <w:rPr>
          <w:rFonts w:eastAsia="Times New Roman"/>
          <w:color w:val="000000"/>
        </w:rPr>
        <w:t xml:space="preserve"> to rule 4901-1-21(F): </w:t>
      </w:r>
    </w:p>
    <w:p w:rsidR="00A95B19" w:rsidRPr="0004462F" w:rsidP="0004462F" w14:paraId="19276562" w14:textId="4384EE36">
      <w:pPr>
        <w:spacing w:after="240"/>
        <w:ind w:left="720" w:right="720"/>
        <w:jc w:val="both"/>
        <w:rPr>
          <w:rFonts w:eastAsia="Times New Roman"/>
          <w:color w:val="000000"/>
        </w:rPr>
      </w:pPr>
      <w:r w:rsidRPr="0004462F">
        <w:rPr>
          <w:rFonts w:eastAsia="Times New Roman"/>
          <w:color w:val="000000"/>
        </w:rPr>
        <w:t xml:space="preserve">A party may in the notice and in a subpoena name a corporation, partnership, association, government agency, or municipal corporation and designate with reasonable particularity the matters on which examination is requested. The organization so named shall choose one or more of its officers, agents, employees, or other persons duly authorized to testify on its behalf, and shall set forth, for each person designated, the matters on which he or she will testify. The persons so designated shall testify as to matters known or reasonably available to the organization. </w:t>
      </w:r>
      <w:r w:rsidRPr="0004462F">
        <w:rPr>
          <w:rFonts w:eastAsia="Times New Roman"/>
          <w:color w:val="FF0000"/>
          <w:u w:val="single"/>
        </w:rPr>
        <w:t>If any person so designated is unable to fully answer questions reasonably within the scope of the matters on which examination is requested, then the corporation, partnership, association, government agency, or municipal corporation shall designate another individual who shall be subject to a future deposition regarding those questions that the initial person was unable to fully answer.</w:t>
      </w:r>
      <w:r w:rsidRPr="0004462F" w:rsidR="0089681C">
        <w:rPr>
          <w:rFonts w:eastAsia="Times New Roman"/>
          <w:color w:val="FF0000"/>
          <w:u w:val="single"/>
        </w:rPr>
        <w:t xml:space="preserve"> The party producing the witness who was unable to answer questions reasonably within the scope of the matters on which examination is requested shall bear the cost of the subsequent deposition, including any costs for a court reporter and additional transcripts.</w:t>
      </w:r>
    </w:p>
    <w:p w:rsidR="00ED75D7" w:rsidRPr="0004462F" w:rsidP="00620F7D" w14:paraId="17691EF2" w14:textId="21AB6960">
      <w:pPr>
        <w:spacing w:line="480" w:lineRule="auto"/>
        <w:ind w:firstLine="720"/>
        <w:rPr>
          <w:rFonts w:eastAsia="Times New Roman"/>
          <w:color w:val="000000"/>
        </w:rPr>
      </w:pPr>
      <w:r w:rsidRPr="0004462F">
        <w:rPr>
          <w:rFonts w:eastAsia="Times New Roman"/>
          <w:color w:val="000000"/>
        </w:rPr>
        <w:t>Fourth</w:t>
      </w:r>
      <w:r w:rsidRPr="0004462F" w:rsidR="003E044C">
        <w:rPr>
          <w:rFonts w:eastAsia="Times New Roman"/>
          <w:color w:val="000000"/>
        </w:rPr>
        <w:t xml:space="preserve">, rule 4901-1-21(K) should be modified to account for the situation where a witness is deposed shortly before a hearing. Under the current rule, a witness has ten days to review a deposition transcript. In many instances, however, a witness is deposed fewer than ten days before testifying at the hearing. (This typically occurs when a settlement is filed, a witness testifies regarding the settlement, and a hearing is schedule on short order thereafter.) </w:t>
      </w:r>
    </w:p>
    <w:p w:rsidR="003E044C" w:rsidRPr="0004462F" w:rsidP="00620F7D" w14:paraId="36D4E230" w14:textId="77777777">
      <w:pPr>
        <w:spacing w:line="480" w:lineRule="auto"/>
        <w:ind w:firstLine="720"/>
        <w:rPr>
          <w:rFonts w:eastAsia="Times New Roman"/>
          <w:color w:val="000000"/>
        </w:rPr>
      </w:pPr>
      <w:r w:rsidRPr="0004462F">
        <w:rPr>
          <w:rFonts w:eastAsia="Times New Roman"/>
          <w:color w:val="000000"/>
        </w:rPr>
        <w:t>Thus, the following change to the rule</w:t>
      </w:r>
      <w:r w:rsidRPr="0004462F" w:rsidR="00ED75D7">
        <w:rPr>
          <w:rFonts w:eastAsia="Times New Roman"/>
          <w:color w:val="000000"/>
        </w:rPr>
        <w:t xml:space="preserve"> should be adopted</w:t>
      </w:r>
      <w:r w:rsidRPr="0004462F">
        <w:rPr>
          <w:rFonts w:eastAsia="Times New Roman"/>
          <w:color w:val="000000"/>
        </w:rPr>
        <w:t xml:space="preserve"> to ensure that the transcript is reviewed before the witness testifies at hearing: “If the deposition is not signed by the witness </w:t>
      </w:r>
      <w:r w:rsidRPr="0004462F">
        <w:rPr>
          <w:rFonts w:eastAsia="Times New Roman"/>
          <w:strike/>
          <w:color w:val="4472C4" w:themeColor="accent1"/>
        </w:rPr>
        <w:t>within</w:t>
      </w:r>
      <w:r w:rsidRPr="0004462F">
        <w:rPr>
          <w:rFonts w:eastAsia="Times New Roman"/>
          <w:color w:val="4472C4" w:themeColor="accent1"/>
        </w:rPr>
        <w:t xml:space="preserve"> </w:t>
      </w:r>
      <w:r w:rsidRPr="0004462F">
        <w:rPr>
          <w:rFonts w:eastAsia="Times New Roman"/>
          <w:color w:val="FF0000"/>
          <w:u w:val="single"/>
        </w:rPr>
        <w:t>before the earlier of</w:t>
      </w:r>
      <w:r w:rsidRPr="0004462F">
        <w:rPr>
          <w:rFonts w:eastAsia="Times New Roman"/>
          <w:color w:val="000000"/>
        </w:rPr>
        <w:t xml:space="preserve"> ten days after its submission to him or her </w:t>
      </w:r>
      <w:r w:rsidRPr="0004462F">
        <w:rPr>
          <w:rFonts w:eastAsia="Times New Roman"/>
          <w:color w:val="FF0000"/>
          <w:u w:val="single"/>
        </w:rPr>
        <w:t>or the date on which the witness is scheduled to testify at the hearing</w:t>
      </w:r>
      <w:r w:rsidRPr="0004462F">
        <w:rPr>
          <w:rFonts w:eastAsia="Times New Roman"/>
          <w:color w:val="000000"/>
        </w:rPr>
        <w:t>, the officer shall sign it and state on the record the fact of the waiver or the illness or absence of the witness, or the fact of the refusal to sign together with the reasons, if any, given for such refusal.”</w:t>
      </w:r>
    </w:p>
    <w:p w:rsidR="001249D6" w:rsidRPr="0004462F" w:rsidP="00620F7D" w14:paraId="1FF60EBA" w14:textId="47F65F2B">
      <w:pPr>
        <w:spacing w:line="480" w:lineRule="auto"/>
        <w:ind w:firstLine="720"/>
      </w:pPr>
      <w:r w:rsidRPr="0004462F">
        <w:t>Sixth</w:t>
      </w:r>
      <w:r w:rsidRPr="0004462F" w:rsidR="00786B33">
        <w:t>,</w:t>
      </w:r>
      <w:r w:rsidRPr="0004462F" w:rsidR="0076077D">
        <w:t xml:space="preserve"> </w:t>
      </w:r>
      <w:r w:rsidRPr="0004462F" w:rsidR="0015656D">
        <w:t>some additional language</w:t>
      </w:r>
      <w:r w:rsidRPr="0004462F" w:rsidR="00ED75D7">
        <w:t xml:space="preserve"> should be adopted</w:t>
      </w:r>
      <w:r w:rsidRPr="0004462F" w:rsidR="0015656D">
        <w:t xml:space="preserve"> in </w:t>
      </w:r>
      <w:r w:rsidRPr="0004462F" w:rsidR="00ED75D7">
        <w:t xml:space="preserve">the </w:t>
      </w:r>
      <w:r w:rsidRPr="0004462F" w:rsidR="0015656D">
        <w:t>newly proposed rule</w:t>
      </w:r>
      <w:r w:rsidRPr="0004462F" w:rsidR="00ED75D7">
        <w:t>,</w:t>
      </w:r>
      <w:r w:rsidRPr="0004462F" w:rsidR="0015656D">
        <w:t xml:space="preserve"> 4901-11-21(N)(2), as follows: “</w:t>
      </w:r>
      <w:r w:rsidRPr="0004462F" w:rsidR="0015656D">
        <w:rPr>
          <w:rFonts w:eastAsia="Times New Roman"/>
          <w:color w:val="000000"/>
        </w:rPr>
        <w:t>Unless otherwise ordered, a deposition may not be used as substantive evidence in lieu of the deponent appearing to present testimony at hearing</w:t>
      </w:r>
      <w:r w:rsidRPr="0004462F" w:rsidR="0015656D">
        <w:rPr>
          <w:rFonts w:eastAsia="Times New Roman"/>
          <w:color w:val="FF0000"/>
          <w:u w:val="single"/>
        </w:rPr>
        <w:t>, provided, however, that if a subpoena seeking to compel the testimony of a witness at hearing is quashed, then the deposition for that witness may be used as substantive evidence</w:t>
      </w:r>
      <w:r w:rsidRPr="0004462F" w:rsidR="0015656D">
        <w:rPr>
          <w:rFonts w:eastAsia="Times New Roman"/>
          <w:color w:val="000000"/>
        </w:rPr>
        <w:t xml:space="preserve">.” In a recent hearing, a marketer was able to avoid providing any witness because all of its employees are out of state, and the only way for OCC to </w:t>
      </w:r>
      <w:r w:rsidRPr="0004462F" w:rsidR="00ED75D7">
        <w:rPr>
          <w:rFonts w:eastAsia="Times New Roman"/>
          <w:color w:val="000000"/>
        </w:rPr>
        <w:t>have</w:t>
      </w:r>
      <w:r w:rsidRPr="0004462F" w:rsidR="0015656D">
        <w:rPr>
          <w:rFonts w:eastAsia="Times New Roman"/>
          <w:color w:val="000000"/>
        </w:rPr>
        <w:t xml:space="preserve"> cross</w:t>
      </w:r>
      <w:r w:rsidRPr="0004462F" w:rsidR="00ED75D7">
        <w:rPr>
          <w:rFonts w:eastAsia="Times New Roman"/>
          <w:color w:val="000000"/>
        </w:rPr>
        <w:t>-</w:t>
      </w:r>
      <w:r w:rsidRPr="0004462F" w:rsidR="0015656D">
        <w:rPr>
          <w:rFonts w:eastAsia="Times New Roman"/>
          <w:color w:val="000000"/>
        </w:rPr>
        <w:t>examination in evidence was via deposition transcript. This rule would allow for that in similar situations in the future.</w:t>
      </w:r>
      <w:r>
        <w:rPr>
          <w:rStyle w:val="FootnoteReference"/>
          <w:rFonts w:eastAsia="Times New Roman"/>
          <w:color w:val="000000"/>
        </w:rPr>
        <w:footnoteReference w:id="16"/>
      </w:r>
    </w:p>
    <w:p w:rsidR="0016455A" w:rsidRPr="0004462F" w14:paraId="3D9FAD64" w14:textId="77777777">
      <w:pPr>
        <w:rPr>
          <w:b/>
          <w:bCs/>
          <w:u w:val="single"/>
        </w:rPr>
      </w:pPr>
    </w:p>
    <w:p w:rsidR="001249D6" w:rsidRPr="0004462F" w:rsidP="00712CE5" w14:paraId="31CBBB88" w14:textId="77777777">
      <w:pPr>
        <w:pStyle w:val="Heading2"/>
        <w:rPr>
          <w:rFonts w:ascii="Times New Roman" w:hAnsi="Times New Roman" w:cs="Times New Roman"/>
          <w:szCs w:val="24"/>
        </w:rPr>
      </w:pPr>
      <w:bookmarkStart w:id="21" w:name="_Toc29827610"/>
      <w:r w:rsidRPr="0004462F">
        <w:rPr>
          <w:rFonts w:ascii="Times New Roman" w:hAnsi="Times New Roman" w:cs="Times New Roman"/>
          <w:szCs w:val="24"/>
        </w:rPr>
        <w:t xml:space="preserve">O.A.C. </w:t>
      </w:r>
      <w:r w:rsidRPr="0004462F" w:rsidR="00F055AB">
        <w:rPr>
          <w:rFonts w:ascii="Times New Roman" w:hAnsi="Times New Roman" w:cs="Times New Roman"/>
          <w:szCs w:val="24"/>
        </w:rPr>
        <w:t>4901-1-22 Requests for admission</w:t>
      </w:r>
      <w:bookmarkEnd w:id="21"/>
    </w:p>
    <w:p w:rsidR="00F81287" w:rsidRPr="0004462F" w:rsidP="00F82485" w14:paraId="6FE620F4" w14:textId="77777777">
      <w:pPr>
        <w:spacing w:line="480" w:lineRule="auto"/>
        <w:ind w:firstLine="720"/>
      </w:pPr>
      <w:r w:rsidRPr="0004462F">
        <w:rPr>
          <w:rFonts w:eastAsia="Times New Roman"/>
        </w:rPr>
        <w:t>M</w:t>
      </w:r>
      <w:r w:rsidRPr="0004462F">
        <w:t xml:space="preserve">odifications should be adopted to this rule to address a potential problem that OCC has encountered when parties mix answers to requests for admission with objections. Under the </w:t>
      </w:r>
      <w:r w:rsidRPr="0004462F" w:rsidR="00D24279">
        <w:t>current</w:t>
      </w:r>
      <w:r w:rsidRPr="0004462F">
        <w:t xml:space="preserve"> rule</w:t>
      </w:r>
      <w:r w:rsidRPr="0004462F" w:rsidR="00D24279">
        <w:t>,</w:t>
      </w:r>
      <w:r w:rsidRPr="0004462F">
        <w:t xml:space="preserve"> requests for admission must be objected to or answered and the objections and the answers must be signed by either the party or the attorney. When parties mix the answers to requests for admission with objections to the request it undermines the PUCO’s rule on request for admissions. The requirement to sign both the objections and answers is important in that a signature by a party would allow the person seeking discovery to call the answering party as a potential deponent or witness. When a party mixes objections with answers and offers one signature for both, the rules don’t work as they should.  </w:t>
      </w:r>
    </w:p>
    <w:p w:rsidR="0004462F" w:rsidRPr="0004462F" w:rsidP="0004462F" w14:paraId="47133F7C" w14:textId="38CB48D3">
      <w:pPr>
        <w:spacing w:line="480" w:lineRule="auto"/>
      </w:pPr>
      <w:r w:rsidRPr="0004462F">
        <w:t>To clarify the existing rules, a sentence</w:t>
      </w:r>
      <w:r w:rsidRPr="0004462F" w:rsidR="00ED75D7">
        <w:t xml:space="preserve"> should</w:t>
      </w:r>
      <w:r w:rsidRPr="0004462F">
        <w:t xml:space="preserve"> be inserted (after the second sentence in this rule) that states that “Objections shall be separately noted and not combined with answers to requests for admission.”  Additionally, similar clarifying language should be added to clarify that reasons for the </w:t>
      </w:r>
      <w:r w:rsidR="002E28BD">
        <w:t>o</w:t>
      </w:r>
      <w:r w:rsidRPr="0004462F">
        <w:t>bjections must be stated separately from the answer admitting or denying the request.</w:t>
      </w:r>
    </w:p>
    <w:p w:rsidR="00C72D9C" w:rsidRPr="0004462F" w14:paraId="01287955" w14:textId="08D3F368">
      <w:pPr>
        <w:rPr>
          <w:rFonts w:eastAsia="Times New Roman"/>
          <w:b/>
          <w:bCs/>
          <w:u w:val="single"/>
        </w:rPr>
      </w:pPr>
    </w:p>
    <w:p w:rsidR="000A3599" w:rsidRPr="0004462F" w:rsidP="00712CE5" w14:paraId="08C35E2A" w14:textId="77777777">
      <w:pPr>
        <w:pStyle w:val="Heading2"/>
        <w:rPr>
          <w:rFonts w:ascii="Times New Roman" w:hAnsi="Times New Roman" w:cs="Times New Roman"/>
          <w:szCs w:val="24"/>
        </w:rPr>
      </w:pPr>
      <w:bookmarkStart w:id="22" w:name="_Toc29827611"/>
      <w:r w:rsidRPr="0004462F">
        <w:rPr>
          <w:rFonts w:ascii="Times New Roman" w:hAnsi="Times New Roman" w:cs="Times New Roman"/>
          <w:szCs w:val="24"/>
        </w:rPr>
        <w:t xml:space="preserve">O.A.C. </w:t>
      </w:r>
      <w:r w:rsidRPr="0004462F" w:rsidR="001B5BB3">
        <w:rPr>
          <w:rFonts w:ascii="Times New Roman" w:hAnsi="Times New Roman" w:cs="Times New Roman"/>
          <w:szCs w:val="24"/>
        </w:rPr>
        <w:t>4901-1-25 Subpoenas</w:t>
      </w:r>
      <w:bookmarkEnd w:id="22"/>
    </w:p>
    <w:p w:rsidR="00A81B43" w:rsidRPr="0004462F" w:rsidP="00620F7D" w14:paraId="4A003226" w14:textId="77777777">
      <w:pPr>
        <w:spacing w:line="480" w:lineRule="auto"/>
        <w:ind w:firstLine="720"/>
      </w:pPr>
      <w:r w:rsidRPr="0004462F">
        <w:t xml:space="preserve">Recent experience suggests that the PUCO’s subpoena rules </w:t>
      </w:r>
      <w:r w:rsidRPr="0004462F" w:rsidR="001B4577">
        <w:t>sh</w:t>
      </w:r>
      <w:r w:rsidRPr="0004462F">
        <w:t xml:space="preserve">ould be improved to provide better transparency in PUCO proceedings. </w:t>
      </w:r>
      <w:r w:rsidRPr="0004462F" w:rsidR="00ED75D7">
        <w:t>T</w:t>
      </w:r>
      <w:r w:rsidRPr="0004462F">
        <w:t xml:space="preserve">his rule </w:t>
      </w:r>
      <w:r w:rsidRPr="0004462F" w:rsidR="00ED75D7">
        <w:t xml:space="preserve">should </w:t>
      </w:r>
      <w:r w:rsidRPr="0004462F">
        <w:t xml:space="preserve">be modified in several ways. </w:t>
      </w:r>
    </w:p>
    <w:p w:rsidR="000A3599" w:rsidRPr="0004462F" w:rsidP="00620F7D" w14:paraId="0490A653" w14:textId="77777777">
      <w:pPr>
        <w:spacing w:line="480" w:lineRule="auto"/>
        <w:ind w:firstLine="720"/>
      </w:pPr>
      <w:r w:rsidRPr="0004462F">
        <w:t>First, the rules should explicitly state that corporations can be subpoenaed to produce relevant witnesses. Rule 4901-1-25(A) should be modified as follows:</w:t>
      </w:r>
    </w:p>
    <w:p w:rsidR="00A81B43" w:rsidRPr="0004462F" w:rsidP="00A81B43" w14:paraId="3C497719" w14:textId="77777777">
      <w:pPr>
        <w:spacing w:after="240"/>
        <w:ind w:left="720" w:right="720"/>
        <w:jc w:val="both"/>
      </w:pPr>
      <w:r w:rsidRPr="0004462F">
        <w:rPr>
          <w:rFonts w:eastAsia="Times New Roman"/>
          <w:color w:val="000000"/>
        </w:rPr>
        <w:t xml:space="preserve">The commission, any commissioner, the legal director, the deputy legal director, or an ALJ may issue subpoenas, upon their own motion or upon motion of any party. A subpoena shall command the person to whom it is directed to attend and give testimony at the time and place specified therein. A subpoena may also command such person to produce the books, papers, documents, or other tangible things described therein. </w:t>
      </w:r>
      <w:r w:rsidRPr="0004462F">
        <w:rPr>
          <w:rFonts w:eastAsia="Times New Roman"/>
          <w:color w:val="FF0000"/>
          <w:u w:val="single"/>
        </w:rPr>
        <w:t>This rule applies to corporations, partnerships, associations, government agencies, and municipal corporations. If any such entity receives a subpoena, it shall designate one or more of its officers, agents, or employees as the relevant person to appear pursuant to the subpoena, subject to the following paragraphs.</w:t>
      </w:r>
    </w:p>
    <w:p w:rsidR="00A81B43" w:rsidRPr="0004462F" w:rsidP="00A81B43" w14:paraId="696AD5B8" w14:textId="77777777">
      <w:pPr>
        <w:spacing w:line="480" w:lineRule="auto"/>
      </w:pPr>
      <w:r w:rsidRPr="0004462F">
        <w:t>This modification makes it explicit that a corporation, partnership, association, government agency, or municipal corporation that is participating in a PUCO proceeding can be subpoenaed to produce a relevant witness on a relevant topic.</w:t>
      </w:r>
    </w:p>
    <w:p w:rsidR="00A81B43" w:rsidRPr="0004462F" w:rsidP="00620F7D" w14:paraId="4295D34D" w14:textId="77777777">
      <w:pPr>
        <w:spacing w:line="480" w:lineRule="auto"/>
        <w:ind w:firstLine="720"/>
        <w:rPr>
          <w:rFonts w:eastAsia="Times New Roman"/>
          <w:color w:val="000000"/>
        </w:rPr>
      </w:pPr>
      <w:r w:rsidRPr="0004462F">
        <w:t>Second</w:t>
      </w:r>
      <w:r w:rsidRPr="0004462F" w:rsidR="007B53FB">
        <w:t xml:space="preserve">, the PUCO’s rules should provide that service of a subpoena on </w:t>
      </w:r>
      <w:r w:rsidRPr="0004462F" w:rsidR="008074DD">
        <w:t xml:space="preserve">a person’s </w:t>
      </w:r>
      <w:r w:rsidRPr="0004462F" w:rsidR="007B53FB">
        <w:t xml:space="preserve">attorney </w:t>
      </w:r>
      <w:r w:rsidRPr="0004462F" w:rsidR="0083509F">
        <w:t>or</w:t>
      </w:r>
      <w:r w:rsidRPr="0004462F" w:rsidR="008074DD">
        <w:t xml:space="preserve"> on the attorney who represents the person’s employer (if a party)</w:t>
      </w:r>
      <w:r w:rsidRPr="0004462F" w:rsidR="00C72D9C">
        <w:t xml:space="preserve"> </w:t>
      </w:r>
      <w:r w:rsidRPr="0004462F" w:rsidR="007B53FB">
        <w:t>is sufficient. Rule 4901-1-25(B) should include the following language: “</w:t>
      </w:r>
      <w:r w:rsidRPr="0004462F" w:rsidR="007B53FB">
        <w:rPr>
          <w:rFonts w:eastAsia="Times New Roman"/>
          <w:color w:val="000000"/>
        </w:rPr>
        <w:t>Service of a subpoena on a party</w:t>
      </w:r>
      <w:r w:rsidRPr="0004462F" w:rsidR="0083509F">
        <w:rPr>
          <w:rFonts w:eastAsia="Times New Roman"/>
          <w:color w:val="000000"/>
        </w:rPr>
        <w:t>,</w:t>
      </w:r>
      <w:r w:rsidRPr="0004462F" w:rsidR="007B53FB">
        <w:rPr>
          <w:rFonts w:eastAsia="Times New Roman"/>
          <w:color w:val="000000"/>
        </w:rPr>
        <w:t xml:space="preserve"> on party</w:t>
      </w:r>
      <w:r w:rsidRPr="0004462F" w:rsidR="0083509F">
        <w:rPr>
          <w:rFonts w:eastAsia="Times New Roman"/>
          <w:color w:val="000000"/>
        </w:rPr>
        <w:t xml:space="preserve"> employees, or on party</w:t>
      </w:r>
      <w:r w:rsidRPr="0004462F" w:rsidR="007B53FB">
        <w:rPr>
          <w:rFonts w:eastAsia="Times New Roman"/>
          <w:color w:val="000000"/>
        </w:rPr>
        <w:t xml:space="preserve"> witnesses may be made by delivering it the party’s attorney.”</w:t>
      </w:r>
    </w:p>
    <w:p w:rsidR="007B53FB" w:rsidRPr="0004462F" w:rsidP="00620F7D" w14:paraId="08D81A8D" w14:textId="77777777">
      <w:pPr>
        <w:spacing w:line="480" w:lineRule="auto"/>
        <w:ind w:firstLine="720"/>
      </w:pPr>
      <w:r w:rsidRPr="0004462F">
        <w:rPr>
          <w:rFonts w:eastAsia="Times New Roman"/>
          <w:color w:val="000000"/>
        </w:rPr>
        <w:t>Third, service of a subpoena should not be limited to the State of Ohio and instead should be allowed throughout the United States. The law allows out of state subpoenas,</w:t>
      </w:r>
      <w:r>
        <w:rPr>
          <w:rStyle w:val="FootnoteReference"/>
          <w:rFonts w:eastAsia="Times New Roman"/>
          <w:color w:val="000000"/>
        </w:rPr>
        <w:footnoteReference w:id="17"/>
      </w:r>
      <w:r w:rsidRPr="0004462F">
        <w:rPr>
          <w:rFonts w:eastAsia="Times New Roman"/>
          <w:color w:val="000000"/>
        </w:rPr>
        <w:t xml:space="preserve"> so the PUCO’s rules should allow service out of state. Rule 4901-1-25(B) should thus be modified as follows: “A subpoena may be served at any place within </w:t>
      </w:r>
      <w:r w:rsidRPr="0004462F">
        <w:rPr>
          <w:rFonts w:eastAsia="Times New Roman"/>
          <w:color w:val="FF0000"/>
          <w:u w:val="single"/>
        </w:rPr>
        <w:t>the United States</w:t>
      </w:r>
      <w:r w:rsidRPr="0004462F">
        <w:rPr>
          <w:rFonts w:eastAsia="Times New Roman"/>
          <w:color w:val="000000"/>
        </w:rPr>
        <w:t xml:space="preserve"> </w:t>
      </w:r>
      <w:r w:rsidRPr="0004462F">
        <w:rPr>
          <w:rFonts w:eastAsia="Times New Roman"/>
          <w:strike/>
          <w:color w:val="4472C4" w:themeColor="accent1"/>
        </w:rPr>
        <w:t>this state</w:t>
      </w:r>
      <w:r w:rsidRPr="0004462F">
        <w:rPr>
          <w:rFonts w:eastAsia="Times New Roman"/>
          <w:color w:val="000000"/>
        </w:rPr>
        <w:t>.”</w:t>
      </w:r>
    </w:p>
    <w:p w:rsidR="00A81B43" w:rsidRPr="0004462F" w:rsidP="00620F7D" w14:paraId="657F4413" w14:textId="77777777">
      <w:pPr>
        <w:spacing w:line="480" w:lineRule="auto"/>
        <w:ind w:firstLine="720"/>
      </w:pPr>
      <w:r w:rsidRPr="0004462F">
        <w:t>F</w:t>
      </w:r>
      <w:r w:rsidRPr="0004462F" w:rsidR="00A75A37">
        <w:t>ourth</w:t>
      </w:r>
      <w:r w:rsidRPr="0004462F">
        <w:t xml:space="preserve">, rule 4901-1-25(D) should be modified to allow a member of Staff to be subpoenaed for a deposition, in those limited circumstances where </w:t>
      </w:r>
      <w:r w:rsidRPr="0004462F" w:rsidR="00ED75D7">
        <w:t>it is requested</w:t>
      </w:r>
      <w:r w:rsidRPr="0004462F">
        <w:t xml:space="preserve"> that Staff be deposed.</w:t>
      </w:r>
    </w:p>
    <w:p w:rsidR="00AC2C23" w:rsidRPr="0004462F" w:rsidP="00620F7D" w14:paraId="5E637739" w14:textId="77777777">
      <w:pPr>
        <w:spacing w:line="480" w:lineRule="auto"/>
        <w:ind w:firstLine="720"/>
      </w:pPr>
      <w:r w:rsidRPr="0004462F">
        <w:t>Finally, a new subsection (H) should be added as follows: “</w:t>
      </w:r>
      <w:r w:rsidRPr="0004462F">
        <w:rPr>
          <w:rFonts w:eastAsia="Times New Roman"/>
          <w:color w:val="000000"/>
        </w:rPr>
        <w:t>Competitive retail electric service suppliers and competitive retail natural gas suppliers shall be subject to subpoena, as required by R.C. 4928.09(A)(1)(a) and R.C. 4929.21(A)(1)(a). This shall include, but shall not be limited to, (1) subpoenas requiring individual officers, agents, or employees of such suppliers to appear for deposition or hearing, regardless of whether such individuals are located within the State of Ohio, and (2) corporate subpoenas requiring the supplier to identify the relevant officers, agents, or employees to appear for a deposition or hearing pursuant to a subpoena, regardless of whether such individuals are located within the State of Ohio.” The law requires marketers to consent to jurisdiction, including subpoena. It also explicitly contemplates out-of-state subpoenas. The rules should be updated accordingly to properly apply R.C. 4928.09(A)(1)(a) and 4929.21(A)(1)(a). (Current rule 4901-1-25(H) should be changed to (I) as a result.)</w:t>
      </w:r>
    </w:p>
    <w:p w:rsidR="0016455A" w:rsidRPr="0004462F" w14:paraId="28E1BC3F" w14:textId="77777777">
      <w:pPr>
        <w:rPr>
          <w:b/>
          <w:bCs/>
          <w:u w:val="single"/>
        </w:rPr>
      </w:pPr>
    </w:p>
    <w:p w:rsidR="007B6113" w:rsidRPr="0004462F" w:rsidP="00712CE5" w14:paraId="76FF7DFF" w14:textId="77777777">
      <w:pPr>
        <w:pStyle w:val="Heading2"/>
        <w:rPr>
          <w:rFonts w:ascii="Times New Roman" w:hAnsi="Times New Roman" w:cs="Times New Roman"/>
          <w:szCs w:val="24"/>
        </w:rPr>
      </w:pPr>
      <w:bookmarkStart w:id="23" w:name="_Toc29827612"/>
      <w:r w:rsidRPr="0004462F">
        <w:rPr>
          <w:rFonts w:ascii="Times New Roman" w:hAnsi="Times New Roman" w:cs="Times New Roman"/>
          <w:szCs w:val="24"/>
        </w:rPr>
        <w:t>O.A.C. 4901-1-26 Prehearing conferences</w:t>
      </w:r>
      <w:bookmarkEnd w:id="23"/>
    </w:p>
    <w:p w:rsidR="007B6113" w:rsidRPr="0004462F" w:rsidP="00620F7D" w14:paraId="429199EB" w14:textId="77777777">
      <w:pPr>
        <w:spacing w:line="480" w:lineRule="auto"/>
        <w:ind w:firstLine="720"/>
        <w:rPr>
          <w:rFonts w:eastAsia="Times New Roman"/>
          <w:color w:val="000000"/>
        </w:rPr>
      </w:pPr>
      <w:r w:rsidRPr="0004462F">
        <w:t xml:space="preserve">First, rule 4901-1-26(B) </w:t>
      </w:r>
      <w:r w:rsidRPr="0004462F" w:rsidR="001E5158">
        <w:t xml:space="preserve">should </w:t>
      </w:r>
      <w:r w:rsidRPr="0004462F">
        <w:t xml:space="preserve">be modified to provide that failure to attend a prehearing conference is a waiver only if it is a transcribed prehearing conference. </w:t>
      </w:r>
      <w:r w:rsidRPr="0004462F" w:rsidR="001E5158">
        <w:t>P</w:t>
      </w:r>
      <w:r w:rsidRPr="0004462F">
        <w:t xml:space="preserve">rehearing conferences </w:t>
      </w:r>
      <w:r w:rsidRPr="0004462F" w:rsidR="001E5158">
        <w:t xml:space="preserve">can be </w:t>
      </w:r>
      <w:r w:rsidRPr="0004462F">
        <w:t xml:space="preserve">scheduled informally and </w:t>
      </w:r>
      <w:r w:rsidRPr="0004462F" w:rsidR="001E5158">
        <w:t>with little advance notice</w:t>
      </w:r>
      <w:r w:rsidRPr="0004462F">
        <w:t>, thus making it unfair for a party to be deemed to waive its rights for failing to attend. Thus, the following change</w:t>
      </w:r>
      <w:r w:rsidRPr="0004462F" w:rsidR="001E5158">
        <w:t xml:space="preserve"> should be made</w:t>
      </w:r>
      <w:r w:rsidRPr="0004462F">
        <w:t>: “</w:t>
      </w:r>
      <w:r w:rsidRPr="0004462F">
        <w:rPr>
          <w:rFonts w:eastAsia="Times New Roman"/>
          <w:color w:val="000000"/>
        </w:rPr>
        <w:t xml:space="preserve">Reasonable notice of any prehearing conference shall be provided to all parties. Unless otherwise ordered for good cause shown, the failure of a party to attend a </w:t>
      </w:r>
      <w:r w:rsidRPr="0004462F">
        <w:rPr>
          <w:rFonts w:eastAsia="Times New Roman"/>
          <w:color w:val="FF0000"/>
          <w:u w:val="single"/>
        </w:rPr>
        <w:t>transcribed</w:t>
      </w:r>
      <w:r w:rsidRPr="0004462F">
        <w:rPr>
          <w:rFonts w:eastAsia="Times New Roman"/>
          <w:color w:val="000000"/>
        </w:rPr>
        <w:t xml:space="preserve"> prehearing conference constitutes a waiver of any objection to the agreements reached or rulings made at such conference.”</w:t>
      </w:r>
    </w:p>
    <w:p w:rsidR="0016455A" w:rsidRPr="0004462F" w14:paraId="66CAB6FE" w14:textId="77777777">
      <w:pPr>
        <w:rPr>
          <w:b/>
          <w:bCs/>
          <w:u w:val="single"/>
        </w:rPr>
      </w:pPr>
    </w:p>
    <w:p w:rsidR="00E84948" w:rsidRPr="0004462F" w:rsidP="00712CE5" w14:paraId="09DB1A53" w14:textId="77777777">
      <w:pPr>
        <w:pStyle w:val="Heading2"/>
        <w:rPr>
          <w:rFonts w:ascii="Times New Roman" w:hAnsi="Times New Roman" w:cs="Times New Roman"/>
          <w:szCs w:val="24"/>
        </w:rPr>
      </w:pPr>
      <w:bookmarkStart w:id="24" w:name="_Toc29827613"/>
      <w:r w:rsidRPr="0004462F">
        <w:rPr>
          <w:rFonts w:ascii="Times New Roman" w:hAnsi="Times New Roman" w:cs="Times New Roman"/>
          <w:szCs w:val="24"/>
        </w:rPr>
        <w:t xml:space="preserve">O.A.C. </w:t>
      </w:r>
      <w:r w:rsidRPr="0004462F" w:rsidR="00076180">
        <w:rPr>
          <w:rFonts w:ascii="Times New Roman" w:hAnsi="Times New Roman" w:cs="Times New Roman"/>
          <w:szCs w:val="24"/>
        </w:rPr>
        <w:t>4901-1-28 Reports of investigation and objections thereto</w:t>
      </w:r>
      <w:bookmarkEnd w:id="24"/>
    </w:p>
    <w:p w:rsidR="00C940A1" w:rsidRPr="0004462F" w:rsidP="00620F7D" w14:paraId="358D92C8" w14:textId="77777777">
      <w:pPr>
        <w:spacing w:line="480" w:lineRule="auto"/>
        <w:ind w:firstLine="720"/>
      </w:pPr>
      <w:r w:rsidRPr="0004462F">
        <w:t xml:space="preserve">First, </w:t>
      </w:r>
      <w:r w:rsidRPr="0004462F" w:rsidR="006C6F72">
        <w:t>for</w:t>
      </w:r>
      <w:r w:rsidRPr="0004462F">
        <w:t xml:space="preserve"> rule 4901-1-28(A)</w:t>
      </w:r>
      <w:r w:rsidRPr="0004462F" w:rsidR="006C6F72">
        <w:t>, the following changes should be made</w:t>
      </w:r>
      <w:r w:rsidRPr="0004462F">
        <w:t>:</w:t>
      </w:r>
    </w:p>
    <w:p w:rsidR="00C940A1" w:rsidRPr="0004462F" w:rsidP="00C940A1" w14:paraId="1344D814" w14:textId="77777777">
      <w:pPr>
        <w:spacing w:after="240"/>
        <w:ind w:left="720" w:right="720"/>
        <w:jc w:val="both"/>
      </w:pPr>
      <w:r w:rsidRPr="0004462F">
        <w:rPr>
          <w:rFonts w:eastAsia="Times New Roman"/>
          <w:color w:val="000000"/>
        </w:rPr>
        <w:t>In all rate proceedings in which the commission is required by secti</w:t>
      </w:r>
      <w:r w:rsidRPr="0004462F">
        <w:rPr>
          <w:rFonts w:eastAsia="Times New Roman"/>
        </w:rPr>
        <w:t xml:space="preserve">on 4909.19 of </w:t>
      </w:r>
      <w:r w:rsidRPr="0004462F">
        <w:rPr>
          <w:rFonts w:eastAsia="Times New Roman"/>
          <w:color w:val="000000"/>
        </w:rPr>
        <w:t xml:space="preserve">the Revised Code to conduct an investigation, a written report of such investigation shall be filed with the commission and shall be served upon all parties. The report shall be deemed to be admitted into evidence as of the time it is filed with the commission, but all or part of such report may subsequently be stricken, upon motion of the commission, the legal director, the deputy legal director, or the ALJ assigned to the case, or upon motion of any party for good cause shown. </w:t>
      </w:r>
      <w:r w:rsidRPr="0004462F">
        <w:rPr>
          <w:rFonts w:eastAsia="Times New Roman"/>
          <w:color w:val="FF0000"/>
          <w:u w:val="single"/>
        </w:rPr>
        <w:t>The commission shall not be bound by any recommendations or findings in the report, but any such report admitted into evidence shall be admitted for the truth of the matters asserted in the report, and subject to subsection (E) to this rule, the report shall not be considered hearsay.</w:t>
      </w:r>
      <w:r w:rsidRPr="0004462F">
        <w:rPr>
          <w:rFonts w:eastAsia="Times New Roman"/>
          <w:color w:val="000000"/>
        </w:rPr>
        <w:t xml:space="preserve"> Any party may submit evidence at the hearing to rebut or support the matters asserted in the report. Any person making or contributing to the report may be subpoenaed to testify at the hearing in accordance with rule </w:t>
      </w:r>
      <w:r w:rsidRPr="0004462F">
        <w:rPr>
          <w:rFonts w:eastAsia="Times New Roman"/>
          <w:u w:val="single"/>
        </w:rPr>
        <w:t>4901-1-25</w:t>
      </w:r>
      <w:r w:rsidRPr="0004462F">
        <w:rPr>
          <w:rFonts w:eastAsia="Times New Roman"/>
        </w:rPr>
        <w:t xml:space="preserve"> of</w:t>
      </w:r>
      <w:r w:rsidRPr="0004462F">
        <w:rPr>
          <w:rFonts w:eastAsia="Times New Roman"/>
          <w:color w:val="000000"/>
        </w:rPr>
        <w:t xml:space="preserve"> the Administrative Code</w:t>
      </w:r>
      <w:r w:rsidRPr="0004462F">
        <w:rPr>
          <w:rFonts w:eastAsia="Times New Roman"/>
        </w:rPr>
        <w:t>, but the unavailability of such persons shall not affect the admissibility of the report</w:t>
      </w:r>
      <w:r w:rsidRPr="0004462F">
        <w:rPr>
          <w:rFonts w:eastAsia="Times New Roman"/>
          <w:color w:val="000000"/>
        </w:rPr>
        <w:t>.</w:t>
      </w:r>
    </w:p>
    <w:p w:rsidR="00A75A37" w:rsidRPr="0004462F" w:rsidP="00620F7D" w14:paraId="53222D70" w14:textId="77777777">
      <w:pPr>
        <w:spacing w:line="480" w:lineRule="auto"/>
        <w:ind w:firstLine="720"/>
      </w:pPr>
      <w:r w:rsidRPr="0004462F">
        <w:t>T</w:t>
      </w:r>
      <w:r w:rsidRPr="0004462F" w:rsidR="00C940A1">
        <w:t xml:space="preserve">his rule should be amended to clarify that any facts set forth in a Staff report are facts admitted into the record for their truth. In </w:t>
      </w:r>
      <w:r w:rsidRPr="0004462F" w:rsidR="00EB4A86">
        <w:t>a recent case, one party argued that a Staff Report could be admitted only as evidence of what Staff said, and not for the truth of what is stated in the Staff Report.</w:t>
      </w:r>
      <w:r>
        <w:rPr>
          <w:rStyle w:val="FootnoteReference"/>
        </w:rPr>
        <w:footnoteReference w:id="18"/>
      </w:r>
      <w:r w:rsidRPr="0004462F" w:rsidR="00EB4A86">
        <w:t xml:space="preserve"> There seems to be some confusion. </w:t>
      </w:r>
    </w:p>
    <w:p w:rsidR="00EB4A86" w:rsidRPr="0004462F" w:rsidP="00620F7D" w14:paraId="6136080A" w14:textId="77777777">
      <w:pPr>
        <w:spacing w:line="480" w:lineRule="auto"/>
        <w:ind w:firstLine="720"/>
      </w:pPr>
      <w:r w:rsidRPr="0004462F">
        <w:t xml:space="preserve">When evidence is admitted for the truth of the matter asserted, that does </w:t>
      </w:r>
      <w:r w:rsidRPr="0004462F">
        <w:rPr>
          <w:i/>
          <w:iCs/>
        </w:rPr>
        <w:t>not</w:t>
      </w:r>
      <w:r w:rsidRPr="0004462F">
        <w:t xml:space="preserve"> mean that the Commission is bound by it or that the evidence is a conclusive finding of fact. It just means that the Commission </w:t>
      </w:r>
      <w:r w:rsidRPr="0004462F">
        <w:rPr>
          <w:i/>
          <w:iCs/>
        </w:rPr>
        <w:t>can</w:t>
      </w:r>
      <w:r w:rsidRPr="0004462F">
        <w:t xml:space="preserve"> consider it when making its findings of fact. If a Staff Report is not admitted for its truth, then in every case with a Staff Report, Staff would be required to put on a witness to personally testify to every single line in the Staff Report</w:t>
      </w:r>
      <w:r w:rsidRPr="0004462F" w:rsidR="001B710D">
        <w:t>. T</w:t>
      </w:r>
      <w:r w:rsidRPr="0004462F">
        <w:t xml:space="preserve">his </w:t>
      </w:r>
      <w:r w:rsidRPr="0004462F" w:rsidR="00906006">
        <w:t xml:space="preserve">would </w:t>
      </w:r>
      <w:r w:rsidRPr="0004462F">
        <w:t>defeat the purpose of the</w:t>
      </w:r>
      <w:r w:rsidRPr="0004462F" w:rsidR="001B710D">
        <w:t>re</w:t>
      </w:r>
      <w:r w:rsidRPr="0004462F">
        <w:t xml:space="preserve"> being a Staff Report and the </w:t>
      </w:r>
      <w:r w:rsidRPr="0004462F" w:rsidR="00CC3953">
        <w:t>rule admitting the Staff Report. A</w:t>
      </w:r>
      <w:r w:rsidRPr="0004462F" w:rsidR="00906006">
        <w:t xml:space="preserve">dditional language </w:t>
      </w:r>
      <w:r w:rsidRPr="0004462F" w:rsidR="00ED75D7">
        <w:t xml:space="preserve">is needed to </w:t>
      </w:r>
      <w:r w:rsidRPr="0004462F" w:rsidR="00906006">
        <w:t>clear up any confusion among parties about how the rules of evidence work.</w:t>
      </w:r>
      <w:r w:rsidRPr="0004462F" w:rsidR="005D3CF0">
        <w:t xml:space="preserve"> A similar change should be made to rule 4901-1-28(E), which addresses staff reports in other types of cases.</w:t>
      </w:r>
    </w:p>
    <w:p w:rsidR="0061570E" w:rsidRPr="0004462F" w14:paraId="4091C89C" w14:textId="1330DC75">
      <w:pPr>
        <w:spacing w:line="480" w:lineRule="auto"/>
        <w:ind w:firstLine="720"/>
        <w:rPr>
          <w:rFonts w:eastAsia="Times New Roman"/>
          <w:color w:val="000000"/>
        </w:rPr>
      </w:pPr>
      <w:r w:rsidRPr="0004462F">
        <w:t xml:space="preserve">Second, </w:t>
      </w:r>
      <w:r w:rsidRPr="0004462F" w:rsidR="005D3CF0">
        <w:t>i</w:t>
      </w:r>
      <w:r w:rsidRPr="0004462F">
        <w:t xml:space="preserve">n some cases, the PUCO Staff might issue a report and then change its position </w:t>
      </w:r>
      <w:r w:rsidRPr="0004462F">
        <w:rPr>
          <w:i/>
          <w:iCs/>
        </w:rPr>
        <w:t>after</w:t>
      </w:r>
      <w:r w:rsidRPr="0004462F">
        <w:t xml:space="preserve"> parties have filed their objections to the report. In that situation, the parties should have an opportunity to make new objections to Staff’s modified position. Thus, the following language</w:t>
      </w:r>
      <w:r w:rsidRPr="0004462F" w:rsidR="00ED75D7">
        <w:t xml:space="preserve"> should be added</w:t>
      </w:r>
      <w:r w:rsidRPr="0004462F">
        <w:t xml:space="preserve"> to rule</w:t>
      </w:r>
      <w:r w:rsidRPr="0004462F" w:rsidR="005D3CF0">
        <w:t xml:space="preserve"> 4901-1-28(C)</w:t>
      </w:r>
      <w:r w:rsidRPr="0004462F">
        <w:t>: “</w:t>
      </w:r>
      <w:r w:rsidRPr="0004462F">
        <w:rPr>
          <w:rFonts w:eastAsia="Times New Roman"/>
          <w:color w:val="000000"/>
        </w:rPr>
        <w:t>If the commission staff modifies any portion of the report after objections are filed, then any party may raise new objections in response to such modification.”</w:t>
      </w:r>
      <w:r w:rsidRPr="0004462F" w:rsidR="005D3CF0">
        <w:rPr>
          <w:rFonts w:eastAsia="Times New Roman"/>
          <w:color w:val="000000"/>
        </w:rPr>
        <w:t xml:space="preserve"> </w:t>
      </w:r>
    </w:p>
    <w:p w:rsidR="005D3CF0" w:rsidRPr="0004462F" w:rsidP="00712CE5" w14:paraId="33C9EF1A" w14:textId="77777777">
      <w:pPr>
        <w:pStyle w:val="Heading2"/>
        <w:rPr>
          <w:rFonts w:ascii="Times New Roman" w:hAnsi="Times New Roman" w:cs="Times New Roman"/>
          <w:szCs w:val="24"/>
        </w:rPr>
      </w:pPr>
      <w:bookmarkStart w:id="25" w:name="_Toc29827614"/>
      <w:r w:rsidRPr="0004462F">
        <w:rPr>
          <w:rFonts w:ascii="Times New Roman" w:hAnsi="Times New Roman" w:cs="Times New Roman"/>
          <w:szCs w:val="24"/>
        </w:rPr>
        <w:t xml:space="preserve">O.A.C. </w:t>
      </w:r>
      <w:r w:rsidRPr="0004462F" w:rsidR="001A1799">
        <w:rPr>
          <w:rFonts w:ascii="Times New Roman" w:hAnsi="Times New Roman" w:cs="Times New Roman"/>
          <w:szCs w:val="24"/>
        </w:rPr>
        <w:t>4901-1-29 Expert testimony</w:t>
      </w:r>
      <w:bookmarkEnd w:id="25"/>
    </w:p>
    <w:p w:rsidR="00F86ACF" w:rsidRPr="0004462F" w:rsidP="00620F7D" w14:paraId="64E67788" w14:textId="77777777">
      <w:pPr>
        <w:spacing w:line="480" w:lineRule="auto"/>
        <w:ind w:firstLine="720"/>
      </w:pPr>
      <w:r w:rsidRPr="0004462F">
        <w:t>The sequence for parties to file testimony should reflect</w:t>
      </w:r>
      <w:r w:rsidRPr="0004462F" w:rsidR="00542A05">
        <w:t>, for fairness,</w:t>
      </w:r>
      <w:r w:rsidRPr="0004462F">
        <w:t xml:space="preserve"> such considerations as the placement of the burden of proof and support for a settlement to be adopted. In such cases, those with the burden of proof and those supporting a settlement should file</w:t>
      </w:r>
      <w:r w:rsidRPr="0004462F" w:rsidR="00542A05">
        <w:t xml:space="preserve"> testimony</w:t>
      </w:r>
      <w:r w:rsidRPr="0004462F">
        <w:t xml:space="preserve"> first. Other parties should have the opportunity to</w:t>
      </w:r>
      <w:r w:rsidRPr="0004462F" w:rsidR="00542A05">
        <w:t xml:space="preserve"> file testimony second, for an opportunity to</w:t>
      </w:r>
      <w:r w:rsidRPr="0004462F">
        <w:t xml:space="preserve"> review such</w:t>
      </w:r>
      <w:r w:rsidRPr="0004462F" w:rsidR="007D74AC">
        <w:t xml:space="preserve"> other</w:t>
      </w:r>
      <w:r w:rsidRPr="0004462F">
        <w:t xml:space="preserve"> testimony before their due dates</w:t>
      </w:r>
      <w:r w:rsidRPr="0004462F" w:rsidR="00542A05">
        <w:t xml:space="preserve"> for filing testimony</w:t>
      </w:r>
      <w:r w:rsidRPr="0004462F">
        <w:t xml:space="preserve">. </w:t>
      </w:r>
      <w:r w:rsidRPr="0004462F" w:rsidR="00542A05">
        <w:t xml:space="preserve">The rule should be revised </w:t>
      </w:r>
      <w:r w:rsidRPr="0004462F" w:rsidR="00C72D9C">
        <w:t>to include the following language</w:t>
      </w:r>
      <w:r w:rsidRPr="0004462F" w:rsidR="00542A05">
        <w:t>: “</w:t>
      </w:r>
      <w:r w:rsidRPr="0004462F" w:rsidR="0049652A">
        <w:rPr>
          <w:rFonts w:eastAsia="Times New Roman"/>
          <w:color w:val="000000"/>
        </w:rPr>
        <w:t xml:space="preserve">The commission, the legal director, the deputy legal director, or an ALJ </w:t>
      </w:r>
      <w:r w:rsidRPr="0004462F" w:rsidR="00542A05">
        <w:rPr>
          <w:rFonts w:eastAsia="Times New Roman"/>
          <w:color w:val="000000"/>
        </w:rPr>
        <w:t xml:space="preserve">shall </w:t>
      </w:r>
      <w:r w:rsidRPr="0004462F" w:rsidR="0049652A">
        <w:rPr>
          <w:rFonts w:eastAsia="Times New Roman"/>
          <w:color w:val="000000"/>
        </w:rPr>
        <w:t xml:space="preserve">establish a schedule in any proceeding for the </w:t>
      </w:r>
      <w:r w:rsidRPr="0004462F" w:rsidR="00542A05">
        <w:rPr>
          <w:rFonts w:eastAsia="Times New Roman"/>
          <w:color w:val="000000"/>
        </w:rPr>
        <w:t xml:space="preserve">sequence in which parties will file </w:t>
      </w:r>
      <w:r w:rsidRPr="0004462F" w:rsidR="0049652A">
        <w:rPr>
          <w:rFonts w:eastAsia="Times New Roman"/>
        </w:rPr>
        <w:t xml:space="preserve">expert </w:t>
      </w:r>
      <w:r w:rsidRPr="0004462F" w:rsidR="0049652A">
        <w:rPr>
          <w:rFonts w:eastAsia="Times New Roman"/>
          <w:color w:val="000000"/>
        </w:rPr>
        <w:t>testimony</w:t>
      </w:r>
      <w:r w:rsidRPr="0004462F" w:rsidR="00542A05">
        <w:rPr>
          <w:rFonts w:eastAsia="Times New Roman"/>
          <w:color w:val="000000"/>
        </w:rPr>
        <w:t xml:space="preserve">, where parties with the burden of proof or supporting a settlement shall have testimony due before </w:t>
      </w:r>
      <w:r w:rsidRPr="0004462F" w:rsidR="008635EE">
        <w:rPr>
          <w:rFonts w:eastAsia="Times New Roman"/>
          <w:color w:val="000000"/>
        </w:rPr>
        <w:t xml:space="preserve">testimony by </w:t>
      </w:r>
      <w:r w:rsidRPr="0004462F" w:rsidR="00542A05">
        <w:rPr>
          <w:rFonts w:eastAsia="Times New Roman"/>
          <w:color w:val="000000"/>
        </w:rPr>
        <w:t>other parties</w:t>
      </w:r>
      <w:r w:rsidRPr="0004462F" w:rsidR="008635EE">
        <w:rPr>
          <w:rFonts w:eastAsia="Times New Roman"/>
          <w:color w:val="000000"/>
        </w:rPr>
        <w:t xml:space="preserve"> is due</w:t>
      </w:r>
      <w:r w:rsidRPr="0004462F" w:rsidR="00542A05">
        <w:rPr>
          <w:rFonts w:eastAsia="Times New Roman"/>
          <w:color w:val="000000"/>
        </w:rPr>
        <w:t>.</w:t>
      </w:r>
      <w:r w:rsidRPr="0004462F" w:rsidR="0049652A">
        <w:rPr>
          <w:rFonts w:eastAsia="Times New Roman"/>
          <w:color w:val="000000"/>
        </w:rPr>
        <w:t>”</w:t>
      </w:r>
    </w:p>
    <w:p w:rsidR="00F86ACF" w:rsidRPr="0004462F" w:rsidP="00620F7D" w14:paraId="78849A5C" w14:textId="77777777">
      <w:pPr>
        <w:spacing w:line="480" w:lineRule="auto"/>
        <w:ind w:firstLine="720"/>
        <w:rPr>
          <w:rFonts w:eastAsia="Times New Roman"/>
          <w:color w:val="000000"/>
        </w:rPr>
      </w:pPr>
      <w:r w:rsidRPr="0004462F">
        <w:t>Second</w:t>
      </w:r>
      <w:r w:rsidRPr="0004462F" w:rsidR="0049652A">
        <w:t>, the rules for testimony in long-term forecast proceedings should be modified to require the utility to file testimony before other parties. Accordingly, rule 4901-1-29(A)(1)(g) should be modified as follows: “</w:t>
      </w:r>
      <w:r w:rsidRPr="0004462F" w:rsidR="0049652A">
        <w:rPr>
          <w:rFonts w:eastAsia="Times New Roman"/>
          <w:color w:val="000000"/>
        </w:rPr>
        <w:t xml:space="preserve">All direct expert testimony to be offered by </w:t>
      </w:r>
      <w:r w:rsidRPr="0004462F" w:rsidR="0049652A">
        <w:rPr>
          <w:rFonts w:eastAsia="Times New Roman"/>
          <w:color w:val="FF0000"/>
          <w:u w:val="single"/>
        </w:rPr>
        <w:t>a utility</w:t>
      </w:r>
      <w:r w:rsidRPr="0004462F" w:rsidR="0049652A">
        <w:rPr>
          <w:rFonts w:eastAsia="Times New Roman"/>
          <w:color w:val="000000"/>
        </w:rPr>
        <w:t xml:space="preserve"> </w:t>
      </w:r>
      <w:r w:rsidRPr="0004462F" w:rsidR="0049652A">
        <w:rPr>
          <w:rFonts w:eastAsia="Times New Roman"/>
          <w:strike/>
          <w:color w:val="4472C4" w:themeColor="accent1"/>
        </w:rPr>
        <w:t>any party</w:t>
      </w:r>
      <w:r w:rsidRPr="0004462F" w:rsidR="0049652A">
        <w:rPr>
          <w:rFonts w:eastAsia="Times New Roman"/>
          <w:color w:val="4472C4" w:themeColor="accent1"/>
        </w:rPr>
        <w:t xml:space="preserve"> </w:t>
      </w:r>
      <w:r w:rsidRPr="0004462F" w:rsidR="0049652A">
        <w:rPr>
          <w:rFonts w:eastAsia="Times New Roman"/>
          <w:color w:val="000000"/>
        </w:rPr>
        <w:t xml:space="preserve">in a long-term forecast report proceeding shall be filed and served no later than </w:t>
      </w:r>
      <w:r w:rsidRPr="0004462F" w:rsidR="00581549">
        <w:rPr>
          <w:rFonts w:eastAsia="Times New Roman"/>
          <w:color w:val="000000"/>
        </w:rPr>
        <w:t xml:space="preserve">eighteen </w:t>
      </w:r>
      <w:r w:rsidRPr="0004462F" w:rsidR="0049652A">
        <w:rPr>
          <w:rFonts w:eastAsia="Times New Roman"/>
          <w:color w:val="000000"/>
        </w:rPr>
        <w:t>days prior to the commencement of the hearing.” And there should be a new rule 4901-1-29(A)(1)(h)</w:t>
      </w:r>
      <w:r w:rsidRPr="0004462F" w:rsidR="006D52C7">
        <w:rPr>
          <w:rFonts w:eastAsia="Times New Roman"/>
          <w:color w:val="000000"/>
        </w:rPr>
        <w:t xml:space="preserve">, which </w:t>
      </w:r>
      <w:r w:rsidRPr="0004462F" w:rsidR="00E92BED">
        <w:rPr>
          <w:rFonts w:eastAsia="Times New Roman"/>
          <w:color w:val="000000"/>
        </w:rPr>
        <w:t xml:space="preserve">should </w:t>
      </w:r>
      <w:r w:rsidRPr="0004462F" w:rsidR="006D52C7">
        <w:rPr>
          <w:rFonts w:eastAsia="Times New Roman"/>
          <w:color w:val="000000"/>
        </w:rPr>
        <w:t>provide: “All direct expert testimony to be offered by any other party in a long-term forecast report proceeding shall be filed and served no later than seven days prior to the commencement of the hearing.” (Current rule 4901-1-29(A)(1)(h) should be changed to (i) as a result.)</w:t>
      </w:r>
    </w:p>
    <w:p w:rsidR="00DE71B2" w:rsidP="00620F7D" w14:paraId="1222A23A" w14:textId="1EBFE04B">
      <w:pPr>
        <w:spacing w:line="480" w:lineRule="auto"/>
        <w:ind w:firstLine="720"/>
        <w:rPr>
          <w:rFonts w:eastAsia="Times New Roman"/>
          <w:color w:val="000000"/>
        </w:rPr>
      </w:pPr>
      <w:r w:rsidRPr="0004462F">
        <w:rPr>
          <w:rFonts w:eastAsia="Times New Roman"/>
          <w:color w:val="000000"/>
        </w:rPr>
        <w:t>Third</w:t>
      </w:r>
      <w:r w:rsidRPr="0004462F" w:rsidR="006D52C7">
        <w:rPr>
          <w:rFonts w:eastAsia="Times New Roman"/>
          <w:color w:val="000000"/>
        </w:rPr>
        <w:t xml:space="preserve">, the rules for testimony in other proceedings should be modified such that the utility, applicant, complainant, or petitioner is required to file testimony before other parties. Accordingly, rule 4901-1-29(A)(1)(h) (which would now be (i) per earlier suggestions) would now read: “All direct expert testimony to be offered </w:t>
      </w:r>
      <w:r w:rsidRPr="0004462F" w:rsidR="006D52C7">
        <w:rPr>
          <w:rFonts w:eastAsia="Times New Roman"/>
          <w:color w:val="FF0000"/>
          <w:u w:val="single"/>
        </w:rPr>
        <w:t xml:space="preserve">by a utility, applicant, complainant, </w:t>
      </w:r>
      <w:r w:rsidRPr="0004462F" w:rsidR="00F81287">
        <w:rPr>
          <w:rFonts w:eastAsia="Times New Roman"/>
          <w:color w:val="FF0000"/>
          <w:u w:val="single"/>
        </w:rPr>
        <w:t xml:space="preserve">respondent, </w:t>
      </w:r>
      <w:r w:rsidRPr="0004462F" w:rsidR="006D52C7">
        <w:rPr>
          <w:rFonts w:eastAsia="Times New Roman"/>
          <w:color w:val="FF0000"/>
          <w:u w:val="single"/>
        </w:rPr>
        <w:t>petitioner</w:t>
      </w:r>
      <w:r w:rsidRPr="0004462F" w:rsidR="006B6696">
        <w:rPr>
          <w:rFonts w:eastAsia="Times New Roman"/>
          <w:color w:val="FF0000"/>
          <w:u w:val="single"/>
        </w:rPr>
        <w:t>, or party supporting a stipulation</w:t>
      </w:r>
      <w:r w:rsidRPr="0004462F" w:rsidR="006D52C7">
        <w:rPr>
          <w:rFonts w:eastAsia="Times New Roman"/>
          <w:color w:val="FF0000"/>
          <w:u w:val="single"/>
        </w:rPr>
        <w:t xml:space="preserve"> </w:t>
      </w:r>
      <w:r w:rsidRPr="0004462F" w:rsidR="006D52C7">
        <w:rPr>
          <w:rFonts w:eastAsia="Times New Roman"/>
          <w:color w:val="000000"/>
        </w:rPr>
        <w:t xml:space="preserve">in any other commission proceeding shall be filed and served no later than </w:t>
      </w:r>
      <w:r w:rsidRPr="0004462F" w:rsidR="00581549">
        <w:rPr>
          <w:rFonts w:eastAsia="Times New Roman"/>
          <w:color w:val="FF0000"/>
          <w:u w:val="single"/>
        </w:rPr>
        <w:t>eighteen</w:t>
      </w:r>
      <w:r w:rsidRPr="0004462F" w:rsidR="00581549">
        <w:rPr>
          <w:rFonts w:eastAsia="Times New Roman"/>
          <w:color w:val="FF0000"/>
        </w:rPr>
        <w:t xml:space="preserve"> </w:t>
      </w:r>
      <w:r w:rsidRPr="0004462F" w:rsidR="006D52C7">
        <w:rPr>
          <w:rFonts w:eastAsia="Times New Roman"/>
          <w:strike/>
          <w:color w:val="4472C4" w:themeColor="accent1"/>
        </w:rPr>
        <w:t xml:space="preserve">seven </w:t>
      </w:r>
      <w:r w:rsidRPr="0004462F" w:rsidR="006D52C7">
        <w:rPr>
          <w:rFonts w:eastAsia="Times New Roman"/>
          <w:color w:val="000000"/>
        </w:rPr>
        <w:t>days prior to the commencement of the hearing.” And a new rule 4901-1-29(A)(1)(j) would be added as follows: “All direct expert testimony to be offered by any other party in any other commission proceeding shall be filed and served no later than seven days prior to the commencement of the hearing.”</w:t>
      </w:r>
    </w:p>
    <w:p w:rsidR="000A45E2" w:rsidRPr="0004462F" w:rsidP="000A45E2" w14:paraId="420C6E9E" w14:textId="77777777">
      <w:pPr>
        <w:ind w:firstLine="720"/>
        <w:rPr>
          <w:rFonts w:eastAsia="Times New Roman"/>
          <w:color w:val="000000"/>
        </w:rPr>
      </w:pPr>
    </w:p>
    <w:p w:rsidR="005C0D8F" w:rsidRPr="0004462F" w:rsidP="00712CE5" w14:paraId="4CC0C490" w14:textId="77777777">
      <w:pPr>
        <w:pStyle w:val="Heading2"/>
        <w:rPr>
          <w:rFonts w:ascii="Times New Roman" w:hAnsi="Times New Roman" w:cs="Times New Roman"/>
          <w:szCs w:val="24"/>
        </w:rPr>
      </w:pPr>
      <w:bookmarkStart w:id="26" w:name="_Toc29827615"/>
      <w:r w:rsidRPr="0004462F">
        <w:rPr>
          <w:rFonts w:ascii="Times New Roman" w:hAnsi="Times New Roman" w:cs="Times New Roman"/>
          <w:szCs w:val="24"/>
        </w:rPr>
        <w:t>O.A.C. 4901-1-30 Stipulations</w:t>
      </w:r>
      <w:bookmarkEnd w:id="26"/>
    </w:p>
    <w:p w:rsidR="00D1447F" w:rsidRPr="0004462F" w:rsidP="00D1447F" w14:paraId="1A41B0FD" w14:textId="77777777">
      <w:pPr>
        <w:spacing w:line="480" w:lineRule="auto"/>
        <w:ind w:firstLine="720"/>
      </w:pPr>
      <w:r w:rsidRPr="0004462F">
        <w:t xml:space="preserve">The </w:t>
      </w:r>
      <w:r w:rsidRPr="0004462F" w:rsidR="00E21038">
        <w:t>PUCO</w:t>
      </w:r>
      <w:r w:rsidRPr="0004462F">
        <w:t xml:space="preserve"> proposes a slight revision to this rule where it clarifies that oral stipulations may be made during a prehearing confe</w:t>
      </w:r>
      <w:r w:rsidRPr="0004462F" w:rsidR="00D15E05">
        <w:t xml:space="preserve">rence conducted on the record. </w:t>
      </w:r>
      <w:r w:rsidRPr="0004462F">
        <w:t xml:space="preserve">However, there are more modifications needed to this rule to </w:t>
      </w:r>
      <w:r w:rsidRPr="0004462F" w:rsidR="00492093">
        <w:t>promote fairness in settlements</w:t>
      </w:r>
      <w:r w:rsidRPr="0004462F" w:rsidR="00D15E05">
        <w:t>.</w:t>
      </w:r>
    </w:p>
    <w:p w:rsidR="00D1447F" w:rsidRPr="0004462F" w:rsidP="00D1447F" w14:paraId="652FAA3B" w14:textId="77777777">
      <w:pPr>
        <w:spacing w:line="480" w:lineRule="auto"/>
        <w:ind w:firstLine="720"/>
      </w:pPr>
      <w:r w:rsidRPr="0004462F">
        <w:t xml:space="preserve">First, </w:t>
      </w:r>
      <w:r w:rsidRPr="0004462F" w:rsidR="00D15E05">
        <w:t>O.A.C.</w:t>
      </w:r>
      <w:r w:rsidRPr="0004462F">
        <w:t xml:space="preserve">4901-1-30(B) should require inviting all parties </w:t>
      </w:r>
      <w:r w:rsidRPr="0004462F" w:rsidR="00153423">
        <w:t>in</w:t>
      </w:r>
      <w:r w:rsidRPr="0004462F">
        <w:t xml:space="preserve"> a proceeding to all settlement meetings, consistent with best practices.</w:t>
      </w:r>
    </w:p>
    <w:p w:rsidR="00D1447F" w:rsidRPr="0004462F" w:rsidP="005C0D8F" w14:paraId="70A28ED8" w14:textId="77777777">
      <w:pPr>
        <w:spacing w:line="480" w:lineRule="auto"/>
        <w:ind w:firstLine="720"/>
      </w:pPr>
      <w:r w:rsidRPr="0004462F">
        <w:t>Second</w:t>
      </w:r>
      <w:r w:rsidRPr="0004462F" w:rsidR="005C0D8F">
        <w:t xml:space="preserve">, </w:t>
      </w:r>
      <w:r w:rsidRPr="0004462F">
        <w:t xml:space="preserve">there needs to be a solution and counteraction to the unfairness of superior bargaining power by utilities in settlement negotiations </w:t>
      </w:r>
      <w:r w:rsidRPr="0004462F" w:rsidR="00D15E05">
        <w:t xml:space="preserve">at the PUCO. </w:t>
      </w:r>
      <w:r w:rsidRPr="0004462F" w:rsidR="003F1A5C">
        <w:t>In its most problematic form, electric utilities have superior (unequal) bargaining power in so-called electric security plan cases. In 2009, just one year after the</w:t>
      </w:r>
      <w:r w:rsidRPr="0004462F" w:rsidR="00153423">
        <w:t xml:space="preserve"> enactment of the</w:t>
      </w:r>
      <w:r w:rsidRPr="0004462F" w:rsidR="003F1A5C">
        <w:t xml:space="preserve"> 2008 energy law that favors electric utilities over consumers in ratemaking, former Commissioner Cheryl Roberto </w:t>
      </w:r>
      <w:r w:rsidRPr="0004462F" w:rsidR="00153423">
        <w:t xml:space="preserve">described </w:t>
      </w:r>
      <w:r w:rsidRPr="0004462F" w:rsidR="003F1A5C">
        <w:t>this unfairness in a</w:t>
      </w:r>
      <w:r w:rsidRPr="0004462F" w:rsidR="00754E2F">
        <w:t>n</w:t>
      </w:r>
      <w:r w:rsidRPr="0004462F" w:rsidR="003F1A5C">
        <w:t xml:space="preserve"> </w:t>
      </w:r>
      <w:r w:rsidRPr="0004462F" w:rsidR="00754E2F">
        <w:t>important s</w:t>
      </w:r>
      <w:r w:rsidRPr="0004462F" w:rsidR="003F1A5C">
        <w:t>eparate opinion regarding settlement negotiations in FirstEnergy’s first electric security plan. Noting that the 2008 law</w:t>
      </w:r>
      <w:r w:rsidRPr="0004462F" w:rsidR="00754E2F">
        <w:t xml:space="preserve"> (R.C. 4928.143(C)(2)(a)) </w:t>
      </w:r>
      <w:r w:rsidRPr="0004462F" w:rsidR="003F1A5C">
        <w:t xml:space="preserve">allows electric utilities to withdraw </w:t>
      </w:r>
      <w:r w:rsidRPr="0004462F" w:rsidR="00754E2F">
        <w:t>their rate plans (if</w:t>
      </w:r>
      <w:r w:rsidRPr="0004462F" w:rsidR="00153423">
        <w:t>, for example,</w:t>
      </w:r>
      <w:r w:rsidRPr="0004462F" w:rsidR="00754E2F">
        <w:t xml:space="preserve"> the PUCO adopts another party’s position against the utility’s wishes), s</w:t>
      </w:r>
      <w:r w:rsidRPr="0004462F" w:rsidR="003F1A5C">
        <w:t>he wrote</w:t>
      </w:r>
      <w:r w:rsidRPr="0004462F" w:rsidR="00754E2F">
        <w:t>:</w:t>
      </w:r>
    </w:p>
    <w:p w:rsidR="005C0D8F" w:rsidRPr="0004462F" w:rsidP="00D15E05" w14:paraId="274EE683" w14:textId="77777777">
      <w:pPr>
        <w:ind w:left="720" w:right="720"/>
        <w:jc w:val="both"/>
      </w:pPr>
      <w:r w:rsidRPr="0004462F">
        <w:t xml:space="preserve">In the case of an ESP, the balance of power created by an electric distribution utility’s authority to withdraw a Commission-modified and approved plan creates a dynamic that is impossible to ignore. I have no reservation that the parties are indeed capable and knowledgeable but, because of the utility's ability to withdraw, the remaining parties certainly do not possess equal bargaining power in an ESP action before the Commission. *** In light of the Commission’s fundamental lack of authority in the context of an ESP application to serve as the binding arbiter of what is reasonable, a party’s willingness to agree with an electric distribution utility applicant can not be afforded the same weight due as when an agreement arises within the context of other regulatory frameworks. (PUCO Case 08-0935-EL-SSO, Opinion of Cheryl L. Roberto, Concurring in part and dissenting in part (March 25, 2009). </w:t>
      </w:r>
    </w:p>
    <w:p w:rsidR="005C0D8F" w:rsidRPr="0004462F" w:rsidP="005C0D8F" w14:paraId="18EDF4C0" w14:textId="77777777"/>
    <w:p w:rsidR="005C0D8F" w:rsidRPr="0004462F" w:rsidP="00D15E05" w14:paraId="7BD33653" w14:textId="77777777">
      <w:pPr>
        <w:spacing w:line="480" w:lineRule="auto"/>
        <w:ind w:firstLine="720"/>
      </w:pPr>
      <w:r w:rsidRPr="0004462F">
        <w:t>But the problem of settlement</w:t>
      </w:r>
      <w:r w:rsidRPr="0004462F" w:rsidR="00153423">
        <w:t xml:space="preserve"> outcomes being influenced</w:t>
      </w:r>
      <w:r w:rsidRPr="0004462F">
        <w:t xml:space="preserve"> </w:t>
      </w:r>
      <w:r w:rsidRPr="0004462F" w:rsidR="00153423">
        <w:t xml:space="preserve">by the </w:t>
      </w:r>
      <w:r w:rsidRPr="0004462F">
        <w:t>superior bargaining power of utilities</w:t>
      </w:r>
      <w:r w:rsidRPr="0004462F" w:rsidR="00FF7DD4">
        <w:t>, as identified by Commissioner Roberto,</w:t>
      </w:r>
      <w:r w:rsidRPr="0004462F">
        <w:t xml:space="preserve"> is not limited to electric security plans.</w:t>
      </w:r>
      <w:r w:rsidRPr="0004462F" w:rsidR="00D15E05">
        <w:t xml:space="preserve"> </w:t>
      </w:r>
      <w:r w:rsidRPr="0004462F" w:rsidR="00B1775C">
        <w:t>One problem for a fair settlement process is that there seems to be an unwritten “rule” in PUCO cases that virtually all settlements will be negotiated to include the utility (and what it will or will not accept in a settlement). Another problem relates to the utility’s unique standing</w:t>
      </w:r>
      <w:r w:rsidRPr="0004462F" w:rsidR="000D5B85">
        <w:t xml:space="preserve"> (and resources)</w:t>
      </w:r>
      <w:r w:rsidRPr="0004462F" w:rsidR="00B1775C">
        <w:t xml:space="preserve"> to make offers of cash or cash equivalents to induce parties to sign settlements.</w:t>
      </w:r>
      <w:r w:rsidRPr="0004462F" w:rsidR="00FF7DD4">
        <w:t xml:space="preserve"> For these reasons, </w:t>
      </w:r>
      <w:r w:rsidRPr="0004462F" w:rsidR="003D7EF6">
        <w:t>when</w:t>
      </w:r>
      <w:r w:rsidRPr="0004462F" w:rsidR="0030085D">
        <w:t xml:space="preserve"> settlements involv</w:t>
      </w:r>
      <w:r w:rsidRPr="0004462F" w:rsidR="003D7EF6">
        <w:t>e</w:t>
      </w:r>
      <w:r w:rsidRPr="0004462F" w:rsidR="0030085D">
        <w:t xml:space="preserve"> the utility, </w:t>
      </w:r>
      <w:r w:rsidRPr="0004462F" w:rsidR="00FF7DD4">
        <w:t xml:space="preserve">the PUCO should </w:t>
      </w:r>
      <w:r w:rsidRPr="0004462F" w:rsidR="005C00F0">
        <w:t>not give weight to the first prong of its settlement standard whe</w:t>
      </w:r>
      <w:r w:rsidRPr="0004462F" w:rsidR="00A76265">
        <w:t>n</w:t>
      </w:r>
      <w:r w:rsidRPr="0004462F" w:rsidR="005C00F0">
        <w:t xml:space="preserve"> the utility </w:t>
      </w:r>
      <w:r w:rsidRPr="0004462F" w:rsidR="00A76265">
        <w:t>is a party to the settlement</w:t>
      </w:r>
      <w:r w:rsidRPr="0004462F" w:rsidR="00153423">
        <w:t xml:space="preserve">. </w:t>
      </w:r>
      <w:r w:rsidRPr="0004462F" w:rsidR="00A76265">
        <w:t xml:space="preserve"> </w:t>
      </w:r>
      <w:r w:rsidRPr="0004462F" w:rsidR="00153423">
        <w:t>A</w:t>
      </w:r>
      <w:r w:rsidRPr="0004462F" w:rsidR="00A76265">
        <w:t>nd</w:t>
      </w:r>
      <w:r w:rsidRPr="0004462F" w:rsidR="00153423">
        <w:t xml:space="preserve"> the PUCO should </w:t>
      </w:r>
      <w:r w:rsidRPr="0004462F" w:rsidR="003D7EF6">
        <w:t xml:space="preserve">also </w:t>
      </w:r>
      <w:r w:rsidRPr="0004462F" w:rsidR="00153423">
        <w:t xml:space="preserve">not give weight to the first prong of its settlement standard when </w:t>
      </w:r>
      <w:r w:rsidRPr="0004462F" w:rsidR="00A76265">
        <w:t>the settlement lacks parties with the diversity of interests reflected by a substantial representation of a particular interest (such as OCC’s representation of all residential consumers).</w:t>
      </w:r>
    </w:p>
    <w:p w:rsidR="003D7EF6" w:rsidRPr="0004462F" w:rsidP="00D15E05" w14:paraId="70D8006A" w14:textId="462D96ED">
      <w:pPr>
        <w:spacing w:line="480" w:lineRule="auto"/>
        <w:ind w:firstLine="720"/>
      </w:pPr>
      <w:r w:rsidRPr="0004462F">
        <w:t>Therefore, c</w:t>
      </w:r>
      <w:r w:rsidRPr="0004462F" w:rsidR="005C00F0">
        <w:t>onsistent with former Commissioner Roberto’s opinion, section (E) of the PUCO’s rule 4901-1-30 should be amended by a</w:t>
      </w:r>
      <w:bookmarkStart w:id="27" w:name="_Hlk28008205"/>
      <w:r w:rsidRPr="0004462F" w:rsidR="00D15E05">
        <w:t xml:space="preserve">dding the following sentences: </w:t>
      </w:r>
      <w:r w:rsidRPr="0004462F" w:rsidR="005C00F0">
        <w:t>“In stipulations that are reached with utilities in electric security plan proceedings, there shall be a rebuttable presumption that ser</w:t>
      </w:r>
      <w:r w:rsidRPr="0004462F" w:rsidR="00D15E05">
        <w:t xml:space="preserve">ious bargaining did not occur. </w:t>
      </w:r>
      <w:r w:rsidRPr="0004462F" w:rsidR="005C00F0">
        <w:t xml:space="preserve">Additionally, in stipulations of electric security plan proceedings, the PUCO shall </w:t>
      </w:r>
      <w:r w:rsidRPr="0004462F" w:rsidR="001D4F71">
        <w:t>not consider the stipulation as a package, but shall evaluate every provision on its own merits.</w:t>
      </w:r>
      <w:bookmarkEnd w:id="27"/>
      <w:r w:rsidRPr="0004462F" w:rsidR="005C00F0">
        <w:t xml:space="preserve">” </w:t>
      </w:r>
    </w:p>
    <w:p w:rsidR="005C00F0" w:rsidRPr="0004462F" w:rsidP="00D15E05" w14:paraId="2994E2DD" w14:textId="77777777">
      <w:pPr>
        <w:spacing w:line="480" w:lineRule="auto"/>
        <w:ind w:firstLine="720"/>
      </w:pPr>
      <w:r w:rsidRPr="0004462F">
        <w:t xml:space="preserve">Further, </w:t>
      </w:r>
      <w:r w:rsidRPr="0004462F" w:rsidR="00A76265">
        <w:t xml:space="preserve">there should be a rule revision added for </w:t>
      </w:r>
      <w:r w:rsidRPr="0004462F">
        <w:t>stipulations where the utility is a</w:t>
      </w:r>
      <w:r w:rsidRPr="0004462F" w:rsidR="00A76265">
        <w:t xml:space="preserve"> party and the settlement lacks one or more other parties with the diversity of interests reflected by a substantial representation of a particular interest (such as OCC’s representation of all residential consumers): “</w:t>
      </w:r>
      <w:r w:rsidRPr="0004462F" w:rsidR="00D15E05">
        <w:t>A settlement shall not be found to be the product of serious bargaining if the stipulation lacks diversity of interests, including, but not limited to, where the signatory parties to the stipulation do not include a party that broadly represents the interests of an entire class of customers.</w:t>
      </w:r>
      <w:r w:rsidRPr="0004462F" w:rsidR="00A76265">
        <w:t>”</w:t>
      </w:r>
    </w:p>
    <w:p w:rsidR="005C0D8F" w:rsidRPr="0004462F" w:rsidP="000A45E2" w14:paraId="4FCFF19B" w14:textId="77777777">
      <w:pPr>
        <w:spacing w:line="480" w:lineRule="auto"/>
        <w:ind w:firstLine="720"/>
      </w:pPr>
      <w:r w:rsidRPr="0004462F">
        <w:t>Further, the PUCO should evaluate stipulations by considering numerous factors, most of which are in keeping with (and derived from) the PUCO’s three</w:t>
      </w:r>
      <w:r w:rsidRPr="0004462F" w:rsidR="00795FE3">
        <w:t>-</w:t>
      </w:r>
      <w:r w:rsidRPr="0004462F" w:rsidR="00D15E05">
        <w:t xml:space="preserve">prong settlement standard. </w:t>
      </w:r>
      <w:r w:rsidRPr="0004462F">
        <w:t>The revisions include the following new section to Rule 4901-1-30, as follows:</w:t>
      </w:r>
    </w:p>
    <w:p w:rsidR="00D25637" w:rsidRPr="0004462F" w:rsidP="000A45E2" w14:paraId="77749F6C" w14:textId="77777777">
      <w:pPr>
        <w:shd w:val="clear" w:color="auto" w:fill="FFFFFF"/>
        <w:rPr>
          <w:rFonts w:eastAsia="Times New Roman"/>
          <w:color w:val="000000"/>
        </w:rPr>
      </w:pPr>
      <w:r w:rsidRPr="0004462F">
        <w:rPr>
          <w:rFonts w:eastAsia="Times New Roman"/>
          <w:color w:val="000000"/>
        </w:rPr>
        <w:t>(F) The commission shall balance the following factors when evaluating a stipulation, though the following is not an exhaustive list of all factors that the commission may consider, and no single factor is necessarily determinative:</w:t>
      </w:r>
    </w:p>
    <w:p w:rsidR="00D25637" w:rsidRPr="0004462F" w14:paraId="5014E373"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(1)</w:t>
      </w:r>
      <w:r w:rsidRPr="0004462F">
        <w:rPr>
          <w:rFonts w:eastAsia="Times New Roman"/>
          <w:color w:val="000000"/>
        </w:rPr>
        <w:tab/>
        <w:t>The nature and breadth of the interests represented by the parties that support the stipulation and the nature and breadth of the interests represented by the parties that oppose the stipulation.</w:t>
      </w:r>
    </w:p>
    <w:p w:rsidR="00D25637" w:rsidRPr="0004462F" w14:paraId="4C669E4D"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(2)</w:t>
      </w:r>
      <w:r w:rsidRPr="0004462F">
        <w:rPr>
          <w:rFonts w:eastAsia="Times New Roman"/>
          <w:color w:val="000000"/>
        </w:rPr>
        <w:tab/>
        <w:t xml:space="preserve">Whether the settling parties directly represent the broad interests of a class of customers </w:t>
      </w:r>
    </w:p>
    <w:p w:rsidR="00D25637" w:rsidRPr="0004462F" w14:paraId="17D3BC8D"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(2)</w:t>
      </w:r>
      <w:r w:rsidRPr="0004462F">
        <w:rPr>
          <w:rFonts w:eastAsia="Times New Roman"/>
          <w:color w:val="000000"/>
        </w:rPr>
        <w:tab/>
        <w:t>The extent to which the stipulation provisions would benefit or harm customers.</w:t>
      </w:r>
    </w:p>
    <w:p w:rsidR="00D25637" w:rsidRPr="0004462F" w14:paraId="30F53920"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(3)</w:t>
      </w:r>
      <w:r w:rsidRPr="0004462F">
        <w:rPr>
          <w:rFonts w:eastAsia="Times New Roman"/>
          <w:color w:val="000000"/>
        </w:rPr>
        <w:tab/>
        <w:t>The extent to which the stipulation provisions would benefit or harm the public interest.</w:t>
      </w:r>
    </w:p>
    <w:p w:rsidR="00D25637" w:rsidRPr="0004462F" w14:paraId="4A9D5A8A"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(4)</w:t>
      </w:r>
      <w:r w:rsidRPr="0004462F">
        <w:rPr>
          <w:rFonts w:eastAsia="Times New Roman"/>
          <w:color w:val="000000"/>
        </w:rPr>
        <w:tab/>
        <w:t>The extent to which the stipulation provisions violate any regulatory principle or practice.</w:t>
      </w:r>
    </w:p>
    <w:p w:rsidR="00D25637" w:rsidRPr="0004462F" w14:paraId="11A738C7"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(5)</w:t>
      </w:r>
      <w:r w:rsidRPr="0004462F">
        <w:rPr>
          <w:rFonts w:eastAsia="Times New Roman"/>
          <w:color w:val="000000"/>
        </w:rPr>
        <w:tab/>
        <w:t>The extent to which any party to the stipulation did or did not make concessions compared to its litigation position as a result of the stipulation.</w:t>
      </w:r>
    </w:p>
    <w:p w:rsidR="00D25637" w:rsidRPr="0004462F" w14:paraId="5739D932"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(6)</w:t>
      </w:r>
      <w:r w:rsidRPr="0004462F">
        <w:rPr>
          <w:rFonts w:eastAsia="Times New Roman"/>
          <w:color w:val="000000"/>
        </w:rPr>
        <w:tab/>
        <w:t>The fairness of the process in negotiating the stipulation, including, but not limited to, the extent to which parties were invited to participate in substantially all settlement meetings.</w:t>
      </w:r>
    </w:p>
    <w:p w:rsidR="00D25637" w:rsidRPr="0004462F" w14:paraId="614E4820" w14:textId="77777777">
      <w:pPr>
        <w:shd w:val="clear" w:color="auto" w:fill="FFFFFF"/>
        <w:spacing w:before="100" w:beforeAutospacing="1" w:after="100" w:afterAutospacing="1"/>
        <w:ind w:left="1440" w:hanging="720"/>
        <w:rPr>
          <w:rFonts w:eastAsia="Times New Roman"/>
          <w:color w:val="000000"/>
        </w:rPr>
      </w:pPr>
      <w:r w:rsidRPr="0004462F">
        <w:rPr>
          <w:rFonts w:eastAsia="Times New Roman"/>
          <w:color w:val="000000"/>
        </w:rPr>
        <w:t>(7)</w:t>
      </w:r>
      <w:r w:rsidRPr="0004462F">
        <w:rPr>
          <w:rFonts w:eastAsia="Times New Roman"/>
          <w:color w:val="000000"/>
        </w:rPr>
        <w:tab/>
        <w:t>The amount of profit that the utility would make as a result of the stipulation</w:t>
      </w:r>
      <w:r w:rsidRPr="0004462F" w:rsidR="00795FE3">
        <w:rPr>
          <w:rFonts w:eastAsia="Times New Roman"/>
          <w:color w:val="000000"/>
        </w:rPr>
        <w:t xml:space="preserve"> and the charges to consumers that would result from the stipu</w:t>
      </w:r>
      <w:r w:rsidRPr="0004462F" w:rsidR="00D15E05">
        <w:rPr>
          <w:rFonts w:eastAsia="Times New Roman"/>
          <w:color w:val="000000"/>
        </w:rPr>
        <w:t>l</w:t>
      </w:r>
      <w:r w:rsidRPr="0004462F" w:rsidR="00795FE3">
        <w:rPr>
          <w:rFonts w:eastAsia="Times New Roman"/>
          <w:color w:val="000000"/>
        </w:rPr>
        <w:t>ation</w:t>
      </w:r>
      <w:r w:rsidRPr="0004462F">
        <w:rPr>
          <w:rFonts w:eastAsia="Times New Roman"/>
          <w:color w:val="000000"/>
        </w:rPr>
        <w:t>.</w:t>
      </w:r>
    </w:p>
    <w:p w:rsidR="00D25637" w:rsidRPr="0004462F" w14:paraId="1331E239" w14:textId="77777777">
      <w:pPr>
        <w:shd w:val="clear" w:color="auto" w:fill="FFFFFF"/>
        <w:spacing w:before="100" w:beforeAutospacing="1" w:after="100" w:afterAutospacing="1"/>
        <w:ind w:left="1440" w:hanging="720"/>
        <w:rPr>
          <w:rFonts w:eastAsia="Times New Roman"/>
          <w:color w:val="000000"/>
          <w:u w:val="single"/>
        </w:rPr>
      </w:pPr>
      <w:r w:rsidRPr="0004462F">
        <w:rPr>
          <w:rFonts w:eastAsia="Times New Roman"/>
          <w:color w:val="000000"/>
        </w:rPr>
        <w:t>(8)</w:t>
      </w:r>
      <w:r w:rsidRPr="0004462F">
        <w:rPr>
          <w:rFonts w:eastAsia="Times New Roman"/>
          <w:color w:val="000000"/>
        </w:rPr>
        <w:tab/>
      </w:r>
      <w:r w:rsidRPr="0004462F" w:rsidR="00D55578">
        <w:rPr>
          <w:rFonts w:eastAsia="Times New Roman"/>
          <w:color w:val="000000"/>
        </w:rPr>
        <w:t>In electric security plan proceedings, with the utility possessing superior bargaining power, is the stipulation what parties view to be their best interest or simply the best they can hope to achieve considering the unequal bargaining power.</w:t>
      </w:r>
    </w:p>
    <w:p w:rsidR="005C0D8F" w:rsidRPr="0004462F" w:rsidP="005C0D8F" w14:paraId="7BC05C13" w14:textId="77777777">
      <w:pPr>
        <w:spacing w:line="480" w:lineRule="auto"/>
        <w:ind w:firstLine="720"/>
        <w:rPr>
          <w:bCs/>
        </w:rPr>
      </w:pPr>
      <w:r w:rsidRPr="0004462F">
        <w:t xml:space="preserve">The PUCO </w:t>
      </w:r>
      <w:r w:rsidRPr="0004462F" w:rsidR="00F545C3">
        <w:t xml:space="preserve">should </w:t>
      </w:r>
      <w:r w:rsidRPr="0004462F">
        <w:t>also adopt rules that put an end to utilities offering cash or cash equivalents (often using other consumers’ money) to induce parties to sign settlements, especially settlements that involve broad public policy issues.</w:t>
      </w:r>
      <w:r w:rsidRPr="0004462F" w:rsidR="00F545C3">
        <w:t xml:space="preserve"> An example </w:t>
      </w:r>
      <w:r w:rsidRPr="0004462F" w:rsidR="002B6B2F">
        <w:t>is</w:t>
      </w:r>
      <w:r w:rsidRPr="0004462F" w:rsidR="00F545C3">
        <w:t xml:space="preserve"> a settlement involving DP&amp;L, </w:t>
      </w:r>
      <w:r w:rsidRPr="0004462F" w:rsidR="002B6B2F">
        <w:t>which contains a</w:t>
      </w:r>
      <w:r w:rsidRPr="0004462F" w:rsidR="00F545C3">
        <w:t xml:space="preserve"> list of the utility’s offerings </w:t>
      </w:r>
      <w:r w:rsidRPr="0004462F" w:rsidR="002B6B2F">
        <w:t>to other parties</w:t>
      </w:r>
      <w:r w:rsidRPr="0004462F" w:rsidR="00F545C3">
        <w:t>.</w:t>
      </w:r>
      <w:r>
        <w:rPr>
          <w:rStyle w:val="FootnoteReference"/>
        </w:rPr>
        <w:footnoteReference w:id="19"/>
      </w:r>
      <w:r w:rsidRPr="0004462F" w:rsidR="000A59E7">
        <w:t xml:space="preserve"> </w:t>
      </w:r>
      <w:r w:rsidRPr="0004462F" w:rsidR="00F545C3">
        <w:t>N</w:t>
      </w:r>
      <w:r w:rsidRPr="0004462F">
        <w:t>ew section (G)</w:t>
      </w:r>
      <w:r w:rsidRPr="0004462F" w:rsidR="00F545C3">
        <w:t xml:space="preserve"> should be revised </w:t>
      </w:r>
      <w:r w:rsidRPr="0004462F">
        <w:t>with the following language: “</w:t>
      </w:r>
      <w:r w:rsidRPr="0004462F" w:rsidR="00385C54">
        <w:t xml:space="preserve">The commission is </w:t>
      </w:r>
      <w:r w:rsidRPr="0004462F" w:rsidR="002B6B2F">
        <w:t>un</w:t>
      </w:r>
      <w:r w:rsidRPr="0004462F" w:rsidR="00385C54">
        <w:t xml:space="preserve">likely to adopt settlement terms involving </w:t>
      </w:r>
      <w:r w:rsidRPr="0004462F">
        <w:rPr>
          <w:bCs/>
        </w:rPr>
        <w:t>agreement</w:t>
      </w:r>
      <w:r w:rsidRPr="0004462F" w:rsidR="00385C54">
        <w:rPr>
          <w:bCs/>
        </w:rPr>
        <w:t>s</w:t>
      </w:r>
      <w:r w:rsidRPr="0004462F">
        <w:rPr>
          <w:bCs/>
        </w:rPr>
        <w:t xml:space="preserve"> for the utility to make a monetary payment, or </w:t>
      </w:r>
      <w:r w:rsidRPr="0004462F" w:rsidR="002B6B2F">
        <w:rPr>
          <w:bCs/>
        </w:rPr>
        <w:t>the equivalent of a</w:t>
      </w:r>
      <w:r w:rsidRPr="0004462F" w:rsidR="00385C54">
        <w:rPr>
          <w:bCs/>
        </w:rPr>
        <w:t xml:space="preserve"> monetary payment</w:t>
      </w:r>
      <w:r w:rsidRPr="0004462F">
        <w:rPr>
          <w:bCs/>
        </w:rPr>
        <w:t xml:space="preserve">, to one or more parties. This </w:t>
      </w:r>
      <w:r w:rsidRPr="0004462F" w:rsidR="00385C54">
        <w:rPr>
          <w:bCs/>
        </w:rPr>
        <w:t>provision</w:t>
      </w:r>
      <w:r w:rsidRPr="0004462F">
        <w:rPr>
          <w:bCs/>
        </w:rPr>
        <w:t xml:space="preserve"> applies regardless of </w:t>
      </w:r>
      <w:r w:rsidRPr="0004462F" w:rsidR="00385C54">
        <w:rPr>
          <w:bCs/>
        </w:rPr>
        <w:t xml:space="preserve">the source of the funding of </w:t>
      </w:r>
      <w:r w:rsidRPr="0004462F">
        <w:rPr>
          <w:bCs/>
        </w:rPr>
        <w:t>the monetary payment or its equivalent.</w:t>
      </w:r>
      <w:r w:rsidRPr="0004462F" w:rsidR="00862A0B">
        <w:rPr>
          <w:bCs/>
        </w:rPr>
        <w:t>”</w:t>
      </w:r>
    </w:p>
    <w:p w:rsidR="005C0D8F" w:rsidRPr="0004462F" w:rsidP="005C0D8F" w14:paraId="1D994E06" w14:textId="77777777">
      <w:pPr>
        <w:spacing w:line="480" w:lineRule="auto"/>
        <w:ind w:firstLine="720"/>
        <w:rPr>
          <w:bCs/>
        </w:rPr>
      </w:pPr>
      <w:r w:rsidRPr="0004462F">
        <w:rPr>
          <w:bCs/>
        </w:rPr>
        <w:t>Further, the PUCO should adopt two new subsect</w:t>
      </w:r>
      <w:r w:rsidRPr="0004462F" w:rsidR="00712CE5">
        <w:rPr>
          <w:bCs/>
        </w:rPr>
        <w:t xml:space="preserve">ions of the stipulation rules. </w:t>
      </w:r>
      <w:r w:rsidRPr="0004462F">
        <w:rPr>
          <w:bCs/>
        </w:rPr>
        <w:t xml:space="preserve">Subsection (H) clarifies that after a stipulation is reached, the burden of proof is still borne by the entity which originally bore the burden of proof. In other words, the mere fact that a stipulation is reached does not mean that the burden of proof shifts to </w:t>
      </w:r>
      <w:r w:rsidRPr="0004462F" w:rsidR="000A59E7">
        <w:rPr>
          <w:bCs/>
        </w:rPr>
        <w:t xml:space="preserve">those opposing the settlement. </w:t>
      </w:r>
      <w:r w:rsidRPr="0004462F">
        <w:rPr>
          <w:bCs/>
        </w:rPr>
        <w:t>Also, new subsection (I) provides that stipulations cannot be used to violate any law by virtue of agreement by the parties</w:t>
      </w:r>
      <w:r w:rsidRPr="0004462F" w:rsidR="000A59E7">
        <w:rPr>
          <w:bCs/>
        </w:rPr>
        <w:t>.</w:t>
      </w:r>
    </w:p>
    <w:p w:rsidR="005C0D8F" w:rsidRPr="0004462F" w:rsidP="000A45E2" w14:paraId="1D52FF3E" w14:textId="77777777">
      <w:pPr>
        <w:spacing w:line="480" w:lineRule="auto"/>
        <w:ind w:firstLine="720"/>
        <w:rPr>
          <w:bCs/>
        </w:rPr>
      </w:pPr>
      <w:r w:rsidRPr="0004462F">
        <w:rPr>
          <w:bCs/>
        </w:rPr>
        <w:t>These</w:t>
      </w:r>
      <w:r w:rsidRPr="0004462F" w:rsidR="009E2D2C">
        <w:rPr>
          <w:bCs/>
        </w:rPr>
        <w:t xml:space="preserve"> p</w:t>
      </w:r>
      <w:r w:rsidRPr="0004462F">
        <w:rPr>
          <w:bCs/>
        </w:rPr>
        <w:t>roposed rule changes</w:t>
      </w:r>
      <w:r w:rsidRPr="0004462F" w:rsidR="009E2D2C">
        <w:rPr>
          <w:bCs/>
        </w:rPr>
        <w:t xml:space="preserve"> related to settlements (stipulations)</w:t>
      </w:r>
      <w:r w:rsidRPr="0004462F">
        <w:rPr>
          <w:bCs/>
        </w:rPr>
        <w:t xml:space="preserve"> are set </w:t>
      </w:r>
      <w:r w:rsidRPr="0004462F" w:rsidR="00275626">
        <w:rPr>
          <w:bCs/>
        </w:rPr>
        <w:t xml:space="preserve">forth </w:t>
      </w:r>
      <w:r w:rsidRPr="0004462F">
        <w:rPr>
          <w:bCs/>
        </w:rPr>
        <w:t>below</w:t>
      </w:r>
      <w:r w:rsidRPr="0004462F" w:rsidR="00C44EBF">
        <w:rPr>
          <w:bCs/>
        </w:rPr>
        <w:t>, for rule 4901-1-30</w:t>
      </w:r>
      <w:r w:rsidRPr="0004462F">
        <w:rPr>
          <w:bCs/>
        </w:rPr>
        <w:t>:</w:t>
      </w:r>
    </w:p>
    <w:p w:rsidR="0061570E" w:rsidRPr="0004462F" w:rsidP="000A45E2" w14:paraId="1416B6CE" w14:textId="77777777">
      <w:pPr>
        <w:shd w:val="clear" w:color="auto" w:fill="FFFFFF"/>
        <w:rPr>
          <w:rFonts w:eastAsia="Times New Roman"/>
          <w:color w:val="000000"/>
        </w:rPr>
      </w:pPr>
      <w:r w:rsidRPr="0004462F">
        <w:rPr>
          <w:rFonts w:eastAsia="Times New Roman"/>
          <w:color w:val="000000"/>
        </w:rPr>
        <w:t xml:space="preserve">(A) Any two or more parties may enter into a written or oral stipulation concerning issues of fact, the authenticity of documents, or the proposed resolution of some or all </w:t>
      </w:r>
      <w:r w:rsidRPr="0004462F" w:rsidR="00862A0B">
        <w:rPr>
          <w:rFonts w:eastAsia="Times New Roman"/>
          <w:color w:val="000000"/>
        </w:rPr>
        <w:t xml:space="preserve">of the issues in a proceeding. </w:t>
      </w:r>
      <w:r w:rsidRPr="0004462F">
        <w:rPr>
          <w:rFonts w:eastAsia="Times New Roman"/>
          <w:color w:val="FF0000"/>
          <w:u w:val="single"/>
        </w:rPr>
        <w:t>A stipulation can be made without one of the stipulating parties being a utility.</w:t>
      </w:r>
      <w:r w:rsidRPr="0004462F">
        <w:rPr>
          <w:rFonts w:eastAsia="Times New Roman"/>
          <w:color w:val="000000"/>
        </w:rPr>
        <w:t xml:space="preserve">  </w:t>
      </w:r>
    </w:p>
    <w:p w:rsidR="0061570E" w:rsidRPr="0004462F" w14:paraId="466FC90A" w14:textId="77777777">
      <w:pPr>
        <w:shd w:val="clear" w:color="auto" w:fill="FFFFFF"/>
        <w:spacing w:before="100" w:beforeAutospacing="1" w:after="100" w:afterAutospacing="1"/>
        <w:rPr>
          <w:rFonts w:eastAsia="Times New Roman"/>
          <w:color w:val="000000"/>
        </w:rPr>
      </w:pPr>
      <w:r w:rsidRPr="0004462F">
        <w:rPr>
          <w:rFonts w:eastAsia="Times New Roman"/>
          <w:color w:val="000000"/>
        </w:rPr>
        <w:t xml:space="preserve">(B) A written stipulation must be signed by all of the parties joining therein, and must be filed with the commission and served upon </w:t>
      </w:r>
      <w:r w:rsidRPr="0004462F" w:rsidR="00862A0B">
        <w:rPr>
          <w:rFonts w:eastAsia="Times New Roman"/>
          <w:color w:val="000000"/>
        </w:rPr>
        <w:t xml:space="preserve">all parties to the proceeding. </w:t>
      </w:r>
      <w:r w:rsidRPr="0004462F">
        <w:rPr>
          <w:rFonts w:eastAsia="Times New Roman"/>
          <w:color w:val="FF0000"/>
          <w:u w:val="single"/>
        </w:rPr>
        <w:t>All parties to the proceeding must be invited to the meetings in which terms of the settlement are discussed.</w:t>
      </w:r>
    </w:p>
    <w:p w:rsidR="0061570E" w:rsidRPr="0004462F" w14:paraId="4980540E" w14:textId="77777777">
      <w:pPr>
        <w:shd w:val="clear" w:color="auto" w:fill="FFFFFF"/>
        <w:spacing w:before="100" w:beforeAutospacing="1" w:after="100" w:afterAutospacing="1"/>
        <w:rPr>
          <w:rFonts w:eastAsia="Times New Roman"/>
          <w:color w:val="000000"/>
        </w:rPr>
      </w:pPr>
      <w:r w:rsidRPr="0004462F">
        <w:rPr>
          <w:rFonts w:eastAsia="Times New Roman"/>
          <w:color w:val="000000"/>
        </w:rPr>
        <w:t>(</w:t>
      </w:r>
      <w:r w:rsidRPr="0004462F" w:rsidR="00862A0B">
        <w:rPr>
          <w:rFonts w:eastAsia="Times New Roman"/>
          <w:color w:val="000000"/>
        </w:rPr>
        <w:t>C</w:t>
      </w:r>
      <w:r w:rsidRPr="0004462F">
        <w:rPr>
          <w:rFonts w:eastAsia="Times New Roman"/>
          <w:color w:val="000000"/>
        </w:rPr>
        <w:t>) An oral stipulation may be made only during a public hearing or prehearing conference, and all parties joining in such a stipulation must acknowledge their agreement thereto on the record. The commission or the presiding hearing officer may require that an oral stipulation be reduced to writing and filed and served in accordance with paragraph (B) of this rule.</w:t>
      </w:r>
    </w:p>
    <w:p w:rsidR="0061570E" w:rsidRPr="0004462F" w14:paraId="5B258B9B" w14:textId="77777777">
      <w:pPr>
        <w:shd w:val="clear" w:color="auto" w:fill="FFFFFF"/>
        <w:spacing w:before="100" w:beforeAutospacing="1" w:after="100" w:afterAutospacing="1"/>
        <w:rPr>
          <w:rFonts w:eastAsia="Times New Roman"/>
          <w:color w:val="000000"/>
        </w:rPr>
      </w:pPr>
      <w:r w:rsidRPr="0004462F">
        <w:rPr>
          <w:rFonts w:eastAsia="Times New Roman"/>
          <w:color w:val="000000"/>
        </w:rPr>
        <w:t>(D) Unless otherwise ordered, parties who file a full or partial written stipulation or make an oral stipulation must file or provide the testimony of at least one signatory party that supports the stipulation. Parties that do not join the stipulation may offer evidence and/or argument in opposition.</w:t>
      </w:r>
    </w:p>
    <w:p w:rsidR="0061570E" w:rsidRPr="0004462F" w14:paraId="4A699013" w14:textId="5E03DA23">
      <w:pPr>
        <w:shd w:val="clear" w:color="auto" w:fill="FFFFFF"/>
        <w:spacing w:before="100" w:beforeAutospacing="1" w:after="100" w:afterAutospacing="1"/>
        <w:rPr>
          <w:rFonts w:eastAsia="Times New Roman"/>
          <w:color w:val="000000"/>
        </w:rPr>
      </w:pPr>
      <w:r w:rsidRPr="0004462F">
        <w:rPr>
          <w:rFonts w:eastAsia="Times New Roman"/>
          <w:color w:val="000000"/>
        </w:rPr>
        <w:t xml:space="preserve">(E) </w:t>
      </w:r>
      <w:r w:rsidRPr="0004462F" w:rsidR="005C0D8F">
        <w:rPr>
          <w:rFonts w:eastAsia="Times New Roman"/>
          <w:color w:val="000000"/>
        </w:rPr>
        <w:t>No stipulation shall be conside</w:t>
      </w:r>
      <w:r w:rsidRPr="0004462F">
        <w:rPr>
          <w:rFonts w:eastAsia="Times New Roman"/>
          <w:color w:val="000000"/>
        </w:rPr>
        <w:t xml:space="preserve">red binding upon the commission. </w:t>
      </w:r>
      <w:r w:rsidRPr="0004462F" w:rsidR="005C0D8F">
        <w:rPr>
          <w:rFonts w:eastAsia="Times New Roman"/>
          <w:color w:val="FF0000"/>
          <w:u w:val="single"/>
        </w:rPr>
        <w:t>I</w:t>
      </w:r>
      <w:r w:rsidRPr="0004462F" w:rsidR="005C0D8F">
        <w:rPr>
          <w:color w:val="FF0000"/>
          <w:u w:val="single"/>
        </w:rPr>
        <w:t>n stipulations that are reached in electric security plan proceedings, there shall be a rebuttable presumption that ser</w:t>
      </w:r>
      <w:r w:rsidRPr="0004462F">
        <w:rPr>
          <w:color w:val="FF0000"/>
          <w:u w:val="single"/>
        </w:rPr>
        <w:t xml:space="preserve">ious bargaining did not occur. </w:t>
      </w:r>
      <w:r w:rsidRPr="0004462F" w:rsidR="005C0D8F">
        <w:rPr>
          <w:color w:val="FF0000"/>
          <w:u w:val="single"/>
        </w:rPr>
        <w:t xml:space="preserve">Additionally, in stipulations of electric security plan proceedings, </w:t>
      </w:r>
      <w:r w:rsidRPr="0004462F" w:rsidR="00691F45">
        <w:rPr>
          <w:color w:val="FF0000"/>
          <w:u w:val="single"/>
        </w:rPr>
        <w:t>the PUCO shall not consider the stipulation as a package, but shall evaluate every provision on its own merits</w:t>
      </w:r>
      <w:r w:rsidRPr="0004462F" w:rsidR="005C0D8F">
        <w:rPr>
          <w:color w:val="FF0000"/>
          <w:u w:val="single"/>
        </w:rPr>
        <w:t>.</w:t>
      </w:r>
      <w:r w:rsidRPr="0004462F">
        <w:rPr>
          <w:color w:val="FF0000"/>
          <w:u w:val="single"/>
        </w:rPr>
        <w:t xml:space="preserve"> A stipulation shall not be found to be the product of serious bargaining if the stipulation lacks diversity of interests, including, but not limited to, where the signatory parties to the stipulation do not include a party that broadly represents the interests of an entire class of customers.</w:t>
      </w:r>
    </w:p>
    <w:p w:rsidR="0061570E" w:rsidRPr="0004462F" w14:paraId="4EC90FC7" w14:textId="77777777">
      <w:pPr>
        <w:shd w:val="clear" w:color="auto" w:fill="FFFFFF"/>
        <w:spacing w:before="100" w:beforeAutospacing="1" w:after="100" w:afterAutospacing="1"/>
        <w:rPr>
          <w:rFonts w:eastAsia="Times New Roman"/>
          <w:color w:val="FF0000"/>
          <w:u w:val="single"/>
        </w:rPr>
      </w:pPr>
      <w:bookmarkStart w:id="28" w:name="_Hlk28008895"/>
      <w:r w:rsidRPr="0004462F">
        <w:rPr>
          <w:rFonts w:eastAsia="Times New Roman"/>
          <w:color w:val="FF0000"/>
          <w:u w:val="single"/>
        </w:rPr>
        <w:t>(F) The commission shall balance the following factors when evaluating a stipulation, though the following is not an exhaustive list of all factors that the commission may consider, and no single factor is necessarily determinative:</w:t>
      </w:r>
    </w:p>
    <w:p w:rsidR="0061570E" w:rsidRPr="0004462F" w14:paraId="126F2E32"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(1)</w:t>
      </w:r>
      <w:r w:rsidRPr="0004462F">
        <w:rPr>
          <w:rFonts w:eastAsia="Times New Roman"/>
          <w:color w:val="FF0000"/>
          <w:u w:val="single"/>
        </w:rPr>
        <w:tab/>
        <w:t>The nature and breadth of the interests represented by the parties that support the stipulation and the nature and breadth of the interests represented by the parties that oppose the stipulation.</w:t>
      </w:r>
    </w:p>
    <w:p w:rsidR="0061570E" w:rsidRPr="0004462F" w14:paraId="4E4BF307"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(2)</w:t>
      </w:r>
      <w:r w:rsidRPr="0004462F">
        <w:rPr>
          <w:rFonts w:eastAsia="Times New Roman"/>
          <w:color w:val="FF0000"/>
          <w:u w:val="single"/>
        </w:rPr>
        <w:tab/>
        <w:t>Whether the settl</w:t>
      </w:r>
      <w:r w:rsidRPr="0004462F" w:rsidR="007C73C6">
        <w:rPr>
          <w:rFonts w:eastAsia="Times New Roman"/>
          <w:color w:val="FF0000"/>
          <w:u w:val="single"/>
        </w:rPr>
        <w:t>ement does not include a party that</w:t>
      </w:r>
      <w:r w:rsidRPr="0004462F" w:rsidR="00FE111B">
        <w:rPr>
          <w:rFonts w:eastAsia="Times New Roman"/>
          <w:color w:val="FF0000"/>
          <w:u w:val="single"/>
        </w:rPr>
        <w:t xml:space="preserve"> </w:t>
      </w:r>
      <w:r w:rsidRPr="0004462F">
        <w:rPr>
          <w:rFonts w:eastAsia="Times New Roman"/>
          <w:color w:val="FF0000"/>
          <w:u w:val="single"/>
        </w:rPr>
        <w:t>directly represent</w:t>
      </w:r>
      <w:r w:rsidRPr="0004462F" w:rsidR="007C73C6">
        <w:rPr>
          <w:rFonts w:eastAsia="Times New Roman"/>
          <w:color w:val="FF0000"/>
          <w:u w:val="single"/>
        </w:rPr>
        <w:t>s</w:t>
      </w:r>
      <w:r w:rsidRPr="0004462F">
        <w:rPr>
          <w:rFonts w:eastAsia="Times New Roman"/>
          <w:color w:val="FF0000"/>
          <w:u w:val="single"/>
        </w:rPr>
        <w:t xml:space="preserve"> the broad interests of a class of customers </w:t>
      </w:r>
    </w:p>
    <w:p w:rsidR="0061570E" w:rsidRPr="0004462F" w14:paraId="52B73C97"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(3</w:t>
      </w:r>
      <w:r w:rsidRPr="0004462F" w:rsidR="005C0D8F">
        <w:rPr>
          <w:rFonts w:eastAsia="Times New Roman"/>
          <w:color w:val="FF0000"/>
          <w:u w:val="single"/>
        </w:rPr>
        <w:t>)</w:t>
      </w:r>
      <w:r w:rsidRPr="0004462F" w:rsidR="005C0D8F">
        <w:rPr>
          <w:rFonts w:eastAsia="Times New Roman"/>
          <w:color w:val="FF0000"/>
          <w:u w:val="single"/>
        </w:rPr>
        <w:tab/>
        <w:t>The extent to which the stipulation provisions would benefit or harm customers.</w:t>
      </w:r>
    </w:p>
    <w:p w:rsidR="0061570E" w:rsidRPr="0004462F" w14:paraId="5A9C6005"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(4</w:t>
      </w:r>
      <w:r w:rsidRPr="0004462F" w:rsidR="005C0D8F">
        <w:rPr>
          <w:rFonts w:eastAsia="Times New Roman"/>
          <w:color w:val="FF0000"/>
          <w:u w:val="single"/>
        </w:rPr>
        <w:t>)</w:t>
      </w:r>
      <w:r w:rsidRPr="0004462F" w:rsidR="005C0D8F">
        <w:rPr>
          <w:rFonts w:eastAsia="Times New Roman"/>
          <w:color w:val="FF0000"/>
          <w:u w:val="single"/>
        </w:rPr>
        <w:tab/>
        <w:t>The extent to which the stipulation provisions would benefit or harm the public interest.</w:t>
      </w:r>
    </w:p>
    <w:p w:rsidR="0061570E" w:rsidRPr="0004462F" w14:paraId="3C1C80A0"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(5</w:t>
      </w:r>
      <w:r w:rsidRPr="0004462F" w:rsidR="005C0D8F">
        <w:rPr>
          <w:rFonts w:eastAsia="Times New Roman"/>
          <w:color w:val="FF0000"/>
          <w:u w:val="single"/>
        </w:rPr>
        <w:t>)</w:t>
      </w:r>
      <w:r w:rsidRPr="0004462F" w:rsidR="005C0D8F">
        <w:rPr>
          <w:rFonts w:eastAsia="Times New Roman"/>
          <w:color w:val="FF0000"/>
          <w:u w:val="single"/>
        </w:rPr>
        <w:tab/>
        <w:t>The extent to which the stipulation provisions violate any regulatory principle or practice.</w:t>
      </w:r>
    </w:p>
    <w:p w:rsidR="0061570E" w:rsidRPr="0004462F" w14:paraId="2C7F47AD"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(6</w:t>
      </w:r>
      <w:r w:rsidRPr="0004462F" w:rsidR="005C0D8F">
        <w:rPr>
          <w:rFonts w:eastAsia="Times New Roman"/>
          <w:color w:val="FF0000"/>
          <w:u w:val="single"/>
        </w:rPr>
        <w:t>)</w:t>
      </w:r>
      <w:r w:rsidRPr="0004462F" w:rsidR="005C0D8F">
        <w:rPr>
          <w:rFonts w:eastAsia="Times New Roman"/>
          <w:color w:val="FF0000"/>
          <w:u w:val="single"/>
        </w:rPr>
        <w:tab/>
        <w:t>The extent to which any party to the stipulation did or did not make concessions compared to its litigation position as a result of the stipulation.</w:t>
      </w:r>
    </w:p>
    <w:p w:rsidR="0061570E" w:rsidRPr="0004462F" w14:paraId="29ED919D"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(7</w:t>
      </w:r>
      <w:r w:rsidRPr="0004462F" w:rsidR="005C0D8F">
        <w:rPr>
          <w:rFonts w:eastAsia="Times New Roman"/>
          <w:color w:val="FF0000"/>
          <w:u w:val="single"/>
        </w:rPr>
        <w:t>)</w:t>
      </w:r>
      <w:r w:rsidRPr="0004462F" w:rsidR="005C0D8F">
        <w:rPr>
          <w:rFonts w:eastAsia="Times New Roman"/>
          <w:color w:val="FF0000"/>
          <w:u w:val="single"/>
        </w:rPr>
        <w:tab/>
        <w:t>The fairness of the process in negotiating the stipulation, including, but not limited to, the extent to which parties were invited to participate in substantially all settlement meetings.</w:t>
      </w:r>
    </w:p>
    <w:p w:rsidR="0061570E" w:rsidRPr="0004462F" w14:paraId="19F7FEBE" w14:textId="77777777">
      <w:pPr>
        <w:shd w:val="clear" w:color="auto" w:fill="FFFFFF"/>
        <w:spacing w:before="100" w:beforeAutospacing="1" w:after="100" w:afterAutospacing="1"/>
        <w:ind w:left="1440" w:hanging="720"/>
        <w:rPr>
          <w:rFonts w:eastAsia="Times New Roman"/>
          <w:color w:val="FF0000"/>
          <w:u w:val="single"/>
        </w:rPr>
      </w:pPr>
      <w:r w:rsidRPr="0004462F">
        <w:rPr>
          <w:rFonts w:eastAsia="Times New Roman"/>
          <w:color w:val="FF0000"/>
          <w:u w:val="single"/>
        </w:rPr>
        <w:t>(8</w:t>
      </w:r>
      <w:r w:rsidRPr="0004462F" w:rsidR="005C0D8F">
        <w:rPr>
          <w:rFonts w:eastAsia="Times New Roman"/>
          <w:color w:val="FF0000"/>
          <w:u w:val="single"/>
        </w:rPr>
        <w:t>)</w:t>
      </w:r>
      <w:r w:rsidRPr="0004462F" w:rsidR="005C0D8F">
        <w:rPr>
          <w:rFonts w:eastAsia="Times New Roman"/>
          <w:color w:val="FF0000"/>
          <w:u w:val="single"/>
        </w:rPr>
        <w:tab/>
        <w:t>The amount of profit that the utility would make as a result of the stipulation</w:t>
      </w:r>
      <w:r w:rsidRPr="0004462F">
        <w:rPr>
          <w:rFonts w:eastAsia="Times New Roman"/>
          <w:color w:val="FF0000"/>
          <w:u w:val="single"/>
        </w:rPr>
        <w:t xml:space="preserve"> and the charges to consumers that would result from the stipulation</w:t>
      </w:r>
      <w:r w:rsidRPr="0004462F" w:rsidR="005C0D8F">
        <w:rPr>
          <w:rFonts w:eastAsia="Times New Roman"/>
          <w:color w:val="FF0000"/>
          <w:u w:val="single"/>
        </w:rPr>
        <w:t>.</w:t>
      </w:r>
    </w:p>
    <w:p w:rsidR="0061570E" w:rsidRPr="0004462F" w14:paraId="59F4762B" w14:textId="77777777">
      <w:pPr>
        <w:shd w:val="clear" w:color="auto" w:fill="FFFFFF"/>
        <w:spacing w:before="100" w:beforeAutospacing="1" w:after="100" w:afterAutospacing="1"/>
        <w:ind w:left="1440" w:hanging="720"/>
        <w:rPr>
          <w:rFonts w:eastAsia="Times New Roman"/>
          <w:color w:val="000000"/>
          <w:u w:val="single"/>
        </w:rPr>
      </w:pPr>
      <w:r w:rsidRPr="0004462F">
        <w:rPr>
          <w:rFonts w:eastAsia="Times New Roman"/>
          <w:color w:val="FF0000"/>
          <w:u w:val="single"/>
        </w:rPr>
        <w:t>(9</w:t>
      </w:r>
      <w:r w:rsidRPr="0004462F" w:rsidR="005C0D8F">
        <w:rPr>
          <w:rFonts w:eastAsia="Times New Roman"/>
          <w:color w:val="FF0000"/>
          <w:u w:val="single"/>
        </w:rPr>
        <w:t>)</w:t>
      </w:r>
      <w:r w:rsidRPr="0004462F" w:rsidR="005C0D8F">
        <w:rPr>
          <w:rFonts w:eastAsia="Times New Roman"/>
          <w:color w:val="FF0000"/>
          <w:u w:val="single"/>
        </w:rPr>
        <w:tab/>
        <w:t>In electric security plan proceedings, with the utility possessing superior bargaining power, is the stipulation what parties view to be their best interest or simply the best they can hope to achieve considering the unequal bargaining power</w:t>
      </w:r>
      <w:r w:rsidRPr="0004462F">
        <w:rPr>
          <w:rFonts w:eastAsia="Times New Roman"/>
          <w:color w:val="FF0000"/>
          <w:u w:val="single"/>
        </w:rPr>
        <w:t>.</w:t>
      </w:r>
    </w:p>
    <w:bookmarkEnd w:id="28"/>
    <w:p w:rsidR="0061570E" w:rsidRPr="0004462F" w14:paraId="126643D7" w14:textId="77777777">
      <w:pPr>
        <w:shd w:val="clear" w:color="auto" w:fill="FFFFFF"/>
        <w:spacing w:before="100" w:beforeAutospacing="1" w:after="100" w:afterAutospacing="1"/>
        <w:rPr>
          <w:bCs/>
          <w:color w:val="FF0000"/>
          <w:u w:val="single"/>
        </w:rPr>
      </w:pPr>
      <w:r w:rsidRPr="0004462F">
        <w:rPr>
          <w:rFonts w:eastAsia="Times New Roman"/>
          <w:color w:val="FF0000"/>
          <w:u w:val="single"/>
        </w:rPr>
        <w:t xml:space="preserve">(G) </w:t>
      </w:r>
      <w:r w:rsidRPr="0004462F" w:rsidR="00862A0B">
        <w:rPr>
          <w:color w:val="FF0000"/>
          <w:u w:val="single"/>
        </w:rPr>
        <w:t>The commission is not likely to adopt settlement terms involving agreements for the utility to make a monetary payment, or a monetary payment equivalent, to one or more parties. This provision applies regardless of the source of the funding of the monetary payment or its equivalent.</w:t>
      </w:r>
    </w:p>
    <w:p w:rsidR="0061570E" w:rsidRPr="0004462F" w14:paraId="78453803" w14:textId="77777777">
      <w:pPr>
        <w:shd w:val="clear" w:color="auto" w:fill="FFFFFF"/>
        <w:spacing w:before="100" w:beforeAutospacing="1" w:after="100" w:afterAutospacing="1"/>
        <w:rPr>
          <w:rFonts w:eastAsia="Times New Roman"/>
          <w:color w:val="000000"/>
          <w:u w:val="single"/>
        </w:rPr>
      </w:pPr>
      <w:r w:rsidRPr="0004462F">
        <w:rPr>
          <w:bCs/>
          <w:color w:val="FF0000"/>
        </w:rPr>
        <w:t xml:space="preserve">(H) </w:t>
      </w:r>
      <w:r w:rsidRPr="0004462F">
        <w:rPr>
          <w:rFonts w:eastAsia="Times New Roman"/>
          <w:color w:val="FF0000"/>
          <w:u w:val="single"/>
        </w:rPr>
        <w:t>Notwithstanding paragraph (F) of this section, the party that bears the burden of proof in a proceeding shall continue to bear any such burden of proof in the proceeding after a stipulation is filed</w:t>
      </w:r>
      <w:r w:rsidRPr="0004462F">
        <w:rPr>
          <w:rFonts w:eastAsia="Times New Roman"/>
          <w:color w:val="000000"/>
          <w:u w:val="single"/>
        </w:rPr>
        <w:t>.</w:t>
      </w:r>
    </w:p>
    <w:p w:rsidR="0061570E" w:rsidRPr="0004462F" w14:paraId="1282D20A" w14:textId="77777777">
      <w:pPr>
        <w:shd w:val="clear" w:color="auto" w:fill="FFFFFF"/>
        <w:spacing w:before="100" w:beforeAutospacing="1" w:after="100" w:afterAutospacing="1"/>
        <w:rPr>
          <w:rFonts w:eastAsia="Times New Roman"/>
          <w:color w:val="FF0000"/>
          <w:u w:val="single"/>
        </w:rPr>
      </w:pPr>
      <w:r w:rsidRPr="0004462F">
        <w:rPr>
          <w:rFonts w:eastAsia="Times New Roman"/>
          <w:color w:val="FF0000"/>
          <w:u w:val="single"/>
        </w:rPr>
        <w:t>(I) Notwithstanding paragraph (F) of this section, no stipulation shall be approved which violates any statute or prior commission entry or order.</w:t>
      </w:r>
    </w:p>
    <w:p w:rsidR="006B6696" w:rsidRPr="0004462F" w:rsidP="00035680" w14:paraId="3FC0825B" w14:textId="77777777"/>
    <w:p w:rsidR="006D52C7" w:rsidRPr="0004462F" w:rsidP="00712CE5" w14:paraId="5755A3CA" w14:textId="77777777">
      <w:pPr>
        <w:pStyle w:val="Heading2"/>
        <w:rPr>
          <w:rFonts w:ascii="Times New Roman" w:hAnsi="Times New Roman" w:cs="Times New Roman"/>
          <w:szCs w:val="24"/>
        </w:rPr>
      </w:pPr>
      <w:bookmarkStart w:id="29" w:name="_Toc29827616"/>
      <w:r w:rsidRPr="0004462F">
        <w:rPr>
          <w:rFonts w:ascii="Times New Roman" w:hAnsi="Times New Roman" w:cs="Times New Roman"/>
          <w:szCs w:val="24"/>
        </w:rPr>
        <w:t>O.A.C. 4901-1-35 Applications for rehearing</w:t>
      </w:r>
      <w:bookmarkEnd w:id="29"/>
    </w:p>
    <w:p w:rsidR="006D52C7" w:rsidRPr="0004462F" w:rsidP="00620F7D" w14:paraId="0B796835" w14:textId="77777777">
      <w:pPr>
        <w:spacing w:line="480" w:lineRule="auto"/>
        <w:ind w:firstLine="720"/>
      </w:pPr>
      <w:r w:rsidRPr="0004462F">
        <w:t>By law, if the PUCO does not rule on an application for rehearing within 30 days, the application for rehearing is deemed denied.</w:t>
      </w:r>
      <w:r>
        <w:rPr>
          <w:rStyle w:val="FootnoteReference"/>
        </w:rPr>
        <w:footnoteReference w:id="20"/>
      </w:r>
      <w:r w:rsidRPr="0004462F">
        <w:t xml:space="preserve"> The PUCO, however, has </w:t>
      </w:r>
      <w:r w:rsidRPr="0004462F" w:rsidR="00035680">
        <w:t xml:space="preserve">long </w:t>
      </w:r>
      <w:r w:rsidRPr="0004462F">
        <w:t xml:space="preserve">taken the position that it can grant an application for rehearing for the limited purpose of giving itself more time to consider it. </w:t>
      </w:r>
      <w:r w:rsidRPr="0004462F" w:rsidR="001F7CA9">
        <w:t xml:space="preserve">It is </w:t>
      </w:r>
      <w:r w:rsidRPr="0004462F">
        <w:t>appreciate</w:t>
      </w:r>
      <w:r w:rsidRPr="0004462F" w:rsidR="001F7CA9">
        <w:t>d</w:t>
      </w:r>
      <w:r w:rsidRPr="0004462F">
        <w:t xml:space="preserve"> that</w:t>
      </w:r>
      <w:r w:rsidRPr="0004462F" w:rsidR="001F7CA9">
        <w:t>,</w:t>
      </w:r>
      <w:r w:rsidRPr="0004462F">
        <w:t xml:space="preserve"> in</w:t>
      </w:r>
      <w:r w:rsidRPr="0004462F" w:rsidR="001F7CA9">
        <w:t xml:space="preserve"> more</w:t>
      </w:r>
      <w:r w:rsidRPr="0004462F">
        <w:t xml:space="preserve"> </w:t>
      </w:r>
      <w:r w:rsidRPr="0004462F" w:rsidR="001F7CA9">
        <w:t>recent months</w:t>
      </w:r>
      <w:r w:rsidRPr="0004462F">
        <w:t xml:space="preserve">, the </w:t>
      </w:r>
      <w:r w:rsidRPr="0004462F" w:rsidR="001F7CA9">
        <w:t xml:space="preserve">PUCO </w:t>
      </w:r>
      <w:r w:rsidRPr="0004462F">
        <w:t>has used this tool less frequently than in the past</w:t>
      </w:r>
      <w:r w:rsidRPr="0004462F" w:rsidR="001F7CA9">
        <w:t>. That is important</w:t>
      </w:r>
      <w:r w:rsidRPr="0004462F">
        <w:t xml:space="preserve"> where delays in ruling on applications for rehearing can delay and even </w:t>
      </w:r>
      <w:r w:rsidRPr="0004462F" w:rsidR="001F7CA9">
        <w:t xml:space="preserve">result in </w:t>
      </w:r>
      <w:r w:rsidRPr="0004462F">
        <w:t>moot</w:t>
      </w:r>
      <w:r w:rsidRPr="0004462F" w:rsidR="001F7CA9">
        <w:t>ness of</w:t>
      </w:r>
      <w:r w:rsidRPr="0004462F">
        <w:t xml:space="preserve"> appeals to the Ohio Supreme Court</w:t>
      </w:r>
      <w:r w:rsidRPr="0004462F" w:rsidR="001F7CA9">
        <w:t xml:space="preserve">, thus denying a party’s </w:t>
      </w:r>
      <w:r w:rsidRPr="0004462F" w:rsidR="00035680">
        <w:t xml:space="preserve">legal </w:t>
      </w:r>
      <w:r w:rsidRPr="0004462F" w:rsidR="001F7CA9">
        <w:t>right to appeal</w:t>
      </w:r>
      <w:r w:rsidRPr="0004462F">
        <w:t>.</w:t>
      </w:r>
    </w:p>
    <w:p w:rsidR="006F308B" w:rsidRPr="0004462F" w:rsidP="006B6696" w14:paraId="4B9F7B57" w14:textId="77777777">
      <w:pPr>
        <w:spacing w:line="480" w:lineRule="auto"/>
        <w:ind w:firstLine="720"/>
      </w:pPr>
      <w:r w:rsidRPr="0004462F">
        <w:t xml:space="preserve">The rule should be modified to provide that the PUCO will rule on applications for rehearing within a specified reasonable amount of time after they are filed so as not to unduly delay a party’s right to appeal. </w:t>
      </w:r>
      <w:r w:rsidRPr="0004462F">
        <w:rPr>
          <w:spacing w:val="-1"/>
          <w:u w:color="000000"/>
        </w:rPr>
        <w:t>This proposal</w:t>
      </w:r>
      <w:r w:rsidRPr="0004462F" w:rsidR="00E9319B">
        <w:rPr>
          <w:spacing w:val="-1"/>
          <w:u w:color="000000"/>
        </w:rPr>
        <w:t xml:space="preserve"> is intended to </w:t>
      </w:r>
      <w:r w:rsidRPr="0004462F" w:rsidR="00E21A16">
        <w:rPr>
          <w:spacing w:val="-1"/>
          <w:u w:color="000000"/>
        </w:rPr>
        <w:t xml:space="preserve">reasonably balance the </w:t>
      </w:r>
      <w:r w:rsidRPr="0004462F">
        <w:rPr>
          <w:spacing w:val="-1"/>
          <w:u w:color="000000"/>
        </w:rPr>
        <w:t>PUCO’s</w:t>
      </w:r>
      <w:r w:rsidRPr="0004462F" w:rsidR="00E21A16">
        <w:rPr>
          <w:spacing w:val="-1"/>
          <w:u w:color="000000"/>
        </w:rPr>
        <w:t xml:space="preserve"> interest in thoroughly reviewing an application for rehearing and a party’s interest in</w:t>
      </w:r>
      <w:r w:rsidRPr="0004462F">
        <w:rPr>
          <w:spacing w:val="-1"/>
          <w:u w:color="000000"/>
        </w:rPr>
        <w:t xml:space="preserve"> obtaining relief and</w:t>
      </w:r>
      <w:r w:rsidRPr="0004462F" w:rsidR="00E21A16">
        <w:rPr>
          <w:spacing w:val="-1"/>
          <w:u w:color="000000"/>
        </w:rPr>
        <w:t xml:space="preserve"> proceeding to appeal, if necessary, in a timely manner.</w:t>
      </w:r>
      <w:r w:rsidRPr="0004462F" w:rsidR="006B6696">
        <w:rPr>
          <w:spacing w:val="-1"/>
          <w:u w:color="000000"/>
        </w:rPr>
        <w:t xml:space="preserve"> </w:t>
      </w:r>
      <w:r w:rsidRPr="0004462F" w:rsidR="00E9319B">
        <w:t>4901-1-35(E)</w:t>
      </w:r>
      <w:r w:rsidRPr="0004462F">
        <w:t xml:space="preserve"> should be revised</w:t>
      </w:r>
      <w:r w:rsidRPr="0004462F" w:rsidR="006B6696">
        <w:t xml:space="preserve"> as follows: </w:t>
      </w:r>
      <w:r w:rsidRPr="0004462F">
        <w:t>“I</w:t>
      </w:r>
      <w:r w:rsidRPr="0004462F">
        <w:rPr>
          <w:rFonts w:eastAsia="Times New Roman"/>
          <w:color w:val="000000"/>
        </w:rPr>
        <w:t xml:space="preserve">f the commission does not grant or deny an application for rehearing within 30 days from the filing thereof, it is denied by operation of law. </w:t>
      </w:r>
      <w:r w:rsidRPr="0004462F">
        <w:rPr>
          <w:spacing w:val="-1"/>
          <w:u w:color="000000"/>
        </w:rPr>
        <w:t>The</w:t>
      </w:r>
      <w:r w:rsidRPr="0004462F">
        <w:rPr>
          <w:u w:color="000000"/>
        </w:rPr>
        <w:t xml:space="preserve"> </w:t>
      </w:r>
      <w:r w:rsidRPr="0004462F">
        <w:rPr>
          <w:spacing w:val="-1"/>
          <w:u w:color="000000"/>
        </w:rPr>
        <w:t>commission</w:t>
      </w:r>
      <w:r w:rsidRPr="0004462F">
        <w:rPr>
          <w:u w:color="000000"/>
        </w:rPr>
        <w:t xml:space="preserve"> </w:t>
      </w:r>
      <w:r w:rsidRPr="0004462F">
        <w:rPr>
          <w:spacing w:val="-1"/>
          <w:u w:color="000000"/>
        </w:rPr>
        <w:t xml:space="preserve">shall not </w:t>
      </w:r>
      <w:r w:rsidRPr="0004462F">
        <w:rPr>
          <w:u w:color="000000"/>
        </w:rPr>
        <w:t xml:space="preserve">grant </w:t>
      </w:r>
      <w:r w:rsidRPr="0004462F">
        <w:rPr>
          <w:spacing w:val="-1"/>
          <w:u w:color="000000"/>
        </w:rPr>
        <w:t>rehearing that delays</w:t>
      </w:r>
      <w:r w:rsidRPr="0004462F">
        <w:rPr>
          <w:u w:color="000000"/>
        </w:rPr>
        <w:t xml:space="preserve"> issuance of a </w:t>
      </w:r>
      <w:r w:rsidRPr="0004462F">
        <w:rPr>
          <w:spacing w:val="-1"/>
          <w:u w:color="000000"/>
        </w:rPr>
        <w:t>final</w:t>
      </w:r>
      <w:r w:rsidRPr="0004462F">
        <w:rPr>
          <w:u w:color="000000"/>
        </w:rPr>
        <w:t xml:space="preserve"> appealable </w:t>
      </w:r>
      <w:r w:rsidRPr="0004462F">
        <w:rPr>
          <w:spacing w:val="-1"/>
          <w:u w:color="000000"/>
        </w:rPr>
        <w:t xml:space="preserve">order in excess of sixty days from the date of the filing of the application for rehearing; unless the delay allows further consideration of the issues for a period in excess of sixty days to schedule a hearing for the taking of additional evidence.” </w:t>
      </w:r>
    </w:p>
    <w:p w:rsidR="0016455A" w:rsidRPr="0004462F" w14:paraId="404B9A63" w14:textId="77777777">
      <w:pPr>
        <w:rPr>
          <w:b/>
          <w:bCs/>
          <w:u w:val="single"/>
        </w:rPr>
      </w:pPr>
    </w:p>
    <w:p w:rsidR="006F308B" w:rsidRPr="0004462F" w:rsidP="00712CE5" w14:paraId="2F6EA361" w14:textId="77777777">
      <w:pPr>
        <w:pStyle w:val="Heading2"/>
        <w:rPr>
          <w:rFonts w:ascii="Times New Roman" w:hAnsi="Times New Roman" w:cs="Times New Roman"/>
          <w:szCs w:val="24"/>
        </w:rPr>
      </w:pPr>
      <w:bookmarkStart w:id="30" w:name="_Toc29827617"/>
      <w:r w:rsidRPr="0004462F">
        <w:rPr>
          <w:rFonts w:ascii="Times New Roman" w:hAnsi="Times New Roman" w:cs="Times New Roman"/>
          <w:szCs w:val="24"/>
        </w:rPr>
        <w:t>New Rule</w:t>
      </w:r>
      <w:r w:rsidRPr="0004462F" w:rsidR="00377F79">
        <w:rPr>
          <w:rFonts w:ascii="Times New Roman" w:hAnsi="Times New Roman" w:cs="Times New Roman"/>
          <w:szCs w:val="24"/>
        </w:rPr>
        <w:t>:</w:t>
      </w:r>
      <w:r w:rsidRPr="0004462F">
        <w:rPr>
          <w:rFonts w:ascii="Times New Roman" w:hAnsi="Times New Roman" w:cs="Times New Roman"/>
          <w:szCs w:val="24"/>
        </w:rPr>
        <w:t xml:space="preserve"> 4901-1-39</w:t>
      </w:r>
      <w:r w:rsidRPr="0004462F" w:rsidR="00377F79">
        <w:rPr>
          <w:rFonts w:ascii="Times New Roman" w:hAnsi="Times New Roman" w:cs="Times New Roman"/>
          <w:szCs w:val="24"/>
        </w:rPr>
        <w:t xml:space="preserve"> Supporting Documentation for Tariff Filings</w:t>
      </w:r>
      <w:bookmarkEnd w:id="30"/>
    </w:p>
    <w:p w:rsidR="006B6696" w:rsidRPr="0004462F" w:rsidP="00620F7D" w14:paraId="427E8ACB" w14:textId="77777777">
      <w:pPr>
        <w:spacing w:line="480" w:lineRule="auto"/>
        <w:ind w:firstLine="720"/>
      </w:pPr>
      <w:r w:rsidRPr="0004462F">
        <w:t>T</w:t>
      </w:r>
      <w:r w:rsidRPr="0004462F" w:rsidR="001819C2">
        <w:t>he PUCO</w:t>
      </w:r>
      <w:r w:rsidRPr="0004462F">
        <w:t xml:space="preserve"> should</w:t>
      </w:r>
      <w:r w:rsidRPr="0004462F" w:rsidR="001819C2">
        <w:t xml:space="preserve"> add a new rule, 4901-1-39</w:t>
      </w:r>
      <w:r w:rsidRPr="0004462F">
        <w:t>,</w:t>
      </w:r>
      <w:r w:rsidRPr="0004462F" w:rsidR="001819C2">
        <w:t xml:space="preserve"> entitled “Supporting Documentation for Tariff Filings.” </w:t>
      </w:r>
      <w:r w:rsidRPr="0004462F">
        <w:t>In many instances, utilities have filed updated tariffs without sufficient supporting documentation. Without sufficient documentation, including workpapers explaining how the rates are calculated, it is impossible for parties to know whether the rates charged to customers are just and reasonable and consistent with PUCO orders.</w:t>
      </w:r>
    </w:p>
    <w:p w:rsidR="001819C2" w:rsidRPr="0004462F" w:rsidP="00620F7D" w14:paraId="0B9F5D53" w14:textId="77777777">
      <w:pPr>
        <w:spacing w:line="480" w:lineRule="auto"/>
        <w:ind w:firstLine="720"/>
      </w:pPr>
      <w:r w:rsidRPr="0004462F">
        <w:t>The rule should apply to two situations. First, following a PUCO order, the utility is typically required to file new tariffs, consistent with the order</w:t>
      </w:r>
      <w:r w:rsidRPr="0004462F" w:rsidR="00AA5B4A">
        <w:t>, and it should provide</w:t>
      </w:r>
      <w:r w:rsidRPr="0004462F" w:rsidR="006B6696">
        <w:t xml:space="preserve"> workpapers demonstrating that the tariffs comply with the order</w:t>
      </w:r>
      <w:r w:rsidRPr="0004462F">
        <w:t>. Often, the new tariff includes a new rate. Second, some electric distribution utility rider tariffs are updated periodically (quarterly, semi-annually, etc.) and automatically approved, subject to a future audit (for example, utilities’ alternative energy riders for renewable mandate compliance).</w:t>
      </w:r>
    </w:p>
    <w:p w:rsidR="006F308B" w:rsidRPr="0004462F" w:rsidP="00620F7D" w14:paraId="7BCBE8E1" w14:textId="77777777">
      <w:pPr>
        <w:spacing w:line="480" w:lineRule="auto"/>
        <w:ind w:firstLine="720"/>
      </w:pPr>
      <w:r w:rsidRPr="0004462F">
        <w:t>The PUCO’s rules should be modified to reflect that when a utility makes such a tariff filing, the utility must also file in the same docket the applicable workpapers showing how the rate is calculated</w:t>
      </w:r>
      <w:r w:rsidRPr="0004462F" w:rsidR="00EC7F48">
        <w:t>, including supporting documentation</w:t>
      </w:r>
      <w:r w:rsidRPr="0004462F">
        <w:t>.</w:t>
      </w:r>
      <w:r w:rsidRPr="0004462F" w:rsidR="00377F79">
        <w:t xml:space="preserve"> If the rate is unchanged from the prior rate</w:t>
      </w:r>
      <w:r w:rsidRPr="0004462F" w:rsidR="008F2DFE">
        <w:t>,</w:t>
      </w:r>
      <w:r w:rsidRPr="0004462F" w:rsidR="00377F79">
        <w:t xml:space="preserve"> the rate is being set to zero,</w:t>
      </w:r>
      <w:r w:rsidRPr="0004462F" w:rsidR="008F2DFE">
        <w:t xml:space="preserve"> or the rate is a flat monthly dollar amount set in the order (for example, where the order says something like, “the residential charge shall be $0.50 per month per customers”)</w:t>
      </w:r>
      <w:r w:rsidRPr="0004462F" w:rsidR="00377F79">
        <w:t xml:space="preserve"> then this rule would not apply. Accordingly, the following rule</w:t>
      </w:r>
      <w:r w:rsidRPr="0004462F" w:rsidR="0083172E">
        <w:t xml:space="preserve"> 4901-1-39</w:t>
      </w:r>
      <w:r w:rsidRPr="0004462F" w:rsidR="00C2055B">
        <w:t xml:space="preserve"> should be adopted</w:t>
      </w:r>
      <w:r w:rsidRPr="0004462F" w:rsidR="00377F79">
        <w:t>:</w:t>
      </w:r>
    </w:p>
    <w:p w:rsidR="00377F79" w:rsidRPr="0004462F" w:rsidP="0016455A" w14:paraId="58B1F4A0" w14:textId="77777777">
      <w:pPr>
        <w:spacing w:line="480" w:lineRule="auto"/>
        <w:ind w:left="1440" w:hanging="720"/>
      </w:pPr>
      <w:bookmarkStart w:id="31" w:name="_Hlk28010172"/>
      <w:r w:rsidRPr="0004462F">
        <w:t>(A) </w:t>
      </w:r>
      <w:r w:rsidRPr="0004462F" w:rsidR="0016455A">
        <w:tab/>
      </w:r>
      <w:r w:rsidRPr="0004462F">
        <w:t>This rule applies to any compliance tariff filed in response to a commission order or any tariff that is filed subject to automatic approval on a periodic basis (quarterly, annually, etc.).</w:t>
      </w:r>
    </w:p>
    <w:p w:rsidR="0083172E" w:rsidRPr="0004462F" w:rsidP="0016455A" w14:paraId="3E0285C0" w14:textId="77777777">
      <w:pPr>
        <w:spacing w:line="480" w:lineRule="auto"/>
        <w:ind w:left="1440" w:hanging="720"/>
      </w:pPr>
      <w:r w:rsidRPr="0004462F">
        <w:t>(B) </w:t>
      </w:r>
      <w:r w:rsidRPr="0004462F" w:rsidR="0016455A">
        <w:tab/>
      </w:r>
      <w:r w:rsidRPr="0004462F">
        <w:t>Any public utility filing a tariff identified in section (A) of this rule shall simultaneously file, in the same docket as the tariff, all documentation supporting the calculation of any rates found in the tariff, including, but not limited to, workpapers explaining in detail how the tariff rate is derived.</w:t>
      </w:r>
    </w:p>
    <w:p w:rsidR="0083172E" w:rsidP="0016455A" w14:paraId="01D1F89C" w14:textId="34B4FAF0">
      <w:pPr>
        <w:spacing w:line="480" w:lineRule="auto"/>
        <w:ind w:left="1440" w:hanging="720"/>
      </w:pPr>
      <w:r w:rsidRPr="0004462F">
        <w:t>(C) </w:t>
      </w:r>
      <w:r w:rsidRPr="0004462F" w:rsidR="0016455A">
        <w:tab/>
      </w:r>
      <w:r w:rsidRPr="0004462F">
        <w:t xml:space="preserve">Section (B) of this rule shall not apply if (i) the rate in the tariff in question has not changed from the previously-approved </w:t>
      </w:r>
      <w:r w:rsidRPr="0004462F" w:rsidR="008F2DFE">
        <w:t>rate and the method for calculating the rate remains the same, (ii) if the rate in the tariff is zero, or (iii) if the rate is a flat monthly charged, approved as a specific dollar amount in the relevant order.</w:t>
      </w:r>
    </w:p>
    <w:p w:rsidR="00FF3078" w:rsidRPr="0004462F" w:rsidP="00FF3078" w14:paraId="1E0B95D7" w14:textId="77777777">
      <w:pPr>
        <w:ind w:left="1440" w:hanging="720"/>
        <w:rPr>
          <w:i/>
          <w:iCs/>
        </w:rPr>
      </w:pPr>
    </w:p>
    <w:p w:rsidR="008E2B12" w:rsidRPr="0004462F" w:rsidP="00F82485" w14:paraId="4D6130BC" w14:textId="77777777">
      <w:pPr>
        <w:pStyle w:val="Heading1"/>
        <w:rPr>
          <w:rFonts w:ascii="Times New Roman" w:hAnsi="Times New Roman" w:cs="Times New Roman"/>
          <w:szCs w:val="24"/>
        </w:rPr>
      </w:pPr>
      <w:bookmarkStart w:id="32" w:name="_Toc25592399"/>
      <w:bookmarkStart w:id="33" w:name="_Toc25592680"/>
      <w:bookmarkStart w:id="34" w:name="_Toc25592801"/>
      <w:bookmarkStart w:id="35" w:name="_Toc25593121"/>
      <w:bookmarkStart w:id="36" w:name="_Toc29827618"/>
      <w:bookmarkEnd w:id="7"/>
      <w:bookmarkEnd w:id="31"/>
      <w:r w:rsidRPr="0004462F">
        <w:rPr>
          <w:rFonts w:ascii="Times New Roman" w:hAnsi="Times New Roman" w:cs="Times New Roman"/>
          <w:szCs w:val="24"/>
        </w:rPr>
        <w:t>II</w:t>
      </w:r>
      <w:r w:rsidRPr="0004462F" w:rsidR="00665656">
        <w:rPr>
          <w:rFonts w:ascii="Times New Roman" w:hAnsi="Times New Roman" w:cs="Times New Roman"/>
          <w:szCs w:val="24"/>
        </w:rPr>
        <w:t>.</w:t>
      </w:r>
      <w:r w:rsidRPr="0004462F" w:rsidR="00665656">
        <w:rPr>
          <w:rFonts w:ascii="Times New Roman" w:hAnsi="Times New Roman" w:cs="Times New Roman"/>
          <w:szCs w:val="24"/>
        </w:rPr>
        <w:tab/>
        <w:t>CONCLUSION</w:t>
      </w:r>
      <w:bookmarkEnd w:id="32"/>
      <w:bookmarkEnd w:id="33"/>
      <w:bookmarkEnd w:id="34"/>
      <w:bookmarkEnd w:id="35"/>
      <w:bookmarkEnd w:id="36"/>
    </w:p>
    <w:p w:rsidR="00F3037C" w:rsidP="00E710B3" w14:paraId="24978353" w14:textId="097727FE">
      <w:pPr>
        <w:spacing w:line="480" w:lineRule="auto"/>
        <w:ind w:firstLine="720"/>
      </w:pPr>
      <w:r w:rsidRPr="0004462F">
        <w:t>This</w:t>
      </w:r>
      <w:r w:rsidRPr="0004462F" w:rsidR="000B39D4">
        <w:t xml:space="preserve"> opportunity to provide comments on the PUCO’s rules</w:t>
      </w:r>
      <w:r w:rsidRPr="0004462F">
        <w:t xml:space="preserve"> of practice is appreciated.</w:t>
      </w:r>
      <w:r w:rsidRPr="0004462F" w:rsidR="000B39D4">
        <w:t xml:space="preserve"> </w:t>
      </w:r>
      <w:r w:rsidRPr="0004462F" w:rsidR="00E01188">
        <w:t>The rules should be modified</w:t>
      </w:r>
      <w:r w:rsidRPr="0004462F">
        <w:t>, as proposed above,</w:t>
      </w:r>
      <w:r w:rsidRPr="0004462F" w:rsidR="00E01188">
        <w:t xml:space="preserve"> to allow greater transparency, fairness, efficiency</w:t>
      </w:r>
      <w:r w:rsidRPr="0004462F">
        <w:t>, and justice</w:t>
      </w:r>
      <w:r w:rsidRPr="0004462F" w:rsidR="00E01188">
        <w:t xml:space="preserve"> in PUCO proceedings where the PUCO decides</w:t>
      </w:r>
      <w:r w:rsidRPr="0004462F">
        <w:t xml:space="preserve"> important issues such as</w:t>
      </w:r>
      <w:r w:rsidRPr="0004462F" w:rsidR="00E01188">
        <w:t xml:space="preserve"> how much </w:t>
      </w:r>
      <w:r w:rsidRPr="0004462F">
        <w:t xml:space="preserve">Ohioans will </w:t>
      </w:r>
      <w:r w:rsidRPr="0004462F" w:rsidR="00E01188">
        <w:t>pay for their utility services.</w:t>
      </w:r>
    </w:p>
    <w:p w:rsidR="0004462F" w:rsidRPr="0004462F" w:rsidP="00E710B3" w14:paraId="44C67D9F" w14:textId="77777777">
      <w:pPr>
        <w:ind w:firstLine="4320"/>
        <w:rPr>
          <w:rFonts w:eastAsia="Times New Roman"/>
        </w:rPr>
        <w:sectPr w:rsidSect="000A45E2">
          <w:headerReference w:type="default" r:id="rId12"/>
          <w:pgSz w:w="12240" w:h="15840"/>
          <w:pgMar w:top="1440" w:right="1800" w:bottom="1440" w:left="1800" w:header="720" w:footer="720" w:gutter="0"/>
          <w:cols w:space="720"/>
          <w:docGrid w:linePitch="360"/>
        </w:sectPr>
      </w:pPr>
    </w:p>
    <w:p w:rsidR="0037304E" w:rsidRPr="0004462F" w:rsidP="00E710B3" w14:paraId="067DF21D" w14:textId="39C13978">
      <w:pPr>
        <w:ind w:firstLine="4320"/>
        <w:rPr>
          <w:rFonts w:eastAsia="Times New Roman"/>
        </w:rPr>
      </w:pPr>
      <w:r w:rsidRPr="0004462F">
        <w:rPr>
          <w:rFonts w:eastAsia="Times New Roman"/>
        </w:rPr>
        <w:t>Respectfully submitted,</w:t>
      </w:r>
    </w:p>
    <w:p w:rsidR="0037304E" w:rsidRPr="0004462F" w:rsidP="00E710B3" w14:paraId="28BE05F9" w14:textId="77777777">
      <w:pPr>
        <w:ind w:firstLine="4320"/>
      </w:pPr>
    </w:p>
    <w:p w:rsidR="00665656" w:rsidRPr="0004462F" w:rsidP="00E710B3" w14:paraId="1CF7E738" w14:textId="77777777">
      <w:pPr>
        <w:pStyle w:val="BodyTextIndent3"/>
        <w:spacing w:after="0"/>
        <w:ind w:left="3600" w:right="-312" w:firstLine="720"/>
        <w:rPr>
          <w:sz w:val="24"/>
          <w:szCs w:val="24"/>
        </w:rPr>
      </w:pPr>
      <w:r w:rsidRPr="0004462F">
        <w:rPr>
          <w:sz w:val="24"/>
          <w:szCs w:val="24"/>
        </w:rPr>
        <w:t>Bruce Weston (0016973)</w:t>
      </w:r>
    </w:p>
    <w:p w:rsidR="00665656" w:rsidRPr="0004462F" w:rsidP="00E710B3" w14:paraId="6D6E06F0" w14:textId="77777777">
      <w:pPr>
        <w:tabs>
          <w:tab w:val="left" w:pos="4320"/>
        </w:tabs>
      </w:pPr>
      <w:r w:rsidRPr="0004462F">
        <w:tab/>
        <w:t>Ohio Consumers’ Counsel</w:t>
      </w:r>
    </w:p>
    <w:p w:rsidR="00665656" w:rsidRPr="0004462F" w:rsidP="00E710B3" w14:paraId="310D1CD9" w14:textId="77777777">
      <w:pPr>
        <w:tabs>
          <w:tab w:val="left" w:pos="4320"/>
        </w:tabs>
      </w:pPr>
      <w:r w:rsidRPr="0004462F">
        <w:tab/>
      </w:r>
    </w:p>
    <w:p w:rsidR="00665656" w:rsidRPr="0004462F" w:rsidP="00E710B3" w14:paraId="5F188DD1" w14:textId="77777777">
      <w:pPr>
        <w:tabs>
          <w:tab w:val="left" w:pos="4320"/>
        </w:tabs>
        <w:rPr>
          <w:i/>
          <w:iCs/>
          <w:u w:val="single"/>
        </w:rPr>
      </w:pPr>
      <w:r w:rsidRPr="0004462F">
        <w:tab/>
      </w:r>
      <w:r w:rsidRPr="0004462F">
        <w:rPr>
          <w:i/>
          <w:iCs/>
          <w:u w:val="single"/>
        </w:rPr>
        <w:t>/s/ Maureen R. Willis</w:t>
      </w:r>
      <w:r w:rsidRPr="0004462F" w:rsidR="000F2CE0">
        <w:rPr>
          <w:i/>
          <w:iCs/>
          <w:u w:val="single"/>
        </w:rPr>
        <w:tab/>
      </w:r>
      <w:r w:rsidRPr="0004462F" w:rsidR="000F2CE0">
        <w:rPr>
          <w:i/>
          <w:iCs/>
          <w:u w:val="single"/>
        </w:rPr>
        <w:tab/>
      </w:r>
      <w:r w:rsidRPr="0004462F" w:rsidR="000F2CE0">
        <w:rPr>
          <w:i/>
          <w:iCs/>
          <w:u w:val="single"/>
        </w:rPr>
        <w:tab/>
      </w:r>
      <w:r w:rsidRPr="0004462F" w:rsidR="000F2CE0">
        <w:rPr>
          <w:i/>
          <w:iCs/>
          <w:u w:val="single"/>
        </w:rPr>
        <w:tab/>
      </w:r>
    </w:p>
    <w:p w:rsidR="00665656" w:rsidRPr="0004462F" w:rsidP="00E710B3" w14:paraId="4C0574B9" w14:textId="77777777">
      <w:pPr>
        <w:tabs>
          <w:tab w:val="left" w:pos="4320"/>
        </w:tabs>
      </w:pPr>
      <w:r w:rsidRPr="0004462F">
        <w:tab/>
        <w:t>Maureen R. Willis (0020847)</w:t>
      </w:r>
      <w:r w:rsidRPr="0004462F">
        <w:tab/>
      </w:r>
    </w:p>
    <w:p w:rsidR="00665656" w:rsidRPr="0004462F" w:rsidP="00E710B3" w14:paraId="085BC955" w14:textId="77777777">
      <w:pPr>
        <w:tabs>
          <w:tab w:val="left" w:pos="4320"/>
        </w:tabs>
      </w:pPr>
      <w:r w:rsidRPr="0004462F">
        <w:tab/>
        <w:t>Senior Counsel</w:t>
      </w:r>
    </w:p>
    <w:p w:rsidR="00665656" w:rsidRPr="0004462F" w:rsidP="00E710B3" w14:paraId="4447797A" w14:textId="77777777">
      <w:pPr>
        <w:tabs>
          <w:tab w:val="left" w:pos="4320"/>
        </w:tabs>
      </w:pPr>
      <w:r w:rsidRPr="0004462F">
        <w:tab/>
        <w:t>Counsel of Record</w:t>
      </w:r>
    </w:p>
    <w:p w:rsidR="00665656" w:rsidRPr="0004462F" w:rsidP="00E710B3" w14:paraId="050C0E9F" w14:textId="77777777">
      <w:pPr>
        <w:tabs>
          <w:tab w:val="left" w:pos="4320"/>
        </w:tabs>
      </w:pPr>
      <w:r w:rsidRPr="0004462F">
        <w:tab/>
        <w:t>Christopher Healey (0086027)</w:t>
      </w:r>
      <w:r w:rsidRPr="0004462F">
        <w:tab/>
      </w:r>
    </w:p>
    <w:p w:rsidR="00665656" w:rsidRPr="0004462F" w:rsidP="00E710B3" w14:paraId="3A99A04F" w14:textId="77777777">
      <w:pPr>
        <w:tabs>
          <w:tab w:val="left" w:pos="4320"/>
        </w:tabs>
      </w:pPr>
      <w:r w:rsidRPr="0004462F">
        <w:tab/>
        <w:t>Assistant Consumers’ Counsel</w:t>
      </w:r>
    </w:p>
    <w:p w:rsidR="00665656" w:rsidRPr="0004462F" w:rsidP="00E710B3" w14:paraId="32A7D988" w14:textId="77777777">
      <w:pPr>
        <w:ind w:left="4320"/>
        <w:rPr>
          <w:b/>
        </w:rPr>
      </w:pPr>
    </w:p>
    <w:p w:rsidR="00665656" w:rsidRPr="0004462F" w:rsidP="00E710B3" w14:paraId="6C510048" w14:textId="77777777">
      <w:pPr>
        <w:ind w:left="4320"/>
        <w:rPr>
          <w:b/>
        </w:rPr>
      </w:pPr>
      <w:r w:rsidRPr="0004462F">
        <w:rPr>
          <w:b/>
        </w:rPr>
        <w:t>Office of the Ohio Consumers’ Counsel</w:t>
      </w:r>
    </w:p>
    <w:p w:rsidR="00665656" w:rsidRPr="0004462F" w:rsidP="00E710B3" w14:paraId="7A84CE1A" w14:textId="77777777">
      <w:pPr>
        <w:ind w:left="4320"/>
      </w:pPr>
      <w:r w:rsidRPr="0004462F">
        <w:t>65 East State Street, 7th Floor</w:t>
      </w:r>
    </w:p>
    <w:p w:rsidR="00665656" w:rsidRPr="0004462F" w:rsidP="00E710B3" w14:paraId="53E3B6B4" w14:textId="77777777">
      <w:pPr>
        <w:ind w:left="4320"/>
      </w:pPr>
      <w:r w:rsidRPr="0004462F">
        <w:t>Columbus, Ohio 43215</w:t>
      </w:r>
    </w:p>
    <w:p w:rsidR="00665656" w:rsidRPr="0004462F" w:rsidP="00E710B3" w14:paraId="61E4E996" w14:textId="77777777">
      <w:pPr>
        <w:autoSpaceDE w:val="0"/>
        <w:autoSpaceDN w:val="0"/>
        <w:adjustRightInd w:val="0"/>
        <w:ind w:left="4320"/>
      </w:pPr>
      <w:r w:rsidRPr="0004462F">
        <w:t>Telephone: [Willis] (614) 466-9567</w:t>
      </w:r>
    </w:p>
    <w:p w:rsidR="00665656" w:rsidRPr="0004462F" w:rsidP="00E710B3" w14:paraId="25E2034C" w14:textId="77777777">
      <w:pPr>
        <w:autoSpaceDE w:val="0"/>
        <w:autoSpaceDN w:val="0"/>
        <w:adjustRightInd w:val="0"/>
        <w:ind w:left="3600" w:firstLine="720"/>
      </w:pPr>
      <w:r w:rsidRPr="0004462F">
        <w:t>Telephone [Healey]: (614) 466-9571</w:t>
      </w:r>
    </w:p>
    <w:p w:rsidR="00665656" w:rsidRPr="0004462F" w:rsidP="00E710B3" w14:paraId="6AA55259" w14:textId="77777777">
      <w:pPr>
        <w:autoSpaceDE w:val="0"/>
        <w:autoSpaceDN w:val="0"/>
        <w:adjustRightInd w:val="0"/>
        <w:ind w:left="3600" w:firstLine="720"/>
        <w:rPr>
          <w:color w:val="0000FF"/>
          <w:u w:val="single"/>
        </w:rPr>
      </w:pPr>
      <w:hyperlink r:id="rId6" w:history="1">
        <w:r w:rsidRPr="0004462F" w:rsidR="005D3CC6">
          <w:rPr>
            <w:color w:val="0000FF"/>
            <w:u w:val="single"/>
          </w:rPr>
          <w:t>maureen.willis@occ.ohio.gov</w:t>
        </w:r>
      </w:hyperlink>
    </w:p>
    <w:p w:rsidR="00665656" w:rsidRPr="0004462F" w:rsidP="00E710B3" w14:paraId="63551512" w14:textId="77777777">
      <w:pPr>
        <w:autoSpaceDE w:val="0"/>
        <w:autoSpaceDN w:val="0"/>
        <w:adjustRightInd w:val="0"/>
        <w:ind w:left="3600" w:firstLine="720"/>
      </w:pPr>
      <w:hyperlink r:id="rId13" w:history="1">
        <w:r w:rsidRPr="0004462F" w:rsidR="005D3CC6">
          <w:rPr>
            <w:color w:val="0000FF"/>
            <w:u w:val="single"/>
          </w:rPr>
          <w:t>christopher.healey@occ.ohio.gov</w:t>
        </w:r>
      </w:hyperlink>
    </w:p>
    <w:p w:rsidR="00665656" w:rsidP="00E710B3" w14:paraId="52162D3A" w14:textId="0536E9B5">
      <w:r w:rsidRPr="0004462F">
        <w:tab/>
      </w:r>
      <w:r w:rsidRPr="0004462F">
        <w:tab/>
      </w:r>
      <w:r w:rsidRPr="0004462F">
        <w:tab/>
      </w:r>
      <w:r w:rsidRPr="0004462F">
        <w:tab/>
      </w:r>
      <w:r w:rsidRPr="0004462F">
        <w:tab/>
      </w:r>
      <w:r w:rsidRPr="0004462F">
        <w:tab/>
        <w:t>(</w:t>
      </w:r>
      <w:r w:rsidR="00FF3078">
        <w:t>W</w:t>
      </w:r>
      <w:r w:rsidRPr="0004462F">
        <w:t>illing to accept service by e-mail)</w:t>
      </w:r>
    </w:p>
    <w:p w:rsidR="005D3CC6" w:rsidRPr="0004462F" w:rsidP="00E710B3" w14:paraId="26B06832" w14:textId="77777777"/>
    <w:p w:rsidR="0004462F" w:rsidP="00E710B3" w14:paraId="6468A6E5" w14:textId="1C749BC7"/>
    <w:p w:rsidR="005D3CC6" w:rsidRPr="005D3CC6" w:rsidP="00E710B3" w14:paraId="4088D3A5" w14:textId="72D2348D">
      <w:pPr>
        <w:rPr>
          <w:i/>
          <w:u w:val="single"/>
        </w:rPr>
      </w:pPr>
      <w:r>
        <w:tab/>
      </w:r>
      <w:r>
        <w:tab/>
      </w:r>
      <w:r>
        <w:tab/>
      </w:r>
      <w:r>
        <w:tab/>
      </w:r>
      <w:r>
        <w:tab/>
      </w:r>
      <w:r>
        <w:tab/>
      </w:r>
      <w:r>
        <w:rPr>
          <w:i/>
          <w:u w:val="single"/>
        </w:rPr>
        <w:t>/s/ Thomas R. Hays</w:t>
      </w:r>
    </w:p>
    <w:p w:rsidR="0004462F" w:rsidRPr="0004462F" w:rsidP="0004462F" w14:paraId="0DCE0C1D" w14:textId="3D448FE5">
      <w:pPr>
        <w:autoSpaceDE w:val="0"/>
        <w:autoSpaceDN w:val="0"/>
        <w:ind w:left="4320"/>
        <w:rPr>
          <w:color w:val="000000"/>
        </w:rPr>
      </w:pPr>
      <w:r w:rsidRPr="0004462F">
        <w:rPr>
          <w:color w:val="000000"/>
        </w:rPr>
        <w:t>Thomas R. Hays,</w:t>
      </w:r>
    </w:p>
    <w:p w:rsidR="0004462F" w:rsidRPr="0004462F" w:rsidP="0004462F" w14:paraId="34B375B9" w14:textId="77777777">
      <w:pPr>
        <w:autoSpaceDE w:val="0"/>
        <w:autoSpaceDN w:val="0"/>
        <w:ind w:left="4320"/>
        <w:rPr>
          <w:color w:val="000000"/>
        </w:rPr>
      </w:pPr>
      <w:r w:rsidRPr="0004462F">
        <w:rPr>
          <w:color w:val="000000"/>
        </w:rPr>
        <w:t>Counsel for Lucas County (0054062)</w:t>
      </w:r>
    </w:p>
    <w:p w:rsidR="0004462F" w:rsidRPr="0004462F" w:rsidP="0004462F" w14:paraId="63B81518" w14:textId="77777777">
      <w:pPr>
        <w:autoSpaceDE w:val="0"/>
        <w:autoSpaceDN w:val="0"/>
        <w:ind w:left="4320"/>
        <w:rPr>
          <w:color w:val="000000"/>
        </w:rPr>
      </w:pPr>
      <w:r w:rsidRPr="0004462F">
        <w:rPr>
          <w:color w:val="000000"/>
        </w:rPr>
        <w:t>8355 Island Lane</w:t>
      </w:r>
    </w:p>
    <w:p w:rsidR="0004462F" w:rsidRPr="0004462F" w:rsidP="0004462F" w14:paraId="280E2039" w14:textId="77777777">
      <w:pPr>
        <w:autoSpaceDE w:val="0"/>
        <w:autoSpaceDN w:val="0"/>
        <w:ind w:left="4320"/>
        <w:rPr>
          <w:color w:val="000000"/>
        </w:rPr>
      </w:pPr>
      <w:r w:rsidRPr="0004462F">
        <w:rPr>
          <w:color w:val="000000"/>
        </w:rPr>
        <w:t>Maineville, OH 45039</w:t>
      </w:r>
    </w:p>
    <w:p w:rsidR="0004462F" w:rsidRPr="0004462F" w:rsidP="0004462F" w14:paraId="40F6F0C4" w14:textId="77777777">
      <w:pPr>
        <w:autoSpaceDE w:val="0"/>
        <w:autoSpaceDN w:val="0"/>
        <w:ind w:left="4320"/>
        <w:rPr>
          <w:color w:val="000000"/>
        </w:rPr>
      </w:pPr>
      <w:r w:rsidRPr="0004462F">
        <w:rPr>
          <w:color w:val="000000"/>
        </w:rPr>
        <w:t>419-410-7069</w:t>
      </w:r>
    </w:p>
    <w:p w:rsidR="0004462F" w:rsidRPr="0004462F" w:rsidP="0004462F" w14:paraId="5C7F62AC" w14:textId="77777777">
      <w:pPr>
        <w:pStyle w:val="BodyTextIndent3"/>
        <w:spacing w:after="0"/>
        <w:ind w:left="4320"/>
        <w:jc w:val="both"/>
        <w:rPr>
          <w:sz w:val="24"/>
          <w:szCs w:val="24"/>
        </w:rPr>
      </w:pPr>
      <w:hyperlink r:id="rId7" w:history="1">
        <w:r w:rsidRPr="0004462F" w:rsidR="005D3CC6">
          <w:rPr>
            <w:rStyle w:val="Hyperlink"/>
            <w:sz w:val="24"/>
            <w:szCs w:val="24"/>
          </w:rPr>
          <w:t>trhayslaw@gmail.com</w:t>
        </w:r>
      </w:hyperlink>
    </w:p>
    <w:p w:rsidR="0004462F" w:rsidRPr="0004462F" w:rsidP="0004462F" w14:paraId="1DF947AA" w14:textId="77777777">
      <w:pPr>
        <w:ind w:left="4320"/>
      </w:pPr>
      <w:r w:rsidRPr="0004462F">
        <w:t>(Willing to accept service by e-mail)</w:t>
      </w:r>
    </w:p>
    <w:p w:rsidR="0004462F" w:rsidRPr="0004462F" w:rsidP="0004462F" w14:paraId="7F3EFCCD" w14:textId="77777777">
      <w:pPr>
        <w:autoSpaceDE w:val="0"/>
        <w:autoSpaceDN w:val="0"/>
        <w:ind w:left="4320"/>
        <w:rPr>
          <w:i/>
          <w:iCs/>
          <w:color w:val="000000"/>
        </w:rPr>
      </w:pPr>
    </w:p>
    <w:p w:rsidR="0004462F" w:rsidRPr="0004462F" w:rsidP="0004462F" w14:paraId="2E753F95" w14:textId="77777777">
      <w:pPr>
        <w:autoSpaceDE w:val="0"/>
        <w:autoSpaceDN w:val="0"/>
        <w:ind w:left="4320"/>
        <w:rPr>
          <w:i/>
          <w:iCs/>
          <w:color w:val="000000"/>
        </w:rPr>
      </w:pPr>
      <w:r w:rsidRPr="0004462F">
        <w:rPr>
          <w:i/>
          <w:iCs/>
          <w:color w:val="000000"/>
        </w:rPr>
        <w:t>Attorney for The Northwest Ohio</w:t>
      </w:r>
    </w:p>
    <w:p w:rsidR="0004462F" w:rsidRPr="0004462F" w:rsidP="0004462F" w14:paraId="6314FB63" w14:textId="0E306139">
      <w:pPr>
        <w:pStyle w:val="BodyTextIndent3"/>
        <w:spacing w:line="480" w:lineRule="auto"/>
        <w:jc w:val="both"/>
        <w:rPr>
          <w:i/>
          <w:iCs/>
          <w:color w:val="000000"/>
          <w:sz w:val="24"/>
          <w:szCs w:val="24"/>
        </w:rPr>
      </w:pPr>
      <w:r w:rsidRPr="0004462F">
        <w:rPr>
          <w:i/>
          <w:iCs/>
          <w:color w:val="000000"/>
          <w:sz w:val="24"/>
          <w:szCs w:val="24"/>
        </w:rPr>
        <w:tab/>
      </w:r>
      <w:r w:rsidRPr="0004462F">
        <w:rPr>
          <w:i/>
          <w:iCs/>
          <w:color w:val="000000"/>
          <w:sz w:val="24"/>
          <w:szCs w:val="24"/>
        </w:rPr>
        <w:tab/>
      </w:r>
      <w:r w:rsidRPr="0004462F">
        <w:rPr>
          <w:i/>
          <w:iCs/>
          <w:color w:val="000000"/>
          <w:sz w:val="24"/>
          <w:szCs w:val="24"/>
        </w:rPr>
        <w:tab/>
      </w:r>
      <w:r w:rsidRPr="0004462F">
        <w:rPr>
          <w:i/>
          <w:iCs/>
          <w:color w:val="000000"/>
          <w:sz w:val="24"/>
          <w:szCs w:val="24"/>
        </w:rPr>
        <w:tab/>
      </w:r>
      <w:r w:rsidRPr="0004462F">
        <w:rPr>
          <w:i/>
          <w:iCs/>
          <w:color w:val="000000"/>
          <w:sz w:val="24"/>
          <w:szCs w:val="24"/>
        </w:rPr>
        <w:tab/>
      </w:r>
      <w:r w:rsidRPr="0004462F">
        <w:rPr>
          <w:i/>
          <w:iCs/>
          <w:color w:val="000000"/>
          <w:sz w:val="24"/>
          <w:szCs w:val="24"/>
        </w:rPr>
        <w:tab/>
        <w:t>Aggregation Coalition</w:t>
      </w:r>
    </w:p>
    <w:p w:rsidR="0037304E" w:rsidRPr="0004462F" w:rsidP="00E710B3" w14:paraId="37D1F42B" w14:textId="77777777">
      <w:pPr>
        <w:ind w:firstLine="4320"/>
      </w:pPr>
    </w:p>
    <w:p w:rsidR="0004462F" w:rsidRPr="0004462F" w:rsidP="00E710B3" w14:paraId="66DCD4D9" w14:textId="77777777">
      <w:pPr>
        <w:jc w:val="center"/>
        <w:rPr>
          <w:rFonts w:eastAsiaTheme="minorEastAsia"/>
          <w:b/>
          <w:u w:val="single"/>
        </w:rPr>
        <w:sectPr w:rsidSect="0004462F">
          <w:pgSz w:w="12240" w:h="15840"/>
          <w:pgMar w:top="1440" w:right="1800" w:bottom="1440" w:left="1800" w:header="720" w:footer="720" w:gutter="0"/>
          <w:cols w:space="720"/>
          <w:docGrid w:linePitch="360"/>
        </w:sectPr>
      </w:pPr>
    </w:p>
    <w:p w:rsidR="00F02B94" w:rsidRPr="0004462F" w:rsidP="00E710B3" w14:paraId="0C90F742" w14:textId="0A512A9F">
      <w:pPr>
        <w:jc w:val="center"/>
        <w:rPr>
          <w:rFonts w:eastAsiaTheme="minorEastAsia"/>
          <w:b/>
          <w:u w:val="single"/>
        </w:rPr>
      </w:pPr>
      <w:r w:rsidRPr="0004462F">
        <w:rPr>
          <w:rFonts w:eastAsiaTheme="minorEastAsia"/>
          <w:b/>
          <w:u w:val="single"/>
        </w:rPr>
        <w:t>CERTIFICATE OF SERVICE</w:t>
      </w:r>
    </w:p>
    <w:p w:rsidR="00F02B94" w:rsidRPr="0004462F" w:rsidP="00E710B3" w14:paraId="306A4617" w14:textId="77777777">
      <w:pPr>
        <w:jc w:val="center"/>
        <w:rPr>
          <w:rFonts w:eastAsiaTheme="minorEastAsia"/>
          <w:b/>
          <w:u w:val="single"/>
        </w:rPr>
      </w:pPr>
    </w:p>
    <w:p w:rsidR="00F02B94" w:rsidRPr="0004462F" w:rsidP="00E710B3" w14:paraId="780FB326" w14:textId="77777777">
      <w:pPr>
        <w:spacing w:line="360" w:lineRule="auto"/>
        <w:ind w:firstLine="720"/>
        <w:rPr>
          <w:rFonts w:eastAsiaTheme="minorEastAsia"/>
        </w:rPr>
      </w:pPr>
      <w:r w:rsidRPr="0004462F">
        <w:rPr>
          <w:rFonts w:eastAsiaTheme="minorEastAsia"/>
        </w:rPr>
        <w:t xml:space="preserve">I hereby certify that a copy of the foregoing Comments was served on the persons stated below via electronic transmission, this </w:t>
      </w:r>
      <w:r w:rsidRPr="0004462F" w:rsidR="001A760B">
        <w:rPr>
          <w:rFonts w:eastAsiaTheme="minorEastAsia"/>
        </w:rPr>
        <w:t>1</w:t>
      </w:r>
      <w:r w:rsidRPr="0004462F">
        <w:rPr>
          <w:rFonts w:eastAsiaTheme="minorEastAsia"/>
        </w:rPr>
        <w:t>3</w:t>
      </w:r>
      <w:r w:rsidRPr="0004462F" w:rsidR="006B6696">
        <w:rPr>
          <w:rFonts w:eastAsiaTheme="minorEastAsia"/>
        </w:rPr>
        <w:t>th</w:t>
      </w:r>
      <w:r w:rsidRPr="0004462F">
        <w:rPr>
          <w:rFonts w:eastAsiaTheme="minorEastAsia"/>
        </w:rPr>
        <w:t xml:space="preserve"> day of January 2020.</w:t>
      </w:r>
    </w:p>
    <w:p w:rsidR="00F02B94" w:rsidRPr="0004462F" w:rsidP="00E710B3" w14:paraId="0D58ADFF" w14:textId="77777777">
      <w:pPr>
        <w:spacing w:line="360" w:lineRule="auto"/>
        <w:ind w:firstLine="720"/>
        <w:rPr>
          <w:rFonts w:eastAsiaTheme="minorEastAsia"/>
        </w:rPr>
      </w:pPr>
    </w:p>
    <w:p w:rsidR="00F02B94" w:rsidRPr="0004462F" w:rsidP="00E710B3" w14:paraId="1E17C669" w14:textId="77777777">
      <w:pPr>
        <w:ind w:firstLine="720"/>
        <w:rPr>
          <w:rFonts w:eastAsiaTheme="minorEastAsia"/>
        </w:rPr>
      </w:pP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r>
      <w:r w:rsidRPr="00FF3078">
        <w:rPr>
          <w:rFonts w:eastAsiaTheme="minorEastAsia"/>
          <w:i/>
          <w:u w:val="single"/>
        </w:rPr>
        <w:t>/s/</w:t>
      </w:r>
      <w:r w:rsidRPr="0004462F">
        <w:rPr>
          <w:rFonts w:eastAsiaTheme="minorEastAsia"/>
          <w:u w:val="single"/>
        </w:rPr>
        <w:t xml:space="preserve"> </w:t>
      </w:r>
      <w:r w:rsidRPr="0004462F">
        <w:rPr>
          <w:rFonts w:eastAsiaTheme="minorEastAsia"/>
          <w:i/>
          <w:u w:val="single"/>
        </w:rPr>
        <w:t>Maureen R. Willis</w:t>
      </w:r>
      <w:r w:rsidRPr="0004462F">
        <w:rPr>
          <w:rFonts w:eastAsiaTheme="minorEastAsia"/>
        </w:rPr>
        <w:t>______</w:t>
      </w:r>
    </w:p>
    <w:p w:rsidR="00F02B94" w:rsidRPr="0004462F" w:rsidP="00E710B3" w14:paraId="11237B85" w14:textId="77777777">
      <w:pPr>
        <w:ind w:firstLine="720"/>
        <w:rPr>
          <w:rFonts w:eastAsiaTheme="minorEastAsia"/>
        </w:rPr>
      </w:pP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t>Maureen R. Willis</w:t>
      </w:r>
    </w:p>
    <w:p w:rsidR="00F02B94" w:rsidRPr="0004462F" w:rsidP="00E710B3" w14:paraId="19465AD6" w14:textId="77777777">
      <w:pPr>
        <w:ind w:firstLine="720"/>
        <w:rPr>
          <w:rFonts w:eastAsiaTheme="minorEastAsia"/>
        </w:rPr>
      </w:pP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r>
      <w:r w:rsidRPr="0004462F">
        <w:rPr>
          <w:rFonts w:eastAsiaTheme="minorEastAsia"/>
        </w:rPr>
        <w:tab/>
        <w:t>Assistant Consumers' Counsel</w:t>
      </w:r>
    </w:p>
    <w:p w:rsidR="00F02B94" w:rsidRPr="0004462F" w:rsidP="00E710B3" w14:paraId="3B177C17" w14:textId="77777777">
      <w:pPr>
        <w:jc w:val="center"/>
        <w:rPr>
          <w:b/>
          <w:u w:val="single"/>
        </w:rPr>
      </w:pPr>
    </w:p>
    <w:p w:rsidR="000A35CA" w:rsidRPr="0004462F" w:rsidP="00E710B3" w14:paraId="0F00489D" w14:textId="77777777">
      <w:r w:rsidRPr="0004462F">
        <w:t>The PUCO’s e-filing system will electronically serve notice of the filing of this document on the following parties:</w:t>
      </w:r>
    </w:p>
    <w:p w:rsidR="00665656" w:rsidRPr="0004462F" w:rsidP="00E710B3" w14:paraId="18EE62BD" w14:textId="77777777">
      <w:pPr>
        <w:jc w:val="center"/>
        <w:rPr>
          <w:rFonts w:eastAsia="Times New Roman"/>
          <w:b/>
          <w:u w:val="single"/>
        </w:rPr>
      </w:pPr>
    </w:p>
    <w:p w:rsidR="000A35CA" w:rsidRPr="0004462F" w:rsidP="00E710B3" w14:paraId="0C4EACE1" w14:textId="77777777">
      <w:pPr>
        <w:jc w:val="center"/>
        <w:rPr>
          <w:rFonts w:eastAsia="Times New Roman"/>
          <w:b/>
          <w:u w:val="single"/>
        </w:rPr>
      </w:pPr>
      <w:r w:rsidRPr="0004462F">
        <w:rPr>
          <w:rFonts w:eastAsia="Times New Roman"/>
          <w:b/>
          <w:u w:val="single"/>
        </w:rPr>
        <w:t>SERVICE LIST</w:t>
      </w:r>
    </w:p>
    <w:p w:rsidR="00665656" w:rsidRPr="0004462F" w:rsidP="00E710B3" w14:paraId="414ADA67" w14:textId="77777777">
      <w:pPr>
        <w:jc w:val="center"/>
        <w:rPr>
          <w:rFonts w:eastAsia="Times New Roman"/>
          <w:b/>
          <w:u w:val="single"/>
        </w:rPr>
      </w:pPr>
    </w:p>
    <w:p w:rsidR="008C5061" w:rsidP="008C5061" w14:paraId="791D46D2" w14:textId="77777777">
      <w:pPr>
        <w:autoSpaceDE w:val="0"/>
        <w:autoSpaceDN w:val="0"/>
        <w:adjustRightInd w:val="0"/>
        <w:rPr>
          <w:color w:val="0000FF"/>
        </w:rPr>
      </w:pPr>
      <w:hyperlink r:id="rId14" w:history="1">
        <w:r w:rsidRPr="00BE72A8" w:rsidR="005D3CC6">
          <w:rPr>
            <w:rStyle w:val="Hyperlink"/>
          </w:rPr>
          <w:t>John.jones@ohioattorneygeneral.gov</w:t>
        </w:r>
      </w:hyperlink>
    </w:p>
    <w:p w:rsidR="008C5061" w:rsidP="008C5061" w14:paraId="7332D927" w14:textId="77777777">
      <w:pPr>
        <w:autoSpaceDE w:val="0"/>
        <w:autoSpaceDN w:val="0"/>
        <w:adjustRightInd w:val="0"/>
        <w:rPr>
          <w:color w:val="0000FF"/>
        </w:rPr>
      </w:pPr>
      <w:hyperlink r:id="rId15" w:history="1">
        <w:r w:rsidRPr="00BE72A8" w:rsidR="005D3CC6">
          <w:rPr>
            <w:rStyle w:val="Hyperlink"/>
          </w:rPr>
          <w:t>cendsley@ofbf.org</w:t>
        </w:r>
      </w:hyperlink>
    </w:p>
    <w:p w:rsidR="008C5061" w:rsidP="008C5061" w14:paraId="00C1988B" w14:textId="77777777">
      <w:pPr>
        <w:autoSpaceDE w:val="0"/>
        <w:autoSpaceDN w:val="0"/>
        <w:adjustRightInd w:val="0"/>
        <w:rPr>
          <w:color w:val="0000FF"/>
        </w:rPr>
      </w:pPr>
      <w:hyperlink r:id="rId16" w:history="1">
        <w:r w:rsidRPr="00BE72A8" w:rsidR="005D3CC6">
          <w:rPr>
            <w:rStyle w:val="Hyperlink"/>
          </w:rPr>
          <w:t>lcurtis@ofbf.org</w:t>
        </w:r>
      </w:hyperlink>
    </w:p>
    <w:p w:rsidR="008C5061" w:rsidP="008C5061" w14:paraId="1E05CB37" w14:textId="77777777">
      <w:pPr>
        <w:rPr>
          <w:color w:val="0000FF"/>
        </w:rPr>
      </w:pPr>
      <w:hyperlink r:id="rId17" w:history="1">
        <w:r w:rsidRPr="00BE72A8" w:rsidR="005D3CC6">
          <w:rPr>
            <w:rStyle w:val="Hyperlink"/>
          </w:rPr>
          <w:t>amilam@ofbf.org</w:t>
        </w:r>
      </w:hyperlink>
    </w:p>
    <w:p w:rsidR="008C5061" w:rsidP="008C5061" w14:paraId="5F51B1BB" w14:textId="77777777">
      <w:pPr>
        <w:autoSpaceDE w:val="0"/>
        <w:autoSpaceDN w:val="0"/>
        <w:adjustRightInd w:val="0"/>
        <w:rPr>
          <w:color w:val="0563C2"/>
        </w:rPr>
      </w:pPr>
      <w:hyperlink r:id="rId18" w:history="1">
        <w:r w:rsidRPr="00BE72A8" w:rsidR="005D3CC6">
          <w:rPr>
            <w:rStyle w:val="Hyperlink"/>
          </w:rPr>
          <w:t>Fdarr2019@gmail.com</w:t>
        </w:r>
      </w:hyperlink>
    </w:p>
    <w:p w:rsidR="008C5061" w:rsidP="008C5061" w14:paraId="5C1C337A" w14:textId="77777777">
      <w:pPr>
        <w:autoSpaceDE w:val="0"/>
        <w:autoSpaceDN w:val="0"/>
        <w:adjustRightInd w:val="0"/>
        <w:rPr>
          <w:rFonts w:ascii="TimesNewRomanPSMT" w:hAnsi="TimesNewRomanPSMT" w:cs="TimesNewRomanPSMT"/>
          <w:color w:val="0000FF"/>
        </w:rPr>
      </w:pPr>
      <w:hyperlink r:id="rId19" w:history="1">
        <w:r w:rsidRPr="00BE72A8" w:rsidR="005D3CC6">
          <w:rPr>
            <w:rStyle w:val="Hyperlink"/>
            <w:rFonts w:ascii="TimesNewRomanPSMT" w:hAnsi="TimesNewRomanPSMT" w:cs="TimesNewRomanPSMT"/>
          </w:rPr>
          <w:t>edanford@firstenergycorp.com</w:t>
        </w:r>
      </w:hyperlink>
    </w:p>
    <w:p w:rsidR="008C5061" w:rsidRPr="0004462F" w:rsidP="008C5061" w14:paraId="40EFBE11" w14:textId="77777777"/>
    <w:p w:rsidR="008C5061" w:rsidRPr="0004462F" w:rsidP="008C5061" w14:paraId="485B577C" w14:textId="77777777"/>
    <w:p w:rsidR="008C5061" w:rsidRPr="0004462F" w:rsidP="008C5061" w14:paraId="73380A8F" w14:textId="77777777">
      <w:r w:rsidRPr="0004462F">
        <w:t>Attorney Examiner:</w:t>
      </w:r>
    </w:p>
    <w:p w:rsidR="008C5061" w:rsidP="008C5061" w14:paraId="47F9F9F9" w14:textId="77777777"/>
    <w:p w:rsidR="008C5061" w:rsidP="008C5061" w14:paraId="5BF7A032" w14:textId="77777777">
      <w:hyperlink r:id="rId20" w:history="1">
        <w:r w:rsidRPr="00BE72A8" w:rsidR="005D3CC6">
          <w:rPr>
            <w:rStyle w:val="Hyperlink"/>
          </w:rPr>
          <w:t>Patricia.schabo@puco.ohio.gov</w:t>
        </w:r>
      </w:hyperlink>
    </w:p>
    <w:p w:rsidR="008C5061" w:rsidRPr="0004462F" w:rsidP="008C5061" w14:paraId="45C976BB" w14:textId="77777777">
      <w:pPr>
        <w:rPr>
          <w:b/>
          <w:bCs/>
          <w:color w:val="0000FF"/>
        </w:rPr>
      </w:pPr>
    </w:p>
    <w:p w:rsidR="00665656" w:rsidRPr="0004462F" w:rsidP="00E710B3" w14:paraId="26B84ACF" w14:textId="77777777">
      <w:pPr>
        <w:rPr>
          <w:b/>
          <w:bCs/>
          <w:color w:val="0000FF"/>
        </w:rPr>
      </w:pPr>
    </w:p>
    <w:p w:rsidR="00F02B94" w:rsidRPr="0004462F" w:rsidP="00E710B3" w14:paraId="071A9C67" w14:textId="77777777">
      <w:pPr>
        <w:pStyle w:val="CommentText"/>
        <w:jc w:val="center"/>
        <w:rPr>
          <w:sz w:val="24"/>
          <w:szCs w:val="24"/>
        </w:rPr>
      </w:pPr>
    </w:p>
    <w:sectPr w:rsidSect="000446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E2" w14:paraId="0FE316F2" w14:textId="5E1D5724">
    <w:pPr>
      <w:pStyle w:val="Footer"/>
      <w:jc w:val="center"/>
    </w:pPr>
  </w:p>
  <w:p w:rsidR="000A45E2" w14:paraId="52E217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355730"/>
      <w:docPartObj>
        <w:docPartGallery w:val="Page Numbers (Bottom of Page)"/>
        <w:docPartUnique/>
      </w:docPartObj>
    </w:sdtPr>
    <w:sdtEndPr>
      <w:rPr>
        <w:noProof/>
      </w:rPr>
    </w:sdtEndPr>
    <w:sdtContent>
      <w:p w:rsidR="000A45E2" w14:paraId="506ECF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A45E2" w14:paraId="461509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45E2" w:rsidP="00E37410" w14:paraId="0B5C8420" w14:textId="77777777">
      <w:r>
        <w:separator/>
      </w:r>
    </w:p>
  </w:footnote>
  <w:footnote w:type="continuationSeparator" w:id="1">
    <w:p w:rsidR="000A45E2" w:rsidP="00E37410" w14:paraId="3C38847A" w14:textId="77777777">
      <w:r>
        <w:continuationSeparator/>
      </w:r>
    </w:p>
  </w:footnote>
  <w:footnote w:id="2">
    <w:p w:rsidR="000A45E2" w:rsidRPr="00CE1433" w14:paraId="2A54EDFF" w14:textId="70D74A81">
      <w:pPr>
        <w:pStyle w:val="FootnoteText"/>
      </w:pPr>
      <w:r>
        <w:rPr>
          <w:rStyle w:val="FootnoteReference"/>
        </w:rPr>
        <w:footnoteRef/>
      </w:r>
      <w:r>
        <w:t xml:space="preserve"> </w:t>
      </w:r>
      <w:r>
        <w:rPr>
          <w:i/>
          <w:iCs/>
        </w:rPr>
        <w:t xml:space="preserve">See also </w:t>
      </w:r>
      <w:r>
        <w:t xml:space="preserve">Docketing Information System Electronic Filing Technical Requirements and Manual, Rule 5, </w:t>
      </w:r>
      <w:r>
        <w:rPr>
          <w:i/>
          <w:iCs/>
        </w:rPr>
        <w:t>available at</w:t>
      </w:r>
      <w:r w:rsidRPr="00CE1433">
        <w:t xml:space="preserve"> </w:t>
      </w:r>
      <w:hyperlink r:id="rId1" w:history="1">
        <w:r>
          <w:rPr>
            <w:rStyle w:val="Hyperlink"/>
          </w:rPr>
          <w:t>https://www.puco.ohio.gov/emplibrary/files/docketing/E-File_Manual.pdf</w:t>
        </w:r>
      </w:hyperlink>
      <w:r>
        <w:t>.</w:t>
      </w:r>
    </w:p>
  </w:footnote>
  <w:footnote w:id="3">
    <w:p w:rsidR="000A45E2" w:rsidRPr="0016455A" w:rsidP="0016455A" w14:paraId="21714B18" w14:textId="6D1C3C4B">
      <w:pPr>
        <w:pStyle w:val="FootnoteText"/>
        <w:spacing w:after="120"/>
      </w:pPr>
      <w:r w:rsidRPr="0016455A">
        <w:rPr>
          <w:rStyle w:val="FootnoteReference"/>
        </w:rPr>
        <w:footnoteRef/>
      </w:r>
      <w:r w:rsidRPr="0016455A">
        <w:t xml:space="preserve"> </w:t>
      </w:r>
      <w:r w:rsidRPr="0016455A">
        <w:rPr>
          <w:i/>
          <w:iCs/>
        </w:rPr>
        <w:t xml:space="preserve">See, e.g., </w:t>
      </w:r>
      <w:r w:rsidRPr="0016455A">
        <w:t>FERC, 18 C.F.R. §385.2201(c)(3) (ex parte restrictions apply to communications with decisional employees, defined as “a Commissioner or member of his or her personal staff, an administrative law judge, or any other employee of the Commission, or contractor, who is or may be reasonably expected to be involved in the decisional process of a proceeding”); Federal  Administrative Procedure Act, 5 U.S.C. §557 (d)(1)(A) (ex parte restrictions apply in formal rulemaking proceedings to “any member of the body comprising the agency, administrative law judge, or other employee who is or may be expected to be involved in the decisional process;” Illinois Commerce Commission: 83 Ill. Admin. Code §200.710, subd.(a) (in contested proceedings ex parte restrictions apply to “commissioners, commission employees, and hearing examiners”); 220 Ill Comp. Stat. 5/9-201, subd.(d)( in ratesetting proceedings restrictions apply to commissioners, commissioners assistants, hearing examiners and “decisional employees”; 220 Ill Comp. Stat. 5/10-103 (restrictions placed on “any commissioner, hearing examiner, or other person who is or may be reasonably be expected to be involved in the decisional process of a proceeding”); Washington Utilities and Transportation Board, Wash. Admin. Code §480-07-310(1)(in adjudicatory proceedings any person who has a direct or indirect interest in the outcome of the proceeding, including the commission’s advocacy, investigative, or prosecutorial staff may not directly or indirectly communicate about the merits with the commissioners, the ALJ, or the commissioners’ staff assistants, legal counsel, or consultants assigned to advise the commissio</w:t>
      </w:r>
      <w:r>
        <w:t xml:space="preserve">ners in the proceeding); see also </w:t>
      </w:r>
      <w:r w:rsidRPr="00EC6A98">
        <w:t>the Supreme Court of Ohio Rule of Practice 3.5</w:t>
      </w:r>
      <w:r>
        <w:t xml:space="preserve"> and Ohio Rule of Judicial Conduct 2.9.</w:t>
      </w:r>
    </w:p>
  </w:footnote>
  <w:footnote w:id="4">
    <w:p w:rsidR="000A45E2" w:rsidRPr="0016455A" w:rsidP="0016455A" w14:paraId="38D9B4F9" w14:textId="77777777">
      <w:pPr>
        <w:pStyle w:val="FootnoteText"/>
        <w:spacing w:after="120"/>
      </w:pPr>
      <w:r w:rsidRPr="0016455A">
        <w:rPr>
          <w:rStyle w:val="FootnoteReference"/>
        </w:rPr>
        <w:footnoteRef/>
      </w:r>
      <w:r w:rsidRPr="0016455A">
        <w:t xml:space="preserve"> </w:t>
      </w:r>
      <w:r w:rsidRPr="0016455A">
        <w:rPr>
          <w:i/>
          <w:iCs/>
        </w:rPr>
        <w:t>See, e.,g,</w:t>
      </w:r>
      <w:r w:rsidRPr="0016455A">
        <w:t xml:space="preserve"> California Pub. Util. Comm., Rule 8.3(c)(2) (notice of ex parte discussion must be provided three days before the communication).  </w:t>
      </w:r>
    </w:p>
  </w:footnote>
  <w:footnote w:id="5">
    <w:p w:rsidR="000A45E2" w:rsidRPr="00FA18DA" w:rsidP="0016455A" w14:paraId="67295251" w14:textId="77777777">
      <w:pPr>
        <w:pStyle w:val="FootnoteText"/>
        <w:spacing w:after="120"/>
        <w:rPr>
          <w:i/>
          <w:iCs/>
        </w:rPr>
      </w:pPr>
      <w:r>
        <w:rPr>
          <w:rStyle w:val="FootnoteReference"/>
        </w:rPr>
        <w:footnoteRef/>
      </w:r>
      <w:r>
        <w:t xml:space="preserve"> R.C. 4903.221.</w:t>
      </w:r>
    </w:p>
  </w:footnote>
  <w:footnote w:id="6">
    <w:p w:rsidR="000A45E2" w:rsidRPr="006460A6" w:rsidP="0016455A" w14:paraId="3747CF95" w14:textId="77777777">
      <w:pPr>
        <w:pStyle w:val="FootnoteText"/>
        <w:spacing w:after="120"/>
      </w:pPr>
      <w:r>
        <w:rPr>
          <w:rStyle w:val="FootnoteReference"/>
        </w:rPr>
        <w:footnoteRef/>
      </w:r>
      <w:r>
        <w:t xml:space="preserve"> </w:t>
      </w:r>
      <w:r>
        <w:rPr>
          <w:i/>
          <w:iCs/>
        </w:rPr>
        <w:t>Id.</w:t>
      </w:r>
    </w:p>
  </w:footnote>
  <w:footnote w:id="7">
    <w:p w:rsidR="000A45E2" w:rsidRPr="00FA18DA" w:rsidP="0016455A" w14:paraId="58F35F05" w14:textId="77777777">
      <w:pPr>
        <w:pStyle w:val="FootnoteText"/>
        <w:spacing w:after="120"/>
      </w:pPr>
      <w:r>
        <w:rPr>
          <w:rStyle w:val="FootnoteReference"/>
        </w:rPr>
        <w:footnoteRef/>
      </w:r>
      <w:r>
        <w:t xml:space="preserve"> </w:t>
      </w:r>
      <w:r>
        <w:rPr>
          <w:i/>
          <w:iCs/>
        </w:rPr>
        <w:t>Ohio Consumers’ Counsel v. PUC</w:t>
      </w:r>
      <w:r>
        <w:t>, 111 Ohio St.3d 384, 388 (2006).</w:t>
      </w:r>
    </w:p>
  </w:footnote>
  <w:footnote w:id="8">
    <w:p w:rsidR="000A45E2" w:rsidP="0016455A" w14:paraId="0B911F22" w14:textId="77777777">
      <w:pPr>
        <w:pStyle w:val="FootnoteText"/>
        <w:spacing w:after="120"/>
      </w:pPr>
      <w:r>
        <w:rPr>
          <w:rStyle w:val="FootnoteReference"/>
        </w:rPr>
        <w:footnoteRef/>
      </w:r>
      <w:r>
        <w:t xml:space="preserve"> Ohio Adm. Code 4901-1-11(B)(5).</w:t>
      </w:r>
    </w:p>
  </w:footnote>
  <w:footnote w:id="9">
    <w:p w:rsidR="000A45E2" w:rsidP="0016455A" w14:paraId="5964066F" w14:textId="77777777">
      <w:pPr>
        <w:pStyle w:val="FootnoteText"/>
        <w:spacing w:after="120"/>
      </w:pPr>
      <w:r>
        <w:rPr>
          <w:rStyle w:val="FootnoteReference"/>
        </w:rPr>
        <w:footnoteRef/>
      </w:r>
      <w:r>
        <w:t xml:space="preserve"> </w:t>
      </w:r>
      <w:r w:rsidRPr="00C9772B">
        <w:rPr>
          <w:i/>
          <w:iCs/>
        </w:rPr>
        <w:t>State ex rel. Foster v. Evatt</w:t>
      </w:r>
      <w:r w:rsidRPr="00C9772B">
        <w:t>, 144 Ohio St. 65, 102 (1944)</w:t>
      </w:r>
      <w:r>
        <w:t>.</w:t>
      </w:r>
    </w:p>
  </w:footnote>
  <w:footnote w:id="10">
    <w:p w:rsidR="000A45E2" w:rsidRPr="00FC1C53" w:rsidP="0016455A" w14:paraId="6D57BB2B" w14:textId="77777777">
      <w:pPr>
        <w:pStyle w:val="FootnoteText"/>
        <w:spacing w:after="120"/>
        <w:rPr>
          <w:i/>
          <w:iCs/>
        </w:rPr>
      </w:pPr>
      <w:r>
        <w:rPr>
          <w:rStyle w:val="FootnoteReference"/>
        </w:rPr>
        <w:footnoteRef/>
      </w:r>
      <w:r>
        <w:t xml:space="preserve"> </w:t>
      </w:r>
      <w:r>
        <w:rPr>
          <w:i/>
          <w:iCs/>
        </w:rPr>
        <w:t>Hoover Universal v. Limbach</w:t>
      </w:r>
      <w:r>
        <w:t>, 61 Ohio St.3d 563, 569 (1991).</w:t>
      </w:r>
    </w:p>
  </w:footnote>
  <w:footnote w:id="11">
    <w:p w:rsidR="000A45E2" w:rsidP="0016455A" w14:paraId="59B46192" w14:textId="77777777">
      <w:pPr>
        <w:pStyle w:val="FootnoteText"/>
        <w:spacing w:after="120"/>
      </w:pPr>
      <w:r>
        <w:rPr>
          <w:rStyle w:val="FootnoteReference"/>
        </w:rPr>
        <w:footnoteRef/>
      </w:r>
      <w:r>
        <w:t xml:space="preserve"> </w:t>
      </w:r>
      <w:r w:rsidRPr="00C9772B">
        <w:rPr>
          <w:i/>
          <w:iCs/>
        </w:rPr>
        <w:t>Columbus S. Power Co. v. PUCO</w:t>
      </w:r>
      <w:r w:rsidRPr="00C9772B">
        <w:t>, 67 Ohio St.3d 535, 537 (1993) (the PUCO is a “creature of statute” that “may exercise only that jurisdiction conferred upon it by the General Assembly”).</w:t>
      </w:r>
    </w:p>
  </w:footnote>
  <w:footnote w:id="12">
    <w:p w:rsidR="000A45E2" w:rsidP="0016455A" w14:paraId="78100F1A" w14:textId="77777777">
      <w:pPr>
        <w:pStyle w:val="FootnoteText"/>
        <w:spacing w:after="120"/>
      </w:pPr>
      <w:r>
        <w:rPr>
          <w:rStyle w:val="FootnoteReference"/>
        </w:rPr>
        <w:footnoteRef/>
      </w:r>
      <w:r>
        <w:t xml:space="preserve"> </w:t>
      </w:r>
      <w:r w:rsidRPr="00C9772B">
        <w:rPr>
          <w:i/>
          <w:iCs/>
        </w:rPr>
        <w:t>State ex rel. Foster</w:t>
      </w:r>
      <w:r w:rsidRPr="00C9772B">
        <w:t xml:space="preserve">, 144 Ohio St. </w:t>
      </w:r>
      <w:r>
        <w:t>at</w:t>
      </w:r>
      <w:r w:rsidRPr="00C9772B">
        <w:t xml:space="preserve"> 102</w:t>
      </w:r>
      <w:r>
        <w:t>.</w:t>
      </w:r>
    </w:p>
  </w:footnote>
  <w:footnote w:id="13">
    <w:p w:rsidR="000A45E2" w:rsidP="0016455A" w14:paraId="1B205C52" w14:textId="77777777">
      <w:pPr>
        <w:pStyle w:val="FootnoteText"/>
        <w:spacing w:after="120"/>
      </w:pPr>
      <w:r>
        <w:rPr>
          <w:rStyle w:val="FootnoteReference"/>
        </w:rPr>
        <w:footnoteRef/>
      </w:r>
      <w:r>
        <w:t xml:space="preserve"> </w:t>
      </w:r>
      <w:r>
        <w:rPr>
          <w:i/>
          <w:iCs/>
        </w:rPr>
        <w:t>Hoover Universal</w:t>
      </w:r>
      <w:r>
        <w:t>, 61 Ohio St.3d at 569.</w:t>
      </w:r>
    </w:p>
  </w:footnote>
  <w:footnote w:id="14">
    <w:p w:rsidR="000A45E2" w14:paraId="438283A4" w14:textId="77777777">
      <w:pPr>
        <w:pStyle w:val="FootnoteText"/>
      </w:pPr>
      <w:r>
        <w:rPr>
          <w:rStyle w:val="FootnoteReference"/>
        </w:rPr>
        <w:footnoteRef/>
      </w:r>
      <w:r>
        <w:t xml:space="preserve"> Ohio Adm. Code 4901-1-15(B).</w:t>
      </w:r>
    </w:p>
  </w:footnote>
  <w:footnote w:id="15">
    <w:p w:rsidR="000A45E2" w14:paraId="0100F9DB" w14:textId="77777777">
      <w:pPr>
        <w:pStyle w:val="FootnoteText"/>
      </w:pPr>
      <w:r>
        <w:rPr>
          <w:rStyle w:val="FootnoteReference"/>
        </w:rPr>
        <w:footnoteRef/>
      </w:r>
      <w:r>
        <w:t xml:space="preserve"> Ohio Adm. Code 4901:1-38-03(E), 4901:1-38-04(D), 4901:1-39-05(F).</w:t>
      </w:r>
    </w:p>
  </w:footnote>
  <w:footnote w:id="16">
    <w:p w:rsidR="000A45E2" w14:paraId="1D7E00C8" w14:textId="77777777">
      <w:pPr>
        <w:pStyle w:val="FootnoteText"/>
      </w:pPr>
      <w:r>
        <w:rPr>
          <w:rStyle w:val="FootnoteReference"/>
        </w:rPr>
        <w:footnoteRef/>
      </w:r>
      <w:r>
        <w:t xml:space="preserve"> OCC has challenged the ruling prohibiting OCC from subpoenaing a marketer’s out-of-state witness. OCC’s challenge remains pending before the PUCO. OCC does not concede that resorting to the use of a deposition should be necessary if the subpoena law and rules are followed properly.</w:t>
      </w:r>
    </w:p>
  </w:footnote>
  <w:footnote w:id="17">
    <w:p w:rsidR="000A45E2" w:rsidRPr="007B53FB" w14:paraId="05F0B14F" w14:textId="77777777">
      <w:pPr>
        <w:pStyle w:val="FootnoteText"/>
      </w:pPr>
      <w:r>
        <w:rPr>
          <w:rStyle w:val="FootnoteReference"/>
        </w:rPr>
        <w:footnoteRef/>
      </w:r>
      <w:r>
        <w:t xml:space="preserve"> </w:t>
      </w:r>
      <w:r>
        <w:rPr>
          <w:i/>
          <w:iCs/>
        </w:rPr>
        <w:t>See</w:t>
      </w:r>
      <w:r>
        <w:t xml:space="preserve"> R.C. 4928.09(A)(1)(a); R.C. 4929.21(A)(1)(a).</w:t>
      </w:r>
    </w:p>
  </w:footnote>
  <w:footnote w:id="18">
    <w:p w:rsidR="000A45E2" w:rsidRPr="00EB4A86" w14:paraId="7DCEC899" w14:textId="5DB5C285">
      <w:pPr>
        <w:pStyle w:val="FootnoteText"/>
      </w:pPr>
      <w:r>
        <w:rPr>
          <w:rStyle w:val="FootnoteReference"/>
        </w:rPr>
        <w:footnoteRef/>
      </w:r>
      <w:r>
        <w:t xml:space="preserve"> </w:t>
      </w:r>
      <w:r>
        <w:rPr>
          <w:i/>
          <w:iCs/>
        </w:rPr>
        <w:t>See</w:t>
      </w:r>
      <w:r>
        <w:t xml:space="preserve"> Case No. 19-957-GE-COI, Tr. Vol. I at 94 (counsel for PALMco arguing that a staff report would not necessarily be admitted “for the truth of its contents”).</w:t>
      </w:r>
    </w:p>
  </w:footnote>
  <w:footnote w:id="19">
    <w:p w:rsidR="000A45E2" w:rsidRPr="00712CE5" w14:paraId="00F2942D" w14:textId="77777777">
      <w:pPr>
        <w:pStyle w:val="FootnoteText"/>
      </w:pPr>
      <w:r>
        <w:rPr>
          <w:rStyle w:val="FootnoteReference"/>
        </w:rPr>
        <w:footnoteRef/>
      </w:r>
      <w:r>
        <w:t xml:space="preserve"> </w:t>
      </w:r>
      <w:r>
        <w:rPr>
          <w:i/>
        </w:rPr>
        <w:t>See</w:t>
      </w:r>
      <w:r>
        <w:t xml:space="preserve"> Case No. 16-395-EL-SSO, Amended Stipulation and Recommendation (Mar. 13, 2017) (providing that under the stipulation, DP&amp;L will make annual payments of $145,000 to Industrial Energy Users-Ohio, $18,000 to Ohio Manufacturers’ Association Energy Group, $160,000 to Kroger, $250,000 per year for up to five years to the City of Dayton, $150,000 per year for up to five years to participate in the “Property Assessed Clean Energy” program in partnership with the Montgomery County Port Authority, $200,000 per year to Ohio Hospital Association, and $200,000 per year to People Working Cooperatively).</w:t>
      </w:r>
    </w:p>
  </w:footnote>
  <w:footnote w:id="20">
    <w:p w:rsidR="000A45E2" w14:paraId="752B4482" w14:textId="77777777">
      <w:pPr>
        <w:pStyle w:val="FootnoteText"/>
      </w:pPr>
      <w:r>
        <w:rPr>
          <w:rStyle w:val="FootnoteReference"/>
        </w:rPr>
        <w:footnoteRef/>
      </w:r>
      <w:r>
        <w:t xml:space="preserve"> R.C. 4903.10(B).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E2" w14:paraId="507364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E2" w14:paraId="23CC78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495021"/>
    <w:multiLevelType w:val="hybridMultilevel"/>
    <w:tmpl w:val="84FEA7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F7B62AC"/>
    <w:multiLevelType w:val="hybridMultilevel"/>
    <w:tmpl w:val="EC6C978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4456674A"/>
    <w:multiLevelType w:val="hybridMultilevel"/>
    <w:tmpl w:val="8B1EA0E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1DC0789"/>
    <w:multiLevelType w:val="hybridMultilevel"/>
    <w:tmpl w:val="DB4C7DD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14"/>
    <w:rsid w:val="00001346"/>
    <w:rsid w:val="00001E63"/>
    <w:rsid w:val="0000300C"/>
    <w:rsid w:val="00020B6A"/>
    <w:rsid w:val="0002392A"/>
    <w:rsid w:val="00026A03"/>
    <w:rsid w:val="00031584"/>
    <w:rsid w:val="00035680"/>
    <w:rsid w:val="0003714A"/>
    <w:rsid w:val="00040C68"/>
    <w:rsid w:val="000445EA"/>
    <w:rsid w:val="0004462F"/>
    <w:rsid w:val="00047E1F"/>
    <w:rsid w:val="00051736"/>
    <w:rsid w:val="00051E8B"/>
    <w:rsid w:val="00056D54"/>
    <w:rsid w:val="00056EC0"/>
    <w:rsid w:val="00060058"/>
    <w:rsid w:val="0006228F"/>
    <w:rsid w:val="00062493"/>
    <w:rsid w:val="00067F3F"/>
    <w:rsid w:val="00071D75"/>
    <w:rsid w:val="000722EC"/>
    <w:rsid w:val="00076180"/>
    <w:rsid w:val="00082011"/>
    <w:rsid w:val="0008568A"/>
    <w:rsid w:val="0009468B"/>
    <w:rsid w:val="000A2724"/>
    <w:rsid w:val="000A32AC"/>
    <w:rsid w:val="000A3599"/>
    <w:rsid w:val="000A35CA"/>
    <w:rsid w:val="000A45E2"/>
    <w:rsid w:val="000A59E7"/>
    <w:rsid w:val="000A66D1"/>
    <w:rsid w:val="000B39D4"/>
    <w:rsid w:val="000B5CC3"/>
    <w:rsid w:val="000B7834"/>
    <w:rsid w:val="000C0378"/>
    <w:rsid w:val="000C0DBD"/>
    <w:rsid w:val="000C24E4"/>
    <w:rsid w:val="000C3635"/>
    <w:rsid w:val="000C39E9"/>
    <w:rsid w:val="000C3C1D"/>
    <w:rsid w:val="000C3C2C"/>
    <w:rsid w:val="000C5DBE"/>
    <w:rsid w:val="000D5B85"/>
    <w:rsid w:val="000E19B5"/>
    <w:rsid w:val="000E7F2F"/>
    <w:rsid w:val="000F14AC"/>
    <w:rsid w:val="000F1C88"/>
    <w:rsid w:val="000F2CE0"/>
    <w:rsid w:val="000F3022"/>
    <w:rsid w:val="000F4599"/>
    <w:rsid w:val="001067C1"/>
    <w:rsid w:val="00106DA8"/>
    <w:rsid w:val="00107ED8"/>
    <w:rsid w:val="001122AF"/>
    <w:rsid w:val="00113283"/>
    <w:rsid w:val="00123E2C"/>
    <w:rsid w:val="001249D6"/>
    <w:rsid w:val="001275D1"/>
    <w:rsid w:val="00136676"/>
    <w:rsid w:val="00150B4E"/>
    <w:rsid w:val="00153423"/>
    <w:rsid w:val="00156400"/>
    <w:rsid w:val="0015656D"/>
    <w:rsid w:val="0016455A"/>
    <w:rsid w:val="001768CD"/>
    <w:rsid w:val="00180EED"/>
    <w:rsid w:val="001819C2"/>
    <w:rsid w:val="0018694E"/>
    <w:rsid w:val="00187723"/>
    <w:rsid w:val="00190923"/>
    <w:rsid w:val="00192482"/>
    <w:rsid w:val="001A0595"/>
    <w:rsid w:val="001A1799"/>
    <w:rsid w:val="001A42F6"/>
    <w:rsid w:val="001A760B"/>
    <w:rsid w:val="001B341C"/>
    <w:rsid w:val="001B3CE8"/>
    <w:rsid w:val="001B4577"/>
    <w:rsid w:val="001B4E1A"/>
    <w:rsid w:val="001B5429"/>
    <w:rsid w:val="001B5BB3"/>
    <w:rsid w:val="001B710D"/>
    <w:rsid w:val="001C0158"/>
    <w:rsid w:val="001C4332"/>
    <w:rsid w:val="001D4F71"/>
    <w:rsid w:val="001E38D5"/>
    <w:rsid w:val="001E5158"/>
    <w:rsid w:val="001F0061"/>
    <w:rsid w:val="001F1BF5"/>
    <w:rsid w:val="001F6E32"/>
    <w:rsid w:val="001F7CA9"/>
    <w:rsid w:val="002015B6"/>
    <w:rsid w:val="002050BE"/>
    <w:rsid w:val="00206457"/>
    <w:rsid w:val="0021263B"/>
    <w:rsid w:val="00213408"/>
    <w:rsid w:val="002179BE"/>
    <w:rsid w:val="00220BBC"/>
    <w:rsid w:val="00224446"/>
    <w:rsid w:val="00226CDD"/>
    <w:rsid w:val="002322B2"/>
    <w:rsid w:val="002373A4"/>
    <w:rsid w:val="002413EE"/>
    <w:rsid w:val="002453EE"/>
    <w:rsid w:val="002508F2"/>
    <w:rsid w:val="00252577"/>
    <w:rsid w:val="00252E40"/>
    <w:rsid w:val="00255931"/>
    <w:rsid w:val="0025639A"/>
    <w:rsid w:val="00275626"/>
    <w:rsid w:val="0027765D"/>
    <w:rsid w:val="00277F57"/>
    <w:rsid w:val="0028027B"/>
    <w:rsid w:val="002811AE"/>
    <w:rsid w:val="00285AB9"/>
    <w:rsid w:val="00292946"/>
    <w:rsid w:val="002932E8"/>
    <w:rsid w:val="00297957"/>
    <w:rsid w:val="002A1740"/>
    <w:rsid w:val="002A3F27"/>
    <w:rsid w:val="002A46FD"/>
    <w:rsid w:val="002A7C5C"/>
    <w:rsid w:val="002B39B6"/>
    <w:rsid w:val="002B6B2F"/>
    <w:rsid w:val="002C28A0"/>
    <w:rsid w:val="002C592B"/>
    <w:rsid w:val="002C6D56"/>
    <w:rsid w:val="002D41E7"/>
    <w:rsid w:val="002D5BCB"/>
    <w:rsid w:val="002E28BD"/>
    <w:rsid w:val="002E3418"/>
    <w:rsid w:val="002E74BD"/>
    <w:rsid w:val="002F0D33"/>
    <w:rsid w:val="002F1E53"/>
    <w:rsid w:val="002F210A"/>
    <w:rsid w:val="002F57B5"/>
    <w:rsid w:val="002F79CB"/>
    <w:rsid w:val="0030085D"/>
    <w:rsid w:val="003014EF"/>
    <w:rsid w:val="003017AD"/>
    <w:rsid w:val="003129A7"/>
    <w:rsid w:val="00330E6E"/>
    <w:rsid w:val="00346FF4"/>
    <w:rsid w:val="00350170"/>
    <w:rsid w:val="00352C54"/>
    <w:rsid w:val="00360BF7"/>
    <w:rsid w:val="003647DC"/>
    <w:rsid w:val="003648EC"/>
    <w:rsid w:val="003660D0"/>
    <w:rsid w:val="0037304E"/>
    <w:rsid w:val="0037617D"/>
    <w:rsid w:val="00377F79"/>
    <w:rsid w:val="00385C54"/>
    <w:rsid w:val="003871A5"/>
    <w:rsid w:val="00387E8C"/>
    <w:rsid w:val="00390332"/>
    <w:rsid w:val="0039331F"/>
    <w:rsid w:val="003962D5"/>
    <w:rsid w:val="003A21C1"/>
    <w:rsid w:val="003A2E50"/>
    <w:rsid w:val="003A67E3"/>
    <w:rsid w:val="003B0A9E"/>
    <w:rsid w:val="003C7990"/>
    <w:rsid w:val="003D3B16"/>
    <w:rsid w:val="003D5506"/>
    <w:rsid w:val="003D7EF6"/>
    <w:rsid w:val="003E044C"/>
    <w:rsid w:val="003E0E10"/>
    <w:rsid w:val="003E26C6"/>
    <w:rsid w:val="003E2989"/>
    <w:rsid w:val="003E2EEE"/>
    <w:rsid w:val="003F1A5C"/>
    <w:rsid w:val="00400A1B"/>
    <w:rsid w:val="00401FCD"/>
    <w:rsid w:val="004049EE"/>
    <w:rsid w:val="004065FA"/>
    <w:rsid w:val="00420059"/>
    <w:rsid w:val="0042297A"/>
    <w:rsid w:val="00425FCA"/>
    <w:rsid w:val="00430CBE"/>
    <w:rsid w:val="004310EF"/>
    <w:rsid w:val="00432311"/>
    <w:rsid w:val="00432E22"/>
    <w:rsid w:val="00434707"/>
    <w:rsid w:val="00445E93"/>
    <w:rsid w:val="0045117B"/>
    <w:rsid w:val="00460ADF"/>
    <w:rsid w:val="00465ED3"/>
    <w:rsid w:val="00477857"/>
    <w:rsid w:val="00477BC2"/>
    <w:rsid w:val="00491A89"/>
    <w:rsid w:val="00492093"/>
    <w:rsid w:val="004921BB"/>
    <w:rsid w:val="00495281"/>
    <w:rsid w:val="0049652A"/>
    <w:rsid w:val="004A68D2"/>
    <w:rsid w:val="004B0BDE"/>
    <w:rsid w:val="004B228F"/>
    <w:rsid w:val="004B7BB2"/>
    <w:rsid w:val="004D18D3"/>
    <w:rsid w:val="004D4F5F"/>
    <w:rsid w:val="004D554C"/>
    <w:rsid w:val="004D6F8C"/>
    <w:rsid w:val="004E36F0"/>
    <w:rsid w:val="004E7CF8"/>
    <w:rsid w:val="004F12B7"/>
    <w:rsid w:val="004F4DAD"/>
    <w:rsid w:val="004F6C70"/>
    <w:rsid w:val="00510BB3"/>
    <w:rsid w:val="005222AA"/>
    <w:rsid w:val="00525969"/>
    <w:rsid w:val="00535462"/>
    <w:rsid w:val="00536CF4"/>
    <w:rsid w:val="005406B8"/>
    <w:rsid w:val="00542A05"/>
    <w:rsid w:val="00552BCF"/>
    <w:rsid w:val="005552E8"/>
    <w:rsid w:val="005571E6"/>
    <w:rsid w:val="00557D7B"/>
    <w:rsid w:val="00560FBB"/>
    <w:rsid w:val="005634A2"/>
    <w:rsid w:val="00574725"/>
    <w:rsid w:val="005755F4"/>
    <w:rsid w:val="00581549"/>
    <w:rsid w:val="0058331C"/>
    <w:rsid w:val="00585894"/>
    <w:rsid w:val="00587CC6"/>
    <w:rsid w:val="00590932"/>
    <w:rsid w:val="00593E47"/>
    <w:rsid w:val="00597246"/>
    <w:rsid w:val="00597BFE"/>
    <w:rsid w:val="005A05F2"/>
    <w:rsid w:val="005A0E3F"/>
    <w:rsid w:val="005A1969"/>
    <w:rsid w:val="005A24E1"/>
    <w:rsid w:val="005A7219"/>
    <w:rsid w:val="005A7BFA"/>
    <w:rsid w:val="005B0DB6"/>
    <w:rsid w:val="005B29C5"/>
    <w:rsid w:val="005B3DE0"/>
    <w:rsid w:val="005C00F0"/>
    <w:rsid w:val="005C0D8F"/>
    <w:rsid w:val="005C1F6C"/>
    <w:rsid w:val="005C3DEA"/>
    <w:rsid w:val="005C4241"/>
    <w:rsid w:val="005C7039"/>
    <w:rsid w:val="005D3CC6"/>
    <w:rsid w:val="005D3CF0"/>
    <w:rsid w:val="005D71BE"/>
    <w:rsid w:val="005D7262"/>
    <w:rsid w:val="005E12A9"/>
    <w:rsid w:val="005E6A2F"/>
    <w:rsid w:val="006147B0"/>
    <w:rsid w:val="0061570E"/>
    <w:rsid w:val="00620F7D"/>
    <w:rsid w:val="00621628"/>
    <w:rsid w:val="00627772"/>
    <w:rsid w:val="00627A4A"/>
    <w:rsid w:val="006323F1"/>
    <w:rsid w:val="00635EE5"/>
    <w:rsid w:val="006403FF"/>
    <w:rsid w:val="00641C80"/>
    <w:rsid w:val="006460A6"/>
    <w:rsid w:val="0065072A"/>
    <w:rsid w:val="006559E5"/>
    <w:rsid w:val="0066070B"/>
    <w:rsid w:val="0066194A"/>
    <w:rsid w:val="00665656"/>
    <w:rsid w:val="006776DC"/>
    <w:rsid w:val="006849DE"/>
    <w:rsid w:val="00685E81"/>
    <w:rsid w:val="00691F45"/>
    <w:rsid w:val="00695DA0"/>
    <w:rsid w:val="006961E1"/>
    <w:rsid w:val="006A655D"/>
    <w:rsid w:val="006B0426"/>
    <w:rsid w:val="006B652B"/>
    <w:rsid w:val="006B6696"/>
    <w:rsid w:val="006B6AEE"/>
    <w:rsid w:val="006B7AC6"/>
    <w:rsid w:val="006C5AEB"/>
    <w:rsid w:val="006C6C0B"/>
    <w:rsid w:val="006C6F72"/>
    <w:rsid w:val="006D4809"/>
    <w:rsid w:val="006D52C7"/>
    <w:rsid w:val="006E1D50"/>
    <w:rsid w:val="006E33C8"/>
    <w:rsid w:val="006E464F"/>
    <w:rsid w:val="006E6524"/>
    <w:rsid w:val="006F0E29"/>
    <w:rsid w:val="006F308B"/>
    <w:rsid w:val="006F526B"/>
    <w:rsid w:val="006F5B3D"/>
    <w:rsid w:val="006F65D2"/>
    <w:rsid w:val="007030AC"/>
    <w:rsid w:val="00705305"/>
    <w:rsid w:val="00710A6F"/>
    <w:rsid w:val="00712CE5"/>
    <w:rsid w:val="007134A8"/>
    <w:rsid w:val="00713714"/>
    <w:rsid w:val="007146FA"/>
    <w:rsid w:val="007147F7"/>
    <w:rsid w:val="00724AC6"/>
    <w:rsid w:val="0072508C"/>
    <w:rsid w:val="00726831"/>
    <w:rsid w:val="00732545"/>
    <w:rsid w:val="00733D92"/>
    <w:rsid w:val="00735A4B"/>
    <w:rsid w:val="00743876"/>
    <w:rsid w:val="00752D56"/>
    <w:rsid w:val="00754E2F"/>
    <w:rsid w:val="0075682B"/>
    <w:rsid w:val="007605FD"/>
    <w:rsid w:val="0076077D"/>
    <w:rsid w:val="00776F42"/>
    <w:rsid w:val="00777CBD"/>
    <w:rsid w:val="007826FA"/>
    <w:rsid w:val="007831CF"/>
    <w:rsid w:val="00786B33"/>
    <w:rsid w:val="00793DFF"/>
    <w:rsid w:val="00795B92"/>
    <w:rsid w:val="00795FE3"/>
    <w:rsid w:val="00796150"/>
    <w:rsid w:val="007B53FB"/>
    <w:rsid w:val="007B6113"/>
    <w:rsid w:val="007B7A29"/>
    <w:rsid w:val="007C4690"/>
    <w:rsid w:val="007C5256"/>
    <w:rsid w:val="007C734A"/>
    <w:rsid w:val="007C73C6"/>
    <w:rsid w:val="007D0948"/>
    <w:rsid w:val="007D581D"/>
    <w:rsid w:val="007D662E"/>
    <w:rsid w:val="007D74AC"/>
    <w:rsid w:val="007D7C59"/>
    <w:rsid w:val="00804075"/>
    <w:rsid w:val="008074DD"/>
    <w:rsid w:val="0080756B"/>
    <w:rsid w:val="00815C32"/>
    <w:rsid w:val="00823BBF"/>
    <w:rsid w:val="00827419"/>
    <w:rsid w:val="0083172E"/>
    <w:rsid w:val="00832A09"/>
    <w:rsid w:val="0083509F"/>
    <w:rsid w:val="0083526F"/>
    <w:rsid w:val="00853142"/>
    <w:rsid w:val="00855AB5"/>
    <w:rsid w:val="00856A0D"/>
    <w:rsid w:val="00862A0B"/>
    <w:rsid w:val="008635EE"/>
    <w:rsid w:val="00864AA2"/>
    <w:rsid w:val="00872EEC"/>
    <w:rsid w:val="00884C11"/>
    <w:rsid w:val="00886A92"/>
    <w:rsid w:val="00886B15"/>
    <w:rsid w:val="008917A8"/>
    <w:rsid w:val="0089681C"/>
    <w:rsid w:val="00897808"/>
    <w:rsid w:val="008A71FF"/>
    <w:rsid w:val="008B1848"/>
    <w:rsid w:val="008B1FD9"/>
    <w:rsid w:val="008B2DA9"/>
    <w:rsid w:val="008B43EA"/>
    <w:rsid w:val="008B58AF"/>
    <w:rsid w:val="008C00C1"/>
    <w:rsid w:val="008C5061"/>
    <w:rsid w:val="008C7352"/>
    <w:rsid w:val="008D14DC"/>
    <w:rsid w:val="008D73A0"/>
    <w:rsid w:val="008E2184"/>
    <w:rsid w:val="008E2B12"/>
    <w:rsid w:val="008E2FF5"/>
    <w:rsid w:val="008E43D3"/>
    <w:rsid w:val="008E4920"/>
    <w:rsid w:val="008E7093"/>
    <w:rsid w:val="008E7375"/>
    <w:rsid w:val="008E7DB0"/>
    <w:rsid w:val="008F25E1"/>
    <w:rsid w:val="008F2DFE"/>
    <w:rsid w:val="009003C9"/>
    <w:rsid w:val="00906006"/>
    <w:rsid w:val="00916D99"/>
    <w:rsid w:val="0092160F"/>
    <w:rsid w:val="009261EF"/>
    <w:rsid w:val="0092664A"/>
    <w:rsid w:val="0093400E"/>
    <w:rsid w:val="00937E5A"/>
    <w:rsid w:val="00941FCB"/>
    <w:rsid w:val="009422E4"/>
    <w:rsid w:val="00952DCF"/>
    <w:rsid w:val="009555AD"/>
    <w:rsid w:val="00961B8F"/>
    <w:rsid w:val="00965F88"/>
    <w:rsid w:val="00966921"/>
    <w:rsid w:val="00967F43"/>
    <w:rsid w:val="00970016"/>
    <w:rsid w:val="0097095B"/>
    <w:rsid w:val="00973267"/>
    <w:rsid w:val="00984C96"/>
    <w:rsid w:val="00990F87"/>
    <w:rsid w:val="0099128C"/>
    <w:rsid w:val="00992259"/>
    <w:rsid w:val="009A2750"/>
    <w:rsid w:val="009A321B"/>
    <w:rsid w:val="009A7844"/>
    <w:rsid w:val="009B02BD"/>
    <w:rsid w:val="009B1821"/>
    <w:rsid w:val="009B3665"/>
    <w:rsid w:val="009B5B81"/>
    <w:rsid w:val="009B791B"/>
    <w:rsid w:val="009D1F64"/>
    <w:rsid w:val="009D28D5"/>
    <w:rsid w:val="009D789A"/>
    <w:rsid w:val="009E2D2C"/>
    <w:rsid w:val="009E4441"/>
    <w:rsid w:val="009F1234"/>
    <w:rsid w:val="009F39BF"/>
    <w:rsid w:val="009F40E4"/>
    <w:rsid w:val="009F4871"/>
    <w:rsid w:val="009F7722"/>
    <w:rsid w:val="009F7779"/>
    <w:rsid w:val="00A25A30"/>
    <w:rsid w:val="00A424AF"/>
    <w:rsid w:val="00A435CA"/>
    <w:rsid w:val="00A4515D"/>
    <w:rsid w:val="00A50454"/>
    <w:rsid w:val="00A521FF"/>
    <w:rsid w:val="00A55056"/>
    <w:rsid w:val="00A5509B"/>
    <w:rsid w:val="00A55D83"/>
    <w:rsid w:val="00A55EE9"/>
    <w:rsid w:val="00A5640C"/>
    <w:rsid w:val="00A576F9"/>
    <w:rsid w:val="00A67F75"/>
    <w:rsid w:val="00A70948"/>
    <w:rsid w:val="00A75A37"/>
    <w:rsid w:val="00A76265"/>
    <w:rsid w:val="00A77863"/>
    <w:rsid w:val="00A81B43"/>
    <w:rsid w:val="00A83C37"/>
    <w:rsid w:val="00A95B19"/>
    <w:rsid w:val="00AA001C"/>
    <w:rsid w:val="00AA01D9"/>
    <w:rsid w:val="00AA1453"/>
    <w:rsid w:val="00AA4FE0"/>
    <w:rsid w:val="00AA5B4A"/>
    <w:rsid w:val="00AC12DF"/>
    <w:rsid w:val="00AC29F8"/>
    <w:rsid w:val="00AC2C23"/>
    <w:rsid w:val="00AC3CAE"/>
    <w:rsid w:val="00AC6815"/>
    <w:rsid w:val="00AD03E3"/>
    <w:rsid w:val="00AD2A0F"/>
    <w:rsid w:val="00AD2C7B"/>
    <w:rsid w:val="00AD3CB6"/>
    <w:rsid w:val="00AD664C"/>
    <w:rsid w:val="00AD780F"/>
    <w:rsid w:val="00AE422E"/>
    <w:rsid w:val="00AE7F14"/>
    <w:rsid w:val="00AF1C72"/>
    <w:rsid w:val="00AF62E5"/>
    <w:rsid w:val="00AF7F76"/>
    <w:rsid w:val="00B01AEF"/>
    <w:rsid w:val="00B1026A"/>
    <w:rsid w:val="00B13B14"/>
    <w:rsid w:val="00B168A2"/>
    <w:rsid w:val="00B1775C"/>
    <w:rsid w:val="00B20598"/>
    <w:rsid w:val="00B207DB"/>
    <w:rsid w:val="00B26459"/>
    <w:rsid w:val="00B35065"/>
    <w:rsid w:val="00B47FE1"/>
    <w:rsid w:val="00B508EE"/>
    <w:rsid w:val="00B55627"/>
    <w:rsid w:val="00B612D0"/>
    <w:rsid w:val="00B63405"/>
    <w:rsid w:val="00B66FD8"/>
    <w:rsid w:val="00B7227C"/>
    <w:rsid w:val="00B72B9D"/>
    <w:rsid w:val="00B84E9C"/>
    <w:rsid w:val="00B85F5E"/>
    <w:rsid w:val="00B9417C"/>
    <w:rsid w:val="00B946B2"/>
    <w:rsid w:val="00B95D66"/>
    <w:rsid w:val="00BA34C0"/>
    <w:rsid w:val="00BA7423"/>
    <w:rsid w:val="00BB047E"/>
    <w:rsid w:val="00BB1600"/>
    <w:rsid w:val="00BB5668"/>
    <w:rsid w:val="00BC00B1"/>
    <w:rsid w:val="00BC5172"/>
    <w:rsid w:val="00BD1D85"/>
    <w:rsid w:val="00BE0E75"/>
    <w:rsid w:val="00BE53C6"/>
    <w:rsid w:val="00BE5759"/>
    <w:rsid w:val="00BE5EF9"/>
    <w:rsid w:val="00BE72A8"/>
    <w:rsid w:val="00BF079C"/>
    <w:rsid w:val="00BF0B90"/>
    <w:rsid w:val="00BF2A58"/>
    <w:rsid w:val="00C03063"/>
    <w:rsid w:val="00C03A1E"/>
    <w:rsid w:val="00C10BBE"/>
    <w:rsid w:val="00C13528"/>
    <w:rsid w:val="00C172A6"/>
    <w:rsid w:val="00C2055B"/>
    <w:rsid w:val="00C2518E"/>
    <w:rsid w:val="00C3036F"/>
    <w:rsid w:val="00C32974"/>
    <w:rsid w:val="00C3775D"/>
    <w:rsid w:val="00C44EBF"/>
    <w:rsid w:val="00C45D22"/>
    <w:rsid w:val="00C608E7"/>
    <w:rsid w:val="00C634C0"/>
    <w:rsid w:val="00C63B76"/>
    <w:rsid w:val="00C66A0B"/>
    <w:rsid w:val="00C66D53"/>
    <w:rsid w:val="00C72D9C"/>
    <w:rsid w:val="00C74655"/>
    <w:rsid w:val="00C75314"/>
    <w:rsid w:val="00C847B9"/>
    <w:rsid w:val="00C87EE8"/>
    <w:rsid w:val="00C901BC"/>
    <w:rsid w:val="00C93071"/>
    <w:rsid w:val="00C940A1"/>
    <w:rsid w:val="00C9772B"/>
    <w:rsid w:val="00CA12AA"/>
    <w:rsid w:val="00CA2317"/>
    <w:rsid w:val="00CA4238"/>
    <w:rsid w:val="00CA7F98"/>
    <w:rsid w:val="00CC37C7"/>
    <w:rsid w:val="00CC3953"/>
    <w:rsid w:val="00CD5D3A"/>
    <w:rsid w:val="00CD65B1"/>
    <w:rsid w:val="00CD75D1"/>
    <w:rsid w:val="00CE1433"/>
    <w:rsid w:val="00CE3E70"/>
    <w:rsid w:val="00CF7F3E"/>
    <w:rsid w:val="00D00C54"/>
    <w:rsid w:val="00D1447F"/>
    <w:rsid w:val="00D15E05"/>
    <w:rsid w:val="00D23021"/>
    <w:rsid w:val="00D24279"/>
    <w:rsid w:val="00D25637"/>
    <w:rsid w:val="00D307FD"/>
    <w:rsid w:val="00D31659"/>
    <w:rsid w:val="00D31DB2"/>
    <w:rsid w:val="00D42EEE"/>
    <w:rsid w:val="00D45BDB"/>
    <w:rsid w:val="00D47220"/>
    <w:rsid w:val="00D47F18"/>
    <w:rsid w:val="00D52843"/>
    <w:rsid w:val="00D55578"/>
    <w:rsid w:val="00D60AFC"/>
    <w:rsid w:val="00D67391"/>
    <w:rsid w:val="00D74880"/>
    <w:rsid w:val="00D82FA3"/>
    <w:rsid w:val="00D85542"/>
    <w:rsid w:val="00D91B11"/>
    <w:rsid w:val="00D91B24"/>
    <w:rsid w:val="00DA2C23"/>
    <w:rsid w:val="00DA7455"/>
    <w:rsid w:val="00DB19C3"/>
    <w:rsid w:val="00DB1A7F"/>
    <w:rsid w:val="00DB22A0"/>
    <w:rsid w:val="00DC05E7"/>
    <w:rsid w:val="00DC14DB"/>
    <w:rsid w:val="00DC7060"/>
    <w:rsid w:val="00DD3A57"/>
    <w:rsid w:val="00DD3C2C"/>
    <w:rsid w:val="00DD3D99"/>
    <w:rsid w:val="00DD4AAD"/>
    <w:rsid w:val="00DD7B6F"/>
    <w:rsid w:val="00DE2200"/>
    <w:rsid w:val="00DE2DD5"/>
    <w:rsid w:val="00DE71B2"/>
    <w:rsid w:val="00DE71B7"/>
    <w:rsid w:val="00DE7934"/>
    <w:rsid w:val="00DF76F9"/>
    <w:rsid w:val="00E01188"/>
    <w:rsid w:val="00E01E75"/>
    <w:rsid w:val="00E06D70"/>
    <w:rsid w:val="00E13C57"/>
    <w:rsid w:val="00E21038"/>
    <w:rsid w:val="00E21A16"/>
    <w:rsid w:val="00E21AFF"/>
    <w:rsid w:val="00E37410"/>
    <w:rsid w:val="00E4646B"/>
    <w:rsid w:val="00E50B5B"/>
    <w:rsid w:val="00E529BB"/>
    <w:rsid w:val="00E558E3"/>
    <w:rsid w:val="00E626E8"/>
    <w:rsid w:val="00E62EE2"/>
    <w:rsid w:val="00E67E37"/>
    <w:rsid w:val="00E710B3"/>
    <w:rsid w:val="00E731E4"/>
    <w:rsid w:val="00E75396"/>
    <w:rsid w:val="00E84948"/>
    <w:rsid w:val="00E85AC3"/>
    <w:rsid w:val="00E86852"/>
    <w:rsid w:val="00E90BFB"/>
    <w:rsid w:val="00E9272A"/>
    <w:rsid w:val="00E92BED"/>
    <w:rsid w:val="00E9319B"/>
    <w:rsid w:val="00E94034"/>
    <w:rsid w:val="00EA1887"/>
    <w:rsid w:val="00EA1A16"/>
    <w:rsid w:val="00EA5BD1"/>
    <w:rsid w:val="00EB4A86"/>
    <w:rsid w:val="00EC6A98"/>
    <w:rsid w:val="00EC7829"/>
    <w:rsid w:val="00EC7F48"/>
    <w:rsid w:val="00ED24CB"/>
    <w:rsid w:val="00ED6118"/>
    <w:rsid w:val="00ED75D7"/>
    <w:rsid w:val="00F01A91"/>
    <w:rsid w:val="00F0243D"/>
    <w:rsid w:val="00F029CE"/>
    <w:rsid w:val="00F02B94"/>
    <w:rsid w:val="00F04AAA"/>
    <w:rsid w:val="00F055AB"/>
    <w:rsid w:val="00F13F71"/>
    <w:rsid w:val="00F21268"/>
    <w:rsid w:val="00F21BB0"/>
    <w:rsid w:val="00F222B8"/>
    <w:rsid w:val="00F3037C"/>
    <w:rsid w:val="00F3081B"/>
    <w:rsid w:val="00F53DE6"/>
    <w:rsid w:val="00F545C3"/>
    <w:rsid w:val="00F54CD0"/>
    <w:rsid w:val="00F54F06"/>
    <w:rsid w:val="00F558A4"/>
    <w:rsid w:val="00F64D77"/>
    <w:rsid w:val="00F6621A"/>
    <w:rsid w:val="00F70A56"/>
    <w:rsid w:val="00F715A9"/>
    <w:rsid w:val="00F7277F"/>
    <w:rsid w:val="00F75B70"/>
    <w:rsid w:val="00F81287"/>
    <w:rsid w:val="00F82087"/>
    <w:rsid w:val="00F82485"/>
    <w:rsid w:val="00F8338A"/>
    <w:rsid w:val="00F83F83"/>
    <w:rsid w:val="00F84920"/>
    <w:rsid w:val="00F86344"/>
    <w:rsid w:val="00F86ACF"/>
    <w:rsid w:val="00F9248B"/>
    <w:rsid w:val="00F953A1"/>
    <w:rsid w:val="00FA0662"/>
    <w:rsid w:val="00FA18DA"/>
    <w:rsid w:val="00FB0D3C"/>
    <w:rsid w:val="00FB0E8C"/>
    <w:rsid w:val="00FC1C53"/>
    <w:rsid w:val="00FC5441"/>
    <w:rsid w:val="00FC68F2"/>
    <w:rsid w:val="00FD3AE1"/>
    <w:rsid w:val="00FE0283"/>
    <w:rsid w:val="00FE111B"/>
    <w:rsid w:val="00FF3078"/>
    <w:rsid w:val="00FF425C"/>
    <w:rsid w:val="00FF7B4C"/>
    <w:rsid w:val="00FF7D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14A"/>
  </w:style>
  <w:style w:type="paragraph" w:styleId="Heading1">
    <w:name w:val="heading 1"/>
    <w:basedOn w:val="Normal"/>
    <w:next w:val="Normal"/>
    <w:link w:val="Heading1Char"/>
    <w:uiPriority w:val="9"/>
    <w:qFormat/>
    <w:rsid w:val="005A7BFA"/>
    <w:pPr>
      <w:keepNext/>
      <w:keepLines/>
      <w:spacing w:after="240"/>
      <w:ind w:left="720" w:hanging="720"/>
      <w:outlineLvl w:val="0"/>
    </w:pPr>
    <w:rPr>
      <w:rFonts w:ascii="Times New Roman Bold" w:hAnsi="Times New Roman Bold" w:eastAsiaTheme="majorEastAsia" w:cstheme="majorBidi"/>
      <w:b/>
      <w:szCs w:val="32"/>
    </w:rPr>
  </w:style>
  <w:style w:type="paragraph" w:styleId="Heading2">
    <w:name w:val="heading 2"/>
    <w:basedOn w:val="Normal"/>
    <w:next w:val="Normal"/>
    <w:link w:val="Heading2Char"/>
    <w:autoRedefine/>
    <w:uiPriority w:val="9"/>
    <w:unhideWhenUsed/>
    <w:qFormat/>
    <w:rsid w:val="00712CE5"/>
    <w:pPr>
      <w:keepNext/>
      <w:keepLines/>
      <w:spacing w:after="240"/>
      <w:outlineLvl w:val="1"/>
    </w:pPr>
    <w:rPr>
      <w:rFonts w:ascii="Times New Roman Bold" w:eastAsia="Times New Roman" w:hAnsi="Times New Roman Bold" w:cs="Arial"/>
      <w:b/>
      <w:bCs/>
      <w:szCs w:val="22"/>
      <w:u w:val="single"/>
    </w:rPr>
  </w:style>
  <w:style w:type="paragraph" w:styleId="Heading3">
    <w:name w:val="heading 3"/>
    <w:basedOn w:val="Normal"/>
    <w:next w:val="Normal"/>
    <w:link w:val="Heading3Char"/>
    <w:autoRedefine/>
    <w:uiPriority w:val="9"/>
    <w:unhideWhenUsed/>
    <w:qFormat/>
    <w:rsid w:val="003871A5"/>
    <w:pPr>
      <w:keepNext/>
      <w:keepLines/>
      <w:spacing w:after="240"/>
      <w:ind w:left="1440" w:hanging="720"/>
      <w:outlineLvl w:val="2"/>
    </w:pPr>
    <w:rPr>
      <w:rFonts w:ascii="Times New Roman Bold" w:hAnsi="Times New Roman Bold" w:eastAsiaTheme="majorEastAsia" w:cstheme="majorBidi"/>
      <w:b/>
    </w:rPr>
  </w:style>
  <w:style w:type="paragraph" w:styleId="Heading4">
    <w:name w:val="heading 4"/>
    <w:basedOn w:val="Normal"/>
    <w:next w:val="Normal"/>
    <w:link w:val="Heading4Char"/>
    <w:uiPriority w:val="9"/>
    <w:unhideWhenUsed/>
    <w:qFormat/>
    <w:rsid w:val="005A7BFA"/>
    <w:pPr>
      <w:keepNext/>
      <w:keepLines/>
      <w:spacing w:after="240"/>
      <w:ind w:left="2880" w:hanging="720"/>
      <w:outlineLvl w:val="3"/>
    </w:pPr>
    <w:rPr>
      <w:rFonts w:ascii="Times New Roman Bold" w:hAnsi="Times New Roman Bold" w:eastAsiaTheme="majorEastAsia" w:cstheme="majorBidi"/>
      <w:b/>
      <w:iCs/>
    </w:rPr>
  </w:style>
  <w:style w:type="paragraph" w:styleId="Heading5">
    <w:name w:val="heading 5"/>
    <w:basedOn w:val="Normal"/>
    <w:next w:val="Normal"/>
    <w:link w:val="Heading5Char"/>
    <w:uiPriority w:val="9"/>
    <w:unhideWhenUsed/>
    <w:qFormat/>
    <w:rsid w:val="000C3C2C"/>
    <w:pPr>
      <w:keepNext/>
      <w:keepLines/>
      <w:spacing w:after="240"/>
      <w:outlineLvl w:val="4"/>
    </w:pPr>
    <w:rPr>
      <w:rFonts w:ascii="Times New Roman Bold" w:hAnsi="Times New Roman Bold"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410"/>
    <w:pPr>
      <w:tabs>
        <w:tab w:val="center" w:pos="4680"/>
        <w:tab w:val="right" w:pos="9360"/>
      </w:tabs>
    </w:pPr>
  </w:style>
  <w:style w:type="character" w:customStyle="1" w:styleId="HeaderChar">
    <w:name w:val="Header Char"/>
    <w:basedOn w:val="DefaultParagraphFont"/>
    <w:link w:val="Header"/>
    <w:uiPriority w:val="99"/>
    <w:rsid w:val="00E37410"/>
  </w:style>
  <w:style w:type="paragraph" w:styleId="Footer">
    <w:name w:val="footer"/>
    <w:basedOn w:val="Normal"/>
    <w:link w:val="FooterChar"/>
    <w:uiPriority w:val="99"/>
    <w:unhideWhenUsed/>
    <w:rsid w:val="00E37410"/>
    <w:pPr>
      <w:tabs>
        <w:tab w:val="center" w:pos="4680"/>
        <w:tab w:val="right" w:pos="9360"/>
      </w:tabs>
    </w:pPr>
  </w:style>
  <w:style w:type="character" w:customStyle="1" w:styleId="FooterChar">
    <w:name w:val="Footer Char"/>
    <w:basedOn w:val="DefaultParagraphFont"/>
    <w:link w:val="Footer"/>
    <w:uiPriority w:val="99"/>
    <w:rsid w:val="00E37410"/>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F21268"/>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F21268"/>
    <w:rPr>
      <w:sz w:val="20"/>
      <w:szCs w:val="20"/>
    </w:rPr>
  </w:style>
  <w:style w:type="character" w:styleId="FootnoteReference">
    <w:name w:val="footnote reference"/>
    <w:aliases w:val="o"/>
    <w:basedOn w:val="DefaultParagraphFont"/>
    <w:uiPriority w:val="99"/>
    <w:unhideWhenUsed/>
    <w:rsid w:val="00F21268"/>
    <w:rPr>
      <w:vertAlign w:val="superscript"/>
    </w:rPr>
  </w:style>
  <w:style w:type="character" w:styleId="Hyperlink">
    <w:name w:val="Hyperlink"/>
    <w:basedOn w:val="DefaultParagraphFont"/>
    <w:uiPriority w:val="99"/>
    <w:unhideWhenUsed/>
    <w:rsid w:val="00F21268"/>
    <w:rPr>
      <w:color w:val="0000FF"/>
      <w:u w:val="single"/>
    </w:rPr>
  </w:style>
  <w:style w:type="character" w:customStyle="1" w:styleId="UnresolvedMention1">
    <w:name w:val="Unresolved Mention1"/>
    <w:basedOn w:val="DefaultParagraphFont"/>
    <w:uiPriority w:val="99"/>
    <w:semiHidden/>
    <w:unhideWhenUsed/>
    <w:rsid w:val="00F21268"/>
    <w:rPr>
      <w:color w:val="605E5C"/>
      <w:shd w:val="clear" w:color="auto" w:fill="E1DFDD"/>
    </w:rPr>
  </w:style>
  <w:style w:type="paragraph" w:styleId="ListParagraph">
    <w:name w:val="List Paragraph"/>
    <w:basedOn w:val="Normal"/>
    <w:uiPriority w:val="34"/>
    <w:qFormat/>
    <w:rsid w:val="00187723"/>
    <w:pPr>
      <w:ind w:left="720"/>
      <w:contextualSpacing/>
    </w:pPr>
  </w:style>
  <w:style w:type="table" w:styleId="TableGrid">
    <w:name w:val="Table Grid"/>
    <w:basedOn w:val="TableNormal"/>
    <w:rsid w:val="00782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9E5"/>
    <w:rPr>
      <w:sz w:val="16"/>
      <w:szCs w:val="16"/>
    </w:rPr>
  </w:style>
  <w:style w:type="paragraph" w:styleId="CommentText">
    <w:name w:val="annotation text"/>
    <w:basedOn w:val="Normal"/>
    <w:link w:val="CommentTextChar"/>
    <w:uiPriority w:val="99"/>
    <w:unhideWhenUsed/>
    <w:rsid w:val="006559E5"/>
    <w:rPr>
      <w:sz w:val="20"/>
      <w:szCs w:val="20"/>
    </w:rPr>
  </w:style>
  <w:style w:type="character" w:customStyle="1" w:styleId="CommentTextChar">
    <w:name w:val="Comment Text Char"/>
    <w:basedOn w:val="DefaultParagraphFont"/>
    <w:link w:val="CommentText"/>
    <w:uiPriority w:val="99"/>
    <w:rsid w:val="006559E5"/>
    <w:rPr>
      <w:sz w:val="20"/>
      <w:szCs w:val="20"/>
    </w:rPr>
  </w:style>
  <w:style w:type="paragraph" w:styleId="CommentSubject">
    <w:name w:val="annotation subject"/>
    <w:basedOn w:val="CommentText"/>
    <w:next w:val="CommentText"/>
    <w:link w:val="CommentSubjectChar"/>
    <w:uiPriority w:val="99"/>
    <w:semiHidden/>
    <w:unhideWhenUsed/>
    <w:rsid w:val="006559E5"/>
    <w:rPr>
      <w:b/>
      <w:bCs/>
    </w:rPr>
  </w:style>
  <w:style w:type="character" w:customStyle="1" w:styleId="CommentSubjectChar">
    <w:name w:val="Comment Subject Char"/>
    <w:basedOn w:val="CommentTextChar"/>
    <w:link w:val="CommentSubject"/>
    <w:uiPriority w:val="99"/>
    <w:semiHidden/>
    <w:rsid w:val="006559E5"/>
    <w:rPr>
      <w:b/>
      <w:bCs/>
      <w:sz w:val="20"/>
      <w:szCs w:val="20"/>
    </w:rPr>
  </w:style>
  <w:style w:type="paragraph" w:styleId="BalloonText">
    <w:name w:val="Balloon Text"/>
    <w:basedOn w:val="Normal"/>
    <w:link w:val="BalloonTextChar"/>
    <w:uiPriority w:val="99"/>
    <w:semiHidden/>
    <w:unhideWhenUsed/>
    <w:rsid w:val="006559E5"/>
    <w:rPr>
      <w:rFonts w:ascii="Tahoma" w:hAnsi="Tahoma" w:cs="Tahoma"/>
      <w:sz w:val="16"/>
      <w:szCs w:val="16"/>
    </w:rPr>
  </w:style>
  <w:style w:type="character" w:customStyle="1" w:styleId="BalloonTextChar">
    <w:name w:val="Balloon Text Char"/>
    <w:basedOn w:val="DefaultParagraphFont"/>
    <w:link w:val="BalloonText"/>
    <w:uiPriority w:val="99"/>
    <w:semiHidden/>
    <w:rsid w:val="006559E5"/>
    <w:rPr>
      <w:rFonts w:ascii="Tahoma" w:hAnsi="Tahoma" w:cs="Tahoma"/>
      <w:sz w:val="16"/>
      <w:szCs w:val="16"/>
    </w:rPr>
  </w:style>
  <w:style w:type="character" w:customStyle="1" w:styleId="Heading2Char">
    <w:name w:val="Heading 2 Char"/>
    <w:basedOn w:val="DefaultParagraphFont"/>
    <w:link w:val="Heading2"/>
    <w:uiPriority w:val="9"/>
    <w:rsid w:val="00712CE5"/>
    <w:rPr>
      <w:rFonts w:ascii="Times New Roman Bold" w:eastAsia="Times New Roman" w:hAnsi="Times New Roman Bold" w:cs="Arial"/>
      <w:b/>
      <w:bCs/>
      <w:szCs w:val="22"/>
      <w:u w:val="single"/>
    </w:rPr>
  </w:style>
  <w:style w:type="character" w:customStyle="1" w:styleId="UnresolvedMention2">
    <w:name w:val="Unresolved Mention2"/>
    <w:basedOn w:val="DefaultParagraphFont"/>
    <w:uiPriority w:val="99"/>
    <w:semiHidden/>
    <w:unhideWhenUsed/>
    <w:rsid w:val="002D5BCB"/>
    <w:rPr>
      <w:color w:val="605E5C"/>
      <w:shd w:val="clear" w:color="auto" w:fill="E1DFDD"/>
    </w:rPr>
  </w:style>
  <w:style w:type="character" w:styleId="FollowedHyperlink">
    <w:name w:val="FollowedHyperlink"/>
    <w:basedOn w:val="DefaultParagraphFont"/>
    <w:uiPriority w:val="99"/>
    <w:semiHidden/>
    <w:unhideWhenUsed/>
    <w:rsid w:val="002D5BCB"/>
    <w:rPr>
      <w:color w:val="954F72" w:themeColor="followedHyperlink"/>
      <w:u w:val="single"/>
    </w:rPr>
  </w:style>
  <w:style w:type="paragraph" w:styleId="HTMLPreformatted">
    <w:name w:val="HTML Preformatted"/>
    <w:basedOn w:val="Normal"/>
    <w:link w:val="HTMLPreformattedChar"/>
    <w:rsid w:val="00F0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02B94"/>
    <w:rPr>
      <w:rFonts w:ascii="Courier New" w:eastAsia="Courier New" w:hAnsi="Courier New" w:cs="Courier New"/>
      <w:sz w:val="20"/>
      <w:szCs w:val="20"/>
    </w:rPr>
  </w:style>
  <w:style w:type="paragraph" w:styleId="BodyText">
    <w:name w:val="Body Text"/>
    <w:basedOn w:val="Normal"/>
    <w:link w:val="BodyTextChar"/>
    <w:rsid w:val="00F02B94"/>
    <w:pPr>
      <w:widowControl w:val="0"/>
      <w:overflowPunct w:val="0"/>
      <w:adjustRightInd w:val="0"/>
      <w:spacing w:after="120"/>
    </w:pPr>
    <w:rPr>
      <w:rFonts w:eastAsia="Times New Roman"/>
      <w:kern w:val="28"/>
    </w:rPr>
  </w:style>
  <w:style w:type="character" w:customStyle="1" w:styleId="BodyTextChar">
    <w:name w:val="Body Text Char"/>
    <w:basedOn w:val="DefaultParagraphFont"/>
    <w:link w:val="BodyText"/>
    <w:rsid w:val="00F02B94"/>
    <w:rPr>
      <w:rFonts w:eastAsia="Times New Roman"/>
      <w:kern w:val="28"/>
    </w:rPr>
  </w:style>
  <w:style w:type="character" w:customStyle="1" w:styleId="Heading1Char">
    <w:name w:val="Heading 1 Char"/>
    <w:basedOn w:val="DefaultParagraphFont"/>
    <w:link w:val="Heading1"/>
    <w:uiPriority w:val="9"/>
    <w:rsid w:val="005A7BFA"/>
    <w:rPr>
      <w:rFonts w:ascii="Times New Roman Bold" w:hAnsi="Times New Roman Bold" w:eastAsiaTheme="majorEastAsia" w:cstheme="majorBidi"/>
      <w:b/>
      <w:szCs w:val="32"/>
    </w:rPr>
  </w:style>
  <w:style w:type="character" w:customStyle="1" w:styleId="Heading3Char">
    <w:name w:val="Heading 3 Char"/>
    <w:basedOn w:val="DefaultParagraphFont"/>
    <w:link w:val="Heading3"/>
    <w:uiPriority w:val="9"/>
    <w:rsid w:val="003871A5"/>
    <w:rPr>
      <w:rFonts w:ascii="Times New Roman Bold" w:hAnsi="Times New Roman Bold" w:eastAsiaTheme="majorEastAsia" w:cstheme="majorBidi"/>
      <w:b/>
    </w:rPr>
  </w:style>
  <w:style w:type="character" w:customStyle="1" w:styleId="Heading4Char">
    <w:name w:val="Heading 4 Char"/>
    <w:basedOn w:val="DefaultParagraphFont"/>
    <w:link w:val="Heading4"/>
    <w:uiPriority w:val="9"/>
    <w:rsid w:val="005A7BFA"/>
    <w:rPr>
      <w:rFonts w:ascii="Times New Roman Bold" w:hAnsi="Times New Roman Bold" w:eastAsiaTheme="majorEastAsia" w:cstheme="majorBidi"/>
      <w:b/>
      <w:iCs/>
    </w:rPr>
  </w:style>
  <w:style w:type="character" w:customStyle="1" w:styleId="Heading5Char">
    <w:name w:val="Heading 5 Char"/>
    <w:basedOn w:val="DefaultParagraphFont"/>
    <w:link w:val="Heading5"/>
    <w:uiPriority w:val="9"/>
    <w:rsid w:val="000C3C2C"/>
    <w:rPr>
      <w:rFonts w:ascii="Times New Roman Bold" w:hAnsi="Times New Roman Bold" w:eastAsiaTheme="majorEastAsia" w:cstheme="majorBidi"/>
      <w:b/>
    </w:rPr>
  </w:style>
  <w:style w:type="paragraph" w:styleId="TOC1">
    <w:name w:val="toc 1"/>
    <w:basedOn w:val="Normal"/>
    <w:next w:val="Normal"/>
    <w:autoRedefine/>
    <w:uiPriority w:val="39"/>
    <w:unhideWhenUsed/>
    <w:rsid w:val="00F0243D"/>
    <w:pPr>
      <w:tabs>
        <w:tab w:val="decimal" w:leader="dot" w:pos="8640"/>
      </w:tabs>
      <w:spacing w:after="240"/>
      <w:ind w:left="720" w:hanging="720"/>
    </w:pPr>
  </w:style>
  <w:style w:type="paragraph" w:styleId="TOC2">
    <w:name w:val="toc 2"/>
    <w:basedOn w:val="Normal"/>
    <w:next w:val="Normal"/>
    <w:autoRedefine/>
    <w:uiPriority w:val="39"/>
    <w:unhideWhenUsed/>
    <w:rsid w:val="00F0243D"/>
    <w:pPr>
      <w:tabs>
        <w:tab w:val="decimal" w:leader="dot" w:pos="8640"/>
      </w:tabs>
      <w:spacing w:after="240"/>
      <w:ind w:left="1440" w:hanging="720"/>
    </w:pPr>
  </w:style>
  <w:style w:type="paragraph" w:styleId="TOC3">
    <w:name w:val="toc 3"/>
    <w:basedOn w:val="Normal"/>
    <w:next w:val="Normal"/>
    <w:autoRedefine/>
    <w:uiPriority w:val="39"/>
    <w:unhideWhenUsed/>
    <w:rsid w:val="00F0243D"/>
    <w:pPr>
      <w:tabs>
        <w:tab w:val="decimal" w:leader="dot" w:pos="8640"/>
      </w:tabs>
      <w:spacing w:after="240"/>
      <w:ind w:left="2160" w:hanging="720"/>
    </w:pPr>
  </w:style>
  <w:style w:type="paragraph" w:styleId="TOC4">
    <w:name w:val="toc 4"/>
    <w:basedOn w:val="Normal"/>
    <w:next w:val="Normal"/>
    <w:autoRedefine/>
    <w:uiPriority w:val="39"/>
    <w:unhideWhenUsed/>
    <w:rsid w:val="00F0243D"/>
    <w:pPr>
      <w:tabs>
        <w:tab w:val="decimal" w:leader="dot" w:pos="8640"/>
      </w:tabs>
      <w:spacing w:after="240"/>
      <w:ind w:left="2880" w:hanging="720"/>
    </w:pPr>
  </w:style>
  <w:style w:type="paragraph" w:styleId="TOC5">
    <w:name w:val="toc 5"/>
    <w:basedOn w:val="Normal"/>
    <w:next w:val="Normal"/>
    <w:autoRedefine/>
    <w:uiPriority w:val="39"/>
    <w:unhideWhenUsed/>
    <w:rsid w:val="000C3C2C"/>
    <w:pPr>
      <w:tabs>
        <w:tab w:val="decimal" w:leader="dot" w:pos="8640"/>
      </w:tabs>
      <w:spacing w:after="240"/>
    </w:pPr>
  </w:style>
  <w:style w:type="paragraph" w:customStyle="1" w:styleId="InsideAddress">
    <w:name w:val="Inside Address"/>
    <w:basedOn w:val="Normal"/>
    <w:rsid w:val="00665656"/>
    <w:rPr>
      <w:rFonts w:ascii="Times" w:eastAsia="Times" w:hAnsi="Times"/>
      <w:szCs w:val="20"/>
    </w:rPr>
  </w:style>
  <w:style w:type="paragraph" w:styleId="BodyTextIndent3">
    <w:name w:val="Body Text Indent 3"/>
    <w:basedOn w:val="Normal"/>
    <w:link w:val="BodyTextIndent3Char"/>
    <w:uiPriority w:val="99"/>
    <w:semiHidden/>
    <w:unhideWhenUsed/>
    <w:rsid w:val="006656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5656"/>
    <w:rPr>
      <w:sz w:val="16"/>
      <w:szCs w:val="16"/>
    </w:rPr>
  </w:style>
  <w:style w:type="character" w:customStyle="1" w:styleId="UnresolvedMention3">
    <w:name w:val="Unresolved Mention3"/>
    <w:basedOn w:val="DefaultParagraphFont"/>
    <w:uiPriority w:val="99"/>
    <w:rsid w:val="00665656"/>
    <w:rPr>
      <w:color w:val="605E5C"/>
      <w:shd w:val="clear" w:color="auto" w:fill="E1DFDD"/>
    </w:rPr>
  </w:style>
  <w:style w:type="paragraph" w:styleId="NormalWeb">
    <w:name w:val="Normal (Web)"/>
    <w:basedOn w:val="Normal"/>
    <w:uiPriority w:val="99"/>
    <w:unhideWhenUsed/>
    <w:rsid w:val="00056D54"/>
    <w:pPr>
      <w:spacing w:before="100" w:beforeAutospacing="1" w:after="100" w:afterAutospacing="1"/>
    </w:pPr>
    <w:rPr>
      <w:rFonts w:eastAsia="Times New Roman"/>
    </w:rPr>
  </w:style>
  <w:style w:type="paragraph" w:styleId="Revision">
    <w:name w:val="Revision"/>
    <w:hidden/>
    <w:uiPriority w:val="99"/>
    <w:semiHidden/>
    <w:rsid w:val="0006228F"/>
  </w:style>
  <w:style w:type="character" w:customStyle="1" w:styleId="UnresolvedMention4">
    <w:name w:val="Unresolved Mention4"/>
    <w:basedOn w:val="DefaultParagraphFont"/>
    <w:uiPriority w:val="99"/>
    <w:semiHidden/>
    <w:unhideWhenUsed/>
    <w:rsid w:val="008C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http://codes.ohio.gov/oac/4901-1-23" TargetMode="External" /><Relationship Id="rId12" Type="http://schemas.openxmlformats.org/officeDocument/2006/relationships/header" Target="header2.xml" /><Relationship Id="rId13" Type="http://schemas.openxmlformats.org/officeDocument/2006/relationships/hyperlink" Target="mailto:Christopher.healey@occ.ohio.gov" TargetMode="External" /><Relationship Id="rId14" Type="http://schemas.openxmlformats.org/officeDocument/2006/relationships/hyperlink" Target="mailto:John.jones@ohioattorneygeneral.gov" TargetMode="External" /><Relationship Id="rId15" Type="http://schemas.openxmlformats.org/officeDocument/2006/relationships/hyperlink" Target="mailto:cendsley@ofbf.org" TargetMode="External" /><Relationship Id="rId16" Type="http://schemas.openxmlformats.org/officeDocument/2006/relationships/hyperlink" Target="mailto:lcurtis@ofbf.org" TargetMode="External" /><Relationship Id="rId17" Type="http://schemas.openxmlformats.org/officeDocument/2006/relationships/hyperlink" Target="mailto:amilam@ofbf.org" TargetMode="External" /><Relationship Id="rId18" Type="http://schemas.openxmlformats.org/officeDocument/2006/relationships/hyperlink" Target="mailto:Fdarr2019@gmail.com" TargetMode="External" /><Relationship Id="rId19" Type="http://schemas.openxmlformats.org/officeDocument/2006/relationships/hyperlink" Target="mailto:edanford@firstenergycorp.com" TargetMode="External" /><Relationship Id="rId2" Type="http://schemas.openxmlformats.org/officeDocument/2006/relationships/settings" Target="settings.xml" /><Relationship Id="rId20" Type="http://schemas.openxmlformats.org/officeDocument/2006/relationships/hyperlink" Target="mailto:Patricia.schabo@puco.ohio.gov"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trhayslaw@gmail.com" TargetMode="External" /><Relationship Id="rId8" Type="http://schemas.openxmlformats.org/officeDocument/2006/relationships/footer" Target="footer1.xm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puco.ohio.gov/emplibrary/files/docketing/E-File_Manu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BA80-2910-4833-8BC0-5F313F4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9029</Words>
  <Characters>51467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2020-01-13T22:11:33Z</dcterms:created>
  <dcterms:modified xsi:type="dcterms:W3CDTF">2020-01-13T22:11:33Z</dcterms:modified>
</cp:coreProperties>
</file>