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838EA" w:rsidRPr="0009794A" w:rsidP="007838EA" w14:paraId="4AE4E7DB" w14:textId="77777777">
      <w:pPr>
        <w:pStyle w:val="HTMLPreformatted"/>
        <w:jc w:val="center"/>
        <w:rPr>
          <w:rFonts w:ascii="Times New Roman" w:hAnsi="Times New Roman" w:cs="Times New Roman"/>
          <w:b/>
          <w:bCs/>
          <w:sz w:val="24"/>
          <w:szCs w:val="24"/>
        </w:rPr>
      </w:pPr>
      <w:r w:rsidRPr="0009794A">
        <w:rPr>
          <w:rFonts w:ascii="Times New Roman" w:hAnsi="Times New Roman" w:cs="Times New Roman"/>
          <w:b/>
          <w:bCs/>
          <w:sz w:val="24"/>
          <w:szCs w:val="24"/>
        </w:rPr>
        <w:t>BEFORE</w:t>
      </w:r>
    </w:p>
    <w:p w:rsidR="007838EA" w:rsidRPr="0009794A" w:rsidP="007838EA" w14:paraId="4A9F9220" w14:textId="77777777">
      <w:pPr>
        <w:pStyle w:val="HTMLPreformatted"/>
        <w:jc w:val="center"/>
        <w:rPr>
          <w:rFonts w:ascii="Times New Roman" w:hAnsi="Times New Roman" w:cs="Times New Roman"/>
          <w:sz w:val="24"/>
          <w:szCs w:val="24"/>
        </w:rPr>
      </w:pPr>
      <w:r w:rsidRPr="0009794A">
        <w:rPr>
          <w:rFonts w:ascii="Times New Roman" w:hAnsi="Times New Roman" w:cs="Times New Roman"/>
          <w:b/>
          <w:bCs/>
          <w:sz w:val="24"/>
          <w:szCs w:val="24"/>
        </w:rPr>
        <w:t>THE PUBLIC UTILITIES COMMISSION OF OHIO</w:t>
      </w:r>
    </w:p>
    <w:p w:rsidR="007838EA" w:rsidRPr="0009794A" w:rsidP="007838EA" w14:paraId="66B5C019" w14:textId="77777777">
      <w:pPr>
        <w:pStyle w:val="HTMLPreformatted"/>
        <w:rPr>
          <w:rFonts w:ascii="Times New Roman" w:hAnsi="Times New Roman" w:cs="Times New Roman"/>
          <w:sz w:val="24"/>
          <w:szCs w:val="24"/>
        </w:rPr>
      </w:pPr>
    </w:p>
    <w:tbl>
      <w:tblPr>
        <w:tblW w:w="8730" w:type="dxa"/>
        <w:tblLook w:val="01E0"/>
      </w:tblPr>
      <w:tblGrid>
        <w:gridCol w:w="4230"/>
        <w:gridCol w:w="468"/>
        <w:gridCol w:w="4032"/>
      </w:tblGrid>
      <w:tr w14:paraId="2D022E3B" w14:textId="77777777" w:rsidTr="000632D3">
        <w:tblPrEx>
          <w:tblW w:w="8730" w:type="dxa"/>
          <w:tblLook w:val="01E0"/>
        </w:tblPrEx>
        <w:trPr>
          <w:trHeight w:val="807"/>
        </w:trPr>
        <w:tc>
          <w:tcPr>
            <w:tcW w:w="4230" w:type="dxa"/>
            <w:shd w:val="clear" w:color="auto" w:fill="auto"/>
          </w:tcPr>
          <w:p w:rsidR="0009794A" w:rsidRPr="000B1CB4" w:rsidP="000632D3" w14:paraId="25B2A81A"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 xml:space="preserve">In the Matter of the Commission’s </w:t>
            </w:r>
          </w:p>
          <w:p w:rsidR="0009794A" w:rsidRPr="000B1CB4" w:rsidP="000632D3" w14:paraId="3EF86531" w14:textId="58B5C154">
            <w:pPr>
              <w:pStyle w:val="HTMLPreformatted"/>
              <w:rPr>
                <w:rFonts w:ascii="Times New Roman" w:hAnsi="Times New Roman" w:cs="Times New Roman"/>
                <w:sz w:val="24"/>
                <w:szCs w:val="24"/>
              </w:rPr>
            </w:pPr>
            <w:r w:rsidRPr="000B1CB4">
              <w:rPr>
                <w:rFonts w:ascii="Times New Roman" w:hAnsi="Times New Roman" w:cs="Times New Roman"/>
                <w:sz w:val="24"/>
                <w:szCs w:val="24"/>
              </w:rPr>
              <w:t>Investigation of RPA Energy, Inc.’s Compliance with the Ohio Administrative Code and Potential Remedial Actions for Non-Compliance</w:t>
            </w:r>
          </w:p>
        </w:tc>
        <w:tc>
          <w:tcPr>
            <w:tcW w:w="468" w:type="dxa"/>
            <w:shd w:val="clear" w:color="auto" w:fill="auto"/>
          </w:tcPr>
          <w:p w:rsidR="0009794A" w:rsidRPr="000B1CB4" w:rsidP="000632D3" w14:paraId="5A4ECF88"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09794A" w:rsidRPr="000B1CB4" w:rsidP="000632D3" w14:paraId="1C7C803B"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09794A" w:rsidRPr="000B1CB4" w:rsidP="000632D3" w14:paraId="6F501985"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09794A" w:rsidRPr="000B1CB4" w:rsidP="000632D3" w14:paraId="6EEFE518"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09794A" w:rsidRPr="000B1CB4" w:rsidP="000632D3" w14:paraId="787271A2" w14:textId="49BC527F">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tc>
        <w:tc>
          <w:tcPr>
            <w:tcW w:w="4032" w:type="dxa"/>
            <w:shd w:val="clear" w:color="auto" w:fill="auto"/>
          </w:tcPr>
          <w:p w:rsidR="0009794A" w:rsidRPr="000B1CB4" w:rsidP="000632D3" w14:paraId="597E4CA2" w14:textId="77777777">
            <w:pPr>
              <w:pStyle w:val="HTMLPreformatted"/>
              <w:rPr>
                <w:rFonts w:ascii="Times New Roman" w:hAnsi="Times New Roman" w:cs="Times New Roman"/>
                <w:sz w:val="24"/>
                <w:szCs w:val="24"/>
              </w:rPr>
            </w:pPr>
          </w:p>
          <w:p w:rsidR="0009794A" w:rsidRPr="000B1CB4" w:rsidP="000632D3" w14:paraId="5D4EDB8F" w14:textId="77777777">
            <w:pPr>
              <w:pStyle w:val="HTMLPreformatted"/>
              <w:rPr>
                <w:rFonts w:ascii="Times New Roman" w:hAnsi="Times New Roman" w:cs="Times New Roman"/>
                <w:sz w:val="24"/>
                <w:szCs w:val="24"/>
              </w:rPr>
            </w:pPr>
          </w:p>
          <w:p w:rsidR="0009794A" w:rsidRPr="000B1CB4" w:rsidP="000632D3" w14:paraId="3549EEB1"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Case No. 22-441-GE-COI</w:t>
            </w:r>
          </w:p>
          <w:p w:rsidR="0009794A" w:rsidRPr="000B1CB4" w:rsidP="000632D3" w14:paraId="7056CBCC" w14:textId="77777777">
            <w:pPr>
              <w:pStyle w:val="HTMLPreformatted"/>
              <w:rPr>
                <w:rFonts w:ascii="Times New Roman" w:hAnsi="Times New Roman" w:cs="Times New Roman"/>
                <w:sz w:val="24"/>
                <w:szCs w:val="24"/>
              </w:rPr>
            </w:pPr>
          </w:p>
          <w:p w:rsidR="0009794A" w:rsidRPr="000B1CB4" w:rsidP="000632D3" w14:paraId="4CD54699" w14:textId="77777777">
            <w:pPr>
              <w:pStyle w:val="HTMLPreformatted"/>
              <w:rPr>
                <w:rFonts w:ascii="Times New Roman" w:hAnsi="Times New Roman" w:cs="Times New Roman"/>
                <w:sz w:val="24"/>
                <w:szCs w:val="24"/>
              </w:rPr>
            </w:pPr>
          </w:p>
        </w:tc>
      </w:tr>
    </w:tbl>
    <w:p w:rsidR="007838EA" w:rsidRPr="0009794A" w:rsidP="007838EA" w14:paraId="646EACFF" w14:textId="77777777">
      <w:pPr>
        <w:pStyle w:val="HTMLPreformatted"/>
        <w:rPr>
          <w:rFonts w:ascii="Times New Roman" w:hAnsi="Times New Roman" w:cs="Times New Roman"/>
          <w:sz w:val="24"/>
          <w:szCs w:val="24"/>
        </w:rPr>
      </w:pPr>
      <w:r w:rsidRPr="0009794A">
        <w:rPr>
          <w:rFonts w:ascii="Times New Roman" w:hAnsi="Times New Roman" w:cs="Times New Roman"/>
          <w:sz w:val="24"/>
          <w:szCs w:val="24"/>
        </w:rPr>
        <w:tab/>
      </w:r>
    </w:p>
    <w:p w:rsidR="007838EA" w:rsidRPr="0009794A" w:rsidP="007838EA" w14:paraId="04EFA6BE" w14:textId="77777777">
      <w:pPr>
        <w:pStyle w:val="HTMLPreformatted"/>
        <w:pBdr>
          <w:top w:val="single" w:sz="12" w:space="1" w:color="auto"/>
        </w:pBdr>
        <w:rPr>
          <w:rFonts w:ascii="Times New Roman" w:hAnsi="Times New Roman" w:cs="Times New Roman"/>
          <w:sz w:val="24"/>
          <w:szCs w:val="24"/>
        </w:rPr>
      </w:pPr>
    </w:p>
    <w:p w:rsidR="007838EA" w:rsidP="007838EA" w14:paraId="6336D830" w14:textId="58731427">
      <w:pPr>
        <w:jc w:val="center"/>
        <w:rPr>
          <w:b/>
          <w:bCs/>
          <w:szCs w:val="24"/>
        </w:rPr>
      </w:pPr>
      <w:bookmarkStart w:id="0" w:name="_Hlk105073158"/>
      <w:r w:rsidRPr="0009794A">
        <w:rPr>
          <w:b/>
          <w:bCs/>
          <w:szCs w:val="24"/>
        </w:rPr>
        <w:t>MEMORANDUM CONTRA</w:t>
      </w:r>
      <w:r w:rsidR="0009794A">
        <w:rPr>
          <w:b/>
          <w:bCs/>
          <w:szCs w:val="24"/>
        </w:rPr>
        <w:t xml:space="preserve"> </w:t>
      </w:r>
      <w:r w:rsidRPr="0009794A" w:rsidR="00CC4136">
        <w:rPr>
          <w:b/>
          <w:bCs/>
          <w:szCs w:val="24"/>
        </w:rPr>
        <w:t>GREEN CHOICE’S DEF</w:t>
      </w:r>
      <w:r w:rsidR="00CB04C1">
        <w:rPr>
          <w:b/>
          <w:bCs/>
          <w:szCs w:val="24"/>
        </w:rPr>
        <w:t>ECTIVE</w:t>
      </w:r>
      <w:r w:rsidRPr="0009794A">
        <w:rPr>
          <w:b/>
          <w:bCs/>
          <w:szCs w:val="24"/>
        </w:rPr>
        <w:t xml:space="preserve"> MOTION FOR PROTECTIVE ORDER</w:t>
      </w:r>
    </w:p>
    <w:bookmarkEnd w:id="0"/>
    <w:p w:rsidR="0009794A" w:rsidRPr="000B1CB4" w:rsidP="0009794A" w14:paraId="20A7B782" w14:textId="77777777">
      <w:pPr>
        <w:jc w:val="center"/>
        <w:rPr>
          <w:b/>
          <w:bCs/>
          <w:szCs w:val="24"/>
        </w:rPr>
      </w:pPr>
      <w:r w:rsidRPr="000B1CB4">
        <w:rPr>
          <w:b/>
          <w:bCs/>
          <w:szCs w:val="24"/>
        </w:rPr>
        <w:t>BY</w:t>
      </w:r>
    </w:p>
    <w:p w:rsidR="0009794A" w:rsidRPr="000B1CB4" w:rsidP="0009794A" w14:paraId="5D37CB32" w14:textId="77777777">
      <w:pPr>
        <w:jc w:val="center"/>
        <w:rPr>
          <w:b/>
          <w:bCs/>
          <w:szCs w:val="24"/>
        </w:rPr>
      </w:pPr>
      <w:r w:rsidRPr="000B1CB4">
        <w:rPr>
          <w:b/>
          <w:bCs/>
          <w:szCs w:val="24"/>
        </w:rPr>
        <w:t>OFFICE OF THE OHIO CONSUMERS’ COUNSEL</w:t>
      </w:r>
    </w:p>
    <w:p w:rsidR="007838EA" w:rsidRPr="0009794A" w:rsidP="0009794A" w14:paraId="5A2F32DD" w14:textId="77777777">
      <w:pPr>
        <w:pBdr>
          <w:bottom w:val="single" w:sz="12" w:space="1" w:color="auto"/>
        </w:pBdr>
        <w:tabs>
          <w:tab w:val="left" w:pos="4320"/>
        </w:tabs>
        <w:spacing w:after="240"/>
        <w:rPr>
          <w:szCs w:val="24"/>
        </w:rPr>
      </w:pPr>
    </w:p>
    <w:p w:rsidR="00C53E71" w:rsidRPr="00F427B3" w:rsidP="00F427B3" w14:paraId="6F6B0439" w14:textId="184E231B">
      <w:pPr>
        <w:pStyle w:val="Heading1"/>
        <w:rPr>
          <w:b w:val="0"/>
        </w:rPr>
      </w:pPr>
      <w:r>
        <w:t>I.</w:t>
      </w:r>
      <w:r>
        <w:tab/>
      </w:r>
      <w:r w:rsidRPr="0009794A">
        <w:t>INTRODUCTION</w:t>
      </w:r>
    </w:p>
    <w:p w:rsidR="00CE2351" w:rsidP="002759C2" w14:paraId="7FC8B4D4" w14:textId="1E873F3E">
      <w:pPr>
        <w:spacing w:line="480" w:lineRule="auto"/>
        <w:ind w:firstLine="720"/>
        <w:rPr>
          <w:szCs w:val="24"/>
        </w:rPr>
      </w:pPr>
      <w:r w:rsidRPr="0009794A">
        <w:rPr>
          <w:szCs w:val="24"/>
        </w:rPr>
        <w:t xml:space="preserve">Electric and natural gas marketer RPA Energy, Inc., d/b/a Green Choice Energy (“Green Choice”) seeks to deny the Ohio Consumers’ Counsel (“OCC”) discovery that it is entitled </w:t>
      </w:r>
      <w:r w:rsidRPr="0009794A" w:rsidR="00441BBE">
        <w:rPr>
          <w:szCs w:val="24"/>
        </w:rPr>
        <w:t xml:space="preserve">to </w:t>
      </w:r>
      <w:r w:rsidRPr="0009794A">
        <w:rPr>
          <w:szCs w:val="24"/>
        </w:rPr>
        <w:t>by law</w:t>
      </w:r>
      <w:r w:rsidR="00A40ED6">
        <w:rPr>
          <w:szCs w:val="24"/>
        </w:rPr>
        <w:t>.</w:t>
      </w:r>
      <w:r w:rsidRPr="0009794A">
        <w:rPr>
          <w:szCs w:val="24"/>
        </w:rPr>
        <w:t xml:space="preserve"> </w:t>
      </w:r>
      <w:r w:rsidR="00A40ED6">
        <w:rPr>
          <w:szCs w:val="24"/>
        </w:rPr>
        <w:t>OCC’s discovery</w:t>
      </w:r>
      <w:r w:rsidRPr="0009794A">
        <w:rPr>
          <w:szCs w:val="24"/>
        </w:rPr>
        <w:t xml:space="preserve"> is directly relevant to </w:t>
      </w:r>
      <w:r w:rsidRPr="0009794A" w:rsidR="00441BBE">
        <w:rPr>
          <w:szCs w:val="24"/>
        </w:rPr>
        <w:t>Green Choice’s</w:t>
      </w:r>
      <w:r w:rsidRPr="0009794A">
        <w:rPr>
          <w:szCs w:val="24"/>
        </w:rPr>
        <w:t xml:space="preserve"> unfair, deceptive, and unconscionable marketing tactics currently under investigation by the Public Utilities Commission (“PUCO”). OCC filed a motion to intervene in this case on April 27, 2022.</w:t>
      </w:r>
      <w:r>
        <w:rPr>
          <w:rStyle w:val="FootnoteReference"/>
          <w:szCs w:val="24"/>
        </w:rPr>
        <w:footnoteReference w:id="2"/>
      </w:r>
      <w:r w:rsidRPr="0009794A">
        <w:rPr>
          <w:szCs w:val="24"/>
        </w:rPr>
        <w:t xml:space="preserve"> </w:t>
      </w:r>
    </w:p>
    <w:p w:rsidR="00916E04" w:rsidP="00B410F2" w14:paraId="42E5771A" w14:textId="77777777">
      <w:pPr>
        <w:spacing w:line="480" w:lineRule="auto"/>
        <w:ind w:firstLine="720"/>
        <w:rPr>
          <w:szCs w:val="24"/>
        </w:rPr>
        <w:sectPr w:rsidSect="0019196D">
          <w:footerReference w:type="default" r:id="rId6"/>
          <w:pgSz w:w="12240" w:h="15840"/>
          <w:pgMar w:top="1440" w:right="1800" w:bottom="1440" w:left="1800" w:header="720" w:footer="720" w:gutter="0"/>
          <w:pgNumType w:start="2"/>
          <w:cols w:space="720"/>
          <w:docGrid w:linePitch="360"/>
        </w:sectPr>
      </w:pPr>
      <w:r>
        <w:rPr>
          <w:szCs w:val="24"/>
        </w:rPr>
        <w:t>It is long settled that</w:t>
      </w:r>
      <w:r w:rsidRPr="0009794A" w:rsidR="00C53E71">
        <w:rPr>
          <w:szCs w:val="24"/>
        </w:rPr>
        <w:t xml:space="preserve"> </w:t>
      </w:r>
      <w:r>
        <w:rPr>
          <w:szCs w:val="24"/>
        </w:rPr>
        <w:t xml:space="preserve">parties, including </w:t>
      </w:r>
      <w:r w:rsidRPr="0009794A" w:rsidR="00C53E71">
        <w:rPr>
          <w:szCs w:val="24"/>
        </w:rPr>
        <w:t>OCC</w:t>
      </w:r>
      <w:r>
        <w:rPr>
          <w:szCs w:val="24"/>
        </w:rPr>
        <w:t>,</w:t>
      </w:r>
      <w:r w:rsidRPr="0009794A" w:rsidR="00C53E71">
        <w:rPr>
          <w:szCs w:val="24"/>
        </w:rPr>
        <w:t xml:space="preserve"> ha</w:t>
      </w:r>
      <w:r>
        <w:rPr>
          <w:szCs w:val="24"/>
        </w:rPr>
        <w:t>ve</w:t>
      </w:r>
      <w:r w:rsidRPr="0009794A" w:rsidR="00C53E71">
        <w:rPr>
          <w:szCs w:val="24"/>
        </w:rPr>
        <w:t xml:space="preserve"> a right to engage in discovery </w:t>
      </w:r>
      <w:r w:rsidR="00FC07C7">
        <w:rPr>
          <w:szCs w:val="24"/>
        </w:rPr>
        <w:t xml:space="preserve">without delay </w:t>
      </w:r>
      <w:r w:rsidRPr="0009794A" w:rsidR="00C53E71">
        <w:rPr>
          <w:szCs w:val="24"/>
        </w:rPr>
        <w:t xml:space="preserve">under </w:t>
      </w:r>
      <w:r w:rsidR="00FC07C7">
        <w:rPr>
          <w:szCs w:val="24"/>
        </w:rPr>
        <w:t>the Ohio Administrative Code</w:t>
      </w:r>
      <w:r w:rsidRPr="0009794A" w:rsidR="00C53E71">
        <w:rPr>
          <w:szCs w:val="24"/>
        </w:rPr>
        <w:t>.</w:t>
      </w:r>
      <w:r>
        <w:rPr>
          <w:rStyle w:val="FootnoteReference"/>
          <w:szCs w:val="24"/>
        </w:rPr>
        <w:footnoteReference w:id="3"/>
      </w:r>
      <w:r w:rsidRPr="0009794A" w:rsidR="00C53E71">
        <w:rPr>
          <w:szCs w:val="24"/>
        </w:rPr>
        <w:t xml:space="preserve"> </w:t>
      </w:r>
      <w:r w:rsidR="00B410F2">
        <w:rPr>
          <w:szCs w:val="24"/>
        </w:rPr>
        <w:t>But what continues to be unsettled is that regulated entities who interpose this improper delay will face meaningful consequences at the PUCO for violating discovery law and rules. The PUCO has such consequences at its disposal, including the imposition of penalties (forfeitures) on Green Choice.</w:t>
      </w:r>
    </w:p>
    <w:p w:rsidR="00C53E71" w:rsidRPr="0009794A" w:rsidP="002759C2" w14:paraId="64CDD99E" w14:textId="202794B7">
      <w:pPr>
        <w:spacing w:line="480" w:lineRule="auto"/>
        <w:ind w:firstLine="720"/>
        <w:rPr>
          <w:szCs w:val="24"/>
        </w:rPr>
      </w:pPr>
      <w:r w:rsidRPr="0009794A">
        <w:rPr>
          <w:szCs w:val="24"/>
        </w:rPr>
        <w:t>OCC served Green Choice with discovery requests on May 3, 2022.</w:t>
      </w:r>
      <w:r>
        <w:rPr>
          <w:rStyle w:val="FootnoteReference"/>
          <w:szCs w:val="24"/>
        </w:rPr>
        <w:footnoteReference w:id="4"/>
      </w:r>
      <w:r w:rsidRPr="0009794A">
        <w:rPr>
          <w:szCs w:val="24"/>
        </w:rPr>
        <w:t xml:space="preserve"> </w:t>
      </w:r>
    </w:p>
    <w:p w:rsidR="00EE7EA9" w:rsidP="0027636A" w14:paraId="39A7F515" w14:textId="4FD20E06">
      <w:pPr>
        <w:spacing w:line="480" w:lineRule="auto"/>
        <w:rPr>
          <w:szCs w:val="24"/>
        </w:rPr>
      </w:pPr>
      <w:r w:rsidRPr="0009794A">
        <w:rPr>
          <w:szCs w:val="24"/>
        </w:rPr>
        <w:t xml:space="preserve">Despite </w:t>
      </w:r>
      <w:r w:rsidRPr="0009794A" w:rsidR="008D0792">
        <w:rPr>
          <w:szCs w:val="24"/>
        </w:rPr>
        <w:t xml:space="preserve">gathering data and documents for </w:t>
      </w:r>
      <w:r>
        <w:rPr>
          <w:szCs w:val="24"/>
        </w:rPr>
        <w:t xml:space="preserve">the </w:t>
      </w:r>
      <w:r w:rsidRPr="0009794A" w:rsidR="008D0792">
        <w:rPr>
          <w:szCs w:val="24"/>
        </w:rPr>
        <w:t>PUCO Staff</w:t>
      </w:r>
      <w:r>
        <w:rPr>
          <w:rStyle w:val="FootnoteReference"/>
          <w:szCs w:val="24"/>
        </w:rPr>
        <w:footnoteReference w:id="5"/>
      </w:r>
      <w:r w:rsidRPr="0009794A" w:rsidR="008D0792">
        <w:rPr>
          <w:szCs w:val="24"/>
        </w:rPr>
        <w:t>—and also insisting it could meet an “expedited deadline” for discovery responses if OCC’s motion to intervene is granted</w:t>
      </w:r>
      <w:r>
        <w:rPr>
          <w:rStyle w:val="FootnoteReference"/>
          <w:szCs w:val="24"/>
        </w:rPr>
        <w:footnoteReference w:id="6"/>
      </w:r>
      <w:r w:rsidRPr="0009794A" w:rsidR="008D0792">
        <w:rPr>
          <w:szCs w:val="24"/>
        </w:rPr>
        <w:t>—</w:t>
      </w:r>
      <w:r w:rsidRPr="0009794A">
        <w:rPr>
          <w:szCs w:val="24"/>
        </w:rPr>
        <w:t>Green Choice now seeks a broad</w:t>
      </w:r>
      <w:r>
        <w:rPr>
          <w:szCs w:val="24"/>
        </w:rPr>
        <w:t xml:space="preserve"> </w:t>
      </w:r>
      <w:r w:rsidRPr="0009794A">
        <w:rPr>
          <w:szCs w:val="24"/>
        </w:rPr>
        <w:t xml:space="preserve">protective order completely </w:t>
      </w:r>
      <w:r w:rsidRPr="0009794A" w:rsidR="00E002E6">
        <w:rPr>
          <w:szCs w:val="24"/>
        </w:rPr>
        <w:t>suspending</w:t>
      </w:r>
      <w:r w:rsidRPr="0009794A">
        <w:rPr>
          <w:szCs w:val="24"/>
        </w:rPr>
        <w:t xml:space="preserve"> its obligation to answer OCC’s discovery requests.</w:t>
      </w:r>
      <w:r>
        <w:rPr>
          <w:rStyle w:val="FootnoteReference"/>
          <w:szCs w:val="24"/>
        </w:rPr>
        <w:footnoteReference w:id="7"/>
      </w:r>
      <w:r>
        <w:rPr>
          <w:szCs w:val="24"/>
        </w:rPr>
        <w:t xml:space="preserve"> In the meantime, Green Choice has unilaterally disregarded its discovery response requirements under Ohio rules. </w:t>
      </w:r>
    </w:p>
    <w:p w:rsidR="008D0792" w:rsidRPr="0009794A" w:rsidP="00D47065" w14:paraId="0C81F8A9" w14:textId="1F4BB72F">
      <w:pPr>
        <w:spacing w:line="480" w:lineRule="auto"/>
        <w:ind w:firstLine="720"/>
        <w:rPr>
          <w:szCs w:val="24"/>
        </w:rPr>
      </w:pPr>
      <w:r w:rsidRPr="0009794A">
        <w:rPr>
          <w:szCs w:val="24"/>
        </w:rPr>
        <w:t>In its motion, Green Choice</w:t>
      </w:r>
      <w:r w:rsidRPr="0009794A" w:rsidR="001A4E60">
        <w:rPr>
          <w:szCs w:val="24"/>
        </w:rPr>
        <w:t xml:space="preserve"> makes</w:t>
      </w:r>
      <w:r w:rsidRPr="0009794A" w:rsidR="007C7426">
        <w:rPr>
          <w:szCs w:val="24"/>
        </w:rPr>
        <w:t xml:space="preserve"> two</w:t>
      </w:r>
      <w:r w:rsidRPr="0009794A">
        <w:rPr>
          <w:szCs w:val="24"/>
        </w:rPr>
        <w:t xml:space="preserve"> </w:t>
      </w:r>
      <w:r w:rsidRPr="0009794A" w:rsidR="00E002E6">
        <w:rPr>
          <w:szCs w:val="24"/>
        </w:rPr>
        <w:t>arguments</w:t>
      </w:r>
      <w:r w:rsidRPr="0009794A">
        <w:rPr>
          <w:szCs w:val="24"/>
        </w:rPr>
        <w:t>. First, Green Choice argues that it should not be obligated to answer discovery until OCC’s motion to intervene is granted.</w:t>
      </w:r>
      <w:r>
        <w:rPr>
          <w:rStyle w:val="FootnoteReference"/>
          <w:szCs w:val="24"/>
        </w:rPr>
        <w:footnoteReference w:id="8"/>
      </w:r>
      <w:r w:rsidRPr="0009794A">
        <w:rPr>
          <w:szCs w:val="24"/>
        </w:rPr>
        <w:t xml:space="preserve"> Second, Green Choice contends OCC’s discovery requests are outside the scope of the issues raised by PUCO Staff.</w:t>
      </w:r>
      <w:r>
        <w:rPr>
          <w:rStyle w:val="FootnoteReference"/>
          <w:szCs w:val="24"/>
        </w:rPr>
        <w:footnoteReference w:id="9"/>
      </w:r>
      <w:r w:rsidRPr="0009794A">
        <w:rPr>
          <w:szCs w:val="24"/>
        </w:rPr>
        <w:t xml:space="preserve"> </w:t>
      </w:r>
      <w:r w:rsidRPr="0009794A" w:rsidR="00E002E6">
        <w:rPr>
          <w:szCs w:val="24"/>
        </w:rPr>
        <w:t>N</w:t>
      </w:r>
      <w:r w:rsidRPr="0009794A" w:rsidR="001A4E60">
        <w:rPr>
          <w:szCs w:val="24"/>
        </w:rPr>
        <w:t>either argument holds water.</w:t>
      </w:r>
    </w:p>
    <w:p w:rsidR="00BC2E22" w:rsidP="002759C2" w14:paraId="10430FA9" w14:textId="5A0CA756">
      <w:pPr>
        <w:spacing w:line="480" w:lineRule="auto"/>
        <w:ind w:firstLine="720"/>
        <w:rPr>
          <w:szCs w:val="24"/>
        </w:rPr>
      </w:pPr>
      <w:r w:rsidRPr="0009794A">
        <w:rPr>
          <w:szCs w:val="24"/>
        </w:rPr>
        <w:t xml:space="preserve">As a party that has moved to intervene in this matter, OCC has an explicit right under </w:t>
      </w:r>
      <w:r w:rsidR="00D87FEB">
        <w:rPr>
          <w:szCs w:val="24"/>
        </w:rPr>
        <w:t>the Ohio Administrative Code</w:t>
      </w:r>
      <w:r w:rsidRPr="0009794A">
        <w:rPr>
          <w:szCs w:val="24"/>
        </w:rPr>
        <w:t xml:space="preserve"> to serve discovery</w:t>
      </w:r>
      <w:r w:rsidR="00AD3284">
        <w:rPr>
          <w:szCs w:val="24"/>
        </w:rPr>
        <w:t xml:space="preserve"> and receive responses</w:t>
      </w:r>
      <w:r w:rsidRPr="0009794A" w:rsidR="008D0792">
        <w:rPr>
          <w:szCs w:val="24"/>
        </w:rPr>
        <w:t xml:space="preserve">, regardless of whether </w:t>
      </w:r>
      <w:r w:rsidRPr="0009794A" w:rsidR="00441BBE">
        <w:rPr>
          <w:szCs w:val="24"/>
        </w:rPr>
        <w:t>another party contests the intervention</w:t>
      </w:r>
      <w:r w:rsidRPr="0009794A">
        <w:rPr>
          <w:szCs w:val="24"/>
        </w:rPr>
        <w:t>.</w:t>
      </w:r>
      <w:r>
        <w:rPr>
          <w:rStyle w:val="FootnoteReference"/>
          <w:szCs w:val="24"/>
        </w:rPr>
        <w:footnoteReference w:id="10"/>
      </w:r>
      <w:r w:rsidRPr="0009794A" w:rsidR="008D0792">
        <w:rPr>
          <w:szCs w:val="24"/>
        </w:rPr>
        <w:t xml:space="preserve"> Furthermore, the discovery that OCC served in this case is directly relevant to the issues raised by </w:t>
      </w:r>
      <w:r w:rsidRPr="0009794A" w:rsidR="00441BBE">
        <w:rPr>
          <w:szCs w:val="24"/>
        </w:rPr>
        <w:t xml:space="preserve">PUCO </w:t>
      </w:r>
      <w:r w:rsidRPr="0009794A" w:rsidR="008D0792">
        <w:rPr>
          <w:szCs w:val="24"/>
        </w:rPr>
        <w:t>staff</w:t>
      </w:r>
      <w:r w:rsidR="00687A40">
        <w:rPr>
          <w:szCs w:val="24"/>
        </w:rPr>
        <w:t xml:space="preserve">, </w:t>
      </w:r>
      <w:r w:rsidR="00687A40">
        <w:rPr>
          <w:i/>
          <w:iCs/>
          <w:szCs w:val="24"/>
        </w:rPr>
        <w:t>i.e.</w:t>
      </w:r>
      <w:r w:rsidRPr="0009794A" w:rsidR="008D0792">
        <w:rPr>
          <w:szCs w:val="24"/>
        </w:rPr>
        <w:t xml:space="preserve"> Green Choice’s unlawful and unscrupulous telephone and door-to-door solicitation schemes.</w:t>
      </w:r>
      <w:r>
        <w:rPr>
          <w:rStyle w:val="FootnoteReference"/>
          <w:szCs w:val="24"/>
        </w:rPr>
        <w:footnoteReference w:id="11"/>
      </w:r>
      <w:r w:rsidRPr="0009794A" w:rsidR="008D0792">
        <w:rPr>
          <w:szCs w:val="24"/>
        </w:rPr>
        <w:t xml:space="preserve"> </w:t>
      </w:r>
    </w:p>
    <w:p w:rsidR="00BC2E22" w:rsidRPr="0009794A" w:rsidP="002D1DC1" w14:paraId="2C677C2D" w14:textId="1775A155">
      <w:pPr>
        <w:spacing w:line="480" w:lineRule="auto"/>
        <w:ind w:firstLine="720"/>
        <w:rPr>
          <w:szCs w:val="24"/>
        </w:rPr>
      </w:pPr>
      <w:r>
        <w:rPr>
          <w:szCs w:val="24"/>
        </w:rPr>
        <w:t xml:space="preserve">Further, </w:t>
      </w:r>
      <w:r w:rsidRPr="0009794A" w:rsidR="008D0792">
        <w:rPr>
          <w:szCs w:val="24"/>
        </w:rPr>
        <w:t>Green Choice’s motion</w:t>
      </w:r>
      <w:r w:rsidR="0009794A">
        <w:rPr>
          <w:szCs w:val="24"/>
        </w:rPr>
        <w:t xml:space="preserve"> </w:t>
      </w:r>
      <w:r w:rsidRPr="0009794A" w:rsidR="008D0792">
        <w:rPr>
          <w:szCs w:val="24"/>
        </w:rPr>
        <w:t xml:space="preserve">does not comply with </w:t>
      </w:r>
      <w:r w:rsidR="00D87FEB">
        <w:rPr>
          <w:szCs w:val="24"/>
        </w:rPr>
        <w:t>the</w:t>
      </w:r>
      <w:r w:rsidRPr="0009794A" w:rsidR="008D0792">
        <w:rPr>
          <w:szCs w:val="24"/>
        </w:rPr>
        <w:t xml:space="preserve"> rules</w:t>
      </w:r>
      <w:r>
        <w:rPr>
          <w:szCs w:val="24"/>
        </w:rPr>
        <w:t>.</w:t>
      </w:r>
      <w:r w:rsidRPr="0009794A" w:rsidR="00FF69FC">
        <w:rPr>
          <w:szCs w:val="24"/>
        </w:rPr>
        <w:t xml:space="preserve"> </w:t>
      </w:r>
      <w:r>
        <w:rPr>
          <w:szCs w:val="24"/>
        </w:rPr>
        <w:t>Green Choice</w:t>
      </w:r>
      <w:r w:rsidR="002D1DC1">
        <w:rPr>
          <w:szCs w:val="24"/>
        </w:rPr>
        <w:t>’s</w:t>
      </w:r>
      <w:r w:rsidRPr="00DB0C4C">
        <w:rPr>
          <w:szCs w:val="24"/>
        </w:rPr>
        <w:t xml:space="preserve"> </w:t>
      </w:r>
      <w:r w:rsidR="002D1DC1">
        <w:rPr>
          <w:szCs w:val="24"/>
        </w:rPr>
        <w:t>m</w:t>
      </w:r>
      <w:r w:rsidRPr="00DB0C4C">
        <w:rPr>
          <w:szCs w:val="24"/>
        </w:rPr>
        <w:t>otion is defective.</w:t>
      </w:r>
      <w:r>
        <w:rPr>
          <w:szCs w:val="24"/>
        </w:rPr>
        <w:t xml:space="preserve"> </w:t>
      </w:r>
      <w:r w:rsidRPr="00DB0C4C">
        <w:rPr>
          <w:szCs w:val="24"/>
        </w:rPr>
        <w:t xml:space="preserve">O.A.C. 4901-1-24(B)(3) requires </w:t>
      </w:r>
      <w:r w:rsidR="00A9196F">
        <w:rPr>
          <w:szCs w:val="24"/>
        </w:rPr>
        <w:t>Green Choice</w:t>
      </w:r>
      <w:r w:rsidRPr="00DB0C4C">
        <w:rPr>
          <w:szCs w:val="24"/>
        </w:rPr>
        <w:t xml:space="preserve"> to file an “affidavit </w:t>
      </w:r>
      <w:r w:rsidRPr="00DB0C4C">
        <w:rPr>
          <w:szCs w:val="24"/>
        </w:rPr>
        <w:t>of counsel.”</w:t>
      </w:r>
      <w:r>
        <w:rPr>
          <w:szCs w:val="24"/>
        </w:rPr>
        <w:t xml:space="preserve"> </w:t>
      </w:r>
      <w:r w:rsidRPr="00DB0C4C">
        <w:rPr>
          <w:szCs w:val="24"/>
        </w:rPr>
        <w:t xml:space="preserve">But </w:t>
      </w:r>
      <w:r>
        <w:rPr>
          <w:szCs w:val="24"/>
        </w:rPr>
        <w:t>Green Choice</w:t>
      </w:r>
      <w:r w:rsidRPr="00DB0C4C">
        <w:rPr>
          <w:szCs w:val="24"/>
        </w:rPr>
        <w:t xml:space="preserve"> didn’t file the required affidavit. </w:t>
      </w:r>
      <w:r>
        <w:rPr>
          <w:szCs w:val="24"/>
        </w:rPr>
        <w:t>Green Choice</w:t>
      </w:r>
      <w:r w:rsidR="002D1DC1">
        <w:rPr>
          <w:szCs w:val="24"/>
        </w:rPr>
        <w:t>’s</w:t>
      </w:r>
      <w:r w:rsidRPr="00DB0C4C">
        <w:rPr>
          <w:szCs w:val="24"/>
        </w:rPr>
        <w:t xml:space="preserve"> </w:t>
      </w:r>
      <w:r w:rsidR="002D1DC1">
        <w:rPr>
          <w:szCs w:val="24"/>
        </w:rPr>
        <w:t>m</w:t>
      </w:r>
      <w:r w:rsidRPr="00DB0C4C">
        <w:rPr>
          <w:szCs w:val="24"/>
        </w:rPr>
        <w:t xml:space="preserve">otion should be </w:t>
      </w:r>
      <w:r w:rsidR="006E62E2">
        <w:rPr>
          <w:szCs w:val="24"/>
        </w:rPr>
        <w:t>denied</w:t>
      </w:r>
      <w:r w:rsidRPr="00DB0C4C">
        <w:rPr>
          <w:szCs w:val="24"/>
        </w:rPr>
        <w:t xml:space="preserve">. </w:t>
      </w:r>
    </w:p>
    <w:p w:rsidR="00B54887" w:rsidP="002D1DC1" w14:paraId="57531512" w14:textId="39C1D169">
      <w:pPr>
        <w:spacing w:line="480" w:lineRule="auto"/>
        <w:ind w:firstLine="720"/>
        <w:rPr>
          <w:szCs w:val="24"/>
        </w:rPr>
      </w:pPr>
      <w:r w:rsidRPr="0009794A">
        <w:rPr>
          <w:szCs w:val="24"/>
        </w:rPr>
        <w:t xml:space="preserve">Finally, </w:t>
      </w:r>
      <w:r w:rsidRPr="0009794A" w:rsidR="00F7498C">
        <w:rPr>
          <w:szCs w:val="24"/>
        </w:rPr>
        <w:t xml:space="preserve">Green Choice’s motion </w:t>
      </w:r>
      <w:r w:rsidR="00BB21CB">
        <w:rPr>
          <w:szCs w:val="24"/>
        </w:rPr>
        <w:t>is intended to</w:t>
      </w:r>
      <w:r w:rsidRPr="0009794A" w:rsidR="00BB21CB">
        <w:rPr>
          <w:szCs w:val="24"/>
        </w:rPr>
        <w:t xml:space="preserve"> </w:t>
      </w:r>
      <w:r w:rsidRPr="0009794A">
        <w:rPr>
          <w:szCs w:val="24"/>
        </w:rPr>
        <w:t xml:space="preserve">contribute to undue delay of these proceedings. The rules seek to avoid </w:t>
      </w:r>
      <w:r w:rsidRPr="0009794A" w:rsidR="00441BBE">
        <w:rPr>
          <w:szCs w:val="24"/>
        </w:rPr>
        <w:t>unnecessary</w:t>
      </w:r>
      <w:r w:rsidRPr="0009794A">
        <w:rPr>
          <w:szCs w:val="24"/>
        </w:rPr>
        <w:t xml:space="preserve"> delay</w:t>
      </w:r>
      <w:r w:rsidRPr="0009794A" w:rsidR="00441BBE">
        <w:rPr>
          <w:szCs w:val="24"/>
        </w:rPr>
        <w:t>.</w:t>
      </w:r>
      <w:r>
        <w:rPr>
          <w:rStyle w:val="FootnoteReference"/>
          <w:szCs w:val="24"/>
        </w:rPr>
        <w:footnoteReference w:id="12"/>
      </w:r>
      <w:r w:rsidRPr="0009794A" w:rsidR="00441BBE">
        <w:rPr>
          <w:szCs w:val="24"/>
        </w:rPr>
        <w:t xml:space="preserve"> </w:t>
      </w:r>
      <w:r w:rsidRPr="0009794A" w:rsidR="008D0792">
        <w:rPr>
          <w:szCs w:val="24"/>
        </w:rPr>
        <w:t xml:space="preserve">For these reasons, Green Choice’s motion </w:t>
      </w:r>
      <w:r w:rsidR="002D1DC1">
        <w:rPr>
          <w:szCs w:val="24"/>
        </w:rPr>
        <w:t>for protective order</w:t>
      </w:r>
      <w:r w:rsidRPr="0009794A" w:rsidR="00441BBE">
        <w:rPr>
          <w:szCs w:val="24"/>
        </w:rPr>
        <w:t xml:space="preserve"> should be denied</w:t>
      </w:r>
      <w:r w:rsidRPr="0009794A" w:rsidR="008D0792">
        <w:rPr>
          <w:szCs w:val="24"/>
        </w:rPr>
        <w:t xml:space="preserve"> and Green Choice</w:t>
      </w:r>
      <w:r w:rsidRPr="0009794A" w:rsidR="00441BBE">
        <w:rPr>
          <w:szCs w:val="24"/>
        </w:rPr>
        <w:t xml:space="preserve"> should be held</w:t>
      </w:r>
      <w:r w:rsidRPr="0009794A" w:rsidR="008D0792">
        <w:rPr>
          <w:szCs w:val="24"/>
        </w:rPr>
        <w:t xml:space="preserve"> to its obligations. </w:t>
      </w:r>
    </w:p>
    <w:p w:rsidR="00916E04" w:rsidP="00916E04" w14:paraId="5B8B7F03" w14:textId="77777777">
      <w:pPr>
        <w:ind w:firstLine="720"/>
        <w:rPr>
          <w:rFonts w:eastAsiaTheme="majorEastAsia" w:cstheme="majorBidi"/>
          <w:b/>
          <w:szCs w:val="32"/>
        </w:rPr>
      </w:pPr>
    </w:p>
    <w:p w:rsidR="00A33BFD" w:rsidRPr="00B54887" w:rsidP="00B54887" w14:paraId="4AA9968F" w14:textId="3A8E1C56">
      <w:pPr>
        <w:pStyle w:val="Heading1"/>
      </w:pPr>
      <w:r>
        <w:t>II.</w:t>
      </w:r>
      <w:r>
        <w:tab/>
      </w:r>
      <w:r w:rsidRPr="0009794A" w:rsidR="00C53E71">
        <w:t>ARGUMENT</w:t>
      </w:r>
    </w:p>
    <w:p w:rsidR="00FF69FC" w:rsidRPr="00B54887" w:rsidP="00B54887" w14:paraId="4FA1231C" w14:textId="49816CBA">
      <w:pPr>
        <w:pStyle w:val="Heading2"/>
        <w:rPr>
          <w:b w:val="0"/>
        </w:rPr>
      </w:pPr>
      <w:r>
        <w:t>A.</w:t>
      </w:r>
      <w:r>
        <w:tab/>
      </w:r>
      <w:r w:rsidRPr="00DB0C4C" w:rsidR="00BC2E22">
        <w:t xml:space="preserve">The </w:t>
      </w:r>
      <w:r w:rsidR="00BC2E22">
        <w:t>Green Choice</w:t>
      </w:r>
      <w:r w:rsidRPr="00DB0C4C" w:rsidR="00BC2E22">
        <w:t xml:space="preserve"> </w:t>
      </w:r>
      <w:r w:rsidR="002D1DC1">
        <w:t>m</w:t>
      </w:r>
      <w:r w:rsidR="00BC2E22">
        <w:t xml:space="preserve">otion </w:t>
      </w:r>
      <w:r w:rsidRPr="00DB0C4C" w:rsidR="00BC2E22">
        <w:t>violated O.A.C. 4901-1-24(B)(3) by failing to file an affidavit of counsel setting forth efforts it undertook to resolve the discovery dispute.</w:t>
      </w:r>
    </w:p>
    <w:p w:rsidR="00FF69FC" w:rsidRPr="0009794A" w:rsidP="002759C2" w14:paraId="1B4C3A50" w14:textId="0BC732DF">
      <w:pPr>
        <w:spacing w:line="480" w:lineRule="auto"/>
        <w:ind w:firstLine="720"/>
        <w:rPr>
          <w:szCs w:val="24"/>
        </w:rPr>
      </w:pPr>
      <w:r w:rsidRPr="0009794A">
        <w:rPr>
          <w:szCs w:val="24"/>
        </w:rPr>
        <w:t>Green Choice’s motion should</w:t>
      </w:r>
      <w:r w:rsidRPr="0009794A" w:rsidR="00F7498C">
        <w:rPr>
          <w:szCs w:val="24"/>
        </w:rPr>
        <w:t xml:space="preserve"> summarily</w:t>
      </w:r>
      <w:r w:rsidRPr="0009794A">
        <w:rPr>
          <w:szCs w:val="24"/>
        </w:rPr>
        <w:t xml:space="preserve"> be denied without further consideration because Green Choice failed to comply with</w:t>
      </w:r>
      <w:r w:rsidR="003B3AFE">
        <w:rPr>
          <w:szCs w:val="24"/>
        </w:rPr>
        <w:t xml:space="preserve"> the</w:t>
      </w:r>
      <w:r w:rsidRPr="0009794A">
        <w:rPr>
          <w:szCs w:val="24"/>
        </w:rPr>
        <w:t xml:space="preserve"> PUCO’s rules for filing for a protective order.</w:t>
      </w:r>
      <w:r>
        <w:rPr>
          <w:rStyle w:val="FootnoteReference"/>
          <w:szCs w:val="24"/>
        </w:rPr>
        <w:footnoteReference w:id="13"/>
      </w:r>
      <w:r w:rsidRPr="0009794A">
        <w:rPr>
          <w:szCs w:val="24"/>
        </w:rPr>
        <w:t xml:space="preserve"> </w:t>
      </w:r>
      <w:r w:rsidR="002D1DC1">
        <w:rPr>
          <w:szCs w:val="24"/>
        </w:rPr>
        <w:t xml:space="preserve">The </w:t>
      </w:r>
      <w:r w:rsidRPr="0009794A">
        <w:rPr>
          <w:szCs w:val="24"/>
        </w:rPr>
        <w:t>PUCO’s rules prohibit a party from filing</w:t>
      </w:r>
      <w:r w:rsidR="002D1DC1">
        <w:rPr>
          <w:szCs w:val="24"/>
        </w:rPr>
        <w:t xml:space="preserve"> for a</w:t>
      </w:r>
      <w:r w:rsidRPr="0009794A">
        <w:rPr>
          <w:szCs w:val="24"/>
        </w:rPr>
        <w:t xml:space="preserve"> protective order until the party seeking the order “has exhausted all other reasonable means of resolving any differences with the party seeking discovery.”</w:t>
      </w:r>
      <w:r>
        <w:rPr>
          <w:rStyle w:val="FootnoteReference"/>
          <w:szCs w:val="24"/>
        </w:rPr>
        <w:footnoteReference w:id="14"/>
      </w:r>
      <w:r w:rsidRPr="0009794A" w:rsidR="005B70C2">
        <w:rPr>
          <w:szCs w:val="24"/>
        </w:rPr>
        <w:t xml:space="preserve"> Consistent with this requirement, a motion for a protective order </w:t>
      </w:r>
      <w:r w:rsidRPr="0009794A" w:rsidR="00FD67D9">
        <w:rPr>
          <w:szCs w:val="24"/>
        </w:rPr>
        <w:t>“</w:t>
      </w:r>
      <w:r w:rsidRPr="0009794A" w:rsidR="00FD67D9">
        <w:rPr>
          <w:i/>
          <w:iCs/>
          <w:szCs w:val="24"/>
        </w:rPr>
        <w:t>shall</w:t>
      </w:r>
      <w:r w:rsidRPr="0009794A" w:rsidR="005B70C2">
        <w:rPr>
          <w:szCs w:val="24"/>
        </w:rPr>
        <w:t xml:space="preserve"> be accompanied by</w:t>
      </w:r>
      <w:r w:rsidRPr="0009794A" w:rsidR="00FD67D9">
        <w:rPr>
          <w:szCs w:val="24"/>
        </w:rPr>
        <w:t>…</w:t>
      </w:r>
      <w:r w:rsidRPr="0009794A" w:rsidR="005B70C2">
        <w:rPr>
          <w:szCs w:val="24"/>
        </w:rPr>
        <w:t xml:space="preserve">[a]n </w:t>
      </w:r>
      <w:r w:rsidRPr="0009794A" w:rsidR="005B70C2">
        <w:rPr>
          <w:i/>
          <w:iCs/>
          <w:szCs w:val="24"/>
        </w:rPr>
        <w:t>affidavit</w:t>
      </w:r>
      <w:r w:rsidRPr="0009794A" w:rsidR="005B70C2">
        <w:rPr>
          <w:szCs w:val="24"/>
        </w:rPr>
        <w:t xml:space="preserve"> of counsel…setting for the efforts that have been made to resolve any differences with the party seeking discovery.”</w:t>
      </w:r>
      <w:r>
        <w:rPr>
          <w:rStyle w:val="FootnoteReference"/>
          <w:szCs w:val="24"/>
        </w:rPr>
        <w:footnoteReference w:id="15"/>
      </w:r>
      <w:r w:rsidR="0009794A">
        <w:rPr>
          <w:szCs w:val="24"/>
        </w:rPr>
        <w:t xml:space="preserve"> </w:t>
      </w:r>
    </w:p>
    <w:p w:rsidR="005B70C2" w:rsidRPr="0009794A" w:rsidP="002759C2" w14:paraId="54F40FC1" w14:textId="5EDDB72E">
      <w:pPr>
        <w:spacing w:line="480" w:lineRule="auto"/>
        <w:ind w:firstLine="720"/>
        <w:rPr>
          <w:szCs w:val="24"/>
        </w:rPr>
      </w:pPr>
      <w:r w:rsidRPr="0009794A">
        <w:rPr>
          <w:szCs w:val="24"/>
        </w:rPr>
        <w:t xml:space="preserve">Green Choice’s motion does not </w:t>
      </w:r>
      <w:r w:rsidRPr="0009794A" w:rsidR="00FD67D9">
        <w:rPr>
          <w:szCs w:val="24"/>
        </w:rPr>
        <w:t xml:space="preserve">meet these bare-minimum requirements. As an initial matter, the motion does not include any </w:t>
      </w:r>
      <w:r w:rsidRPr="0009794A" w:rsidR="00FD67D9">
        <w:rPr>
          <w:i/>
          <w:iCs/>
          <w:szCs w:val="24"/>
        </w:rPr>
        <w:t>affidavit</w:t>
      </w:r>
      <w:r w:rsidRPr="0009794A" w:rsidR="00FD67D9">
        <w:rPr>
          <w:szCs w:val="24"/>
        </w:rPr>
        <w:t xml:space="preserve"> evincing Green Choice’s efforts to resolve differences with OCC. Rather, Green Choice simply attached a </w:t>
      </w:r>
      <w:r w:rsidRPr="0009794A" w:rsidR="00441BBE">
        <w:rPr>
          <w:szCs w:val="24"/>
        </w:rPr>
        <w:t>two</w:t>
      </w:r>
      <w:r w:rsidRPr="0009794A" w:rsidR="00FD67D9">
        <w:rPr>
          <w:szCs w:val="24"/>
        </w:rPr>
        <w:t>-page email correspondence between its counsel and OCC’s counsel.</w:t>
      </w:r>
      <w:r>
        <w:rPr>
          <w:rStyle w:val="FootnoteReference"/>
          <w:szCs w:val="24"/>
        </w:rPr>
        <w:footnoteReference w:id="16"/>
      </w:r>
      <w:r w:rsidRPr="0009794A" w:rsidR="00FD67D9">
        <w:rPr>
          <w:szCs w:val="24"/>
        </w:rPr>
        <w:t xml:space="preserve"> Thus, the motion does not comply with the mandatory requirements of </w:t>
      </w:r>
      <w:r w:rsidR="002D1DC1">
        <w:rPr>
          <w:szCs w:val="24"/>
        </w:rPr>
        <w:t xml:space="preserve">the </w:t>
      </w:r>
      <w:r w:rsidRPr="0009794A" w:rsidR="00FD67D9">
        <w:rPr>
          <w:szCs w:val="24"/>
        </w:rPr>
        <w:t xml:space="preserve">PUCO’s rules and should be denied on that basis alone. Furthermore, even if </w:t>
      </w:r>
      <w:r w:rsidR="002D1DC1">
        <w:rPr>
          <w:szCs w:val="24"/>
        </w:rPr>
        <w:t xml:space="preserve">the </w:t>
      </w:r>
      <w:r w:rsidRPr="0009794A" w:rsidR="00FD67D9">
        <w:rPr>
          <w:szCs w:val="24"/>
        </w:rPr>
        <w:t xml:space="preserve">PUCO considers the actual content of the email attachment, the text of the exchange makes clear that Green Choice did not exhaust all reasonable means of resolving its differences with OCC. </w:t>
      </w:r>
    </w:p>
    <w:p w:rsidR="00BB21CB" w:rsidP="002759C2" w14:paraId="1CBC8107" w14:textId="45591E69">
      <w:pPr>
        <w:spacing w:line="480" w:lineRule="auto"/>
        <w:ind w:firstLine="720"/>
        <w:rPr>
          <w:szCs w:val="24"/>
        </w:rPr>
      </w:pPr>
      <w:r w:rsidRPr="0009794A">
        <w:rPr>
          <w:szCs w:val="24"/>
        </w:rPr>
        <w:t xml:space="preserve">In the email exchange, Green Choice </w:t>
      </w:r>
      <w:r w:rsidRPr="0009794A" w:rsidR="00FF189C">
        <w:rPr>
          <w:szCs w:val="24"/>
        </w:rPr>
        <w:t>took no</w:t>
      </w:r>
      <w:r w:rsidRPr="0009794A">
        <w:rPr>
          <w:szCs w:val="24"/>
        </w:rPr>
        <w:t xml:space="preserve"> issue with any specific discovery requests </w:t>
      </w:r>
      <w:r w:rsidRPr="0009794A" w:rsidR="00FF189C">
        <w:rPr>
          <w:szCs w:val="24"/>
        </w:rPr>
        <w:t>and did not propose</w:t>
      </w:r>
      <w:r w:rsidRPr="0009794A">
        <w:rPr>
          <w:szCs w:val="24"/>
        </w:rPr>
        <w:t xml:space="preserve"> </w:t>
      </w:r>
      <w:r w:rsidR="002D1DC1">
        <w:rPr>
          <w:szCs w:val="24"/>
        </w:rPr>
        <w:t xml:space="preserve">a </w:t>
      </w:r>
      <w:r w:rsidRPr="0009794A">
        <w:rPr>
          <w:szCs w:val="24"/>
        </w:rPr>
        <w:t xml:space="preserve">compromise. Rather, Green Choice </w:t>
      </w:r>
      <w:r w:rsidRPr="0009794A" w:rsidR="002759C2">
        <w:rPr>
          <w:szCs w:val="24"/>
        </w:rPr>
        <w:t xml:space="preserve">simply </w:t>
      </w:r>
      <w:r w:rsidRPr="0009794A">
        <w:rPr>
          <w:szCs w:val="24"/>
        </w:rPr>
        <w:t>declare</w:t>
      </w:r>
      <w:r w:rsidRPr="0009794A" w:rsidR="00FF189C">
        <w:rPr>
          <w:szCs w:val="24"/>
        </w:rPr>
        <w:t>d</w:t>
      </w:r>
      <w:r w:rsidRPr="0009794A">
        <w:rPr>
          <w:szCs w:val="24"/>
        </w:rPr>
        <w:t xml:space="preserve"> </w:t>
      </w:r>
      <w:r w:rsidRPr="0009794A" w:rsidR="002759C2">
        <w:rPr>
          <w:szCs w:val="24"/>
        </w:rPr>
        <w:t>that</w:t>
      </w:r>
      <w:r w:rsidRPr="0009794A">
        <w:rPr>
          <w:szCs w:val="24"/>
        </w:rPr>
        <w:t xml:space="preserve"> “it’s probably safe to assume that OCC will not be getting the information it is seeking by the current discovery deadline” and asked OCC to agree to a stay of discovery pending PUCO’s ruling on OCC’s motion to intervene.</w:t>
      </w:r>
      <w:r>
        <w:rPr>
          <w:rStyle w:val="FootnoteReference"/>
          <w:szCs w:val="24"/>
        </w:rPr>
        <w:footnoteReference w:id="17"/>
      </w:r>
      <w:r w:rsidRPr="0009794A">
        <w:rPr>
          <w:szCs w:val="24"/>
        </w:rPr>
        <w:t xml:space="preserve"> In response, OCC </w:t>
      </w:r>
      <w:r w:rsidRPr="0009794A" w:rsidR="00FF189C">
        <w:rPr>
          <w:szCs w:val="24"/>
        </w:rPr>
        <w:t>did not consent</w:t>
      </w:r>
      <w:r w:rsidRPr="0009794A">
        <w:rPr>
          <w:szCs w:val="24"/>
        </w:rPr>
        <w:t xml:space="preserve"> to a formal stay of discovery, but did express a willingness to discuss an extension of discovery deadlines.</w:t>
      </w:r>
      <w:r>
        <w:rPr>
          <w:rStyle w:val="FootnoteReference"/>
          <w:szCs w:val="24"/>
        </w:rPr>
        <w:footnoteReference w:id="18"/>
      </w:r>
      <w:r w:rsidRPr="0009794A">
        <w:rPr>
          <w:szCs w:val="24"/>
        </w:rPr>
        <w:t xml:space="preserve"> Rather than responding to this overture, Green Choice filed </w:t>
      </w:r>
      <w:r w:rsidRPr="0009794A" w:rsidR="002759C2">
        <w:rPr>
          <w:szCs w:val="24"/>
        </w:rPr>
        <w:t>its def</w:t>
      </w:r>
      <w:r w:rsidR="002D1DC1">
        <w:rPr>
          <w:szCs w:val="24"/>
        </w:rPr>
        <w:t>ective</w:t>
      </w:r>
      <w:r w:rsidRPr="0009794A">
        <w:rPr>
          <w:szCs w:val="24"/>
        </w:rPr>
        <w:t xml:space="preserve"> motion. </w:t>
      </w:r>
    </w:p>
    <w:p w:rsidR="005B70C2" w:rsidRPr="0009794A" w:rsidP="002759C2" w14:paraId="7CE61048" w14:textId="0CFA689C">
      <w:pPr>
        <w:spacing w:line="480" w:lineRule="auto"/>
        <w:ind w:firstLine="720"/>
        <w:rPr>
          <w:szCs w:val="24"/>
        </w:rPr>
      </w:pPr>
      <w:r w:rsidRPr="0009794A">
        <w:rPr>
          <w:szCs w:val="24"/>
        </w:rPr>
        <w:t>Green Choice’s refusal to put forth any</w:t>
      </w:r>
      <w:r w:rsidRPr="0009794A" w:rsidR="00FD67D9">
        <w:rPr>
          <w:szCs w:val="24"/>
        </w:rPr>
        <w:t xml:space="preserve"> effort to resolve </w:t>
      </w:r>
      <w:r w:rsidRPr="0009794A">
        <w:rPr>
          <w:szCs w:val="24"/>
        </w:rPr>
        <w:t>discovery issues</w:t>
      </w:r>
      <w:r w:rsidRPr="0009794A" w:rsidR="00FD67D9">
        <w:rPr>
          <w:szCs w:val="24"/>
        </w:rPr>
        <w:t xml:space="preserve"> demonstrates Green Choice’s </w:t>
      </w:r>
      <w:r w:rsidR="00BE20A4">
        <w:rPr>
          <w:szCs w:val="24"/>
        </w:rPr>
        <w:t xml:space="preserve">disregard </w:t>
      </w:r>
      <w:r w:rsidRPr="0009794A" w:rsidR="00FD67D9">
        <w:rPr>
          <w:szCs w:val="24"/>
        </w:rPr>
        <w:t xml:space="preserve">for </w:t>
      </w:r>
      <w:r w:rsidR="00BB21CB">
        <w:rPr>
          <w:szCs w:val="24"/>
        </w:rPr>
        <w:t xml:space="preserve">the </w:t>
      </w:r>
      <w:r w:rsidRPr="0009794A" w:rsidR="00FD67D9">
        <w:rPr>
          <w:szCs w:val="24"/>
        </w:rPr>
        <w:t xml:space="preserve">PUCO’s rules and process. </w:t>
      </w:r>
      <w:r w:rsidR="00BB21CB">
        <w:rPr>
          <w:szCs w:val="24"/>
        </w:rPr>
        <w:t xml:space="preserve">The </w:t>
      </w:r>
      <w:r w:rsidRPr="0009794A" w:rsidR="00FD67D9">
        <w:rPr>
          <w:szCs w:val="24"/>
        </w:rPr>
        <w:t xml:space="preserve">PUCO should not reward this </w:t>
      </w:r>
      <w:r w:rsidR="00BE20A4">
        <w:rPr>
          <w:szCs w:val="24"/>
        </w:rPr>
        <w:t>bad behavior</w:t>
      </w:r>
      <w:r w:rsidRPr="0009794A" w:rsidR="00BE20A4">
        <w:rPr>
          <w:szCs w:val="24"/>
        </w:rPr>
        <w:t xml:space="preserve"> </w:t>
      </w:r>
      <w:r w:rsidRPr="0009794A" w:rsidR="00FD67D9">
        <w:rPr>
          <w:szCs w:val="24"/>
        </w:rPr>
        <w:t>by granting Green Choice’s noncompliant motion.</w:t>
      </w:r>
    </w:p>
    <w:p w:rsidR="00C53E71" w:rsidRPr="0009794A" w:rsidP="0051518F" w14:paraId="75C882D9" w14:textId="3A0E098B">
      <w:pPr>
        <w:pStyle w:val="Heading2"/>
      </w:pPr>
      <w:r>
        <w:t>B.</w:t>
      </w:r>
      <w:r>
        <w:tab/>
      </w:r>
      <w:r w:rsidRPr="0009794A" w:rsidR="00FD67D9">
        <w:t xml:space="preserve">Green Choice’s opposition to OCC’s intervention has no bearing on OCC’s discovery rights. </w:t>
      </w:r>
    </w:p>
    <w:p w:rsidR="001A4E60" w:rsidRPr="0009794A" w:rsidP="002759C2" w14:paraId="65BC524F" w14:textId="34A6E85B">
      <w:pPr>
        <w:spacing w:line="480" w:lineRule="auto"/>
        <w:ind w:firstLine="720"/>
        <w:rPr>
          <w:szCs w:val="24"/>
        </w:rPr>
      </w:pPr>
      <w:r w:rsidRPr="0009794A">
        <w:rPr>
          <w:szCs w:val="24"/>
        </w:rPr>
        <w:t xml:space="preserve">Green Choice admits that, as a party actively seeking intervention in this case, OCC is “permitted under the rules” </w:t>
      </w:r>
      <w:r w:rsidR="00BB21CB">
        <w:rPr>
          <w:szCs w:val="24"/>
        </w:rPr>
        <w:t xml:space="preserve">to </w:t>
      </w:r>
      <w:r w:rsidRPr="0009794A">
        <w:rPr>
          <w:szCs w:val="24"/>
        </w:rPr>
        <w:t>serve discovery.</w:t>
      </w:r>
      <w:r>
        <w:rPr>
          <w:rStyle w:val="FootnoteReference"/>
          <w:szCs w:val="24"/>
        </w:rPr>
        <w:footnoteReference w:id="19"/>
      </w:r>
      <w:r w:rsidRPr="0009794A">
        <w:rPr>
          <w:szCs w:val="24"/>
        </w:rPr>
        <w:t xml:space="preserve"> Yet</w:t>
      </w:r>
      <w:r w:rsidRPr="0009794A" w:rsidR="00FF189C">
        <w:rPr>
          <w:szCs w:val="24"/>
        </w:rPr>
        <w:t>,</w:t>
      </w:r>
      <w:r w:rsidRPr="0009794A">
        <w:rPr>
          <w:szCs w:val="24"/>
        </w:rPr>
        <w:t xml:space="preserve"> Green Choice </w:t>
      </w:r>
      <w:r w:rsidRPr="0009794A" w:rsidR="00907626">
        <w:rPr>
          <w:szCs w:val="24"/>
        </w:rPr>
        <w:t xml:space="preserve">asserts that </w:t>
      </w:r>
      <w:r w:rsidRPr="0009794A" w:rsidR="00FF189C">
        <w:rPr>
          <w:szCs w:val="24"/>
        </w:rPr>
        <w:t>its</w:t>
      </w:r>
      <w:r w:rsidRPr="0009794A">
        <w:rPr>
          <w:szCs w:val="24"/>
        </w:rPr>
        <w:t xml:space="preserve"> duty to respond to OCC’s discovery requests </w:t>
      </w:r>
      <w:r w:rsidRPr="0009794A">
        <w:rPr>
          <w:i/>
          <w:iCs/>
          <w:szCs w:val="24"/>
        </w:rPr>
        <w:t>“</w:t>
      </w:r>
      <w:r w:rsidRPr="0009794A">
        <w:rPr>
          <w:szCs w:val="24"/>
        </w:rPr>
        <w:t>should depend on OCC’s right (or not) to participate in this case.</w:t>
      </w:r>
      <w:r w:rsidRPr="0009794A" w:rsidR="004E35F9">
        <w:rPr>
          <w:szCs w:val="24"/>
        </w:rPr>
        <w:t>”</w:t>
      </w:r>
      <w:r>
        <w:rPr>
          <w:rStyle w:val="FootnoteReference"/>
          <w:szCs w:val="24"/>
        </w:rPr>
        <w:footnoteReference w:id="20"/>
      </w:r>
      <w:r w:rsidRPr="0009794A">
        <w:rPr>
          <w:szCs w:val="24"/>
        </w:rPr>
        <w:t xml:space="preserve"> As an initial matter, OCC demonstrated in its </w:t>
      </w:r>
      <w:r w:rsidRPr="0009794A" w:rsidR="00203005">
        <w:rPr>
          <w:szCs w:val="24"/>
        </w:rPr>
        <w:t>motion to intervene that it satisfies the standards for intervention and that it is entitled, under Ohio law, to participate in this investigation to protect consumers. Notably, OCC’s intervention</w:t>
      </w:r>
      <w:r w:rsidRPr="0009794A" w:rsidR="00907626">
        <w:rPr>
          <w:szCs w:val="24"/>
        </w:rPr>
        <w:t xml:space="preserve"> was recently </w:t>
      </w:r>
      <w:r w:rsidRPr="00716027" w:rsidR="00907626">
        <w:rPr>
          <w:i/>
          <w:iCs/>
          <w:szCs w:val="24"/>
        </w:rPr>
        <w:t>granted</w:t>
      </w:r>
      <w:r w:rsidRPr="0009794A" w:rsidR="00907626">
        <w:rPr>
          <w:szCs w:val="24"/>
        </w:rPr>
        <w:t xml:space="preserve"> over marketer opposition </w:t>
      </w:r>
      <w:r w:rsidRPr="0009794A" w:rsidR="00203005">
        <w:rPr>
          <w:szCs w:val="24"/>
        </w:rPr>
        <w:t xml:space="preserve">in the PUCO investigation of marketer XOOM Energy </w:t>
      </w:r>
      <w:r w:rsidRPr="0009794A" w:rsidR="00907626">
        <w:rPr>
          <w:szCs w:val="24"/>
        </w:rPr>
        <w:t>Ohio, LLC.</w:t>
      </w:r>
      <w:r>
        <w:rPr>
          <w:rStyle w:val="FootnoteReference"/>
          <w:szCs w:val="24"/>
        </w:rPr>
        <w:footnoteReference w:id="21"/>
      </w:r>
      <w:r w:rsidRPr="0009794A">
        <w:rPr>
          <w:szCs w:val="24"/>
        </w:rPr>
        <w:t xml:space="preserve"> </w:t>
      </w:r>
      <w:r w:rsidRPr="0009794A" w:rsidR="00546FEC">
        <w:rPr>
          <w:szCs w:val="24"/>
        </w:rPr>
        <w:t>There, the Attorney Examiner noted that “the Supreme Court of Ohio has held that statutes and rules governing intervention should be “‘generally liberally construed in favor of intervention.’”</w:t>
      </w:r>
      <w:r>
        <w:rPr>
          <w:rStyle w:val="FootnoteReference"/>
          <w:szCs w:val="24"/>
        </w:rPr>
        <w:footnoteReference w:id="22"/>
      </w:r>
    </w:p>
    <w:p w:rsidR="00317FA3" w:rsidRPr="0009794A" w:rsidP="0030314E" w14:paraId="4245B441" w14:textId="71F0E851">
      <w:pPr>
        <w:spacing w:line="480" w:lineRule="auto"/>
        <w:ind w:firstLine="720"/>
        <w:rPr>
          <w:szCs w:val="24"/>
        </w:rPr>
      </w:pPr>
      <w:r w:rsidRPr="0009794A">
        <w:rPr>
          <w:szCs w:val="24"/>
        </w:rPr>
        <w:t>Moreover, Green Choice’s apparent belief that it should</w:t>
      </w:r>
      <w:r w:rsidRPr="0009794A">
        <w:rPr>
          <w:i/>
          <w:iCs/>
          <w:szCs w:val="24"/>
        </w:rPr>
        <w:t xml:space="preserve"> </w:t>
      </w:r>
      <w:r w:rsidRPr="0009794A">
        <w:rPr>
          <w:szCs w:val="24"/>
        </w:rPr>
        <w:t xml:space="preserve">be free from any obligation to respond to discovery </w:t>
      </w:r>
      <w:r w:rsidRPr="0009794A">
        <w:rPr>
          <w:i/>
          <w:iCs/>
          <w:szCs w:val="24"/>
        </w:rPr>
        <w:t>before</w:t>
      </w:r>
      <w:r w:rsidRPr="0009794A">
        <w:rPr>
          <w:szCs w:val="24"/>
        </w:rPr>
        <w:t xml:space="preserve"> the PUCO officially grants OCC intervention directly contradicts the PUCO’s </w:t>
      </w:r>
      <w:r w:rsidR="00BB21CB">
        <w:rPr>
          <w:szCs w:val="24"/>
        </w:rPr>
        <w:t xml:space="preserve">well known </w:t>
      </w:r>
      <w:r w:rsidRPr="0009794A">
        <w:rPr>
          <w:szCs w:val="24"/>
        </w:rPr>
        <w:t>discovery process. The Ohio Administrative Code states, “the term ‘party’ includes any person who has file</w:t>
      </w:r>
      <w:r w:rsidR="00716027">
        <w:rPr>
          <w:szCs w:val="24"/>
        </w:rPr>
        <w:t>d</w:t>
      </w:r>
      <w:r w:rsidRPr="0009794A">
        <w:rPr>
          <w:szCs w:val="24"/>
        </w:rPr>
        <w:t xml:space="preserve"> a motion to intervene which is pending at the time a discovery request or motion is to be served or filed.”</w:t>
      </w:r>
      <w:r>
        <w:rPr>
          <w:rStyle w:val="FootnoteReference"/>
          <w:szCs w:val="24"/>
        </w:rPr>
        <w:footnoteReference w:id="23"/>
      </w:r>
      <w:r w:rsidRPr="0009794A">
        <w:rPr>
          <w:szCs w:val="24"/>
        </w:rPr>
        <w:t xml:space="preserve"> There is no exclusion or carve-out for situations where a</w:t>
      </w:r>
      <w:r w:rsidRPr="0009794A" w:rsidR="00FF189C">
        <w:rPr>
          <w:szCs w:val="24"/>
        </w:rPr>
        <w:t>nother</w:t>
      </w:r>
      <w:r w:rsidRPr="0009794A">
        <w:rPr>
          <w:szCs w:val="24"/>
        </w:rPr>
        <w:t xml:space="preserve"> party opposes the movant’s intervention.</w:t>
      </w:r>
      <w:r>
        <w:rPr>
          <w:rStyle w:val="FootnoteReference"/>
          <w:szCs w:val="24"/>
        </w:rPr>
        <w:footnoteReference w:id="24"/>
      </w:r>
      <w:r w:rsidRPr="0009794A">
        <w:rPr>
          <w:szCs w:val="24"/>
        </w:rPr>
        <w:t xml:space="preserve"> This is consistent with the Ohio Administrative Code, which states that the purpose of the discovery rules is “to encourage the </w:t>
      </w:r>
      <w:r w:rsidRPr="0009794A">
        <w:rPr>
          <w:i/>
          <w:iCs/>
          <w:szCs w:val="24"/>
        </w:rPr>
        <w:t>prompt and expeditious</w:t>
      </w:r>
      <w:r w:rsidRPr="0009794A">
        <w:rPr>
          <w:szCs w:val="24"/>
        </w:rPr>
        <w:t xml:space="preserve"> use of prehearing discovery in order to facilitate thorough and adequate participation in commission proceedings.”</w:t>
      </w:r>
      <w:r>
        <w:rPr>
          <w:rStyle w:val="FootnoteReference"/>
          <w:szCs w:val="24"/>
        </w:rPr>
        <w:footnoteReference w:id="25"/>
      </w:r>
    </w:p>
    <w:p w:rsidR="00E65EBE" w:rsidP="008829F5" w14:paraId="4F8247B7" w14:textId="18D286A2">
      <w:pPr>
        <w:spacing w:line="480" w:lineRule="auto"/>
        <w:ind w:firstLine="720"/>
        <w:rPr>
          <w:szCs w:val="24"/>
        </w:rPr>
      </w:pPr>
      <w:r w:rsidRPr="0009794A">
        <w:rPr>
          <w:szCs w:val="24"/>
        </w:rPr>
        <w:t>“When interpreting an administrative rule, unambiguous text must be applied according to its terms, without adding or subtracting words.”</w:t>
      </w:r>
      <w:r>
        <w:rPr>
          <w:rStyle w:val="FootnoteReference"/>
          <w:szCs w:val="24"/>
        </w:rPr>
        <w:footnoteReference w:id="26"/>
      </w:r>
      <w:r w:rsidRPr="0009794A">
        <w:rPr>
          <w:szCs w:val="24"/>
        </w:rPr>
        <w:t xml:space="preserve"> </w:t>
      </w:r>
      <w:r w:rsidRPr="0009794A" w:rsidR="008829F5">
        <w:rPr>
          <w:szCs w:val="24"/>
        </w:rPr>
        <w:t>The</w:t>
      </w:r>
      <w:r w:rsidRPr="0009794A" w:rsidR="000E798F">
        <w:rPr>
          <w:szCs w:val="24"/>
        </w:rPr>
        <w:t xml:space="preserve"> discovery process set forth in the Ohio Administrative Code</w:t>
      </w:r>
      <w:r w:rsidRPr="0009794A">
        <w:rPr>
          <w:szCs w:val="24"/>
        </w:rPr>
        <w:t xml:space="preserve"> </w:t>
      </w:r>
      <w:r w:rsidRPr="0009794A" w:rsidR="008829F5">
        <w:rPr>
          <w:szCs w:val="24"/>
        </w:rPr>
        <w:t>plainly</w:t>
      </w:r>
      <w:r w:rsidRPr="0009794A">
        <w:rPr>
          <w:szCs w:val="24"/>
        </w:rPr>
        <w:t xml:space="preserve"> contemplate</w:t>
      </w:r>
      <w:r w:rsidR="00716027">
        <w:rPr>
          <w:szCs w:val="24"/>
        </w:rPr>
        <w:t>s</w:t>
      </w:r>
      <w:r w:rsidRPr="0009794A">
        <w:rPr>
          <w:szCs w:val="24"/>
        </w:rPr>
        <w:t xml:space="preserve"> the situation at hand and explicitly give</w:t>
      </w:r>
      <w:r w:rsidR="00716027">
        <w:rPr>
          <w:szCs w:val="24"/>
        </w:rPr>
        <w:t>s</w:t>
      </w:r>
      <w:r w:rsidRPr="0009794A">
        <w:rPr>
          <w:szCs w:val="24"/>
        </w:rPr>
        <w:t xml:space="preserve"> OCC the right to participate in discovery while its motion to intervene is pending, regardless of Green Choice’s opposition. Accordingly, PUCO should deny Green Choice’s motion and require it to</w:t>
      </w:r>
      <w:r w:rsidRPr="0009794A" w:rsidR="008829F5">
        <w:rPr>
          <w:szCs w:val="24"/>
        </w:rPr>
        <w:t xml:space="preserve"> respond to OCC’s discovery</w:t>
      </w:r>
      <w:r w:rsidRPr="0009794A">
        <w:rPr>
          <w:szCs w:val="24"/>
        </w:rPr>
        <w:t xml:space="preserve">. </w:t>
      </w:r>
    </w:p>
    <w:p w:rsidR="00BC2E22" w:rsidRPr="00D47888" w:rsidP="00BC2E22" w14:paraId="6D6D8C4B" w14:textId="5AF13843">
      <w:pPr>
        <w:pStyle w:val="Heading2"/>
      </w:pPr>
      <w:r>
        <w:t>C.</w:t>
      </w:r>
      <w:r>
        <w:tab/>
      </w:r>
      <w:r w:rsidRPr="00DB0C4C">
        <w:t xml:space="preserve">The </w:t>
      </w:r>
      <w:r>
        <w:t>Green Choice</w:t>
      </w:r>
      <w:r w:rsidRPr="00DB0C4C">
        <w:t xml:space="preserve"> </w:t>
      </w:r>
      <w:r w:rsidR="00716027">
        <w:t>m</w:t>
      </w:r>
      <w:r w:rsidRPr="00DB0C4C">
        <w:t xml:space="preserve">otion </w:t>
      </w:r>
      <w:r>
        <w:t>a</w:t>
      </w:r>
      <w:r w:rsidRPr="00DB0C4C">
        <w:t xml:space="preserve">sks </w:t>
      </w:r>
      <w:r>
        <w:t>t</w:t>
      </w:r>
      <w:r w:rsidRPr="00DB0C4C">
        <w:t xml:space="preserve">he PUCO to </w:t>
      </w:r>
      <w:r>
        <w:t>v</w:t>
      </w:r>
      <w:r w:rsidRPr="00DB0C4C">
        <w:t xml:space="preserve">iolate OCC’s </w:t>
      </w:r>
      <w:r>
        <w:t>d</w:t>
      </w:r>
      <w:r w:rsidRPr="00DB0C4C">
        <w:t xml:space="preserve">iscovery and </w:t>
      </w:r>
      <w:r>
        <w:t>c</w:t>
      </w:r>
      <w:r w:rsidRPr="00DB0C4C">
        <w:t xml:space="preserve">ase </w:t>
      </w:r>
      <w:r>
        <w:t>p</w:t>
      </w:r>
      <w:r w:rsidRPr="00DB0C4C">
        <w:t xml:space="preserve">reparation </w:t>
      </w:r>
      <w:r>
        <w:t>r</w:t>
      </w:r>
      <w:r w:rsidRPr="00DB0C4C">
        <w:t>ights</w:t>
      </w:r>
      <w:r>
        <w:t>.</w:t>
      </w:r>
    </w:p>
    <w:p w:rsidR="00BC2E22" w:rsidRPr="00DB0C4C" w:rsidP="00BC2E22" w14:paraId="1EABF988" w14:textId="1EA31AC1">
      <w:pPr>
        <w:pStyle w:val="FootnoteText"/>
        <w:spacing w:line="480" w:lineRule="auto"/>
        <w:ind w:firstLine="720"/>
        <w:rPr>
          <w:b/>
          <w:bCs/>
          <w:sz w:val="24"/>
          <w:szCs w:val="24"/>
        </w:rPr>
      </w:pPr>
      <w:r w:rsidRPr="00DB0C4C">
        <w:rPr>
          <w:bCs/>
          <w:sz w:val="24"/>
          <w:szCs w:val="24"/>
        </w:rPr>
        <w:t xml:space="preserve">The </w:t>
      </w:r>
      <w:r>
        <w:rPr>
          <w:bCs/>
          <w:sz w:val="24"/>
          <w:szCs w:val="24"/>
        </w:rPr>
        <w:t>Green Choice</w:t>
      </w:r>
      <w:r w:rsidRPr="00DB0C4C">
        <w:rPr>
          <w:bCs/>
          <w:sz w:val="24"/>
          <w:szCs w:val="24"/>
        </w:rPr>
        <w:t xml:space="preserve"> </w:t>
      </w:r>
      <w:r w:rsidR="00716027">
        <w:rPr>
          <w:bCs/>
          <w:sz w:val="24"/>
          <w:szCs w:val="24"/>
        </w:rPr>
        <w:t>m</w:t>
      </w:r>
      <w:r w:rsidRPr="00DB0C4C">
        <w:rPr>
          <w:bCs/>
          <w:sz w:val="24"/>
          <w:szCs w:val="24"/>
        </w:rPr>
        <w:t>otion asks the PUCO to violate OCC’s discovery and case preparation rights.</w:t>
      </w:r>
      <w:r>
        <w:rPr>
          <w:bCs/>
          <w:sz w:val="24"/>
          <w:szCs w:val="24"/>
        </w:rPr>
        <w:t xml:space="preserve"> </w:t>
      </w:r>
      <w:r w:rsidRPr="00DB0C4C">
        <w:rPr>
          <w:bCs/>
          <w:sz w:val="24"/>
          <w:szCs w:val="24"/>
        </w:rPr>
        <w:t xml:space="preserve">OCC’s discovery and case preparation rights are protected by R.C. 4903.082, which states that “[a]ll parties and intervenors shall be granted ample rights of discovery.” </w:t>
      </w:r>
      <w:r w:rsidRPr="00DB0C4C">
        <w:rPr>
          <w:bCs/>
          <w:i/>
          <w:iCs/>
          <w:sz w:val="24"/>
          <w:szCs w:val="24"/>
        </w:rPr>
        <w:t>See</w:t>
      </w:r>
      <w:r w:rsidRPr="00DB0C4C">
        <w:rPr>
          <w:bCs/>
          <w:sz w:val="24"/>
          <w:szCs w:val="24"/>
        </w:rPr>
        <w:t xml:space="preserve"> </w:t>
      </w:r>
      <w:r w:rsidRPr="00DB0C4C">
        <w:rPr>
          <w:bCs/>
          <w:i/>
          <w:iCs/>
          <w:sz w:val="24"/>
          <w:szCs w:val="24"/>
        </w:rPr>
        <w:t>OCC v. PUC</w:t>
      </w:r>
      <w:r w:rsidRPr="00DB0C4C">
        <w:rPr>
          <w:bCs/>
          <w:sz w:val="24"/>
          <w:szCs w:val="24"/>
        </w:rPr>
        <w:t>, 111 Ohio St.3d 300 (2006). The PUCO has also adopted rules that broadly define the scope of discovery and case preparation. O.A.C. 4901-1-16(B) provides:</w:t>
      </w:r>
    </w:p>
    <w:p w:rsidR="00BC2E22" w:rsidP="00BC2E22" w14:paraId="4690999E" w14:textId="77777777">
      <w:pPr>
        <w:pStyle w:val="FootnoteText"/>
        <w:ind w:left="1440" w:right="1440"/>
        <w:rPr>
          <w:b/>
          <w:bCs/>
          <w:sz w:val="24"/>
          <w:szCs w:val="24"/>
        </w:rPr>
      </w:pPr>
      <w:r w:rsidRPr="00DB0C4C">
        <w:rPr>
          <w:bCs/>
          <w:sz w:val="24"/>
          <w:szCs w:val="24"/>
        </w:rPr>
        <w:t xml:space="preserve">any party to a commission proceeding may obtain discovery of any matter, not privileged, which is relevant to the subject matter of the proceeding. It is not a ground for objection that the information sought would be inadmissible at the hearing, if the information sought </w:t>
      </w:r>
      <w:r w:rsidRPr="00DB0C4C">
        <w:rPr>
          <w:bCs/>
          <w:i/>
          <w:iCs/>
          <w:sz w:val="24"/>
          <w:szCs w:val="24"/>
        </w:rPr>
        <w:t>appears</w:t>
      </w:r>
      <w:r w:rsidRPr="00DB0C4C">
        <w:rPr>
          <w:bCs/>
          <w:sz w:val="24"/>
          <w:szCs w:val="24"/>
        </w:rPr>
        <w:t xml:space="preserve"> reasonably calculated to lead to the discovery of admissible evidence. (Emphasis added.)</w:t>
      </w:r>
    </w:p>
    <w:p w:rsidR="00BC2E22" w:rsidRPr="00DB0C4C" w:rsidP="00BC2E22" w14:paraId="3462199E" w14:textId="77777777">
      <w:pPr>
        <w:pStyle w:val="FootnoteText"/>
        <w:ind w:left="1440" w:right="1440"/>
        <w:rPr>
          <w:b/>
          <w:bCs/>
          <w:sz w:val="24"/>
          <w:szCs w:val="24"/>
        </w:rPr>
      </w:pPr>
    </w:p>
    <w:p w:rsidR="00DB4E9C" w:rsidP="00DE38E5" w14:paraId="0BC99DB6" w14:textId="4BD4000A">
      <w:pPr>
        <w:pStyle w:val="FootnoteText"/>
        <w:spacing w:line="480" w:lineRule="auto"/>
        <w:ind w:firstLine="720"/>
        <w:rPr>
          <w:rFonts w:eastAsiaTheme="majorEastAsia" w:cstheme="majorBidi"/>
          <w:b/>
          <w:szCs w:val="26"/>
        </w:rPr>
      </w:pPr>
      <w:r>
        <w:rPr>
          <w:bCs/>
          <w:sz w:val="24"/>
          <w:szCs w:val="24"/>
        </w:rPr>
        <w:t>Green Choice’s</w:t>
      </w:r>
      <w:r w:rsidRPr="00DB0C4C">
        <w:rPr>
          <w:bCs/>
          <w:sz w:val="24"/>
          <w:szCs w:val="24"/>
        </w:rPr>
        <w:t xml:space="preserve"> efforts to involve the PUCO in denying OCC its ample rights of discovery to prepare its case should be rejected.</w:t>
      </w:r>
      <w:r>
        <w:rPr>
          <w:bCs/>
          <w:sz w:val="24"/>
          <w:szCs w:val="24"/>
        </w:rPr>
        <w:t xml:space="preserve"> </w:t>
      </w:r>
      <w:r w:rsidRPr="00DB0C4C">
        <w:rPr>
          <w:bCs/>
          <w:sz w:val="24"/>
          <w:szCs w:val="24"/>
        </w:rPr>
        <w:t>It would require the PUCO to violate rights guaranteed by Ohio statu</w:t>
      </w:r>
      <w:r w:rsidR="00E964B3">
        <w:rPr>
          <w:bCs/>
          <w:sz w:val="24"/>
          <w:szCs w:val="24"/>
        </w:rPr>
        <w:t>t</w:t>
      </w:r>
      <w:r w:rsidRPr="00DB0C4C">
        <w:rPr>
          <w:bCs/>
          <w:sz w:val="24"/>
          <w:szCs w:val="24"/>
        </w:rPr>
        <w:t>e, rule, and Supreme Court precedent.</w:t>
      </w:r>
    </w:p>
    <w:p w:rsidR="001A4E60" w:rsidRPr="007A3F4D" w:rsidP="007A3F4D" w14:paraId="12C5C48A" w14:textId="179DA6F9">
      <w:pPr>
        <w:pStyle w:val="Heading2"/>
      </w:pPr>
      <w:r>
        <w:t>D</w:t>
      </w:r>
      <w:r w:rsidR="00DB4E9C">
        <w:t>.</w:t>
      </w:r>
      <w:r w:rsidR="00DB4E9C">
        <w:tab/>
      </w:r>
      <w:r w:rsidRPr="0009794A" w:rsidR="00317FA3">
        <w:t xml:space="preserve">OCC’s discovery requests are directly relevant to the issues </w:t>
      </w:r>
      <w:r w:rsidRPr="0009794A">
        <w:t xml:space="preserve">in this </w:t>
      </w:r>
      <w:r w:rsidRPr="0009794A" w:rsidR="00317FA3">
        <w:t xml:space="preserve">PUCO </w:t>
      </w:r>
      <w:r w:rsidRPr="0009794A">
        <w:t>investigation of Green Choice.</w:t>
      </w:r>
    </w:p>
    <w:p w:rsidR="00E964B3" w:rsidP="008829F5" w14:paraId="2EA01229" w14:textId="77777777">
      <w:pPr>
        <w:spacing w:line="480" w:lineRule="auto"/>
        <w:ind w:firstLine="720"/>
        <w:rPr>
          <w:szCs w:val="24"/>
        </w:rPr>
      </w:pPr>
      <w:r w:rsidRPr="0009794A">
        <w:rPr>
          <w:szCs w:val="24"/>
        </w:rPr>
        <w:t>Perhaps cognizant of the fact that its mere opposition to OCC’s intervention does not warrant a stay of discovery, Green Choice also asserts that OCC’s discovery requests “venture[] into areas well beyond the scope of the [Notice of Probability of Non-Compliance].”</w:t>
      </w:r>
      <w:r>
        <w:rPr>
          <w:rStyle w:val="FootnoteReference"/>
          <w:szCs w:val="24"/>
        </w:rPr>
        <w:footnoteReference w:id="27"/>
      </w:r>
      <w:r w:rsidRPr="0009794A">
        <w:rPr>
          <w:szCs w:val="24"/>
        </w:rPr>
        <w:t xml:space="preserve"> </w:t>
      </w:r>
    </w:p>
    <w:p w:rsidR="00317FA3" w:rsidRPr="0009794A" w:rsidP="008829F5" w14:paraId="1C14990A" w14:textId="75B96088">
      <w:pPr>
        <w:spacing w:line="480" w:lineRule="auto"/>
        <w:ind w:firstLine="720"/>
        <w:rPr>
          <w:szCs w:val="24"/>
        </w:rPr>
      </w:pPr>
      <w:r w:rsidRPr="0009794A">
        <w:rPr>
          <w:szCs w:val="24"/>
        </w:rPr>
        <w:t xml:space="preserve">But </w:t>
      </w:r>
      <w:r w:rsidRPr="0009794A" w:rsidR="00A33BFD">
        <w:rPr>
          <w:szCs w:val="24"/>
        </w:rPr>
        <w:t>Green Choice never raised this concern with OCC’s counsel</w:t>
      </w:r>
      <w:r w:rsidRPr="0009794A">
        <w:rPr>
          <w:szCs w:val="24"/>
        </w:rPr>
        <w:t>. Nor did Green Choice bother to serve specific objections to OCC’s discovery requests.</w:t>
      </w:r>
      <w:r w:rsidRPr="0009794A" w:rsidR="00A33BFD">
        <w:rPr>
          <w:szCs w:val="24"/>
        </w:rPr>
        <w:t xml:space="preserve"> </w:t>
      </w:r>
      <w:r w:rsidRPr="0009794A">
        <w:rPr>
          <w:szCs w:val="24"/>
        </w:rPr>
        <w:t>In fact</w:t>
      </w:r>
      <w:r w:rsidRPr="0009794A" w:rsidR="00A33BFD">
        <w:rPr>
          <w:szCs w:val="24"/>
        </w:rPr>
        <w:t xml:space="preserve">, Green Choice </w:t>
      </w:r>
      <w:r w:rsidRPr="0009794A">
        <w:rPr>
          <w:szCs w:val="24"/>
        </w:rPr>
        <w:t>fails to</w:t>
      </w:r>
      <w:r w:rsidRPr="0009794A" w:rsidR="00A33BFD">
        <w:rPr>
          <w:szCs w:val="24"/>
        </w:rPr>
        <w:t xml:space="preserve"> cite to </w:t>
      </w:r>
      <w:r w:rsidRPr="0009794A" w:rsidR="00A33BFD">
        <w:rPr>
          <w:i/>
          <w:iCs/>
          <w:szCs w:val="24"/>
        </w:rPr>
        <w:t xml:space="preserve">any </w:t>
      </w:r>
      <w:r w:rsidRPr="0009794A" w:rsidR="00A33BFD">
        <w:rPr>
          <w:szCs w:val="24"/>
        </w:rPr>
        <w:t>example of a discovery request that falls outside the scope of PUCO</w:t>
      </w:r>
      <w:r w:rsidRPr="0009794A">
        <w:rPr>
          <w:szCs w:val="24"/>
        </w:rPr>
        <w:t>’s investigation</w:t>
      </w:r>
      <w:r w:rsidRPr="0009794A" w:rsidR="00A33BFD">
        <w:rPr>
          <w:szCs w:val="24"/>
        </w:rPr>
        <w:t>.</w:t>
      </w:r>
      <w:r>
        <w:rPr>
          <w:rStyle w:val="FootnoteReference"/>
          <w:szCs w:val="24"/>
        </w:rPr>
        <w:footnoteReference w:id="28"/>
      </w:r>
      <w:r w:rsidRPr="0009794A" w:rsidR="00A33BFD">
        <w:rPr>
          <w:szCs w:val="24"/>
        </w:rPr>
        <w:t xml:space="preserve"> </w:t>
      </w:r>
      <w:r w:rsidRPr="0009794A" w:rsidR="003610CC">
        <w:rPr>
          <w:szCs w:val="24"/>
        </w:rPr>
        <w:t xml:space="preserve">Rather Green Choice </w:t>
      </w:r>
      <w:r w:rsidRPr="0009794A" w:rsidR="003D4FE2">
        <w:rPr>
          <w:szCs w:val="24"/>
        </w:rPr>
        <w:t>just</w:t>
      </w:r>
      <w:r w:rsidRPr="0009794A" w:rsidR="00A33BFD">
        <w:rPr>
          <w:szCs w:val="24"/>
        </w:rPr>
        <w:t xml:space="preserve"> </w:t>
      </w:r>
      <w:r w:rsidRPr="0009794A" w:rsidR="003610CC">
        <w:rPr>
          <w:szCs w:val="24"/>
        </w:rPr>
        <w:t>claims</w:t>
      </w:r>
      <w:r w:rsidRPr="0009794A" w:rsidR="00A33BFD">
        <w:rPr>
          <w:szCs w:val="24"/>
        </w:rPr>
        <w:t xml:space="preserve"> that it is “obvious from even the most cursory review of [OCC’s discovery requests].”</w:t>
      </w:r>
      <w:r>
        <w:rPr>
          <w:rStyle w:val="FootnoteReference"/>
          <w:szCs w:val="24"/>
        </w:rPr>
        <w:footnoteReference w:id="29"/>
      </w:r>
      <w:r w:rsidRPr="0009794A" w:rsidR="00A33BFD">
        <w:rPr>
          <w:szCs w:val="24"/>
        </w:rPr>
        <w:t xml:space="preserve"> </w:t>
      </w:r>
      <w:r w:rsidRPr="0009794A" w:rsidR="003D4FE2">
        <w:rPr>
          <w:szCs w:val="24"/>
        </w:rPr>
        <w:t>That bald assertion is not enough to justify Green Choice’s attempts to avoid OCC’s discovery.</w:t>
      </w:r>
    </w:p>
    <w:p w:rsidR="003D4FE2" w:rsidRPr="0009794A" w:rsidP="00CA0E8F" w14:paraId="2EA89697" w14:textId="77777777">
      <w:pPr>
        <w:spacing w:line="480" w:lineRule="auto"/>
        <w:ind w:firstLine="720"/>
        <w:rPr>
          <w:szCs w:val="24"/>
        </w:rPr>
      </w:pPr>
      <w:r w:rsidRPr="0009794A">
        <w:rPr>
          <w:szCs w:val="24"/>
        </w:rPr>
        <w:t>If OCC’s discovery requests</w:t>
      </w:r>
      <w:r w:rsidRPr="0009794A" w:rsidR="003610CC">
        <w:rPr>
          <w:szCs w:val="24"/>
        </w:rPr>
        <w:t xml:space="preserve"> so obviously</w:t>
      </w:r>
      <w:r w:rsidRPr="0009794A">
        <w:rPr>
          <w:szCs w:val="24"/>
        </w:rPr>
        <w:t xml:space="preserve"> exceed the scope of this proceeding (they do not), then Green Choice</w:t>
      </w:r>
      <w:r w:rsidRPr="0009794A" w:rsidR="003610CC">
        <w:rPr>
          <w:szCs w:val="24"/>
        </w:rPr>
        <w:t xml:space="preserve"> could have – and should have –</w:t>
      </w:r>
      <w:r w:rsidRPr="0009794A">
        <w:rPr>
          <w:szCs w:val="24"/>
        </w:rPr>
        <w:t xml:space="preserve"> attempted</w:t>
      </w:r>
      <w:r w:rsidRPr="0009794A" w:rsidR="003610CC">
        <w:rPr>
          <w:szCs w:val="24"/>
        </w:rPr>
        <w:t xml:space="preserve"> to resolve the issue with OCC </w:t>
      </w:r>
      <w:r w:rsidRPr="0009794A" w:rsidR="003610CC">
        <w:rPr>
          <w:i/>
          <w:iCs/>
          <w:szCs w:val="24"/>
        </w:rPr>
        <w:t>before</w:t>
      </w:r>
      <w:r w:rsidRPr="0009794A" w:rsidR="003610CC">
        <w:rPr>
          <w:szCs w:val="24"/>
        </w:rPr>
        <w:t xml:space="preserve"> burdening the PUCO (as the rules require)</w:t>
      </w:r>
      <w:r w:rsidRPr="0009794A">
        <w:rPr>
          <w:szCs w:val="24"/>
        </w:rPr>
        <w:t xml:space="preserve">. But Green Choice did not. </w:t>
      </w:r>
    </w:p>
    <w:p w:rsidR="00317FA3" w:rsidRPr="0009794A" w:rsidP="00CA0E8F" w14:paraId="0247C2EE" w14:textId="5C2D2571">
      <w:pPr>
        <w:spacing w:line="480" w:lineRule="auto"/>
        <w:ind w:firstLine="720"/>
        <w:rPr>
          <w:szCs w:val="24"/>
        </w:rPr>
      </w:pPr>
      <w:r w:rsidRPr="0009794A">
        <w:rPr>
          <w:szCs w:val="24"/>
        </w:rPr>
        <w:t xml:space="preserve">In fact, </w:t>
      </w:r>
      <w:r w:rsidRPr="0009794A" w:rsidR="003D4FE2">
        <w:rPr>
          <w:szCs w:val="24"/>
        </w:rPr>
        <w:t xml:space="preserve">contrary to Green Choice’s claim, </w:t>
      </w:r>
      <w:r w:rsidRPr="0009794A">
        <w:rPr>
          <w:szCs w:val="24"/>
        </w:rPr>
        <w:t xml:space="preserve">OCC’s discovery to Green Choice is plainly relevant to this investigation. </w:t>
      </w:r>
      <w:r w:rsidR="00DE38E5">
        <w:rPr>
          <w:szCs w:val="24"/>
        </w:rPr>
        <w:t xml:space="preserve">The </w:t>
      </w:r>
      <w:r w:rsidRPr="0009794A">
        <w:rPr>
          <w:szCs w:val="24"/>
        </w:rPr>
        <w:t xml:space="preserve">PUCO’s Notice of Probability of Non-Compliance (“Notice”) specifically </w:t>
      </w:r>
      <w:r w:rsidRPr="0009794A" w:rsidR="00CA0E8F">
        <w:rPr>
          <w:szCs w:val="24"/>
        </w:rPr>
        <w:t>described</w:t>
      </w:r>
      <w:r w:rsidRPr="0009794A">
        <w:rPr>
          <w:szCs w:val="24"/>
        </w:rPr>
        <w:t xml:space="preserve"> </w:t>
      </w:r>
      <w:r w:rsidRPr="0009794A" w:rsidR="00CA0E8F">
        <w:rPr>
          <w:szCs w:val="24"/>
        </w:rPr>
        <w:t>multiple</w:t>
      </w:r>
      <w:r w:rsidRPr="0009794A">
        <w:rPr>
          <w:szCs w:val="24"/>
        </w:rPr>
        <w:t xml:space="preserve"> issues related to Green Choice’s telephone and door-to-door solicitations of electric and natural gas consumers.</w:t>
      </w:r>
      <w:r>
        <w:rPr>
          <w:rStyle w:val="FootnoteReference"/>
          <w:szCs w:val="24"/>
        </w:rPr>
        <w:footnoteReference w:id="30"/>
      </w:r>
      <w:r w:rsidRPr="0009794A">
        <w:rPr>
          <w:szCs w:val="24"/>
        </w:rPr>
        <w:t xml:space="preserve"> Green Choice’s misleading and abusive tactics include, but are not limited to: manipulation of telemarketing call recordings submitted to PUCO, the spoofing of telemarketer numbers to make calls appear local, misleading and deceptive statements by telemarketers and door-to-door marketers, attempting to enroll consumers without consent, initialing contracts on behalf of customers without consent, failing to timely provide copies of contracts in accordance with PUCO’s rules, failure to explain material terms that affect variable rate contracts, and failure to monitor vendors and sales agents.</w:t>
      </w:r>
      <w:r>
        <w:rPr>
          <w:rStyle w:val="FootnoteReference"/>
          <w:szCs w:val="24"/>
        </w:rPr>
        <w:footnoteReference w:id="31"/>
      </w:r>
      <w:r w:rsidRPr="0009794A">
        <w:rPr>
          <w:szCs w:val="24"/>
        </w:rPr>
        <w:t xml:space="preserve"> </w:t>
      </w:r>
    </w:p>
    <w:p w:rsidR="00911086" w:rsidRPr="0009794A" w:rsidP="00CA0E8F" w14:paraId="6596D2CE" w14:textId="67DCFB11">
      <w:pPr>
        <w:spacing w:line="480" w:lineRule="auto"/>
        <w:ind w:firstLine="720"/>
        <w:rPr>
          <w:szCs w:val="24"/>
        </w:rPr>
      </w:pPr>
      <w:r w:rsidRPr="0009794A">
        <w:rPr>
          <w:szCs w:val="24"/>
        </w:rPr>
        <w:t>Each of OCC’s discovery requests</w:t>
      </w:r>
      <w:r w:rsidRPr="0009794A" w:rsidR="00CA0E8F">
        <w:rPr>
          <w:szCs w:val="24"/>
        </w:rPr>
        <w:t xml:space="preserve"> is relevant to these issues</w:t>
      </w:r>
      <w:r w:rsidRPr="0009794A">
        <w:rPr>
          <w:szCs w:val="24"/>
        </w:rPr>
        <w:t xml:space="preserve">. Of OCC’s 24 interrogatories, Nos. 1 and 2 relate to any expert witnesses </w:t>
      </w:r>
      <w:r w:rsidRPr="0009794A">
        <w:rPr>
          <w:i/>
          <w:iCs/>
          <w:szCs w:val="24"/>
        </w:rPr>
        <w:t>Green Choice</w:t>
      </w:r>
      <w:r w:rsidRPr="0009794A">
        <w:rPr>
          <w:szCs w:val="24"/>
        </w:rPr>
        <w:t xml:space="preserve"> chooses to call at hearing; Nos. 3-4 and 10-13 concern Green Choice’s use and/or supervision of sales employees, agents, or vendors; Nos. 5-9 relate to the compensation, training, and compliance monitoring of such employees, agents, or vendors; No. 14 concerns Green Choice’s processes for validating consumer enrollment; Nos. 15-22 seek identification of the electric and natural gas customers that Green Choice serves and whether those customers are on fixed or variable contracts; and Nos. 23-24 seek information about what, if any, disciplinary action Green Choice has faced in other states—consistent with PUCO staff’s stated concern about the “pervasive nature”</w:t>
      </w:r>
      <w:r>
        <w:rPr>
          <w:rStyle w:val="FootnoteReference"/>
          <w:szCs w:val="24"/>
        </w:rPr>
        <w:footnoteReference w:id="32"/>
      </w:r>
      <w:r w:rsidRPr="0009794A">
        <w:rPr>
          <w:szCs w:val="24"/>
        </w:rPr>
        <w:t xml:space="preserve"> of Green Choice’s conduct.</w:t>
      </w:r>
      <w:r w:rsidRPr="0009794A" w:rsidR="00154C6C">
        <w:rPr>
          <w:szCs w:val="24"/>
        </w:rPr>
        <w:t xml:space="preserve"> </w:t>
      </w:r>
    </w:p>
    <w:p w:rsidR="00591521" w:rsidRPr="0009794A" w:rsidP="00591521" w14:paraId="1DD3EF06" w14:textId="260506EC">
      <w:pPr>
        <w:spacing w:line="480" w:lineRule="auto"/>
        <w:ind w:firstLine="720"/>
        <w:rPr>
          <w:szCs w:val="24"/>
        </w:rPr>
      </w:pPr>
      <w:r w:rsidRPr="0009794A">
        <w:rPr>
          <w:szCs w:val="24"/>
        </w:rPr>
        <w:t xml:space="preserve">Additionally, of OCC’s 10 requests for the production of documents, Nos. 1-6 request documents that Green Choice has </w:t>
      </w:r>
      <w:r w:rsidRPr="0009794A">
        <w:rPr>
          <w:i/>
          <w:iCs/>
          <w:szCs w:val="24"/>
        </w:rPr>
        <w:t>already provided</w:t>
      </w:r>
      <w:r w:rsidRPr="0009794A">
        <w:rPr>
          <w:szCs w:val="24"/>
        </w:rPr>
        <w:t xml:space="preserve"> to PUCO staff relating either to this hearing or to the allegations in the Notice; Nos. </w:t>
      </w:r>
      <w:r w:rsidRPr="0009794A" w:rsidR="00A43976">
        <w:rPr>
          <w:szCs w:val="24"/>
        </w:rPr>
        <w:t>7-8 request copies of the standard electric and natural gas contract used by Green Choice in Ohio; No. 9 request</w:t>
      </w:r>
      <w:r w:rsidR="008A3C30">
        <w:rPr>
          <w:szCs w:val="24"/>
        </w:rPr>
        <w:t>s</w:t>
      </w:r>
      <w:r w:rsidRPr="0009794A" w:rsidR="00A43976">
        <w:rPr>
          <w:szCs w:val="24"/>
        </w:rPr>
        <w:t xml:space="preserve"> copies of training materials, scripts, and instructions that Green Choice provides to representatives who solicit Ohio consumers on Green Choice’s behalf; and No. 10 request</w:t>
      </w:r>
      <w:r w:rsidR="00DD547A">
        <w:rPr>
          <w:szCs w:val="24"/>
        </w:rPr>
        <w:t>s</w:t>
      </w:r>
      <w:r w:rsidRPr="0009794A" w:rsidR="00A43976">
        <w:rPr>
          <w:szCs w:val="24"/>
        </w:rPr>
        <w:t xml:space="preserve"> copies of contracts between Green Choice and vendors that engage in marketing and/or enrollment of Ohio consumers on Green Choice’s behalf. </w:t>
      </w:r>
    </w:p>
    <w:p w:rsidR="00A33BFD" w:rsidRPr="0009794A" w:rsidP="00591521" w14:paraId="674F32F0" w14:textId="1DB6F4D4">
      <w:pPr>
        <w:spacing w:line="480" w:lineRule="auto"/>
        <w:ind w:firstLine="720"/>
        <w:rPr>
          <w:szCs w:val="24"/>
        </w:rPr>
      </w:pPr>
      <w:r w:rsidRPr="0009794A">
        <w:rPr>
          <w:szCs w:val="24"/>
        </w:rPr>
        <w:t xml:space="preserve">In short, </w:t>
      </w:r>
      <w:r w:rsidRPr="0009794A" w:rsidR="00A43976">
        <w:rPr>
          <w:szCs w:val="24"/>
        </w:rPr>
        <w:t>Green Ch</w:t>
      </w:r>
      <w:r w:rsidRPr="0009794A">
        <w:rPr>
          <w:szCs w:val="24"/>
        </w:rPr>
        <w:t xml:space="preserve">oice does not – and cannot – point </w:t>
      </w:r>
      <w:r w:rsidRPr="0009794A" w:rsidR="00A43976">
        <w:rPr>
          <w:szCs w:val="24"/>
        </w:rPr>
        <w:t>to a</w:t>
      </w:r>
      <w:r w:rsidRPr="0009794A">
        <w:rPr>
          <w:szCs w:val="24"/>
        </w:rPr>
        <w:t xml:space="preserve"> single</w:t>
      </w:r>
      <w:r w:rsidRPr="0009794A" w:rsidR="00A43976">
        <w:rPr>
          <w:szCs w:val="24"/>
        </w:rPr>
        <w:t xml:space="preserve"> OCC discovery request that exceeds the scope of </w:t>
      </w:r>
      <w:r w:rsidRPr="0009794A">
        <w:rPr>
          <w:szCs w:val="24"/>
        </w:rPr>
        <w:t>this investigation</w:t>
      </w:r>
      <w:r w:rsidRPr="0009794A" w:rsidR="00A43976">
        <w:rPr>
          <w:szCs w:val="24"/>
        </w:rPr>
        <w:t xml:space="preserve">. </w:t>
      </w:r>
      <w:r w:rsidRPr="0009794A">
        <w:rPr>
          <w:szCs w:val="24"/>
        </w:rPr>
        <w:t xml:space="preserve">The </w:t>
      </w:r>
      <w:r w:rsidRPr="0009794A" w:rsidR="00A43976">
        <w:rPr>
          <w:szCs w:val="24"/>
        </w:rPr>
        <w:t xml:space="preserve">PUCO should </w:t>
      </w:r>
      <w:r w:rsidRPr="0009794A">
        <w:rPr>
          <w:szCs w:val="24"/>
        </w:rPr>
        <w:t>reject</w:t>
      </w:r>
      <w:r w:rsidRPr="0009794A" w:rsidR="00A43976">
        <w:rPr>
          <w:szCs w:val="24"/>
        </w:rPr>
        <w:t xml:space="preserve"> Green Choice’s </w:t>
      </w:r>
      <w:r w:rsidRPr="0009794A">
        <w:rPr>
          <w:szCs w:val="24"/>
        </w:rPr>
        <w:t>baseless attempt to wholly deny discovery to OCC in this investigation</w:t>
      </w:r>
      <w:r w:rsidRPr="0009794A" w:rsidR="00A43976">
        <w:rPr>
          <w:szCs w:val="24"/>
        </w:rPr>
        <w:t>.</w:t>
      </w:r>
    </w:p>
    <w:p w:rsidR="006B795A" w:rsidRPr="007A3F4D" w:rsidP="007A3F4D" w14:paraId="4DD2583B" w14:textId="63B92C84">
      <w:pPr>
        <w:pStyle w:val="Heading2"/>
      </w:pPr>
      <w:r>
        <w:t>E</w:t>
      </w:r>
      <w:r w:rsidR="007A3F4D">
        <w:t>.</w:t>
      </w:r>
      <w:r w:rsidR="007A3F4D">
        <w:tab/>
      </w:r>
      <w:r w:rsidRPr="0009794A" w:rsidR="00A43976">
        <w:t xml:space="preserve">Granting </w:t>
      </w:r>
      <w:r w:rsidRPr="0009794A" w:rsidR="005718F8">
        <w:t>Green Choice’s motion will unjustifiably delay resolution of this case</w:t>
      </w:r>
      <w:r w:rsidR="00E964B3">
        <w:t>, to the benefit of Green Choice and detriment of Ohio consumers</w:t>
      </w:r>
      <w:r w:rsidRPr="0009794A">
        <w:t>.</w:t>
      </w:r>
    </w:p>
    <w:p w:rsidR="00001F9A" w:rsidP="00DA6E7F" w14:paraId="1DCB9DD0" w14:textId="22A001FC">
      <w:pPr>
        <w:spacing w:line="480" w:lineRule="auto"/>
        <w:ind w:firstLine="720"/>
        <w:rPr>
          <w:szCs w:val="24"/>
        </w:rPr>
      </w:pPr>
      <w:r w:rsidRPr="0009794A">
        <w:rPr>
          <w:szCs w:val="24"/>
        </w:rPr>
        <w:t xml:space="preserve">In addition to failing to comply with the PUCO’s rules for protective orders and failing to ground its arguments in law or fact, Green Choice’s motion </w:t>
      </w:r>
      <w:r w:rsidRPr="0009794A" w:rsidR="00E266FA">
        <w:rPr>
          <w:szCs w:val="24"/>
        </w:rPr>
        <w:t>threatens to delay timely resolution of this case</w:t>
      </w:r>
      <w:r w:rsidR="00A84D90">
        <w:rPr>
          <w:szCs w:val="24"/>
        </w:rPr>
        <w:t xml:space="preserve"> for consumers</w:t>
      </w:r>
      <w:r w:rsidRPr="0009794A" w:rsidR="00E266FA">
        <w:rPr>
          <w:szCs w:val="24"/>
        </w:rPr>
        <w:t>, something Green Choice previously stated it wished to avoid.</w:t>
      </w:r>
      <w:r>
        <w:rPr>
          <w:rStyle w:val="FootnoteReference"/>
          <w:szCs w:val="24"/>
        </w:rPr>
        <w:footnoteReference w:id="33"/>
      </w:r>
      <w:r w:rsidRPr="0009794A" w:rsidR="00E266FA">
        <w:rPr>
          <w:szCs w:val="24"/>
        </w:rPr>
        <w:t xml:space="preserve"> </w:t>
      </w:r>
      <w:r w:rsidRPr="0009794A" w:rsidR="003E1A98">
        <w:rPr>
          <w:szCs w:val="24"/>
        </w:rPr>
        <w:t>A</w:t>
      </w:r>
      <w:r w:rsidRPr="0009794A" w:rsidR="00E266FA">
        <w:rPr>
          <w:szCs w:val="24"/>
        </w:rPr>
        <w:t xml:space="preserve">s noted above, </w:t>
      </w:r>
      <w:r w:rsidRPr="0009794A" w:rsidR="003E1A98">
        <w:rPr>
          <w:szCs w:val="24"/>
        </w:rPr>
        <w:t>the Ohio Administrative Code</w:t>
      </w:r>
      <w:r w:rsidRPr="0009794A" w:rsidR="00E266FA">
        <w:rPr>
          <w:szCs w:val="24"/>
        </w:rPr>
        <w:t xml:space="preserve"> </w:t>
      </w:r>
      <w:r w:rsidRPr="0009794A" w:rsidR="003E1A98">
        <w:rPr>
          <w:szCs w:val="24"/>
        </w:rPr>
        <w:t xml:space="preserve">allows </w:t>
      </w:r>
      <w:r w:rsidRPr="0009794A" w:rsidR="00E266FA">
        <w:rPr>
          <w:szCs w:val="24"/>
        </w:rPr>
        <w:t xml:space="preserve">parties who have moved for intervention to </w:t>
      </w:r>
      <w:r w:rsidRPr="0009794A" w:rsidR="00E266FA">
        <w:rPr>
          <w:i/>
          <w:iCs/>
          <w:szCs w:val="24"/>
        </w:rPr>
        <w:t>immediately</w:t>
      </w:r>
      <w:r w:rsidRPr="0009794A" w:rsidR="00E266FA">
        <w:rPr>
          <w:szCs w:val="24"/>
        </w:rPr>
        <w:t xml:space="preserve"> engage in discovery to expedite</w:t>
      </w:r>
      <w:r w:rsidRPr="0009794A" w:rsidR="003E1A98">
        <w:rPr>
          <w:szCs w:val="24"/>
        </w:rPr>
        <w:t xml:space="preserve"> proceedings</w:t>
      </w:r>
      <w:r w:rsidRPr="0009794A" w:rsidR="00E266FA">
        <w:rPr>
          <w:szCs w:val="24"/>
        </w:rPr>
        <w:t>.</w:t>
      </w:r>
      <w:r>
        <w:rPr>
          <w:rStyle w:val="FootnoteReference"/>
          <w:szCs w:val="24"/>
        </w:rPr>
        <w:footnoteReference w:id="34"/>
      </w:r>
      <w:r w:rsidRPr="0009794A" w:rsidR="00317FA3">
        <w:rPr>
          <w:szCs w:val="24"/>
        </w:rPr>
        <w:t xml:space="preserve"> </w:t>
      </w:r>
      <w:r w:rsidRPr="0009794A" w:rsidR="00E266FA">
        <w:rPr>
          <w:szCs w:val="24"/>
        </w:rPr>
        <w:t xml:space="preserve">Green Choice’s </w:t>
      </w:r>
      <w:r w:rsidRPr="0009794A" w:rsidR="003E1A98">
        <w:rPr>
          <w:szCs w:val="24"/>
        </w:rPr>
        <w:t>deficient and meritless attempt</w:t>
      </w:r>
      <w:r w:rsidRPr="0009794A" w:rsidR="00E266FA">
        <w:rPr>
          <w:szCs w:val="24"/>
        </w:rPr>
        <w:t xml:space="preserve"> to</w:t>
      </w:r>
      <w:r w:rsidRPr="0009794A" w:rsidR="003E1A98">
        <w:rPr>
          <w:szCs w:val="24"/>
        </w:rPr>
        <w:t xml:space="preserve"> avoid</w:t>
      </w:r>
      <w:r w:rsidRPr="0009794A" w:rsidR="00E266FA">
        <w:rPr>
          <w:szCs w:val="24"/>
        </w:rPr>
        <w:t xml:space="preserve"> its obligations to answer OCC’s discovery</w:t>
      </w:r>
      <w:r w:rsidRPr="0009794A" w:rsidR="003E1A98">
        <w:rPr>
          <w:szCs w:val="24"/>
        </w:rPr>
        <w:t xml:space="preserve"> flout the rules and PUCO process</w:t>
      </w:r>
      <w:r w:rsidRPr="0009794A" w:rsidR="00E266FA">
        <w:rPr>
          <w:szCs w:val="24"/>
        </w:rPr>
        <w:t xml:space="preserve">. </w:t>
      </w:r>
      <w:r w:rsidRPr="0009794A" w:rsidR="003E1A98">
        <w:rPr>
          <w:szCs w:val="24"/>
        </w:rPr>
        <w:t xml:space="preserve">The </w:t>
      </w:r>
      <w:r w:rsidRPr="0009794A" w:rsidR="00E266FA">
        <w:rPr>
          <w:szCs w:val="24"/>
        </w:rPr>
        <w:t xml:space="preserve">PUCO should enforce </w:t>
      </w:r>
      <w:r w:rsidRPr="0009794A" w:rsidR="003E1A98">
        <w:rPr>
          <w:szCs w:val="24"/>
        </w:rPr>
        <w:t xml:space="preserve">the discovery rules to make sure this matter </w:t>
      </w:r>
      <w:r w:rsidRPr="0009794A" w:rsidR="00E266FA">
        <w:rPr>
          <w:szCs w:val="24"/>
        </w:rPr>
        <w:t xml:space="preserve">proceeds </w:t>
      </w:r>
      <w:r w:rsidRPr="0009794A" w:rsidR="003E1A98">
        <w:rPr>
          <w:szCs w:val="24"/>
        </w:rPr>
        <w:t>in an efficient manner.</w:t>
      </w:r>
      <w:r w:rsidRPr="0009794A" w:rsidR="00E266FA">
        <w:rPr>
          <w:szCs w:val="24"/>
        </w:rPr>
        <w:t xml:space="preserve"> Green Choice’s motion </w:t>
      </w:r>
      <w:r w:rsidRPr="0009794A" w:rsidR="003E1A98">
        <w:rPr>
          <w:szCs w:val="24"/>
        </w:rPr>
        <w:t>should be denied</w:t>
      </w:r>
      <w:r w:rsidRPr="0009794A" w:rsidR="00E266FA">
        <w:rPr>
          <w:szCs w:val="24"/>
        </w:rPr>
        <w:t xml:space="preserve">. </w:t>
      </w:r>
    </w:p>
    <w:p w:rsidR="00224C37" w:rsidP="00DA6E7F" w14:paraId="6F78E840" w14:textId="77777777">
      <w:pPr>
        <w:spacing w:line="480" w:lineRule="auto"/>
        <w:ind w:firstLine="720"/>
        <w:rPr>
          <w:b/>
          <w:bCs/>
          <w:szCs w:val="24"/>
        </w:rPr>
      </w:pPr>
    </w:p>
    <w:p w:rsidR="00E266FA" w:rsidRPr="00001F9A" w:rsidP="00001F9A" w14:paraId="42ED83BD" w14:textId="4907177E">
      <w:pPr>
        <w:pStyle w:val="Heading1"/>
      </w:pPr>
      <w:r>
        <w:t>III.</w:t>
      </w:r>
      <w:r>
        <w:tab/>
      </w:r>
      <w:r w:rsidRPr="0009794A" w:rsidR="00C53E71">
        <w:t>CONCLUSION</w:t>
      </w:r>
    </w:p>
    <w:p w:rsidR="00604803" w:rsidP="00E914ED" w14:paraId="1948F049" w14:textId="5B6271A3">
      <w:pPr>
        <w:spacing w:line="480" w:lineRule="auto"/>
        <w:ind w:firstLine="720"/>
        <w:rPr>
          <w:szCs w:val="24"/>
        </w:rPr>
      </w:pPr>
      <w:r w:rsidRPr="0009794A">
        <w:rPr>
          <w:szCs w:val="24"/>
        </w:rPr>
        <w:t xml:space="preserve">The </w:t>
      </w:r>
      <w:r w:rsidRPr="0009794A" w:rsidR="00E266FA">
        <w:rPr>
          <w:szCs w:val="24"/>
        </w:rPr>
        <w:t xml:space="preserve">PUCO’s </w:t>
      </w:r>
      <w:r w:rsidRPr="0009794A">
        <w:rPr>
          <w:szCs w:val="24"/>
        </w:rPr>
        <w:t xml:space="preserve">discovery </w:t>
      </w:r>
      <w:r w:rsidRPr="0009794A" w:rsidR="00E266FA">
        <w:rPr>
          <w:szCs w:val="24"/>
        </w:rPr>
        <w:t>rules are clear. A party seeking interven</w:t>
      </w:r>
      <w:r w:rsidR="00DA6E7F">
        <w:rPr>
          <w:szCs w:val="24"/>
        </w:rPr>
        <w:t>tion</w:t>
      </w:r>
      <w:r w:rsidRPr="0009794A" w:rsidR="00E266FA">
        <w:rPr>
          <w:szCs w:val="24"/>
        </w:rPr>
        <w:t xml:space="preserve"> in a hearing is entitled to fully participate in pre-hearing discovery while its intervention motion is pending.</w:t>
      </w:r>
      <w:r>
        <w:rPr>
          <w:rStyle w:val="FootnoteReference"/>
          <w:szCs w:val="24"/>
        </w:rPr>
        <w:footnoteReference w:id="35"/>
      </w:r>
      <w:r w:rsidRPr="0009794A" w:rsidR="00E266FA">
        <w:rPr>
          <w:szCs w:val="24"/>
        </w:rPr>
        <w:t xml:space="preserve"> </w:t>
      </w:r>
      <w:r w:rsidRPr="0009794A">
        <w:rPr>
          <w:szCs w:val="24"/>
        </w:rPr>
        <w:t>The rules also require parties to “exhaust[] all other reasonable means of resolving any differences with the party seeking discovery</w:t>
      </w:r>
      <w:r w:rsidRPr="0009794A" w:rsidR="002C1800">
        <w:rPr>
          <w:szCs w:val="24"/>
        </w:rPr>
        <w:t>” before filing a motion for protective order.</w:t>
      </w:r>
      <w:r>
        <w:rPr>
          <w:rStyle w:val="FootnoteReference"/>
          <w:szCs w:val="24"/>
        </w:rPr>
        <w:footnoteReference w:id="36"/>
      </w:r>
      <w:r w:rsidRPr="0009794A" w:rsidR="00E914ED">
        <w:rPr>
          <w:szCs w:val="24"/>
        </w:rPr>
        <w:t xml:space="preserve"> Instead of</w:t>
      </w:r>
      <w:r w:rsidRPr="0009794A" w:rsidR="00A021BC">
        <w:rPr>
          <w:szCs w:val="24"/>
        </w:rPr>
        <w:t xml:space="preserve"> </w:t>
      </w:r>
      <w:r w:rsidRPr="0009794A" w:rsidR="00E914ED">
        <w:rPr>
          <w:szCs w:val="24"/>
        </w:rPr>
        <w:t>following the proper process</w:t>
      </w:r>
      <w:r w:rsidRPr="0009794A" w:rsidR="00A021BC">
        <w:rPr>
          <w:szCs w:val="24"/>
        </w:rPr>
        <w:t>,</w:t>
      </w:r>
      <w:r w:rsidRPr="0009794A">
        <w:rPr>
          <w:color w:val="333333"/>
          <w:szCs w:val="24"/>
          <w:shd w:val="clear" w:color="auto" w:fill="FFFFFF"/>
        </w:rPr>
        <w:t xml:space="preserve"> </w:t>
      </w:r>
      <w:r w:rsidRPr="0009794A" w:rsidR="00E266FA">
        <w:rPr>
          <w:szCs w:val="24"/>
        </w:rPr>
        <w:t xml:space="preserve">Green Choice </w:t>
      </w:r>
      <w:r w:rsidRPr="0009794A" w:rsidR="00E914ED">
        <w:rPr>
          <w:szCs w:val="24"/>
        </w:rPr>
        <w:t>prematurely burdened the</w:t>
      </w:r>
      <w:r w:rsidRPr="0009794A" w:rsidR="00E266FA">
        <w:rPr>
          <w:szCs w:val="24"/>
        </w:rPr>
        <w:t xml:space="preserve"> PUCO</w:t>
      </w:r>
      <w:r w:rsidRPr="0009794A" w:rsidR="00A021BC">
        <w:rPr>
          <w:szCs w:val="24"/>
        </w:rPr>
        <w:t xml:space="preserve"> with a motion for protective order that doesn’t even include the affidavit required by O.A.C. 4901-1-24(B)(3).</w:t>
      </w:r>
    </w:p>
    <w:p w:rsidR="00E914ED" w:rsidRPr="0009794A" w:rsidP="00B410F2" w14:paraId="6C3BF23E" w14:textId="64D250D9">
      <w:pPr>
        <w:spacing w:line="480" w:lineRule="auto"/>
        <w:ind w:firstLine="720"/>
        <w:rPr>
          <w:szCs w:val="24"/>
        </w:rPr>
      </w:pPr>
      <w:r>
        <w:rPr>
          <w:szCs w:val="24"/>
        </w:rPr>
        <w:t>It is long settled that</w:t>
      </w:r>
      <w:r w:rsidRPr="0009794A">
        <w:rPr>
          <w:szCs w:val="24"/>
        </w:rPr>
        <w:t xml:space="preserve"> </w:t>
      </w:r>
      <w:r>
        <w:rPr>
          <w:szCs w:val="24"/>
        </w:rPr>
        <w:t xml:space="preserve">parties, including </w:t>
      </w:r>
      <w:r w:rsidRPr="0009794A">
        <w:rPr>
          <w:szCs w:val="24"/>
        </w:rPr>
        <w:t>OCC</w:t>
      </w:r>
      <w:r>
        <w:rPr>
          <w:szCs w:val="24"/>
        </w:rPr>
        <w:t>,</w:t>
      </w:r>
      <w:r w:rsidRPr="0009794A">
        <w:rPr>
          <w:szCs w:val="24"/>
        </w:rPr>
        <w:t xml:space="preserve"> ha</w:t>
      </w:r>
      <w:r>
        <w:rPr>
          <w:szCs w:val="24"/>
        </w:rPr>
        <w:t>ve</w:t>
      </w:r>
      <w:r w:rsidRPr="0009794A">
        <w:rPr>
          <w:szCs w:val="24"/>
        </w:rPr>
        <w:t xml:space="preserve"> a right to engage in discovery </w:t>
      </w:r>
      <w:r>
        <w:rPr>
          <w:szCs w:val="24"/>
        </w:rPr>
        <w:t xml:space="preserve">without delay </w:t>
      </w:r>
      <w:r w:rsidRPr="0009794A">
        <w:rPr>
          <w:szCs w:val="24"/>
        </w:rPr>
        <w:t xml:space="preserve">under </w:t>
      </w:r>
      <w:r>
        <w:rPr>
          <w:szCs w:val="24"/>
        </w:rPr>
        <w:t>the Ohio Administrative Code</w:t>
      </w:r>
      <w:r w:rsidRPr="0009794A">
        <w:rPr>
          <w:szCs w:val="24"/>
        </w:rPr>
        <w:t>.</w:t>
      </w:r>
      <w:r>
        <w:rPr>
          <w:rStyle w:val="FootnoteReference"/>
          <w:szCs w:val="24"/>
        </w:rPr>
        <w:footnoteReference w:id="37"/>
      </w:r>
      <w:r w:rsidRPr="0009794A">
        <w:rPr>
          <w:szCs w:val="24"/>
        </w:rPr>
        <w:t xml:space="preserve"> </w:t>
      </w:r>
      <w:r>
        <w:rPr>
          <w:szCs w:val="24"/>
        </w:rPr>
        <w:t xml:space="preserve">But what continues to be unsettled is that regulated entities who interpose this improper delay will face meaningful consequences at the PUCO for violating discovery </w:t>
      </w:r>
      <w:r w:rsidR="0096618D">
        <w:rPr>
          <w:szCs w:val="24"/>
        </w:rPr>
        <w:t xml:space="preserve">law and </w:t>
      </w:r>
      <w:r w:rsidR="00C1219E">
        <w:rPr>
          <w:szCs w:val="24"/>
        </w:rPr>
        <w:t>rules</w:t>
      </w:r>
      <w:r>
        <w:rPr>
          <w:szCs w:val="24"/>
        </w:rPr>
        <w:t>. The PUCO has such consequences at its disposal, including the imposition of penalties (forfeitures) on Green Choice.</w:t>
      </w:r>
    </w:p>
    <w:p w:rsidR="00224C37" w:rsidP="00E914ED" w14:paraId="4E7FE094" w14:textId="6C9CA676">
      <w:pPr>
        <w:spacing w:line="480" w:lineRule="auto"/>
        <w:ind w:firstLine="720"/>
        <w:rPr>
          <w:szCs w:val="24"/>
        </w:rPr>
      </w:pPr>
      <w:r w:rsidRPr="0009794A">
        <w:rPr>
          <w:szCs w:val="24"/>
        </w:rPr>
        <w:t xml:space="preserve">The PUCO should deny Green Choice’s </w:t>
      </w:r>
      <w:r w:rsidRPr="0009794A" w:rsidR="00E914ED">
        <w:rPr>
          <w:szCs w:val="24"/>
        </w:rPr>
        <w:t xml:space="preserve">inappropriate and improper </w:t>
      </w:r>
      <w:r w:rsidRPr="0009794A">
        <w:rPr>
          <w:szCs w:val="24"/>
        </w:rPr>
        <w:t xml:space="preserve">attempt to end-run the PUCO’s </w:t>
      </w:r>
      <w:r w:rsidRPr="0009794A" w:rsidR="00E914ED">
        <w:rPr>
          <w:szCs w:val="24"/>
        </w:rPr>
        <w:t xml:space="preserve">discovery </w:t>
      </w:r>
      <w:r w:rsidRPr="0009794A">
        <w:rPr>
          <w:szCs w:val="24"/>
        </w:rPr>
        <w:t>process.</w:t>
      </w:r>
      <w:r w:rsidRPr="0009794A" w:rsidR="00E914ED">
        <w:rPr>
          <w:szCs w:val="24"/>
        </w:rPr>
        <w:t xml:space="preserve"> OCC is entitled to seek discovery from Green Choice.</w:t>
      </w:r>
      <w:r w:rsidRPr="0009794A">
        <w:rPr>
          <w:szCs w:val="24"/>
        </w:rPr>
        <w:t xml:space="preserve"> </w:t>
      </w:r>
      <w:r w:rsidRPr="0009794A" w:rsidR="000E232B">
        <w:rPr>
          <w:szCs w:val="24"/>
        </w:rPr>
        <w:t xml:space="preserve">The </w:t>
      </w:r>
      <w:r w:rsidRPr="0009794A" w:rsidR="00E266FA">
        <w:rPr>
          <w:szCs w:val="24"/>
        </w:rPr>
        <w:t>PUCO</w:t>
      </w:r>
      <w:r w:rsidRPr="0009794A" w:rsidR="000E232B">
        <w:rPr>
          <w:szCs w:val="24"/>
        </w:rPr>
        <w:t xml:space="preserve"> should deny Green Choice’s</w:t>
      </w:r>
      <w:r w:rsidRPr="0009794A" w:rsidR="00E266FA">
        <w:rPr>
          <w:szCs w:val="24"/>
        </w:rPr>
        <w:t xml:space="preserve"> motion </w:t>
      </w:r>
      <w:r w:rsidRPr="0009794A" w:rsidR="000E232B">
        <w:rPr>
          <w:szCs w:val="24"/>
        </w:rPr>
        <w:t>for protective order and order Green Choice to respond to</w:t>
      </w:r>
      <w:r w:rsidRPr="0009794A" w:rsidR="00E266FA">
        <w:rPr>
          <w:szCs w:val="24"/>
        </w:rPr>
        <w:t xml:space="preserve"> OCC’s discovery.</w:t>
      </w:r>
    </w:p>
    <w:p w:rsidR="00224C37" w14:paraId="50AAF739" w14:textId="77777777">
      <w:pPr>
        <w:spacing w:after="160" w:line="259" w:lineRule="auto"/>
        <w:rPr>
          <w:szCs w:val="24"/>
        </w:rPr>
      </w:pPr>
      <w:r>
        <w:rPr>
          <w:szCs w:val="24"/>
        </w:rPr>
        <w:br w:type="page"/>
      </w:r>
    </w:p>
    <w:p w:rsidR="00EA453D" w:rsidRPr="000B1CB4" w:rsidP="00EA453D" w14:paraId="0B54A167" w14:textId="0DF98940">
      <w:pPr>
        <w:pStyle w:val="BodyTextIndent3"/>
        <w:widowControl w:val="0"/>
        <w:spacing w:line="480" w:lineRule="auto"/>
        <w:ind w:right="-312"/>
        <w:rPr>
          <w:szCs w:val="24"/>
        </w:rPr>
      </w:pPr>
      <w:r w:rsidRPr="0009794A">
        <w:rPr>
          <w:szCs w:val="24"/>
        </w:rPr>
        <w:tab/>
      </w:r>
      <w:r w:rsidRPr="0009794A">
        <w:rPr>
          <w:szCs w:val="24"/>
        </w:rPr>
        <w:tab/>
      </w:r>
      <w:r w:rsidRPr="0009794A">
        <w:rPr>
          <w:szCs w:val="24"/>
        </w:rPr>
        <w:tab/>
      </w:r>
      <w:r w:rsidRPr="0009794A">
        <w:rPr>
          <w:szCs w:val="24"/>
        </w:rPr>
        <w:tab/>
      </w:r>
      <w:r w:rsidRPr="0009794A">
        <w:rPr>
          <w:szCs w:val="24"/>
        </w:rPr>
        <w:tab/>
      </w:r>
      <w:r w:rsidRPr="000B1CB4">
        <w:rPr>
          <w:szCs w:val="24"/>
        </w:rPr>
        <w:t>Respectfully submitted,</w:t>
      </w:r>
    </w:p>
    <w:p w:rsidR="00EA453D" w:rsidRPr="000B1CB4" w:rsidP="00EA453D" w14:paraId="48C0A716" w14:textId="77777777">
      <w:pPr>
        <w:rPr>
          <w:szCs w:val="24"/>
        </w:rPr>
      </w:pPr>
      <w:r w:rsidRPr="000B1CB4">
        <w:rPr>
          <w:szCs w:val="24"/>
        </w:rPr>
        <w:tab/>
      </w:r>
      <w:r w:rsidRPr="000B1CB4">
        <w:rPr>
          <w:szCs w:val="24"/>
        </w:rPr>
        <w:tab/>
      </w:r>
      <w:r w:rsidRPr="000B1CB4">
        <w:rPr>
          <w:szCs w:val="24"/>
        </w:rPr>
        <w:tab/>
      </w:r>
      <w:r w:rsidRPr="000B1CB4">
        <w:rPr>
          <w:szCs w:val="24"/>
        </w:rPr>
        <w:tab/>
      </w:r>
      <w:r w:rsidRPr="000B1CB4">
        <w:rPr>
          <w:szCs w:val="24"/>
        </w:rPr>
        <w:tab/>
      </w:r>
      <w:r w:rsidRPr="000B1CB4">
        <w:rPr>
          <w:szCs w:val="24"/>
        </w:rPr>
        <w:tab/>
        <w:t>Bruce Weston (0016973)</w:t>
      </w:r>
    </w:p>
    <w:p w:rsidR="00EA453D" w:rsidRPr="000B1CB4" w:rsidP="00EA453D" w14:paraId="21D6D973" w14:textId="77777777">
      <w:pPr>
        <w:tabs>
          <w:tab w:val="left" w:pos="4320"/>
        </w:tabs>
        <w:ind w:left="4320" w:hanging="450"/>
        <w:rPr>
          <w:szCs w:val="24"/>
        </w:rPr>
      </w:pPr>
      <w:r w:rsidRPr="000B1CB4">
        <w:rPr>
          <w:szCs w:val="24"/>
        </w:rPr>
        <w:tab/>
        <w:t>Ohio Consumers’ Counsel</w:t>
      </w:r>
    </w:p>
    <w:p w:rsidR="00EA453D" w:rsidRPr="000B1CB4" w:rsidP="00EA453D" w14:paraId="4A60DE2E" w14:textId="77777777">
      <w:pPr>
        <w:tabs>
          <w:tab w:val="left" w:pos="4320"/>
        </w:tabs>
        <w:ind w:left="4320"/>
        <w:rPr>
          <w:szCs w:val="24"/>
        </w:rPr>
      </w:pPr>
    </w:p>
    <w:p w:rsidR="00EA453D" w:rsidRPr="000B1CB4" w:rsidP="00EA453D" w14:paraId="0138568B" w14:textId="77777777">
      <w:pPr>
        <w:tabs>
          <w:tab w:val="left" w:pos="4320"/>
        </w:tabs>
        <w:ind w:left="4320"/>
        <w:rPr>
          <w:i/>
          <w:iCs/>
          <w:szCs w:val="24"/>
          <w:u w:val="single"/>
        </w:rPr>
      </w:pPr>
      <w:r w:rsidRPr="000B1CB4">
        <w:rPr>
          <w:i/>
          <w:iCs/>
          <w:szCs w:val="24"/>
          <w:u w:val="single"/>
        </w:rPr>
        <w:t>/s/ Angela D. O’Brien</w:t>
      </w:r>
      <w:r w:rsidRPr="000B1CB4">
        <w:rPr>
          <w:i/>
          <w:iCs/>
          <w:szCs w:val="24"/>
          <w:u w:val="single"/>
        </w:rPr>
        <w:tab/>
      </w:r>
      <w:r w:rsidRPr="000B1CB4">
        <w:rPr>
          <w:i/>
          <w:iCs/>
          <w:szCs w:val="24"/>
          <w:u w:val="single"/>
        </w:rPr>
        <w:tab/>
      </w:r>
    </w:p>
    <w:p w:rsidR="00EA453D" w:rsidRPr="000B1CB4" w:rsidP="00EA453D" w14:paraId="695CBF14" w14:textId="77777777">
      <w:pPr>
        <w:tabs>
          <w:tab w:val="left" w:pos="4320"/>
        </w:tabs>
        <w:ind w:left="4320"/>
        <w:rPr>
          <w:szCs w:val="24"/>
        </w:rPr>
      </w:pPr>
      <w:r w:rsidRPr="000B1CB4">
        <w:rPr>
          <w:szCs w:val="24"/>
        </w:rPr>
        <w:t>Angela D. O’Brien (0097579)</w:t>
      </w:r>
    </w:p>
    <w:p w:rsidR="00EA453D" w:rsidRPr="000B1CB4" w:rsidP="00EA453D" w14:paraId="261B3F08" w14:textId="77777777">
      <w:pPr>
        <w:tabs>
          <w:tab w:val="left" w:pos="4320"/>
        </w:tabs>
        <w:ind w:left="4320"/>
        <w:rPr>
          <w:szCs w:val="24"/>
        </w:rPr>
      </w:pPr>
      <w:r w:rsidRPr="000B1CB4">
        <w:rPr>
          <w:szCs w:val="24"/>
        </w:rPr>
        <w:t>Counsel of Record</w:t>
      </w:r>
    </w:p>
    <w:p w:rsidR="00EA453D" w:rsidRPr="000B1CB4" w:rsidP="00EA453D" w14:paraId="7E4DCFE6" w14:textId="77777777">
      <w:pPr>
        <w:tabs>
          <w:tab w:val="left" w:pos="3870"/>
          <w:tab w:val="left" w:pos="4320"/>
        </w:tabs>
        <w:ind w:left="4320"/>
        <w:rPr>
          <w:szCs w:val="24"/>
        </w:rPr>
      </w:pPr>
      <w:r w:rsidRPr="000B1CB4">
        <w:rPr>
          <w:szCs w:val="24"/>
        </w:rPr>
        <w:t>Ambrosia Wilson (0096598)</w:t>
      </w:r>
    </w:p>
    <w:p w:rsidR="00EA453D" w:rsidRPr="000B1CB4" w:rsidP="00EA453D" w14:paraId="0A2D9B07" w14:textId="77777777">
      <w:pPr>
        <w:tabs>
          <w:tab w:val="left" w:pos="3870"/>
          <w:tab w:val="left" w:pos="4320"/>
        </w:tabs>
        <w:ind w:left="4320"/>
        <w:rPr>
          <w:szCs w:val="24"/>
        </w:rPr>
      </w:pPr>
      <w:r w:rsidRPr="000B1CB4">
        <w:rPr>
          <w:szCs w:val="24"/>
        </w:rPr>
        <w:t>Assistant Consumers’ Counsel</w:t>
      </w:r>
    </w:p>
    <w:p w:rsidR="00916E04" w:rsidRPr="000B1CB4" w:rsidP="00EA453D" w14:paraId="7CD945BE" w14:textId="77777777">
      <w:pPr>
        <w:tabs>
          <w:tab w:val="left" w:pos="3870"/>
          <w:tab w:val="left" w:pos="4320"/>
        </w:tabs>
        <w:ind w:left="4320"/>
        <w:rPr>
          <w:szCs w:val="24"/>
        </w:rPr>
      </w:pPr>
    </w:p>
    <w:p w:rsidR="00EA453D" w:rsidRPr="000B1CB4" w:rsidP="00EA453D" w14:paraId="45BEDC07" w14:textId="77777777">
      <w:pPr>
        <w:ind w:left="4320"/>
        <w:rPr>
          <w:b/>
          <w:bCs/>
          <w:szCs w:val="24"/>
        </w:rPr>
      </w:pPr>
      <w:r w:rsidRPr="000B1CB4">
        <w:rPr>
          <w:b/>
          <w:bCs/>
          <w:szCs w:val="24"/>
        </w:rPr>
        <w:t>Office of the Ohio Consumers' Counsel</w:t>
      </w:r>
    </w:p>
    <w:p w:rsidR="00EA453D" w:rsidRPr="000B1CB4" w:rsidP="00EA453D" w14:paraId="460BC0B3" w14:textId="77777777">
      <w:pPr>
        <w:ind w:left="4320"/>
        <w:rPr>
          <w:szCs w:val="24"/>
        </w:rPr>
      </w:pPr>
      <w:r w:rsidRPr="000B1CB4">
        <w:rPr>
          <w:szCs w:val="24"/>
        </w:rPr>
        <w:t>65 East State Street, Suite 700</w:t>
      </w:r>
    </w:p>
    <w:p w:rsidR="00EA453D" w:rsidRPr="000B1CB4" w:rsidP="00EA453D" w14:paraId="4BEC69CB" w14:textId="77777777">
      <w:pPr>
        <w:ind w:left="4320"/>
        <w:rPr>
          <w:szCs w:val="24"/>
        </w:rPr>
      </w:pPr>
      <w:r w:rsidRPr="000B1CB4">
        <w:rPr>
          <w:szCs w:val="24"/>
        </w:rPr>
        <w:t>Columbus, Ohio 43215</w:t>
      </w:r>
    </w:p>
    <w:p w:rsidR="00EA453D" w:rsidRPr="000B1CB4" w:rsidP="00EA453D" w14:paraId="47A3779F" w14:textId="77777777">
      <w:pPr>
        <w:autoSpaceDE w:val="0"/>
        <w:autoSpaceDN w:val="0"/>
        <w:adjustRightInd w:val="0"/>
        <w:ind w:left="4320"/>
        <w:rPr>
          <w:szCs w:val="24"/>
        </w:rPr>
      </w:pPr>
      <w:r w:rsidRPr="000B1CB4">
        <w:rPr>
          <w:szCs w:val="24"/>
        </w:rPr>
        <w:t>Telephone: [O’Brien]: (614) 466-9531</w:t>
      </w:r>
    </w:p>
    <w:p w:rsidR="00EA453D" w:rsidRPr="000B1CB4" w:rsidP="00EA453D" w14:paraId="6530F7A9" w14:textId="77777777">
      <w:pPr>
        <w:pStyle w:val="ListParagraph"/>
        <w:autoSpaceDE w:val="0"/>
        <w:autoSpaceDN w:val="0"/>
        <w:adjustRightInd w:val="0"/>
        <w:ind w:left="3600" w:firstLine="720"/>
      </w:pPr>
      <w:r w:rsidRPr="000B1CB4">
        <w:t>Telephone [Wilson]: (614) 466-1292</w:t>
      </w:r>
    </w:p>
    <w:p w:rsidR="00EA453D" w:rsidRPr="000B1CB4" w:rsidP="00EA453D" w14:paraId="2299F3A0" w14:textId="77777777">
      <w:pPr>
        <w:ind w:left="4320"/>
        <w:rPr>
          <w:szCs w:val="24"/>
        </w:rPr>
      </w:pPr>
      <w:hyperlink r:id="rId7" w:history="1">
        <w:r w:rsidRPr="000B1CB4" w:rsidR="00E42363">
          <w:rPr>
            <w:rStyle w:val="Hyperlink"/>
            <w:szCs w:val="24"/>
          </w:rPr>
          <w:t>angela.obrien@occ.ohio.gov</w:t>
        </w:r>
      </w:hyperlink>
    </w:p>
    <w:p w:rsidR="00EA453D" w:rsidRPr="000B1CB4" w:rsidP="00EA453D" w14:paraId="072403D1" w14:textId="77777777">
      <w:pPr>
        <w:pStyle w:val="ListParagraph"/>
        <w:autoSpaceDE w:val="0"/>
        <w:autoSpaceDN w:val="0"/>
        <w:adjustRightInd w:val="0"/>
        <w:ind w:left="3600" w:firstLine="720"/>
        <w:rPr>
          <w:rStyle w:val="Hyperlink"/>
        </w:rPr>
      </w:pPr>
      <w:hyperlink r:id="rId8" w:history="1">
        <w:r w:rsidRPr="000B1CB4" w:rsidR="00E42363">
          <w:rPr>
            <w:rStyle w:val="Hyperlink"/>
          </w:rPr>
          <w:t>ambrosia.wilson@occ.ohio.gov</w:t>
        </w:r>
      </w:hyperlink>
      <w:r w:rsidRPr="000B1CB4" w:rsidR="00E42363">
        <w:tab/>
      </w:r>
    </w:p>
    <w:p w:rsidR="00A14A2A" w:rsidP="00A14A2A" w14:paraId="6E33F8A7" w14:textId="5AD71BA6">
      <w:pPr>
        <w:ind w:left="4320"/>
        <w:rPr>
          <w:szCs w:val="24"/>
        </w:rPr>
      </w:pPr>
      <w:r w:rsidRPr="000B1CB4">
        <w:rPr>
          <w:szCs w:val="24"/>
        </w:rPr>
        <w:t>(willing to accept service by e-mail)</w:t>
      </w:r>
      <w:r>
        <w:rPr>
          <w:szCs w:val="24"/>
        </w:rPr>
        <w:br w:type="page"/>
      </w:r>
    </w:p>
    <w:p w:rsidR="002B7670" w:rsidRPr="000B1CB4" w:rsidP="0057278A" w14:paraId="1A66F9C6" w14:textId="3285A0F6">
      <w:pPr>
        <w:jc w:val="center"/>
        <w:rPr>
          <w:b/>
          <w:bCs/>
          <w:szCs w:val="24"/>
          <w:u w:val="single"/>
        </w:rPr>
      </w:pPr>
      <w:r w:rsidRPr="000B1CB4">
        <w:rPr>
          <w:b/>
          <w:bCs/>
          <w:szCs w:val="24"/>
          <w:u w:val="single"/>
        </w:rPr>
        <w:t>CERTIFICATE OF SERVICE</w:t>
      </w:r>
    </w:p>
    <w:p w:rsidR="002B7670" w:rsidRPr="000B1CB4" w:rsidP="002B7670" w14:paraId="7B88EE07" w14:textId="77777777">
      <w:pPr>
        <w:jc w:val="center"/>
        <w:rPr>
          <w:szCs w:val="24"/>
        </w:rPr>
      </w:pPr>
    </w:p>
    <w:p w:rsidR="002B7670" w:rsidRPr="000B1CB4" w:rsidP="002B7670" w14:paraId="4F207F39" w14:textId="1DAFBD1D">
      <w:pPr>
        <w:spacing w:line="480" w:lineRule="auto"/>
        <w:ind w:firstLine="720"/>
        <w:rPr>
          <w:i/>
          <w:iCs/>
          <w:szCs w:val="24"/>
        </w:rPr>
      </w:pPr>
      <w:r w:rsidRPr="000B1CB4">
        <w:rPr>
          <w:szCs w:val="24"/>
        </w:rPr>
        <w:t xml:space="preserve">I hereby certify that a copy of this </w:t>
      </w:r>
      <w:r w:rsidRPr="002B7670">
        <w:rPr>
          <w:szCs w:val="24"/>
        </w:rPr>
        <w:t>Memorandum Contra Green Choice’s Deficient Motion for Protective Order</w:t>
      </w:r>
      <w:r w:rsidRPr="000B1CB4">
        <w:rPr>
          <w:szCs w:val="24"/>
        </w:rPr>
        <w:t xml:space="preserve"> was served on the persons stated below via electronic transmission, this </w:t>
      </w:r>
      <w:r>
        <w:rPr>
          <w:szCs w:val="24"/>
        </w:rPr>
        <w:t>6</w:t>
      </w:r>
      <w:r w:rsidRPr="002B7670">
        <w:rPr>
          <w:szCs w:val="24"/>
          <w:vertAlign w:val="superscript"/>
        </w:rPr>
        <w:t>th</w:t>
      </w:r>
      <w:r>
        <w:rPr>
          <w:szCs w:val="24"/>
        </w:rPr>
        <w:t xml:space="preserve"> </w:t>
      </w:r>
      <w:r w:rsidRPr="000B1CB4">
        <w:rPr>
          <w:szCs w:val="24"/>
        </w:rPr>
        <w:t xml:space="preserve">day of </w:t>
      </w:r>
      <w:r>
        <w:rPr>
          <w:szCs w:val="24"/>
        </w:rPr>
        <w:t>June</w:t>
      </w:r>
      <w:r w:rsidRPr="000B1CB4">
        <w:rPr>
          <w:szCs w:val="24"/>
        </w:rPr>
        <w:t xml:space="preserve"> 2022.</w:t>
      </w:r>
    </w:p>
    <w:p w:rsidR="002B7670" w:rsidRPr="000B1CB4" w:rsidP="002B7670" w14:paraId="2CBD9123" w14:textId="77777777">
      <w:pPr>
        <w:tabs>
          <w:tab w:val="left" w:pos="4320"/>
        </w:tabs>
        <w:rPr>
          <w:i/>
          <w:szCs w:val="24"/>
          <w:u w:val="single"/>
        </w:rPr>
      </w:pPr>
      <w:r w:rsidRPr="000B1CB4">
        <w:rPr>
          <w:szCs w:val="24"/>
        </w:rPr>
        <w:tab/>
      </w:r>
      <w:r w:rsidRPr="000B1CB4">
        <w:rPr>
          <w:i/>
          <w:iCs/>
          <w:szCs w:val="24"/>
          <w:u w:val="single"/>
        </w:rPr>
        <w:t>/s/</w:t>
      </w:r>
      <w:r w:rsidRPr="000B1CB4">
        <w:rPr>
          <w:szCs w:val="24"/>
          <w:u w:val="single"/>
        </w:rPr>
        <w:t xml:space="preserve"> </w:t>
      </w:r>
      <w:r w:rsidRPr="000B1CB4">
        <w:rPr>
          <w:i/>
          <w:szCs w:val="24"/>
          <w:u w:val="single"/>
        </w:rPr>
        <w:t>Angela D. O’Brien</w:t>
      </w:r>
      <w:r w:rsidRPr="000B1CB4">
        <w:rPr>
          <w:i/>
          <w:szCs w:val="24"/>
          <w:u w:val="single"/>
        </w:rPr>
        <w:tab/>
      </w:r>
      <w:r w:rsidRPr="000B1CB4">
        <w:rPr>
          <w:i/>
          <w:szCs w:val="24"/>
          <w:u w:val="single"/>
        </w:rPr>
        <w:tab/>
      </w:r>
    </w:p>
    <w:p w:rsidR="002B7670" w:rsidRPr="000B1CB4" w:rsidP="002B7670" w14:paraId="7F75C6F9" w14:textId="77777777">
      <w:pPr>
        <w:tabs>
          <w:tab w:val="left" w:pos="4320"/>
        </w:tabs>
        <w:rPr>
          <w:szCs w:val="24"/>
        </w:rPr>
      </w:pPr>
      <w:r w:rsidRPr="000B1CB4">
        <w:rPr>
          <w:szCs w:val="24"/>
        </w:rPr>
        <w:tab/>
        <w:t>Angela D. O’Brien</w:t>
      </w:r>
    </w:p>
    <w:p w:rsidR="002B7670" w:rsidRPr="000B1CB4" w:rsidP="002B7670" w14:paraId="645F47CC" w14:textId="77777777">
      <w:pPr>
        <w:tabs>
          <w:tab w:val="left" w:pos="4320"/>
        </w:tabs>
        <w:rPr>
          <w:szCs w:val="24"/>
        </w:rPr>
      </w:pPr>
      <w:r w:rsidRPr="000B1CB4">
        <w:rPr>
          <w:szCs w:val="24"/>
        </w:rPr>
        <w:tab/>
        <w:t>Assistant Consumers’ Counsel</w:t>
      </w:r>
    </w:p>
    <w:p w:rsidR="002B7670" w:rsidRPr="000B1CB4" w:rsidP="002B7670" w14:paraId="36525B5D" w14:textId="77777777">
      <w:pPr>
        <w:pStyle w:val="CommentSubject"/>
        <w:rPr>
          <w:szCs w:val="24"/>
        </w:rPr>
      </w:pPr>
    </w:p>
    <w:p w:rsidR="002B7670" w:rsidRPr="000B1CB4" w:rsidP="002B7670" w14:paraId="1087DB1A" w14:textId="77777777">
      <w:pPr>
        <w:rPr>
          <w:szCs w:val="24"/>
        </w:rPr>
      </w:pPr>
      <w:r w:rsidRPr="000B1CB4">
        <w:rPr>
          <w:szCs w:val="24"/>
        </w:rPr>
        <w:t>The PUCO’s e-filing system will electronically serve notice of the filing of this document on the following parties:</w:t>
      </w:r>
    </w:p>
    <w:p w:rsidR="002B7670" w:rsidRPr="000B1CB4" w:rsidP="002B7670" w14:paraId="46ED1F87" w14:textId="77777777">
      <w:pPr>
        <w:rPr>
          <w:szCs w:val="24"/>
        </w:rPr>
      </w:pPr>
    </w:p>
    <w:p w:rsidR="002B7670" w:rsidRPr="000B1CB4" w:rsidP="002B7670" w14:paraId="11DF68E5" w14:textId="77777777">
      <w:pPr>
        <w:pStyle w:val="CommentText"/>
        <w:jc w:val="center"/>
        <w:rPr>
          <w:b/>
          <w:u w:val="single"/>
        </w:rPr>
      </w:pPr>
      <w:r w:rsidRPr="000B1CB4">
        <w:rPr>
          <w:b/>
          <w:u w:val="single"/>
        </w:rPr>
        <w:t>SERVICE LIST</w:t>
      </w:r>
    </w:p>
    <w:p w:rsidR="002B7670" w:rsidRPr="000B1CB4" w:rsidP="002B7670" w14:paraId="42C7CD6B" w14:textId="77777777">
      <w:pPr>
        <w:pStyle w:val="CommentText"/>
        <w:rPr>
          <w:b/>
          <w:u w:val="single"/>
        </w:rPr>
      </w:pPr>
    </w:p>
    <w:tbl>
      <w:tblPr>
        <w:tblW w:w="0" w:type="auto"/>
        <w:tblLook w:val="01E0"/>
      </w:tblPr>
      <w:tblGrid>
        <w:gridCol w:w="4290"/>
        <w:gridCol w:w="4350"/>
      </w:tblGrid>
      <w:tr w14:paraId="0EF2DBD2" w14:textId="77777777" w:rsidTr="000632D3">
        <w:tblPrEx>
          <w:tblW w:w="0" w:type="auto"/>
          <w:tblLook w:val="01E0"/>
        </w:tblPrEx>
        <w:tc>
          <w:tcPr>
            <w:tcW w:w="4290" w:type="dxa"/>
            <w:shd w:val="clear" w:color="auto" w:fill="auto"/>
          </w:tcPr>
          <w:p w:rsidR="002B7670" w:rsidRPr="000B1CB4" w:rsidP="000632D3" w14:paraId="06204C81" w14:textId="77777777">
            <w:pPr>
              <w:autoSpaceDE w:val="0"/>
              <w:autoSpaceDN w:val="0"/>
              <w:adjustRightInd w:val="0"/>
              <w:rPr>
                <w:bCs/>
                <w:szCs w:val="24"/>
              </w:rPr>
            </w:pPr>
            <w:hyperlink r:id="rId9" w:history="1">
              <w:r w:rsidRPr="000B1CB4" w:rsidR="00E42363">
                <w:rPr>
                  <w:rStyle w:val="Hyperlink"/>
                  <w:szCs w:val="24"/>
                </w:rPr>
                <w:t>j</w:t>
              </w:r>
              <w:r w:rsidRPr="000B1CB4" w:rsidR="00E42363">
                <w:rPr>
                  <w:rStyle w:val="Hyperlink"/>
                  <w:bCs/>
                  <w:szCs w:val="24"/>
                </w:rPr>
                <w:t>ohn.jones@ohioAGO.gov</w:t>
              </w:r>
            </w:hyperlink>
          </w:p>
          <w:p w:rsidR="002B7670" w:rsidRPr="000B1CB4" w:rsidP="000632D3" w14:paraId="2023A10B" w14:textId="77777777">
            <w:pPr>
              <w:rPr>
                <w:szCs w:val="24"/>
              </w:rPr>
            </w:pPr>
          </w:p>
          <w:p w:rsidR="002B7670" w:rsidRPr="000B1CB4" w:rsidP="000632D3" w14:paraId="11E5F4F9" w14:textId="77777777">
            <w:pPr>
              <w:rPr>
                <w:szCs w:val="24"/>
              </w:rPr>
            </w:pPr>
            <w:r w:rsidRPr="000B1CB4">
              <w:rPr>
                <w:szCs w:val="24"/>
              </w:rPr>
              <w:t>Attorney Examiner:</w:t>
            </w:r>
          </w:p>
          <w:p w:rsidR="002B7670" w:rsidRPr="000B1CB4" w:rsidP="000632D3" w14:paraId="3DF39CFE" w14:textId="77777777">
            <w:pPr>
              <w:rPr>
                <w:szCs w:val="24"/>
              </w:rPr>
            </w:pPr>
            <w:hyperlink r:id="rId10" w:history="1">
              <w:r w:rsidRPr="000B1CB4" w:rsidR="00E42363">
                <w:rPr>
                  <w:rStyle w:val="Hyperlink"/>
                  <w:szCs w:val="24"/>
                </w:rPr>
                <w:t>jesse.davis@puco.ohio.gov</w:t>
              </w:r>
            </w:hyperlink>
          </w:p>
          <w:p w:rsidR="002B7670" w:rsidRPr="000B1CB4" w:rsidP="000632D3" w14:paraId="45DAA061" w14:textId="77777777">
            <w:pPr>
              <w:autoSpaceDE w:val="0"/>
              <w:autoSpaceDN w:val="0"/>
              <w:adjustRightInd w:val="0"/>
              <w:rPr>
                <w:bCs/>
                <w:szCs w:val="24"/>
              </w:rPr>
            </w:pPr>
          </w:p>
        </w:tc>
        <w:tc>
          <w:tcPr>
            <w:tcW w:w="4350" w:type="dxa"/>
            <w:shd w:val="clear" w:color="auto" w:fill="auto"/>
          </w:tcPr>
          <w:p w:rsidR="002B7670" w:rsidRPr="000B1CB4" w:rsidP="008126CD" w14:paraId="23997DAB" w14:textId="203B8422">
            <w:pPr>
              <w:pStyle w:val="BodyText"/>
              <w:spacing w:after="0"/>
              <w:rPr>
                <w:bCs/>
                <w:szCs w:val="24"/>
              </w:rPr>
            </w:pPr>
            <w:hyperlink r:id="rId11" w:history="1">
              <w:r w:rsidRPr="000E6BBD" w:rsidR="0057278A">
                <w:rPr>
                  <w:rStyle w:val="Hyperlink"/>
                  <w:bCs/>
                  <w:szCs w:val="24"/>
                </w:rPr>
                <w:t>whitt@whitt-sturtevant.com</w:t>
              </w:r>
            </w:hyperlink>
          </w:p>
          <w:p w:rsidR="002B7670" w:rsidRPr="000B1CB4" w:rsidP="008126CD" w14:paraId="5276BE18" w14:textId="77777777">
            <w:pPr>
              <w:pStyle w:val="BodyText"/>
              <w:spacing w:after="0"/>
              <w:rPr>
                <w:bCs/>
                <w:szCs w:val="24"/>
              </w:rPr>
            </w:pPr>
            <w:hyperlink r:id="rId12" w:history="1">
              <w:r w:rsidRPr="000B1CB4" w:rsidR="00E42363">
                <w:rPr>
                  <w:rStyle w:val="Hyperlink"/>
                  <w:bCs/>
                  <w:szCs w:val="24"/>
                </w:rPr>
                <w:t>fykes@whitt-sturtevant.com</w:t>
              </w:r>
            </w:hyperlink>
          </w:p>
          <w:p w:rsidR="002B7670" w:rsidRPr="000B1CB4" w:rsidP="000632D3" w14:paraId="306788AB" w14:textId="77777777">
            <w:pPr>
              <w:pStyle w:val="BodyText"/>
              <w:rPr>
                <w:bCs/>
                <w:szCs w:val="24"/>
              </w:rPr>
            </w:pPr>
          </w:p>
        </w:tc>
      </w:tr>
    </w:tbl>
    <w:p w:rsidR="002B7670" w:rsidP="002B7670" w14:paraId="2F3348F4" w14:textId="15E7B6A6">
      <w:pPr>
        <w:ind w:left="4320" w:hanging="4320"/>
        <w:rPr>
          <w:szCs w:val="24"/>
        </w:rPr>
      </w:pPr>
    </w:p>
    <w:sectPr w:rsidSect="0019196D">
      <w:footerReference w:type="default" r:id="rId13"/>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3087112"/>
      <w:docPartObj>
        <w:docPartGallery w:val="Page Numbers (Bottom of Page)"/>
        <w:docPartUnique/>
      </w:docPartObj>
    </w:sdtPr>
    <w:sdtEndPr>
      <w:rPr>
        <w:noProof/>
      </w:rPr>
    </w:sdtEndPr>
    <w:sdtContent>
      <w:p w:rsidR="0019196D" w14:paraId="646CBD83" w14:textId="7F3CD1F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13468"/>
      <w:docPartObj>
        <w:docPartGallery w:val="Page Numbers (Bottom of Page)"/>
        <w:docPartUnique/>
      </w:docPartObj>
    </w:sdtPr>
    <w:sdtEndPr>
      <w:rPr>
        <w:noProof/>
      </w:rPr>
    </w:sdtEndPr>
    <w:sdtContent>
      <w:p w:rsidR="00916E04" w14:paraId="0E6A7B3A" w14:textId="340D8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2363" w:rsidP="00C53E71" w14:paraId="43E64B69" w14:textId="77777777">
      <w:r>
        <w:separator/>
      </w:r>
    </w:p>
  </w:footnote>
  <w:footnote w:type="continuationSeparator" w:id="1">
    <w:p w:rsidR="00E42363" w:rsidP="00C53E71" w14:paraId="7C9D9C52" w14:textId="77777777">
      <w:r>
        <w:continuationSeparator/>
      </w:r>
    </w:p>
  </w:footnote>
  <w:footnote w:id="2">
    <w:p w:rsidR="008D0792" w:rsidRPr="001E4E59" w:rsidP="001E4E59" w14:paraId="08CA2D3E" w14:textId="6D02D65A">
      <w:pPr>
        <w:pStyle w:val="FootnoteText"/>
        <w:spacing w:after="120"/>
      </w:pPr>
      <w:r w:rsidRPr="001E4E59">
        <w:rPr>
          <w:rStyle w:val="FootnoteReference"/>
        </w:rPr>
        <w:footnoteRef/>
      </w:r>
      <w:r w:rsidRPr="001E4E59">
        <w:t xml:space="preserve"> OCC</w:t>
      </w:r>
      <w:r w:rsidR="001E4E59">
        <w:t>’s</w:t>
      </w:r>
      <w:r w:rsidRPr="001E4E59">
        <w:t xml:space="preserve"> Motion to Intervene (April 27, 2022). </w:t>
      </w:r>
    </w:p>
  </w:footnote>
  <w:footnote w:id="3">
    <w:p w:rsidR="00F051CE" w:rsidRPr="001E4E59" w:rsidP="001E4E59" w14:paraId="1E1D92B4" w14:textId="6DE173E6">
      <w:pPr>
        <w:pStyle w:val="FootnoteText"/>
        <w:spacing w:after="120"/>
      </w:pPr>
      <w:r w:rsidRPr="001E4E59">
        <w:rPr>
          <w:rStyle w:val="FootnoteReference"/>
        </w:rPr>
        <w:footnoteRef/>
      </w:r>
      <w:r w:rsidRPr="001E4E59">
        <w:t xml:space="preserve"> </w:t>
      </w:r>
      <w:r w:rsidRPr="001E4E59" w:rsidR="001830B9">
        <w:t>O.A.C. 4901-1-16(H).</w:t>
      </w:r>
    </w:p>
  </w:footnote>
  <w:footnote w:id="4">
    <w:p w:rsidR="008D0792" w:rsidRPr="001E4E59" w:rsidP="001E4E59" w14:paraId="73B5B118" w14:textId="211394E8">
      <w:pPr>
        <w:pStyle w:val="FootnoteText"/>
        <w:spacing w:after="120"/>
      </w:pPr>
      <w:r w:rsidRPr="001E4E59">
        <w:rPr>
          <w:rStyle w:val="FootnoteReference"/>
        </w:rPr>
        <w:footnoteRef/>
      </w:r>
      <w:r w:rsidRPr="001E4E59">
        <w:t xml:space="preserve"> </w:t>
      </w:r>
      <w:r w:rsidRPr="001E4E59" w:rsidR="001830B9">
        <w:t xml:space="preserve">Green Choice’s Motion for Protective Order, (May 20, 2022), </w:t>
      </w:r>
      <w:r w:rsidRPr="001E4E59">
        <w:t xml:space="preserve">Ex. </w:t>
      </w:r>
      <w:r w:rsidRPr="001E4E59" w:rsidR="001830B9">
        <w:t>B</w:t>
      </w:r>
      <w:r w:rsidRPr="001E4E59">
        <w:t xml:space="preserve">. </w:t>
      </w:r>
    </w:p>
  </w:footnote>
  <w:footnote w:id="5">
    <w:p w:rsidR="008D0792" w:rsidRPr="001E4E59" w:rsidP="001E4E59" w14:paraId="0D3984DB" w14:textId="60F744AA">
      <w:pPr>
        <w:pStyle w:val="FootnoteText"/>
        <w:spacing w:after="120"/>
      </w:pPr>
      <w:r w:rsidRPr="001E4E59">
        <w:rPr>
          <w:rStyle w:val="FootnoteReference"/>
        </w:rPr>
        <w:footnoteRef/>
      </w:r>
      <w:r w:rsidRPr="001E4E59">
        <w:t xml:space="preserve"> Green Choice’s Memorandum in Opposition to OCC’s Motion to Intervene (May 10, 2022), p. 10.</w:t>
      </w:r>
    </w:p>
  </w:footnote>
  <w:footnote w:id="6">
    <w:p w:rsidR="008D0792" w:rsidRPr="001E4E59" w:rsidP="001E4E59" w14:paraId="61D4A617" w14:textId="091205F4">
      <w:pPr>
        <w:pStyle w:val="FootnoteText"/>
        <w:spacing w:after="120"/>
      </w:pPr>
      <w:r w:rsidRPr="001E4E59">
        <w:rPr>
          <w:rStyle w:val="FootnoteReference"/>
        </w:rPr>
        <w:footnoteRef/>
      </w:r>
      <w:r w:rsidRPr="001E4E59">
        <w:t xml:space="preserve"> Green Choice’s Motion for Protective Order, (May 20, 2022</w:t>
      </w:r>
      <w:r w:rsidRPr="001E4E59" w:rsidR="00FF69FC">
        <w:t>)</w:t>
      </w:r>
      <w:r w:rsidRPr="001E4E59">
        <w:t>, p. 4.</w:t>
      </w:r>
    </w:p>
  </w:footnote>
  <w:footnote w:id="7">
    <w:p w:rsidR="00FF69FC" w:rsidRPr="001E4E59" w:rsidP="001E4E59" w14:paraId="7AEE6BAD" w14:textId="137B0D1A">
      <w:pPr>
        <w:pStyle w:val="FootnoteText"/>
        <w:spacing w:after="120"/>
      </w:pPr>
      <w:r w:rsidRPr="001E4E59">
        <w:rPr>
          <w:rStyle w:val="FootnoteReference"/>
        </w:rPr>
        <w:footnoteRef/>
      </w:r>
      <w:r w:rsidRPr="001E4E59">
        <w:t xml:space="preserve"> </w:t>
      </w:r>
      <w:r w:rsidRPr="001E4E59" w:rsidR="008D0792">
        <w:rPr>
          <w:i/>
          <w:iCs/>
        </w:rPr>
        <w:t>Id</w:t>
      </w:r>
      <w:r w:rsidRPr="001E4E59" w:rsidR="008D0792">
        <w:t>. at</w:t>
      </w:r>
      <w:r w:rsidRPr="001E4E59">
        <w:t xml:space="preserve"> p. 1.</w:t>
      </w:r>
    </w:p>
  </w:footnote>
  <w:footnote w:id="8">
    <w:p w:rsidR="00FF69FC" w:rsidRPr="001E4E59" w:rsidP="001E4E59" w14:paraId="1ECE3DAE" w14:textId="72B25F68">
      <w:pPr>
        <w:pStyle w:val="FootnoteText"/>
        <w:spacing w:after="120"/>
      </w:pPr>
      <w:r w:rsidRPr="001E4E59">
        <w:rPr>
          <w:rStyle w:val="FootnoteReference"/>
        </w:rPr>
        <w:footnoteRef/>
      </w:r>
      <w:r w:rsidRPr="001E4E59">
        <w:t xml:space="preserve"> </w:t>
      </w:r>
      <w:r w:rsidRPr="001E4E59">
        <w:rPr>
          <w:i/>
          <w:iCs/>
        </w:rPr>
        <w:t>Id</w:t>
      </w:r>
      <w:r w:rsidRPr="001E4E59">
        <w:t xml:space="preserve">. </w:t>
      </w:r>
    </w:p>
  </w:footnote>
  <w:footnote w:id="9">
    <w:p w:rsidR="00FF69FC" w:rsidRPr="001E4E59" w:rsidP="001E4E59" w14:paraId="33CDF41D" w14:textId="40030521">
      <w:pPr>
        <w:pStyle w:val="FootnoteText"/>
        <w:spacing w:after="120"/>
      </w:pPr>
      <w:r w:rsidRPr="001E4E59">
        <w:rPr>
          <w:rStyle w:val="FootnoteReference"/>
        </w:rPr>
        <w:footnoteRef/>
      </w:r>
      <w:r w:rsidRPr="001E4E59">
        <w:t xml:space="preserve"> </w:t>
      </w:r>
      <w:r w:rsidRPr="001E4E59">
        <w:rPr>
          <w:i/>
          <w:iCs/>
        </w:rPr>
        <w:t>Id</w:t>
      </w:r>
      <w:r w:rsidRPr="001E4E59">
        <w:t xml:space="preserve">. </w:t>
      </w:r>
    </w:p>
  </w:footnote>
  <w:footnote w:id="10">
    <w:p w:rsidR="005B70C2" w:rsidRPr="001E4E59" w:rsidP="001E4E59" w14:paraId="6B00BCE9" w14:textId="4EE88FA4">
      <w:pPr>
        <w:pStyle w:val="FootnoteText"/>
        <w:spacing w:after="120"/>
      </w:pPr>
      <w:r w:rsidRPr="001E4E59">
        <w:rPr>
          <w:rStyle w:val="FootnoteReference"/>
        </w:rPr>
        <w:footnoteRef/>
      </w:r>
      <w:r w:rsidRPr="001E4E59">
        <w:t xml:space="preserve"> </w:t>
      </w:r>
      <w:r w:rsidRPr="001E4E59" w:rsidR="008D0792">
        <w:t>O</w:t>
      </w:r>
      <w:r w:rsidRPr="001E4E59" w:rsidR="00F2748D">
        <w:t>.A</w:t>
      </w:r>
      <w:r w:rsidRPr="001E4E59" w:rsidR="008D0792">
        <w:t>.C</w:t>
      </w:r>
      <w:r w:rsidRPr="001E4E59" w:rsidR="00F2748D">
        <w:t>.</w:t>
      </w:r>
      <w:r w:rsidRPr="001E4E59" w:rsidR="008D0792">
        <w:t xml:space="preserve"> 4901-1-16(H). </w:t>
      </w:r>
    </w:p>
  </w:footnote>
  <w:footnote w:id="11">
    <w:p w:rsidR="005B70C2" w:rsidRPr="001E4E59" w:rsidP="001E4E59" w14:paraId="7077C63A" w14:textId="4ADB5973">
      <w:pPr>
        <w:pStyle w:val="FootnoteText"/>
        <w:spacing w:after="120"/>
      </w:pPr>
      <w:r w:rsidRPr="001E4E59">
        <w:rPr>
          <w:rStyle w:val="FootnoteReference"/>
        </w:rPr>
        <w:footnoteRef/>
      </w:r>
      <w:r w:rsidRPr="001E4E59">
        <w:t xml:space="preserve"> </w:t>
      </w:r>
      <w:r w:rsidRPr="001E4E59" w:rsidR="00F7498C">
        <w:t>Green Choice’s Motion for Protective Order, Ex. B.</w:t>
      </w:r>
    </w:p>
  </w:footnote>
  <w:footnote w:id="12">
    <w:p w:rsidR="00F7498C" w:rsidRPr="001E4E59" w:rsidP="001E4E59" w14:paraId="2778AF7A" w14:textId="3919A7DF">
      <w:pPr>
        <w:pStyle w:val="FootnoteText"/>
        <w:spacing w:after="120"/>
      </w:pPr>
      <w:r w:rsidRPr="001E4E59">
        <w:rPr>
          <w:rStyle w:val="FootnoteReference"/>
        </w:rPr>
        <w:footnoteRef/>
      </w:r>
      <w:r w:rsidRPr="001E4E59">
        <w:t xml:space="preserve"> </w:t>
      </w:r>
      <w:r w:rsidRPr="001E4E59">
        <w:rPr>
          <w:i/>
          <w:iCs/>
        </w:rPr>
        <w:t xml:space="preserve">See </w:t>
      </w:r>
      <w:r w:rsidRPr="001E4E59">
        <w:t>O.A.C. 4901-1-16(A).</w:t>
      </w:r>
    </w:p>
  </w:footnote>
  <w:footnote w:id="13">
    <w:p w:rsidR="00F7498C" w:rsidRPr="001E4E59" w:rsidP="001E4E59" w14:paraId="684F88ED" w14:textId="57F452AD">
      <w:pPr>
        <w:pStyle w:val="FootnoteText"/>
        <w:spacing w:after="120"/>
      </w:pPr>
      <w:r w:rsidRPr="001E4E59">
        <w:rPr>
          <w:rStyle w:val="FootnoteReference"/>
        </w:rPr>
        <w:footnoteRef/>
      </w:r>
      <w:r w:rsidRPr="001E4E59">
        <w:t xml:space="preserve"> O.A.C. 4901-1-24(B).</w:t>
      </w:r>
    </w:p>
  </w:footnote>
  <w:footnote w:id="14">
    <w:p w:rsidR="005B70C2" w:rsidRPr="001E4E59" w:rsidP="001E4E59" w14:paraId="3D337D08" w14:textId="794192D4">
      <w:pPr>
        <w:pStyle w:val="FootnoteText"/>
        <w:spacing w:after="120"/>
      </w:pPr>
      <w:r w:rsidRPr="001E4E59">
        <w:rPr>
          <w:rStyle w:val="FootnoteReference"/>
        </w:rPr>
        <w:footnoteRef/>
      </w:r>
      <w:r w:rsidRPr="001E4E59">
        <w:t xml:space="preserve"> O</w:t>
      </w:r>
      <w:r w:rsidRPr="001E4E59" w:rsidR="00F7498C">
        <w:t>.</w:t>
      </w:r>
      <w:r w:rsidRPr="001E4E59">
        <w:t>A.C</w:t>
      </w:r>
      <w:r w:rsidRPr="001E4E59" w:rsidR="00F7498C">
        <w:t>.</w:t>
      </w:r>
      <w:r w:rsidRPr="001E4E59">
        <w:t xml:space="preserve"> 4901-1-24(B). </w:t>
      </w:r>
    </w:p>
  </w:footnote>
  <w:footnote w:id="15">
    <w:p w:rsidR="00317FA3" w:rsidRPr="001E4E59" w:rsidP="001E4E59" w14:paraId="521BAD32" w14:textId="60A2AB9C">
      <w:pPr>
        <w:pStyle w:val="FootnoteText"/>
        <w:spacing w:after="120"/>
      </w:pPr>
      <w:r w:rsidRPr="001E4E59">
        <w:rPr>
          <w:rStyle w:val="FootnoteReference"/>
        </w:rPr>
        <w:footnoteRef/>
      </w:r>
      <w:r w:rsidRPr="001E4E59">
        <w:t xml:space="preserve"> (Emphasis added.) Ohio Adm.</w:t>
      </w:r>
      <w:r w:rsidR="003B0D82">
        <w:t xml:space="preserve"> </w:t>
      </w:r>
      <w:r w:rsidRPr="001E4E59">
        <w:t>Code 4901-1-24(B)(3).</w:t>
      </w:r>
    </w:p>
  </w:footnote>
  <w:footnote w:id="16">
    <w:p w:rsidR="00317FA3" w:rsidRPr="001E4E59" w:rsidP="001E4E59" w14:paraId="714DB583" w14:textId="2BD67DEA">
      <w:pPr>
        <w:pStyle w:val="FootnoteText"/>
        <w:spacing w:after="120"/>
      </w:pPr>
      <w:r w:rsidRPr="001E4E59">
        <w:rPr>
          <w:rStyle w:val="FootnoteReference"/>
        </w:rPr>
        <w:footnoteRef/>
      </w:r>
      <w:r w:rsidRPr="001E4E59">
        <w:t xml:space="preserve"> Green Choice’s Motion for Protective Order, (May 20, 2022), Ex. A. </w:t>
      </w:r>
    </w:p>
  </w:footnote>
  <w:footnote w:id="17">
    <w:p w:rsidR="00317FA3" w:rsidRPr="001E4E59" w:rsidP="001E4E59" w14:paraId="2E1F9107" w14:textId="5EA95412">
      <w:pPr>
        <w:pStyle w:val="FootnoteText"/>
        <w:spacing w:after="120"/>
      </w:pPr>
      <w:r w:rsidRPr="001E4E59">
        <w:rPr>
          <w:rStyle w:val="FootnoteReference"/>
        </w:rPr>
        <w:footnoteRef/>
      </w:r>
      <w:r w:rsidRPr="001E4E59">
        <w:t xml:space="preserve"> </w:t>
      </w:r>
      <w:r w:rsidRPr="001E4E59">
        <w:rPr>
          <w:i/>
          <w:iCs/>
        </w:rPr>
        <w:t>Id</w:t>
      </w:r>
      <w:r w:rsidRPr="001E4E59">
        <w:t xml:space="preserve">. </w:t>
      </w:r>
    </w:p>
  </w:footnote>
  <w:footnote w:id="18">
    <w:p w:rsidR="00FD67D9" w:rsidRPr="001E4E59" w:rsidP="001E4E59" w14:paraId="61C2BA1B" w14:textId="5AADDFA6">
      <w:pPr>
        <w:pStyle w:val="FootnoteText"/>
        <w:spacing w:after="120"/>
      </w:pPr>
      <w:r w:rsidRPr="001E4E59">
        <w:rPr>
          <w:rStyle w:val="FootnoteReference"/>
        </w:rPr>
        <w:footnoteRef/>
      </w:r>
      <w:r w:rsidRPr="001E4E59">
        <w:t xml:space="preserve"> </w:t>
      </w:r>
      <w:r w:rsidRPr="001E4E59">
        <w:rPr>
          <w:i/>
          <w:iCs/>
        </w:rPr>
        <w:t>Id</w:t>
      </w:r>
      <w:r w:rsidRPr="001E4E59">
        <w:t>.</w:t>
      </w:r>
    </w:p>
  </w:footnote>
  <w:footnote w:id="19">
    <w:p w:rsidR="00317FA3" w:rsidRPr="001E4E59" w:rsidP="001E4E59" w14:paraId="7040E016" w14:textId="210B1D1E">
      <w:pPr>
        <w:pStyle w:val="FootnoteText"/>
        <w:spacing w:after="120"/>
      </w:pPr>
      <w:r w:rsidRPr="001E4E59">
        <w:rPr>
          <w:rStyle w:val="FootnoteReference"/>
        </w:rPr>
        <w:footnoteRef/>
      </w:r>
      <w:r w:rsidRPr="001E4E59">
        <w:t xml:space="preserve"> </w:t>
      </w:r>
      <w:r w:rsidRPr="001E4E59">
        <w:rPr>
          <w:i/>
          <w:iCs/>
        </w:rPr>
        <w:t>Id</w:t>
      </w:r>
      <w:r w:rsidRPr="001E4E59">
        <w:t>. at p. 2.</w:t>
      </w:r>
    </w:p>
  </w:footnote>
  <w:footnote w:id="20">
    <w:p w:rsidR="00317FA3" w:rsidRPr="001E4E59" w:rsidP="001E4E59" w14:paraId="01DD1FD5" w14:textId="4268D4ED">
      <w:pPr>
        <w:pStyle w:val="FootnoteText"/>
        <w:spacing w:after="120"/>
      </w:pPr>
      <w:r w:rsidRPr="001E4E59">
        <w:rPr>
          <w:rStyle w:val="FootnoteReference"/>
        </w:rPr>
        <w:footnoteRef/>
      </w:r>
      <w:r w:rsidRPr="001E4E59">
        <w:t xml:space="preserve"> </w:t>
      </w:r>
      <w:r w:rsidRPr="001E4E59">
        <w:rPr>
          <w:i/>
          <w:iCs/>
        </w:rPr>
        <w:t>Id</w:t>
      </w:r>
      <w:r w:rsidRPr="001E4E59">
        <w:t>. at p. 3.</w:t>
      </w:r>
    </w:p>
  </w:footnote>
  <w:footnote w:id="21">
    <w:p w:rsidR="00546FEC" w:rsidRPr="001E4E59" w:rsidP="001E4E59" w14:paraId="5137E40C" w14:textId="4ABD5772">
      <w:pPr>
        <w:pStyle w:val="FootnoteText"/>
        <w:spacing w:after="120"/>
      </w:pPr>
      <w:r w:rsidRPr="001E4E59">
        <w:rPr>
          <w:rStyle w:val="FootnoteReference"/>
        </w:rPr>
        <w:footnoteRef/>
      </w:r>
      <w:r w:rsidRPr="001E4E59">
        <w:t xml:space="preserve"> </w:t>
      </w:r>
      <w:r w:rsidRPr="001E4E59">
        <w:rPr>
          <w:i/>
          <w:iCs/>
        </w:rPr>
        <w:t>In the Matter of the Commission’s Investigation of XOOM Energy Ohio, LLC’s Compliance with the Ohio Administrative Code and Potential Remedial Actions for Non-Compliance</w:t>
      </w:r>
      <w:r w:rsidRPr="001E4E59">
        <w:t>, Case No. 22-267-GE-COI, Entry (May 20, 2022), ¶ 10.</w:t>
      </w:r>
    </w:p>
  </w:footnote>
  <w:footnote w:id="22">
    <w:p w:rsidR="00546FEC" w:rsidRPr="001E4E59" w:rsidP="001E4E59" w14:paraId="16EAAA59" w14:textId="5CD097F7">
      <w:pPr>
        <w:pStyle w:val="FootnoteText"/>
        <w:spacing w:after="120"/>
      </w:pPr>
      <w:r w:rsidRPr="001E4E59">
        <w:rPr>
          <w:rStyle w:val="FootnoteReference"/>
        </w:rPr>
        <w:footnoteRef/>
      </w:r>
      <w:r w:rsidRPr="001E4E59">
        <w:t xml:space="preserve"> </w:t>
      </w:r>
      <w:r w:rsidRPr="001E4E59">
        <w:rPr>
          <w:i/>
          <w:iCs/>
        </w:rPr>
        <w:t xml:space="preserve">Id. </w:t>
      </w:r>
      <w:r w:rsidRPr="001E4E59">
        <w:t xml:space="preserve">(citing </w:t>
      </w:r>
      <w:r w:rsidRPr="001E4E59">
        <w:rPr>
          <w:i/>
          <w:iCs/>
        </w:rPr>
        <w:t>Ohio Consumers' Counsel v. Pub. Util. Comm.</w:t>
      </w:r>
      <w:r w:rsidRPr="001E4E59">
        <w:t xml:space="preserve"> (2006), 111 Ohio St.3d 384).</w:t>
      </w:r>
    </w:p>
  </w:footnote>
  <w:footnote w:id="23">
    <w:p w:rsidR="00317FA3" w:rsidRPr="001E4E59" w:rsidP="001E4E59" w14:paraId="6FB0D33E" w14:textId="4962B99E">
      <w:pPr>
        <w:pStyle w:val="FootnoteText"/>
        <w:spacing w:after="120"/>
      </w:pPr>
      <w:r w:rsidRPr="001E4E59">
        <w:rPr>
          <w:rStyle w:val="FootnoteReference"/>
        </w:rPr>
        <w:footnoteRef/>
      </w:r>
      <w:r w:rsidRPr="001E4E59">
        <w:t xml:space="preserve"> O</w:t>
      </w:r>
      <w:r w:rsidRPr="001E4E59" w:rsidR="008829F5">
        <w:t>.</w:t>
      </w:r>
      <w:r w:rsidRPr="001E4E59">
        <w:t>A.C</w:t>
      </w:r>
      <w:r w:rsidRPr="001E4E59" w:rsidR="008829F5">
        <w:t>.</w:t>
      </w:r>
      <w:r w:rsidRPr="001E4E59">
        <w:t xml:space="preserve"> 4901-1-16(H). </w:t>
      </w:r>
    </w:p>
  </w:footnote>
  <w:footnote w:id="24">
    <w:p w:rsidR="00317FA3" w:rsidRPr="001E4E59" w:rsidP="001E4E59" w14:paraId="68482771" w14:textId="6B77C8E6">
      <w:pPr>
        <w:pStyle w:val="FootnoteText"/>
        <w:spacing w:after="120"/>
      </w:pPr>
      <w:r w:rsidRPr="001E4E59">
        <w:rPr>
          <w:rStyle w:val="FootnoteReference"/>
        </w:rPr>
        <w:footnoteRef/>
      </w:r>
      <w:r w:rsidRPr="001E4E59">
        <w:t xml:space="preserve"> </w:t>
      </w:r>
      <w:r w:rsidRPr="001E4E59">
        <w:rPr>
          <w:i/>
          <w:iCs/>
        </w:rPr>
        <w:t>Id</w:t>
      </w:r>
      <w:r w:rsidRPr="001E4E59">
        <w:t xml:space="preserve">. </w:t>
      </w:r>
    </w:p>
  </w:footnote>
  <w:footnote w:id="25">
    <w:p w:rsidR="00317FA3" w:rsidRPr="001E4E59" w:rsidP="001E4E59" w14:paraId="7F154DA2" w14:textId="38BAC3A2">
      <w:pPr>
        <w:pStyle w:val="FootnoteText"/>
        <w:spacing w:after="120"/>
      </w:pPr>
      <w:r w:rsidRPr="001E4E59">
        <w:rPr>
          <w:rStyle w:val="FootnoteReference"/>
        </w:rPr>
        <w:footnoteRef/>
      </w:r>
      <w:r w:rsidRPr="001E4E59">
        <w:t xml:space="preserve"> O</w:t>
      </w:r>
      <w:r w:rsidRPr="001E4E59" w:rsidR="008829F5">
        <w:t>.</w:t>
      </w:r>
      <w:r w:rsidRPr="001E4E59">
        <w:t>A.C</w:t>
      </w:r>
      <w:r w:rsidRPr="001E4E59" w:rsidR="008829F5">
        <w:t>.</w:t>
      </w:r>
      <w:r w:rsidRPr="001E4E59">
        <w:t xml:space="preserve"> 4901-1-16(A)</w:t>
      </w:r>
      <w:r w:rsidR="00716027">
        <w:t xml:space="preserve"> (emphasis added)</w:t>
      </w:r>
      <w:r w:rsidRPr="001E4E59">
        <w:t>.</w:t>
      </w:r>
    </w:p>
  </w:footnote>
  <w:footnote w:id="26">
    <w:p w:rsidR="00317FA3" w:rsidRPr="001E4E59" w:rsidP="001E4E59" w14:paraId="1E4946DD" w14:textId="47D259F9">
      <w:pPr>
        <w:pStyle w:val="FootnoteText"/>
        <w:spacing w:after="120"/>
      </w:pPr>
      <w:r w:rsidRPr="001E4E59">
        <w:rPr>
          <w:rStyle w:val="FootnoteReference"/>
        </w:rPr>
        <w:footnoteRef/>
      </w:r>
      <w:r w:rsidRPr="001E4E59">
        <w:t xml:space="preserve"> </w:t>
      </w:r>
      <w:r w:rsidRPr="001E4E59">
        <w:rPr>
          <w:i/>
          <w:iCs/>
        </w:rPr>
        <w:t>Twism Ents., LLC v. State Bd. of Registration</w:t>
      </w:r>
      <w:r w:rsidRPr="001E4E59">
        <w:t xml:space="preserve">, 1st Dist. Hamilton Nos. C-200411 and C-210125, 2021-Ohio-3665, ¶ 20, citing </w:t>
      </w:r>
      <w:r w:rsidRPr="001E4E59">
        <w:rPr>
          <w:i/>
          <w:iCs/>
        </w:rPr>
        <w:t>State ex rel. Fire Rock, Ltd. v. Ohio Dept. of Commerce</w:t>
      </w:r>
      <w:r w:rsidRPr="001E4E59">
        <w:t>, 163 Ohio St.3d 277, 2021-Ohio-673, 169 N.E.3d 665, ¶ 13.</w:t>
      </w:r>
    </w:p>
  </w:footnote>
  <w:footnote w:id="27">
    <w:p w:rsidR="00317FA3" w:rsidRPr="001E4E59" w:rsidP="001E4E59" w14:paraId="14F23C9F" w14:textId="25C6FBE1">
      <w:pPr>
        <w:pStyle w:val="FootnoteText"/>
        <w:spacing w:after="120"/>
      </w:pPr>
      <w:r w:rsidRPr="001E4E59">
        <w:rPr>
          <w:rStyle w:val="FootnoteReference"/>
        </w:rPr>
        <w:footnoteRef/>
      </w:r>
      <w:r w:rsidRPr="001E4E59">
        <w:t xml:space="preserve"> Green Choice’s Motion for Protective Order, (May 20, 2022), p. 3.</w:t>
      </w:r>
    </w:p>
  </w:footnote>
  <w:footnote w:id="28">
    <w:p w:rsidR="00317FA3" w:rsidRPr="001E4E59" w:rsidP="001E4E59" w14:paraId="43B4F38A" w14:textId="5DB9B3B0">
      <w:pPr>
        <w:pStyle w:val="FootnoteText"/>
        <w:spacing w:after="120"/>
      </w:pPr>
      <w:r w:rsidRPr="001E4E59">
        <w:rPr>
          <w:rStyle w:val="FootnoteReference"/>
        </w:rPr>
        <w:footnoteRef/>
      </w:r>
      <w:r w:rsidRPr="001E4E59">
        <w:t xml:space="preserve"> </w:t>
      </w:r>
      <w:r w:rsidRPr="001E4E59">
        <w:rPr>
          <w:i/>
          <w:iCs/>
        </w:rPr>
        <w:t>Id</w:t>
      </w:r>
      <w:r w:rsidRPr="001E4E59">
        <w:t>.</w:t>
      </w:r>
    </w:p>
  </w:footnote>
  <w:footnote w:id="29">
    <w:p w:rsidR="00317FA3" w:rsidRPr="001E4E59" w:rsidP="001E4E59" w14:paraId="0C6A05FF" w14:textId="382F55AF">
      <w:pPr>
        <w:pStyle w:val="FootnoteText"/>
        <w:spacing w:after="120"/>
      </w:pPr>
      <w:r w:rsidRPr="001E4E59">
        <w:rPr>
          <w:rStyle w:val="FootnoteReference"/>
        </w:rPr>
        <w:footnoteRef/>
      </w:r>
      <w:r w:rsidRPr="001E4E59">
        <w:t xml:space="preserve"> </w:t>
      </w:r>
      <w:r w:rsidRPr="001E4E59">
        <w:rPr>
          <w:i/>
          <w:iCs/>
        </w:rPr>
        <w:t>Id</w:t>
      </w:r>
      <w:r w:rsidRPr="001E4E59">
        <w:t xml:space="preserve">. </w:t>
      </w:r>
    </w:p>
  </w:footnote>
  <w:footnote w:id="30">
    <w:p w:rsidR="00317FA3" w:rsidRPr="001E4E59" w:rsidP="001E4E59" w14:paraId="44C91691" w14:textId="5DABAD12">
      <w:pPr>
        <w:pStyle w:val="FootnoteText"/>
        <w:spacing w:after="120"/>
      </w:pPr>
      <w:r w:rsidRPr="001E4E59">
        <w:rPr>
          <w:rStyle w:val="FootnoteReference"/>
        </w:rPr>
        <w:footnoteRef/>
      </w:r>
      <w:r w:rsidRPr="001E4E59">
        <w:t xml:space="preserve"> </w:t>
      </w:r>
      <w:r w:rsidRPr="001E4E59">
        <w:rPr>
          <w:i/>
          <w:iCs/>
        </w:rPr>
        <w:t>In the Matter of the RPA Energy, Inc., dba Green Choice Energy’s Compliance with the Ohio Administrative Code and Proposed Remedial Action</w:t>
      </w:r>
      <w:r w:rsidRPr="001E4E59" w:rsidR="00CA0E8F">
        <w:t>, PUCO Staff Letter</w:t>
      </w:r>
      <w:r w:rsidRPr="001E4E59">
        <w:t xml:space="preserve"> (April 18, 2022), Attachment A. </w:t>
      </w:r>
    </w:p>
  </w:footnote>
  <w:footnote w:id="31">
    <w:p w:rsidR="00317FA3" w:rsidRPr="001E4E59" w:rsidP="001E4E59" w14:paraId="7C8CFC61" w14:textId="0AF6DFE3">
      <w:pPr>
        <w:pStyle w:val="FootnoteText"/>
        <w:spacing w:after="120"/>
      </w:pPr>
      <w:r w:rsidRPr="001E4E59">
        <w:rPr>
          <w:rStyle w:val="FootnoteReference"/>
        </w:rPr>
        <w:footnoteRef/>
      </w:r>
      <w:r w:rsidRPr="001E4E59">
        <w:t xml:space="preserve"> </w:t>
      </w:r>
      <w:r w:rsidRPr="001E4E59">
        <w:rPr>
          <w:i/>
          <w:iCs/>
        </w:rPr>
        <w:t>Id</w:t>
      </w:r>
      <w:r w:rsidRPr="001E4E59">
        <w:t>.</w:t>
      </w:r>
    </w:p>
  </w:footnote>
  <w:footnote w:id="32">
    <w:p w:rsidR="00E914ED" w:rsidRPr="001E4E59" w:rsidP="001E4E59" w14:paraId="51131DA5" w14:textId="3BF7BB9E">
      <w:pPr>
        <w:pStyle w:val="FootnoteText"/>
        <w:spacing w:after="120"/>
      </w:pPr>
      <w:r w:rsidRPr="001E4E59">
        <w:rPr>
          <w:rStyle w:val="FootnoteReference"/>
        </w:rPr>
        <w:footnoteRef/>
      </w:r>
      <w:r w:rsidRPr="001E4E59">
        <w:t xml:space="preserve"> </w:t>
      </w:r>
      <w:r w:rsidRPr="001E4E59">
        <w:rPr>
          <w:i/>
          <w:iCs/>
        </w:rPr>
        <w:t>In the Matter of the RPA Energy, Inc., dba Green Choice Energy’s Compliance with the Ohio Administrative Code and Proposed Remedial Action</w:t>
      </w:r>
      <w:r w:rsidRPr="001E4E59" w:rsidR="00CA0E8F">
        <w:t>, PUCO Staff Letter</w:t>
      </w:r>
      <w:r w:rsidRPr="001E4E59">
        <w:t xml:space="preserve"> (April 18, 2022), p. 2.</w:t>
      </w:r>
    </w:p>
  </w:footnote>
  <w:footnote w:id="33">
    <w:p w:rsidR="00E266FA" w:rsidRPr="001E4E59" w:rsidP="001E4E59" w14:paraId="48836C2C" w14:textId="29E5600F">
      <w:pPr>
        <w:pStyle w:val="FootnoteText"/>
        <w:spacing w:after="120"/>
      </w:pPr>
      <w:r w:rsidRPr="001E4E59">
        <w:rPr>
          <w:rStyle w:val="FootnoteReference"/>
        </w:rPr>
        <w:footnoteRef/>
      </w:r>
      <w:r w:rsidRPr="001E4E59">
        <w:t xml:space="preserve"> </w:t>
      </w:r>
      <w:r w:rsidRPr="001E4E59">
        <w:rPr>
          <w:i/>
          <w:iCs/>
        </w:rPr>
        <w:t xml:space="preserve">See </w:t>
      </w:r>
      <w:r w:rsidRPr="001E4E59">
        <w:t>Green Choice’s Memorandum in Opposition to OCC’s Motion to Intervene (May 10, 2022), p. 9.</w:t>
      </w:r>
      <w:r w:rsidRPr="001E4E59" w:rsidR="0009794A">
        <w:t xml:space="preserve"> </w:t>
      </w:r>
    </w:p>
  </w:footnote>
  <w:footnote w:id="34">
    <w:p w:rsidR="00E266FA" w:rsidRPr="001E4E59" w:rsidP="001E4E59" w14:paraId="55769479" w14:textId="0A61FC23">
      <w:pPr>
        <w:pStyle w:val="FootnoteText"/>
        <w:spacing w:after="120"/>
      </w:pPr>
      <w:r w:rsidRPr="001E4E59">
        <w:rPr>
          <w:rStyle w:val="FootnoteReference"/>
        </w:rPr>
        <w:footnoteRef/>
      </w:r>
      <w:r w:rsidRPr="001E4E59">
        <w:t xml:space="preserve"> O</w:t>
      </w:r>
      <w:r w:rsidRPr="001E4E59" w:rsidR="002C1800">
        <w:t>.</w:t>
      </w:r>
      <w:r w:rsidRPr="001E4E59">
        <w:t>A.C</w:t>
      </w:r>
      <w:r w:rsidRPr="001E4E59" w:rsidR="002C1800">
        <w:t>.</w:t>
      </w:r>
      <w:r w:rsidRPr="001E4E59">
        <w:t xml:space="preserve"> 4901-1-16(A).</w:t>
      </w:r>
    </w:p>
  </w:footnote>
  <w:footnote w:id="35">
    <w:p w:rsidR="00A021BC" w:rsidRPr="001E4E59" w:rsidP="001E4E59" w14:paraId="7FE6A869" w14:textId="22EB2620">
      <w:pPr>
        <w:pStyle w:val="FootnoteText"/>
        <w:spacing w:after="120"/>
      </w:pPr>
      <w:r w:rsidRPr="001E4E59">
        <w:rPr>
          <w:rStyle w:val="FootnoteReference"/>
        </w:rPr>
        <w:footnoteRef/>
      </w:r>
      <w:r w:rsidRPr="001E4E59">
        <w:t xml:space="preserve"> O.A.C. 4901-1-16(H).</w:t>
      </w:r>
    </w:p>
  </w:footnote>
  <w:footnote w:id="36">
    <w:p w:rsidR="002C1800" w:rsidRPr="001E4E59" w:rsidP="001E4E59" w14:paraId="2AB3AF67" w14:textId="32EEE7AE">
      <w:pPr>
        <w:pStyle w:val="FootnoteText"/>
        <w:spacing w:after="120"/>
      </w:pPr>
      <w:r w:rsidRPr="001E4E59">
        <w:rPr>
          <w:rStyle w:val="FootnoteReference"/>
        </w:rPr>
        <w:footnoteRef/>
      </w:r>
      <w:r w:rsidRPr="001E4E59">
        <w:t xml:space="preserve"> O.A.C. 4901-1-24(B).</w:t>
      </w:r>
    </w:p>
  </w:footnote>
  <w:footnote w:id="37">
    <w:p w:rsidR="00604803" w:rsidRPr="001E4E59" w:rsidP="00604803" w14:paraId="3886AE46" w14:textId="77777777">
      <w:pPr>
        <w:pStyle w:val="FootnoteText"/>
        <w:spacing w:after="120"/>
      </w:pPr>
      <w:r w:rsidRPr="001E4E59">
        <w:rPr>
          <w:rStyle w:val="FootnoteReference"/>
        </w:rPr>
        <w:footnoteRef/>
      </w:r>
      <w:r w:rsidRPr="001E4E59">
        <w:t xml:space="preserve"> O.A.C. 4901-1-16(H).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85B43"/>
    <w:multiLevelType w:val="hybridMultilevel"/>
    <w:tmpl w:val="EE78323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BB87CA9"/>
    <w:multiLevelType w:val="hybridMultilevel"/>
    <w:tmpl w:val="7D1C148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EA"/>
    <w:rsid w:val="00001F9A"/>
    <w:rsid w:val="00003956"/>
    <w:rsid w:val="00010C9D"/>
    <w:rsid w:val="000255F6"/>
    <w:rsid w:val="000632D3"/>
    <w:rsid w:val="0009794A"/>
    <w:rsid w:val="000A5E9E"/>
    <w:rsid w:val="000B1CB4"/>
    <w:rsid w:val="000D71DB"/>
    <w:rsid w:val="000E232B"/>
    <w:rsid w:val="000E6BBD"/>
    <w:rsid w:val="000E798F"/>
    <w:rsid w:val="00154C6C"/>
    <w:rsid w:val="00160241"/>
    <w:rsid w:val="001830B9"/>
    <w:rsid w:val="0019196D"/>
    <w:rsid w:val="001A4E60"/>
    <w:rsid w:val="001E4E59"/>
    <w:rsid w:val="00203005"/>
    <w:rsid w:val="00224C37"/>
    <w:rsid w:val="0025622D"/>
    <w:rsid w:val="002759C2"/>
    <w:rsid w:val="0027636A"/>
    <w:rsid w:val="002B7670"/>
    <w:rsid w:val="002B7791"/>
    <w:rsid w:val="002C1800"/>
    <w:rsid w:val="002D1DC1"/>
    <w:rsid w:val="002E6B80"/>
    <w:rsid w:val="003011E8"/>
    <w:rsid w:val="0030314E"/>
    <w:rsid w:val="00317FA3"/>
    <w:rsid w:val="00320F92"/>
    <w:rsid w:val="00340B01"/>
    <w:rsid w:val="003610CC"/>
    <w:rsid w:val="00371D37"/>
    <w:rsid w:val="003B0D82"/>
    <w:rsid w:val="003B3AFE"/>
    <w:rsid w:val="003D4FE2"/>
    <w:rsid w:val="003E1A98"/>
    <w:rsid w:val="00406D2F"/>
    <w:rsid w:val="00441BBE"/>
    <w:rsid w:val="004A5E8E"/>
    <w:rsid w:val="004A640E"/>
    <w:rsid w:val="004D2CDA"/>
    <w:rsid w:val="004E35F9"/>
    <w:rsid w:val="004F690F"/>
    <w:rsid w:val="0051518F"/>
    <w:rsid w:val="00546FEC"/>
    <w:rsid w:val="005718F8"/>
    <w:rsid w:val="0057278A"/>
    <w:rsid w:val="00582D24"/>
    <w:rsid w:val="00591521"/>
    <w:rsid w:val="005B70C2"/>
    <w:rsid w:val="00604803"/>
    <w:rsid w:val="006176C1"/>
    <w:rsid w:val="0065148A"/>
    <w:rsid w:val="00662F58"/>
    <w:rsid w:val="00673BF2"/>
    <w:rsid w:val="00687A40"/>
    <w:rsid w:val="00693C40"/>
    <w:rsid w:val="006B795A"/>
    <w:rsid w:val="006E435F"/>
    <w:rsid w:val="006E62E2"/>
    <w:rsid w:val="00706C85"/>
    <w:rsid w:val="00716027"/>
    <w:rsid w:val="007838EA"/>
    <w:rsid w:val="007A3F4D"/>
    <w:rsid w:val="007C7426"/>
    <w:rsid w:val="008126CD"/>
    <w:rsid w:val="008829F5"/>
    <w:rsid w:val="008A3C30"/>
    <w:rsid w:val="008C68A6"/>
    <w:rsid w:val="008D0792"/>
    <w:rsid w:val="008D1D4F"/>
    <w:rsid w:val="00907626"/>
    <w:rsid w:val="00911086"/>
    <w:rsid w:val="00916E04"/>
    <w:rsid w:val="0093628D"/>
    <w:rsid w:val="009444E9"/>
    <w:rsid w:val="0096618D"/>
    <w:rsid w:val="00A021BC"/>
    <w:rsid w:val="00A0440B"/>
    <w:rsid w:val="00A14A2A"/>
    <w:rsid w:val="00A20DE7"/>
    <w:rsid w:val="00A33BFD"/>
    <w:rsid w:val="00A40ED6"/>
    <w:rsid w:val="00A43976"/>
    <w:rsid w:val="00A64FC1"/>
    <w:rsid w:val="00A84D90"/>
    <w:rsid w:val="00A9196F"/>
    <w:rsid w:val="00AD3284"/>
    <w:rsid w:val="00B27F94"/>
    <w:rsid w:val="00B410F2"/>
    <w:rsid w:val="00B54887"/>
    <w:rsid w:val="00BB21CB"/>
    <w:rsid w:val="00BC2E22"/>
    <w:rsid w:val="00BE20A4"/>
    <w:rsid w:val="00BF2A1C"/>
    <w:rsid w:val="00C1219E"/>
    <w:rsid w:val="00C53E71"/>
    <w:rsid w:val="00C613B5"/>
    <w:rsid w:val="00CA0E8F"/>
    <w:rsid w:val="00CB04C1"/>
    <w:rsid w:val="00CC4136"/>
    <w:rsid w:val="00CC7BAE"/>
    <w:rsid w:val="00CE2351"/>
    <w:rsid w:val="00D40E0F"/>
    <w:rsid w:val="00D47065"/>
    <w:rsid w:val="00D47888"/>
    <w:rsid w:val="00D87FEB"/>
    <w:rsid w:val="00DA6E7F"/>
    <w:rsid w:val="00DB0C4C"/>
    <w:rsid w:val="00DB4E9C"/>
    <w:rsid w:val="00DB5AB3"/>
    <w:rsid w:val="00DD547A"/>
    <w:rsid w:val="00DD6102"/>
    <w:rsid w:val="00DE38E5"/>
    <w:rsid w:val="00DE5054"/>
    <w:rsid w:val="00E002E6"/>
    <w:rsid w:val="00E2073D"/>
    <w:rsid w:val="00E266FA"/>
    <w:rsid w:val="00E42363"/>
    <w:rsid w:val="00E65EBE"/>
    <w:rsid w:val="00E914ED"/>
    <w:rsid w:val="00E964B3"/>
    <w:rsid w:val="00EA453D"/>
    <w:rsid w:val="00EE7EA9"/>
    <w:rsid w:val="00F051CE"/>
    <w:rsid w:val="00F1788B"/>
    <w:rsid w:val="00F2748D"/>
    <w:rsid w:val="00F34F80"/>
    <w:rsid w:val="00F427B3"/>
    <w:rsid w:val="00F7498C"/>
    <w:rsid w:val="00FA54E4"/>
    <w:rsid w:val="00FC07C7"/>
    <w:rsid w:val="00FC2493"/>
    <w:rsid w:val="00FD67D9"/>
    <w:rsid w:val="00FF189C"/>
    <w:rsid w:val="00FF6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0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427B3"/>
    <w:pPr>
      <w:keepNext/>
      <w:keepLines/>
      <w:spacing w:after="240"/>
      <w:ind w:left="720" w:hanging="7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54887"/>
    <w:pPr>
      <w:keepNext/>
      <w:keepLines/>
      <w:spacing w:after="240"/>
      <w:ind w:left="1440" w:hanging="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78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7838EA"/>
    <w:rPr>
      <w:rFonts w:ascii="Courier New" w:eastAsia="Courier New" w:hAnsi="Courier New" w:cs="Courier New"/>
      <w:sz w:val="20"/>
      <w:szCs w:val="20"/>
    </w:rPr>
  </w:style>
  <w:style w:type="character" w:styleId="Hyperlink">
    <w:name w:val="Hyperlink"/>
    <w:uiPriority w:val="99"/>
    <w:unhideWhenUsed/>
    <w:rsid w:val="00662F58"/>
    <w:rPr>
      <w:color w:val="0000FF"/>
      <w:u w:val="single"/>
    </w:rPr>
  </w:style>
  <w:style w:type="paragraph" w:styleId="Footer">
    <w:name w:val="footer"/>
    <w:basedOn w:val="Normal"/>
    <w:link w:val="FooterChar"/>
    <w:uiPriority w:val="99"/>
    <w:unhideWhenUsed/>
    <w:rsid w:val="00662F58"/>
    <w:pPr>
      <w:tabs>
        <w:tab w:val="center" w:pos="4680"/>
        <w:tab w:val="right" w:pos="9360"/>
      </w:tabs>
    </w:pPr>
  </w:style>
  <w:style w:type="character" w:customStyle="1" w:styleId="FooterChar">
    <w:name w:val="Footer Char"/>
    <w:basedOn w:val="DefaultParagraphFont"/>
    <w:link w:val="Footer"/>
    <w:uiPriority w:val="99"/>
    <w:rsid w:val="00662F58"/>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662F58"/>
    <w:rPr>
      <w:color w:val="605E5C"/>
      <w:shd w:val="clear" w:color="auto" w:fill="E1DFDD"/>
    </w:rPr>
  </w:style>
  <w:style w:type="paragraph" w:styleId="ListParagraph">
    <w:name w:val="List Paragraph"/>
    <w:basedOn w:val="Normal"/>
    <w:uiPriority w:val="34"/>
    <w:qFormat/>
    <w:rsid w:val="00C53E71"/>
    <w:pPr>
      <w:ind w:left="720"/>
      <w:contextualSpacing/>
    </w:p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C53E71"/>
    <w:rPr>
      <w:sz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C53E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3E71"/>
    <w:rPr>
      <w:vertAlign w:val="superscript"/>
    </w:rPr>
  </w:style>
  <w:style w:type="paragraph" w:styleId="Header">
    <w:name w:val="header"/>
    <w:basedOn w:val="Normal"/>
    <w:link w:val="HeaderChar"/>
    <w:uiPriority w:val="99"/>
    <w:unhideWhenUsed/>
    <w:rsid w:val="00371D37"/>
    <w:pPr>
      <w:tabs>
        <w:tab w:val="center" w:pos="4680"/>
        <w:tab w:val="right" w:pos="9360"/>
      </w:tabs>
    </w:pPr>
  </w:style>
  <w:style w:type="character" w:customStyle="1" w:styleId="HeaderChar">
    <w:name w:val="Header Char"/>
    <w:basedOn w:val="DefaultParagraphFont"/>
    <w:link w:val="Header"/>
    <w:uiPriority w:val="99"/>
    <w:rsid w:val="00371D3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D67D9"/>
    <w:rPr>
      <w:sz w:val="16"/>
      <w:szCs w:val="16"/>
    </w:rPr>
  </w:style>
  <w:style w:type="paragraph" w:styleId="CommentText">
    <w:name w:val="annotation text"/>
    <w:basedOn w:val="Normal"/>
    <w:link w:val="CommentTextChar"/>
    <w:unhideWhenUsed/>
    <w:rsid w:val="00FD67D9"/>
    <w:rPr>
      <w:sz w:val="20"/>
    </w:rPr>
  </w:style>
  <w:style w:type="character" w:customStyle="1" w:styleId="CommentTextChar">
    <w:name w:val="Comment Text Char"/>
    <w:basedOn w:val="DefaultParagraphFont"/>
    <w:link w:val="CommentText"/>
    <w:rsid w:val="00FD67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D67D9"/>
    <w:rPr>
      <w:b/>
      <w:bCs/>
    </w:rPr>
  </w:style>
  <w:style w:type="character" w:customStyle="1" w:styleId="CommentSubjectChar">
    <w:name w:val="Comment Subject Char"/>
    <w:basedOn w:val="CommentTextChar"/>
    <w:link w:val="CommentSubject"/>
    <w:semiHidden/>
    <w:rsid w:val="00FD67D9"/>
    <w:rPr>
      <w:rFonts w:ascii="Times New Roman" w:eastAsia="Times New Roman" w:hAnsi="Times New Roman" w:cs="Times New Roman"/>
      <w:b/>
      <w:bCs/>
      <w:sz w:val="20"/>
      <w:szCs w:val="20"/>
    </w:rPr>
  </w:style>
  <w:style w:type="paragraph" w:styleId="Revision">
    <w:name w:val="Revision"/>
    <w:hidden/>
    <w:uiPriority w:val="99"/>
    <w:semiHidden/>
    <w:rsid w:val="00F34F80"/>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427B3"/>
    <w:rPr>
      <w:rFonts w:ascii="Times New Roman" w:hAnsi="Times New Roman" w:eastAsiaTheme="majorEastAsia" w:cstheme="majorBidi"/>
      <w:b/>
      <w:sz w:val="24"/>
      <w:szCs w:val="32"/>
    </w:rPr>
  </w:style>
  <w:style w:type="character" w:customStyle="1" w:styleId="Heading2Char">
    <w:name w:val="Heading 2 Char"/>
    <w:basedOn w:val="DefaultParagraphFont"/>
    <w:link w:val="Heading2"/>
    <w:uiPriority w:val="9"/>
    <w:rsid w:val="00B54887"/>
    <w:rPr>
      <w:rFonts w:ascii="Times New Roman" w:hAnsi="Times New Roman" w:eastAsiaTheme="majorEastAsia" w:cstheme="majorBidi"/>
      <w:b/>
      <w:sz w:val="24"/>
      <w:szCs w:val="26"/>
    </w:rPr>
  </w:style>
  <w:style w:type="paragraph" w:styleId="BodyTextIndent3">
    <w:name w:val="Body Text Indent 3"/>
    <w:basedOn w:val="Normal"/>
    <w:link w:val="BodyTextIndent3Char"/>
    <w:rsid w:val="00EA453D"/>
    <w:pPr>
      <w:spacing w:line="480" w:lineRule="atLeast"/>
      <w:ind w:firstLine="720"/>
    </w:pPr>
  </w:style>
  <w:style w:type="character" w:customStyle="1" w:styleId="BodyTextIndent3Char">
    <w:name w:val="Body Text Indent 3 Char"/>
    <w:basedOn w:val="DefaultParagraphFont"/>
    <w:link w:val="BodyTextIndent3"/>
    <w:rsid w:val="00EA453D"/>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B7670"/>
    <w:pPr>
      <w:spacing w:after="120"/>
    </w:pPr>
  </w:style>
  <w:style w:type="character" w:customStyle="1" w:styleId="BodyTextChar">
    <w:name w:val="Body Text Char"/>
    <w:basedOn w:val="DefaultParagraphFont"/>
    <w:link w:val="BodyText"/>
    <w:uiPriority w:val="99"/>
    <w:semiHidden/>
    <w:rsid w:val="002B76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40ED6"/>
    <w:rPr>
      <w:sz w:val="18"/>
      <w:szCs w:val="18"/>
    </w:rPr>
  </w:style>
  <w:style w:type="character" w:customStyle="1" w:styleId="BalloonTextChar">
    <w:name w:val="Balloon Text Char"/>
    <w:basedOn w:val="DefaultParagraphFont"/>
    <w:link w:val="BalloonText"/>
    <w:uiPriority w:val="99"/>
    <w:semiHidden/>
    <w:rsid w:val="00A40ED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sse.davis@puco.ohio.gov" TargetMode="External" /><Relationship Id="rId11" Type="http://schemas.openxmlformats.org/officeDocument/2006/relationships/hyperlink" Target="mailto:whitt@whitt-sturtevant.com" TargetMode="External" /><Relationship Id="rId12" Type="http://schemas.openxmlformats.org/officeDocument/2006/relationships/hyperlink" Target="mailto:fykes@whitt-sturtevant.com" TargetMode="Externa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ngela.obrien@occ.ohio.gov" TargetMode="External" /><Relationship Id="rId8" Type="http://schemas.openxmlformats.org/officeDocument/2006/relationships/hyperlink" Target="mailto:ambrosia.wilson@occ.ohio.gov" TargetMode="External" /><Relationship Id="rId9" Type="http://schemas.openxmlformats.org/officeDocument/2006/relationships/hyperlink" Target="mailto:john.jone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D76E-B041-4767-8204-F2B7D07D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2022-06-06T18:05:16Z</dcterms:created>
  <dcterms:modified xsi:type="dcterms:W3CDTF">2022-06-06T18:05:16Z</dcterms:modified>
</cp:coreProperties>
</file>