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93AC2" w:rsidP="00093AC2">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093AC2" w:rsidP="00093AC2">
      <w:pPr>
        <w:pStyle w:val="HTMLPreformatted"/>
        <w:jc w:val="center"/>
        <w:rPr>
          <w:rFonts w:ascii="Times New Roman" w:hAnsi="Times New Roman"/>
          <w:sz w:val="24"/>
        </w:rPr>
      </w:pPr>
      <w:r>
        <w:rPr>
          <w:rFonts w:ascii="Times New Roman" w:hAnsi="Times New Roman"/>
          <w:b/>
          <w:bCs/>
          <w:sz w:val="24"/>
        </w:rPr>
        <w:t>THE PUBLIC UTILITIES COMMISSION OF OHIO</w:t>
      </w:r>
    </w:p>
    <w:p w:rsidR="00093AC2" w:rsidP="00093AC2">
      <w:pPr>
        <w:pStyle w:val="HTMLPreformatted"/>
        <w:rPr>
          <w:rFonts w:ascii="Times New Roman" w:hAnsi="Times New Roman"/>
          <w:sz w:val="24"/>
        </w:rPr>
      </w:pPr>
    </w:p>
    <w:tbl>
      <w:tblPr>
        <w:tblW w:w="9728" w:type="dxa"/>
        <w:tblInd w:w="0" w:type="dxa"/>
        <w:tblCellMar>
          <w:top w:w="0" w:type="dxa"/>
          <w:left w:w="108" w:type="dxa"/>
          <w:bottom w:w="0" w:type="dxa"/>
          <w:right w:w="108" w:type="dxa"/>
        </w:tblCellMar>
        <w:tblLook w:val="01E0"/>
      </w:tblPr>
      <w:tblGrid>
        <w:gridCol w:w="4968"/>
        <w:gridCol w:w="360"/>
        <w:gridCol w:w="4400"/>
      </w:tblGrid>
      <w:tr w:rsidTr="00E14EBC">
        <w:tblPrEx>
          <w:tblW w:w="9728" w:type="dxa"/>
          <w:tblInd w:w="0" w:type="dxa"/>
          <w:tblCellMar>
            <w:top w:w="0" w:type="dxa"/>
            <w:left w:w="108" w:type="dxa"/>
            <w:bottom w:w="0" w:type="dxa"/>
            <w:right w:w="108" w:type="dxa"/>
          </w:tblCellMar>
          <w:tblLook w:val="01E0"/>
        </w:tblPrEx>
        <w:trPr>
          <w:trHeight w:val="807"/>
        </w:trPr>
        <w:tc>
          <w:tcPr>
            <w:tcW w:w="4968" w:type="dxa"/>
            <w:shd w:val="clear" w:color="auto" w:fill="auto"/>
          </w:tcPr>
          <w:p w:rsidR="00093AC2" w:rsidRPr="00376A99" w:rsidP="005D3FD9">
            <w:pPr>
              <w:autoSpaceDE w:val="0"/>
              <w:autoSpaceDN w:val="0"/>
              <w:adjustRightInd w:val="0"/>
              <w:rPr>
                <w:rStyle w:val="DefaultParagraphFont"/>
                <w:sz w:val="24"/>
                <w:szCs w:val="24"/>
                <w:lang w:val="en-US" w:eastAsia="en-US" w:bidi="ar-SA"/>
              </w:rPr>
            </w:pPr>
            <w:r>
              <w:rPr>
                <w:sz w:val="24"/>
                <w:szCs w:val="24"/>
                <w:lang w:val="en-US" w:eastAsia="en-US" w:bidi="ar-SA"/>
              </w:rPr>
              <w:t xml:space="preserve">In </w:t>
            </w:r>
            <w:r w:rsidR="0068098C">
              <w:rPr>
                <w:sz w:val="24"/>
                <w:szCs w:val="24"/>
                <w:lang w:val="en-US" w:eastAsia="en-US" w:bidi="ar-SA"/>
              </w:rPr>
              <w:t>the</w:t>
            </w:r>
            <w:r>
              <w:rPr>
                <w:sz w:val="24"/>
                <w:szCs w:val="24"/>
                <w:lang w:val="en-US" w:eastAsia="en-US" w:bidi="ar-SA"/>
              </w:rPr>
              <w:t xml:space="preserve"> Matter of the Demand Side Management Tariff Filing of the East Ohio Gas Co. d/b/a Dominion East Ohio.</w:t>
            </w:r>
          </w:p>
        </w:tc>
        <w:tc>
          <w:tcPr>
            <w:tcW w:w="360" w:type="dxa"/>
            <w:shd w:val="clear" w:color="auto" w:fill="auto"/>
          </w:tcPr>
          <w:p w:rsidR="00093AC2" w:rsidRPr="00376A99" w:rsidP="005D3FD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093AC2" w:rsidP="005D3FD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093AC2" w:rsidRPr="00376A99" w:rsidP="005D3FD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400" w:type="dxa"/>
            <w:shd w:val="clear" w:color="auto" w:fill="auto"/>
          </w:tcPr>
          <w:p w:rsidR="00093AC2" w:rsidRPr="00376A99" w:rsidP="005D3FD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093AC2" w:rsidRPr="00376A99" w:rsidP="005D3FD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 xml:space="preserve">Case No. </w:t>
            </w:r>
            <w:r w:rsidR="00D665EB">
              <w:rPr>
                <w:rFonts w:ascii="Times New Roman" w:eastAsia="Courier New" w:hAnsi="Times New Roman" w:cs="Courier New"/>
                <w:sz w:val="24"/>
                <w:szCs w:val="24"/>
                <w:lang w:val="en-US" w:eastAsia="en-US" w:bidi="ar-SA"/>
              </w:rPr>
              <w:t>18</w:t>
            </w:r>
            <w:r>
              <w:rPr>
                <w:rFonts w:ascii="Times New Roman" w:eastAsia="Courier New" w:hAnsi="Times New Roman" w:cs="Courier New"/>
                <w:sz w:val="24"/>
                <w:szCs w:val="24"/>
                <w:lang w:val="en-US" w:eastAsia="en-US" w:bidi="ar-SA"/>
              </w:rPr>
              <w:t>-</w:t>
            </w:r>
            <w:r w:rsidR="00BA6DC7">
              <w:rPr>
                <w:rFonts w:ascii="Times New Roman" w:eastAsia="Courier New" w:hAnsi="Times New Roman" w:cs="Courier New"/>
                <w:sz w:val="24"/>
                <w:szCs w:val="24"/>
                <w:lang w:val="en-US" w:eastAsia="en-US" w:bidi="ar-SA"/>
              </w:rPr>
              <w:t>1589</w:t>
            </w:r>
            <w:r w:rsidR="00AB7638">
              <w:rPr>
                <w:rFonts w:ascii="Times New Roman" w:eastAsia="Courier New" w:hAnsi="Times New Roman" w:cs="Courier New"/>
                <w:sz w:val="24"/>
                <w:szCs w:val="24"/>
                <w:lang w:val="en-US" w:eastAsia="en-US" w:bidi="ar-SA"/>
              </w:rPr>
              <w:t>-</w:t>
            </w:r>
            <w:r>
              <w:rPr>
                <w:rFonts w:ascii="Times New Roman" w:eastAsia="Courier New" w:hAnsi="Times New Roman" w:cs="Courier New"/>
                <w:sz w:val="24"/>
                <w:szCs w:val="24"/>
                <w:lang w:val="en-US" w:eastAsia="en-US" w:bidi="ar-SA"/>
              </w:rPr>
              <w:t>GA-RDR</w:t>
            </w:r>
          </w:p>
        </w:tc>
      </w:tr>
    </w:tbl>
    <w:p w:rsidR="00093AC2" w:rsidP="00093AC2">
      <w:pPr>
        <w:pStyle w:val="HTMLPreformatted"/>
        <w:rPr>
          <w:rFonts w:ascii="Times New Roman" w:hAnsi="Times New Roman"/>
          <w:sz w:val="24"/>
        </w:rPr>
      </w:pPr>
    </w:p>
    <w:p w:rsidR="00614CD5" w:rsidP="00614CD5">
      <w:pPr>
        <w:pStyle w:val="HTMLPreformatted"/>
        <w:pBdr>
          <w:top w:val="single" w:sz="12" w:space="1" w:color="auto"/>
        </w:pBdr>
        <w:rPr>
          <w:rFonts w:ascii="Times New Roman" w:hAnsi="Times New Roman"/>
          <w:sz w:val="24"/>
        </w:rPr>
      </w:pPr>
    </w:p>
    <w:p w:rsidR="00614CD5" w:rsidP="00614CD5">
      <w:pPr>
        <w:jc w:val="center"/>
        <w:rPr>
          <w:b/>
          <w:bCs/>
        </w:rPr>
      </w:pPr>
      <w:r>
        <w:rPr>
          <w:b/>
          <w:bCs/>
        </w:rPr>
        <w:t>COMMENTS FOR CONSUMER PROTECTION</w:t>
      </w:r>
    </w:p>
    <w:p w:rsidR="00EC7774" w:rsidP="00614CD5">
      <w:pPr>
        <w:jc w:val="center"/>
        <w:rPr>
          <w:b/>
          <w:bCs/>
        </w:rPr>
      </w:pPr>
      <w:r>
        <w:rPr>
          <w:b/>
          <w:bCs/>
        </w:rPr>
        <w:t>BY</w:t>
      </w:r>
    </w:p>
    <w:p w:rsidR="00EC7774" w:rsidP="00614CD5">
      <w:pPr>
        <w:jc w:val="center"/>
        <w:rPr>
          <w:b/>
          <w:bCs/>
        </w:rPr>
      </w:pPr>
      <w:r>
        <w:rPr>
          <w:b/>
          <w:bCs/>
        </w:rPr>
        <w:t>THE OFFICE OF THE OHIO CONSUMERS' COUNSEL</w:t>
      </w:r>
    </w:p>
    <w:p w:rsidR="00614CD5" w:rsidP="00614CD5">
      <w:pPr>
        <w:pBdr>
          <w:bottom w:val="single" w:sz="12" w:space="1" w:color="auto"/>
        </w:pBdr>
        <w:tabs>
          <w:tab w:val="left" w:pos="4320"/>
        </w:tabs>
      </w:pPr>
    </w:p>
    <w:p w:rsidR="00614CD5" w:rsidP="00614CD5">
      <w:pPr>
        <w:tabs>
          <w:tab w:val="left" w:pos="4320"/>
        </w:tabs>
      </w:pPr>
    </w:p>
    <w:p w:rsidR="00EF55D4" w:rsidP="00614CD5">
      <w:pPr>
        <w:pStyle w:val="BodyTextIndent3"/>
        <w:widowControl w:val="0"/>
        <w:spacing w:line="480" w:lineRule="auto"/>
        <w:ind w:right="-24"/>
      </w:pPr>
      <w:r>
        <w:t>Dominion East Ohio ("Dominion" or "Utility") charges its 1.1 million customers up to $9.5 million per year for natural gas energy efficiency programs: $5.5 million in base rates and $4.0 million through a demand side management ("DSM") rider.</w:t>
      </w:r>
      <w:r>
        <w:rPr>
          <w:rStyle w:val="FootnoteReference"/>
        </w:rPr>
        <w:footnoteReference w:id="2"/>
      </w:r>
      <w:r>
        <w:t xml:space="preserve"> Unlike electric energy efficiency, which can benefit non-participating customers by deferring power plant construction and costs, natural gas utility energy efficiency programs are subsidy programs that consumers fund without the same system-wide benefits of the electric programs.</w:t>
      </w:r>
      <w:r>
        <w:rPr>
          <w:rStyle w:val="FootnoteReference"/>
        </w:rPr>
        <w:footnoteReference w:id="3"/>
      </w:r>
      <w:r>
        <w:t xml:space="preserve"> While Dominion's efforts </w:t>
      </w:r>
      <w:r w:rsidR="004914F4">
        <w:t xml:space="preserve">towards </w:t>
      </w:r>
      <w:r w:rsidRPr="00C77F0E">
        <w:t xml:space="preserve">energy efficiency are appreciated, </w:t>
      </w:r>
      <w:r w:rsidR="00C77F0E">
        <w:t>the Office of the Ohio Consumers' Counsel ("OCC") supports</w:t>
      </w:r>
      <w:r w:rsidRPr="00C77F0E">
        <w:t xml:space="preserve"> </w:t>
      </w:r>
      <w:r w:rsidR="007E79CE">
        <w:t xml:space="preserve">the </w:t>
      </w:r>
      <w:r w:rsidRPr="00C77F0E">
        <w:t>recommendation</w:t>
      </w:r>
      <w:r w:rsidR="00C77F0E">
        <w:t xml:space="preserve"> made by Staff to deny </w:t>
      </w:r>
      <w:r w:rsidR="007E79CE">
        <w:t>Dominion’s request for automatic approval of energy efficiency charges to customers.</w:t>
      </w:r>
      <w:r>
        <w:rPr>
          <w:rStyle w:val="FootnoteReference"/>
        </w:rPr>
        <w:footnoteReference w:id="4"/>
      </w:r>
      <w:r w:rsidRPr="00C77F0E">
        <w:t xml:space="preserve"> </w:t>
      </w:r>
    </w:p>
    <w:p w:rsidR="00EC7774" w:rsidP="00614CD5">
      <w:pPr>
        <w:pStyle w:val="BodyTextIndent3"/>
        <w:widowControl w:val="0"/>
        <w:spacing w:line="480" w:lineRule="auto"/>
        <w:ind w:right="-24"/>
      </w:pPr>
      <w:r>
        <w:t xml:space="preserve">On </w:t>
      </w:r>
      <w:r w:rsidR="00BA6DC7">
        <w:t>November 19, 2018</w:t>
      </w:r>
      <w:r>
        <w:t xml:space="preserve">, </w:t>
      </w:r>
      <w:r w:rsidR="00AF445A">
        <w:t>Dominion</w:t>
      </w:r>
      <w:r>
        <w:t xml:space="preserve"> </w:t>
      </w:r>
      <w:r w:rsidR="00364BB0">
        <w:t>applied</w:t>
      </w:r>
      <w:r w:rsidR="00AF445A">
        <w:t xml:space="preserve"> </w:t>
      </w:r>
      <w:r w:rsidR="00364BB0">
        <w:t>for approval of</w:t>
      </w:r>
      <w:r w:rsidR="00AF445A">
        <w:t xml:space="preserve"> a </w:t>
      </w:r>
      <w:r w:rsidR="00364BB0">
        <w:t xml:space="preserve">$.0287 per Mcf </w:t>
      </w:r>
      <w:r w:rsidR="00364BB0">
        <w:t xml:space="preserve">customer </w:t>
      </w:r>
      <w:r>
        <w:t>charge.</w:t>
      </w:r>
      <w:r>
        <w:rPr>
          <w:rStyle w:val="FootnoteReference"/>
        </w:rPr>
        <w:footnoteReference w:id="5"/>
      </w:r>
      <w:r>
        <w:t xml:space="preserve"> </w:t>
      </w:r>
      <w:r w:rsidR="008656EA">
        <w:t xml:space="preserve">Dominion also </w:t>
      </w:r>
      <w:r w:rsidR="00364BB0">
        <w:t xml:space="preserve">requested </w:t>
      </w:r>
      <w:r w:rsidR="008656EA">
        <w:t>that future DSM Rider rate applications be deemed approved on the 46</w:t>
      </w:r>
      <w:r w:rsidR="00364BB0">
        <w:t xml:space="preserve">th </w:t>
      </w:r>
      <w:r w:rsidR="008656EA">
        <w:t xml:space="preserve">day after filing unless the </w:t>
      </w:r>
      <w:r w:rsidR="00350A7C">
        <w:t>Public Utilities Commission of Ohio (“PUCO”)</w:t>
      </w:r>
      <w:r w:rsidR="008656EA">
        <w:t xml:space="preserve"> rejects or modifies the </w:t>
      </w:r>
      <w:r w:rsidR="003B215A">
        <w:t>a</w:t>
      </w:r>
      <w:r w:rsidR="008656EA">
        <w:t>pplication or suspend</w:t>
      </w:r>
      <w:r w:rsidR="00364BB0">
        <w:t>s</w:t>
      </w:r>
      <w:r w:rsidR="008656EA">
        <w:t xml:space="preserve"> the </w:t>
      </w:r>
      <w:r w:rsidR="003B215A">
        <w:t xml:space="preserve">proposed </w:t>
      </w:r>
      <w:r w:rsidR="008656EA">
        <w:t>45-day waiting period.</w:t>
      </w:r>
      <w:r>
        <w:rPr>
          <w:rStyle w:val="FootnoteReference"/>
        </w:rPr>
        <w:footnoteReference w:id="6"/>
      </w:r>
    </w:p>
    <w:p w:rsidR="00EC7774" w:rsidP="007E79CE">
      <w:pPr>
        <w:spacing w:line="480" w:lineRule="auto"/>
        <w:ind w:firstLine="720"/>
      </w:pPr>
      <w:r>
        <w:t xml:space="preserve">The </w:t>
      </w:r>
      <w:r w:rsidR="00350A7C">
        <w:t>PUCO Staff</w:t>
      </w:r>
      <w:r>
        <w:t xml:space="preserve"> audited </w:t>
      </w:r>
      <w:r w:rsidR="004914F4">
        <w:t>Dominion’s</w:t>
      </w:r>
      <w:r>
        <w:t xml:space="preserve"> energy efficiency programs during the period October 1, 2017 through September 30, 2018.</w:t>
      </w:r>
      <w:r>
        <w:rPr>
          <w:rStyle w:val="FootnoteReference"/>
        </w:rPr>
        <w:footnoteReference w:id="7"/>
      </w:r>
      <w:r>
        <w:t xml:space="preserve"> </w:t>
      </w:r>
      <w:r w:rsidR="00C77F0E">
        <w:t>On December 31, 2018 Staff filed its comments in this case and responded t</w:t>
      </w:r>
      <w:r w:rsidR="00BA6DC7">
        <w:t xml:space="preserve">o </w:t>
      </w:r>
      <w:r w:rsidR="00364BB0">
        <w:t xml:space="preserve">Dominion’s </w:t>
      </w:r>
      <w:r w:rsidR="00BA6DC7">
        <w:t xml:space="preserve">request </w:t>
      </w:r>
      <w:r w:rsidR="008656EA">
        <w:t>for an auto-approval process on future DSM Rider rate applications.</w:t>
      </w:r>
      <w:r w:rsidR="00C77F0E">
        <w:t xml:space="preserve"> Staff </w:t>
      </w:r>
      <w:r w:rsidR="00DE237F">
        <w:t xml:space="preserve">found that </w:t>
      </w:r>
      <w:r w:rsidR="00C77F0E">
        <w:t xml:space="preserve">a 45-day review period </w:t>
      </w:r>
      <w:r w:rsidR="00DE237F">
        <w:t xml:space="preserve">is </w:t>
      </w:r>
      <w:r w:rsidR="00C77F0E">
        <w:t>insufficient to evaluate incurred charges, the collection of charges, prudency of charges</w:t>
      </w:r>
      <w:r w:rsidR="00364BB0">
        <w:t>,</w:t>
      </w:r>
      <w:r w:rsidR="00C77F0E">
        <w:t xml:space="preserve"> and compliance with the PUCO approved DSM program</w:t>
      </w:r>
      <w:r w:rsidR="00AA3D51">
        <w:t>s.</w:t>
      </w:r>
      <w:r>
        <w:rPr>
          <w:rStyle w:val="FootnoteReference"/>
        </w:rPr>
        <w:footnoteReference w:id="8"/>
      </w:r>
      <w:r w:rsidR="00C77F0E">
        <w:t xml:space="preserve"> </w:t>
      </w:r>
    </w:p>
    <w:p w:rsidR="00EC7774" w:rsidRPr="00C77F0E" w:rsidP="003B215A">
      <w:pPr>
        <w:pStyle w:val="BodyTextIndent3"/>
        <w:widowControl w:val="0"/>
        <w:spacing w:line="480" w:lineRule="auto"/>
        <w:ind w:right="-24"/>
      </w:pPr>
      <w:r>
        <w:t xml:space="preserve">OCC </w:t>
      </w:r>
      <w:r w:rsidR="00085A0B">
        <w:t xml:space="preserve">files these comments in support of the PUCO Staff's recommendation </w:t>
      </w:r>
      <w:r w:rsidR="00C77F0E">
        <w:t xml:space="preserve">to deny </w:t>
      </w:r>
      <w:r w:rsidR="00364BB0">
        <w:t xml:space="preserve">Dominion’s </w:t>
      </w:r>
      <w:r w:rsidR="00C77F0E">
        <w:t xml:space="preserve">request to automatically </w:t>
      </w:r>
      <w:r w:rsidR="00350A7C">
        <w:t>update consumer</w:t>
      </w:r>
      <w:r w:rsidR="00C77F0E">
        <w:t xml:space="preserve"> charges </w:t>
      </w:r>
      <w:r w:rsidR="00364BB0">
        <w:t>without adequate PUCO review and affirmative approval.</w:t>
      </w:r>
      <w:r w:rsidR="00C77F0E">
        <w:t xml:space="preserve"> </w:t>
      </w:r>
    </w:p>
    <w:p w:rsidR="00DE237F" w:rsidP="000A7344">
      <w:pPr>
        <w:pStyle w:val="BodyTextIndent3"/>
        <w:widowControl w:val="0"/>
        <w:spacing w:line="480" w:lineRule="auto"/>
        <w:ind w:right="-24"/>
      </w:pPr>
      <w:r>
        <w:t>In this case Dominion is requesting</w:t>
      </w:r>
      <w:r w:rsidR="00F173E2">
        <w:t xml:space="preserve"> that</w:t>
      </w:r>
      <w:r>
        <w:t xml:space="preserve"> the PUCO modify </w:t>
      </w:r>
      <w:r w:rsidR="00FD3B7D">
        <w:t xml:space="preserve">the process to adjust </w:t>
      </w:r>
      <w:r w:rsidR="00350A7C">
        <w:t>its</w:t>
      </w:r>
      <w:r w:rsidR="00FD3B7D">
        <w:t xml:space="preserve"> tariff rates. But the PUCO has ruled on this issue, stating</w:t>
      </w:r>
      <w:r w:rsidR="00F173E2">
        <w:t xml:space="preserve"> that R.C. 4905.22 vests with the Commission exclusive jurisdiction to determine that a public utility’s rates are just, reasonable, and not more than allowed by law or Commission order. And that it is well within the Commission’s jurisdiction and authority to determine the process that the </w:t>
      </w:r>
      <w:r w:rsidR="00F173E2">
        <w:t>utility must follow to adjust its tariff rates.</w:t>
      </w:r>
      <w:r w:rsidRPr="00FD3B7D" w:rsidR="00FD3B7D">
        <w:rPr>
          <w:rStyle w:val="FootnoteReference"/>
        </w:rPr>
        <w:t xml:space="preserve"> </w:t>
      </w:r>
      <w:r>
        <w:rPr>
          <w:rStyle w:val="FootnoteReference"/>
        </w:rPr>
        <w:footnoteReference w:id="9"/>
      </w:r>
      <w:r w:rsidR="00FD3B7D">
        <w:t xml:space="preserve"> </w:t>
      </w:r>
      <w:r w:rsidR="00F173E2">
        <w:t xml:space="preserve"> </w:t>
      </w:r>
      <w:r w:rsidR="00FD3B7D">
        <w:t>That process</w:t>
      </w:r>
      <w:r w:rsidR="0082768F">
        <w:t xml:space="preserve"> is</w:t>
      </w:r>
      <w:r w:rsidR="00FD3B7D">
        <w:t xml:space="preserve"> being implemented in this case. </w:t>
      </w:r>
      <w:r w:rsidR="00FA71ED">
        <w:t xml:space="preserve">Dominion </w:t>
      </w:r>
      <w:r w:rsidR="00C77F0E">
        <w:t>provided an application</w:t>
      </w:r>
      <w:r w:rsidR="00FA71ED">
        <w:t>,</w:t>
      </w:r>
      <w:r w:rsidR="00C77F0E">
        <w:t xml:space="preserve"> including </w:t>
      </w:r>
      <w:r w:rsidR="00B112D7">
        <w:t>Attachment 1</w:t>
      </w:r>
      <w:r w:rsidR="00FA71ED">
        <w:t>,</w:t>
      </w:r>
      <w:r w:rsidR="00B112D7">
        <w:t xml:space="preserve"> which </w:t>
      </w:r>
      <w:r w:rsidR="008265A1">
        <w:t xml:space="preserve">shows </w:t>
      </w:r>
      <w:r w:rsidR="00B112D7">
        <w:t xml:space="preserve">how </w:t>
      </w:r>
      <w:r w:rsidR="00FA71ED">
        <w:t xml:space="preserve">it </w:t>
      </w:r>
      <w:r w:rsidR="00B112D7">
        <w:t>arrived at the current charge</w:t>
      </w:r>
      <w:r w:rsidR="000A7344">
        <w:t xml:space="preserve"> of $0.0287 per Mcf</w:t>
      </w:r>
      <w:r w:rsidR="00B112D7">
        <w:t xml:space="preserve">. </w:t>
      </w:r>
      <w:r w:rsidR="00FA71ED">
        <w:t xml:space="preserve">Specifically, </w:t>
      </w:r>
      <w:r w:rsidR="00B31EC7">
        <w:t>Attachment 1 summarizes the amount approved by PUCO order and reconciles what Dominion under</w:t>
      </w:r>
      <w:r w:rsidR="004E73BD">
        <w:t xml:space="preserve"> </w:t>
      </w:r>
      <w:r w:rsidR="00B31EC7">
        <w:t>or over</w:t>
      </w:r>
      <w:r w:rsidR="00FA71ED">
        <w:t>-</w:t>
      </w:r>
      <w:r w:rsidR="00B31EC7">
        <w:t xml:space="preserve">recovered from </w:t>
      </w:r>
      <w:r w:rsidR="00FA71ED">
        <w:t>the applicable</w:t>
      </w:r>
      <w:r w:rsidR="00B31EC7">
        <w:t xml:space="preserve"> prior period. Dominion </w:t>
      </w:r>
      <w:r w:rsidR="000A7344">
        <w:t>properly calculated</w:t>
      </w:r>
      <w:r w:rsidR="00FA71ED">
        <w:t xml:space="preserve"> </w:t>
      </w:r>
      <w:r w:rsidR="000A7344">
        <w:t xml:space="preserve">that </w:t>
      </w:r>
      <w:r w:rsidR="00FA71ED">
        <w:t>it</w:t>
      </w:r>
      <w:r w:rsidR="00162398">
        <w:t>s charges resulted in</w:t>
      </w:r>
      <w:r w:rsidR="00FA71ED">
        <w:t xml:space="preserve"> </w:t>
      </w:r>
      <w:r w:rsidR="00162398">
        <w:t xml:space="preserve">an </w:t>
      </w:r>
      <w:r w:rsidR="00B31EC7">
        <w:t>over-collect</w:t>
      </w:r>
      <w:r w:rsidR="00162398">
        <w:t>ion of costs</w:t>
      </w:r>
      <w:r w:rsidR="00B31EC7">
        <w:t xml:space="preserve"> from customers in the amount of $141,499.56</w:t>
      </w:r>
      <w:r w:rsidR="00BB7D69">
        <w:t xml:space="preserve"> for the period October 1</w:t>
      </w:r>
      <w:r w:rsidR="00FA71ED">
        <w:t>,</w:t>
      </w:r>
      <w:r>
        <w:t xml:space="preserve"> </w:t>
      </w:r>
      <w:r w:rsidR="00BB7D69">
        <w:t>2017</w:t>
      </w:r>
      <w:r w:rsidR="00FA71ED">
        <w:t xml:space="preserve"> through </w:t>
      </w:r>
      <w:r w:rsidR="00BB7D69">
        <w:t>September 30, 2018</w:t>
      </w:r>
      <w:r w:rsidR="00162398">
        <w:t xml:space="preserve">.  Dominion </w:t>
      </w:r>
      <w:r>
        <w:t>then</w:t>
      </w:r>
      <w:r w:rsidR="00B31EC7">
        <w:t xml:space="preserve"> deducted this </w:t>
      </w:r>
      <w:r w:rsidR="00162398">
        <w:t xml:space="preserve">customer </w:t>
      </w:r>
      <w:r w:rsidR="000A7344">
        <w:t>over-collect</w:t>
      </w:r>
      <w:r w:rsidR="00162398">
        <w:t>ion</w:t>
      </w:r>
      <w:r w:rsidR="000A7344">
        <w:t xml:space="preserve"> </w:t>
      </w:r>
      <w:r w:rsidR="00B31EC7">
        <w:t xml:space="preserve">amount from the </w:t>
      </w:r>
      <w:r w:rsidR="00162398">
        <w:t>annual</w:t>
      </w:r>
      <w:r w:rsidR="00B31EC7">
        <w:t xml:space="preserve"> funding amount of $4 million</w:t>
      </w:r>
      <w:r w:rsidR="00BB7D69">
        <w:t xml:space="preserve"> to arrive at a collectable amount of $3,858,500.44</w:t>
      </w:r>
      <w:r w:rsidR="00162398">
        <w:t xml:space="preserve"> from customers</w:t>
      </w:r>
      <w:r w:rsidR="0068098C">
        <w:t>.</w:t>
      </w:r>
    </w:p>
    <w:p w:rsidR="00020EB6" w:rsidP="000A7344">
      <w:pPr>
        <w:pStyle w:val="BodyTextIndent3"/>
        <w:widowControl w:val="0"/>
        <w:spacing w:line="480" w:lineRule="auto"/>
        <w:ind w:right="-24"/>
      </w:pPr>
      <w:r>
        <w:t xml:space="preserve">This amount is then divided by </w:t>
      </w:r>
      <w:r w:rsidR="00E80B06">
        <w:t xml:space="preserve">the planned volumes (estimated customer </w:t>
      </w:r>
      <w:r w:rsidR="004E73BD">
        <w:t xml:space="preserve">gas </w:t>
      </w:r>
      <w:r w:rsidR="00E80B06">
        <w:t>usage)</w:t>
      </w:r>
      <w:r>
        <w:t xml:space="preserve"> for the coming year to arrive at </w:t>
      </w:r>
      <w:r w:rsidR="00CF69B9">
        <w:t xml:space="preserve">a </w:t>
      </w:r>
      <w:r>
        <w:t xml:space="preserve">charge </w:t>
      </w:r>
      <w:r w:rsidR="00E80B06">
        <w:t xml:space="preserve">of </w:t>
      </w:r>
      <w:r>
        <w:t>$0.0287 per Mcf</w:t>
      </w:r>
      <w:r w:rsidR="0082768F">
        <w:t xml:space="preserve">, </w:t>
      </w:r>
      <w:r w:rsidR="00E80B06">
        <w:t xml:space="preserve">effective for the </w:t>
      </w:r>
      <w:r w:rsidR="00CE6826">
        <w:t>12-month</w:t>
      </w:r>
      <w:r w:rsidR="00E80B06">
        <w:t xml:space="preserve"> period ending September 30, 2019</w:t>
      </w:r>
      <w:r>
        <w:t xml:space="preserve">. </w:t>
      </w:r>
      <w:r w:rsidR="00E93CDA">
        <w:t xml:space="preserve">The process </w:t>
      </w:r>
      <w:r w:rsidR="00162398">
        <w:t>used by</w:t>
      </w:r>
      <w:r w:rsidR="00E93CDA">
        <w:t xml:space="preserve"> Dominion</w:t>
      </w:r>
      <w:r w:rsidR="00162398">
        <w:t xml:space="preserve"> to</w:t>
      </w:r>
      <w:r w:rsidR="00E93CDA">
        <w:t xml:space="preserve"> adjust </w:t>
      </w:r>
      <w:r w:rsidR="00162398">
        <w:t xml:space="preserve">its </w:t>
      </w:r>
      <w:r w:rsidR="00E93CDA">
        <w:t>charges</w:t>
      </w:r>
      <w:r w:rsidR="00162398">
        <w:t xml:space="preserve"> to consumers</w:t>
      </w:r>
      <w:r w:rsidR="00E93CDA">
        <w:t xml:space="preserve">, as </w:t>
      </w:r>
      <w:r w:rsidR="00162398">
        <w:t>previously</w:t>
      </w:r>
      <w:r w:rsidR="00E93CDA">
        <w:t xml:space="preserve"> </w:t>
      </w:r>
      <w:r w:rsidR="00162398">
        <w:t>approved</w:t>
      </w:r>
      <w:r w:rsidR="00E93CDA">
        <w:t xml:space="preserve"> by the PUCO,</w:t>
      </w:r>
      <w:r>
        <w:rPr>
          <w:rStyle w:val="FootnoteReference"/>
        </w:rPr>
        <w:footnoteReference w:id="10"/>
      </w:r>
      <w:r w:rsidR="00E93CDA">
        <w:t xml:space="preserve"> and </w:t>
      </w:r>
      <w:r w:rsidR="00162398">
        <w:t xml:space="preserve">consistent with </w:t>
      </w:r>
      <w:r w:rsidR="00E93CDA">
        <w:t xml:space="preserve">Staff’s recommendation </w:t>
      </w:r>
      <w:r w:rsidR="00DF6134">
        <w:t xml:space="preserve">in this case </w:t>
      </w:r>
      <w:r w:rsidR="00162398">
        <w:t>seeking</w:t>
      </w:r>
      <w:r w:rsidR="00E93CDA">
        <w:t xml:space="preserve"> adequate time to review those charges also benefits consumers.  C</w:t>
      </w:r>
      <w:r w:rsidR="000A7344">
        <w:t xml:space="preserve">onsumers have a right to </w:t>
      </w:r>
      <w:r w:rsidR="00E93CDA">
        <w:t xml:space="preserve">receive information (how charges for energy efficiency are derived) about their service (energy efficiency programs) so they know </w:t>
      </w:r>
      <w:r w:rsidR="000A7344">
        <w:t>what they are paying</w:t>
      </w:r>
      <w:r w:rsidR="00E93CDA">
        <w:t xml:space="preserve"> for</w:t>
      </w:r>
      <w:r w:rsidR="0082768F">
        <w:t xml:space="preserve"> and have confidence in a review process as determined by the PUCO</w:t>
      </w:r>
      <w:r w:rsidR="00E93CDA">
        <w:t xml:space="preserve">. </w:t>
      </w:r>
    </w:p>
    <w:p w:rsidR="00FD0F52" w:rsidP="00614CD5">
      <w:pPr>
        <w:spacing w:line="480" w:lineRule="auto"/>
        <w:ind w:firstLine="720"/>
        <w:rPr>
          <w:szCs w:val="24"/>
        </w:rPr>
      </w:pPr>
      <w:r>
        <w:rPr>
          <w:szCs w:val="24"/>
        </w:rPr>
        <w:t xml:space="preserve">The Consumers' Counsel supports opportunities for Ohio consumers to reduce their natural gas usage and lower their monthly natural gas bills—including opportunities in the competitive market for energy efficiency programs without gas customer funding.  Where there are utility-sponsored natural gas energy efficiency programs, </w:t>
      </w:r>
      <w:r w:rsidR="00CF69B9">
        <w:rPr>
          <w:szCs w:val="24"/>
        </w:rPr>
        <w:t xml:space="preserve">this rider represents costs added to the utility bill in addition to the basic charge of providing safe, reliable gas service. </w:t>
      </w:r>
    </w:p>
    <w:p w:rsidR="00614CD5" w:rsidP="00614CD5">
      <w:pPr>
        <w:spacing w:line="480" w:lineRule="auto"/>
        <w:ind w:firstLine="720"/>
        <w:rPr>
          <w:szCs w:val="24"/>
        </w:rPr>
      </w:pPr>
      <w:r>
        <w:rPr>
          <w:szCs w:val="24"/>
        </w:rPr>
        <w:t>A</w:t>
      </w:r>
      <w:r w:rsidR="00EB46DF">
        <w:rPr>
          <w:szCs w:val="24"/>
        </w:rPr>
        <w:t xml:space="preserve"> thorough </w:t>
      </w:r>
      <w:r w:rsidR="00CF69B9">
        <w:rPr>
          <w:szCs w:val="24"/>
        </w:rPr>
        <w:t xml:space="preserve">review of Dominion’s energy efficiency rider requires sufficient time for Staff and </w:t>
      </w:r>
      <w:r w:rsidR="00EB46DF">
        <w:rPr>
          <w:szCs w:val="24"/>
        </w:rPr>
        <w:t xml:space="preserve">other interested parties </w:t>
      </w:r>
      <w:r w:rsidR="00CF69B9">
        <w:rPr>
          <w:szCs w:val="24"/>
        </w:rPr>
        <w:t xml:space="preserve">to </w:t>
      </w:r>
      <w:r w:rsidR="00EB46DF">
        <w:rPr>
          <w:szCs w:val="24"/>
        </w:rPr>
        <w:t xml:space="preserve">decide whether </w:t>
      </w:r>
      <w:r w:rsidR="00CF69B9">
        <w:rPr>
          <w:szCs w:val="24"/>
        </w:rPr>
        <w:t xml:space="preserve">customers are paying a </w:t>
      </w:r>
      <w:r>
        <w:rPr>
          <w:szCs w:val="24"/>
        </w:rPr>
        <w:t xml:space="preserve">just, </w:t>
      </w:r>
      <w:r w:rsidR="00CF69B9">
        <w:rPr>
          <w:szCs w:val="24"/>
        </w:rPr>
        <w:t>reasonable</w:t>
      </w:r>
      <w:r>
        <w:rPr>
          <w:szCs w:val="24"/>
        </w:rPr>
        <w:t>,</w:t>
      </w:r>
      <w:r w:rsidR="00CF69B9">
        <w:rPr>
          <w:szCs w:val="24"/>
        </w:rPr>
        <w:t xml:space="preserve"> and accurate price for utility-sponsored</w:t>
      </w:r>
      <w:r w:rsidR="00350A7C">
        <w:rPr>
          <w:szCs w:val="24"/>
        </w:rPr>
        <w:t xml:space="preserve"> </w:t>
      </w:r>
      <w:r w:rsidR="00CF69B9">
        <w:rPr>
          <w:szCs w:val="24"/>
        </w:rPr>
        <w:t xml:space="preserve">programs. </w:t>
      </w:r>
      <w:r>
        <w:rPr>
          <w:szCs w:val="24"/>
        </w:rPr>
        <w:t xml:space="preserve"> Therefore, the</w:t>
      </w:r>
      <w:r w:rsidR="00085A0B">
        <w:rPr>
          <w:szCs w:val="24"/>
        </w:rPr>
        <w:t xml:space="preserve"> PUCO should adopt Staff's recommendation, which we also make, </w:t>
      </w:r>
      <w:r w:rsidR="00CF69B9">
        <w:rPr>
          <w:szCs w:val="24"/>
        </w:rPr>
        <w:t xml:space="preserve">to deny </w:t>
      </w:r>
      <w:r w:rsidR="00CF69B9">
        <w:t>Dominion’s request for automatic approval of energy efficiency charges to customers</w:t>
      </w:r>
      <w:r w:rsidR="00FE76D0">
        <w:t>. The PUCO</w:t>
      </w:r>
      <w:r w:rsidR="000C2FA2">
        <w:t xml:space="preserve"> should continue to thoroughly review all annual applications for changes in charges</w:t>
      </w:r>
      <w:r w:rsidR="00FE76D0">
        <w:t xml:space="preserve"> to </w:t>
      </w:r>
      <w:r w:rsidR="00004D49">
        <w:t>consumers and</w:t>
      </w:r>
      <w:r w:rsidR="00FE76D0">
        <w:t xml:space="preserve"> should affirmatively rule on whether the Utility’s proposed charges are just and reasonable</w:t>
      </w:r>
      <w:r>
        <w:t>.</w:t>
      </w:r>
    </w:p>
    <w:p w:rsidR="006211C8">
      <w:pPr>
        <w:rPr>
          <w:szCs w:val="24"/>
        </w:rPr>
      </w:pPr>
    </w:p>
    <w:p w:rsidR="00FD0F52">
      <w:pPr>
        <w:rPr>
          <w:szCs w:val="24"/>
        </w:rPr>
      </w:pPr>
    </w:p>
    <w:p w:rsidR="00FD0F52">
      <w:pPr>
        <w:rPr>
          <w:szCs w:val="24"/>
        </w:rPr>
      </w:pPr>
    </w:p>
    <w:p w:rsidR="00614CD5" w:rsidRPr="00B86AAD" w:rsidP="00614CD5">
      <w:pPr>
        <w:spacing w:line="480" w:lineRule="auto"/>
        <w:ind w:firstLine="4320"/>
        <w:rPr>
          <w:szCs w:val="24"/>
        </w:rPr>
      </w:pPr>
      <w:r w:rsidRPr="00F257DB">
        <w:rPr>
          <w:szCs w:val="24"/>
        </w:rPr>
        <w:t>Respectfully submitted,</w:t>
      </w:r>
    </w:p>
    <w:p w:rsidR="00856E1B" w:rsidRPr="00F257DB" w:rsidP="00856E1B">
      <w:pPr>
        <w:ind w:left="4320"/>
        <w:rPr>
          <w:szCs w:val="24"/>
        </w:rPr>
      </w:pPr>
      <w:r>
        <w:rPr>
          <w:szCs w:val="24"/>
        </w:rPr>
        <w:t>Bruce Weston</w:t>
      </w:r>
      <w:r w:rsidRPr="00F257DB" w:rsidR="00085A0B">
        <w:rPr>
          <w:szCs w:val="24"/>
        </w:rPr>
        <w:t xml:space="preserve"> (0016973)</w:t>
      </w:r>
    </w:p>
    <w:p w:rsidR="00856E1B" w:rsidRPr="00F257DB" w:rsidP="00856E1B">
      <w:pPr>
        <w:tabs>
          <w:tab w:val="left" w:pos="4320"/>
        </w:tabs>
        <w:ind w:left="4320"/>
        <w:rPr>
          <w:szCs w:val="24"/>
        </w:rPr>
      </w:pPr>
      <w:r>
        <w:rPr>
          <w:szCs w:val="24"/>
        </w:rPr>
        <w:t>Ohio Consumers’ Counsel</w:t>
      </w:r>
    </w:p>
    <w:p w:rsidR="00856E1B" w:rsidRPr="00F257DB" w:rsidP="00856E1B">
      <w:pPr>
        <w:tabs>
          <w:tab w:val="left" w:pos="4320"/>
        </w:tabs>
        <w:ind w:left="4320"/>
        <w:rPr>
          <w:szCs w:val="24"/>
        </w:rPr>
      </w:pPr>
    </w:p>
    <w:p w:rsidR="00B636E0" w:rsidRPr="00F257DB" w:rsidP="00B636E0">
      <w:pPr>
        <w:autoSpaceDE w:val="0"/>
        <w:autoSpaceDN w:val="0"/>
        <w:adjustRightInd w:val="0"/>
        <w:ind w:left="4320"/>
        <w:rPr>
          <w:i/>
          <w:szCs w:val="24"/>
        </w:rPr>
      </w:pPr>
      <w:r w:rsidRPr="00F257DB">
        <w:rPr>
          <w:i/>
          <w:szCs w:val="24"/>
          <w:u w:val="single"/>
        </w:rPr>
        <w:t xml:space="preserve">/s/ </w:t>
      </w:r>
      <w:r w:rsidR="00FE76D0">
        <w:rPr>
          <w:i/>
          <w:szCs w:val="24"/>
          <w:u w:val="single"/>
        </w:rPr>
        <w:t>Ambrosia Logsdon</w:t>
      </w:r>
      <w:r w:rsidRPr="00F257DB">
        <w:rPr>
          <w:i/>
          <w:szCs w:val="24"/>
          <w:u w:val="single"/>
        </w:rPr>
        <w:tab/>
      </w:r>
      <w:r w:rsidRPr="00F257DB">
        <w:rPr>
          <w:i/>
          <w:szCs w:val="24"/>
          <w:u w:val="single"/>
        </w:rPr>
        <w:tab/>
      </w:r>
    </w:p>
    <w:p w:rsidR="00B636E0" w:rsidP="00B636E0">
      <w:pPr>
        <w:tabs>
          <w:tab w:val="left" w:pos="4320"/>
        </w:tabs>
        <w:ind w:left="4320"/>
        <w:rPr>
          <w:szCs w:val="24"/>
        </w:rPr>
      </w:pPr>
      <w:r>
        <w:rPr>
          <w:szCs w:val="24"/>
        </w:rPr>
        <w:t>Christopher Healey (0086027)</w:t>
      </w:r>
    </w:p>
    <w:p w:rsidR="00B636E0" w:rsidP="00B636E0">
      <w:pPr>
        <w:tabs>
          <w:tab w:val="left" w:pos="4320"/>
        </w:tabs>
        <w:ind w:left="4320"/>
        <w:rPr>
          <w:szCs w:val="24"/>
        </w:rPr>
      </w:pPr>
      <w:r>
        <w:rPr>
          <w:szCs w:val="24"/>
        </w:rPr>
        <w:t>Counsel of Record</w:t>
      </w:r>
    </w:p>
    <w:p w:rsidR="00FD0F52" w:rsidP="00B636E0">
      <w:pPr>
        <w:tabs>
          <w:tab w:val="left" w:pos="4320"/>
        </w:tabs>
        <w:ind w:left="4320"/>
        <w:rPr>
          <w:szCs w:val="24"/>
        </w:rPr>
      </w:pPr>
      <w:r>
        <w:rPr>
          <w:szCs w:val="24"/>
        </w:rPr>
        <w:t>Ambrosia E. Logsdon (0096598)</w:t>
      </w:r>
    </w:p>
    <w:p w:rsidR="00EC7EAE" w:rsidP="00B636E0">
      <w:pPr>
        <w:tabs>
          <w:tab w:val="left" w:pos="4320"/>
        </w:tabs>
        <w:ind w:left="4320"/>
        <w:rPr>
          <w:szCs w:val="24"/>
        </w:rPr>
      </w:pPr>
      <w:r>
        <w:rPr>
          <w:szCs w:val="24"/>
        </w:rPr>
        <w:t>Assistant Consumers’ Counsel</w:t>
      </w:r>
    </w:p>
    <w:p w:rsidR="00E14EBC" w:rsidP="00B636E0">
      <w:pPr>
        <w:tabs>
          <w:tab w:val="left" w:pos="4320"/>
        </w:tabs>
        <w:ind w:left="4320"/>
        <w:rPr>
          <w:b/>
          <w:szCs w:val="24"/>
        </w:rPr>
      </w:pPr>
    </w:p>
    <w:p w:rsidR="00B636E0" w:rsidRPr="002C2315" w:rsidP="00B636E0">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B636E0" w:rsidP="00B636E0">
      <w:pPr>
        <w:tabs>
          <w:tab w:val="left" w:pos="4320"/>
        </w:tabs>
        <w:ind w:left="4320"/>
        <w:rPr>
          <w:szCs w:val="24"/>
        </w:rPr>
      </w:pPr>
      <w:r>
        <w:rPr>
          <w:szCs w:val="24"/>
        </w:rPr>
        <w:t>65 E. State Street, 7</w:t>
      </w:r>
      <w:r w:rsidRPr="00240C2A">
        <w:rPr>
          <w:szCs w:val="24"/>
          <w:vertAlign w:val="superscript"/>
        </w:rPr>
        <w:t>th</w:t>
      </w:r>
      <w:r>
        <w:rPr>
          <w:szCs w:val="24"/>
        </w:rPr>
        <w:t xml:space="preserve"> Floor</w:t>
      </w:r>
    </w:p>
    <w:p w:rsidR="00B636E0" w:rsidP="00B636E0">
      <w:pPr>
        <w:tabs>
          <w:tab w:val="left" w:pos="4320"/>
        </w:tabs>
        <w:ind w:left="4320"/>
        <w:rPr>
          <w:szCs w:val="24"/>
        </w:rPr>
      </w:pPr>
      <w:r w:rsidRPr="00F257DB">
        <w:rPr>
          <w:szCs w:val="24"/>
        </w:rPr>
        <w:t xml:space="preserve">Columbus, Ohio </w:t>
      </w:r>
      <w:r w:rsidR="00240C2A">
        <w:rPr>
          <w:szCs w:val="24"/>
        </w:rPr>
        <w:t>43215-4213</w:t>
      </w:r>
    </w:p>
    <w:p w:rsidR="00B636E0" w:rsidP="00B636E0">
      <w:pPr>
        <w:tabs>
          <w:tab w:val="left" w:pos="4320"/>
        </w:tabs>
        <w:ind w:left="4320"/>
        <w:rPr>
          <w:szCs w:val="24"/>
        </w:rPr>
      </w:pPr>
      <w:r>
        <w:rPr>
          <w:szCs w:val="24"/>
        </w:rPr>
        <w:t>Telephone</w:t>
      </w:r>
      <w:r w:rsidR="00FD0F52">
        <w:rPr>
          <w:szCs w:val="24"/>
        </w:rPr>
        <w:t>[Healey]</w:t>
      </w:r>
      <w:r>
        <w:rPr>
          <w:szCs w:val="24"/>
        </w:rPr>
        <w:t xml:space="preserve">: </w:t>
      </w:r>
      <w:r w:rsidRPr="00F257DB">
        <w:rPr>
          <w:szCs w:val="24"/>
        </w:rPr>
        <w:t>614</w:t>
      </w:r>
      <w:r>
        <w:rPr>
          <w:szCs w:val="24"/>
        </w:rPr>
        <w:t>-466-9571</w:t>
      </w:r>
    </w:p>
    <w:p w:rsidR="00FD0F52" w:rsidP="00B636E0">
      <w:pPr>
        <w:tabs>
          <w:tab w:val="left" w:pos="4320"/>
        </w:tabs>
        <w:ind w:left="4320"/>
        <w:rPr>
          <w:szCs w:val="24"/>
        </w:rPr>
      </w:pPr>
      <w:r>
        <w:rPr>
          <w:szCs w:val="24"/>
        </w:rPr>
        <w:t>Telephone [Logsdon]: 614-466-1292</w:t>
      </w:r>
    </w:p>
    <w:p w:rsidR="00EC7EAE" w:rsidRPr="00FB37DA" w:rsidP="00B636E0">
      <w:pPr>
        <w:ind w:left="4320"/>
        <w:rPr>
          <w:rStyle w:val="Hyperlink"/>
          <w:color w:val="auto"/>
          <w:szCs w:val="24"/>
          <w:u w:val="none"/>
        </w:rPr>
      </w:pPr>
      <w:r w:rsidRPr="00FB37DA" w:rsidR="00085A0B">
        <w:rPr>
          <w:rStyle w:val="DefaultParagraphFont"/>
          <w:color w:val="auto"/>
          <w:szCs w:val="24"/>
          <w:u w:val="none"/>
        </w:rPr>
        <w:t>christopher.healey@occ.ohio.gov</w:t>
      </w:r>
    </w:p>
    <w:p w:rsidR="00FD0F52" w:rsidRPr="00FB37DA" w:rsidP="00B636E0">
      <w:pPr>
        <w:ind w:left="4320"/>
        <w:rPr>
          <w:szCs w:val="24"/>
        </w:rPr>
      </w:pPr>
      <w:r w:rsidRPr="00FB37DA" w:rsidR="00CE6826">
        <w:rPr>
          <w:rStyle w:val="DefaultParagraphFont"/>
          <w:color w:val="auto"/>
          <w:szCs w:val="24"/>
          <w:u w:val="none"/>
        </w:rPr>
        <w:t>ambrosia.logsdon@occ.ohio.gov</w:t>
      </w:r>
    </w:p>
    <w:p w:rsidR="00614CD5" w:rsidP="00B636E0">
      <w:pPr>
        <w:ind w:left="4320"/>
        <w:rPr>
          <w:szCs w:val="24"/>
        </w:rPr>
        <w:sectPr w:rsidSect="00EC7EAE">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pPr>
      <w:r w:rsidRPr="00F257DB">
        <w:rPr>
          <w:szCs w:val="24"/>
        </w:rPr>
        <w:t>(</w:t>
      </w:r>
      <w:r w:rsidR="00240C2A">
        <w:rPr>
          <w:szCs w:val="24"/>
        </w:rPr>
        <w:t>w</w:t>
      </w:r>
      <w:r>
        <w:rPr>
          <w:szCs w:val="24"/>
        </w:rPr>
        <w:t>ill</w:t>
      </w:r>
      <w:r w:rsidRPr="00F257DB">
        <w:rPr>
          <w:szCs w:val="24"/>
        </w:rPr>
        <w:t xml:space="preserve"> accept service via email)</w:t>
      </w:r>
    </w:p>
    <w:p w:rsidR="00614CD5" w:rsidP="00614CD5">
      <w:pPr>
        <w:jc w:val="center"/>
        <w:rPr>
          <w:b/>
          <w:bCs/>
          <w:u w:val="single"/>
        </w:rPr>
      </w:pPr>
      <w:r>
        <w:rPr>
          <w:b/>
          <w:bCs/>
          <w:u w:val="single"/>
        </w:rPr>
        <w:t>CERTIFICATE OF SERVICE</w:t>
      </w:r>
    </w:p>
    <w:p w:rsidR="00EC7EAE" w:rsidP="00EC7EAE">
      <w:pPr>
        <w:jc w:val="center"/>
        <w:rPr>
          <w:b/>
          <w:bCs/>
          <w:u w:val="single"/>
        </w:rPr>
      </w:pPr>
    </w:p>
    <w:p w:rsidR="00614CD5" w:rsidRPr="001E4C2F" w:rsidP="00614CD5">
      <w:pPr>
        <w:spacing w:line="480" w:lineRule="atLeast"/>
        <w:ind w:firstLine="720"/>
      </w:pPr>
      <w:r w:rsidRPr="001E4C2F">
        <w:t xml:space="preserve">I hereby certify that a copy of </w:t>
      </w:r>
      <w:r>
        <w:t>these Comments</w:t>
      </w:r>
      <w:r w:rsidRPr="001E4C2F">
        <w:t xml:space="preserve"> was served on the persons stated below via electronic transmission, this </w:t>
      </w:r>
      <w:r w:rsidR="008A3434">
        <w:t>18th</w:t>
      </w:r>
      <w:r w:rsidR="00FB37DA">
        <w:t xml:space="preserve"> </w:t>
      </w:r>
      <w:r w:rsidRPr="001E4C2F">
        <w:t xml:space="preserve">day of </w:t>
      </w:r>
      <w:r w:rsidR="00FD0F52">
        <w:t>January</w:t>
      </w:r>
      <w:r w:rsidRPr="001E4C2F" w:rsidR="00FD0F52">
        <w:t xml:space="preserve"> </w:t>
      </w:r>
      <w:r w:rsidRPr="001E4C2F">
        <w:t>201</w:t>
      </w:r>
      <w:r w:rsidR="00FD0F52">
        <w:t>8</w:t>
      </w:r>
      <w:r w:rsidRPr="001E4C2F">
        <w:t>.</w:t>
      </w:r>
    </w:p>
    <w:p w:rsidR="00614CD5">
      <w:pPr>
        <w:spacing w:line="480" w:lineRule="atLeast"/>
      </w:pPr>
    </w:p>
    <w:p w:rsidR="00614CD5">
      <w:pPr>
        <w:tabs>
          <w:tab w:val="left" w:pos="4320"/>
        </w:tabs>
      </w:pPr>
      <w:r>
        <w:tab/>
      </w:r>
      <w:r>
        <w:rPr>
          <w:i/>
          <w:u w:val="single"/>
        </w:rPr>
        <w:t xml:space="preserve">/s/ </w:t>
      </w:r>
      <w:r w:rsidR="00FE76D0">
        <w:rPr>
          <w:i/>
          <w:u w:val="single"/>
        </w:rPr>
        <w:t>Ambrosia Logsdon</w:t>
      </w:r>
      <w:r>
        <w:rPr>
          <w:i/>
          <w:u w:val="single"/>
        </w:rPr>
        <w:tab/>
      </w:r>
    </w:p>
    <w:p w:rsidR="00614CD5">
      <w:pPr>
        <w:tabs>
          <w:tab w:val="left" w:pos="4320"/>
        </w:tabs>
      </w:pPr>
      <w:r>
        <w:tab/>
      </w:r>
      <w:r w:rsidR="00FE76D0">
        <w:t>Ambrosia Logsdon</w:t>
      </w:r>
    </w:p>
    <w:p w:rsidR="00614CD5">
      <w:pPr>
        <w:tabs>
          <w:tab w:val="left" w:pos="4320"/>
        </w:tabs>
      </w:pPr>
      <w:r>
        <w:tab/>
        <w:t>Assistant Consumers' Counsel</w:t>
      </w:r>
    </w:p>
    <w:p w:rsidR="00614CD5">
      <w:pPr>
        <w:pStyle w:val="CommentSubject"/>
      </w:pPr>
    </w:p>
    <w:p w:rsidR="00614CD5" w:rsidP="00614CD5">
      <w:pPr>
        <w:pStyle w:val="CommentText"/>
        <w:jc w:val="center"/>
        <w:rPr>
          <w:b/>
          <w:u w:val="single"/>
        </w:rPr>
      </w:pPr>
    </w:p>
    <w:p w:rsidR="00614CD5" w:rsidP="00614CD5">
      <w:pPr>
        <w:pStyle w:val="CommentText"/>
        <w:jc w:val="center"/>
        <w:rPr>
          <w:b/>
          <w:u w:val="single"/>
        </w:rPr>
      </w:pPr>
      <w:r w:rsidRPr="00FB7D74">
        <w:rPr>
          <w:b/>
          <w:u w:val="single"/>
        </w:rPr>
        <w:t>SERVICE LIST</w:t>
      </w:r>
    </w:p>
    <w:p w:rsidR="00F82766" w:rsidP="00614CD5">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384"/>
        <w:gridCol w:w="4256"/>
      </w:tblGrid>
      <w:tr w:rsidTr="0051631B">
        <w:tblPrEx>
          <w:tblW w:w="0" w:type="auto"/>
          <w:tblInd w:w="0" w:type="dxa"/>
          <w:tblCellMar>
            <w:top w:w="0" w:type="dxa"/>
            <w:left w:w="108" w:type="dxa"/>
            <w:bottom w:w="0" w:type="dxa"/>
            <w:right w:w="108" w:type="dxa"/>
          </w:tblCellMar>
          <w:tblLook w:val="04A0"/>
        </w:tblPrEx>
        <w:tc>
          <w:tcPr>
            <w:tcW w:w="4428" w:type="dxa"/>
            <w:shd w:val="clear" w:color="auto" w:fill="auto"/>
          </w:tcPr>
          <w:p w:rsidR="00036D6A" w:rsidRPr="00036D6A" w:rsidP="0051631B">
            <w:pPr>
              <w:pStyle w:val="CommentText"/>
              <w:rPr>
                <w:rStyle w:val="DefaultParagraphFont"/>
                <w:sz w:val="24"/>
                <w:szCs w:val="24"/>
                <w:lang w:val="en-US" w:eastAsia="en-US" w:bidi="ar-SA"/>
              </w:rPr>
            </w:pPr>
            <w:r w:rsidRPr="00036D6A">
              <w:rPr>
                <w:rStyle w:val="DefaultParagraphFont"/>
                <w:color w:val="auto"/>
                <w:sz w:val="24"/>
                <w:szCs w:val="24"/>
                <w:u w:val="none"/>
                <w:lang w:val="en-US" w:eastAsia="en-US" w:bidi="ar-SA"/>
              </w:rPr>
              <w:t>john.jones@ohioattorneygeneral.gov</w:t>
            </w:r>
          </w:p>
          <w:p w:rsidR="00036D6A" w:rsidRPr="00036D6A" w:rsidP="0051631B">
            <w:pPr>
              <w:pStyle w:val="CommentText"/>
              <w:rPr>
                <w:rStyle w:val="DefaultParagraphFont"/>
                <w:sz w:val="24"/>
                <w:szCs w:val="24"/>
                <w:lang w:val="en-US" w:eastAsia="en-US" w:bidi="ar-SA"/>
              </w:rPr>
            </w:pPr>
          </w:p>
          <w:p w:rsidR="00036D6A" w:rsidRPr="00036D6A" w:rsidP="0051631B">
            <w:pPr>
              <w:pStyle w:val="CommentText"/>
              <w:rPr>
                <w:rStyle w:val="DefaultParagraphFont"/>
                <w:sz w:val="24"/>
                <w:szCs w:val="24"/>
                <w:lang w:val="en-US" w:eastAsia="en-US" w:bidi="ar-SA"/>
              </w:rPr>
            </w:pPr>
            <w:r w:rsidRPr="00036D6A">
              <w:rPr>
                <w:sz w:val="24"/>
                <w:szCs w:val="24"/>
                <w:lang w:val="en-US" w:eastAsia="en-US" w:bidi="ar-SA"/>
              </w:rPr>
              <w:t>Attorney Examiner:</w:t>
            </w:r>
          </w:p>
          <w:p w:rsidR="00036D6A" w:rsidRPr="00036D6A" w:rsidP="0051631B">
            <w:pPr>
              <w:pStyle w:val="CommentText"/>
              <w:rPr>
                <w:rStyle w:val="DefaultParagraphFont"/>
                <w:sz w:val="24"/>
                <w:szCs w:val="24"/>
                <w:lang w:val="en-US" w:eastAsia="en-US" w:bidi="ar-SA"/>
              </w:rPr>
            </w:pPr>
            <w:r w:rsidRPr="00036D6A">
              <w:rPr>
                <w:rStyle w:val="DefaultParagraphFont"/>
                <w:color w:val="auto"/>
                <w:sz w:val="24"/>
                <w:szCs w:val="24"/>
                <w:u w:val="none"/>
                <w:lang w:val="en-US" w:eastAsia="en-US" w:bidi="ar-SA"/>
              </w:rPr>
              <w:t>greta.see@puc.state.oh.us</w:t>
            </w:r>
            <w:r w:rsidRPr="00036D6A">
              <w:rPr>
                <w:sz w:val="24"/>
                <w:szCs w:val="24"/>
                <w:lang w:val="en-US" w:eastAsia="en-US" w:bidi="ar-SA"/>
              </w:rPr>
              <w:t xml:space="preserve"> </w:t>
            </w:r>
          </w:p>
          <w:p w:rsidR="00036D6A" w:rsidRPr="00036D6A" w:rsidP="0051631B">
            <w:pPr>
              <w:pStyle w:val="CommentText"/>
              <w:rPr>
                <w:rStyle w:val="DefaultParagraphFont"/>
                <w:sz w:val="24"/>
                <w:szCs w:val="24"/>
                <w:lang w:val="en-US" w:eastAsia="en-US" w:bidi="ar-SA"/>
              </w:rPr>
            </w:pPr>
          </w:p>
        </w:tc>
        <w:tc>
          <w:tcPr>
            <w:tcW w:w="4428" w:type="dxa"/>
            <w:shd w:val="clear" w:color="auto" w:fill="auto"/>
          </w:tcPr>
          <w:p w:rsidR="00036D6A" w:rsidRPr="00036D6A" w:rsidP="0051631B">
            <w:pPr>
              <w:autoSpaceDE w:val="0"/>
              <w:autoSpaceDN w:val="0"/>
              <w:adjustRightInd w:val="0"/>
              <w:rPr>
                <w:rStyle w:val="DefaultParagraphFont"/>
                <w:rFonts w:ascii="TimesNewRomanPSMT" w:hAnsi="TimesNewRomanPSMT" w:cs="TimesNewRomanPSMT"/>
                <w:sz w:val="24"/>
                <w:szCs w:val="24"/>
                <w:lang w:val="en-US" w:eastAsia="en-US" w:bidi="ar-SA"/>
              </w:rPr>
            </w:pPr>
            <w:r w:rsidRPr="00036D6A">
              <w:rPr>
                <w:rFonts w:ascii="TimesNewRomanPSMT" w:hAnsi="TimesNewRomanPSMT" w:cs="TimesNewRomanPSMT"/>
                <w:sz w:val="24"/>
                <w:szCs w:val="24"/>
                <w:lang w:val="en-US" w:eastAsia="en-US" w:bidi="ar-SA"/>
              </w:rPr>
              <w:t>whitt@whitt-sturtevant.com</w:t>
            </w:r>
          </w:p>
          <w:p w:rsidR="00036D6A" w:rsidRPr="00036D6A" w:rsidP="0051631B">
            <w:pPr>
              <w:autoSpaceDE w:val="0"/>
              <w:autoSpaceDN w:val="0"/>
              <w:adjustRightInd w:val="0"/>
              <w:rPr>
                <w:rStyle w:val="DefaultParagraphFont"/>
                <w:rFonts w:ascii="TimesNewRomanPSMT" w:hAnsi="TimesNewRomanPSMT" w:cs="TimesNewRomanPSMT"/>
                <w:sz w:val="24"/>
                <w:szCs w:val="24"/>
                <w:lang w:val="en-US" w:eastAsia="en-US" w:bidi="ar-SA"/>
              </w:rPr>
            </w:pPr>
            <w:r w:rsidRPr="00036D6A">
              <w:rPr>
                <w:rFonts w:ascii="TimesNewRomanPSMT" w:hAnsi="TimesNewRomanPSMT" w:cs="TimesNewRomanPSMT"/>
                <w:sz w:val="24"/>
                <w:szCs w:val="24"/>
                <w:lang w:val="en-US" w:eastAsia="en-US" w:bidi="ar-SA"/>
              </w:rPr>
              <w:t>campbell@whitt-sturtevant.com</w:t>
            </w:r>
          </w:p>
          <w:p w:rsidR="00036D6A" w:rsidRPr="00036D6A" w:rsidP="0051631B">
            <w:pPr>
              <w:pStyle w:val="CommentText"/>
              <w:rPr>
                <w:rStyle w:val="DefaultParagraphFont"/>
                <w:rFonts w:ascii="TimesNewRomanPSMT" w:hAnsi="TimesNewRomanPSMT" w:cs="TimesNewRomanPSMT"/>
                <w:sz w:val="24"/>
                <w:szCs w:val="24"/>
                <w:lang w:val="en-US" w:eastAsia="en-US" w:bidi="ar-SA"/>
              </w:rPr>
            </w:pPr>
            <w:r w:rsidRPr="00036D6A">
              <w:rPr>
                <w:rFonts w:ascii="TimesNewRomanPSMT" w:hAnsi="TimesNewRomanPSMT" w:cs="TimesNewRomanPSMT"/>
                <w:sz w:val="24"/>
                <w:szCs w:val="24"/>
                <w:lang w:val="en-US" w:eastAsia="en-US" w:bidi="ar-SA"/>
              </w:rPr>
              <w:t>glover@whitt-sturtevant.com</w:t>
            </w:r>
          </w:p>
          <w:p w:rsidR="00036D6A" w:rsidRPr="00036D6A" w:rsidP="0051631B">
            <w:pPr>
              <w:pStyle w:val="CommentText"/>
              <w:rPr>
                <w:rStyle w:val="DefaultParagraphFont"/>
                <w:b/>
                <w:sz w:val="24"/>
                <w:szCs w:val="24"/>
                <w:lang w:val="en-US" w:eastAsia="en-US" w:bidi="ar-SA"/>
              </w:rPr>
            </w:pPr>
          </w:p>
        </w:tc>
      </w:tr>
    </w:tbl>
    <w:p w:rsidR="00614CD5" w:rsidP="00036D6A">
      <w:pPr>
        <w:pStyle w:val="CommentText"/>
        <w:rPr>
          <w:b/>
          <w:u w:val="single"/>
        </w:rPr>
      </w:pPr>
    </w:p>
    <w:p w:rsidR="00614CD5">
      <w:pPr>
        <w:pStyle w:val="BodyText"/>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CD5" w:rsidRPr="004B49E2">
    <w:pPr>
      <w:pStyle w:val="Footer"/>
      <w:framePr w:wrap="around" w:vAnchor="text" w:hAnchor="margin" w:xAlign="center" w:y="1"/>
      <w:jc w:val="center"/>
      <w:rPr>
        <w:rStyle w:val="PageNumber"/>
        <w:sz w:val="24"/>
        <w:szCs w:val="24"/>
      </w:rPr>
    </w:pPr>
    <w:r w:rsidRPr="004B49E2">
      <w:rPr>
        <w:rStyle w:val="PageNumber"/>
        <w:sz w:val="24"/>
        <w:szCs w:val="24"/>
      </w:rPr>
      <w:fldChar w:fldCharType="begin"/>
    </w:r>
    <w:r w:rsidRPr="004B49E2">
      <w:rPr>
        <w:rStyle w:val="PageNumber"/>
        <w:sz w:val="24"/>
        <w:szCs w:val="24"/>
      </w:rPr>
      <w:instrText xml:space="preserve">PAGE  </w:instrText>
    </w:r>
    <w:r w:rsidRPr="004B49E2">
      <w:rPr>
        <w:rStyle w:val="PageNumber"/>
        <w:sz w:val="24"/>
        <w:szCs w:val="24"/>
      </w:rPr>
      <w:fldChar w:fldCharType="separate"/>
    </w:r>
    <w:r w:rsidRPr="004B49E2">
      <w:rPr>
        <w:rStyle w:val="PageNumber"/>
        <w:sz w:val="24"/>
        <w:szCs w:val="24"/>
      </w:rPr>
      <w:t>4</w:t>
    </w:r>
    <w:r w:rsidRPr="004B49E2">
      <w:rPr>
        <w:rStyle w:val="PageNumber"/>
        <w:sz w:val="24"/>
        <w:szCs w:val="24"/>
      </w:rPr>
      <w:fldChar w:fldCharType="end"/>
    </w:r>
  </w:p>
  <w:p w:rsidR="00614CD5" w:rsidRPr="004B49E2" w:rsidP="00240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951F9">
      <w:r>
        <w:separator/>
      </w:r>
    </w:p>
  </w:footnote>
  <w:footnote w:type="continuationSeparator" w:id="1">
    <w:p w:rsidR="009951F9">
      <w:r>
        <w:continuationSeparator/>
      </w:r>
    </w:p>
  </w:footnote>
  <w:footnote w:id="2">
    <w:p w:rsidR="00EC7774" w:rsidP="00FB37DA">
      <w:pPr>
        <w:pStyle w:val="FootnoteText"/>
        <w:spacing w:after="120"/>
      </w:pPr>
      <w:r>
        <w:rPr>
          <w:rStyle w:val="FootnoteReference"/>
        </w:rPr>
        <w:footnoteRef/>
      </w:r>
      <w:r>
        <w:t xml:space="preserve"> See </w:t>
      </w:r>
      <w:r w:rsidRPr="00350A7C" w:rsidR="00C61E2F">
        <w:rPr>
          <w:i/>
        </w:rPr>
        <w:t>In re Application of the E</w:t>
      </w:r>
      <w:r w:rsidR="00AB7638">
        <w:rPr>
          <w:i/>
        </w:rPr>
        <w:t>ast</w:t>
      </w:r>
      <w:r w:rsidRPr="00004D49" w:rsidR="00C61E2F">
        <w:rPr>
          <w:i/>
        </w:rPr>
        <w:t xml:space="preserve"> Ohio </w:t>
      </w:r>
      <w:r w:rsidR="00AB7638">
        <w:rPr>
          <w:i/>
        </w:rPr>
        <w:t>G</w:t>
      </w:r>
      <w:r w:rsidRPr="00004D49" w:rsidR="00C61E2F">
        <w:rPr>
          <w:i/>
        </w:rPr>
        <w:t>as Co</w:t>
      </w:r>
      <w:r w:rsidR="00AB7638">
        <w:rPr>
          <w:i/>
        </w:rPr>
        <w:t>mpany</w:t>
      </w:r>
      <w:r w:rsidRPr="00004D49" w:rsidR="00C61E2F">
        <w:rPr>
          <w:i/>
        </w:rPr>
        <w:t xml:space="preserve"> d/b/a Dominion East Ohio for Authority to Increase Rates for its Gas Distrib</w:t>
      </w:r>
      <w:r w:rsidR="00AB7638">
        <w:rPr>
          <w:i/>
        </w:rPr>
        <w:t>ution</w:t>
      </w:r>
      <w:r w:rsidRPr="00004D49" w:rsidR="00C61E2F">
        <w:rPr>
          <w:i/>
        </w:rPr>
        <w:t>. Serv</w:t>
      </w:r>
      <w:r w:rsidR="00AB7638">
        <w:rPr>
          <w:i/>
        </w:rPr>
        <w:t>ice</w:t>
      </w:r>
      <w:r w:rsidRPr="00004D49" w:rsidR="00C61E2F">
        <w:rPr>
          <w:i/>
        </w:rPr>
        <w:t>,</w:t>
      </w:r>
      <w:r w:rsidR="00C61E2F">
        <w:t xml:space="preserve"> Case No. 07-829-GA-AIR</w:t>
      </w:r>
      <w:r w:rsidR="00AB7638">
        <w:t>,</w:t>
      </w:r>
      <w:r w:rsidR="00004D49">
        <w:t xml:space="preserve"> </w:t>
      </w:r>
      <w:r>
        <w:t>Opinion &amp; Order at 7, 22-24 (Oct. 15, 2008)</w:t>
      </w:r>
      <w:r w:rsidR="00AB7638">
        <w:t>,</w:t>
      </w:r>
      <w:r>
        <w:t xml:space="preserve"> </w:t>
      </w:r>
    </w:p>
  </w:footnote>
  <w:footnote w:id="3">
    <w:p w:rsidR="00165B2E" w:rsidP="00FB37DA">
      <w:pPr>
        <w:pStyle w:val="FootnoteText"/>
        <w:spacing w:after="120"/>
      </w:pPr>
      <w:r>
        <w:rPr>
          <w:rStyle w:val="FootnoteReference"/>
        </w:rPr>
        <w:footnoteRef/>
      </w:r>
      <w:r>
        <w:t xml:space="preserve"> See </w:t>
      </w:r>
      <w:r w:rsidRPr="00004D49">
        <w:rPr>
          <w:i/>
        </w:rPr>
        <w:t>Prefiled Testimony of Stephen E. Puican</w:t>
      </w:r>
      <w:r w:rsidRPr="00004D49" w:rsidR="00AB7638">
        <w:rPr>
          <w:i/>
        </w:rPr>
        <w:t xml:space="preserve"> on Behalf of PUCO Staff</w:t>
      </w:r>
      <w:r>
        <w:t>, Case No. 05-1444-GA-UNC (Mar. 20, 2006) (natural gas energy efficiency programs "do not provide the type of system-wide benefits that justify a rider attached to all customer bills," and "there are minimal, if any, benefits to customers other than those that can participate in a particular DSM program").</w:t>
      </w:r>
    </w:p>
  </w:footnote>
  <w:footnote w:id="4">
    <w:p w:rsidR="007E79CE" w:rsidP="00FB37DA">
      <w:pPr>
        <w:pStyle w:val="FootnoteText"/>
        <w:spacing w:after="120"/>
      </w:pPr>
      <w:r>
        <w:rPr>
          <w:rStyle w:val="FootnoteReference"/>
        </w:rPr>
        <w:footnoteRef/>
      </w:r>
      <w:r>
        <w:t xml:space="preserve"> </w:t>
      </w:r>
      <w:r w:rsidR="00AB7638">
        <w:t xml:space="preserve">See </w:t>
      </w:r>
      <w:r w:rsidR="00AB7638">
        <w:rPr>
          <w:i/>
        </w:rPr>
        <w:t>In re Application of the East Ohio Gas Company d/b/a Dominion Energy Ohio for Approval of an Adjustment to its Demand Side Management Rider,</w:t>
      </w:r>
      <w:r w:rsidR="00AB7638">
        <w:t xml:space="preserve"> Case No. 18-1589-GA-RDR, </w:t>
      </w:r>
      <w:r>
        <w:t>at 3</w:t>
      </w:r>
      <w:r w:rsidR="00AB7638">
        <w:t xml:space="preserve"> (Nov. 19, 2018)</w:t>
      </w:r>
      <w:r>
        <w:t>.</w:t>
      </w:r>
    </w:p>
  </w:footnote>
  <w:footnote w:id="5">
    <w:p w:rsidR="00EC7774" w:rsidP="00FB37DA">
      <w:pPr>
        <w:pStyle w:val="FootnoteText"/>
        <w:spacing w:after="120"/>
      </w:pPr>
      <w:r>
        <w:rPr>
          <w:rStyle w:val="FootnoteReference"/>
        </w:rPr>
        <w:footnoteRef/>
      </w:r>
      <w:r>
        <w:t xml:space="preserve"> </w:t>
      </w:r>
      <w:r w:rsidR="004914F4">
        <w:t xml:space="preserve">See </w:t>
      </w:r>
      <w:r w:rsidR="004914F4">
        <w:rPr>
          <w:i/>
        </w:rPr>
        <w:t>In re Application of the East Ohio Gas Company d/b/a Dominion Energy Ohio for Approval of an Adjustment to its Demand Side Management Rider,</w:t>
      </w:r>
      <w:r w:rsidR="004914F4">
        <w:t xml:space="preserve"> Case No. 18-1589-GA-RDR (Nov. 19, 2018).</w:t>
      </w:r>
    </w:p>
  </w:footnote>
  <w:footnote w:id="6">
    <w:p w:rsidR="00350A7C" w:rsidRPr="00240C2A" w:rsidP="00240C2A">
      <w:pPr>
        <w:pStyle w:val="FootnoteText"/>
        <w:spacing w:after="120"/>
        <w:rPr>
          <w:i/>
        </w:rPr>
      </w:pPr>
      <w:r>
        <w:rPr>
          <w:rStyle w:val="FootnoteReference"/>
        </w:rPr>
        <w:footnoteRef/>
      </w:r>
      <w:r>
        <w:t xml:space="preserve"> </w:t>
      </w:r>
      <w:r w:rsidRPr="00004D49">
        <w:rPr>
          <w:i/>
        </w:rPr>
        <w:t>Id.</w:t>
      </w:r>
    </w:p>
  </w:footnote>
  <w:footnote w:id="7">
    <w:p w:rsidR="007E79CE" w:rsidP="00FB37DA">
      <w:pPr>
        <w:pStyle w:val="FootnoteText"/>
        <w:spacing w:after="120"/>
      </w:pPr>
      <w:r>
        <w:rPr>
          <w:rStyle w:val="FootnoteReference"/>
        </w:rPr>
        <w:footnoteRef/>
      </w:r>
      <w:r>
        <w:t xml:space="preserve"> See </w:t>
      </w:r>
      <w:r w:rsidR="004914F4">
        <w:t>PUCO Staff Comments</w:t>
      </w:r>
      <w:r w:rsidR="004914F4">
        <w:rPr>
          <w:i/>
        </w:rPr>
        <w:t>,</w:t>
      </w:r>
      <w:r w:rsidR="004914F4">
        <w:t xml:space="preserve"> Case No. 18-1589-GA-RDR (December 31, 2018).</w:t>
      </w:r>
    </w:p>
  </w:footnote>
  <w:footnote w:id="8">
    <w:p w:rsidR="00350A7C" w:rsidRPr="00240C2A" w:rsidP="00240C2A">
      <w:pPr>
        <w:pStyle w:val="FootnoteText"/>
        <w:spacing w:after="120"/>
        <w:rPr>
          <w:i/>
        </w:rPr>
      </w:pPr>
      <w:r>
        <w:rPr>
          <w:rStyle w:val="FootnoteReference"/>
        </w:rPr>
        <w:footnoteRef/>
      </w:r>
      <w:r>
        <w:t xml:space="preserve"> </w:t>
      </w:r>
      <w:r w:rsidR="00DE237F">
        <w:rPr>
          <w:i/>
        </w:rPr>
        <w:t>Id.</w:t>
      </w:r>
    </w:p>
  </w:footnote>
  <w:footnote w:id="9">
    <w:p w:rsidR="00FD3B7D" w:rsidP="00FB37DA">
      <w:pPr>
        <w:pStyle w:val="FootnoteText"/>
        <w:spacing w:after="120"/>
      </w:pPr>
      <w:r>
        <w:rPr>
          <w:rStyle w:val="FootnoteReference"/>
        </w:rPr>
        <w:footnoteRef/>
      </w:r>
      <w:r>
        <w:t xml:space="preserve"> </w:t>
      </w:r>
      <w:r w:rsidR="00350A7C">
        <w:t xml:space="preserve">See </w:t>
      </w:r>
      <w:r w:rsidRPr="00350A7C" w:rsidR="00350A7C">
        <w:rPr>
          <w:i/>
        </w:rPr>
        <w:t>In re the Matter of the Demand Side Management Tariff Filing of the East Ohio Gas Company</w:t>
      </w:r>
      <w:r w:rsidR="00350A7C">
        <w:t>, Case No. 17-1372-GA-RDR, Finding and Order</w:t>
      </w:r>
      <w:r w:rsidR="0068098C">
        <w:t xml:space="preserve"> </w:t>
      </w:r>
      <w:r w:rsidR="00350A7C">
        <w:t>(</w:t>
      </w:r>
      <w:r>
        <w:t>August 2, 2017</w:t>
      </w:r>
      <w:r w:rsidR="00350A7C">
        <w:t>).</w:t>
      </w:r>
      <w:r>
        <w:t xml:space="preserve"> </w:t>
      </w:r>
    </w:p>
  </w:footnote>
  <w:footnote w:id="10">
    <w:p w:rsidR="00162398">
      <w:pPr>
        <w:pStyle w:val="FootnoteText"/>
      </w:pPr>
      <w:r>
        <w:rPr>
          <w:rStyle w:val="FootnoteReference"/>
        </w:rPr>
        <w:footnoteRef/>
      </w:r>
      <w:r>
        <w:t xml:space="preserve"> </w:t>
      </w:r>
      <w:r w:rsidRPr="00C84254" w:rsidR="0033799C">
        <w:rPr>
          <w:i/>
        </w:rPr>
        <w:t>Id.</w:t>
      </w:r>
      <w:r w:rsidR="0033799C">
        <w:t xml:space="preserve"> at ¶</w:t>
      </w:r>
      <w:r w:rsidR="008A3434">
        <w:t xml:space="preserve"> </w:t>
      </w:r>
      <w:r w:rsidR="0033799C">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A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 w:type="paragraph" w:styleId="Revision">
    <w:name w:val="Revision"/>
    <w:hidden/>
    <w:uiPriority w:val="99"/>
    <w:semiHidden/>
    <w:rsid w:val="00657CE8"/>
    <w:rPr>
      <w:sz w:val="24"/>
    </w:rPr>
  </w:style>
  <w:style w:type="character" w:customStyle="1" w:styleId="UnresolvedMention">
    <w:name w:val="Unresolved Mention"/>
    <w:basedOn w:val="DefaultParagraphFont"/>
    <w:uiPriority w:val="99"/>
    <w:semiHidden/>
    <w:unhideWhenUsed/>
    <w:rsid w:val="00CE6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18-1589-GA-RDR - OCC Comments - w-ka.docx</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2019-01-18T20:45:52Z</dcterms:created>
  <dcterms:modified xsi:type="dcterms:W3CDTF">2019-01-18T20:45:52Z</dcterms:modified>
</cp:coreProperties>
</file>