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36DD" w14:textId="344BA76F" w:rsidR="00142022" w:rsidRPr="005E25DE" w:rsidRDefault="00901491" w:rsidP="00142022">
      <w:pPr>
        <w:pStyle w:val="Title"/>
        <w:widowControl w:val="0"/>
        <w:rPr>
          <w:rFonts w:ascii="Arial" w:hAnsi="Arial" w:cs="Arial"/>
          <w:szCs w:val="24"/>
        </w:rPr>
      </w:pPr>
      <w:r w:rsidRPr="005E25DE">
        <w:rPr>
          <w:rFonts w:ascii="Arial" w:hAnsi="Arial" w:cs="Arial"/>
          <w:szCs w:val="24"/>
        </w:rPr>
        <w:tab/>
      </w:r>
      <w:r w:rsidR="00142022" w:rsidRPr="005E25DE">
        <w:rPr>
          <w:rFonts w:ascii="Arial" w:hAnsi="Arial" w:cs="Arial"/>
          <w:szCs w:val="24"/>
        </w:rPr>
        <w:t>BEFORE</w:t>
      </w:r>
    </w:p>
    <w:p w14:paraId="58059ED1" w14:textId="77777777" w:rsidR="00142022" w:rsidRPr="005E25DE" w:rsidRDefault="00142022" w:rsidP="00142022">
      <w:pPr>
        <w:widowControl w:val="0"/>
        <w:jc w:val="center"/>
        <w:rPr>
          <w:rFonts w:ascii="Arial" w:hAnsi="Arial" w:cs="Arial"/>
          <w:b/>
          <w:sz w:val="24"/>
          <w:szCs w:val="24"/>
        </w:rPr>
      </w:pPr>
      <w:r w:rsidRPr="005E25DE">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142022" w:rsidRPr="005E25DE" w14:paraId="3E3EBDC7" w14:textId="77777777" w:rsidTr="00167E12">
        <w:trPr>
          <w:trHeight w:val="873"/>
          <w:jc w:val="center"/>
        </w:trPr>
        <w:tc>
          <w:tcPr>
            <w:tcW w:w="4739" w:type="dxa"/>
          </w:tcPr>
          <w:p w14:paraId="6AAA8C4B" w14:textId="77777777" w:rsidR="00142022" w:rsidRPr="005E25DE" w:rsidRDefault="00142022" w:rsidP="00167E12">
            <w:pPr>
              <w:autoSpaceDE w:val="0"/>
              <w:autoSpaceDN w:val="0"/>
              <w:adjustRightInd w:val="0"/>
              <w:spacing w:after="0" w:line="240" w:lineRule="auto"/>
              <w:rPr>
                <w:rFonts w:ascii="Arial" w:hAnsi="Arial" w:cs="Arial"/>
                <w:sz w:val="24"/>
                <w:szCs w:val="24"/>
              </w:rPr>
            </w:pPr>
            <w:r w:rsidRPr="005E25DE">
              <w:rPr>
                <w:rFonts w:ascii="Arial" w:hAnsi="Arial" w:cs="Arial"/>
                <w:sz w:val="24"/>
                <w:szCs w:val="24"/>
              </w:rPr>
              <w:t>In the Matter of the Application of Ohio</w:t>
            </w:r>
          </w:p>
          <w:p w14:paraId="2BD50751" w14:textId="77777777" w:rsidR="00142022" w:rsidRPr="005E25DE" w:rsidRDefault="00142022" w:rsidP="00167E12">
            <w:pPr>
              <w:autoSpaceDE w:val="0"/>
              <w:autoSpaceDN w:val="0"/>
              <w:adjustRightInd w:val="0"/>
              <w:spacing w:after="0" w:line="240" w:lineRule="auto"/>
              <w:rPr>
                <w:rFonts w:ascii="Arial" w:hAnsi="Arial" w:cs="Arial"/>
                <w:sz w:val="24"/>
                <w:szCs w:val="24"/>
              </w:rPr>
            </w:pPr>
            <w:r w:rsidRPr="005E25DE">
              <w:rPr>
                <w:rFonts w:ascii="Arial" w:hAnsi="Arial" w:cs="Arial"/>
                <w:sz w:val="24"/>
                <w:szCs w:val="24"/>
              </w:rPr>
              <w:t>Edison Company, The Cleveland Electric Illuminating Company and The Toledo Edison Company for Approval of a New Service</w:t>
            </w:r>
          </w:p>
          <w:p w14:paraId="268681BF" w14:textId="77777777" w:rsidR="00142022" w:rsidRPr="005E25DE" w:rsidRDefault="00142022" w:rsidP="00167E12">
            <w:pPr>
              <w:widowControl w:val="0"/>
              <w:spacing w:after="0" w:line="240" w:lineRule="auto"/>
              <w:rPr>
                <w:rFonts w:ascii="Arial" w:hAnsi="Arial" w:cs="Arial"/>
                <w:sz w:val="24"/>
                <w:szCs w:val="24"/>
              </w:rPr>
            </w:pPr>
          </w:p>
        </w:tc>
        <w:tc>
          <w:tcPr>
            <w:tcW w:w="630" w:type="dxa"/>
          </w:tcPr>
          <w:p w14:paraId="112C55A1" w14:textId="77777777" w:rsidR="00142022" w:rsidRPr="005E25DE" w:rsidRDefault="00142022" w:rsidP="00167E12">
            <w:pPr>
              <w:widowControl w:val="0"/>
              <w:spacing w:after="0" w:line="240" w:lineRule="auto"/>
              <w:jc w:val="center"/>
              <w:rPr>
                <w:rFonts w:ascii="Arial" w:hAnsi="Arial" w:cs="Arial"/>
                <w:sz w:val="24"/>
                <w:szCs w:val="24"/>
              </w:rPr>
            </w:pPr>
            <w:r w:rsidRPr="005E25DE">
              <w:rPr>
                <w:rFonts w:ascii="Arial" w:hAnsi="Arial" w:cs="Arial"/>
                <w:sz w:val="24"/>
                <w:szCs w:val="24"/>
              </w:rPr>
              <w:t>)</w:t>
            </w:r>
          </w:p>
          <w:p w14:paraId="6CDDC1C6" w14:textId="77777777" w:rsidR="00142022" w:rsidRPr="005E25DE" w:rsidRDefault="00142022" w:rsidP="00167E12">
            <w:pPr>
              <w:widowControl w:val="0"/>
              <w:spacing w:after="0" w:line="240" w:lineRule="auto"/>
              <w:jc w:val="center"/>
              <w:rPr>
                <w:rFonts w:ascii="Arial" w:hAnsi="Arial" w:cs="Arial"/>
                <w:sz w:val="24"/>
                <w:szCs w:val="24"/>
              </w:rPr>
            </w:pPr>
            <w:r w:rsidRPr="005E25DE">
              <w:rPr>
                <w:rFonts w:ascii="Arial" w:hAnsi="Arial" w:cs="Arial"/>
                <w:sz w:val="24"/>
                <w:szCs w:val="24"/>
              </w:rPr>
              <w:t>)</w:t>
            </w:r>
          </w:p>
          <w:p w14:paraId="125FC34A" w14:textId="77777777" w:rsidR="00142022" w:rsidRPr="005E25DE" w:rsidRDefault="00142022" w:rsidP="00167E12">
            <w:pPr>
              <w:widowControl w:val="0"/>
              <w:spacing w:after="0" w:line="240" w:lineRule="auto"/>
              <w:jc w:val="center"/>
              <w:rPr>
                <w:rFonts w:ascii="Arial" w:hAnsi="Arial" w:cs="Arial"/>
                <w:sz w:val="24"/>
                <w:szCs w:val="24"/>
              </w:rPr>
            </w:pPr>
            <w:r w:rsidRPr="005E25DE">
              <w:rPr>
                <w:rFonts w:ascii="Arial" w:hAnsi="Arial" w:cs="Arial"/>
                <w:sz w:val="24"/>
                <w:szCs w:val="24"/>
              </w:rPr>
              <w:t>)</w:t>
            </w:r>
          </w:p>
          <w:p w14:paraId="7ED3B92F" w14:textId="77777777" w:rsidR="00142022" w:rsidRPr="005E25DE" w:rsidRDefault="00142022" w:rsidP="00167E12">
            <w:pPr>
              <w:widowControl w:val="0"/>
              <w:spacing w:after="0" w:line="240" w:lineRule="auto"/>
              <w:jc w:val="center"/>
              <w:rPr>
                <w:rFonts w:ascii="Arial" w:hAnsi="Arial" w:cs="Arial"/>
                <w:sz w:val="24"/>
                <w:szCs w:val="24"/>
              </w:rPr>
            </w:pPr>
            <w:r w:rsidRPr="005E25DE">
              <w:rPr>
                <w:rFonts w:ascii="Arial" w:hAnsi="Arial" w:cs="Arial"/>
                <w:sz w:val="24"/>
                <w:szCs w:val="24"/>
              </w:rPr>
              <w:t>)</w:t>
            </w:r>
          </w:p>
          <w:p w14:paraId="1B742EF8" w14:textId="77777777" w:rsidR="00142022" w:rsidRPr="005E25DE" w:rsidRDefault="00142022" w:rsidP="00167E12">
            <w:pPr>
              <w:widowControl w:val="0"/>
              <w:spacing w:after="0" w:line="240" w:lineRule="auto"/>
              <w:jc w:val="center"/>
              <w:rPr>
                <w:rFonts w:ascii="Arial" w:hAnsi="Arial" w:cs="Arial"/>
                <w:sz w:val="24"/>
                <w:szCs w:val="24"/>
              </w:rPr>
            </w:pPr>
          </w:p>
          <w:p w14:paraId="533AB357" w14:textId="77777777" w:rsidR="00142022" w:rsidRPr="005E25DE" w:rsidRDefault="00142022" w:rsidP="00167E12">
            <w:pPr>
              <w:widowControl w:val="0"/>
              <w:spacing w:after="0" w:line="240" w:lineRule="auto"/>
              <w:jc w:val="center"/>
              <w:rPr>
                <w:rFonts w:ascii="Arial" w:hAnsi="Arial" w:cs="Arial"/>
                <w:sz w:val="24"/>
                <w:szCs w:val="24"/>
              </w:rPr>
            </w:pPr>
          </w:p>
        </w:tc>
        <w:tc>
          <w:tcPr>
            <w:tcW w:w="3928" w:type="dxa"/>
          </w:tcPr>
          <w:p w14:paraId="0DFEE2E1" w14:textId="77777777" w:rsidR="00142022" w:rsidRPr="005E25DE" w:rsidRDefault="00142022" w:rsidP="00167E12">
            <w:pPr>
              <w:widowControl w:val="0"/>
              <w:spacing w:after="0" w:line="240" w:lineRule="auto"/>
              <w:rPr>
                <w:rFonts w:ascii="Arial" w:hAnsi="Arial" w:cs="Arial"/>
                <w:sz w:val="24"/>
                <w:szCs w:val="24"/>
              </w:rPr>
            </w:pPr>
          </w:p>
          <w:p w14:paraId="06529627" w14:textId="77777777" w:rsidR="00142022" w:rsidRPr="005E25DE" w:rsidRDefault="00142022" w:rsidP="00167E12">
            <w:pPr>
              <w:widowControl w:val="0"/>
              <w:spacing w:after="0" w:line="240" w:lineRule="auto"/>
              <w:rPr>
                <w:rFonts w:ascii="Arial" w:hAnsi="Arial" w:cs="Arial"/>
                <w:sz w:val="24"/>
                <w:szCs w:val="24"/>
              </w:rPr>
            </w:pPr>
            <w:r w:rsidRPr="005E25DE">
              <w:rPr>
                <w:rFonts w:ascii="Arial" w:hAnsi="Arial" w:cs="Arial"/>
                <w:sz w:val="24"/>
                <w:szCs w:val="24"/>
              </w:rPr>
              <w:t>Case No. 14-1980-EL-ATA</w:t>
            </w:r>
          </w:p>
          <w:p w14:paraId="2957036D" w14:textId="77777777" w:rsidR="00142022" w:rsidRPr="005E25DE" w:rsidRDefault="00142022" w:rsidP="00167E12">
            <w:pPr>
              <w:widowControl w:val="0"/>
              <w:spacing w:after="0" w:line="240" w:lineRule="auto"/>
              <w:rPr>
                <w:rFonts w:ascii="Arial" w:hAnsi="Arial" w:cs="Arial"/>
                <w:sz w:val="24"/>
                <w:szCs w:val="24"/>
              </w:rPr>
            </w:pPr>
            <w:r w:rsidRPr="005E25DE">
              <w:rPr>
                <w:rFonts w:ascii="Arial" w:hAnsi="Arial" w:cs="Arial"/>
                <w:sz w:val="24"/>
                <w:szCs w:val="24"/>
              </w:rPr>
              <w:t>Case No. 14-1981-EL-ATA</w:t>
            </w:r>
          </w:p>
          <w:p w14:paraId="0A2B3B5A" w14:textId="77777777" w:rsidR="00142022" w:rsidRPr="005E25DE" w:rsidRDefault="00142022" w:rsidP="00167E12">
            <w:pPr>
              <w:widowControl w:val="0"/>
              <w:spacing w:after="0" w:line="240" w:lineRule="auto"/>
              <w:rPr>
                <w:rFonts w:ascii="Arial" w:hAnsi="Arial" w:cs="Arial"/>
                <w:sz w:val="24"/>
                <w:szCs w:val="24"/>
              </w:rPr>
            </w:pPr>
            <w:r w:rsidRPr="005E25DE">
              <w:rPr>
                <w:rFonts w:ascii="Arial" w:hAnsi="Arial" w:cs="Arial"/>
                <w:sz w:val="24"/>
                <w:szCs w:val="24"/>
              </w:rPr>
              <w:t>Case No. 14-1982-EL-ATA</w:t>
            </w:r>
          </w:p>
          <w:p w14:paraId="37909B80" w14:textId="77777777" w:rsidR="00142022" w:rsidRPr="005E25DE" w:rsidRDefault="00142022" w:rsidP="00167E12">
            <w:pPr>
              <w:widowControl w:val="0"/>
              <w:spacing w:after="0" w:line="240" w:lineRule="auto"/>
              <w:rPr>
                <w:rFonts w:ascii="Arial" w:hAnsi="Arial" w:cs="Arial"/>
                <w:sz w:val="24"/>
                <w:szCs w:val="24"/>
              </w:rPr>
            </w:pPr>
          </w:p>
          <w:p w14:paraId="41AA52FE" w14:textId="77777777" w:rsidR="00142022" w:rsidRPr="005E25DE" w:rsidRDefault="00142022" w:rsidP="00167E12">
            <w:pPr>
              <w:widowControl w:val="0"/>
              <w:spacing w:after="0" w:line="240" w:lineRule="auto"/>
              <w:rPr>
                <w:rFonts w:ascii="Arial" w:hAnsi="Arial" w:cs="Arial"/>
                <w:sz w:val="24"/>
                <w:szCs w:val="24"/>
              </w:rPr>
            </w:pPr>
          </w:p>
        </w:tc>
      </w:tr>
    </w:tbl>
    <w:p w14:paraId="08035D87" w14:textId="77777777" w:rsidR="00142022" w:rsidRPr="005E25DE" w:rsidRDefault="00142022" w:rsidP="00142022">
      <w:pPr>
        <w:widowControl w:val="0"/>
        <w:pBdr>
          <w:bottom w:val="single" w:sz="12" w:space="0" w:color="auto"/>
        </w:pBdr>
        <w:spacing w:after="0" w:line="240" w:lineRule="auto"/>
        <w:rPr>
          <w:rFonts w:ascii="Arial" w:hAnsi="Arial" w:cs="Arial"/>
          <w:sz w:val="24"/>
          <w:szCs w:val="24"/>
        </w:rPr>
      </w:pPr>
    </w:p>
    <w:p w14:paraId="0427BC8B" w14:textId="77777777" w:rsidR="00142022" w:rsidRPr="005E25DE" w:rsidRDefault="00142022" w:rsidP="00142022">
      <w:pPr>
        <w:widowControl w:val="0"/>
        <w:spacing w:after="0" w:line="240" w:lineRule="auto"/>
        <w:jc w:val="center"/>
        <w:rPr>
          <w:rFonts w:ascii="Arial" w:hAnsi="Arial" w:cs="Arial"/>
          <w:b/>
          <w:bCs/>
          <w:sz w:val="24"/>
          <w:szCs w:val="24"/>
        </w:rPr>
      </w:pPr>
    </w:p>
    <w:p w14:paraId="0378D254" w14:textId="6DFDAEBC" w:rsidR="00142022" w:rsidRPr="005E25DE" w:rsidRDefault="00142022" w:rsidP="00142022">
      <w:pPr>
        <w:widowControl w:val="0"/>
        <w:spacing w:after="0" w:line="240" w:lineRule="auto"/>
        <w:jc w:val="center"/>
        <w:rPr>
          <w:rFonts w:ascii="Arial" w:hAnsi="Arial" w:cs="Arial"/>
          <w:b/>
          <w:bCs/>
          <w:sz w:val="24"/>
          <w:szCs w:val="24"/>
        </w:rPr>
      </w:pPr>
      <w:r w:rsidRPr="005E25DE">
        <w:rPr>
          <w:rFonts w:ascii="Arial" w:hAnsi="Arial" w:cs="Arial"/>
          <w:b/>
          <w:bCs/>
          <w:sz w:val="24"/>
          <w:szCs w:val="24"/>
        </w:rPr>
        <w:t xml:space="preserve">REPLY </w:t>
      </w:r>
      <w:r w:rsidR="00A12B45">
        <w:rPr>
          <w:rFonts w:ascii="Arial" w:hAnsi="Arial" w:cs="Arial"/>
          <w:b/>
          <w:bCs/>
          <w:sz w:val="24"/>
          <w:szCs w:val="24"/>
        </w:rPr>
        <w:t>IN SUPPORT OF</w:t>
      </w:r>
      <w:r w:rsidRPr="005E25DE">
        <w:rPr>
          <w:rFonts w:ascii="Arial" w:hAnsi="Arial" w:cs="Arial"/>
          <w:b/>
          <w:bCs/>
          <w:sz w:val="24"/>
          <w:szCs w:val="24"/>
        </w:rPr>
        <w:t xml:space="preserve"> INTERSTATE GAS SUPPLY INC’S </w:t>
      </w:r>
      <w:r w:rsidR="00084B09">
        <w:rPr>
          <w:rFonts w:ascii="Arial" w:hAnsi="Arial" w:cs="Arial"/>
          <w:b/>
          <w:bCs/>
          <w:sz w:val="24"/>
          <w:szCs w:val="24"/>
        </w:rPr>
        <w:t xml:space="preserve">AND </w:t>
      </w:r>
      <w:r w:rsidR="00084B09">
        <w:rPr>
          <w:rFonts w:ascii="Arial" w:hAnsi="Arial" w:cs="Arial"/>
          <w:b/>
          <w:bCs/>
          <w:sz w:val="24"/>
          <w:szCs w:val="24"/>
        </w:rPr>
        <w:t>IGS ENERGY HOME SERVICE’S</w:t>
      </w:r>
      <w:r w:rsidR="00084B09">
        <w:rPr>
          <w:rFonts w:ascii="Arial" w:hAnsi="Arial" w:cs="Arial"/>
          <w:b/>
          <w:bCs/>
          <w:sz w:val="24"/>
          <w:szCs w:val="24"/>
        </w:rPr>
        <w:t xml:space="preserve"> </w:t>
      </w:r>
      <w:r w:rsidRPr="005E25DE">
        <w:rPr>
          <w:rFonts w:ascii="Arial" w:hAnsi="Arial" w:cs="Arial"/>
          <w:b/>
          <w:bCs/>
          <w:sz w:val="24"/>
          <w:szCs w:val="24"/>
        </w:rPr>
        <w:t>MOTION TO INTERVENE</w:t>
      </w:r>
      <w:r w:rsidR="00A12B45">
        <w:rPr>
          <w:rFonts w:ascii="Arial" w:hAnsi="Arial" w:cs="Arial"/>
          <w:b/>
          <w:bCs/>
          <w:sz w:val="24"/>
          <w:szCs w:val="24"/>
        </w:rPr>
        <w:t xml:space="preserve"> AND REQUEST FOR PROCEDURAL SCHEDULE</w:t>
      </w:r>
    </w:p>
    <w:p w14:paraId="4D298BF9" w14:textId="77777777" w:rsidR="00142022" w:rsidRPr="005E25DE" w:rsidRDefault="00142022" w:rsidP="00142022">
      <w:pPr>
        <w:widowControl w:val="0"/>
        <w:pBdr>
          <w:bottom w:val="single" w:sz="12" w:space="1" w:color="auto"/>
        </w:pBdr>
        <w:tabs>
          <w:tab w:val="left" w:pos="6461"/>
        </w:tabs>
        <w:spacing w:after="0" w:line="240" w:lineRule="auto"/>
        <w:jc w:val="center"/>
        <w:rPr>
          <w:rFonts w:ascii="Arial" w:hAnsi="Arial" w:cs="Arial"/>
          <w:sz w:val="24"/>
          <w:szCs w:val="24"/>
        </w:rPr>
      </w:pPr>
    </w:p>
    <w:p w14:paraId="4DEBB6C8" w14:textId="77777777" w:rsidR="00142022" w:rsidRDefault="00142022" w:rsidP="00901491">
      <w:pPr>
        <w:spacing w:line="480" w:lineRule="auto"/>
        <w:rPr>
          <w:rFonts w:ascii="Arial" w:hAnsi="Arial" w:cs="Arial"/>
          <w:sz w:val="24"/>
          <w:szCs w:val="24"/>
        </w:rPr>
      </w:pPr>
    </w:p>
    <w:p w14:paraId="1A7BDBC3" w14:textId="6F7AF54E" w:rsidR="00084B09" w:rsidRPr="00084B09" w:rsidRDefault="00084B09" w:rsidP="00084B09">
      <w:pPr>
        <w:pStyle w:val="ListParagraph"/>
        <w:numPr>
          <w:ilvl w:val="0"/>
          <w:numId w:val="3"/>
        </w:numPr>
        <w:spacing w:line="480" w:lineRule="auto"/>
        <w:rPr>
          <w:rFonts w:ascii="Arial" w:hAnsi="Arial" w:cs="Arial"/>
          <w:b/>
          <w:sz w:val="24"/>
          <w:szCs w:val="24"/>
        </w:rPr>
      </w:pPr>
      <w:r w:rsidRPr="00084B09">
        <w:rPr>
          <w:rFonts w:ascii="Arial" w:hAnsi="Arial" w:cs="Arial"/>
          <w:b/>
          <w:sz w:val="24"/>
          <w:szCs w:val="24"/>
        </w:rPr>
        <w:t>INTRODUCTION</w:t>
      </w:r>
    </w:p>
    <w:p w14:paraId="66D00300" w14:textId="2ED07D27" w:rsidR="00B12C47" w:rsidRPr="005E25DE" w:rsidRDefault="00142022" w:rsidP="008B03DA">
      <w:pPr>
        <w:spacing w:line="480" w:lineRule="auto"/>
        <w:jc w:val="both"/>
        <w:rPr>
          <w:rFonts w:ascii="Arial" w:hAnsi="Arial" w:cs="Arial"/>
          <w:sz w:val="24"/>
          <w:szCs w:val="24"/>
        </w:rPr>
      </w:pPr>
      <w:r w:rsidRPr="005E25DE">
        <w:rPr>
          <w:rFonts w:ascii="Arial" w:hAnsi="Arial" w:cs="Arial"/>
          <w:sz w:val="24"/>
          <w:szCs w:val="24"/>
        </w:rPr>
        <w:tab/>
      </w:r>
      <w:r w:rsidR="00901491" w:rsidRPr="005E25DE">
        <w:rPr>
          <w:rFonts w:ascii="Arial" w:hAnsi="Arial" w:cs="Arial"/>
          <w:sz w:val="24"/>
          <w:szCs w:val="24"/>
        </w:rPr>
        <w:t>In the Application filed in this docket (“Application”),</w:t>
      </w:r>
      <w:r w:rsidR="00A12B45">
        <w:rPr>
          <w:rFonts w:ascii="Arial" w:hAnsi="Arial" w:cs="Arial"/>
          <w:sz w:val="24"/>
          <w:szCs w:val="24"/>
        </w:rPr>
        <w:t xml:space="preserve"> Ohio Edison Company, Toledo Edison Company, and Cleveland Electric Illuminating Company (“</w:t>
      </w:r>
      <w:r w:rsidR="00901491" w:rsidRPr="005E25DE">
        <w:rPr>
          <w:rFonts w:ascii="Arial" w:hAnsi="Arial" w:cs="Arial"/>
          <w:sz w:val="24"/>
          <w:szCs w:val="24"/>
        </w:rPr>
        <w:t>FirstEnergy</w:t>
      </w:r>
      <w:r w:rsidR="00A12B45">
        <w:rPr>
          <w:rFonts w:ascii="Arial" w:hAnsi="Arial" w:cs="Arial"/>
          <w:sz w:val="24"/>
          <w:szCs w:val="24"/>
        </w:rPr>
        <w:t>”)</w:t>
      </w:r>
      <w:r w:rsidR="00901491" w:rsidRPr="005E25DE">
        <w:rPr>
          <w:rFonts w:ascii="Arial" w:hAnsi="Arial" w:cs="Arial"/>
          <w:i/>
          <w:sz w:val="24"/>
          <w:szCs w:val="24"/>
        </w:rPr>
        <w:t xml:space="preserve">, </w:t>
      </w:r>
      <w:r w:rsidR="00A12B45">
        <w:rPr>
          <w:rFonts w:ascii="Arial" w:hAnsi="Arial" w:cs="Arial"/>
          <w:i/>
          <w:sz w:val="24"/>
          <w:szCs w:val="24"/>
        </w:rPr>
        <w:t>three</w:t>
      </w:r>
      <w:r w:rsidR="008B03DA">
        <w:rPr>
          <w:rFonts w:ascii="Arial" w:hAnsi="Arial" w:cs="Arial"/>
          <w:i/>
          <w:sz w:val="24"/>
          <w:szCs w:val="24"/>
        </w:rPr>
        <w:t xml:space="preserve"> </w:t>
      </w:r>
      <w:r w:rsidR="00901491" w:rsidRPr="005E25DE">
        <w:rPr>
          <w:rFonts w:ascii="Arial" w:hAnsi="Arial" w:cs="Arial"/>
          <w:i/>
          <w:sz w:val="24"/>
          <w:szCs w:val="24"/>
        </w:rPr>
        <w:t>regulated</w:t>
      </w:r>
      <w:r w:rsidR="00901491" w:rsidRPr="005E25DE">
        <w:rPr>
          <w:rFonts w:ascii="Arial" w:hAnsi="Arial" w:cs="Arial"/>
          <w:sz w:val="24"/>
          <w:szCs w:val="24"/>
        </w:rPr>
        <w:t xml:space="preserve"> </w:t>
      </w:r>
      <w:r w:rsidR="00901491" w:rsidRPr="005E25DE">
        <w:rPr>
          <w:rFonts w:ascii="Arial" w:hAnsi="Arial" w:cs="Arial"/>
          <w:i/>
          <w:sz w:val="24"/>
          <w:szCs w:val="24"/>
        </w:rPr>
        <w:t>electric distribution</w:t>
      </w:r>
      <w:r w:rsidRPr="005E25DE">
        <w:rPr>
          <w:rFonts w:ascii="Arial" w:hAnsi="Arial" w:cs="Arial"/>
          <w:sz w:val="24"/>
          <w:szCs w:val="24"/>
        </w:rPr>
        <w:t xml:space="preserve"> </w:t>
      </w:r>
      <w:r w:rsidRPr="005E25DE">
        <w:rPr>
          <w:rFonts w:ascii="Arial" w:hAnsi="Arial" w:cs="Arial"/>
          <w:i/>
          <w:sz w:val="24"/>
          <w:szCs w:val="24"/>
        </w:rPr>
        <w:t>utilit</w:t>
      </w:r>
      <w:r w:rsidR="00A12B45">
        <w:rPr>
          <w:rFonts w:ascii="Arial" w:hAnsi="Arial" w:cs="Arial"/>
          <w:i/>
          <w:sz w:val="24"/>
          <w:szCs w:val="24"/>
        </w:rPr>
        <w:t>ies</w:t>
      </w:r>
      <w:r w:rsidR="008B03DA">
        <w:rPr>
          <w:rFonts w:ascii="Arial" w:hAnsi="Arial" w:cs="Arial"/>
          <w:sz w:val="24"/>
          <w:szCs w:val="24"/>
        </w:rPr>
        <w:t>,</w:t>
      </w:r>
      <w:r w:rsidR="00901491" w:rsidRPr="005E25DE">
        <w:rPr>
          <w:rFonts w:ascii="Arial" w:hAnsi="Arial" w:cs="Arial"/>
          <w:sz w:val="24"/>
          <w:szCs w:val="24"/>
        </w:rPr>
        <w:t xml:space="preserve"> request permission from the Public Utilities Commission of Ohio</w:t>
      </w:r>
      <w:r w:rsidR="0084398F">
        <w:rPr>
          <w:rFonts w:ascii="Arial" w:hAnsi="Arial" w:cs="Arial"/>
          <w:sz w:val="24"/>
          <w:szCs w:val="24"/>
        </w:rPr>
        <w:t xml:space="preserve"> (“Commission”)</w:t>
      </w:r>
      <w:r w:rsidR="00901491" w:rsidRPr="005E25DE">
        <w:rPr>
          <w:rFonts w:ascii="Arial" w:hAnsi="Arial" w:cs="Arial"/>
          <w:sz w:val="24"/>
          <w:szCs w:val="24"/>
        </w:rPr>
        <w:t xml:space="preserve"> to utilize electric distribution assets to offer </w:t>
      </w:r>
      <w:r w:rsidR="008B03DA">
        <w:rPr>
          <w:rFonts w:ascii="Arial" w:hAnsi="Arial" w:cs="Arial"/>
          <w:sz w:val="24"/>
          <w:szCs w:val="24"/>
        </w:rPr>
        <w:t>their</w:t>
      </w:r>
      <w:r w:rsidR="00901491" w:rsidRPr="005E25DE">
        <w:rPr>
          <w:rFonts w:ascii="Arial" w:hAnsi="Arial" w:cs="Arial"/>
          <w:sz w:val="24"/>
          <w:szCs w:val="24"/>
        </w:rPr>
        <w:t xml:space="preserve"> customers</w:t>
      </w:r>
      <w:r w:rsidR="00B12C47" w:rsidRPr="005E25DE">
        <w:rPr>
          <w:rFonts w:ascii="Arial" w:hAnsi="Arial" w:cs="Arial"/>
          <w:sz w:val="24"/>
          <w:szCs w:val="24"/>
        </w:rPr>
        <w:t xml:space="preserve"> unregulated</w:t>
      </w:r>
      <w:r w:rsidR="000B5B87" w:rsidRPr="005E25DE">
        <w:rPr>
          <w:rFonts w:ascii="Arial" w:hAnsi="Arial" w:cs="Arial"/>
          <w:sz w:val="24"/>
          <w:szCs w:val="24"/>
        </w:rPr>
        <w:t xml:space="preserve"> insurance service</w:t>
      </w:r>
      <w:r w:rsidR="00FE33D6" w:rsidRPr="005E25DE">
        <w:rPr>
          <w:rFonts w:ascii="Arial" w:hAnsi="Arial" w:cs="Arial"/>
          <w:sz w:val="24"/>
          <w:szCs w:val="24"/>
        </w:rPr>
        <w:t xml:space="preserve"> </w:t>
      </w:r>
      <w:r w:rsidR="000B5B87" w:rsidRPr="005E25DE">
        <w:rPr>
          <w:rFonts w:ascii="Arial" w:hAnsi="Arial" w:cs="Arial"/>
          <w:sz w:val="24"/>
          <w:szCs w:val="24"/>
        </w:rPr>
        <w:t>including</w:t>
      </w:r>
      <w:r w:rsidR="00FE33D6" w:rsidRPr="005E25DE">
        <w:rPr>
          <w:rFonts w:ascii="Arial" w:hAnsi="Arial" w:cs="Arial"/>
          <w:sz w:val="24"/>
          <w:szCs w:val="24"/>
        </w:rPr>
        <w:t>,</w:t>
      </w:r>
      <w:r w:rsidR="000B5B87" w:rsidRPr="005E25DE">
        <w:rPr>
          <w:rFonts w:ascii="Arial" w:hAnsi="Arial" w:cs="Arial"/>
          <w:sz w:val="24"/>
          <w:szCs w:val="24"/>
        </w:rPr>
        <w:t xml:space="preserve"> </w:t>
      </w:r>
      <w:r w:rsidR="000B5B87" w:rsidRPr="005E25DE">
        <w:rPr>
          <w:rFonts w:ascii="Arial" w:hAnsi="Arial" w:cs="Arial"/>
          <w:i/>
          <w:sz w:val="24"/>
          <w:szCs w:val="24"/>
        </w:rPr>
        <w:t>but not limited to,</w:t>
      </w:r>
      <w:r w:rsidR="00901491" w:rsidRPr="005E25DE">
        <w:rPr>
          <w:rFonts w:ascii="Arial" w:hAnsi="Arial" w:cs="Arial"/>
          <w:i/>
          <w:sz w:val="24"/>
          <w:szCs w:val="24"/>
        </w:rPr>
        <w:t xml:space="preserve"> </w:t>
      </w:r>
      <w:r w:rsidR="00901491" w:rsidRPr="005E25DE">
        <w:rPr>
          <w:rFonts w:ascii="Arial" w:hAnsi="Arial" w:cs="Arial"/>
          <w:sz w:val="24"/>
          <w:szCs w:val="24"/>
        </w:rPr>
        <w:t>disaster insurance.</w:t>
      </w:r>
      <w:r w:rsidR="008B03DA">
        <w:rPr>
          <w:rFonts w:ascii="Arial" w:hAnsi="Arial" w:cs="Arial"/>
          <w:sz w:val="24"/>
          <w:szCs w:val="24"/>
        </w:rPr>
        <w:t xml:space="preserve"> </w:t>
      </w:r>
      <w:r w:rsidRPr="005E25DE">
        <w:rPr>
          <w:rFonts w:ascii="Arial" w:hAnsi="Arial" w:cs="Arial"/>
          <w:sz w:val="24"/>
          <w:szCs w:val="24"/>
        </w:rPr>
        <w:t xml:space="preserve"> FirstEnergy indicat</w:t>
      </w:r>
      <w:r w:rsidR="000B5B87" w:rsidRPr="005E25DE">
        <w:rPr>
          <w:rFonts w:ascii="Arial" w:hAnsi="Arial" w:cs="Arial"/>
          <w:sz w:val="24"/>
          <w:szCs w:val="24"/>
        </w:rPr>
        <w:t>es that it will be offering these</w:t>
      </w:r>
      <w:r w:rsidRPr="005E25DE">
        <w:rPr>
          <w:rFonts w:ascii="Arial" w:hAnsi="Arial" w:cs="Arial"/>
          <w:sz w:val="24"/>
          <w:szCs w:val="24"/>
        </w:rPr>
        <w:t xml:space="preserve"> service</w:t>
      </w:r>
      <w:r w:rsidR="000B5B87" w:rsidRPr="005E25DE">
        <w:rPr>
          <w:rFonts w:ascii="Arial" w:hAnsi="Arial" w:cs="Arial"/>
          <w:sz w:val="24"/>
          <w:szCs w:val="24"/>
        </w:rPr>
        <w:t>s</w:t>
      </w:r>
      <w:r w:rsidRPr="005E25DE">
        <w:rPr>
          <w:rFonts w:ascii="Arial" w:hAnsi="Arial" w:cs="Arial"/>
          <w:sz w:val="24"/>
          <w:szCs w:val="24"/>
        </w:rPr>
        <w:t xml:space="preserve"> through “third party companies.”  In the Application</w:t>
      </w:r>
      <w:r w:rsidR="003F6855" w:rsidRPr="005E25DE">
        <w:rPr>
          <w:rFonts w:ascii="Arial" w:hAnsi="Arial" w:cs="Arial"/>
          <w:sz w:val="24"/>
          <w:szCs w:val="24"/>
        </w:rPr>
        <w:t>,</w:t>
      </w:r>
      <w:r w:rsidRPr="005E25DE">
        <w:rPr>
          <w:rFonts w:ascii="Arial" w:hAnsi="Arial" w:cs="Arial"/>
          <w:sz w:val="24"/>
          <w:szCs w:val="24"/>
        </w:rPr>
        <w:t xml:space="preserve"> FirstEnergy</w:t>
      </w:r>
      <w:r w:rsidR="009B3EC6" w:rsidRPr="005E25DE">
        <w:rPr>
          <w:rFonts w:ascii="Arial" w:hAnsi="Arial" w:cs="Arial"/>
          <w:sz w:val="24"/>
          <w:szCs w:val="24"/>
        </w:rPr>
        <w:t>: 1) does not</w:t>
      </w:r>
      <w:r w:rsidRPr="005E25DE">
        <w:rPr>
          <w:rFonts w:ascii="Arial" w:hAnsi="Arial" w:cs="Arial"/>
          <w:sz w:val="24"/>
          <w:szCs w:val="24"/>
        </w:rPr>
        <w:t xml:space="preserve"> list the companies that will be providing these services</w:t>
      </w:r>
      <w:r w:rsidR="009B3EC6" w:rsidRPr="005E25DE">
        <w:rPr>
          <w:rFonts w:ascii="Arial" w:hAnsi="Arial" w:cs="Arial"/>
          <w:sz w:val="24"/>
          <w:szCs w:val="24"/>
        </w:rPr>
        <w:t>; 2) does not indicate</w:t>
      </w:r>
      <w:r w:rsidRPr="005E25DE">
        <w:rPr>
          <w:rFonts w:ascii="Arial" w:hAnsi="Arial" w:cs="Arial"/>
          <w:sz w:val="24"/>
          <w:szCs w:val="24"/>
        </w:rPr>
        <w:t xml:space="preserve"> how much</w:t>
      </w:r>
      <w:r w:rsidR="009B3EC6" w:rsidRPr="005E25DE">
        <w:rPr>
          <w:rFonts w:ascii="Arial" w:hAnsi="Arial" w:cs="Arial"/>
          <w:sz w:val="24"/>
          <w:szCs w:val="24"/>
        </w:rPr>
        <w:t xml:space="preserve"> it will be charging third party companies for the right to utilize distribution ratepayer assets; 3) does not indicate whether  FirstEnergy</w:t>
      </w:r>
      <w:r w:rsidR="0084398F">
        <w:rPr>
          <w:rFonts w:ascii="Arial" w:hAnsi="Arial" w:cs="Arial"/>
          <w:sz w:val="24"/>
          <w:szCs w:val="24"/>
        </w:rPr>
        <w:t>,</w:t>
      </w:r>
      <w:r w:rsidR="008B03DA">
        <w:rPr>
          <w:rFonts w:ascii="Arial" w:hAnsi="Arial" w:cs="Arial"/>
          <w:sz w:val="24"/>
          <w:szCs w:val="24"/>
        </w:rPr>
        <w:t xml:space="preserve"> </w:t>
      </w:r>
      <w:r w:rsidR="009B3EC6" w:rsidRPr="005E25DE">
        <w:rPr>
          <w:rFonts w:ascii="Arial" w:hAnsi="Arial" w:cs="Arial"/>
          <w:sz w:val="24"/>
          <w:szCs w:val="24"/>
        </w:rPr>
        <w:t>or FirstEnergy’s parent company</w:t>
      </w:r>
      <w:r w:rsidR="003F6855" w:rsidRPr="005E25DE">
        <w:rPr>
          <w:rFonts w:ascii="Arial" w:hAnsi="Arial" w:cs="Arial"/>
          <w:sz w:val="24"/>
          <w:szCs w:val="24"/>
        </w:rPr>
        <w:t>,</w:t>
      </w:r>
      <w:r w:rsidR="009B3EC6" w:rsidRPr="005E25DE">
        <w:rPr>
          <w:rFonts w:ascii="Arial" w:hAnsi="Arial" w:cs="Arial"/>
          <w:sz w:val="24"/>
          <w:szCs w:val="24"/>
        </w:rPr>
        <w:t xml:space="preserve"> will receive royalty payments from these third party companies</w:t>
      </w:r>
      <w:r w:rsidR="00B12C47" w:rsidRPr="005E25DE">
        <w:rPr>
          <w:rFonts w:ascii="Arial" w:hAnsi="Arial" w:cs="Arial"/>
          <w:sz w:val="24"/>
          <w:szCs w:val="24"/>
        </w:rPr>
        <w:t xml:space="preserve">; 4) does not indicate whether FirstEnergy will </w:t>
      </w:r>
      <w:r w:rsidR="003F6855" w:rsidRPr="005E25DE">
        <w:rPr>
          <w:rFonts w:ascii="Arial" w:hAnsi="Arial" w:cs="Arial"/>
          <w:sz w:val="24"/>
          <w:szCs w:val="24"/>
        </w:rPr>
        <w:t>allow the use of distribution ratepayer assets</w:t>
      </w:r>
      <w:r w:rsidR="00B12C47" w:rsidRPr="005E25DE">
        <w:rPr>
          <w:rFonts w:ascii="Arial" w:hAnsi="Arial" w:cs="Arial"/>
          <w:sz w:val="24"/>
          <w:szCs w:val="24"/>
        </w:rPr>
        <w:t xml:space="preserve"> in a non-discriminatory manner</w:t>
      </w:r>
      <w:r w:rsidR="000B5B87" w:rsidRPr="005E25DE">
        <w:rPr>
          <w:rFonts w:ascii="Arial" w:hAnsi="Arial" w:cs="Arial"/>
          <w:sz w:val="24"/>
          <w:szCs w:val="24"/>
        </w:rPr>
        <w:t>;</w:t>
      </w:r>
      <w:r w:rsidR="007F53E7">
        <w:rPr>
          <w:rFonts w:ascii="Arial" w:hAnsi="Arial" w:cs="Arial"/>
          <w:sz w:val="24"/>
          <w:szCs w:val="24"/>
        </w:rPr>
        <w:t xml:space="preserve"> and </w:t>
      </w:r>
      <w:r w:rsidR="000B5B87" w:rsidRPr="005E25DE">
        <w:rPr>
          <w:rFonts w:ascii="Arial" w:hAnsi="Arial" w:cs="Arial"/>
          <w:sz w:val="24"/>
          <w:szCs w:val="24"/>
        </w:rPr>
        <w:t xml:space="preserve"> 5) does not </w:t>
      </w:r>
      <w:r w:rsidR="000B5B87" w:rsidRPr="005E25DE">
        <w:rPr>
          <w:rFonts w:ascii="Arial" w:hAnsi="Arial" w:cs="Arial"/>
          <w:sz w:val="24"/>
          <w:szCs w:val="24"/>
        </w:rPr>
        <w:lastRenderedPageBreak/>
        <w:t>limit the type of insurance services covered in the Application</w:t>
      </w:r>
      <w:r w:rsidR="00B12C47" w:rsidRPr="005E25DE">
        <w:rPr>
          <w:rFonts w:ascii="Arial" w:hAnsi="Arial" w:cs="Arial"/>
          <w:sz w:val="24"/>
          <w:szCs w:val="24"/>
        </w:rPr>
        <w:t>. In short</w:t>
      </w:r>
      <w:r w:rsidR="00D84958" w:rsidRPr="005E25DE">
        <w:rPr>
          <w:rFonts w:ascii="Arial" w:hAnsi="Arial" w:cs="Arial"/>
          <w:sz w:val="24"/>
          <w:szCs w:val="24"/>
        </w:rPr>
        <w:t>,</w:t>
      </w:r>
      <w:r w:rsidR="00B12C47" w:rsidRPr="005E25DE">
        <w:rPr>
          <w:rFonts w:ascii="Arial" w:hAnsi="Arial" w:cs="Arial"/>
          <w:sz w:val="24"/>
          <w:szCs w:val="24"/>
        </w:rPr>
        <w:t xml:space="preserve"> </w:t>
      </w:r>
      <w:r w:rsidR="00414055" w:rsidRPr="005E25DE">
        <w:rPr>
          <w:rFonts w:ascii="Arial" w:hAnsi="Arial" w:cs="Arial"/>
          <w:sz w:val="24"/>
          <w:szCs w:val="24"/>
        </w:rPr>
        <w:t>FirstEnergy’s</w:t>
      </w:r>
      <w:r w:rsidR="00B12C47" w:rsidRPr="005E25DE">
        <w:rPr>
          <w:rFonts w:ascii="Arial" w:hAnsi="Arial" w:cs="Arial"/>
          <w:sz w:val="24"/>
          <w:szCs w:val="24"/>
        </w:rPr>
        <w:t xml:space="preserve"> Application is vague and opaque.  </w:t>
      </w:r>
    </w:p>
    <w:p w14:paraId="551009DD" w14:textId="6E205597" w:rsidR="00142022" w:rsidRPr="005E25DE" w:rsidRDefault="0084398F" w:rsidP="008B03DA">
      <w:pPr>
        <w:spacing w:line="480" w:lineRule="auto"/>
        <w:jc w:val="both"/>
        <w:rPr>
          <w:rFonts w:ascii="Arial" w:hAnsi="Arial" w:cs="Arial"/>
          <w:sz w:val="24"/>
          <w:szCs w:val="24"/>
        </w:rPr>
      </w:pPr>
      <w:r>
        <w:rPr>
          <w:rFonts w:ascii="Arial" w:hAnsi="Arial" w:cs="Arial"/>
          <w:sz w:val="24"/>
          <w:szCs w:val="24"/>
        </w:rPr>
        <w:tab/>
        <w:t>On December</w:t>
      </w:r>
      <w:r w:rsidR="00B12C47" w:rsidRPr="005E25DE">
        <w:rPr>
          <w:rFonts w:ascii="Arial" w:hAnsi="Arial" w:cs="Arial"/>
          <w:sz w:val="24"/>
          <w:szCs w:val="24"/>
        </w:rPr>
        <w:t xml:space="preserve"> </w:t>
      </w:r>
      <w:r>
        <w:rPr>
          <w:rFonts w:ascii="Arial" w:hAnsi="Arial" w:cs="Arial"/>
          <w:sz w:val="24"/>
          <w:szCs w:val="24"/>
        </w:rPr>
        <w:t>3</w:t>
      </w:r>
      <w:r w:rsidRPr="0084398F">
        <w:rPr>
          <w:rFonts w:ascii="Arial" w:hAnsi="Arial" w:cs="Arial"/>
          <w:sz w:val="24"/>
          <w:szCs w:val="24"/>
          <w:vertAlign w:val="superscript"/>
        </w:rPr>
        <w:t>rd</w:t>
      </w:r>
      <w:r>
        <w:rPr>
          <w:rFonts w:ascii="Arial" w:hAnsi="Arial" w:cs="Arial"/>
          <w:sz w:val="24"/>
          <w:szCs w:val="24"/>
        </w:rPr>
        <w:t xml:space="preserve"> </w:t>
      </w:r>
      <w:r w:rsidR="00B12C47" w:rsidRPr="005E25DE">
        <w:rPr>
          <w:rFonts w:ascii="Arial" w:hAnsi="Arial" w:cs="Arial"/>
          <w:sz w:val="24"/>
          <w:szCs w:val="24"/>
        </w:rPr>
        <w:t>2014, Interstate Gas Supply, Inc. (“IGS Energy”) and IGS Home Services (collectively “IGS”) filed a Motion to Intervene and Request for Procedural Schedule in this proceeding.  As a competitive retail electric service (“CRES”) provider in the FirstEnergy service terri</w:t>
      </w:r>
      <w:r w:rsidR="00D84958" w:rsidRPr="005E25DE">
        <w:rPr>
          <w:rFonts w:ascii="Arial" w:hAnsi="Arial" w:cs="Arial"/>
          <w:sz w:val="24"/>
          <w:szCs w:val="24"/>
        </w:rPr>
        <w:t>tory, IGS Ene</w:t>
      </w:r>
      <w:bookmarkStart w:id="0" w:name="_GoBack"/>
      <w:bookmarkEnd w:id="0"/>
      <w:r w:rsidR="00D84958" w:rsidRPr="005E25DE">
        <w:rPr>
          <w:rFonts w:ascii="Arial" w:hAnsi="Arial" w:cs="Arial"/>
          <w:sz w:val="24"/>
          <w:szCs w:val="24"/>
        </w:rPr>
        <w:t xml:space="preserve">rgy has a substantial </w:t>
      </w:r>
      <w:r w:rsidR="000B5B87" w:rsidRPr="005E25DE">
        <w:rPr>
          <w:rFonts w:ascii="Arial" w:hAnsi="Arial" w:cs="Arial"/>
          <w:sz w:val="24"/>
          <w:szCs w:val="24"/>
        </w:rPr>
        <w:t xml:space="preserve">interest in </w:t>
      </w:r>
      <w:r w:rsidR="00B12C47" w:rsidRPr="005E25DE">
        <w:rPr>
          <w:rFonts w:ascii="Arial" w:hAnsi="Arial" w:cs="Arial"/>
          <w:sz w:val="24"/>
          <w:szCs w:val="24"/>
        </w:rPr>
        <w:t xml:space="preserve">ensuring </w:t>
      </w:r>
      <w:r w:rsidR="000B5B87" w:rsidRPr="005E25DE">
        <w:rPr>
          <w:rFonts w:ascii="Arial" w:hAnsi="Arial" w:cs="Arial"/>
          <w:sz w:val="24"/>
          <w:szCs w:val="24"/>
        </w:rPr>
        <w:t xml:space="preserve">1) </w:t>
      </w:r>
      <w:r w:rsidR="00B12C47" w:rsidRPr="005E25DE">
        <w:rPr>
          <w:rFonts w:ascii="Arial" w:hAnsi="Arial" w:cs="Arial"/>
          <w:sz w:val="24"/>
          <w:szCs w:val="24"/>
        </w:rPr>
        <w:t xml:space="preserve">that FirstEnergy’s markets </w:t>
      </w:r>
      <w:r w:rsidR="00D84958" w:rsidRPr="005E25DE">
        <w:rPr>
          <w:rFonts w:ascii="Arial" w:hAnsi="Arial" w:cs="Arial"/>
          <w:sz w:val="24"/>
          <w:szCs w:val="24"/>
        </w:rPr>
        <w:t>remain competitive;</w:t>
      </w:r>
      <w:r w:rsidR="000B5B87" w:rsidRPr="005E25DE">
        <w:rPr>
          <w:rFonts w:ascii="Arial" w:hAnsi="Arial" w:cs="Arial"/>
          <w:sz w:val="24"/>
          <w:szCs w:val="24"/>
        </w:rPr>
        <w:t xml:space="preserve"> 2)</w:t>
      </w:r>
      <w:r w:rsidR="00D84958" w:rsidRPr="005E25DE">
        <w:rPr>
          <w:rFonts w:ascii="Arial" w:hAnsi="Arial" w:cs="Arial"/>
          <w:sz w:val="24"/>
          <w:szCs w:val="24"/>
        </w:rPr>
        <w:t xml:space="preserve"> that FirstEnergy does not unduly favor a select group of companies while discriminating against all other companies; and </w:t>
      </w:r>
      <w:r w:rsidR="000B5B87" w:rsidRPr="005E25DE">
        <w:rPr>
          <w:rFonts w:ascii="Arial" w:hAnsi="Arial" w:cs="Arial"/>
          <w:sz w:val="24"/>
          <w:szCs w:val="24"/>
        </w:rPr>
        <w:t xml:space="preserve">3) </w:t>
      </w:r>
      <w:r w:rsidR="00D84958" w:rsidRPr="005E25DE">
        <w:rPr>
          <w:rFonts w:ascii="Arial" w:hAnsi="Arial" w:cs="Arial"/>
          <w:sz w:val="24"/>
          <w:szCs w:val="24"/>
        </w:rPr>
        <w:t xml:space="preserve">that FirstEnergy does not use distribution ratepayer assets to subsidize competitive products in the market.  Further, IGS Home Services is a provider of non-commodity products and services (similar to the non-commodity products and services FirstEnergy is now selling to customers) </w:t>
      </w:r>
      <w:r w:rsidR="006D1A4B">
        <w:rPr>
          <w:rFonts w:ascii="Arial" w:hAnsi="Arial" w:cs="Arial"/>
          <w:sz w:val="24"/>
          <w:szCs w:val="24"/>
        </w:rPr>
        <w:t xml:space="preserve">and </w:t>
      </w:r>
      <w:r w:rsidR="00D84958" w:rsidRPr="005E25DE">
        <w:rPr>
          <w:rFonts w:ascii="Arial" w:hAnsi="Arial" w:cs="Arial"/>
          <w:sz w:val="24"/>
          <w:szCs w:val="24"/>
        </w:rPr>
        <w:t>has a vested interest in ensuring that FirstEnergy does not use its monopoly status to favor competing non-commodity products in the market.</w:t>
      </w:r>
    </w:p>
    <w:p w14:paraId="63574E95" w14:textId="218915F5" w:rsidR="00D84958" w:rsidRDefault="00D84958" w:rsidP="008B03DA">
      <w:pPr>
        <w:spacing w:line="480" w:lineRule="auto"/>
        <w:jc w:val="both"/>
        <w:rPr>
          <w:rFonts w:ascii="Arial" w:hAnsi="Arial" w:cs="Arial"/>
          <w:sz w:val="24"/>
          <w:szCs w:val="24"/>
        </w:rPr>
      </w:pPr>
      <w:r w:rsidRPr="005E25DE">
        <w:rPr>
          <w:rFonts w:ascii="Arial" w:hAnsi="Arial" w:cs="Arial"/>
          <w:sz w:val="24"/>
          <w:szCs w:val="24"/>
        </w:rPr>
        <w:tab/>
      </w:r>
      <w:r w:rsidR="007C547A" w:rsidRPr="005E25DE">
        <w:rPr>
          <w:rFonts w:ascii="Arial" w:hAnsi="Arial" w:cs="Arial"/>
          <w:sz w:val="24"/>
          <w:szCs w:val="24"/>
        </w:rPr>
        <w:t>In its Memorandum Contra IGS</w:t>
      </w:r>
      <w:r w:rsidR="006D1A4B">
        <w:rPr>
          <w:rFonts w:ascii="Arial" w:hAnsi="Arial" w:cs="Arial"/>
          <w:sz w:val="24"/>
          <w:szCs w:val="24"/>
        </w:rPr>
        <w:t>’</w:t>
      </w:r>
      <w:r w:rsidR="007C547A" w:rsidRPr="005E25DE">
        <w:rPr>
          <w:rFonts w:ascii="Arial" w:hAnsi="Arial" w:cs="Arial"/>
          <w:sz w:val="24"/>
          <w:szCs w:val="24"/>
        </w:rPr>
        <w:t xml:space="preserve"> Motion</w:t>
      </w:r>
      <w:r w:rsidR="006D1A4B">
        <w:rPr>
          <w:rFonts w:ascii="Arial" w:hAnsi="Arial" w:cs="Arial"/>
          <w:sz w:val="24"/>
          <w:szCs w:val="24"/>
        </w:rPr>
        <w:t>s</w:t>
      </w:r>
      <w:r w:rsidR="003D0B9B" w:rsidRPr="005E25DE">
        <w:rPr>
          <w:rFonts w:ascii="Arial" w:hAnsi="Arial" w:cs="Arial"/>
          <w:sz w:val="24"/>
          <w:szCs w:val="24"/>
        </w:rPr>
        <w:t xml:space="preserve"> (“Memo Contra”)</w:t>
      </w:r>
      <w:r w:rsidR="007C547A" w:rsidRPr="005E25DE">
        <w:rPr>
          <w:rFonts w:ascii="Arial" w:hAnsi="Arial" w:cs="Arial"/>
          <w:sz w:val="24"/>
          <w:szCs w:val="24"/>
        </w:rPr>
        <w:t xml:space="preserve">, FirstEnergy seeks to exclude IGS from this proceeding and would have the Commission rubber stamp its Application without any further investigation or inquiry. </w:t>
      </w:r>
      <w:r w:rsidR="006000B8" w:rsidRPr="005E25DE">
        <w:rPr>
          <w:rFonts w:ascii="Arial" w:hAnsi="Arial" w:cs="Arial"/>
          <w:sz w:val="24"/>
          <w:szCs w:val="24"/>
        </w:rPr>
        <w:t xml:space="preserve">The Commission must not grant this request. </w:t>
      </w:r>
      <w:r w:rsidR="007C547A" w:rsidRPr="005E25DE">
        <w:rPr>
          <w:rFonts w:ascii="Arial" w:hAnsi="Arial" w:cs="Arial"/>
          <w:sz w:val="24"/>
          <w:szCs w:val="24"/>
        </w:rPr>
        <w:t xml:space="preserve"> </w:t>
      </w:r>
      <w:r w:rsidR="000B5B87" w:rsidRPr="005E25DE">
        <w:rPr>
          <w:rFonts w:ascii="Arial" w:hAnsi="Arial" w:cs="Arial"/>
          <w:sz w:val="24"/>
          <w:szCs w:val="24"/>
        </w:rPr>
        <w:t>Despite FirstEnergy’s erroneous claims in its Memo Contra,</w:t>
      </w:r>
      <w:r w:rsidR="00D66A95" w:rsidRPr="005E25DE">
        <w:rPr>
          <w:rFonts w:ascii="Arial" w:hAnsi="Arial" w:cs="Arial"/>
          <w:sz w:val="24"/>
          <w:szCs w:val="24"/>
        </w:rPr>
        <w:t xml:space="preserve"> due process and Ohio law requires that IGS’ Motion to Interven</w:t>
      </w:r>
      <w:r w:rsidR="006000B8" w:rsidRPr="005E25DE">
        <w:rPr>
          <w:rFonts w:ascii="Arial" w:hAnsi="Arial" w:cs="Arial"/>
          <w:sz w:val="24"/>
          <w:szCs w:val="24"/>
        </w:rPr>
        <w:t>e and Request for a Procedural S</w:t>
      </w:r>
      <w:r w:rsidR="00D66A95" w:rsidRPr="005E25DE">
        <w:rPr>
          <w:rFonts w:ascii="Arial" w:hAnsi="Arial" w:cs="Arial"/>
          <w:sz w:val="24"/>
          <w:szCs w:val="24"/>
        </w:rPr>
        <w:t>chedule be granted</w:t>
      </w:r>
      <w:r w:rsidR="000B5B87" w:rsidRPr="005E25DE">
        <w:rPr>
          <w:rFonts w:ascii="Arial" w:hAnsi="Arial" w:cs="Arial"/>
          <w:sz w:val="24"/>
          <w:szCs w:val="24"/>
        </w:rPr>
        <w:t>.</w:t>
      </w:r>
      <w:r w:rsidR="00D66A95" w:rsidRPr="005E25DE">
        <w:rPr>
          <w:rFonts w:ascii="Arial" w:hAnsi="Arial" w:cs="Arial"/>
          <w:sz w:val="24"/>
          <w:szCs w:val="24"/>
        </w:rPr>
        <w:t xml:space="preserve"> </w:t>
      </w:r>
    </w:p>
    <w:p w14:paraId="5B219BA8" w14:textId="0A61D611" w:rsidR="00084B09" w:rsidRPr="00084B09" w:rsidRDefault="00084B09" w:rsidP="00084B09">
      <w:pPr>
        <w:pStyle w:val="ListParagraph"/>
        <w:numPr>
          <w:ilvl w:val="0"/>
          <w:numId w:val="3"/>
        </w:numPr>
        <w:spacing w:line="480" w:lineRule="auto"/>
        <w:jc w:val="both"/>
        <w:rPr>
          <w:rFonts w:ascii="Arial" w:hAnsi="Arial" w:cs="Arial"/>
          <w:b/>
          <w:sz w:val="24"/>
          <w:szCs w:val="24"/>
        </w:rPr>
      </w:pPr>
      <w:r w:rsidRPr="00084B09">
        <w:rPr>
          <w:rFonts w:ascii="Arial" w:hAnsi="Arial" w:cs="Arial"/>
          <w:b/>
          <w:sz w:val="24"/>
          <w:szCs w:val="24"/>
        </w:rPr>
        <w:t>ARGUMENT</w:t>
      </w:r>
    </w:p>
    <w:p w14:paraId="276E882A" w14:textId="77777777" w:rsidR="00D66A95" w:rsidRPr="005E25DE" w:rsidRDefault="00D66A95" w:rsidP="008B03DA">
      <w:pPr>
        <w:pStyle w:val="ListParagraph"/>
        <w:numPr>
          <w:ilvl w:val="0"/>
          <w:numId w:val="1"/>
        </w:numPr>
        <w:spacing w:line="480" w:lineRule="auto"/>
        <w:jc w:val="both"/>
        <w:rPr>
          <w:rFonts w:ascii="Arial" w:hAnsi="Arial" w:cs="Arial"/>
          <w:b/>
          <w:sz w:val="24"/>
          <w:szCs w:val="24"/>
        </w:rPr>
      </w:pPr>
      <w:r w:rsidRPr="005E25DE">
        <w:rPr>
          <w:rFonts w:ascii="Arial" w:hAnsi="Arial" w:cs="Arial"/>
          <w:b/>
          <w:sz w:val="24"/>
          <w:szCs w:val="24"/>
        </w:rPr>
        <w:t>IGS’ Motion to Intervene</w:t>
      </w:r>
      <w:r w:rsidR="006000B8" w:rsidRPr="005E25DE">
        <w:rPr>
          <w:rFonts w:ascii="Arial" w:hAnsi="Arial" w:cs="Arial"/>
          <w:b/>
          <w:sz w:val="24"/>
          <w:szCs w:val="24"/>
        </w:rPr>
        <w:t xml:space="preserve"> Should be Granted</w:t>
      </w:r>
    </w:p>
    <w:p w14:paraId="566A8B86" w14:textId="69808221" w:rsidR="005D116B" w:rsidRPr="005E25DE" w:rsidRDefault="005D116B" w:rsidP="008B03DA">
      <w:pPr>
        <w:pStyle w:val="ListParagraph"/>
        <w:spacing w:line="480" w:lineRule="auto"/>
        <w:ind w:left="0" w:firstLine="465"/>
        <w:jc w:val="both"/>
        <w:rPr>
          <w:rFonts w:ascii="Arial" w:hAnsi="Arial" w:cs="Arial"/>
          <w:sz w:val="24"/>
          <w:szCs w:val="24"/>
        </w:rPr>
      </w:pPr>
      <w:r w:rsidRPr="005E25DE">
        <w:rPr>
          <w:rFonts w:ascii="Arial" w:hAnsi="Arial" w:cs="Arial"/>
          <w:b/>
          <w:sz w:val="24"/>
          <w:szCs w:val="24"/>
        </w:rPr>
        <w:lastRenderedPageBreak/>
        <w:tab/>
      </w:r>
      <w:r w:rsidRPr="005E25DE">
        <w:rPr>
          <w:rFonts w:ascii="Arial" w:hAnsi="Arial" w:cs="Arial"/>
          <w:sz w:val="24"/>
          <w:szCs w:val="24"/>
        </w:rPr>
        <w:t>As explained in IGS Motion to Intervene, IGS Energy a</w:t>
      </w:r>
      <w:r w:rsidR="006000B8" w:rsidRPr="005E25DE">
        <w:rPr>
          <w:rFonts w:ascii="Arial" w:hAnsi="Arial" w:cs="Arial"/>
          <w:sz w:val="24"/>
          <w:szCs w:val="24"/>
        </w:rPr>
        <w:t>nd IGS Home Services both have</w:t>
      </w:r>
      <w:r w:rsidRPr="005E25DE">
        <w:rPr>
          <w:rFonts w:ascii="Arial" w:hAnsi="Arial" w:cs="Arial"/>
          <w:sz w:val="24"/>
          <w:szCs w:val="24"/>
        </w:rPr>
        <w:t xml:space="preserve"> substantial interest</w:t>
      </w:r>
      <w:r w:rsidR="006000B8" w:rsidRPr="005E25DE">
        <w:rPr>
          <w:rFonts w:ascii="Arial" w:hAnsi="Arial" w:cs="Arial"/>
          <w:sz w:val="24"/>
          <w:szCs w:val="24"/>
        </w:rPr>
        <w:t>s</w:t>
      </w:r>
      <w:r w:rsidRPr="005E25DE">
        <w:rPr>
          <w:rFonts w:ascii="Arial" w:hAnsi="Arial" w:cs="Arial"/>
          <w:sz w:val="24"/>
          <w:szCs w:val="24"/>
        </w:rPr>
        <w:t xml:space="preserve"> in this proceeding that will be materially disadvantaged if IGS</w:t>
      </w:r>
      <w:r w:rsidR="00970A51">
        <w:rPr>
          <w:rFonts w:ascii="Arial" w:hAnsi="Arial" w:cs="Arial"/>
          <w:sz w:val="24"/>
          <w:szCs w:val="24"/>
        </w:rPr>
        <w:t>’</w:t>
      </w:r>
      <w:r w:rsidRPr="005E25DE">
        <w:rPr>
          <w:rFonts w:ascii="Arial" w:hAnsi="Arial" w:cs="Arial"/>
          <w:sz w:val="24"/>
          <w:szCs w:val="24"/>
        </w:rPr>
        <w:t xml:space="preserve"> rights to participate in this proceeding is denied.  Thus, given the Supreme Court of Ohio’s liberal intervention standard (which supersedes any case law FirstEnergy cites in its Memo Contra) the Commission must grant IGS’ Motion to Intervene.</w:t>
      </w:r>
      <w:r w:rsidR="008B03DA">
        <w:rPr>
          <w:rStyle w:val="FootnoteReference"/>
          <w:rFonts w:ascii="Arial" w:hAnsi="Arial" w:cs="Arial"/>
          <w:sz w:val="24"/>
          <w:szCs w:val="24"/>
        </w:rPr>
        <w:footnoteReference w:id="1"/>
      </w:r>
    </w:p>
    <w:p w14:paraId="50776C78" w14:textId="77777777" w:rsidR="00592EE9" w:rsidRDefault="005D116B" w:rsidP="008B03DA">
      <w:pPr>
        <w:pStyle w:val="ListParagraph"/>
        <w:spacing w:line="480" w:lineRule="auto"/>
        <w:ind w:left="0"/>
        <w:jc w:val="both"/>
        <w:rPr>
          <w:rFonts w:ascii="Arial" w:hAnsi="Arial" w:cs="Arial"/>
          <w:sz w:val="24"/>
          <w:szCs w:val="24"/>
        </w:rPr>
      </w:pPr>
      <w:r w:rsidRPr="005E25DE">
        <w:rPr>
          <w:rFonts w:ascii="Arial" w:hAnsi="Arial" w:cs="Arial"/>
          <w:sz w:val="24"/>
          <w:szCs w:val="24"/>
        </w:rPr>
        <w:tab/>
        <w:t>In its Memo Contra</w:t>
      </w:r>
      <w:r w:rsidR="00970A51">
        <w:rPr>
          <w:rFonts w:ascii="Arial" w:hAnsi="Arial" w:cs="Arial"/>
          <w:sz w:val="24"/>
          <w:szCs w:val="24"/>
        </w:rPr>
        <w:t>,</w:t>
      </w:r>
      <w:r w:rsidR="00592EE9" w:rsidRPr="005E25DE">
        <w:rPr>
          <w:rFonts w:ascii="Arial" w:hAnsi="Arial" w:cs="Arial"/>
          <w:sz w:val="24"/>
          <w:szCs w:val="24"/>
        </w:rPr>
        <w:t xml:space="preserve"> FirstEnergy claims that IGS has no interest in this proceeding because IGS does not directly compete against the services FirstEnergy seeks to offer customers.</w:t>
      </w:r>
      <w:r w:rsidR="00592EE9" w:rsidRPr="005E25DE">
        <w:rPr>
          <w:rStyle w:val="FootnoteReference"/>
          <w:rFonts w:ascii="Arial" w:hAnsi="Arial" w:cs="Arial"/>
          <w:sz w:val="24"/>
          <w:szCs w:val="24"/>
        </w:rPr>
        <w:footnoteReference w:id="2"/>
      </w:r>
      <w:r w:rsidR="00592EE9" w:rsidRPr="005E25DE">
        <w:rPr>
          <w:rFonts w:ascii="Arial" w:hAnsi="Arial" w:cs="Arial"/>
          <w:sz w:val="24"/>
          <w:szCs w:val="24"/>
        </w:rPr>
        <w:t xml:space="preserve"> However, </w:t>
      </w:r>
      <w:r w:rsidR="00970A51">
        <w:rPr>
          <w:rFonts w:ascii="Arial" w:hAnsi="Arial" w:cs="Arial"/>
          <w:sz w:val="24"/>
          <w:szCs w:val="24"/>
        </w:rPr>
        <w:t xml:space="preserve">because </w:t>
      </w:r>
      <w:r w:rsidR="00592EE9" w:rsidRPr="005E25DE">
        <w:rPr>
          <w:rFonts w:ascii="Arial" w:hAnsi="Arial" w:cs="Arial"/>
          <w:sz w:val="24"/>
          <w:szCs w:val="24"/>
        </w:rPr>
        <w:t>FirstEnergy’s Application is so devoid of information it is impossible to tell exactly the services FirstEnergy will be provid</w:t>
      </w:r>
      <w:r w:rsidR="007E0B3B" w:rsidRPr="005E25DE">
        <w:rPr>
          <w:rFonts w:ascii="Arial" w:hAnsi="Arial" w:cs="Arial"/>
          <w:sz w:val="24"/>
          <w:szCs w:val="24"/>
        </w:rPr>
        <w:t>ing customers if FirstEnergy’s A</w:t>
      </w:r>
      <w:r w:rsidR="00592EE9" w:rsidRPr="005E25DE">
        <w:rPr>
          <w:rFonts w:ascii="Arial" w:hAnsi="Arial" w:cs="Arial"/>
          <w:sz w:val="24"/>
          <w:szCs w:val="24"/>
        </w:rPr>
        <w:t xml:space="preserve">pplication is granted.  FirstEnergy asks permission to provide “insurance services” which is extremely </w:t>
      </w:r>
      <w:r w:rsidR="008157DB" w:rsidRPr="005E25DE">
        <w:rPr>
          <w:rFonts w:ascii="Arial" w:hAnsi="Arial" w:cs="Arial"/>
          <w:sz w:val="24"/>
          <w:szCs w:val="24"/>
        </w:rPr>
        <w:t xml:space="preserve">broad and </w:t>
      </w:r>
      <w:r w:rsidR="00592EE9" w:rsidRPr="005E25DE">
        <w:rPr>
          <w:rFonts w:ascii="Arial" w:hAnsi="Arial" w:cs="Arial"/>
          <w:sz w:val="24"/>
          <w:szCs w:val="24"/>
        </w:rPr>
        <w:t xml:space="preserve">vague and could include a whole number of services including, but not limited </w:t>
      </w:r>
      <w:r w:rsidR="00970A51">
        <w:rPr>
          <w:rFonts w:ascii="Arial" w:hAnsi="Arial" w:cs="Arial"/>
          <w:sz w:val="24"/>
          <w:szCs w:val="24"/>
        </w:rPr>
        <w:t xml:space="preserve">to </w:t>
      </w:r>
      <w:r w:rsidR="00592EE9" w:rsidRPr="005E25DE">
        <w:rPr>
          <w:rFonts w:ascii="Arial" w:hAnsi="Arial" w:cs="Arial"/>
          <w:sz w:val="24"/>
          <w:szCs w:val="24"/>
        </w:rPr>
        <w:t xml:space="preserve">auto insurance, health insurance, life insurance, and home protection service.  The Application does not limit the type of insurance services- it merely lists disaster insurance as an example of insurance service FirstEnergy </w:t>
      </w:r>
      <w:r w:rsidR="00E40F91" w:rsidRPr="005E25DE">
        <w:rPr>
          <w:rFonts w:ascii="Arial" w:hAnsi="Arial" w:cs="Arial"/>
          <w:sz w:val="24"/>
          <w:szCs w:val="24"/>
        </w:rPr>
        <w:t>“may”</w:t>
      </w:r>
      <w:r w:rsidR="00592EE9" w:rsidRPr="005E25DE">
        <w:rPr>
          <w:rFonts w:ascii="Arial" w:hAnsi="Arial" w:cs="Arial"/>
          <w:sz w:val="24"/>
          <w:szCs w:val="24"/>
        </w:rPr>
        <w:t xml:space="preserve"> provide customers.</w:t>
      </w:r>
      <w:r w:rsidR="008157DB" w:rsidRPr="005E25DE">
        <w:rPr>
          <w:rFonts w:ascii="Arial" w:hAnsi="Arial" w:cs="Arial"/>
          <w:sz w:val="24"/>
          <w:szCs w:val="24"/>
        </w:rPr>
        <w:t xml:space="preserve"> Thus, FirstEnergy cannot now claim that IGS will not compete, either directly or indirectly, against the products FirstEnergy will be offering, when it is impossible to tell what products FirstEnergy actually will be offering to customers.</w:t>
      </w:r>
    </w:p>
    <w:p w14:paraId="6134675A" w14:textId="3FD1F491" w:rsidR="007F53E7" w:rsidRPr="005E25DE" w:rsidRDefault="007F53E7" w:rsidP="008B03DA">
      <w:pPr>
        <w:pStyle w:val="ListParagraph"/>
        <w:spacing w:line="480" w:lineRule="auto"/>
        <w:ind w:left="0"/>
        <w:jc w:val="both"/>
        <w:rPr>
          <w:rFonts w:ascii="Arial" w:hAnsi="Arial" w:cs="Arial"/>
          <w:sz w:val="24"/>
          <w:szCs w:val="24"/>
        </w:rPr>
      </w:pPr>
      <w:r>
        <w:rPr>
          <w:rFonts w:ascii="Arial" w:hAnsi="Arial" w:cs="Arial"/>
          <w:sz w:val="24"/>
          <w:szCs w:val="24"/>
        </w:rPr>
        <w:lastRenderedPageBreak/>
        <w:tab/>
        <w:t xml:space="preserve">Further, </w:t>
      </w:r>
      <w:r w:rsidR="009C1BCE">
        <w:rPr>
          <w:rFonts w:ascii="Arial" w:hAnsi="Arial" w:cs="Arial"/>
          <w:sz w:val="24"/>
          <w:szCs w:val="24"/>
        </w:rPr>
        <w:t>while it is impossible to tell which new insurance products FirstEnergy intends to offer customers, IGS undoubtedly is a competitor of FirstEnergy’s existing</w:t>
      </w:r>
      <w:r w:rsidR="006D1A4B">
        <w:rPr>
          <w:rFonts w:ascii="Arial" w:hAnsi="Arial" w:cs="Arial"/>
          <w:sz w:val="24"/>
          <w:szCs w:val="24"/>
        </w:rPr>
        <w:t xml:space="preserve"> unregulated</w:t>
      </w:r>
      <w:r w:rsidR="009C1BCE">
        <w:rPr>
          <w:rFonts w:ascii="Arial" w:hAnsi="Arial" w:cs="Arial"/>
          <w:sz w:val="24"/>
          <w:szCs w:val="24"/>
        </w:rPr>
        <w:t xml:space="preserve"> product offering</w:t>
      </w:r>
      <w:r w:rsidR="006D1A4B">
        <w:rPr>
          <w:rFonts w:ascii="Arial" w:hAnsi="Arial" w:cs="Arial"/>
          <w:sz w:val="24"/>
          <w:szCs w:val="24"/>
        </w:rPr>
        <w:t>s</w:t>
      </w:r>
      <w:r w:rsidR="009C1BCE">
        <w:rPr>
          <w:rFonts w:ascii="Arial" w:hAnsi="Arial" w:cs="Arial"/>
          <w:sz w:val="24"/>
          <w:szCs w:val="24"/>
        </w:rPr>
        <w:t xml:space="preserve"> to customers.  </w:t>
      </w:r>
      <w:r>
        <w:rPr>
          <w:rFonts w:ascii="Arial" w:hAnsi="Arial" w:cs="Arial"/>
          <w:sz w:val="24"/>
          <w:szCs w:val="24"/>
        </w:rPr>
        <w:t>IGS Home S</w:t>
      </w:r>
      <w:r w:rsidR="009C1BCE">
        <w:rPr>
          <w:rFonts w:ascii="Arial" w:hAnsi="Arial" w:cs="Arial"/>
          <w:sz w:val="24"/>
          <w:szCs w:val="24"/>
        </w:rPr>
        <w:t xml:space="preserve">ervices </w:t>
      </w:r>
      <w:r>
        <w:rPr>
          <w:rFonts w:ascii="Arial" w:hAnsi="Arial" w:cs="Arial"/>
          <w:sz w:val="24"/>
          <w:szCs w:val="24"/>
        </w:rPr>
        <w:t>currently</w:t>
      </w:r>
      <w:r w:rsidR="009C1BCE">
        <w:rPr>
          <w:rFonts w:ascii="Arial" w:hAnsi="Arial" w:cs="Arial"/>
          <w:sz w:val="24"/>
          <w:szCs w:val="24"/>
        </w:rPr>
        <w:t xml:space="preserve"> offers</w:t>
      </w:r>
      <w:r>
        <w:rPr>
          <w:rFonts w:ascii="Arial" w:hAnsi="Arial" w:cs="Arial"/>
          <w:sz w:val="24"/>
          <w:szCs w:val="24"/>
        </w:rPr>
        <w:t xml:space="preserve"> Home Protection </w:t>
      </w:r>
      <w:r w:rsidR="008B03DA">
        <w:rPr>
          <w:rFonts w:ascii="Arial" w:hAnsi="Arial" w:cs="Arial"/>
          <w:sz w:val="24"/>
          <w:szCs w:val="24"/>
        </w:rPr>
        <w:t>products</w:t>
      </w:r>
      <w:r>
        <w:rPr>
          <w:rFonts w:ascii="Arial" w:hAnsi="Arial" w:cs="Arial"/>
          <w:sz w:val="24"/>
          <w:szCs w:val="24"/>
        </w:rPr>
        <w:t xml:space="preserve"> which</w:t>
      </w:r>
      <w:r w:rsidR="009C1BCE">
        <w:rPr>
          <w:rFonts w:ascii="Arial" w:hAnsi="Arial" w:cs="Arial"/>
          <w:sz w:val="24"/>
          <w:szCs w:val="24"/>
        </w:rPr>
        <w:t xml:space="preserve"> are unregulated products</w:t>
      </w:r>
      <w:r>
        <w:rPr>
          <w:rFonts w:ascii="Arial" w:hAnsi="Arial" w:cs="Arial"/>
          <w:sz w:val="24"/>
          <w:szCs w:val="24"/>
        </w:rPr>
        <w:t xml:space="preserve"> FirstEnergy now offers to</w:t>
      </w:r>
      <w:r w:rsidR="009C1BCE">
        <w:rPr>
          <w:rFonts w:ascii="Arial" w:hAnsi="Arial" w:cs="Arial"/>
          <w:sz w:val="24"/>
          <w:szCs w:val="24"/>
        </w:rPr>
        <w:t xml:space="preserve"> customers</w:t>
      </w:r>
      <w:r>
        <w:rPr>
          <w:rFonts w:ascii="Arial" w:hAnsi="Arial" w:cs="Arial"/>
          <w:sz w:val="24"/>
          <w:szCs w:val="24"/>
        </w:rPr>
        <w:t xml:space="preserve"> and advertises on its website. </w:t>
      </w:r>
    </w:p>
    <w:p w14:paraId="10891ACD" w14:textId="3FED256A" w:rsidR="003F6855" w:rsidRPr="005E25DE" w:rsidRDefault="00592EE9" w:rsidP="008B03DA">
      <w:pPr>
        <w:pStyle w:val="ListParagraph"/>
        <w:spacing w:line="480" w:lineRule="auto"/>
        <w:ind w:left="0"/>
        <w:jc w:val="both"/>
        <w:rPr>
          <w:rFonts w:ascii="Arial" w:hAnsi="Arial" w:cs="Arial"/>
          <w:sz w:val="24"/>
          <w:szCs w:val="24"/>
        </w:rPr>
      </w:pPr>
      <w:r w:rsidRPr="005E25DE">
        <w:rPr>
          <w:rFonts w:ascii="Arial" w:hAnsi="Arial" w:cs="Arial"/>
          <w:sz w:val="24"/>
          <w:szCs w:val="24"/>
        </w:rPr>
        <w:tab/>
      </w:r>
      <w:r w:rsidR="007F53E7">
        <w:rPr>
          <w:rFonts w:ascii="Arial" w:hAnsi="Arial" w:cs="Arial"/>
          <w:sz w:val="24"/>
          <w:szCs w:val="24"/>
        </w:rPr>
        <w:t>T</w:t>
      </w:r>
      <w:r w:rsidRPr="005E25DE">
        <w:rPr>
          <w:rFonts w:ascii="Arial" w:hAnsi="Arial" w:cs="Arial"/>
          <w:sz w:val="24"/>
          <w:szCs w:val="24"/>
        </w:rPr>
        <w:t>he Application</w:t>
      </w:r>
      <w:r w:rsidR="007F53E7">
        <w:rPr>
          <w:rFonts w:ascii="Arial" w:hAnsi="Arial" w:cs="Arial"/>
          <w:sz w:val="24"/>
          <w:szCs w:val="24"/>
        </w:rPr>
        <w:t xml:space="preserve"> also</w:t>
      </w:r>
      <w:r w:rsidRPr="005E25DE">
        <w:rPr>
          <w:rFonts w:ascii="Arial" w:hAnsi="Arial" w:cs="Arial"/>
          <w:sz w:val="24"/>
          <w:szCs w:val="24"/>
        </w:rPr>
        <w:t xml:space="preserve"> indicates that it will be utilizing the utility bill to bill for the non-commodity insurance services it wishes to offer customers.</w:t>
      </w:r>
      <w:r w:rsidRPr="005E25DE">
        <w:rPr>
          <w:rStyle w:val="FootnoteReference"/>
          <w:rFonts w:ascii="Arial" w:hAnsi="Arial" w:cs="Arial"/>
          <w:sz w:val="24"/>
          <w:szCs w:val="24"/>
        </w:rPr>
        <w:footnoteReference w:id="3"/>
      </w:r>
      <w:r w:rsidRPr="005E25DE">
        <w:rPr>
          <w:rFonts w:ascii="Arial" w:hAnsi="Arial" w:cs="Arial"/>
          <w:sz w:val="24"/>
          <w:szCs w:val="24"/>
        </w:rPr>
        <w:t xml:space="preserve">   IGS has requested that FirstEnergy allow IGS to place charges on the EDU bill for similar non-commodity services.  </w:t>
      </w:r>
      <w:r w:rsidRPr="005E25DE">
        <w:rPr>
          <w:rFonts w:ascii="Arial" w:hAnsi="Arial" w:cs="Arial"/>
          <w:i/>
          <w:sz w:val="24"/>
          <w:szCs w:val="24"/>
        </w:rPr>
        <w:t>See attached IGS’ Letter to FirstEnergy</w:t>
      </w:r>
      <w:r w:rsidRPr="005E25DE">
        <w:rPr>
          <w:rFonts w:ascii="Arial" w:hAnsi="Arial" w:cs="Arial"/>
          <w:sz w:val="24"/>
          <w:szCs w:val="24"/>
        </w:rPr>
        <w:t xml:space="preserve">.  FirstEnergy has denied IGS’ request.  </w:t>
      </w:r>
      <w:r w:rsidRPr="005E25DE">
        <w:rPr>
          <w:rFonts w:ascii="Arial" w:hAnsi="Arial" w:cs="Arial"/>
          <w:i/>
          <w:sz w:val="24"/>
          <w:szCs w:val="24"/>
        </w:rPr>
        <w:t>See attached letter denying IGS’ request</w:t>
      </w:r>
      <w:r w:rsidRPr="005E25DE">
        <w:rPr>
          <w:rFonts w:ascii="Arial" w:hAnsi="Arial" w:cs="Arial"/>
          <w:sz w:val="24"/>
          <w:szCs w:val="24"/>
        </w:rPr>
        <w:t>.</w:t>
      </w:r>
      <w:r w:rsidR="00FE33D6" w:rsidRPr="005E25DE">
        <w:rPr>
          <w:rFonts w:ascii="Arial" w:hAnsi="Arial" w:cs="Arial"/>
          <w:sz w:val="24"/>
          <w:szCs w:val="24"/>
        </w:rPr>
        <w:t xml:space="preserve"> </w:t>
      </w:r>
      <w:r w:rsidR="006E6627" w:rsidRPr="005E25DE">
        <w:rPr>
          <w:rFonts w:ascii="Arial" w:hAnsi="Arial" w:cs="Arial"/>
          <w:sz w:val="24"/>
          <w:szCs w:val="24"/>
        </w:rPr>
        <w:t>I</w:t>
      </w:r>
      <w:r w:rsidR="00FE33D6" w:rsidRPr="005E25DE">
        <w:rPr>
          <w:rFonts w:ascii="Arial" w:hAnsi="Arial" w:cs="Arial"/>
          <w:sz w:val="24"/>
          <w:szCs w:val="24"/>
        </w:rPr>
        <w:t xml:space="preserve">n this proceeding, FirstEnergy is once again seeking to expand its non-commodity product offerings that can be billed on the utility bill, yet FirstEnergy is actively excluding CRES providers </w:t>
      </w:r>
      <w:r w:rsidR="006E6627" w:rsidRPr="005E25DE">
        <w:rPr>
          <w:rFonts w:ascii="Arial" w:hAnsi="Arial" w:cs="Arial"/>
          <w:sz w:val="24"/>
          <w:szCs w:val="24"/>
        </w:rPr>
        <w:t>(</w:t>
      </w:r>
      <w:r w:rsidR="00FE33D6" w:rsidRPr="005E25DE">
        <w:rPr>
          <w:rFonts w:ascii="Arial" w:hAnsi="Arial" w:cs="Arial"/>
          <w:sz w:val="24"/>
          <w:szCs w:val="24"/>
        </w:rPr>
        <w:t>such as IGS</w:t>
      </w:r>
      <w:r w:rsidR="006E6627" w:rsidRPr="005E25DE">
        <w:rPr>
          <w:rFonts w:ascii="Arial" w:hAnsi="Arial" w:cs="Arial"/>
          <w:sz w:val="24"/>
          <w:szCs w:val="24"/>
        </w:rPr>
        <w:t>)</w:t>
      </w:r>
      <w:r w:rsidR="00FE33D6" w:rsidRPr="005E25DE">
        <w:rPr>
          <w:rFonts w:ascii="Arial" w:hAnsi="Arial" w:cs="Arial"/>
          <w:sz w:val="24"/>
          <w:szCs w:val="24"/>
        </w:rPr>
        <w:t xml:space="preserve"> from billing for non-commodity charges.  Thus, IGS has a direct and substantial interest in this proceeding to ensure that preferential </w:t>
      </w:r>
      <w:r w:rsidR="006E6627" w:rsidRPr="005E25DE">
        <w:rPr>
          <w:rFonts w:ascii="Arial" w:hAnsi="Arial" w:cs="Arial"/>
          <w:sz w:val="24"/>
          <w:szCs w:val="24"/>
        </w:rPr>
        <w:t>access</w:t>
      </w:r>
      <w:r w:rsidR="00FE33D6" w:rsidRPr="005E25DE">
        <w:rPr>
          <w:rFonts w:ascii="Arial" w:hAnsi="Arial" w:cs="Arial"/>
          <w:sz w:val="24"/>
          <w:szCs w:val="24"/>
        </w:rPr>
        <w:t xml:space="preserve"> to the electric distribution utility bill does not continue to be given to a select group of companies of FirstEnergy’s choosing.</w:t>
      </w:r>
    </w:p>
    <w:p w14:paraId="76D5F0D4" w14:textId="42847D5D" w:rsidR="00686D64" w:rsidRPr="005E25DE" w:rsidRDefault="007276D1" w:rsidP="008B03DA">
      <w:pPr>
        <w:spacing w:line="480" w:lineRule="auto"/>
        <w:jc w:val="both"/>
        <w:rPr>
          <w:rFonts w:ascii="Arial" w:hAnsi="Arial" w:cs="Arial"/>
          <w:sz w:val="24"/>
          <w:szCs w:val="24"/>
        </w:rPr>
      </w:pPr>
      <w:r w:rsidRPr="005E25DE">
        <w:rPr>
          <w:rFonts w:ascii="Arial" w:hAnsi="Arial" w:cs="Arial"/>
          <w:b/>
          <w:sz w:val="24"/>
          <w:szCs w:val="24"/>
        </w:rPr>
        <w:tab/>
      </w:r>
      <w:r w:rsidR="003F6855" w:rsidRPr="005E25DE">
        <w:rPr>
          <w:rFonts w:ascii="Arial" w:hAnsi="Arial" w:cs="Arial"/>
          <w:sz w:val="24"/>
          <w:szCs w:val="24"/>
        </w:rPr>
        <w:t xml:space="preserve">Moreover, </w:t>
      </w:r>
      <w:r w:rsidR="006E6627" w:rsidRPr="005E25DE">
        <w:rPr>
          <w:rFonts w:ascii="Arial" w:hAnsi="Arial" w:cs="Arial"/>
          <w:sz w:val="24"/>
          <w:szCs w:val="24"/>
        </w:rPr>
        <w:t xml:space="preserve">in its Memo Contra </w:t>
      </w:r>
      <w:r w:rsidR="00686D64" w:rsidRPr="005E25DE">
        <w:rPr>
          <w:rFonts w:ascii="Arial" w:hAnsi="Arial" w:cs="Arial"/>
          <w:sz w:val="24"/>
          <w:szCs w:val="24"/>
        </w:rPr>
        <w:t xml:space="preserve">FirstEnergy only sites one case from 2005 that </w:t>
      </w:r>
      <w:r w:rsidR="000B5B87" w:rsidRPr="005E25DE">
        <w:rPr>
          <w:rFonts w:ascii="Arial" w:hAnsi="Arial" w:cs="Arial"/>
          <w:sz w:val="24"/>
          <w:szCs w:val="24"/>
        </w:rPr>
        <w:t>purportedly</w:t>
      </w:r>
      <w:r w:rsidR="00686D64" w:rsidRPr="005E25DE">
        <w:rPr>
          <w:rFonts w:ascii="Arial" w:hAnsi="Arial" w:cs="Arial"/>
          <w:sz w:val="24"/>
          <w:szCs w:val="24"/>
        </w:rPr>
        <w:t xml:space="preserve"> supports excluding IGS’ participation in this proceeding.</w:t>
      </w:r>
      <w:r w:rsidR="00686D64" w:rsidRPr="005E25DE">
        <w:rPr>
          <w:rStyle w:val="FootnoteReference"/>
          <w:rFonts w:ascii="Arial" w:hAnsi="Arial" w:cs="Arial"/>
          <w:sz w:val="24"/>
          <w:szCs w:val="24"/>
        </w:rPr>
        <w:footnoteReference w:id="4"/>
      </w:r>
      <w:r w:rsidR="00686D64" w:rsidRPr="005E25DE">
        <w:rPr>
          <w:rFonts w:ascii="Arial" w:hAnsi="Arial" w:cs="Arial"/>
          <w:sz w:val="24"/>
          <w:szCs w:val="24"/>
        </w:rPr>
        <w:t xml:space="preserve">   That case, however,</w:t>
      </w:r>
      <w:r w:rsidR="00091DE0">
        <w:rPr>
          <w:rFonts w:ascii="Arial" w:hAnsi="Arial" w:cs="Arial"/>
          <w:sz w:val="24"/>
          <w:szCs w:val="24"/>
        </w:rPr>
        <w:t xml:space="preserve"> involved an unregulated entity attempting to intervene in rate case pertaining to regulated service; thus, the Commission determined the unregulated entity could offer little contribution to the issues in the case.  And that case</w:t>
      </w:r>
      <w:r w:rsidR="00686D64" w:rsidRPr="005E25DE">
        <w:rPr>
          <w:rFonts w:ascii="Arial" w:hAnsi="Arial" w:cs="Arial"/>
          <w:sz w:val="24"/>
          <w:szCs w:val="24"/>
        </w:rPr>
        <w:t xml:space="preserve"> was determined </w:t>
      </w:r>
      <w:r w:rsidR="008B03DA">
        <w:rPr>
          <w:rFonts w:ascii="Arial" w:hAnsi="Arial" w:cs="Arial"/>
          <w:i/>
          <w:sz w:val="24"/>
          <w:szCs w:val="24"/>
        </w:rPr>
        <w:t>before</w:t>
      </w:r>
      <w:r w:rsidR="00686D64" w:rsidRPr="005E25DE">
        <w:rPr>
          <w:rFonts w:ascii="Arial" w:hAnsi="Arial" w:cs="Arial"/>
          <w:sz w:val="24"/>
          <w:szCs w:val="24"/>
        </w:rPr>
        <w:t xml:space="preserve"> the Supreme Court of Ohio ruled that intervention ough</w:t>
      </w:r>
      <w:r w:rsidR="000B5B87" w:rsidRPr="005E25DE">
        <w:rPr>
          <w:rFonts w:ascii="Arial" w:hAnsi="Arial" w:cs="Arial"/>
          <w:sz w:val="24"/>
          <w:szCs w:val="24"/>
        </w:rPr>
        <w:t xml:space="preserve">t to be liberally allowed, </w:t>
      </w:r>
      <w:r w:rsidR="000B5B87" w:rsidRPr="005E25DE">
        <w:rPr>
          <w:rFonts w:ascii="Arial" w:hAnsi="Arial" w:cs="Arial"/>
          <w:sz w:val="24"/>
          <w:szCs w:val="24"/>
        </w:rPr>
        <w:lastRenderedPageBreak/>
        <w:t>overruling the Commission</w:t>
      </w:r>
      <w:r w:rsidR="005F2FAB" w:rsidRPr="005E25DE">
        <w:rPr>
          <w:rFonts w:ascii="Arial" w:hAnsi="Arial" w:cs="Arial"/>
          <w:sz w:val="24"/>
          <w:szCs w:val="24"/>
        </w:rPr>
        <w:t>’s previous</w:t>
      </w:r>
      <w:r w:rsidR="00686D64" w:rsidRPr="005E25DE">
        <w:rPr>
          <w:rFonts w:ascii="Arial" w:hAnsi="Arial" w:cs="Arial"/>
          <w:sz w:val="24"/>
          <w:szCs w:val="24"/>
        </w:rPr>
        <w:t xml:space="preserve"> stricter </w:t>
      </w:r>
      <w:r w:rsidR="000B5B87" w:rsidRPr="005E25DE">
        <w:rPr>
          <w:rFonts w:ascii="Arial" w:hAnsi="Arial" w:cs="Arial"/>
          <w:sz w:val="24"/>
          <w:szCs w:val="24"/>
        </w:rPr>
        <w:t>interpretation</w:t>
      </w:r>
      <w:r w:rsidR="00686D64" w:rsidRPr="005E25DE">
        <w:rPr>
          <w:rFonts w:ascii="Arial" w:hAnsi="Arial" w:cs="Arial"/>
          <w:sz w:val="24"/>
          <w:szCs w:val="24"/>
        </w:rPr>
        <w:t xml:space="preserve"> of the intervention standards.  </w:t>
      </w:r>
      <w:r w:rsidR="000B5B87" w:rsidRPr="005E25DE">
        <w:rPr>
          <w:rFonts w:ascii="Arial" w:hAnsi="Arial" w:cs="Arial"/>
          <w:sz w:val="24"/>
          <w:szCs w:val="24"/>
        </w:rPr>
        <w:t xml:space="preserve">Moreover, even assuming the Akron Thermal proceeding governs (which it does not), under the Akron Thermal standards, IGS’ intervention would be allowed. </w:t>
      </w:r>
    </w:p>
    <w:p w14:paraId="0884E45D" w14:textId="4F2276DF" w:rsidR="00D66A95" w:rsidRPr="005E25DE" w:rsidRDefault="00686D64" w:rsidP="008B03DA">
      <w:pPr>
        <w:spacing w:line="480" w:lineRule="auto"/>
        <w:jc w:val="both"/>
        <w:rPr>
          <w:rFonts w:ascii="Arial" w:hAnsi="Arial" w:cs="Arial"/>
          <w:sz w:val="24"/>
          <w:szCs w:val="24"/>
        </w:rPr>
      </w:pPr>
      <w:r w:rsidRPr="005E25DE">
        <w:rPr>
          <w:rFonts w:ascii="Arial" w:hAnsi="Arial" w:cs="Arial"/>
          <w:b/>
          <w:sz w:val="24"/>
          <w:szCs w:val="24"/>
        </w:rPr>
        <w:tab/>
      </w:r>
      <w:r w:rsidR="007276D1" w:rsidRPr="005E25DE">
        <w:rPr>
          <w:rFonts w:ascii="Arial" w:hAnsi="Arial" w:cs="Arial"/>
          <w:sz w:val="24"/>
          <w:szCs w:val="24"/>
        </w:rPr>
        <w:t xml:space="preserve">In </w:t>
      </w:r>
      <w:r w:rsidR="007276D1" w:rsidRPr="005E25DE">
        <w:rPr>
          <w:rFonts w:ascii="Arial" w:hAnsi="Arial" w:cs="Arial"/>
          <w:i/>
          <w:sz w:val="24"/>
          <w:szCs w:val="24"/>
        </w:rPr>
        <w:t>Ohio Consumers Counsel v. the Public Utilities Commission of Ohio</w:t>
      </w:r>
      <w:r w:rsidR="007276D1" w:rsidRPr="005E25DE">
        <w:rPr>
          <w:rFonts w:ascii="Arial" w:hAnsi="Arial" w:cs="Arial"/>
          <w:sz w:val="24"/>
          <w:szCs w:val="24"/>
        </w:rPr>
        <w:t xml:space="preserve"> the Office of Consumer’s Counsel (“OCC”) </w:t>
      </w:r>
      <w:r w:rsidR="006E6627" w:rsidRPr="005E25DE">
        <w:rPr>
          <w:rFonts w:ascii="Arial" w:hAnsi="Arial" w:cs="Arial"/>
          <w:sz w:val="24"/>
          <w:szCs w:val="24"/>
        </w:rPr>
        <w:t>filed a motion to intervene in two</w:t>
      </w:r>
      <w:r w:rsidR="007276D1" w:rsidRPr="005E25DE">
        <w:rPr>
          <w:rFonts w:ascii="Arial" w:hAnsi="Arial" w:cs="Arial"/>
          <w:sz w:val="24"/>
          <w:szCs w:val="24"/>
        </w:rPr>
        <w:t xml:space="preserve"> </w:t>
      </w:r>
      <w:r w:rsidRPr="005E25DE">
        <w:rPr>
          <w:rFonts w:ascii="Arial" w:hAnsi="Arial" w:cs="Arial"/>
          <w:sz w:val="24"/>
          <w:szCs w:val="24"/>
        </w:rPr>
        <w:t>proceeding</w:t>
      </w:r>
      <w:r w:rsidR="006E6627" w:rsidRPr="005E25DE">
        <w:rPr>
          <w:rFonts w:ascii="Arial" w:hAnsi="Arial" w:cs="Arial"/>
          <w:sz w:val="24"/>
          <w:szCs w:val="24"/>
        </w:rPr>
        <w:t>s</w:t>
      </w:r>
      <w:r w:rsidRPr="005E25DE">
        <w:rPr>
          <w:rFonts w:ascii="Arial" w:hAnsi="Arial" w:cs="Arial"/>
          <w:sz w:val="24"/>
          <w:szCs w:val="24"/>
        </w:rPr>
        <w:t xml:space="preserve"> in</w:t>
      </w:r>
      <w:r w:rsidR="007276D1" w:rsidRPr="005E25DE">
        <w:rPr>
          <w:rFonts w:ascii="Arial" w:hAnsi="Arial" w:cs="Arial"/>
          <w:sz w:val="24"/>
          <w:szCs w:val="24"/>
        </w:rPr>
        <w:t xml:space="preserve"> which two Ohio electric utilities sought authority from the Commission to modify its tariffs to change accounting treatment </w:t>
      </w:r>
      <w:r w:rsidRPr="005E25DE">
        <w:rPr>
          <w:rFonts w:ascii="Arial" w:hAnsi="Arial" w:cs="Arial"/>
          <w:sz w:val="24"/>
          <w:szCs w:val="24"/>
        </w:rPr>
        <w:t>for</w:t>
      </w:r>
      <w:r w:rsidR="007276D1" w:rsidRPr="005E25DE">
        <w:rPr>
          <w:rFonts w:ascii="Arial" w:hAnsi="Arial" w:cs="Arial"/>
          <w:sz w:val="24"/>
          <w:szCs w:val="24"/>
        </w:rPr>
        <w:t xml:space="preserve"> certain deferred utility charges.</w:t>
      </w:r>
      <w:r w:rsidR="007276D1" w:rsidRPr="005E25DE">
        <w:rPr>
          <w:rStyle w:val="FootnoteReference"/>
          <w:rFonts w:ascii="Arial" w:hAnsi="Arial" w:cs="Arial"/>
          <w:sz w:val="24"/>
          <w:szCs w:val="24"/>
        </w:rPr>
        <w:t xml:space="preserve"> </w:t>
      </w:r>
      <w:r w:rsidR="007276D1" w:rsidRPr="005E25DE">
        <w:rPr>
          <w:rStyle w:val="FootnoteReference"/>
          <w:rFonts w:ascii="Arial" w:hAnsi="Arial" w:cs="Arial"/>
          <w:sz w:val="24"/>
          <w:szCs w:val="24"/>
        </w:rPr>
        <w:footnoteReference w:id="5"/>
      </w:r>
      <w:r w:rsidRPr="005E25DE">
        <w:rPr>
          <w:rFonts w:ascii="Arial" w:hAnsi="Arial" w:cs="Arial"/>
          <w:sz w:val="24"/>
          <w:szCs w:val="24"/>
        </w:rPr>
        <w:t xml:space="preserve"> In overturning the Commission’s initial denial of OCC’s motion,</w:t>
      </w:r>
      <w:r w:rsidR="006000B8" w:rsidRPr="005E25DE">
        <w:rPr>
          <w:rFonts w:ascii="Arial" w:hAnsi="Arial" w:cs="Arial"/>
          <w:sz w:val="24"/>
          <w:szCs w:val="24"/>
        </w:rPr>
        <w:t xml:space="preserve"> the Supreme Court of Ohio </w:t>
      </w:r>
      <w:r w:rsidR="007276D1" w:rsidRPr="005E25DE">
        <w:rPr>
          <w:rFonts w:ascii="Arial" w:hAnsi="Arial" w:cs="Arial"/>
          <w:sz w:val="24"/>
          <w:szCs w:val="24"/>
        </w:rPr>
        <w:t>held that</w:t>
      </w:r>
      <w:r w:rsidRPr="005E25DE">
        <w:rPr>
          <w:rFonts w:ascii="Arial" w:hAnsi="Arial" w:cs="Arial"/>
          <w:sz w:val="24"/>
          <w:szCs w:val="24"/>
        </w:rPr>
        <w:t xml:space="preserve"> “in our view</w:t>
      </w:r>
      <w:r w:rsidR="00B66B96">
        <w:rPr>
          <w:rFonts w:ascii="Arial" w:hAnsi="Arial" w:cs="Arial"/>
          <w:sz w:val="24"/>
          <w:szCs w:val="24"/>
        </w:rPr>
        <w:t xml:space="preserve"> . . .</w:t>
      </w:r>
      <w:r w:rsidR="007276D1" w:rsidRPr="005E25DE">
        <w:rPr>
          <w:rFonts w:ascii="Arial" w:hAnsi="Arial" w:cs="Arial"/>
          <w:sz w:val="24"/>
          <w:szCs w:val="24"/>
        </w:rPr>
        <w:t xml:space="preserve"> intervention in Commission proceedings ought to be liberally allowed.”</w:t>
      </w:r>
      <w:r w:rsidR="00B66B96">
        <w:rPr>
          <w:rStyle w:val="FootnoteReference"/>
          <w:rFonts w:ascii="Arial" w:hAnsi="Arial" w:cs="Arial"/>
          <w:sz w:val="24"/>
          <w:szCs w:val="24"/>
        </w:rPr>
        <w:footnoteReference w:id="6"/>
      </w:r>
      <w:r w:rsidRPr="005E25DE">
        <w:rPr>
          <w:rFonts w:ascii="Arial" w:hAnsi="Arial" w:cs="Arial"/>
          <w:sz w:val="24"/>
          <w:szCs w:val="24"/>
        </w:rPr>
        <w:t xml:space="preserve"> </w:t>
      </w:r>
      <w:r w:rsidR="005D116B" w:rsidRPr="005E25DE">
        <w:rPr>
          <w:rFonts w:ascii="Arial" w:hAnsi="Arial" w:cs="Arial"/>
          <w:sz w:val="24"/>
          <w:szCs w:val="24"/>
        </w:rPr>
        <w:t xml:space="preserve"> The Ohio Supreme Court’s liberal intervention standard post-dates, and supersedes</w:t>
      </w:r>
      <w:r w:rsidR="006E6627" w:rsidRPr="005E25DE">
        <w:rPr>
          <w:rFonts w:ascii="Arial" w:hAnsi="Arial" w:cs="Arial"/>
          <w:sz w:val="24"/>
          <w:szCs w:val="24"/>
        </w:rPr>
        <w:t>,</w:t>
      </w:r>
      <w:r w:rsidR="005D116B" w:rsidRPr="005E25DE">
        <w:rPr>
          <w:rFonts w:ascii="Arial" w:hAnsi="Arial" w:cs="Arial"/>
          <w:sz w:val="24"/>
          <w:szCs w:val="24"/>
        </w:rPr>
        <w:t xml:space="preserve"> the Akron Thermal case cited by FirstEnergy.</w:t>
      </w:r>
    </w:p>
    <w:p w14:paraId="6D397443" w14:textId="6E6F824D" w:rsidR="00671F10" w:rsidRPr="005E25DE" w:rsidRDefault="006E6627" w:rsidP="008B03DA">
      <w:pPr>
        <w:spacing w:line="480" w:lineRule="auto"/>
        <w:jc w:val="both"/>
        <w:rPr>
          <w:rFonts w:ascii="Arial" w:hAnsi="Arial" w:cs="Arial"/>
          <w:sz w:val="24"/>
          <w:szCs w:val="24"/>
        </w:rPr>
      </w:pPr>
      <w:r w:rsidRPr="005E25DE">
        <w:rPr>
          <w:rFonts w:ascii="Arial" w:hAnsi="Arial" w:cs="Arial"/>
          <w:sz w:val="24"/>
          <w:szCs w:val="24"/>
        </w:rPr>
        <w:tab/>
        <w:t>Further, even under the Akron Thermal standard IGS would be allowed intervention in this proceeding</w:t>
      </w:r>
      <w:r w:rsidR="00671F10" w:rsidRPr="005E25DE">
        <w:rPr>
          <w:rFonts w:ascii="Arial" w:hAnsi="Arial" w:cs="Arial"/>
          <w:sz w:val="24"/>
          <w:szCs w:val="24"/>
        </w:rPr>
        <w:t xml:space="preserve">.  The Akron Thermal proceeding involved a case in which a competitor (FirstEnergy </w:t>
      </w:r>
      <w:r w:rsidR="00091DE0">
        <w:rPr>
          <w:rFonts w:ascii="Arial" w:hAnsi="Arial" w:cs="Arial"/>
          <w:sz w:val="24"/>
          <w:szCs w:val="24"/>
        </w:rPr>
        <w:t>Facilities</w:t>
      </w:r>
      <w:r w:rsidR="00671F10" w:rsidRPr="005E25DE">
        <w:rPr>
          <w:rFonts w:ascii="Arial" w:hAnsi="Arial" w:cs="Arial"/>
          <w:sz w:val="24"/>
          <w:szCs w:val="24"/>
        </w:rPr>
        <w:t xml:space="preserve"> Group</w:t>
      </w:r>
      <w:r w:rsidR="00E731FA">
        <w:rPr>
          <w:rFonts w:ascii="Arial" w:hAnsi="Arial" w:cs="Arial"/>
          <w:sz w:val="24"/>
          <w:szCs w:val="24"/>
        </w:rPr>
        <w:t>)</w:t>
      </w:r>
      <w:r w:rsidR="00671F10" w:rsidRPr="005E25DE">
        <w:rPr>
          <w:rFonts w:ascii="Arial" w:hAnsi="Arial" w:cs="Arial"/>
          <w:sz w:val="24"/>
          <w:szCs w:val="24"/>
        </w:rPr>
        <w:t xml:space="preserve"> intervened in a proceeding where Akron Thermal was seeking to increase its rates.</w:t>
      </w:r>
      <w:r w:rsidR="005F2FAB" w:rsidRPr="005E25DE">
        <w:rPr>
          <w:rStyle w:val="FootnoteReference"/>
          <w:rFonts w:ascii="Arial" w:hAnsi="Arial" w:cs="Arial"/>
          <w:sz w:val="24"/>
          <w:szCs w:val="24"/>
        </w:rPr>
        <w:footnoteReference w:id="7"/>
      </w:r>
      <w:r w:rsidR="00671F10" w:rsidRPr="005E25DE">
        <w:rPr>
          <w:rFonts w:ascii="Arial" w:hAnsi="Arial" w:cs="Arial"/>
          <w:sz w:val="24"/>
          <w:szCs w:val="24"/>
        </w:rPr>
        <w:t xml:space="preserve">  In this proceeding, however, FirstEnergy is seeking to expand competitive product offerings</w:t>
      </w:r>
      <w:r w:rsidR="007E0B3B" w:rsidRPr="005E25DE">
        <w:rPr>
          <w:rFonts w:ascii="Arial" w:hAnsi="Arial" w:cs="Arial"/>
          <w:sz w:val="24"/>
          <w:szCs w:val="24"/>
        </w:rPr>
        <w:t xml:space="preserve"> -</w:t>
      </w:r>
      <w:r w:rsidR="00671F10" w:rsidRPr="005E25DE">
        <w:rPr>
          <w:rFonts w:ascii="Arial" w:hAnsi="Arial" w:cs="Arial"/>
          <w:sz w:val="24"/>
          <w:szCs w:val="24"/>
        </w:rPr>
        <w:t xml:space="preserve"> not increase distribution rates.  Thus, clearly IGS, a competitor, has a direct interest in a proceeding where a regulated utility would leverage distribution assets to </w:t>
      </w:r>
      <w:r w:rsidR="007E0B3B" w:rsidRPr="005E25DE">
        <w:rPr>
          <w:rFonts w:ascii="Arial" w:hAnsi="Arial" w:cs="Arial"/>
          <w:sz w:val="24"/>
          <w:szCs w:val="24"/>
        </w:rPr>
        <w:t>expand</w:t>
      </w:r>
      <w:r w:rsidR="00671F10" w:rsidRPr="005E25DE">
        <w:rPr>
          <w:rFonts w:ascii="Arial" w:hAnsi="Arial" w:cs="Arial"/>
          <w:sz w:val="24"/>
          <w:szCs w:val="24"/>
        </w:rPr>
        <w:t xml:space="preserve"> products in</w:t>
      </w:r>
      <w:r w:rsidR="007E0B3B" w:rsidRPr="005E25DE">
        <w:rPr>
          <w:rFonts w:ascii="Arial" w:hAnsi="Arial" w:cs="Arial"/>
          <w:sz w:val="24"/>
          <w:szCs w:val="24"/>
        </w:rPr>
        <w:t xml:space="preserve"> the markets which IGS</w:t>
      </w:r>
      <w:r w:rsidR="00671F10" w:rsidRPr="005E25DE">
        <w:rPr>
          <w:rFonts w:ascii="Arial" w:hAnsi="Arial" w:cs="Arial"/>
          <w:sz w:val="24"/>
          <w:szCs w:val="24"/>
        </w:rPr>
        <w:t xml:space="preserve"> competes.</w:t>
      </w:r>
    </w:p>
    <w:p w14:paraId="502E1C2F" w14:textId="46E6A9BA" w:rsidR="007E0B3B" w:rsidRPr="005E25DE" w:rsidRDefault="00671F10" w:rsidP="008B03DA">
      <w:pPr>
        <w:spacing w:line="480" w:lineRule="auto"/>
        <w:jc w:val="both"/>
        <w:rPr>
          <w:rFonts w:ascii="Arial" w:hAnsi="Arial" w:cs="Arial"/>
          <w:sz w:val="24"/>
          <w:szCs w:val="24"/>
        </w:rPr>
      </w:pPr>
      <w:r w:rsidRPr="005E25DE">
        <w:rPr>
          <w:rFonts w:ascii="Arial" w:hAnsi="Arial" w:cs="Arial"/>
          <w:sz w:val="24"/>
          <w:szCs w:val="24"/>
        </w:rPr>
        <w:lastRenderedPageBreak/>
        <w:tab/>
        <w:t>Finally, FirstEnergy</w:t>
      </w:r>
      <w:r w:rsidR="00263C8A" w:rsidRPr="005E25DE">
        <w:rPr>
          <w:rFonts w:ascii="Arial" w:hAnsi="Arial" w:cs="Arial"/>
          <w:sz w:val="24"/>
          <w:szCs w:val="24"/>
        </w:rPr>
        <w:t xml:space="preserve"> </w:t>
      </w:r>
      <w:r w:rsidR="00796D6C" w:rsidRPr="005E25DE">
        <w:rPr>
          <w:rFonts w:ascii="Arial" w:hAnsi="Arial" w:cs="Arial"/>
          <w:sz w:val="24"/>
          <w:szCs w:val="24"/>
        </w:rPr>
        <w:t>makes the</w:t>
      </w:r>
      <w:r w:rsidR="00263C8A" w:rsidRPr="005E25DE">
        <w:rPr>
          <w:rFonts w:ascii="Arial" w:hAnsi="Arial" w:cs="Arial"/>
          <w:sz w:val="24"/>
          <w:szCs w:val="24"/>
        </w:rPr>
        <w:t xml:space="preserve"> claim that because IGS appealed a recent Duke decision to the Ohio Supreme Court, </w:t>
      </w:r>
      <w:r w:rsidR="00796D6C" w:rsidRPr="005E25DE">
        <w:rPr>
          <w:rFonts w:ascii="Arial" w:hAnsi="Arial" w:cs="Arial"/>
          <w:sz w:val="24"/>
          <w:szCs w:val="24"/>
        </w:rPr>
        <w:t xml:space="preserve">it is </w:t>
      </w:r>
      <w:r w:rsidR="00263C8A" w:rsidRPr="005E25DE">
        <w:rPr>
          <w:rFonts w:ascii="Arial" w:hAnsi="Arial" w:cs="Arial"/>
          <w:sz w:val="24"/>
          <w:szCs w:val="24"/>
        </w:rPr>
        <w:t>somehow evidence that IGS’ par</w:t>
      </w:r>
      <w:r w:rsidR="00796D6C" w:rsidRPr="005E25DE">
        <w:rPr>
          <w:rFonts w:ascii="Arial" w:hAnsi="Arial" w:cs="Arial"/>
          <w:sz w:val="24"/>
          <w:szCs w:val="24"/>
        </w:rPr>
        <w:t>ticipation in this proceeding would be</w:t>
      </w:r>
      <w:r w:rsidR="00263C8A" w:rsidRPr="005E25DE">
        <w:rPr>
          <w:rFonts w:ascii="Arial" w:hAnsi="Arial" w:cs="Arial"/>
          <w:sz w:val="24"/>
          <w:szCs w:val="24"/>
        </w:rPr>
        <w:t xml:space="preserve"> unduly burdensome.</w:t>
      </w:r>
      <w:r w:rsidR="00263C8A" w:rsidRPr="005E25DE">
        <w:rPr>
          <w:rStyle w:val="FootnoteReference"/>
          <w:rFonts w:ascii="Arial" w:hAnsi="Arial" w:cs="Arial"/>
          <w:sz w:val="24"/>
          <w:szCs w:val="24"/>
        </w:rPr>
        <w:footnoteReference w:id="8"/>
      </w:r>
      <w:r w:rsidR="006000B8" w:rsidRPr="005E25DE">
        <w:rPr>
          <w:rFonts w:ascii="Arial" w:hAnsi="Arial" w:cs="Arial"/>
          <w:sz w:val="24"/>
          <w:szCs w:val="24"/>
        </w:rPr>
        <w:t xml:space="preserve">  However,</w:t>
      </w:r>
      <w:r w:rsidR="00796D6C" w:rsidRPr="005E25DE">
        <w:rPr>
          <w:rFonts w:ascii="Arial" w:hAnsi="Arial" w:cs="Arial"/>
          <w:sz w:val="24"/>
          <w:szCs w:val="24"/>
        </w:rPr>
        <w:t xml:space="preserve"> if </w:t>
      </w:r>
      <w:r w:rsidR="00263C8A" w:rsidRPr="005E25DE">
        <w:rPr>
          <w:rFonts w:ascii="Arial" w:hAnsi="Arial" w:cs="Arial"/>
          <w:sz w:val="24"/>
          <w:szCs w:val="24"/>
        </w:rPr>
        <w:t xml:space="preserve">filing a Supreme Court of Ohio appeal </w:t>
      </w:r>
      <w:r w:rsidR="00796D6C" w:rsidRPr="005E25DE">
        <w:rPr>
          <w:rFonts w:ascii="Arial" w:hAnsi="Arial" w:cs="Arial"/>
          <w:sz w:val="24"/>
          <w:szCs w:val="24"/>
        </w:rPr>
        <w:t>is</w:t>
      </w:r>
      <w:r w:rsidR="00263C8A" w:rsidRPr="005E25DE">
        <w:rPr>
          <w:rFonts w:ascii="Arial" w:hAnsi="Arial" w:cs="Arial"/>
          <w:sz w:val="24"/>
          <w:szCs w:val="24"/>
        </w:rPr>
        <w:t xml:space="preserve"> grounds for denying a part</w:t>
      </w:r>
      <w:r w:rsidR="00970A51">
        <w:rPr>
          <w:rFonts w:ascii="Arial" w:hAnsi="Arial" w:cs="Arial"/>
          <w:sz w:val="24"/>
          <w:szCs w:val="24"/>
        </w:rPr>
        <w:t>y’s</w:t>
      </w:r>
      <w:r w:rsidR="00263C8A" w:rsidRPr="005E25DE">
        <w:rPr>
          <w:rFonts w:ascii="Arial" w:hAnsi="Arial" w:cs="Arial"/>
          <w:sz w:val="24"/>
          <w:szCs w:val="24"/>
        </w:rPr>
        <w:t xml:space="preserve"> intervention, FirstEnergy would never be allowed in any Commission pr</w:t>
      </w:r>
      <w:r w:rsidR="00796D6C" w:rsidRPr="005E25DE">
        <w:rPr>
          <w:rFonts w:ascii="Arial" w:hAnsi="Arial" w:cs="Arial"/>
          <w:sz w:val="24"/>
          <w:szCs w:val="24"/>
        </w:rPr>
        <w:t>oceeding</w:t>
      </w:r>
      <w:r w:rsidR="00263C8A" w:rsidRPr="005E25DE">
        <w:rPr>
          <w:rFonts w:ascii="Arial" w:hAnsi="Arial" w:cs="Arial"/>
          <w:sz w:val="24"/>
          <w:szCs w:val="24"/>
        </w:rPr>
        <w:t xml:space="preserve">.  FirstEnergy </w:t>
      </w:r>
      <w:r w:rsidR="007E0B3B" w:rsidRPr="005E25DE">
        <w:rPr>
          <w:rFonts w:ascii="Arial" w:hAnsi="Arial" w:cs="Arial"/>
          <w:sz w:val="24"/>
          <w:szCs w:val="24"/>
        </w:rPr>
        <w:t>regularly files</w:t>
      </w:r>
      <w:r w:rsidR="00263C8A" w:rsidRPr="005E25DE">
        <w:rPr>
          <w:rFonts w:ascii="Arial" w:hAnsi="Arial" w:cs="Arial"/>
          <w:sz w:val="24"/>
          <w:szCs w:val="24"/>
        </w:rPr>
        <w:t xml:space="preserve"> Supreme Court Appeals</w:t>
      </w:r>
      <w:r w:rsidR="00490262">
        <w:rPr>
          <w:rFonts w:ascii="Arial" w:hAnsi="Arial" w:cs="Arial"/>
          <w:sz w:val="24"/>
          <w:szCs w:val="24"/>
        </w:rPr>
        <w:t xml:space="preserve"> yet is not denied the ability to participate in proceedings in future cases</w:t>
      </w:r>
      <w:r w:rsidR="00796D6C" w:rsidRPr="005E25DE">
        <w:rPr>
          <w:rFonts w:ascii="Arial" w:hAnsi="Arial" w:cs="Arial"/>
          <w:sz w:val="24"/>
          <w:szCs w:val="24"/>
        </w:rPr>
        <w:t>.</w:t>
      </w:r>
      <w:r w:rsidR="00263C8A" w:rsidRPr="005E25DE">
        <w:rPr>
          <w:rStyle w:val="FootnoteReference"/>
          <w:rFonts w:ascii="Arial" w:hAnsi="Arial" w:cs="Arial"/>
          <w:sz w:val="24"/>
          <w:szCs w:val="24"/>
        </w:rPr>
        <w:footnoteReference w:id="9"/>
      </w:r>
      <w:r w:rsidR="00796D6C" w:rsidRPr="005E25DE">
        <w:rPr>
          <w:rFonts w:ascii="Arial" w:hAnsi="Arial" w:cs="Arial"/>
          <w:sz w:val="24"/>
          <w:szCs w:val="24"/>
        </w:rPr>
        <w:t xml:space="preserve">  </w:t>
      </w:r>
    </w:p>
    <w:p w14:paraId="13FC1C01" w14:textId="0F54C9CE" w:rsidR="00671F10" w:rsidRPr="005E25DE" w:rsidRDefault="007E0B3B" w:rsidP="008B03DA">
      <w:pPr>
        <w:spacing w:line="480" w:lineRule="auto"/>
        <w:jc w:val="both"/>
        <w:rPr>
          <w:rFonts w:ascii="Arial" w:hAnsi="Arial" w:cs="Arial"/>
          <w:sz w:val="24"/>
          <w:szCs w:val="24"/>
        </w:rPr>
      </w:pPr>
      <w:r w:rsidRPr="005E25DE">
        <w:rPr>
          <w:rFonts w:ascii="Arial" w:hAnsi="Arial" w:cs="Arial"/>
          <w:sz w:val="24"/>
          <w:szCs w:val="24"/>
        </w:rPr>
        <w:tab/>
      </w:r>
      <w:r w:rsidR="00796D6C" w:rsidRPr="005E25DE">
        <w:rPr>
          <w:rFonts w:ascii="Arial" w:hAnsi="Arial" w:cs="Arial"/>
          <w:sz w:val="24"/>
          <w:szCs w:val="24"/>
        </w:rPr>
        <w:t xml:space="preserve">Further, IGS’ appeal of the Duke decision to the Supreme Court is a reason why the Commission should not give </w:t>
      </w:r>
      <w:r w:rsidRPr="005E25DE">
        <w:rPr>
          <w:rFonts w:ascii="Arial" w:hAnsi="Arial" w:cs="Arial"/>
          <w:sz w:val="24"/>
          <w:szCs w:val="24"/>
        </w:rPr>
        <w:t>the issues presented in this proceeding</w:t>
      </w:r>
      <w:r w:rsidR="00796D6C" w:rsidRPr="005E25DE">
        <w:rPr>
          <w:rFonts w:ascii="Arial" w:hAnsi="Arial" w:cs="Arial"/>
          <w:sz w:val="24"/>
          <w:szCs w:val="24"/>
        </w:rPr>
        <w:t xml:space="preserve"> short shrift.  Utilities expanding into non-regulated competitive businesses raises serious legal concerns including</w:t>
      </w:r>
      <w:r w:rsidRPr="005E25DE">
        <w:rPr>
          <w:rFonts w:ascii="Arial" w:hAnsi="Arial" w:cs="Arial"/>
          <w:sz w:val="24"/>
          <w:szCs w:val="24"/>
        </w:rPr>
        <w:t xml:space="preserve"> but not limited to 1)</w:t>
      </w:r>
      <w:r w:rsidR="00796D6C" w:rsidRPr="005E25DE">
        <w:rPr>
          <w:rFonts w:ascii="Arial" w:hAnsi="Arial" w:cs="Arial"/>
          <w:sz w:val="24"/>
          <w:szCs w:val="24"/>
        </w:rPr>
        <w:t xml:space="preserve"> concerns about corporate separation</w:t>
      </w:r>
      <w:r w:rsidRPr="005E25DE">
        <w:rPr>
          <w:rFonts w:ascii="Arial" w:hAnsi="Arial" w:cs="Arial"/>
          <w:sz w:val="24"/>
          <w:szCs w:val="24"/>
        </w:rPr>
        <w:t>; 2)</w:t>
      </w:r>
      <w:r w:rsidR="00C27273" w:rsidRPr="005E25DE">
        <w:rPr>
          <w:rFonts w:ascii="Arial" w:hAnsi="Arial" w:cs="Arial"/>
          <w:sz w:val="24"/>
          <w:szCs w:val="24"/>
        </w:rPr>
        <w:t xml:space="preserve"> concerns about cost allocation; 3)</w:t>
      </w:r>
      <w:r w:rsidRPr="005E25DE">
        <w:rPr>
          <w:rFonts w:ascii="Arial" w:hAnsi="Arial" w:cs="Arial"/>
          <w:sz w:val="24"/>
          <w:szCs w:val="24"/>
        </w:rPr>
        <w:t xml:space="preserve"> concerns about whether FirstEnergy is inappropriately </w:t>
      </w:r>
      <w:r w:rsidR="009C1BCE" w:rsidRPr="005E25DE">
        <w:rPr>
          <w:rFonts w:ascii="Arial" w:hAnsi="Arial" w:cs="Arial"/>
          <w:sz w:val="24"/>
          <w:szCs w:val="24"/>
        </w:rPr>
        <w:t>discriminati</w:t>
      </w:r>
      <w:r w:rsidR="009C1BCE">
        <w:rPr>
          <w:rFonts w:ascii="Arial" w:hAnsi="Arial" w:cs="Arial"/>
          <w:sz w:val="24"/>
          <w:szCs w:val="24"/>
        </w:rPr>
        <w:t>ng</w:t>
      </w:r>
      <w:r w:rsidRPr="005E25DE">
        <w:rPr>
          <w:rFonts w:ascii="Arial" w:hAnsi="Arial" w:cs="Arial"/>
          <w:sz w:val="24"/>
          <w:szCs w:val="24"/>
        </w:rPr>
        <w:t xml:space="preserve"> in the market</w:t>
      </w:r>
      <w:r w:rsidR="00796D6C" w:rsidRPr="005E25DE">
        <w:rPr>
          <w:rFonts w:ascii="Arial" w:hAnsi="Arial" w:cs="Arial"/>
          <w:sz w:val="24"/>
          <w:szCs w:val="24"/>
        </w:rPr>
        <w:t>place</w:t>
      </w:r>
      <w:r w:rsidRPr="005E25DE">
        <w:rPr>
          <w:rFonts w:ascii="Arial" w:hAnsi="Arial" w:cs="Arial"/>
          <w:sz w:val="24"/>
          <w:szCs w:val="24"/>
        </w:rPr>
        <w:t>;</w:t>
      </w:r>
      <w:r w:rsidR="00C27273" w:rsidRPr="005E25DE">
        <w:rPr>
          <w:rFonts w:ascii="Arial" w:hAnsi="Arial" w:cs="Arial"/>
          <w:sz w:val="24"/>
          <w:szCs w:val="24"/>
        </w:rPr>
        <w:t xml:space="preserve"> 4</w:t>
      </w:r>
      <w:r w:rsidRPr="005E25DE">
        <w:rPr>
          <w:rFonts w:ascii="Arial" w:hAnsi="Arial" w:cs="Arial"/>
          <w:sz w:val="24"/>
          <w:szCs w:val="24"/>
        </w:rPr>
        <w:t>) concer</w:t>
      </w:r>
      <w:r w:rsidR="00C27273" w:rsidRPr="005E25DE">
        <w:rPr>
          <w:rFonts w:ascii="Arial" w:hAnsi="Arial" w:cs="Arial"/>
          <w:sz w:val="24"/>
          <w:szCs w:val="24"/>
        </w:rPr>
        <w:t>ns about whether FirstEnergy is</w:t>
      </w:r>
      <w:r w:rsidR="00796D6C" w:rsidRPr="005E25DE">
        <w:rPr>
          <w:rFonts w:ascii="Arial" w:hAnsi="Arial" w:cs="Arial"/>
          <w:sz w:val="24"/>
          <w:szCs w:val="24"/>
        </w:rPr>
        <w:t xml:space="preserve"> appropriate</w:t>
      </w:r>
      <w:r w:rsidR="00C27273" w:rsidRPr="005E25DE">
        <w:rPr>
          <w:rFonts w:ascii="Arial" w:hAnsi="Arial" w:cs="Arial"/>
          <w:sz w:val="24"/>
          <w:szCs w:val="24"/>
        </w:rPr>
        <w:t>ly using regulated</w:t>
      </w:r>
      <w:r w:rsidR="00796D6C" w:rsidRPr="005E25DE">
        <w:rPr>
          <w:rFonts w:ascii="Arial" w:hAnsi="Arial" w:cs="Arial"/>
          <w:sz w:val="24"/>
          <w:szCs w:val="24"/>
        </w:rPr>
        <w:t xml:space="preserve"> ratepayer assets</w:t>
      </w:r>
      <w:r w:rsidRPr="005E25DE">
        <w:rPr>
          <w:rFonts w:ascii="Arial" w:hAnsi="Arial" w:cs="Arial"/>
          <w:sz w:val="24"/>
          <w:szCs w:val="24"/>
        </w:rPr>
        <w:t>; and 4) concerns about whether FirstEnergy is earning a profit above its Commission authorized rate of return</w:t>
      </w:r>
      <w:r w:rsidR="00796D6C" w:rsidRPr="005E25DE">
        <w:rPr>
          <w:rFonts w:ascii="Arial" w:hAnsi="Arial" w:cs="Arial"/>
          <w:sz w:val="24"/>
          <w:szCs w:val="24"/>
        </w:rPr>
        <w:t xml:space="preserve">.  </w:t>
      </w:r>
      <w:r w:rsidRPr="005E25DE">
        <w:rPr>
          <w:rFonts w:ascii="Arial" w:hAnsi="Arial" w:cs="Arial"/>
          <w:sz w:val="24"/>
          <w:szCs w:val="24"/>
        </w:rPr>
        <w:t>Thus, t</w:t>
      </w:r>
      <w:r w:rsidR="00796D6C" w:rsidRPr="005E25DE">
        <w:rPr>
          <w:rFonts w:ascii="Arial" w:hAnsi="Arial" w:cs="Arial"/>
          <w:sz w:val="24"/>
          <w:szCs w:val="24"/>
        </w:rPr>
        <w:t xml:space="preserve">he Commission should not </w:t>
      </w:r>
      <w:r w:rsidR="00490262">
        <w:rPr>
          <w:rFonts w:ascii="Arial" w:hAnsi="Arial" w:cs="Arial"/>
          <w:sz w:val="24"/>
          <w:szCs w:val="24"/>
        </w:rPr>
        <w:t xml:space="preserve">approve FirstEnergy’s application </w:t>
      </w:r>
      <w:r w:rsidR="00796D6C" w:rsidRPr="005E25DE">
        <w:rPr>
          <w:rFonts w:ascii="Arial" w:hAnsi="Arial" w:cs="Arial"/>
          <w:sz w:val="24"/>
          <w:szCs w:val="24"/>
        </w:rPr>
        <w:t>without developing a full record in this proceeding</w:t>
      </w:r>
      <w:r w:rsidR="00E40F91" w:rsidRPr="005E25DE">
        <w:rPr>
          <w:rFonts w:ascii="Arial" w:hAnsi="Arial" w:cs="Arial"/>
          <w:sz w:val="24"/>
          <w:szCs w:val="24"/>
        </w:rPr>
        <w:t xml:space="preserve"> to determine whether </w:t>
      </w:r>
      <w:r w:rsidRPr="005E25DE">
        <w:rPr>
          <w:rFonts w:ascii="Arial" w:hAnsi="Arial" w:cs="Arial"/>
          <w:sz w:val="24"/>
          <w:szCs w:val="24"/>
        </w:rPr>
        <w:t>FirstEnergy</w:t>
      </w:r>
      <w:r w:rsidR="00E40F91" w:rsidRPr="005E25DE">
        <w:rPr>
          <w:rFonts w:ascii="Arial" w:hAnsi="Arial" w:cs="Arial"/>
          <w:sz w:val="24"/>
          <w:szCs w:val="24"/>
        </w:rPr>
        <w:t>’s Application is consistent</w:t>
      </w:r>
      <w:r w:rsidRPr="005E25DE">
        <w:rPr>
          <w:rFonts w:ascii="Arial" w:hAnsi="Arial" w:cs="Arial"/>
          <w:sz w:val="24"/>
          <w:szCs w:val="24"/>
        </w:rPr>
        <w:t xml:space="preserve"> with Ohio law.  To do otherwise w</w:t>
      </w:r>
      <w:r w:rsidR="006000B8" w:rsidRPr="005E25DE">
        <w:rPr>
          <w:rFonts w:ascii="Arial" w:hAnsi="Arial" w:cs="Arial"/>
          <w:sz w:val="24"/>
          <w:szCs w:val="24"/>
        </w:rPr>
        <w:t>ould only create more</w:t>
      </w:r>
      <w:r w:rsidRPr="005E25DE">
        <w:rPr>
          <w:rFonts w:ascii="Arial" w:hAnsi="Arial" w:cs="Arial"/>
          <w:sz w:val="24"/>
          <w:szCs w:val="24"/>
        </w:rPr>
        <w:t xml:space="preserve"> litigation down the road.</w:t>
      </w:r>
      <w:r w:rsidR="00C27273" w:rsidRPr="005E25DE">
        <w:rPr>
          <w:rFonts w:ascii="Arial" w:hAnsi="Arial" w:cs="Arial"/>
          <w:sz w:val="24"/>
          <w:szCs w:val="24"/>
        </w:rPr>
        <w:t xml:space="preserve"> </w:t>
      </w:r>
    </w:p>
    <w:p w14:paraId="49CB1F8A" w14:textId="77777777" w:rsidR="005F2FAB" w:rsidRPr="005E25DE" w:rsidRDefault="005F2FAB" w:rsidP="008B03DA">
      <w:pPr>
        <w:spacing w:line="480" w:lineRule="auto"/>
        <w:jc w:val="both"/>
        <w:rPr>
          <w:rFonts w:ascii="Arial" w:hAnsi="Arial" w:cs="Arial"/>
          <w:sz w:val="24"/>
          <w:szCs w:val="24"/>
        </w:rPr>
      </w:pPr>
      <w:r w:rsidRPr="005E25DE">
        <w:rPr>
          <w:rFonts w:ascii="Arial" w:hAnsi="Arial" w:cs="Arial"/>
          <w:sz w:val="24"/>
          <w:szCs w:val="24"/>
        </w:rPr>
        <w:tab/>
        <w:t>For all of the reasons stated herein the Commission should grant IGS’ Motion to Intervene in this proceeding.</w:t>
      </w:r>
    </w:p>
    <w:p w14:paraId="1085CE6C" w14:textId="77777777" w:rsidR="006E6627" w:rsidRPr="005E25DE" w:rsidRDefault="006E6627" w:rsidP="008B03DA">
      <w:pPr>
        <w:pStyle w:val="ListParagraph"/>
        <w:numPr>
          <w:ilvl w:val="0"/>
          <w:numId w:val="1"/>
        </w:numPr>
        <w:spacing w:line="480" w:lineRule="auto"/>
        <w:jc w:val="both"/>
        <w:rPr>
          <w:rFonts w:ascii="Arial" w:hAnsi="Arial" w:cs="Arial"/>
          <w:b/>
          <w:sz w:val="24"/>
          <w:szCs w:val="24"/>
        </w:rPr>
      </w:pPr>
      <w:r w:rsidRPr="005E25DE">
        <w:rPr>
          <w:rFonts w:ascii="Arial" w:hAnsi="Arial" w:cs="Arial"/>
          <w:b/>
          <w:sz w:val="24"/>
          <w:szCs w:val="24"/>
        </w:rPr>
        <w:lastRenderedPageBreak/>
        <w:t>IGS’ Request for a Procedural Schedule Should be Granted</w:t>
      </w:r>
    </w:p>
    <w:p w14:paraId="784CBE2D" w14:textId="1912912D" w:rsidR="00686D64" w:rsidRPr="005E25DE" w:rsidRDefault="00686D64" w:rsidP="008B03DA">
      <w:pPr>
        <w:spacing w:line="480" w:lineRule="auto"/>
        <w:jc w:val="both"/>
        <w:rPr>
          <w:rFonts w:ascii="Arial" w:hAnsi="Arial" w:cs="Arial"/>
          <w:sz w:val="24"/>
          <w:szCs w:val="24"/>
        </w:rPr>
      </w:pPr>
      <w:r w:rsidRPr="005E25DE">
        <w:rPr>
          <w:rFonts w:ascii="Arial" w:hAnsi="Arial" w:cs="Arial"/>
          <w:sz w:val="24"/>
          <w:szCs w:val="24"/>
        </w:rPr>
        <w:tab/>
      </w:r>
      <w:r w:rsidR="005F2FAB" w:rsidRPr="005E25DE">
        <w:rPr>
          <w:rFonts w:ascii="Arial" w:hAnsi="Arial" w:cs="Arial"/>
          <w:sz w:val="24"/>
          <w:szCs w:val="24"/>
        </w:rPr>
        <w:t>The Commission should also grant IGS’ request for a procedural schedule in this proceeding. As already noted, FirstEnergy’s Application is devoid of any meaningful information that will enable the Commission to make a determination of the reasonableness of the Application.  Thus, at a very minimum the Commission should grant parties the opportunity to conduct discovery in this proceeding</w:t>
      </w:r>
      <w:r w:rsidR="00970A51">
        <w:rPr>
          <w:rFonts w:ascii="Arial" w:hAnsi="Arial" w:cs="Arial"/>
          <w:sz w:val="24"/>
          <w:szCs w:val="24"/>
        </w:rPr>
        <w:t>;</w:t>
      </w:r>
      <w:r w:rsidR="005F2FAB" w:rsidRPr="005E25DE">
        <w:rPr>
          <w:rFonts w:ascii="Arial" w:hAnsi="Arial" w:cs="Arial"/>
          <w:sz w:val="24"/>
          <w:szCs w:val="24"/>
        </w:rPr>
        <w:t xml:space="preserve"> and</w:t>
      </w:r>
      <w:r w:rsidR="00970A51">
        <w:rPr>
          <w:rFonts w:ascii="Arial" w:hAnsi="Arial" w:cs="Arial"/>
          <w:sz w:val="24"/>
          <w:szCs w:val="24"/>
        </w:rPr>
        <w:t>,</w:t>
      </w:r>
      <w:r w:rsidR="005F2FAB" w:rsidRPr="005E25DE">
        <w:rPr>
          <w:rFonts w:ascii="Arial" w:hAnsi="Arial" w:cs="Arial"/>
          <w:sz w:val="24"/>
          <w:szCs w:val="24"/>
        </w:rPr>
        <w:t xml:space="preserve"> if necessary</w:t>
      </w:r>
      <w:r w:rsidR="009771BE" w:rsidRPr="005E25DE">
        <w:rPr>
          <w:rFonts w:ascii="Arial" w:hAnsi="Arial" w:cs="Arial"/>
          <w:sz w:val="24"/>
          <w:szCs w:val="24"/>
        </w:rPr>
        <w:t>, the Commission should</w:t>
      </w:r>
      <w:r w:rsidR="005F2FAB" w:rsidRPr="005E25DE">
        <w:rPr>
          <w:rFonts w:ascii="Arial" w:hAnsi="Arial" w:cs="Arial"/>
          <w:sz w:val="24"/>
          <w:szCs w:val="24"/>
        </w:rPr>
        <w:t xml:space="preserve"> hold a hearing.</w:t>
      </w:r>
    </w:p>
    <w:p w14:paraId="3328C659" w14:textId="78581BAC" w:rsidR="000D041D" w:rsidRPr="005E25DE" w:rsidRDefault="005F2FAB" w:rsidP="008B03DA">
      <w:pPr>
        <w:spacing w:line="480" w:lineRule="auto"/>
        <w:jc w:val="both"/>
        <w:rPr>
          <w:rFonts w:ascii="Arial" w:hAnsi="Arial" w:cs="Arial"/>
          <w:sz w:val="24"/>
          <w:szCs w:val="24"/>
        </w:rPr>
      </w:pPr>
      <w:r w:rsidRPr="005E25DE">
        <w:rPr>
          <w:rFonts w:ascii="Arial" w:hAnsi="Arial" w:cs="Arial"/>
          <w:sz w:val="24"/>
          <w:szCs w:val="24"/>
        </w:rPr>
        <w:tab/>
      </w:r>
      <w:r w:rsidR="009771BE" w:rsidRPr="005E25DE">
        <w:rPr>
          <w:rFonts w:ascii="Arial" w:hAnsi="Arial" w:cs="Arial"/>
          <w:sz w:val="24"/>
          <w:szCs w:val="24"/>
        </w:rPr>
        <w:t>With its A</w:t>
      </w:r>
      <w:r w:rsidRPr="005E25DE">
        <w:rPr>
          <w:rFonts w:ascii="Arial" w:hAnsi="Arial" w:cs="Arial"/>
          <w:sz w:val="24"/>
          <w:szCs w:val="24"/>
        </w:rPr>
        <w:t>pplication FirstEnergy attached just a one page “Description of Change in Rule or Regulation”</w:t>
      </w:r>
      <w:r w:rsidR="009771BE" w:rsidRPr="005E25DE">
        <w:rPr>
          <w:rFonts w:ascii="Arial" w:hAnsi="Arial" w:cs="Arial"/>
          <w:sz w:val="24"/>
          <w:szCs w:val="24"/>
        </w:rPr>
        <w:t xml:space="preserve"> (hereinafter “Tariff Description”)</w:t>
      </w:r>
      <w:r w:rsidR="000D041D" w:rsidRPr="005E25DE">
        <w:rPr>
          <w:rFonts w:ascii="Arial" w:hAnsi="Arial" w:cs="Arial"/>
          <w:sz w:val="24"/>
          <w:szCs w:val="24"/>
        </w:rPr>
        <w:t xml:space="preserve"> which is the only </w:t>
      </w:r>
      <w:r w:rsidR="00970A51">
        <w:rPr>
          <w:rFonts w:ascii="Arial" w:hAnsi="Arial" w:cs="Arial"/>
          <w:sz w:val="24"/>
          <w:szCs w:val="24"/>
        </w:rPr>
        <w:t>document</w:t>
      </w:r>
      <w:r w:rsidR="00970A51" w:rsidRPr="005E25DE">
        <w:rPr>
          <w:rFonts w:ascii="Arial" w:hAnsi="Arial" w:cs="Arial"/>
          <w:sz w:val="24"/>
          <w:szCs w:val="24"/>
        </w:rPr>
        <w:t xml:space="preserve"> </w:t>
      </w:r>
      <w:r w:rsidR="000D041D" w:rsidRPr="005E25DE">
        <w:rPr>
          <w:rFonts w:ascii="Arial" w:hAnsi="Arial" w:cs="Arial"/>
          <w:sz w:val="24"/>
          <w:szCs w:val="24"/>
        </w:rPr>
        <w:t>that provides any detail on</w:t>
      </w:r>
      <w:r w:rsidRPr="005E25DE">
        <w:rPr>
          <w:rFonts w:ascii="Arial" w:hAnsi="Arial" w:cs="Arial"/>
          <w:sz w:val="24"/>
          <w:szCs w:val="24"/>
        </w:rPr>
        <w:t xml:space="preserve"> the nature of the tariff changes FirstEnergy is requesting in this proceeding.</w:t>
      </w:r>
      <w:r w:rsidRPr="005E25DE">
        <w:rPr>
          <w:rStyle w:val="FootnoteReference"/>
          <w:rFonts w:ascii="Arial" w:hAnsi="Arial" w:cs="Arial"/>
          <w:sz w:val="24"/>
          <w:szCs w:val="24"/>
        </w:rPr>
        <w:footnoteReference w:id="10"/>
      </w:r>
      <w:r w:rsidRPr="005E25DE">
        <w:rPr>
          <w:rFonts w:ascii="Arial" w:hAnsi="Arial" w:cs="Arial"/>
          <w:sz w:val="24"/>
          <w:szCs w:val="24"/>
        </w:rPr>
        <w:t xml:space="preserve">  </w:t>
      </w:r>
      <w:r w:rsidR="009771BE" w:rsidRPr="005E25DE">
        <w:rPr>
          <w:rFonts w:ascii="Arial" w:hAnsi="Arial" w:cs="Arial"/>
          <w:sz w:val="24"/>
          <w:szCs w:val="24"/>
        </w:rPr>
        <w:t xml:space="preserve">The Tariff Description states that “this tariff filing is designed to permit Applicants to work with insurance companies and insurance producers to permit the insurance companies and insurance producers to make available to customers insurance products and related services.”  The Tariff Description then goes on to list disaster insurance as an insurance product that FirstEnergy “may” be offering customers.  </w:t>
      </w:r>
      <w:r w:rsidR="000D041D" w:rsidRPr="005E25DE">
        <w:rPr>
          <w:rFonts w:ascii="Arial" w:hAnsi="Arial" w:cs="Arial"/>
          <w:sz w:val="24"/>
          <w:szCs w:val="24"/>
        </w:rPr>
        <w:t xml:space="preserve"> </w:t>
      </w:r>
      <w:r w:rsidR="009771BE" w:rsidRPr="005E25DE">
        <w:rPr>
          <w:rFonts w:ascii="Arial" w:hAnsi="Arial" w:cs="Arial"/>
          <w:sz w:val="24"/>
          <w:szCs w:val="24"/>
        </w:rPr>
        <w:t xml:space="preserve">The Application contains no limitation on the products FirstEnergy is seeking to offer other than that the products will be “insurance products and </w:t>
      </w:r>
      <w:r w:rsidR="009771BE" w:rsidRPr="005E25DE">
        <w:rPr>
          <w:rFonts w:ascii="Arial" w:hAnsi="Arial" w:cs="Arial"/>
          <w:i/>
          <w:sz w:val="24"/>
          <w:szCs w:val="24"/>
        </w:rPr>
        <w:t>related services</w:t>
      </w:r>
      <w:r w:rsidR="009771BE" w:rsidRPr="005E25DE">
        <w:rPr>
          <w:rFonts w:ascii="Arial" w:hAnsi="Arial" w:cs="Arial"/>
          <w:sz w:val="24"/>
          <w:szCs w:val="24"/>
        </w:rPr>
        <w:t xml:space="preserve">.” </w:t>
      </w:r>
    </w:p>
    <w:p w14:paraId="3E4E23DE" w14:textId="77777777" w:rsidR="000D041D" w:rsidRPr="005E25DE" w:rsidRDefault="000D041D" w:rsidP="008B03DA">
      <w:pPr>
        <w:spacing w:line="480" w:lineRule="auto"/>
        <w:jc w:val="both"/>
        <w:rPr>
          <w:rFonts w:ascii="Arial" w:hAnsi="Arial" w:cs="Arial"/>
          <w:sz w:val="24"/>
          <w:szCs w:val="24"/>
        </w:rPr>
      </w:pPr>
      <w:r w:rsidRPr="005E25DE">
        <w:rPr>
          <w:rFonts w:ascii="Arial" w:hAnsi="Arial" w:cs="Arial"/>
          <w:sz w:val="24"/>
          <w:szCs w:val="24"/>
        </w:rPr>
        <w:tab/>
        <w:t xml:space="preserve">The Application also indicates FirstEnergy does intend to bill for these insurance services stating “the Applicants will receive compensation for billing and administrative services they provide to the insurance companies in connection with the program.”  The </w:t>
      </w:r>
      <w:r w:rsidRPr="005E25DE">
        <w:rPr>
          <w:rFonts w:ascii="Arial" w:hAnsi="Arial" w:cs="Arial"/>
          <w:sz w:val="24"/>
          <w:szCs w:val="24"/>
        </w:rPr>
        <w:lastRenderedPageBreak/>
        <w:t>remainder of the Tariff Description is simply a number of vague and conclusory statements.  The tariff filing cites no statute or Commissio</w:t>
      </w:r>
      <w:r w:rsidR="006000B8" w:rsidRPr="005E25DE">
        <w:rPr>
          <w:rFonts w:ascii="Arial" w:hAnsi="Arial" w:cs="Arial"/>
          <w:sz w:val="24"/>
          <w:szCs w:val="24"/>
        </w:rPr>
        <w:t>n rule that gives FirstEnergy the authority to</w:t>
      </w:r>
      <w:r w:rsidRPr="005E25DE">
        <w:rPr>
          <w:rFonts w:ascii="Arial" w:hAnsi="Arial" w:cs="Arial"/>
          <w:sz w:val="24"/>
          <w:szCs w:val="24"/>
        </w:rPr>
        <w:t xml:space="preserve"> offer the proposed insurance products to customers</w:t>
      </w:r>
      <w:r w:rsidR="00305B09" w:rsidRPr="005E25DE">
        <w:rPr>
          <w:rFonts w:ascii="Arial" w:hAnsi="Arial" w:cs="Arial"/>
          <w:sz w:val="24"/>
          <w:szCs w:val="24"/>
        </w:rPr>
        <w:t>.</w:t>
      </w:r>
    </w:p>
    <w:p w14:paraId="56C2C5D4" w14:textId="77777777" w:rsidR="00694873" w:rsidRPr="005E25DE" w:rsidRDefault="00305B09" w:rsidP="008B03DA">
      <w:pPr>
        <w:spacing w:line="480" w:lineRule="auto"/>
        <w:jc w:val="both"/>
        <w:rPr>
          <w:rFonts w:ascii="Arial" w:hAnsi="Arial" w:cs="Arial"/>
          <w:sz w:val="24"/>
          <w:szCs w:val="24"/>
        </w:rPr>
      </w:pPr>
      <w:r w:rsidRPr="005E25DE">
        <w:rPr>
          <w:rFonts w:ascii="Arial" w:hAnsi="Arial" w:cs="Arial"/>
          <w:sz w:val="24"/>
          <w:szCs w:val="24"/>
        </w:rPr>
        <w:tab/>
        <w:t>In its Memo Contra FirstEnergy cites Ohio Revised Code (“R.C.) 4909.18 claiming that this statute does not give the Commission the authority to order a procedural schedule in this proceeding.  FirstEnergy’s interpretation of R.C. 4909.18</w:t>
      </w:r>
      <w:r w:rsidR="00694873" w:rsidRPr="005E25DE">
        <w:rPr>
          <w:rFonts w:ascii="Arial" w:hAnsi="Arial" w:cs="Arial"/>
          <w:sz w:val="24"/>
          <w:szCs w:val="24"/>
        </w:rPr>
        <w:t>,</w:t>
      </w:r>
      <w:r w:rsidRPr="005E25DE">
        <w:rPr>
          <w:rFonts w:ascii="Arial" w:hAnsi="Arial" w:cs="Arial"/>
          <w:sz w:val="24"/>
          <w:szCs w:val="24"/>
        </w:rPr>
        <w:t xml:space="preserve"> however</w:t>
      </w:r>
      <w:r w:rsidR="00694873" w:rsidRPr="005E25DE">
        <w:rPr>
          <w:rFonts w:ascii="Arial" w:hAnsi="Arial" w:cs="Arial"/>
          <w:sz w:val="24"/>
          <w:szCs w:val="24"/>
        </w:rPr>
        <w:t>,</w:t>
      </w:r>
      <w:r w:rsidRPr="005E25DE">
        <w:rPr>
          <w:rFonts w:ascii="Arial" w:hAnsi="Arial" w:cs="Arial"/>
          <w:sz w:val="24"/>
          <w:szCs w:val="24"/>
        </w:rPr>
        <w:t xml:space="preserve"> </w:t>
      </w:r>
      <w:r w:rsidR="00694873" w:rsidRPr="005E25DE">
        <w:rPr>
          <w:rFonts w:ascii="Arial" w:hAnsi="Arial" w:cs="Arial"/>
          <w:sz w:val="24"/>
          <w:szCs w:val="24"/>
        </w:rPr>
        <w:t>contradicts the express</w:t>
      </w:r>
      <w:r w:rsidRPr="005E25DE">
        <w:rPr>
          <w:rFonts w:ascii="Arial" w:hAnsi="Arial" w:cs="Arial"/>
          <w:sz w:val="24"/>
          <w:szCs w:val="24"/>
        </w:rPr>
        <w:t xml:space="preserve"> language of R.C. 4909.18 which states “if it appears to the commission that the proposals in the application may be unjust or unreasonable, </w:t>
      </w:r>
      <w:r w:rsidRPr="005E25DE">
        <w:rPr>
          <w:rFonts w:ascii="Arial" w:hAnsi="Arial" w:cs="Arial"/>
          <w:sz w:val="24"/>
          <w:szCs w:val="24"/>
          <w:u w:val="single"/>
        </w:rPr>
        <w:t>the Commission shall set the matter for hearing</w:t>
      </w:r>
      <w:r w:rsidRPr="005E25DE">
        <w:rPr>
          <w:rFonts w:ascii="Arial" w:hAnsi="Arial" w:cs="Arial"/>
          <w:sz w:val="24"/>
          <w:szCs w:val="24"/>
        </w:rPr>
        <w:t xml:space="preserve"> (emphasis added)</w:t>
      </w:r>
      <w:r w:rsidR="00694873" w:rsidRPr="005E25DE">
        <w:rPr>
          <w:rFonts w:ascii="Arial" w:hAnsi="Arial" w:cs="Arial"/>
          <w:sz w:val="24"/>
          <w:szCs w:val="24"/>
        </w:rPr>
        <w:t>.</w:t>
      </w:r>
      <w:r w:rsidRPr="005E25DE">
        <w:rPr>
          <w:rFonts w:ascii="Arial" w:hAnsi="Arial" w:cs="Arial"/>
          <w:sz w:val="24"/>
          <w:szCs w:val="24"/>
        </w:rPr>
        <w:t xml:space="preserve">”  </w:t>
      </w:r>
      <w:r w:rsidR="00694873" w:rsidRPr="005E25DE">
        <w:rPr>
          <w:rFonts w:ascii="Arial" w:hAnsi="Arial" w:cs="Arial"/>
          <w:sz w:val="24"/>
          <w:szCs w:val="24"/>
        </w:rPr>
        <w:t>FirstEnergy</w:t>
      </w:r>
      <w:r w:rsidR="00FD73D4" w:rsidRPr="005E25DE">
        <w:rPr>
          <w:rFonts w:ascii="Arial" w:hAnsi="Arial" w:cs="Arial"/>
          <w:sz w:val="24"/>
          <w:szCs w:val="24"/>
        </w:rPr>
        <w:t>, though,</w:t>
      </w:r>
      <w:r w:rsidR="00694873" w:rsidRPr="005E25DE">
        <w:rPr>
          <w:rFonts w:ascii="Arial" w:hAnsi="Arial" w:cs="Arial"/>
          <w:sz w:val="24"/>
          <w:szCs w:val="24"/>
        </w:rPr>
        <w:t xml:space="preserve"> concludes that because the Commission has not made a determination that the Application was unjust or unreasonable, then the Commission cannot </w:t>
      </w:r>
      <w:r w:rsidR="00FD73D4" w:rsidRPr="005E25DE">
        <w:rPr>
          <w:rFonts w:ascii="Arial" w:hAnsi="Arial" w:cs="Arial"/>
          <w:sz w:val="24"/>
          <w:szCs w:val="24"/>
        </w:rPr>
        <w:t>establish a procedural schedule in this proceeding</w:t>
      </w:r>
      <w:r w:rsidR="00694873" w:rsidRPr="005E25DE">
        <w:rPr>
          <w:rFonts w:ascii="Arial" w:hAnsi="Arial" w:cs="Arial"/>
          <w:sz w:val="24"/>
          <w:szCs w:val="24"/>
        </w:rPr>
        <w:t>.</w:t>
      </w:r>
      <w:r w:rsidR="00694873" w:rsidRPr="005E25DE">
        <w:rPr>
          <w:rStyle w:val="FootnoteReference"/>
          <w:rFonts w:ascii="Arial" w:hAnsi="Arial" w:cs="Arial"/>
          <w:sz w:val="24"/>
          <w:szCs w:val="24"/>
        </w:rPr>
        <w:footnoteReference w:id="11"/>
      </w:r>
    </w:p>
    <w:p w14:paraId="092C291D" w14:textId="5156E4F9" w:rsidR="009771BE" w:rsidRPr="005E25DE" w:rsidRDefault="00694873" w:rsidP="008B03DA">
      <w:pPr>
        <w:spacing w:line="480" w:lineRule="auto"/>
        <w:jc w:val="both"/>
        <w:rPr>
          <w:rFonts w:ascii="Arial" w:hAnsi="Arial" w:cs="Arial"/>
          <w:sz w:val="24"/>
          <w:szCs w:val="24"/>
        </w:rPr>
      </w:pPr>
      <w:r w:rsidRPr="005E25DE">
        <w:rPr>
          <w:rFonts w:ascii="Arial" w:hAnsi="Arial" w:cs="Arial"/>
          <w:sz w:val="24"/>
          <w:szCs w:val="24"/>
        </w:rPr>
        <w:tab/>
        <w:t>First, 4909.18 does not require that the Commission make a determination that the Application is unjust and unreasonable, the Application must merely “appear” to the Commission to be unjust or unreasonable.  That said, even if an initial finding of unjustness or unreasonableness is required by the Commission</w:t>
      </w:r>
      <w:r w:rsidR="00153213" w:rsidRPr="005E25DE">
        <w:rPr>
          <w:rFonts w:ascii="Arial" w:hAnsi="Arial" w:cs="Arial"/>
          <w:sz w:val="24"/>
          <w:szCs w:val="24"/>
        </w:rPr>
        <w:t xml:space="preserve">, </w:t>
      </w:r>
      <w:r w:rsidRPr="005E25DE">
        <w:rPr>
          <w:rFonts w:ascii="Arial" w:hAnsi="Arial" w:cs="Arial"/>
          <w:sz w:val="24"/>
          <w:szCs w:val="24"/>
        </w:rPr>
        <w:t>the Application</w:t>
      </w:r>
      <w:r w:rsidR="009C1BCE">
        <w:rPr>
          <w:rFonts w:ascii="Arial" w:hAnsi="Arial" w:cs="Arial"/>
          <w:sz w:val="24"/>
          <w:szCs w:val="24"/>
        </w:rPr>
        <w:t xml:space="preserve"> </w:t>
      </w:r>
      <w:r w:rsidR="00153213" w:rsidRPr="005E25DE">
        <w:rPr>
          <w:rFonts w:ascii="Arial" w:hAnsi="Arial" w:cs="Arial"/>
          <w:sz w:val="24"/>
          <w:szCs w:val="24"/>
        </w:rPr>
        <w:t>on its face</w:t>
      </w:r>
      <w:r w:rsidRPr="005E25DE">
        <w:rPr>
          <w:rFonts w:ascii="Arial" w:hAnsi="Arial" w:cs="Arial"/>
          <w:sz w:val="24"/>
          <w:szCs w:val="24"/>
        </w:rPr>
        <w:t xml:space="preserve"> is unjust and unreasonable.  FirstEnergy is asking for blanket approval to offer “insurance products and related services” without limitation </w:t>
      </w:r>
      <w:r w:rsidR="00153213" w:rsidRPr="005E25DE">
        <w:rPr>
          <w:rFonts w:ascii="Arial" w:hAnsi="Arial" w:cs="Arial"/>
          <w:sz w:val="24"/>
          <w:szCs w:val="24"/>
        </w:rPr>
        <w:t>(</w:t>
      </w:r>
      <w:r w:rsidRPr="005E25DE">
        <w:rPr>
          <w:rFonts w:ascii="Arial" w:hAnsi="Arial" w:cs="Arial"/>
          <w:sz w:val="24"/>
          <w:szCs w:val="24"/>
        </w:rPr>
        <w:t>which is unjust and unreasonable</w:t>
      </w:r>
      <w:r w:rsidR="00153213" w:rsidRPr="005E25DE">
        <w:rPr>
          <w:rFonts w:ascii="Arial" w:hAnsi="Arial" w:cs="Arial"/>
          <w:sz w:val="24"/>
          <w:szCs w:val="24"/>
        </w:rPr>
        <w:t>)</w:t>
      </w:r>
      <w:r w:rsidRPr="005E25DE">
        <w:rPr>
          <w:rFonts w:ascii="Arial" w:hAnsi="Arial" w:cs="Arial"/>
          <w:sz w:val="24"/>
          <w:szCs w:val="24"/>
        </w:rPr>
        <w:t>.  FirstEnergy is seeking to further the unlawful and preferential access to the EDU bill to select companies chosen by FirstEnergy while denying others access to the EDU bil</w:t>
      </w:r>
      <w:r w:rsidR="00153213" w:rsidRPr="005E25DE">
        <w:rPr>
          <w:rFonts w:ascii="Arial" w:hAnsi="Arial" w:cs="Arial"/>
          <w:sz w:val="24"/>
          <w:szCs w:val="24"/>
        </w:rPr>
        <w:t>l (</w:t>
      </w:r>
      <w:r w:rsidRPr="005E25DE">
        <w:rPr>
          <w:rFonts w:ascii="Arial" w:hAnsi="Arial" w:cs="Arial"/>
          <w:sz w:val="24"/>
          <w:szCs w:val="24"/>
        </w:rPr>
        <w:t>which is unjust and unreasonable</w:t>
      </w:r>
      <w:r w:rsidR="00153213" w:rsidRPr="005E25DE">
        <w:rPr>
          <w:rFonts w:ascii="Arial" w:hAnsi="Arial" w:cs="Arial"/>
          <w:sz w:val="24"/>
          <w:szCs w:val="24"/>
        </w:rPr>
        <w:t>)</w:t>
      </w:r>
      <w:r w:rsidRPr="005E25DE">
        <w:rPr>
          <w:rFonts w:ascii="Arial" w:hAnsi="Arial" w:cs="Arial"/>
          <w:sz w:val="24"/>
          <w:szCs w:val="24"/>
        </w:rPr>
        <w:t>.  FirstEnergy has provided no transparency with respect to its cost allocation</w:t>
      </w:r>
      <w:r w:rsidR="00FD73D4" w:rsidRPr="005E25DE">
        <w:rPr>
          <w:rFonts w:ascii="Arial" w:hAnsi="Arial" w:cs="Arial"/>
          <w:sz w:val="24"/>
          <w:szCs w:val="24"/>
        </w:rPr>
        <w:t xml:space="preserve"> methodology </w:t>
      </w:r>
      <w:r w:rsidR="00153213" w:rsidRPr="005E25DE">
        <w:rPr>
          <w:rFonts w:ascii="Arial" w:hAnsi="Arial" w:cs="Arial"/>
          <w:sz w:val="24"/>
          <w:szCs w:val="24"/>
        </w:rPr>
        <w:t>(</w:t>
      </w:r>
      <w:r w:rsidR="00FD73D4" w:rsidRPr="005E25DE">
        <w:rPr>
          <w:rFonts w:ascii="Arial" w:hAnsi="Arial" w:cs="Arial"/>
          <w:sz w:val="24"/>
          <w:szCs w:val="24"/>
        </w:rPr>
        <w:t>which is unjus</w:t>
      </w:r>
      <w:r w:rsidR="00153213" w:rsidRPr="005E25DE">
        <w:rPr>
          <w:rFonts w:ascii="Arial" w:hAnsi="Arial" w:cs="Arial"/>
          <w:sz w:val="24"/>
          <w:szCs w:val="24"/>
        </w:rPr>
        <w:t xml:space="preserve">t and </w:t>
      </w:r>
      <w:r w:rsidR="00153213" w:rsidRPr="005E25DE">
        <w:rPr>
          <w:rFonts w:ascii="Arial" w:hAnsi="Arial" w:cs="Arial"/>
          <w:sz w:val="24"/>
          <w:szCs w:val="24"/>
        </w:rPr>
        <w:lastRenderedPageBreak/>
        <w:t>unreasonabl</w:t>
      </w:r>
      <w:r w:rsidR="00E40F91" w:rsidRPr="005E25DE">
        <w:rPr>
          <w:rFonts w:ascii="Arial" w:hAnsi="Arial" w:cs="Arial"/>
          <w:sz w:val="24"/>
          <w:szCs w:val="24"/>
        </w:rPr>
        <w:t>e</w:t>
      </w:r>
      <w:r w:rsidR="00153213" w:rsidRPr="005E25DE">
        <w:rPr>
          <w:rFonts w:ascii="Arial" w:hAnsi="Arial" w:cs="Arial"/>
          <w:sz w:val="24"/>
          <w:szCs w:val="24"/>
        </w:rPr>
        <w:t>)</w:t>
      </w:r>
      <w:r w:rsidR="00FD73D4" w:rsidRPr="005E25DE">
        <w:rPr>
          <w:rFonts w:ascii="Arial" w:hAnsi="Arial" w:cs="Arial"/>
          <w:sz w:val="24"/>
          <w:szCs w:val="24"/>
        </w:rPr>
        <w:t>.  FirstEnergy has provided no transparency with respect to the royalty payment its parent company will receive from this application</w:t>
      </w:r>
      <w:r w:rsidR="009771BE" w:rsidRPr="005E25DE">
        <w:rPr>
          <w:rFonts w:ascii="Arial" w:hAnsi="Arial" w:cs="Arial"/>
          <w:sz w:val="24"/>
          <w:szCs w:val="24"/>
        </w:rPr>
        <w:t xml:space="preserve"> </w:t>
      </w:r>
      <w:r w:rsidR="00153213" w:rsidRPr="005E25DE">
        <w:rPr>
          <w:rFonts w:ascii="Arial" w:hAnsi="Arial" w:cs="Arial"/>
          <w:sz w:val="24"/>
          <w:szCs w:val="24"/>
        </w:rPr>
        <w:t>(</w:t>
      </w:r>
      <w:r w:rsidR="00FD73D4" w:rsidRPr="005E25DE">
        <w:rPr>
          <w:rFonts w:ascii="Arial" w:hAnsi="Arial" w:cs="Arial"/>
          <w:sz w:val="24"/>
          <w:szCs w:val="24"/>
        </w:rPr>
        <w:t>which is unjust and unreasonable</w:t>
      </w:r>
      <w:r w:rsidR="00153213" w:rsidRPr="005E25DE">
        <w:rPr>
          <w:rFonts w:ascii="Arial" w:hAnsi="Arial" w:cs="Arial"/>
          <w:sz w:val="24"/>
          <w:szCs w:val="24"/>
        </w:rPr>
        <w:t>)</w:t>
      </w:r>
      <w:r w:rsidR="00A15430" w:rsidRPr="005E25DE">
        <w:rPr>
          <w:rFonts w:ascii="Arial" w:hAnsi="Arial" w:cs="Arial"/>
          <w:sz w:val="24"/>
          <w:szCs w:val="24"/>
        </w:rPr>
        <w:t>.  In short, there is a</w:t>
      </w:r>
      <w:r w:rsidR="00EB4F6F" w:rsidRPr="005E25DE">
        <w:rPr>
          <w:rFonts w:ascii="Arial" w:hAnsi="Arial" w:cs="Arial"/>
          <w:sz w:val="24"/>
          <w:szCs w:val="24"/>
        </w:rPr>
        <w:t xml:space="preserve"> whole litany</w:t>
      </w:r>
      <w:r w:rsidR="00FD73D4" w:rsidRPr="005E25DE">
        <w:rPr>
          <w:rFonts w:ascii="Arial" w:hAnsi="Arial" w:cs="Arial"/>
          <w:sz w:val="24"/>
          <w:szCs w:val="24"/>
        </w:rPr>
        <w:t xml:space="preserve"> of items that are unjust and unreasonable about FirstEnergy’s Application. </w:t>
      </w:r>
    </w:p>
    <w:p w14:paraId="7E3201DE" w14:textId="23367847" w:rsidR="00267448" w:rsidRPr="005E25DE" w:rsidRDefault="00FD73D4" w:rsidP="008B03DA">
      <w:pPr>
        <w:spacing w:line="480" w:lineRule="auto"/>
        <w:jc w:val="both"/>
        <w:rPr>
          <w:rFonts w:ascii="Arial" w:hAnsi="Arial" w:cs="Arial"/>
          <w:sz w:val="24"/>
          <w:szCs w:val="24"/>
        </w:rPr>
      </w:pPr>
      <w:r w:rsidRPr="005E25DE">
        <w:rPr>
          <w:rFonts w:ascii="Arial" w:hAnsi="Arial" w:cs="Arial"/>
          <w:sz w:val="24"/>
          <w:szCs w:val="24"/>
        </w:rPr>
        <w:tab/>
        <w:t xml:space="preserve">FirstEnergy also cites the Duke corporate separation case as an example of how the Commission approved another EDU’s application to </w:t>
      </w:r>
      <w:r w:rsidR="00267448" w:rsidRPr="005E25DE">
        <w:rPr>
          <w:rFonts w:ascii="Arial" w:hAnsi="Arial" w:cs="Arial"/>
          <w:sz w:val="24"/>
          <w:szCs w:val="24"/>
        </w:rPr>
        <w:t>offer competitive products and services without a full procedural schedule</w:t>
      </w:r>
      <w:r w:rsidRPr="005E25DE">
        <w:rPr>
          <w:rFonts w:ascii="Arial" w:hAnsi="Arial" w:cs="Arial"/>
          <w:sz w:val="24"/>
          <w:szCs w:val="24"/>
        </w:rPr>
        <w:t>.</w:t>
      </w:r>
      <w:r w:rsidRPr="005E25DE">
        <w:rPr>
          <w:rStyle w:val="FootnoteReference"/>
          <w:rFonts w:ascii="Arial" w:hAnsi="Arial" w:cs="Arial"/>
          <w:sz w:val="24"/>
          <w:szCs w:val="24"/>
        </w:rPr>
        <w:footnoteReference w:id="12"/>
      </w:r>
      <w:r w:rsidR="00267448" w:rsidRPr="005E25DE">
        <w:rPr>
          <w:rFonts w:ascii="Arial" w:hAnsi="Arial" w:cs="Arial"/>
          <w:sz w:val="24"/>
          <w:szCs w:val="24"/>
        </w:rPr>
        <w:t xml:space="preserve"> In that proceeding Duke sought authority to amend its corporate separation plan to provide non-</w:t>
      </w:r>
      <w:r w:rsidR="0015666F">
        <w:rPr>
          <w:rFonts w:ascii="Arial" w:hAnsi="Arial" w:cs="Arial"/>
          <w:sz w:val="24"/>
          <w:szCs w:val="24"/>
        </w:rPr>
        <w:t>commodity</w:t>
      </w:r>
      <w:r w:rsidR="00267448" w:rsidRPr="005E25DE">
        <w:rPr>
          <w:rFonts w:ascii="Arial" w:hAnsi="Arial" w:cs="Arial"/>
          <w:sz w:val="24"/>
          <w:szCs w:val="24"/>
        </w:rPr>
        <w:t xml:space="preserve"> services</w:t>
      </w:r>
      <w:r w:rsidR="00EB4F6F" w:rsidRPr="005E25DE">
        <w:rPr>
          <w:rFonts w:ascii="Arial" w:hAnsi="Arial" w:cs="Arial"/>
          <w:sz w:val="24"/>
          <w:szCs w:val="24"/>
        </w:rPr>
        <w:t>.</w:t>
      </w:r>
    </w:p>
    <w:p w14:paraId="5F7E94A9" w14:textId="7BB0F45C" w:rsidR="009771BE" w:rsidRPr="005E25DE" w:rsidRDefault="00267448" w:rsidP="008B03DA">
      <w:pPr>
        <w:spacing w:line="480" w:lineRule="auto"/>
        <w:jc w:val="both"/>
        <w:rPr>
          <w:rFonts w:ascii="Arial" w:hAnsi="Arial" w:cs="Arial"/>
          <w:sz w:val="24"/>
          <w:szCs w:val="24"/>
        </w:rPr>
      </w:pPr>
      <w:r w:rsidRPr="005E25DE">
        <w:rPr>
          <w:rFonts w:ascii="Arial" w:hAnsi="Arial" w:cs="Arial"/>
          <w:sz w:val="24"/>
          <w:szCs w:val="24"/>
        </w:rPr>
        <w:tab/>
        <w:t xml:space="preserve"> First, it should be noted that no party in the Duke corporate </w:t>
      </w:r>
      <w:r w:rsidR="00050421" w:rsidRPr="005E25DE">
        <w:rPr>
          <w:rFonts w:ascii="Arial" w:hAnsi="Arial" w:cs="Arial"/>
          <w:sz w:val="24"/>
          <w:szCs w:val="24"/>
        </w:rPr>
        <w:t>separation</w:t>
      </w:r>
      <w:r w:rsidRPr="005E25DE">
        <w:rPr>
          <w:rFonts w:ascii="Arial" w:hAnsi="Arial" w:cs="Arial"/>
          <w:sz w:val="24"/>
          <w:szCs w:val="24"/>
        </w:rPr>
        <w:t xml:space="preserve"> proceeding asked for a procedural schedule as IGS has in this proceeding. Further,</w:t>
      </w:r>
      <w:r w:rsidR="003D0B9B" w:rsidRPr="005E25DE">
        <w:rPr>
          <w:rFonts w:ascii="Arial" w:hAnsi="Arial" w:cs="Arial"/>
          <w:sz w:val="24"/>
          <w:szCs w:val="24"/>
        </w:rPr>
        <w:t xml:space="preserve"> w</w:t>
      </w:r>
      <w:r w:rsidR="00FD73D4" w:rsidRPr="005E25DE">
        <w:rPr>
          <w:rFonts w:ascii="Arial" w:hAnsi="Arial" w:cs="Arial"/>
          <w:sz w:val="24"/>
          <w:szCs w:val="24"/>
        </w:rPr>
        <w:t xml:space="preserve">hile there is much that IGS disagrees about the Commission’s </w:t>
      </w:r>
      <w:r w:rsidRPr="005E25DE">
        <w:rPr>
          <w:rFonts w:ascii="Arial" w:hAnsi="Arial" w:cs="Arial"/>
          <w:sz w:val="24"/>
          <w:szCs w:val="24"/>
        </w:rPr>
        <w:t>decision in the Duke corporate separation case</w:t>
      </w:r>
      <w:r w:rsidR="00153213" w:rsidRPr="005E25DE">
        <w:rPr>
          <w:rFonts w:ascii="Arial" w:hAnsi="Arial" w:cs="Arial"/>
          <w:sz w:val="24"/>
          <w:szCs w:val="24"/>
        </w:rPr>
        <w:t xml:space="preserve"> (as evidenced by IGS’ pending appeal to the Supreme Court of Ohio) the Commission did </w:t>
      </w:r>
      <w:r w:rsidR="00D13D90">
        <w:rPr>
          <w:rFonts w:ascii="Arial" w:hAnsi="Arial" w:cs="Arial"/>
          <w:sz w:val="24"/>
          <w:szCs w:val="24"/>
        </w:rPr>
        <w:t>indicate</w:t>
      </w:r>
      <w:r w:rsidR="00D13D90" w:rsidRPr="005E25DE">
        <w:rPr>
          <w:rFonts w:ascii="Arial" w:hAnsi="Arial" w:cs="Arial"/>
          <w:sz w:val="24"/>
          <w:szCs w:val="24"/>
        </w:rPr>
        <w:t xml:space="preserve"> </w:t>
      </w:r>
      <w:r w:rsidR="00153213" w:rsidRPr="005E25DE">
        <w:rPr>
          <w:rFonts w:ascii="Arial" w:hAnsi="Arial" w:cs="Arial"/>
          <w:sz w:val="24"/>
          <w:szCs w:val="24"/>
        </w:rPr>
        <w:t>that</w:t>
      </w:r>
      <w:r w:rsidRPr="005E25DE">
        <w:rPr>
          <w:rFonts w:ascii="Arial" w:hAnsi="Arial" w:cs="Arial"/>
          <w:sz w:val="24"/>
          <w:szCs w:val="24"/>
        </w:rPr>
        <w:t xml:space="preserve"> parties will have an opportunity on </w:t>
      </w:r>
      <w:r w:rsidR="001D673F">
        <w:rPr>
          <w:rFonts w:ascii="Arial" w:hAnsi="Arial" w:cs="Arial"/>
          <w:sz w:val="24"/>
          <w:szCs w:val="24"/>
        </w:rPr>
        <w:t>a</w:t>
      </w:r>
      <w:r w:rsidR="00153213" w:rsidRPr="005E25DE">
        <w:rPr>
          <w:rFonts w:ascii="Arial" w:hAnsi="Arial" w:cs="Arial"/>
          <w:sz w:val="24"/>
          <w:szCs w:val="24"/>
        </w:rPr>
        <w:t xml:space="preserve"> “</w:t>
      </w:r>
      <w:r w:rsidRPr="005E25DE">
        <w:rPr>
          <w:rFonts w:ascii="Arial" w:hAnsi="Arial" w:cs="Arial"/>
          <w:sz w:val="24"/>
          <w:szCs w:val="24"/>
        </w:rPr>
        <w:t>case-by-</w:t>
      </w:r>
      <w:r w:rsidR="00153213" w:rsidRPr="005E25DE">
        <w:rPr>
          <w:rFonts w:ascii="Arial" w:hAnsi="Arial" w:cs="Arial"/>
          <w:sz w:val="24"/>
          <w:szCs w:val="24"/>
        </w:rPr>
        <w:t xml:space="preserve">case basis” </w:t>
      </w:r>
      <w:r w:rsidRPr="005E25DE">
        <w:rPr>
          <w:rFonts w:ascii="Arial" w:hAnsi="Arial" w:cs="Arial"/>
          <w:sz w:val="24"/>
          <w:szCs w:val="24"/>
        </w:rPr>
        <w:t>to access the merits of the</w:t>
      </w:r>
      <w:r w:rsidR="00050421" w:rsidRPr="005E25DE">
        <w:rPr>
          <w:rFonts w:ascii="Arial" w:hAnsi="Arial" w:cs="Arial"/>
          <w:sz w:val="24"/>
          <w:szCs w:val="24"/>
        </w:rPr>
        <w:t xml:space="preserve"> particular products Duke ultimately offers customers</w:t>
      </w:r>
      <w:r w:rsidR="00153213" w:rsidRPr="005E25DE">
        <w:rPr>
          <w:rFonts w:ascii="Arial" w:hAnsi="Arial" w:cs="Arial"/>
          <w:sz w:val="24"/>
          <w:szCs w:val="24"/>
        </w:rPr>
        <w:t>.</w:t>
      </w:r>
      <w:r w:rsidR="00153213" w:rsidRPr="005E25DE">
        <w:rPr>
          <w:rStyle w:val="FootnoteReference"/>
          <w:rFonts w:ascii="Arial" w:hAnsi="Arial" w:cs="Arial"/>
          <w:sz w:val="24"/>
          <w:szCs w:val="24"/>
        </w:rPr>
        <w:footnoteReference w:id="13"/>
      </w:r>
      <w:r w:rsidR="00153213" w:rsidRPr="005E25DE">
        <w:rPr>
          <w:rFonts w:ascii="Arial" w:hAnsi="Arial" w:cs="Arial"/>
          <w:sz w:val="24"/>
          <w:szCs w:val="24"/>
        </w:rPr>
        <w:t xml:space="preserve">  In this case FirstEnergy </w:t>
      </w:r>
      <w:r w:rsidR="00A15430" w:rsidRPr="005E25DE">
        <w:rPr>
          <w:rFonts w:ascii="Arial" w:hAnsi="Arial" w:cs="Arial"/>
          <w:sz w:val="24"/>
          <w:szCs w:val="24"/>
        </w:rPr>
        <w:t>is asking permission from the commission to offer</w:t>
      </w:r>
      <w:r w:rsidR="001D673F">
        <w:rPr>
          <w:rFonts w:ascii="Arial" w:hAnsi="Arial" w:cs="Arial"/>
          <w:sz w:val="24"/>
          <w:szCs w:val="24"/>
        </w:rPr>
        <w:t xml:space="preserve"> a</w:t>
      </w:r>
      <w:r w:rsidR="00A15430" w:rsidRPr="005E25DE">
        <w:rPr>
          <w:rFonts w:ascii="Arial" w:hAnsi="Arial" w:cs="Arial"/>
          <w:sz w:val="24"/>
          <w:szCs w:val="24"/>
        </w:rPr>
        <w:t xml:space="preserve"> specific </w:t>
      </w:r>
      <w:r w:rsidR="00490262">
        <w:rPr>
          <w:rFonts w:ascii="Arial" w:hAnsi="Arial" w:cs="Arial"/>
          <w:sz w:val="24"/>
          <w:szCs w:val="24"/>
        </w:rPr>
        <w:t>r</w:t>
      </w:r>
      <w:r w:rsidR="00E731FA">
        <w:rPr>
          <w:rFonts w:ascii="Arial" w:hAnsi="Arial" w:cs="Arial"/>
          <w:sz w:val="24"/>
          <w:szCs w:val="24"/>
        </w:rPr>
        <w:t xml:space="preserve">ange of products </w:t>
      </w:r>
      <w:r w:rsidR="00153213" w:rsidRPr="005E25DE">
        <w:rPr>
          <w:rFonts w:ascii="Arial" w:hAnsi="Arial" w:cs="Arial"/>
          <w:sz w:val="24"/>
          <w:szCs w:val="24"/>
        </w:rPr>
        <w:t xml:space="preserve">– </w:t>
      </w:r>
      <w:r w:rsidR="00A15430" w:rsidRPr="005E25DE">
        <w:rPr>
          <w:rFonts w:ascii="Arial" w:hAnsi="Arial" w:cs="Arial"/>
          <w:sz w:val="24"/>
          <w:szCs w:val="24"/>
        </w:rPr>
        <w:t xml:space="preserve">namely </w:t>
      </w:r>
      <w:r w:rsidR="00153213" w:rsidRPr="005E25DE">
        <w:rPr>
          <w:rFonts w:ascii="Arial" w:hAnsi="Arial" w:cs="Arial"/>
          <w:sz w:val="24"/>
          <w:szCs w:val="24"/>
        </w:rPr>
        <w:t>“insuranc</w:t>
      </w:r>
      <w:r w:rsidR="00490262">
        <w:rPr>
          <w:rFonts w:ascii="Arial" w:hAnsi="Arial" w:cs="Arial"/>
          <w:sz w:val="24"/>
          <w:szCs w:val="24"/>
        </w:rPr>
        <w:t>e products and related services</w:t>
      </w:r>
      <w:r w:rsidR="00153213" w:rsidRPr="005E25DE">
        <w:rPr>
          <w:rFonts w:ascii="Arial" w:hAnsi="Arial" w:cs="Arial"/>
          <w:sz w:val="24"/>
          <w:szCs w:val="24"/>
        </w:rPr>
        <w:t>”</w:t>
      </w:r>
      <w:r w:rsidR="00490262">
        <w:rPr>
          <w:rFonts w:ascii="Arial" w:hAnsi="Arial" w:cs="Arial"/>
          <w:sz w:val="24"/>
          <w:szCs w:val="24"/>
        </w:rPr>
        <w:t xml:space="preserve"> – and presumably FirstEnergy will immediately begin offering these products to customers if its Application is approved.</w:t>
      </w:r>
      <w:r w:rsidR="00050421" w:rsidRPr="005E25DE">
        <w:rPr>
          <w:rFonts w:ascii="Arial" w:hAnsi="Arial" w:cs="Arial"/>
          <w:sz w:val="24"/>
          <w:szCs w:val="24"/>
        </w:rPr>
        <w:t xml:space="preserve"> Thus, this</w:t>
      </w:r>
      <w:r w:rsidR="00EB4F6F" w:rsidRPr="005E25DE">
        <w:rPr>
          <w:rFonts w:ascii="Arial" w:hAnsi="Arial" w:cs="Arial"/>
          <w:sz w:val="24"/>
          <w:szCs w:val="24"/>
        </w:rPr>
        <w:t xml:space="preserve"> proceeding</w:t>
      </w:r>
      <w:r w:rsidR="00050421" w:rsidRPr="005E25DE">
        <w:rPr>
          <w:rFonts w:ascii="Arial" w:hAnsi="Arial" w:cs="Arial"/>
          <w:sz w:val="24"/>
          <w:szCs w:val="24"/>
        </w:rPr>
        <w:t xml:space="preserve"> </w:t>
      </w:r>
      <w:r w:rsidR="00050421" w:rsidRPr="005E25DE">
        <w:rPr>
          <w:rFonts w:ascii="Arial" w:hAnsi="Arial" w:cs="Arial"/>
          <w:i/>
          <w:sz w:val="24"/>
          <w:szCs w:val="24"/>
        </w:rPr>
        <w:t>is</w:t>
      </w:r>
      <w:r w:rsidR="00050421" w:rsidRPr="005E25DE">
        <w:rPr>
          <w:rFonts w:ascii="Arial" w:hAnsi="Arial" w:cs="Arial"/>
          <w:sz w:val="24"/>
          <w:szCs w:val="24"/>
        </w:rPr>
        <w:t xml:space="preserve"> the “case-by-case”</w:t>
      </w:r>
      <w:r w:rsidR="00440227" w:rsidRPr="005E25DE">
        <w:rPr>
          <w:rFonts w:ascii="Arial" w:hAnsi="Arial" w:cs="Arial"/>
          <w:sz w:val="24"/>
          <w:szCs w:val="24"/>
        </w:rPr>
        <w:t xml:space="preserve"> review that must</w:t>
      </w:r>
      <w:r w:rsidR="00050421" w:rsidRPr="005E25DE">
        <w:rPr>
          <w:rFonts w:ascii="Arial" w:hAnsi="Arial" w:cs="Arial"/>
          <w:sz w:val="24"/>
          <w:szCs w:val="24"/>
        </w:rPr>
        <w:t xml:space="preserve"> be had in order to determine whether FirstEnergy’s Application is just and reasonable.</w:t>
      </w:r>
    </w:p>
    <w:p w14:paraId="161A10B5" w14:textId="4DB41DBC" w:rsidR="00657BDB" w:rsidRDefault="00440227" w:rsidP="008B03DA">
      <w:pPr>
        <w:spacing w:line="480" w:lineRule="auto"/>
        <w:jc w:val="both"/>
        <w:rPr>
          <w:rFonts w:ascii="Arial" w:hAnsi="Arial" w:cs="Arial"/>
          <w:sz w:val="24"/>
          <w:szCs w:val="24"/>
        </w:rPr>
      </w:pPr>
      <w:r w:rsidRPr="005E25DE">
        <w:rPr>
          <w:rFonts w:ascii="Arial" w:hAnsi="Arial" w:cs="Arial"/>
          <w:sz w:val="24"/>
          <w:szCs w:val="24"/>
        </w:rPr>
        <w:lastRenderedPageBreak/>
        <w:tab/>
      </w:r>
      <w:r w:rsidR="00EB4F6F" w:rsidRPr="005E25DE">
        <w:rPr>
          <w:rFonts w:ascii="Arial" w:hAnsi="Arial" w:cs="Arial"/>
          <w:sz w:val="24"/>
          <w:szCs w:val="24"/>
        </w:rPr>
        <w:t>It would be un</w:t>
      </w:r>
      <w:r w:rsidR="003D0B9B" w:rsidRPr="005E25DE">
        <w:rPr>
          <w:rFonts w:ascii="Arial" w:hAnsi="Arial" w:cs="Arial"/>
          <w:sz w:val="24"/>
          <w:szCs w:val="24"/>
        </w:rPr>
        <w:t>reasonable</w:t>
      </w:r>
      <w:r w:rsidR="00EB4F6F" w:rsidRPr="005E25DE">
        <w:rPr>
          <w:rFonts w:ascii="Arial" w:hAnsi="Arial" w:cs="Arial"/>
          <w:sz w:val="24"/>
          <w:szCs w:val="24"/>
        </w:rPr>
        <w:t xml:space="preserve"> and </w:t>
      </w:r>
      <w:r w:rsidR="001D673F">
        <w:rPr>
          <w:rFonts w:ascii="Arial" w:hAnsi="Arial" w:cs="Arial"/>
          <w:sz w:val="24"/>
          <w:szCs w:val="24"/>
        </w:rPr>
        <w:t xml:space="preserve">would </w:t>
      </w:r>
      <w:r w:rsidR="00EB4F6F" w:rsidRPr="005E25DE">
        <w:rPr>
          <w:rFonts w:ascii="Arial" w:hAnsi="Arial" w:cs="Arial"/>
          <w:sz w:val="24"/>
          <w:szCs w:val="24"/>
        </w:rPr>
        <w:t xml:space="preserve">materially disadvantage IGS’ interests to deny IGS or other interested parties </w:t>
      </w:r>
      <w:r w:rsidR="008476D3">
        <w:rPr>
          <w:rFonts w:ascii="Arial" w:hAnsi="Arial" w:cs="Arial"/>
          <w:sz w:val="24"/>
          <w:szCs w:val="24"/>
        </w:rPr>
        <w:t>the opportunity</w:t>
      </w:r>
      <w:r w:rsidR="00EB4F6F" w:rsidRPr="005E25DE">
        <w:rPr>
          <w:rFonts w:ascii="Arial" w:hAnsi="Arial" w:cs="Arial"/>
          <w:sz w:val="24"/>
          <w:szCs w:val="24"/>
        </w:rPr>
        <w:t xml:space="preserve"> to fully develop the record </w:t>
      </w:r>
      <w:r w:rsidR="00E731FA">
        <w:rPr>
          <w:rFonts w:ascii="Arial" w:hAnsi="Arial" w:cs="Arial"/>
          <w:sz w:val="24"/>
          <w:szCs w:val="24"/>
        </w:rPr>
        <w:t>in this proceeding</w:t>
      </w:r>
      <w:r w:rsidR="00EB4F6F" w:rsidRPr="005E25DE">
        <w:rPr>
          <w:rFonts w:ascii="Arial" w:hAnsi="Arial" w:cs="Arial"/>
          <w:sz w:val="24"/>
          <w:szCs w:val="24"/>
        </w:rPr>
        <w:t>.</w:t>
      </w:r>
      <w:r w:rsidR="008476D3">
        <w:rPr>
          <w:rFonts w:ascii="Arial" w:hAnsi="Arial" w:cs="Arial"/>
          <w:sz w:val="24"/>
          <w:szCs w:val="24"/>
        </w:rPr>
        <w:t xml:space="preserve"> Given that there is very lit</w:t>
      </w:r>
      <w:r w:rsidR="00E731FA">
        <w:rPr>
          <w:rFonts w:ascii="Arial" w:hAnsi="Arial" w:cs="Arial"/>
          <w:sz w:val="24"/>
          <w:szCs w:val="24"/>
        </w:rPr>
        <w:t>tle information provided in FirstEnergy’s</w:t>
      </w:r>
      <w:r w:rsidR="008476D3">
        <w:rPr>
          <w:rFonts w:ascii="Arial" w:hAnsi="Arial" w:cs="Arial"/>
          <w:sz w:val="24"/>
          <w:szCs w:val="24"/>
        </w:rPr>
        <w:t xml:space="preserve"> Application IGS</w:t>
      </w:r>
      <w:r w:rsidR="00D13D90">
        <w:rPr>
          <w:rFonts w:ascii="Arial" w:hAnsi="Arial" w:cs="Arial"/>
          <w:sz w:val="24"/>
          <w:szCs w:val="24"/>
        </w:rPr>
        <w:t>,</w:t>
      </w:r>
      <w:r w:rsidR="008476D3">
        <w:rPr>
          <w:rFonts w:ascii="Arial" w:hAnsi="Arial" w:cs="Arial"/>
          <w:sz w:val="24"/>
          <w:szCs w:val="24"/>
        </w:rPr>
        <w:t xml:space="preserve"> and other interested parties, must have an opportunity to conduct discovery.  IGS</w:t>
      </w:r>
      <w:r w:rsidR="00D13D90">
        <w:rPr>
          <w:rFonts w:ascii="Arial" w:hAnsi="Arial" w:cs="Arial"/>
          <w:sz w:val="24"/>
          <w:szCs w:val="24"/>
        </w:rPr>
        <w:t>,</w:t>
      </w:r>
      <w:r w:rsidR="008476D3">
        <w:rPr>
          <w:rFonts w:ascii="Arial" w:hAnsi="Arial" w:cs="Arial"/>
          <w:sz w:val="24"/>
          <w:szCs w:val="24"/>
        </w:rPr>
        <w:t xml:space="preserve"> and other interested parties</w:t>
      </w:r>
      <w:r w:rsidR="00D13D90">
        <w:rPr>
          <w:rFonts w:ascii="Arial" w:hAnsi="Arial" w:cs="Arial"/>
          <w:sz w:val="24"/>
          <w:szCs w:val="24"/>
        </w:rPr>
        <w:t>,</w:t>
      </w:r>
      <w:r w:rsidR="008476D3">
        <w:rPr>
          <w:rFonts w:ascii="Arial" w:hAnsi="Arial" w:cs="Arial"/>
          <w:sz w:val="24"/>
          <w:szCs w:val="24"/>
        </w:rPr>
        <w:t xml:space="preserve"> should</w:t>
      </w:r>
      <w:r w:rsidR="00D13D90">
        <w:rPr>
          <w:rFonts w:ascii="Arial" w:hAnsi="Arial" w:cs="Arial"/>
          <w:sz w:val="24"/>
          <w:szCs w:val="24"/>
        </w:rPr>
        <w:t xml:space="preserve"> also</w:t>
      </w:r>
      <w:r w:rsidR="008476D3">
        <w:rPr>
          <w:rFonts w:ascii="Arial" w:hAnsi="Arial" w:cs="Arial"/>
          <w:sz w:val="24"/>
          <w:szCs w:val="24"/>
        </w:rPr>
        <w:t xml:space="preserve"> have an opportunity to put on evidence that pertains to the merits of FirstEnergy’s </w:t>
      </w:r>
      <w:r w:rsidR="00E731FA">
        <w:rPr>
          <w:rFonts w:ascii="Arial" w:hAnsi="Arial" w:cs="Arial"/>
          <w:sz w:val="24"/>
          <w:szCs w:val="24"/>
        </w:rPr>
        <w:t>Application.</w:t>
      </w:r>
      <w:r w:rsidR="00E731FA" w:rsidRPr="005E25DE">
        <w:rPr>
          <w:rFonts w:ascii="Arial" w:hAnsi="Arial" w:cs="Arial"/>
          <w:sz w:val="24"/>
          <w:szCs w:val="24"/>
        </w:rPr>
        <w:t xml:space="preserve"> For</w:t>
      </w:r>
      <w:r w:rsidR="00657BDB" w:rsidRPr="005E25DE">
        <w:rPr>
          <w:rFonts w:ascii="Arial" w:hAnsi="Arial" w:cs="Arial"/>
          <w:sz w:val="24"/>
          <w:szCs w:val="24"/>
        </w:rPr>
        <w:t xml:space="preserve"> these reasons, IGS’ Request for procedural schedule should be granted.</w:t>
      </w:r>
      <w:r w:rsidR="00657BDB" w:rsidRPr="005E25DE">
        <w:rPr>
          <w:rFonts w:ascii="Arial" w:hAnsi="Arial" w:cs="Arial"/>
          <w:sz w:val="24"/>
          <w:szCs w:val="24"/>
        </w:rPr>
        <w:tab/>
      </w:r>
    </w:p>
    <w:p w14:paraId="5538DA88" w14:textId="7BE790F0" w:rsidR="00804A29" w:rsidRDefault="00804A29" w:rsidP="00804A29">
      <w:pPr>
        <w:pStyle w:val="ListParagraph"/>
        <w:numPr>
          <w:ilvl w:val="0"/>
          <w:numId w:val="3"/>
        </w:numPr>
        <w:spacing w:line="480" w:lineRule="auto"/>
        <w:jc w:val="both"/>
        <w:rPr>
          <w:rFonts w:ascii="Arial" w:hAnsi="Arial" w:cs="Arial"/>
          <w:b/>
          <w:sz w:val="24"/>
          <w:szCs w:val="24"/>
        </w:rPr>
      </w:pPr>
      <w:r>
        <w:rPr>
          <w:rFonts w:ascii="Arial" w:hAnsi="Arial" w:cs="Arial"/>
          <w:b/>
          <w:sz w:val="24"/>
          <w:szCs w:val="24"/>
        </w:rPr>
        <w:t>CONCLUSION</w:t>
      </w:r>
    </w:p>
    <w:p w14:paraId="05B97BF0" w14:textId="77777777" w:rsidR="00061157" w:rsidRDefault="00804A29" w:rsidP="00804A29">
      <w:pPr>
        <w:spacing w:line="480" w:lineRule="auto"/>
        <w:ind w:firstLine="720"/>
        <w:jc w:val="both"/>
        <w:rPr>
          <w:rFonts w:ascii="Arial" w:hAnsi="Arial" w:cs="Arial"/>
          <w:sz w:val="24"/>
          <w:szCs w:val="24"/>
        </w:rPr>
      </w:pPr>
      <w:r>
        <w:rPr>
          <w:rFonts w:ascii="Arial" w:hAnsi="Arial" w:cs="Arial"/>
          <w:sz w:val="24"/>
          <w:szCs w:val="24"/>
        </w:rPr>
        <w:t>For the foregoing reasons, IGS has established that it satisfies the Co</w:t>
      </w:r>
      <w:r w:rsidR="00061157">
        <w:rPr>
          <w:rFonts w:ascii="Arial" w:hAnsi="Arial" w:cs="Arial"/>
          <w:sz w:val="24"/>
          <w:szCs w:val="24"/>
        </w:rPr>
        <w:t>mmis</w:t>
      </w:r>
      <w:r>
        <w:rPr>
          <w:rFonts w:ascii="Arial" w:hAnsi="Arial" w:cs="Arial"/>
          <w:sz w:val="24"/>
          <w:szCs w:val="24"/>
        </w:rPr>
        <w:t>s</w:t>
      </w:r>
      <w:r w:rsidR="00061157">
        <w:rPr>
          <w:rFonts w:ascii="Arial" w:hAnsi="Arial" w:cs="Arial"/>
          <w:sz w:val="24"/>
          <w:szCs w:val="24"/>
        </w:rPr>
        <w:t>i</w:t>
      </w:r>
      <w:r>
        <w:rPr>
          <w:rFonts w:ascii="Arial" w:hAnsi="Arial" w:cs="Arial"/>
          <w:sz w:val="24"/>
          <w:szCs w:val="24"/>
        </w:rPr>
        <w:t>on’s liberal intervention criteria</w:t>
      </w:r>
      <w:r w:rsidR="00061157">
        <w:rPr>
          <w:rFonts w:ascii="Arial" w:hAnsi="Arial" w:cs="Arial"/>
          <w:sz w:val="24"/>
          <w:szCs w:val="24"/>
        </w:rPr>
        <w:t xml:space="preserve">.  Therefore, </w:t>
      </w:r>
      <w:r w:rsidRPr="00804A29">
        <w:rPr>
          <w:rFonts w:ascii="Arial" w:hAnsi="Arial" w:cs="Arial"/>
          <w:sz w:val="24"/>
          <w:szCs w:val="24"/>
        </w:rPr>
        <w:t>IGS requests that the Commission grant its Motion to Intervene</w:t>
      </w:r>
      <w:r>
        <w:rPr>
          <w:rFonts w:ascii="Arial" w:hAnsi="Arial" w:cs="Arial"/>
          <w:sz w:val="24"/>
          <w:szCs w:val="24"/>
        </w:rPr>
        <w:t xml:space="preserve">.  </w:t>
      </w:r>
    </w:p>
    <w:p w14:paraId="495924DA" w14:textId="54AA3D6C" w:rsidR="00804A29" w:rsidRPr="00804A29" w:rsidRDefault="00061157" w:rsidP="00B66846">
      <w:pPr>
        <w:spacing w:line="480" w:lineRule="auto"/>
        <w:ind w:firstLine="720"/>
        <w:jc w:val="both"/>
        <w:rPr>
          <w:rFonts w:ascii="Arial" w:hAnsi="Arial" w:cs="Arial"/>
          <w:sz w:val="24"/>
          <w:szCs w:val="24"/>
        </w:rPr>
      </w:pPr>
      <w:r>
        <w:rPr>
          <w:rFonts w:ascii="Arial" w:hAnsi="Arial" w:cs="Arial"/>
          <w:sz w:val="24"/>
          <w:szCs w:val="24"/>
        </w:rPr>
        <w:t>Moreover, it is clear that FirstEnergy is currently using distribution assets to uniquely advantage certain providers of non-commodity services of its choosing.  The Application provides little detail, and, if approved in its current form, it would further enhance FirstEnergy’s ability to discriminate against competitive suppliers.  Therefore, the Application appears to be</w:t>
      </w:r>
      <w:r w:rsidR="00804A29">
        <w:rPr>
          <w:rFonts w:ascii="Arial" w:hAnsi="Arial" w:cs="Arial"/>
          <w:sz w:val="24"/>
          <w:szCs w:val="24"/>
        </w:rPr>
        <w:t xml:space="preserve"> unjust and unreasonable</w:t>
      </w:r>
      <w:r>
        <w:rPr>
          <w:rFonts w:ascii="Arial" w:hAnsi="Arial" w:cs="Arial"/>
          <w:sz w:val="24"/>
          <w:szCs w:val="24"/>
        </w:rPr>
        <w:t>.  Accordingly,</w:t>
      </w:r>
      <w:r w:rsidR="00804A29">
        <w:rPr>
          <w:rFonts w:ascii="Arial" w:hAnsi="Arial" w:cs="Arial"/>
          <w:sz w:val="24"/>
          <w:szCs w:val="24"/>
        </w:rPr>
        <w:t xml:space="preserve"> the Commission should</w:t>
      </w:r>
      <w:r w:rsidR="00804A29" w:rsidRPr="00804A29">
        <w:rPr>
          <w:rFonts w:ascii="Arial" w:hAnsi="Arial" w:cs="Arial"/>
          <w:sz w:val="24"/>
          <w:szCs w:val="24"/>
        </w:rPr>
        <w:t xml:space="preserve"> establish a procedural schedule that will allow parties to adequately develop the record in this proceeding.  </w:t>
      </w:r>
    </w:p>
    <w:p w14:paraId="00FFA628" w14:textId="77777777" w:rsidR="00657BDB" w:rsidRPr="005E25DE" w:rsidRDefault="00657BDB" w:rsidP="00657BDB">
      <w:pPr>
        <w:spacing w:after="0" w:line="240" w:lineRule="auto"/>
        <w:ind w:left="5040"/>
        <w:rPr>
          <w:rFonts w:ascii="Arial" w:eastAsia="Calibri" w:hAnsi="Arial" w:cs="Arial"/>
          <w:sz w:val="24"/>
          <w:szCs w:val="24"/>
        </w:rPr>
      </w:pPr>
      <w:r w:rsidRPr="005E25DE">
        <w:rPr>
          <w:rFonts w:ascii="Arial" w:eastAsia="Calibri" w:hAnsi="Arial" w:cs="Arial"/>
          <w:sz w:val="24"/>
          <w:szCs w:val="24"/>
        </w:rPr>
        <w:t>Respectfully submitted,</w:t>
      </w:r>
    </w:p>
    <w:p w14:paraId="6A95FB0F" w14:textId="77777777" w:rsidR="00657BDB" w:rsidRPr="005E25DE" w:rsidRDefault="00657BDB" w:rsidP="00657BDB">
      <w:pPr>
        <w:spacing w:after="0" w:line="240" w:lineRule="auto"/>
        <w:ind w:left="5040"/>
        <w:rPr>
          <w:rFonts w:ascii="Arial" w:eastAsia="Calibri" w:hAnsi="Arial" w:cs="Arial"/>
          <w:sz w:val="24"/>
          <w:szCs w:val="24"/>
        </w:rPr>
      </w:pPr>
    </w:p>
    <w:p w14:paraId="16CD66F0" w14:textId="77777777" w:rsidR="00657BDB" w:rsidRPr="005E25DE" w:rsidRDefault="00657BDB" w:rsidP="00657BDB">
      <w:pPr>
        <w:spacing w:after="0" w:line="240" w:lineRule="auto"/>
        <w:ind w:left="5040"/>
        <w:rPr>
          <w:rFonts w:ascii="Arial" w:eastAsia="Calibri" w:hAnsi="Arial" w:cs="Arial"/>
          <w:sz w:val="24"/>
          <w:szCs w:val="24"/>
          <w:u w:val="single"/>
        </w:rPr>
      </w:pPr>
      <w:r w:rsidRPr="005E25DE">
        <w:rPr>
          <w:rFonts w:ascii="Arial" w:eastAsia="Calibri" w:hAnsi="Arial" w:cs="Arial"/>
          <w:sz w:val="24"/>
          <w:szCs w:val="24"/>
          <w:u w:val="single"/>
        </w:rPr>
        <w:t xml:space="preserve">/s/ </w:t>
      </w:r>
      <w:r w:rsidRPr="005E25DE">
        <w:rPr>
          <w:rFonts w:ascii="Arial" w:eastAsia="Calibri" w:hAnsi="Arial" w:cs="Arial"/>
          <w:i/>
          <w:sz w:val="24"/>
          <w:szCs w:val="24"/>
          <w:u w:val="single"/>
        </w:rPr>
        <w:t>Matthew White</w:t>
      </w:r>
      <w:r w:rsidRPr="005E25DE">
        <w:rPr>
          <w:rFonts w:ascii="Arial" w:eastAsia="Calibri" w:hAnsi="Arial" w:cs="Arial"/>
          <w:sz w:val="24"/>
          <w:szCs w:val="24"/>
          <w:u w:val="single"/>
        </w:rPr>
        <w:tab/>
      </w:r>
      <w:r w:rsidRPr="005E25DE">
        <w:rPr>
          <w:rFonts w:ascii="Arial" w:eastAsia="Calibri" w:hAnsi="Arial" w:cs="Arial"/>
          <w:sz w:val="24"/>
          <w:szCs w:val="24"/>
          <w:u w:val="single"/>
        </w:rPr>
        <w:tab/>
      </w:r>
      <w:r w:rsidRPr="005E25DE">
        <w:rPr>
          <w:rFonts w:ascii="Arial" w:eastAsia="Calibri" w:hAnsi="Arial" w:cs="Arial"/>
          <w:sz w:val="24"/>
          <w:szCs w:val="24"/>
          <w:u w:val="single"/>
        </w:rPr>
        <w:tab/>
      </w:r>
      <w:r w:rsidRPr="005E25DE">
        <w:rPr>
          <w:rFonts w:ascii="Arial" w:eastAsia="Calibri" w:hAnsi="Arial" w:cs="Arial"/>
          <w:sz w:val="24"/>
          <w:szCs w:val="24"/>
          <w:u w:val="single"/>
        </w:rPr>
        <w:tab/>
      </w:r>
    </w:p>
    <w:p w14:paraId="60F2C71F" w14:textId="77777777" w:rsidR="00657BDB" w:rsidRPr="005E25DE" w:rsidRDefault="00657BDB" w:rsidP="00657BDB">
      <w:pPr>
        <w:spacing w:after="0" w:line="240" w:lineRule="auto"/>
        <w:ind w:left="5040"/>
        <w:rPr>
          <w:rFonts w:ascii="Arial" w:hAnsi="Arial" w:cs="Arial"/>
          <w:sz w:val="24"/>
          <w:szCs w:val="24"/>
        </w:rPr>
      </w:pPr>
      <w:r w:rsidRPr="005E25DE">
        <w:rPr>
          <w:rFonts w:ascii="Arial" w:hAnsi="Arial" w:cs="Arial"/>
          <w:sz w:val="24"/>
          <w:szCs w:val="24"/>
        </w:rPr>
        <w:t>Matthew White (0082859)</w:t>
      </w:r>
    </w:p>
    <w:p w14:paraId="5CCDEA78" w14:textId="77777777" w:rsidR="00657BDB" w:rsidRPr="005E25DE" w:rsidRDefault="00657BDB" w:rsidP="00657BDB">
      <w:pPr>
        <w:spacing w:after="0" w:line="240" w:lineRule="auto"/>
        <w:ind w:left="5040"/>
        <w:rPr>
          <w:rFonts w:ascii="Arial" w:hAnsi="Arial" w:cs="Arial"/>
          <w:sz w:val="24"/>
          <w:szCs w:val="24"/>
        </w:rPr>
      </w:pPr>
      <w:r w:rsidRPr="005E25DE">
        <w:rPr>
          <w:rFonts w:ascii="Arial" w:hAnsi="Arial" w:cs="Arial"/>
          <w:sz w:val="24"/>
          <w:szCs w:val="24"/>
        </w:rPr>
        <w:t>Email: mswhite@igsenergy.com</w:t>
      </w:r>
    </w:p>
    <w:p w14:paraId="62A8E13F" w14:textId="77777777" w:rsidR="00657BDB" w:rsidRPr="00061157" w:rsidRDefault="00657BDB" w:rsidP="00657BDB">
      <w:pPr>
        <w:spacing w:after="0" w:line="240" w:lineRule="auto"/>
        <w:ind w:left="5040"/>
        <w:rPr>
          <w:rFonts w:ascii="Arial" w:hAnsi="Arial" w:cs="Arial"/>
          <w:sz w:val="24"/>
          <w:szCs w:val="24"/>
        </w:rPr>
      </w:pPr>
      <w:r w:rsidRPr="005E25DE">
        <w:rPr>
          <w:rFonts w:ascii="Arial" w:hAnsi="Arial" w:cs="Arial"/>
          <w:sz w:val="24"/>
          <w:szCs w:val="24"/>
        </w:rPr>
        <w:t>Josep</w:t>
      </w:r>
      <w:r w:rsidRPr="00061157">
        <w:rPr>
          <w:rFonts w:ascii="Arial" w:hAnsi="Arial" w:cs="Arial"/>
          <w:sz w:val="24"/>
          <w:szCs w:val="24"/>
        </w:rPr>
        <w:t>h Oliker (0086088)</w:t>
      </w:r>
    </w:p>
    <w:p w14:paraId="03D61E0F" w14:textId="77777777" w:rsidR="00657BDB" w:rsidRPr="00061157" w:rsidRDefault="00657BDB" w:rsidP="00657BDB">
      <w:pPr>
        <w:spacing w:after="0" w:line="240" w:lineRule="auto"/>
        <w:ind w:left="5040"/>
        <w:rPr>
          <w:rFonts w:ascii="Arial" w:hAnsi="Arial" w:cs="Arial"/>
          <w:sz w:val="24"/>
          <w:szCs w:val="24"/>
        </w:rPr>
      </w:pPr>
      <w:r w:rsidRPr="00061157">
        <w:rPr>
          <w:rFonts w:ascii="Arial" w:hAnsi="Arial" w:cs="Arial"/>
          <w:sz w:val="24"/>
          <w:szCs w:val="24"/>
        </w:rPr>
        <w:t xml:space="preserve">Email: </w:t>
      </w:r>
      <w:hyperlink r:id="rId9" w:history="1">
        <w:r w:rsidRPr="00061157">
          <w:rPr>
            <w:rStyle w:val="Hyperlink"/>
            <w:rFonts w:ascii="Arial" w:hAnsi="Arial" w:cs="Arial"/>
            <w:color w:val="auto"/>
            <w:sz w:val="24"/>
            <w:szCs w:val="24"/>
            <w:u w:val="none"/>
          </w:rPr>
          <w:t>joliker@igsenergy.com</w:t>
        </w:r>
      </w:hyperlink>
    </w:p>
    <w:p w14:paraId="484BD5B4" w14:textId="4E732672" w:rsidR="00657BDB" w:rsidRPr="005E25DE" w:rsidRDefault="00061157" w:rsidP="00657BDB">
      <w:pPr>
        <w:spacing w:after="0" w:line="240" w:lineRule="auto"/>
        <w:ind w:left="5040"/>
        <w:rPr>
          <w:rFonts w:ascii="Arial" w:hAnsi="Arial" w:cs="Arial"/>
          <w:sz w:val="24"/>
          <w:szCs w:val="24"/>
        </w:rPr>
      </w:pPr>
      <w:r>
        <w:rPr>
          <w:rFonts w:ascii="Arial" w:hAnsi="Arial" w:cs="Arial"/>
          <w:sz w:val="24"/>
          <w:szCs w:val="24"/>
        </w:rPr>
        <w:lastRenderedPageBreak/>
        <w:t>Interstate Gas Supply,Inc. and IGS Energy Home Service</w:t>
      </w:r>
    </w:p>
    <w:p w14:paraId="20523355" w14:textId="77777777" w:rsidR="00657BDB" w:rsidRPr="005E25DE" w:rsidRDefault="00657BDB" w:rsidP="00657BDB">
      <w:pPr>
        <w:spacing w:after="0" w:line="240" w:lineRule="auto"/>
        <w:ind w:left="5040"/>
        <w:rPr>
          <w:rFonts w:ascii="Arial" w:hAnsi="Arial" w:cs="Arial"/>
          <w:sz w:val="24"/>
          <w:szCs w:val="24"/>
        </w:rPr>
      </w:pPr>
      <w:r w:rsidRPr="005E25DE">
        <w:rPr>
          <w:rFonts w:ascii="Arial" w:hAnsi="Arial" w:cs="Arial"/>
          <w:sz w:val="24"/>
          <w:szCs w:val="24"/>
        </w:rPr>
        <w:t>6100 Emerald Parkway</w:t>
      </w:r>
    </w:p>
    <w:p w14:paraId="0C880EA9" w14:textId="77777777" w:rsidR="00657BDB" w:rsidRPr="005E25DE" w:rsidRDefault="00657BDB" w:rsidP="00657BDB">
      <w:pPr>
        <w:spacing w:after="0" w:line="240" w:lineRule="auto"/>
        <w:ind w:left="5040"/>
        <w:rPr>
          <w:rFonts w:ascii="Arial" w:hAnsi="Arial" w:cs="Arial"/>
          <w:sz w:val="24"/>
          <w:szCs w:val="24"/>
        </w:rPr>
      </w:pPr>
      <w:r w:rsidRPr="005E25DE">
        <w:rPr>
          <w:rFonts w:ascii="Arial" w:hAnsi="Arial" w:cs="Arial"/>
          <w:sz w:val="24"/>
          <w:szCs w:val="24"/>
        </w:rPr>
        <w:t>Dublin, Ohio 43016</w:t>
      </w:r>
    </w:p>
    <w:p w14:paraId="5AA72782" w14:textId="77777777" w:rsidR="00657BDB" w:rsidRPr="005E25DE" w:rsidRDefault="00657BDB" w:rsidP="00657BDB">
      <w:pPr>
        <w:spacing w:after="0" w:line="240" w:lineRule="auto"/>
        <w:ind w:left="5040"/>
        <w:rPr>
          <w:rFonts w:ascii="Arial" w:hAnsi="Arial" w:cs="Arial"/>
          <w:sz w:val="24"/>
          <w:szCs w:val="24"/>
        </w:rPr>
      </w:pPr>
      <w:r w:rsidRPr="005E25DE">
        <w:rPr>
          <w:rFonts w:ascii="Arial" w:hAnsi="Arial" w:cs="Arial"/>
          <w:sz w:val="24"/>
          <w:szCs w:val="24"/>
        </w:rPr>
        <w:t>Telephone:</w:t>
      </w:r>
      <w:r w:rsidRPr="005E25DE">
        <w:rPr>
          <w:rFonts w:ascii="Arial" w:hAnsi="Arial" w:cs="Arial"/>
          <w:sz w:val="24"/>
          <w:szCs w:val="24"/>
        </w:rPr>
        <w:tab/>
        <w:t>(614) 659-5000</w:t>
      </w:r>
    </w:p>
    <w:p w14:paraId="59A39651" w14:textId="77777777" w:rsidR="00657BDB" w:rsidRPr="005E25DE" w:rsidRDefault="00657BDB" w:rsidP="00657BDB">
      <w:pPr>
        <w:spacing w:after="0" w:line="240" w:lineRule="auto"/>
        <w:ind w:left="5040"/>
        <w:rPr>
          <w:rFonts w:ascii="Arial" w:hAnsi="Arial" w:cs="Arial"/>
          <w:sz w:val="24"/>
          <w:szCs w:val="24"/>
        </w:rPr>
      </w:pPr>
      <w:r w:rsidRPr="005E25DE">
        <w:rPr>
          <w:rFonts w:ascii="Arial" w:hAnsi="Arial" w:cs="Arial"/>
          <w:sz w:val="24"/>
          <w:szCs w:val="24"/>
        </w:rPr>
        <w:t>Facsimile:</w:t>
      </w:r>
      <w:r w:rsidRPr="005E25DE">
        <w:rPr>
          <w:rFonts w:ascii="Arial" w:hAnsi="Arial" w:cs="Arial"/>
          <w:sz w:val="24"/>
          <w:szCs w:val="24"/>
        </w:rPr>
        <w:tab/>
        <w:t>(614) 659-5073</w:t>
      </w:r>
    </w:p>
    <w:p w14:paraId="73CA976F" w14:textId="77777777" w:rsidR="00657BDB" w:rsidRPr="005E25DE" w:rsidRDefault="00657BDB" w:rsidP="00657BDB">
      <w:pPr>
        <w:spacing w:after="0" w:line="240" w:lineRule="auto"/>
        <w:ind w:left="4230"/>
        <w:rPr>
          <w:rFonts w:ascii="Arial" w:eastAsia="Calibri" w:hAnsi="Arial" w:cs="Arial"/>
          <w:b/>
          <w:sz w:val="24"/>
          <w:szCs w:val="24"/>
          <w:u w:val="single"/>
        </w:rPr>
      </w:pPr>
      <w:r w:rsidRPr="005E25DE">
        <w:rPr>
          <w:rFonts w:ascii="Arial" w:eastAsia="Calibri" w:hAnsi="Arial" w:cs="Arial"/>
          <w:b/>
          <w:sz w:val="24"/>
          <w:szCs w:val="24"/>
          <w:u w:val="single"/>
        </w:rPr>
        <w:br w:type="page"/>
      </w:r>
    </w:p>
    <w:p w14:paraId="3E2080C0" w14:textId="77777777" w:rsidR="00657BDB" w:rsidRDefault="00657BDB" w:rsidP="00657BDB">
      <w:pPr>
        <w:spacing w:after="0" w:line="240" w:lineRule="auto"/>
        <w:jc w:val="center"/>
        <w:rPr>
          <w:rFonts w:ascii="Arial" w:eastAsia="Arial" w:hAnsi="Arial" w:cs="Times New Roman"/>
          <w:b/>
          <w:sz w:val="24"/>
          <w:szCs w:val="24"/>
          <w:u w:val="single"/>
        </w:rPr>
      </w:pPr>
      <w:r>
        <w:rPr>
          <w:rFonts w:ascii="Arial" w:eastAsia="Arial" w:hAnsi="Arial" w:cs="Times New Roman"/>
          <w:b/>
          <w:sz w:val="24"/>
          <w:szCs w:val="24"/>
          <w:u w:val="single"/>
        </w:rPr>
        <w:lastRenderedPageBreak/>
        <w:t>CERTIFICATE OF SERVICE</w:t>
      </w:r>
    </w:p>
    <w:p w14:paraId="7FF8104D" w14:textId="77777777" w:rsidR="00657BDB" w:rsidRDefault="00657BDB" w:rsidP="00657BDB">
      <w:pPr>
        <w:spacing w:after="0" w:line="240" w:lineRule="auto"/>
        <w:jc w:val="center"/>
        <w:rPr>
          <w:rFonts w:ascii="Arial" w:eastAsia="Arial" w:hAnsi="Arial" w:cs="Times New Roman"/>
          <w:b/>
          <w:sz w:val="24"/>
          <w:szCs w:val="24"/>
          <w:u w:val="single"/>
        </w:rPr>
      </w:pPr>
    </w:p>
    <w:p w14:paraId="6A964FE8" w14:textId="14AA4AA7" w:rsidR="00657BDB" w:rsidRDefault="00657BDB" w:rsidP="00657BDB">
      <w:pPr>
        <w:spacing w:after="0" w:line="240" w:lineRule="auto"/>
        <w:jc w:val="both"/>
        <w:rPr>
          <w:rFonts w:ascii="Arial" w:eastAsia="Calibri" w:hAnsi="Arial" w:cs="Arial"/>
          <w:sz w:val="24"/>
          <w:szCs w:val="24"/>
        </w:rPr>
      </w:pPr>
      <w:r>
        <w:rPr>
          <w:rFonts w:ascii="Arial" w:eastAsia="Arial" w:hAnsi="Arial" w:cs="Times New Roman"/>
          <w:sz w:val="24"/>
          <w:szCs w:val="24"/>
        </w:rPr>
        <w:tab/>
      </w:r>
      <w:r>
        <w:rPr>
          <w:rFonts w:ascii="Arial" w:eastAsia="Calibri" w:hAnsi="Arial" w:cs="Arial"/>
          <w:sz w:val="24"/>
          <w:szCs w:val="24"/>
        </w:rPr>
        <w:t>The undersigned hereby certifies that a copy of the foregoing</w:t>
      </w:r>
      <w:r w:rsidR="00B66B96">
        <w:rPr>
          <w:rFonts w:ascii="Arial" w:eastAsia="Calibri" w:hAnsi="Arial" w:cs="Arial"/>
          <w:sz w:val="24"/>
          <w:szCs w:val="24"/>
        </w:rPr>
        <w:t xml:space="preserve"> Reply in Support of</w:t>
      </w:r>
      <w:r>
        <w:rPr>
          <w:rFonts w:ascii="Arial" w:eastAsia="Calibri" w:hAnsi="Arial" w:cs="Arial"/>
          <w:sz w:val="24"/>
          <w:szCs w:val="24"/>
        </w:rPr>
        <w:t xml:space="preserve"> </w:t>
      </w:r>
      <w:r>
        <w:rPr>
          <w:rFonts w:ascii="Arial" w:eastAsia="Calibri" w:hAnsi="Arial" w:cs="Arial"/>
          <w:i/>
          <w:sz w:val="24"/>
          <w:szCs w:val="24"/>
        </w:rPr>
        <w:t>Interstate Gas Supply, Inc.’s</w:t>
      </w:r>
      <w:r w:rsidR="00084B09">
        <w:rPr>
          <w:rFonts w:ascii="Arial" w:eastAsia="Calibri" w:hAnsi="Arial" w:cs="Arial"/>
          <w:i/>
          <w:sz w:val="24"/>
          <w:szCs w:val="24"/>
        </w:rPr>
        <w:t xml:space="preserve"> and </w:t>
      </w:r>
      <w:r w:rsidR="00B66B96">
        <w:rPr>
          <w:rFonts w:ascii="Arial" w:eastAsia="Calibri" w:hAnsi="Arial" w:cs="Arial"/>
          <w:i/>
          <w:sz w:val="24"/>
          <w:szCs w:val="24"/>
        </w:rPr>
        <w:t>IGS Energy Home Service’s Motion to Intervene and Request for Procedural Schedule</w:t>
      </w:r>
      <w:r>
        <w:rPr>
          <w:rFonts w:ascii="Arial" w:eastAsia="Calibri" w:hAnsi="Arial" w:cs="Arial"/>
          <w:i/>
          <w:sz w:val="24"/>
          <w:szCs w:val="24"/>
        </w:rPr>
        <w:t xml:space="preserve"> </w:t>
      </w:r>
      <w:r>
        <w:rPr>
          <w:rFonts w:ascii="Arial" w:eastAsia="Calibri" w:hAnsi="Arial" w:cs="Arial"/>
          <w:sz w:val="24"/>
          <w:szCs w:val="24"/>
        </w:rPr>
        <w:t xml:space="preserve">was served this </w:t>
      </w:r>
      <w:r w:rsidR="0084398F">
        <w:rPr>
          <w:rFonts w:ascii="Arial" w:eastAsia="Calibri" w:hAnsi="Arial" w:cs="Arial"/>
          <w:sz w:val="24"/>
          <w:szCs w:val="24"/>
        </w:rPr>
        <w:t>26th</w:t>
      </w:r>
      <w:r>
        <w:rPr>
          <w:rFonts w:ascii="Arial" w:eastAsia="Calibri" w:hAnsi="Arial" w:cs="Arial"/>
          <w:sz w:val="24"/>
          <w:szCs w:val="24"/>
        </w:rPr>
        <w:t xml:space="preserve"> day of December, 2014 via electronic mail upon the following:</w:t>
      </w:r>
    </w:p>
    <w:p w14:paraId="238473E4" w14:textId="77777777" w:rsidR="00657BDB" w:rsidRDefault="00657BDB" w:rsidP="00657BDB">
      <w:pPr>
        <w:spacing w:after="0" w:line="240" w:lineRule="auto"/>
        <w:jc w:val="both"/>
        <w:rPr>
          <w:rFonts w:ascii="Arial" w:eastAsia="Calibri" w:hAnsi="Arial" w:cs="Arial"/>
          <w:sz w:val="24"/>
          <w:szCs w:val="24"/>
        </w:rPr>
      </w:pPr>
    </w:p>
    <w:p w14:paraId="2B5EA7EE" w14:textId="77777777" w:rsidR="00657BDB" w:rsidRDefault="00657BDB" w:rsidP="00657BDB">
      <w:pPr>
        <w:spacing w:after="0" w:line="240" w:lineRule="auto"/>
        <w:jc w:val="both"/>
        <w:rPr>
          <w:rFonts w:ascii="Arial" w:eastAsia="Arial" w:hAnsi="Arial" w:cs="Arial"/>
          <w:sz w:val="24"/>
          <w:szCs w:val="24"/>
        </w:rPr>
      </w:pPr>
    </w:p>
    <w:p w14:paraId="695D0E7B" w14:textId="77777777" w:rsidR="00657BDB" w:rsidRDefault="00657BDB" w:rsidP="00657BDB">
      <w:pPr>
        <w:spacing w:after="0" w:line="240" w:lineRule="auto"/>
        <w:jc w:val="both"/>
        <w:rPr>
          <w:rFonts w:ascii="Arial" w:eastAsia="Arial" w:hAnsi="Arial" w:cs="Times New Roman"/>
          <w:sz w:val="24"/>
          <w:szCs w:val="24"/>
        </w:rPr>
      </w:pPr>
    </w:p>
    <w:p w14:paraId="3201674A" w14:textId="0F7D9C29" w:rsidR="00657BDB" w:rsidRDefault="00657BDB" w:rsidP="00657BDB">
      <w:pPr>
        <w:spacing w:after="0" w:line="240" w:lineRule="auto"/>
        <w:ind w:left="5040"/>
        <w:jc w:val="both"/>
        <w:rPr>
          <w:rFonts w:ascii="Arial" w:eastAsia="Arial" w:hAnsi="Arial" w:cs="Times New Roman"/>
          <w:sz w:val="24"/>
          <w:szCs w:val="24"/>
          <w:u w:val="single"/>
        </w:rPr>
      </w:pPr>
      <w:r>
        <w:rPr>
          <w:rFonts w:ascii="Arial" w:eastAsia="Arial" w:hAnsi="Arial" w:cs="Times New Roman"/>
          <w:sz w:val="24"/>
          <w:szCs w:val="24"/>
          <w:u w:val="single"/>
        </w:rPr>
        <w:tab/>
      </w:r>
      <w:r w:rsidR="00B66B96">
        <w:rPr>
          <w:rFonts w:ascii="Arial" w:eastAsia="Arial" w:hAnsi="Arial" w:cs="Times New Roman"/>
          <w:sz w:val="24"/>
          <w:szCs w:val="24"/>
          <w:u w:val="single"/>
        </w:rPr>
        <w:t>/s/ Matthew White</w:t>
      </w:r>
      <w:r w:rsidR="00B66B96">
        <w:rPr>
          <w:rFonts w:ascii="Arial" w:eastAsia="Arial" w:hAnsi="Arial" w:cs="Times New Roman"/>
          <w:sz w:val="24"/>
          <w:szCs w:val="24"/>
          <w:u w:val="single"/>
        </w:rPr>
        <w:tab/>
      </w:r>
      <w:r w:rsidR="00B66B96">
        <w:rPr>
          <w:rFonts w:ascii="Arial" w:eastAsia="Arial" w:hAnsi="Arial" w:cs="Times New Roman"/>
          <w:sz w:val="24"/>
          <w:szCs w:val="24"/>
          <w:u w:val="single"/>
        </w:rPr>
        <w:tab/>
      </w:r>
      <w:r w:rsidR="00B66B96">
        <w:rPr>
          <w:rFonts w:ascii="Arial" w:eastAsia="Arial" w:hAnsi="Arial" w:cs="Times New Roman"/>
          <w:sz w:val="24"/>
          <w:szCs w:val="24"/>
          <w:u w:val="single"/>
        </w:rPr>
        <w:tab/>
      </w:r>
    </w:p>
    <w:p w14:paraId="60DC87D1" w14:textId="1F3AA570" w:rsidR="00B66B96" w:rsidRPr="00B66B96" w:rsidRDefault="00B66B96" w:rsidP="00657BDB">
      <w:pPr>
        <w:spacing w:after="0" w:line="240" w:lineRule="auto"/>
        <w:ind w:left="5040"/>
        <w:jc w:val="both"/>
        <w:rPr>
          <w:rFonts w:ascii="Arial" w:eastAsia="Arial" w:hAnsi="Arial" w:cs="Times New Roman"/>
          <w:sz w:val="24"/>
          <w:szCs w:val="24"/>
        </w:rPr>
      </w:pPr>
      <w:r>
        <w:rPr>
          <w:rFonts w:ascii="Arial" w:eastAsia="Arial" w:hAnsi="Arial" w:cs="Times New Roman"/>
          <w:sz w:val="24"/>
          <w:szCs w:val="24"/>
        </w:rPr>
        <w:t>Counsel for Interstate Gas Supply, Inc. and IGS Energy Home Service</w:t>
      </w:r>
    </w:p>
    <w:p w14:paraId="7AE45D38" w14:textId="77777777" w:rsidR="00657BDB" w:rsidRDefault="00657BDB" w:rsidP="00657BDB">
      <w:pPr>
        <w:spacing w:line="480" w:lineRule="auto"/>
        <w:rPr>
          <w:rFonts w:ascii="Times New Roman" w:hAnsi="Times New Roman" w:cs="Times New Roman"/>
          <w:sz w:val="24"/>
          <w:szCs w:val="24"/>
        </w:rPr>
      </w:pPr>
    </w:p>
    <w:p w14:paraId="105F5536" w14:textId="6EE2689F" w:rsidR="00061157" w:rsidRPr="00061157" w:rsidRDefault="00061157" w:rsidP="000611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Carrie M. Dunn </w:t>
      </w:r>
    </w:p>
    <w:p w14:paraId="3454B77C" w14:textId="77777777" w:rsidR="00061157" w:rsidRPr="00061157" w:rsidRDefault="00061157" w:rsidP="00061157">
      <w:pPr>
        <w:autoSpaceDE w:val="0"/>
        <w:autoSpaceDN w:val="0"/>
        <w:adjustRightInd w:val="0"/>
        <w:spacing w:after="0" w:line="240" w:lineRule="auto"/>
        <w:rPr>
          <w:rFonts w:ascii="Arial" w:hAnsi="Arial" w:cs="Arial"/>
          <w:sz w:val="24"/>
          <w:szCs w:val="24"/>
        </w:rPr>
      </w:pPr>
      <w:r w:rsidRPr="00061157">
        <w:rPr>
          <w:rFonts w:ascii="Arial" w:hAnsi="Arial" w:cs="Arial"/>
          <w:sz w:val="24"/>
          <w:szCs w:val="24"/>
        </w:rPr>
        <w:t>FIRSTENERGY SERVICE COMPANY</w:t>
      </w:r>
    </w:p>
    <w:p w14:paraId="3296AF9E" w14:textId="310FD2BC" w:rsidR="00061157" w:rsidRDefault="00061157" w:rsidP="00B66846">
      <w:pPr>
        <w:spacing w:after="0" w:line="240" w:lineRule="auto"/>
        <w:rPr>
          <w:rFonts w:ascii="Arial" w:hAnsi="Arial" w:cs="Arial"/>
          <w:sz w:val="24"/>
          <w:szCs w:val="24"/>
        </w:rPr>
      </w:pPr>
      <w:r w:rsidRPr="00061157">
        <w:rPr>
          <w:rFonts w:ascii="Arial" w:hAnsi="Arial" w:cs="Arial"/>
          <w:sz w:val="24"/>
          <w:szCs w:val="24"/>
        </w:rPr>
        <w:t>76 South Main Street</w:t>
      </w:r>
    </w:p>
    <w:p w14:paraId="0880B81D" w14:textId="763C89C2" w:rsidR="00B66846" w:rsidRDefault="00B66846" w:rsidP="00B66846">
      <w:pPr>
        <w:spacing w:after="0" w:line="240" w:lineRule="auto"/>
        <w:rPr>
          <w:rFonts w:ascii="Arial" w:hAnsi="Arial" w:cs="Arial"/>
          <w:sz w:val="24"/>
          <w:szCs w:val="24"/>
        </w:rPr>
      </w:pPr>
      <w:r>
        <w:rPr>
          <w:rFonts w:ascii="Arial" w:hAnsi="Arial" w:cs="Arial"/>
          <w:sz w:val="24"/>
          <w:szCs w:val="24"/>
        </w:rPr>
        <w:t>Akron, OH 44308</w:t>
      </w:r>
    </w:p>
    <w:p w14:paraId="152D1499" w14:textId="77777777" w:rsidR="00B66846" w:rsidRDefault="00B66846" w:rsidP="00B66846">
      <w:pPr>
        <w:spacing w:after="0" w:line="240" w:lineRule="auto"/>
        <w:rPr>
          <w:rFonts w:ascii="Arial" w:hAnsi="Arial" w:cs="Arial"/>
          <w:sz w:val="24"/>
          <w:szCs w:val="24"/>
        </w:rPr>
      </w:pPr>
    </w:p>
    <w:p w14:paraId="7ED47F1D" w14:textId="4F6A892D" w:rsidR="00061157" w:rsidRDefault="00061157" w:rsidP="00061157">
      <w:pPr>
        <w:spacing w:after="0" w:line="240" w:lineRule="auto"/>
        <w:jc w:val="both"/>
        <w:rPr>
          <w:rFonts w:ascii="Arial" w:hAnsi="Arial" w:cs="Arial"/>
          <w:sz w:val="24"/>
          <w:szCs w:val="24"/>
        </w:rPr>
      </w:pPr>
      <w:r>
        <w:rPr>
          <w:rFonts w:ascii="Arial" w:hAnsi="Arial" w:cs="Arial"/>
          <w:sz w:val="24"/>
          <w:szCs w:val="24"/>
        </w:rPr>
        <w:t>William Wright</w:t>
      </w:r>
    </w:p>
    <w:p w14:paraId="2578BA05" w14:textId="61B0E661" w:rsidR="00061157" w:rsidRDefault="00061157" w:rsidP="00061157">
      <w:pPr>
        <w:spacing w:after="0" w:line="240" w:lineRule="auto"/>
        <w:jc w:val="both"/>
        <w:rPr>
          <w:rFonts w:ascii="Arial" w:hAnsi="Arial" w:cs="Arial"/>
          <w:sz w:val="24"/>
          <w:szCs w:val="24"/>
        </w:rPr>
      </w:pPr>
      <w:r>
        <w:rPr>
          <w:rFonts w:ascii="Arial" w:hAnsi="Arial" w:cs="Arial"/>
          <w:sz w:val="24"/>
          <w:szCs w:val="24"/>
        </w:rPr>
        <w:t>Section Chief</w:t>
      </w:r>
    </w:p>
    <w:p w14:paraId="1500813C" w14:textId="6EBA632A" w:rsidR="00061157" w:rsidRDefault="00061157" w:rsidP="00061157">
      <w:pPr>
        <w:spacing w:after="0" w:line="240" w:lineRule="auto"/>
        <w:jc w:val="both"/>
        <w:rPr>
          <w:rFonts w:ascii="Arial" w:hAnsi="Arial" w:cs="Arial"/>
          <w:sz w:val="24"/>
          <w:szCs w:val="24"/>
        </w:rPr>
      </w:pPr>
      <w:r>
        <w:rPr>
          <w:rFonts w:ascii="Arial" w:hAnsi="Arial" w:cs="Arial"/>
          <w:sz w:val="24"/>
          <w:szCs w:val="24"/>
        </w:rPr>
        <w:t>Attorneys General, Public Utilities Section</w:t>
      </w:r>
    </w:p>
    <w:p w14:paraId="175B14D7" w14:textId="77777777" w:rsidR="00061157" w:rsidRPr="00061157" w:rsidRDefault="00061157" w:rsidP="00061157">
      <w:pPr>
        <w:spacing w:after="0" w:line="240" w:lineRule="auto"/>
        <w:jc w:val="both"/>
        <w:rPr>
          <w:rFonts w:ascii="Arial" w:hAnsi="Arial" w:cs="Arial"/>
          <w:sz w:val="24"/>
          <w:szCs w:val="24"/>
        </w:rPr>
      </w:pPr>
      <w:r w:rsidRPr="00061157">
        <w:rPr>
          <w:rFonts w:ascii="Arial" w:hAnsi="Arial" w:cs="Arial"/>
          <w:sz w:val="24"/>
          <w:szCs w:val="24"/>
        </w:rPr>
        <w:t>180 East Broad Street, 6th Floor</w:t>
      </w:r>
    </w:p>
    <w:p w14:paraId="7F7B38F1" w14:textId="1C3B4D41" w:rsidR="00061157" w:rsidRPr="00061157" w:rsidRDefault="00061157" w:rsidP="00061157">
      <w:pPr>
        <w:spacing w:after="0" w:line="240" w:lineRule="auto"/>
        <w:jc w:val="both"/>
        <w:rPr>
          <w:rFonts w:ascii="Arial" w:hAnsi="Arial" w:cs="Arial"/>
          <w:sz w:val="24"/>
          <w:szCs w:val="24"/>
        </w:rPr>
      </w:pPr>
      <w:r w:rsidRPr="00061157">
        <w:rPr>
          <w:rFonts w:ascii="Arial" w:hAnsi="Arial" w:cs="Arial"/>
          <w:sz w:val="24"/>
          <w:szCs w:val="24"/>
        </w:rPr>
        <w:t>Columbus, OH 43215-3793</w:t>
      </w:r>
    </w:p>
    <w:sectPr w:rsidR="00061157" w:rsidRPr="000611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F6C18" w15:done="0"/>
  <w15:commentEx w15:paraId="2BC29203" w15:done="0"/>
  <w15:commentEx w15:paraId="626846E4" w15:done="0"/>
  <w15:commentEx w15:paraId="557495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2AAA7" w14:textId="77777777" w:rsidR="00A1532F" w:rsidRDefault="00A1532F" w:rsidP="007276D1">
      <w:pPr>
        <w:spacing w:after="0" w:line="240" w:lineRule="auto"/>
      </w:pPr>
      <w:r>
        <w:separator/>
      </w:r>
    </w:p>
  </w:endnote>
  <w:endnote w:type="continuationSeparator" w:id="0">
    <w:p w14:paraId="09C24C51" w14:textId="77777777" w:rsidR="00A1532F" w:rsidRDefault="00A1532F" w:rsidP="0072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8039" w14:textId="77777777" w:rsidR="003D28AD" w:rsidRDefault="003D2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49544"/>
      <w:docPartObj>
        <w:docPartGallery w:val="Page Numbers (Bottom of Page)"/>
        <w:docPartUnique/>
      </w:docPartObj>
    </w:sdtPr>
    <w:sdtEndPr>
      <w:rPr>
        <w:noProof/>
      </w:rPr>
    </w:sdtEndPr>
    <w:sdtContent>
      <w:p w14:paraId="1A3E7798" w14:textId="77777777" w:rsidR="006E6627" w:rsidRDefault="006E6627">
        <w:pPr>
          <w:pStyle w:val="Footer"/>
          <w:jc w:val="center"/>
        </w:pPr>
        <w:r>
          <w:fldChar w:fldCharType="begin"/>
        </w:r>
        <w:r>
          <w:instrText xml:space="preserve"> PAGE   \* MERGEFORMAT </w:instrText>
        </w:r>
        <w:r>
          <w:fldChar w:fldCharType="separate"/>
        </w:r>
        <w:r w:rsidR="003D28AD">
          <w:rPr>
            <w:noProof/>
          </w:rPr>
          <w:t>2</w:t>
        </w:r>
        <w:r>
          <w:rPr>
            <w:noProof/>
          </w:rPr>
          <w:fldChar w:fldCharType="end"/>
        </w:r>
      </w:p>
    </w:sdtContent>
  </w:sdt>
  <w:p w14:paraId="697EBCA9" w14:textId="77777777" w:rsidR="006E6627" w:rsidRDefault="006E6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6C32" w14:textId="77777777" w:rsidR="003D28AD" w:rsidRDefault="003D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EFDF" w14:textId="77777777" w:rsidR="00A1532F" w:rsidRDefault="00A1532F" w:rsidP="007276D1">
      <w:pPr>
        <w:spacing w:after="0" w:line="240" w:lineRule="auto"/>
      </w:pPr>
      <w:r>
        <w:separator/>
      </w:r>
    </w:p>
  </w:footnote>
  <w:footnote w:type="continuationSeparator" w:id="0">
    <w:p w14:paraId="41D57FDF" w14:textId="77777777" w:rsidR="00A1532F" w:rsidRDefault="00A1532F" w:rsidP="007276D1">
      <w:pPr>
        <w:spacing w:after="0" w:line="240" w:lineRule="auto"/>
      </w:pPr>
      <w:r>
        <w:continuationSeparator/>
      </w:r>
    </w:p>
  </w:footnote>
  <w:footnote w:id="1">
    <w:p w14:paraId="020D2AFF" w14:textId="253F2C64" w:rsidR="008B03DA" w:rsidRPr="008B03DA" w:rsidRDefault="008B03DA"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w:t>
      </w:r>
      <w:r w:rsidRPr="008B03DA">
        <w:rPr>
          <w:rFonts w:ascii="Arial" w:hAnsi="Arial" w:cs="Arial"/>
          <w:i/>
        </w:rPr>
        <w:t xml:space="preserve">See also </w:t>
      </w:r>
      <w:r w:rsidRPr="008B03DA">
        <w:rPr>
          <w:rFonts w:ascii="Arial" w:hAnsi="Arial" w:cs="Arial"/>
          <w:i/>
        </w:rPr>
        <w:t>In the Ma</w:t>
      </w:r>
      <w:r w:rsidRPr="008B03DA">
        <w:rPr>
          <w:rFonts w:ascii="Arial" w:hAnsi="Arial" w:cs="Arial"/>
          <w:i/>
        </w:rPr>
        <w:t xml:space="preserve">tter of the Application of Ohio </w:t>
      </w:r>
      <w:r w:rsidRPr="008B03DA">
        <w:rPr>
          <w:rFonts w:ascii="Arial" w:hAnsi="Arial" w:cs="Arial"/>
          <w:i/>
        </w:rPr>
        <w:t xml:space="preserve">Edison </w:t>
      </w:r>
      <w:r w:rsidRPr="008B03DA">
        <w:rPr>
          <w:rFonts w:ascii="Arial" w:hAnsi="Arial" w:cs="Arial"/>
          <w:i/>
        </w:rPr>
        <w:t xml:space="preserve">Company, The Cleveland Electric </w:t>
      </w:r>
      <w:r w:rsidRPr="008B03DA">
        <w:rPr>
          <w:rFonts w:ascii="Arial" w:hAnsi="Arial" w:cs="Arial"/>
          <w:i/>
        </w:rPr>
        <w:t>Illuminating Company, and The Tole</w:t>
      </w:r>
      <w:r w:rsidRPr="008B03DA">
        <w:rPr>
          <w:rFonts w:ascii="Arial" w:hAnsi="Arial" w:cs="Arial"/>
          <w:i/>
        </w:rPr>
        <w:t xml:space="preserve">do Edison Company for Authority to </w:t>
      </w:r>
      <w:r w:rsidRPr="008B03DA">
        <w:rPr>
          <w:rFonts w:ascii="Arial" w:hAnsi="Arial" w:cs="Arial"/>
          <w:i/>
        </w:rPr>
        <w:t>Provi</w:t>
      </w:r>
      <w:r w:rsidRPr="008B03DA">
        <w:rPr>
          <w:rFonts w:ascii="Arial" w:hAnsi="Arial" w:cs="Arial"/>
          <w:i/>
        </w:rPr>
        <w:t xml:space="preserve">de for a Standard Service Offer </w:t>
      </w:r>
      <w:r w:rsidRPr="008B03DA">
        <w:rPr>
          <w:rFonts w:ascii="Arial" w:hAnsi="Arial" w:cs="Arial"/>
          <w:i/>
        </w:rPr>
        <w:t xml:space="preserve">Pursuant </w:t>
      </w:r>
      <w:r w:rsidRPr="008B03DA">
        <w:rPr>
          <w:rFonts w:ascii="Arial" w:hAnsi="Arial" w:cs="Arial"/>
          <w:i/>
        </w:rPr>
        <w:t>to R.C. 4928.143 in the Form of an Electric Security Plan</w:t>
      </w:r>
      <w:r w:rsidRPr="008B03DA">
        <w:rPr>
          <w:rFonts w:ascii="Arial" w:hAnsi="Arial" w:cs="Arial"/>
        </w:rPr>
        <w:t>, Case No. 14-1297-EL-SSO, Entry at 6</w:t>
      </w:r>
      <w:r>
        <w:rPr>
          <w:rFonts w:ascii="Arial" w:hAnsi="Arial" w:cs="Arial"/>
        </w:rPr>
        <w:t xml:space="preserve"> (Dec. 1, 2014)</w:t>
      </w:r>
      <w:r w:rsidRPr="008B03DA">
        <w:rPr>
          <w:rFonts w:ascii="Arial" w:hAnsi="Arial" w:cs="Arial"/>
        </w:rPr>
        <w:t xml:space="preserve"> (</w:t>
      </w:r>
      <w:r w:rsidRPr="008B03DA">
        <w:rPr>
          <w:rFonts w:ascii="Arial" w:hAnsi="Arial" w:cs="Arial"/>
          <w:i/>
        </w:rPr>
        <w:t>“</w:t>
      </w:r>
      <w:r w:rsidRPr="008B03DA">
        <w:rPr>
          <w:rFonts w:ascii="Arial" w:hAnsi="Arial" w:cs="Arial"/>
        </w:rPr>
        <w:t xml:space="preserve">The attorney </w:t>
      </w:r>
      <w:r w:rsidRPr="008B03DA">
        <w:rPr>
          <w:rFonts w:ascii="Arial" w:hAnsi="Arial" w:cs="Arial"/>
        </w:rPr>
        <w:t>examiner finds tha</w:t>
      </w:r>
      <w:r w:rsidRPr="008B03DA">
        <w:rPr>
          <w:rFonts w:ascii="Arial" w:hAnsi="Arial" w:cs="Arial"/>
        </w:rPr>
        <w:t xml:space="preserve">t, considering the standard for </w:t>
      </w:r>
      <w:r w:rsidRPr="008B03DA">
        <w:rPr>
          <w:rFonts w:ascii="Arial" w:hAnsi="Arial" w:cs="Arial"/>
        </w:rPr>
        <w:t>intervention set forth</w:t>
      </w:r>
      <w:r w:rsidRPr="008B03DA">
        <w:rPr>
          <w:rFonts w:ascii="Arial" w:hAnsi="Arial" w:cs="Arial"/>
        </w:rPr>
        <w:t xml:space="preserve"> in Ohio Adm.Code 4901-1-11(B), </w:t>
      </w:r>
      <w:r w:rsidRPr="008B03DA">
        <w:rPr>
          <w:rFonts w:ascii="Arial" w:hAnsi="Arial" w:cs="Arial"/>
        </w:rPr>
        <w:t>particularly in light of Supre</w:t>
      </w:r>
      <w:r w:rsidRPr="008B03DA">
        <w:rPr>
          <w:rFonts w:ascii="Arial" w:hAnsi="Arial" w:cs="Arial"/>
        </w:rPr>
        <w:t xml:space="preserve">me Court precedent finding that statutes and </w:t>
      </w:r>
      <w:r w:rsidRPr="008B03DA">
        <w:rPr>
          <w:rFonts w:ascii="Arial" w:hAnsi="Arial" w:cs="Arial"/>
        </w:rPr>
        <w:t xml:space="preserve">rules should be </w:t>
      </w:r>
      <w:r w:rsidRPr="008B03DA">
        <w:rPr>
          <w:rFonts w:ascii="Arial" w:hAnsi="Arial" w:cs="Arial"/>
        </w:rPr>
        <w:t xml:space="preserve">liberally construed in favor of </w:t>
      </w:r>
      <w:r w:rsidRPr="008B03DA">
        <w:rPr>
          <w:rFonts w:ascii="Arial" w:hAnsi="Arial" w:cs="Arial"/>
        </w:rPr>
        <w:t>intervention, the motion t</w:t>
      </w:r>
      <w:r w:rsidRPr="008B03DA">
        <w:rPr>
          <w:rFonts w:ascii="Arial" w:hAnsi="Arial" w:cs="Arial"/>
        </w:rPr>
        <w:t xml:space="preserve">o intervene filed by the Market Monitor </w:t>
      </w:r>
      <w:r w:rsidRPr="008B03DA">
        <w:rPr>
          <w:rFonts w:ascii="Arial" w:hAnsi="Arial" w:cs="Arial"/>
        </w:rPr>
        <w:t>should be granted.</w:t>
      </w:r>
      <w:r w:rsidRPr="008B03DA">
        <w:rPr>
          <w:rFonts w:ascii="Arial" w:hAnsi="Arial" w:cs="Arial"/>
        </w:rPr>
        <w:t>”)</w:t>
      </w:r>
      <w:r>
        <w:rPr>
          <w:rFonts w:ascii="Arial" w:hAnsi="Arial" w:cs="Arial"/>
        </w:rPr>
        <w:t>.</w:t>
      </w:r>
    </w:p>
    <w:p w14:paraId="35A71898" w14:textId="77777777" w:rsidR="008B03DA" w:rsidRPr="008B03DA" w:rsidRDefault="008B03DA" w:rsidP="008B03DA">
      <w:pPr>
        <w:pStyle w:val="FootnoteText"/>
        <w:jc w:val="both"/>
        <w:rPr>
          <w:rFonts w:ascii="Arial" w:hAnsi="Arial" w:cs="Arial"/>
          <w:i/>
        </w:rPr>
      </w:pPr>
    </w:p>
  </w:footnote>
  <w:footnote w:id="2">
    <w:p w14:paraId="3008FAEF" w14:textId="36680CA4" w:rsidR="00592EE9" w:rsidRPr="008B03DA" w:rsidRDefault="00592EE9"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w:t>
      </w:r>
      <w:r w:rsidR="007B4A23" w:rsidRPr="008B03DA">
        <w:rPr>
          <w:rFonts w:ascii="Arial" w:hAnsi="Arial" w:cs="Arial"/>
        </w:rPr>
        <w:t>Memo Contra, at 3-4</w:t>
      </w:r>
      <w:r w:rsidR="00B66B96">
        <w:rPr>
          <w:rFonts w:ascii="Arial" w:hAnsi="Arial" w:cs="Arial"/>
        </w:rPr>
        <w:t>.</w:t>
      </w:r>
    </w:p>
  </w:footnote>
  <w:footnote w:id="3">
    <w:p w14:paraId="638F8055" w14:textId="21C24399" w:rsidR="00592EE9" w:rsidRDefault="00592EE9"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w:t>
      </w:r>
      <w:r w:rsidR="007B4A23" w:rsidRPr="008B03DA">
        <w:rPr>
          <w:rFonts w:ascii="Arial" w:hAnsi="Arial" w:cs="Arial"/>
        </w:rPr>
        <w:t>Application, Exhibit B</w:t>
      </w:r>
      <w:r w:rsidR="00084B09">
        <w:rPr>
          <w:rFonts w:ascii="Arial" w:hAnsi="Arial" w:cs="Arial"/>
        </w:rPr>
        <w:t>.</w:t>
      </w:r>
    </w:p>
    <w:p w14:paraId="6CFF85F0" w14:textId="77777777" w:rsidR="00084B09" w:rsidRPr="008B03DA" w:rsidRDefault="00084B09" w:rsidP="008B03DA">
      <w:pPr>
        <w:pStyle w:val="FootnoteText"/>
        <w:jc w:val="both"/>
        <w:rPr>
          <w:rFonts w:ascii="Arial" w:hAnsi="Arial" w:cs="Arial"/>
        </w:rPr>
      </w:pPr>
    </w:p>
  </w:footnote>
  <w:footnote w:id="4">
    <w:p w14:paraId="133B3119" w14:textId="38F407D6" w:rsidR="00686D64" w:rsidRPr="008B03DA" w:rsidRDefault="00686D64" w:rsidP="008B03DA">
      <w:pPr>
        <w:autoSpaceDE w:val="0"/>
        <w:autoSpaceDN w:val="0"/>
        <w:adjustRightInd w:val="0"/>
        <w:spacing w:after="0" w:line="240" w:lineRule="auto"/>
        <w:jc w:val="both"/>
        <w:rPr>
          <w:rFonts w:ascii="Arial" w:hAnsi="Arial" w:cs="Arial"/>
          <w:i/>
          <w:iCs/>
          <w:sz w:val="20"/>
          <w:szCs w:val="20"/>
        </w:rPr>
      </w:pPr>
      <w:r w:rsidRPr="008B03DA">
        <w:rPr>
          <w:rStyle w:val="FootnoteReference"/>
          <w:rFonts w:ascii="Arial" w:hAnsi="Arial" w:cs="Arial"/>
          <w:sz w:val="20"/>
          <w:szCs w:val="20"/>
        </w:rPr>
        <w:footnoteRef/>
      </w:r>
      <w:r w:rsidRPr="008B03DA">
        <w:rPr>
          <w:rFonts w:ascii="Arial" w:hAnsi="Arial" w:cs="Arial"/>
          <w:sz w:val="20"/>
          <w:szCs w:val="20"/>
        </w:rPr>
        <w:t xml:space="preserve"> </w:t>
      </w:r>
      <w:r w:rsidR="000B5B87" w:rsidRPr="008B03DA">
        <w:rPr>
          <w:rFonts w:ascii="Arial" w:hAnsi="Arial" w:cs="Arial"/>
          <w:sz w:val="20"/>
          <w:szCs w:val="20"/>
        </w:rPr>
        <w:t xml:space="preserve">See FirstEnergy’s Memo Contra at 2 citing, </w:t>
      </w:r>
      <w:r w:rsidRPr="008B03DA">
        <w:rPr>
          <w:rFonts w:ascii="Arial" w:hAnsi="Arial" w:cs="Arial"/>
          <w:i/>
          <w:iCs/>
          <w:sz w:val="20"/>
          <w:szCs w:val="20"/>
        </w:rPr>
        <w:t>In the Matter of the Application of Akron Thermal, Limited Partnership for an Increase in its Rate</w:t>
      </w:r>
      <w:r w:rsidR="000B5B87" w:rsidRPr="008B03DA">
        <w:rPr>
          <w:rFonts w:ascii="Arial" w:hAnsi="Arial" w:cs="Arial"/>
          <w:i/>
          <w:iCs/>
          <w:sz w:val="20"/>
          <w:szCs w:val="20"/>
        </w:rPr>
        <w:t xml:space="preserve">s for Steam and </w:t>
      </w:r>
      <w:r w:rsidRPr="008B03DA">
        <w:rPr>
          <w:rFonts w:ascii="Arial" w:hAnsi="Arial" w:cs="Arial"/>
          <w:i/>
          <w:iCs/>
          <w:sz w:val="20"/>
          <w:szCs w:val="20"/>
        </w:rPr>
        <w:t>Hot Water Service</w:t>
      </w:r>
      <w:r w:rsidRPr="008B03DA">
        <w:rPr>
          <w:rFonts w:ascii="Arial" w:hAnsi="Arial" w:cs="Arial"/>
          <w:sz w:val="20"/>
          <w:szCs w:val="20"/>
        </w:rPr>
        <w:t xml:space="preserve">, </w:t>
      </w:r>
      <w:r w:rsidR="000B5B87" w:rsidRPr="008B03DA">
        <w:rPr>
          <w:rFonts w:ascii="Arial" w:hAnsi="Arial" w:cs="Arial"/>
          <w:sz w:val="20"/>
          <w:szCs w:val="20"/>
        </w:rPr>
        <w:t>Case No. 05-5-HT-AIR Entry at 3 (June 14, 2005)</w:t>
      </w:r>
      <w:r w:rsidR="007B4A23" w:rsidRPr="008B03DA">
        <w:rPr>
          <w:rFonts w:ascii="Arial" w:hAnsi="Arial" w:cs="Arial"/>
          <w:sz w:val="20"/>
          <w:szCs w:val="20"/>
        </w:rPr>
        <w:t xml:space="preserve"> (hereinafter “Akron Thermal Entry”)</w:t>
      </w:r>
      <w:r w:rsidR="00084B09">
        <w:rPr>
          <w:rFonts w:ascii="Arial" w:hAnsi="Arial" w:cs="Arial"/>
          <w:sz w:val="20"/>
          <w:szCs w:val="20"/>
        </w:rPr>
        <w:t>.</w:t>
      </w:r>
    </w:p>
  </w:footnote>
  <w:footnote w:id="5">
    <w:p w14:paraId="60D734FE" w14:textId="3F0C3B81" w:rsidR="007276D1" w:rsidRPr="00B66B96" w:rsidRDefault="007276D1" w:rsidP="008B03DA">
      <w:pPr>
        <w:pStyle w:val="FootnoteText"/>
        <w:jc w:val="both"/>
        <w:rPr>
          <w:rStyle w:val="apple-style-span"/>
          <w:rFonts w:ascii="Arial" w:hAnsi="Arial" w:cs="Arial"/>
        </w:rPr>
      </w:pPr>
      <w:r w:rsidRPr="00B66B96">
        <w:rPr>
          <w:rStyle w:val="FootnoteReference"/>
          <w:rFonts w:ascii="Arial" w:hAnsi="Arial" w:cs="Arial"/>
        </w:rPr>
        <w:footnoteRef/>
      </w:r>
      <w:r w:rsidRPr="00B66B96">
        <w:rPr>
          <w:rFonts w:ascii="Arial" w:hAnsi="Arial" w:cs="Arial"/>
        </w:rPr>
        <w:t xml:space="preserve"> </w:t>
      </w:r>
      <w:r w:rsidRPr="00B66B96">
        <w:rPr>
          <w:rStyle w:val="apple-style-span"/>
          <w:rFonts w:ascii="Arial" w:hAnsi="Arial" w:cs="Arial"/>
          <w:i/>
          <w:iCs/>
          <w:color w:val="000000"/>
        </w:rPr>
        <w:t>Ohio Consumers' Counsel v. Pub. Util. Comm.,</w:t>
      </w:r>
      <w:bookmarkStart w:id="1" w:name="hit1"/>
      <w:r w:rsidRPr="00B66B96">
        <w:rPr>
          <w:rStyle w:val="apple-style-span"/>
          <w:rFonts w:ascii="Arial" w:hAnsi="Arial" w:cs="Arial"/>
        </w:rPr>
        <w:t>111</w:t>
      </w:r>
      <w:bookmarkEnd w:id="1"/>
      <w:r w:rsidRPr="00B66B96">
        <w:rPr>
          <w:rStyle w:val="apple-converted-space"/>
          <w:rFonts w:ascii="Arial" w:hAnsi="Arial" w:cs="Arial"/>
        </w:rPr>
        <w:t> </w:t>
      </w:r>
      <w:bookmarkStart w:id="2" w:name="hit2"/>
      <w:r w:rsidRPr="00B66B96">
        <w:rPr>
          <w:rStyle w:val="apple-style-span"/>
          <w:rFonts w:ascii="Arial" w:hAnsi="Arial" w:cs="Arial"/>
        </w:rPr>
        <w:t>Ohio</w:t>
      </w:r>
      <w:bookmarkStart w:id="3" w:name="hit3"/>
      <w:bookmarkEnd w:id="2"/>
      <w:r w:rsidRPr="00B66B96">
        <w:rPr>
          <w:rStyle w:val="apple-style-span"/>
          <w:rFonts w:ascii="Arial" w:hAnsi="Arial" w:cs="Arial"/>
        </w:rPr>
        <w:t>St</w:t>
      </w:r>
      <w:bookmarkEnd w:id="3"/>
      <w:r w:rsidRPr="00B66B96">
        <w:rPr>
          <w:rStyle w:val="apple-style-span"/>
          <w:rFonts w:ascii="Arial" w:hAnsi="Arial" w:cs="Arial"/>
        </w:rPr>
        <w:t>.</w:t>
      </w:r>
      <w:bookmarkStart w:id="4" w:name="hit4"/>
      <w:r w:rsidRPr="00B66B96">
        <w:rPr>
          <w:rStyle w:val="apple-style-span"/>
          <w:rFonts w:ascii="Arial" w:hAnsi="Arial" w:cs="Arial"/>
        </w:rPr>
        <w:t>3d</w:t>
      </w:r>
      <w:bookmarkEnd w:id="4"/>
      <w:r w:rsidRPr="00B66B96">
        <w:rPr>
          <w:rStyle w:val="apple-converted-space"/>
          <w:rFonts w:ascii="Arial" w:hAnsi="Arial" w:cs="Arial"/>
        </w:rPr>
        <w:t> </w:t>
      </w:r>
      <w:bookmarkStart w:id="5" w:name="hit5"/>
      <w:r w:rsidRPr="00B66B96">
        <w:rPr>
          <w:rStyle w:val="apple-style-span"/>
          <w:rFonts w:ascii="Arial" w:hAnsi="Arial" w:cs="Arial"/>
        </w:rPr>
        <w:t>384</w:t>
      </w:r>
      <w:bookmarkEnd w:id="5"/>
      <w:r w:rsidRPr="00B66B96">
        <w:rPr>
          <w:rStyle w:val="apple-style-span"/>
          <w:rFonts w:ascii="Arial" w:hAnsi="Arial" w:cs="Arial"/>
        </w:rPr>
        <w:t>,</w:t>
      </w:r>
      <w:r w:rsidRPr="00B66B96">
        <w:rPr>
          <w:rStyle w:val="apple-converted-space"/>
          <w:rFonts w:ascii="Arial" w:hAnsi="Arial" w:cs="Arial"/>
        </w:rPr>
        <w:t> </w:t>
      </w:r>
      <w:r w:rsidRPr="00B66B96">
        <w:rPr>
          <w:rStyle w:val="apple-style-span"/>
          <w:rFonts w:ascii="Arial" w:hAnsi="Arial" w:cs="Arial"/>
        </w:rPr>
        <w:t>388</w:t>
      </w:r>
      <w:r w:rsidR="00B66846">
        <w:rPr>
          <w:rStyle w:val="apple-style-span"/>
          <w:rFonts w:ascii="Arial" w:hAnsi="Arial" w:cs="Arial"/>
        </w:rPr>
        <w:t xml:space="preserve"> (2006)</w:t>
      </w:r>
      <w:r w:rsidRPr="00B66B96">
        <w:rPr>
          <w:rStyle w:val="apple-style-span"/>
          <w:rFonts w:ascii="Arial" w:hAnsi="Arial" w:cs="Arial"/>
        </w:rPr>
        <w:t>.</w:t>
      </w:r>
    </w:p>
    <w:p w14:paraId="30EFE986" w14:textId="77777777" w:rsidR="00084B09" w:rsidRPr="00B66B96" w:rsidRDefault="00084B09" w:rsidP="008B03DA">
      <w:pPr>
        <w:pStyle w:val="FootnoteText"/>
        <w:jc w:val="both"/>
        <w:rPr>
          <w:rFonts w:ascii="Arial" w:hAnsi="Arial" w:cs="Arial"/>
        </w:rPr>
      </w:pPr>
    </w:p>
  </w:footnote>
  <w:footnote w:id="6">
    <w:p w14:paraId="78371CEE" w14:textId="0F444C4A" w:rsidR="00B66B96" w:rsidRPr="00B66B96" w:rsidRDefault="00B66B96">
      <w:pPr>
        <w:pStyle w:val="FootnoteText"/>
        <w:rPr>
          <w:rFonts w:ascii="Arial" w:hAnsi="Arial" w:cs="Arial"/>
          <w:i/>
        </w:rPr>
      </w:pPr>
      <w:r w:rsidRPr="00B66B96">
        <w:rPr>
          <w:rStyle w:val="FootnoteReference"/>
          <w:rFonts w:ascii="Arial" w:hAnsi="Arial" w:cs="Arial"/>
        </w:rPr>
        <w:footnoteRef/>
      </w:r>
      <w:r w:rsidRPr="00B66B96">
        <w:rPr>
          <w:rFonts w:ascii="Arial" w:hAnsi="Arial" w:cs="Arial"/>
        </w:rPr>
        <w:t xml:space="preserve"> </w:t>
      </w:r>
      <w:r w:rsidRPr="00B66B96">
        <w:rPr>
          <w:rFonts w:ascii="Arial" w:hAnsi="Arial" w:cs="Arial"/>
          <w:i/>
        </w:rPr>
        <w:t xml:space="preserve">Id. </w:t>
      </w:r>
    </w:p>
    <w:p w14:paraId="2F9F59C9" w14:textId="77777777" w:rsidR="00B66B96" w:rsidRPr="00B66B96" w:rsidRDefault="00B66B96">
      <w:pPr>
        <w:pStyle w:val="FootnoteText"/>
        <w:rPr>
          <w:i/>
        </w:rPr>
      </w:pPr>
    </w:p>
  </w:footnote>
  <w:footnote w:id="7">
    <w:p w14:paraId="3B18D4DB" w14:textId="40AD71B2" w:rsidR="005F2FAB" w:rsidRDefault="005F2FAB"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w:t>
      </w:r>
      <w:r w:rsidR="007B4A23" w:rsidRPr="008B03DA">
        <w:rPr>
          <w:rFonts w:ascii="Arial" w:hAnsi="Arial" w:cs="Arial"/>
        </w:rPr>
        <w:t>Akron Thermal Entry at 1</w:t>
      </w:r>
      <w:r w:rsidR="00084B09">
        <w:rPr>
          <w:rFonts w:ascii="Arial" w:hAnsi="Arial" w:cs="Arial"/>
        </w:rPr>
        <w:t>.</w:t>
      </w:r>
    </w:p>
    <w:p w14:paraId="7EDE807C" w14:textId="77777777" w:rsidR="00084B09" w:rsidRPr="008B03DA" w:rsidRDefault="00084B09" w:rsidP="008B03DA">
      <w:pPr>
        <w:pStyle w:val="FootnoteText"/>
        <w:jc w:val="both"/>
        <w:rPr>
          <w:rFonts w:ascii="Arial" w:hAnsi="Arial" w:cs="Arial"/>
        </w:rPr>
      </w:pPr>
    </w:p>
  </w:footnote>
  <w:footnote w:id="8">
    <w:p w14:paraId="42AAB491" w14:textId="04DD8113" w:rsidR="00263C8A" w:rsidRDefault="00263C8A"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w:t>
      </w:r>
      <w:r w:rsidR="007B4A23" w:rsidRPr="008B03DA">
        <w:rPr>
          <w:rFonts w:ascii="Arial" w:hAnsi="Arial" w:cs="Arial"/>
        </w:rPr>
        <w:t>Memo Contra, 5-6</w:t>
      </w:r>
      <w:r w:rsidR="00084B09">
        <w:rPr>
          <w:rFonts w:ascii="Arial" w:hAnsi="Arial" w:cs="Arial"/>
        </w:rPr>
        <w:t>.</w:t>
      </w:r>
    </w:p>
    <w:p w14:paraId="2E4F96CD" w14:textId="77777777" w:rsidR="00084B09" w:rsidRPr="008B03DA" w:rsidRDefault="00084B09" w:rsidP="008B03DA">
      <w:pPr>
        <w:pStyle w:val="FootnoteText"/>
        <w:jc w:val="both"/>
        <w:rPr>
          <w:rFonts w:ascii="Arial" w:hAnsi="Arial" w:cs="Arial"/>
        </w:rPr>
      </w:pPr>
    </w:p>
  </w:footnote>
  <w:footnote w:id="9">
    <w:p w14:paraId="29DE04CE" w14:textId="34DE5B07" w:rsidR="00263C8A" w:rsidRPr="008B03DA" w:rsidRDefault="00263C8A"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w:t>
      </w:r>
      <w:r w:rsidR="005E25DE" w:rsidRPr="00084B09">
        <w:rPr>
          <w:rFonts w:ascii="Arial" w:hAnsi="Arial" w:cs="Arial"/>
          <w:i/>
        </w:rPr>
        <w:t>See FirstEnergy Corp. v. Public Utilities Comm</w:t>
      </w:r>
      <w:r w:rsidR="00084B09">
        <w:rPr>
          <w:rFonts w:ascii="Arial" w:hAnsi="Arial" w:cs="Arial"/>
          <w:i/>
        </w:rPr>
        <w:t>’n</w:t>
      </w:r>
      <w:r w:rsidR="005E25DE" w:rsidRPr="008B03DA">
        <w:rPr>
          <w:rFonts w:ascii="Arial" w:hAnsi="Arial" w:cs="Arial"/>
        </w:rPr>
        <w:t>, 9</w:t>
      </w:r>
      <w:r w:rsidR="00084B09">
        <w:rPr>
          <w:rFonts w:ascii="Arial" w:hAnsi="Arial" w:cs="Arial"/>
        </w:rPr>
        <w:t xml:space="preserve">5 Ohio St. 3d 401 (2002); </w:t>
      </w:r>
      <w:r w:rsidR="0084398F" w:rsidRPr="00084B09">
        <w:rPr>
          <w:rFonts w:ascii="Arial" w:hAnsi="Arial" w:cs="Arial"/>
          <w:i/>
        </w:rPr>
        <w:t>FirstEnergy Corp. v. Public Utilities Comm</w:t>
      </w:r>
      <w:r w:rsidR="00084B09">
        <w:rPr>
          <w:rFonts w:ascii="Arial" w:hAnsi="Arial" w:cs="Arial"/>
          <w:i/>
        </w:rPr>
        <w:t>’n</w:t>
      </w:r>
      <w:r w:rsidR="00084B09">
        <w:rPr>
          <w:rFonts w:ascii="Arial" w:hAnsi="Arial" w:cs="Arial"/>
        </w:rPr>
        <w:t>, 96 Ohio St. 3d 371 (</w:t>
      </w:r>
      <w:r w:rsidR="0084398F" w:rsidRPr="008B03DA">
        <w:rPr>
          <w:rFonts w:ascii="Arial" w:hAnsi="Arial" w:cs="Arial"/>
        </w:rPr>
        <w:t xml:space="preserve">2002); </w:t>
      </w:r>
      <w:r w:rsidRPr="00084B09">
        <w:rPr>
          <w:rFonts w:ascii="Arial" w:hAnsi="Arial" w:cs="Arial"/>
          <w:i/>
        </w:rPr>
        <w:t>DiFranco v. FirstEnergy Corp.</w:t>
      </w:r>
      <w:r w:rsidRPr="008B03DA">
        <w:rPr>
          <w:rFonts w:ascii="Arial" w:hAnsi="Arial" w:cs="Arial"/>
        </w:rPr>
        <w:t>, 134 Ohio St.3d 144</w:t>
      </w:r>
      <w:r w:rsidR="00084B09">
        <w:rPr>
          <w:rFonts w:ascii="Arial" w:hAnsi="Arial" w:cs="Arial"/>
        </w:rPr>
        <w:t xml:space="preserve"> (</w:t>
      </w:r>
      <w:r w:rsidR="005E25DE" w:rsidRPr="008B03DA">
        <w:rPr>
          <w:rFonts w:ascii="Arial" w:hAnsi="Arial" w:cs="Arial"/>
        </w:rPr>
        <w:t>2012)</w:t>
      </w:r>
      <w:r w:rsidRPr="008B03DA">
        <w:rPr>
          <w:rFonts w:ascii="Arial" w:hAnsi="Arial" w:cs="Arial"/>
        </w:rPr>
        <w:t xml:space="preserve">; </w:t>
      </w:r>
      <w:r w:rsidR="0084398F" w:rsidRPr="00084B09">
        <w:rPr>
          <w:rFonts w:ascii="Arial" w:hAnsi="Arial" w:cs="Arial"/>
          <w:i/>
        </w:rPr>
        <w:t>Huff v. FirstEnergy Corp.</w:t>
      </w:r>
      <w:r w:rsidR="0084398F" w:rsidRPr="008B03DA">
        <w:rPr>
          <w:rFonts w:ascii="Arial" w:hAnsi="Arial" w:cs="Arial"/>
        </w:rPr>
        <w:t xml:space="preserve">, 130 Ohio </w:t>
      </w:r>
      <w:r w:rsidR="00084B09">
        <w:rPr>
          <w:rFonts w:ascii="Arial" w:hAnsi="Arial" w:cs="Arial"/>
        </w:rPr>
        <w:t>St. 3d 196 (</w:t>
      </w:r>
      <w:r w:rsidR="0084398F" w:rsidRPr="008B03DA">
        <w:rPr>
          <w:rFonts w:ascii="Arial" w:hAnsi="Arial" w:cs="Arial"/>
        </w:rPr>
        <w:t xml:space="preserve">2011).  </w:t>
      </w:r>
    </w:p>
  </w:footnote>
  <w:footnote w:id="10">
    <w:p w14:paraId="456B1C6A" w14:textId="77777777" w:rsidR="005F2FAB" w:rsidRPr="008B03DA" w:rsidRDefault="005F2FAB"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Application, Exhibit B.</w:t>
      </w:r>
    </w:p>
  </w:footnote>
  <w:footnote w:id="11">
    <w:p w14:paraId="392DF695" w14:textId="77777777" w:rsidR="00694873" w:rsidRPr="008B03DA" w:rsidRDefault="00694873" w:rsidP="008B03DA">
      <w:pPr>
        <w:pStyle w:val="FootnoteText"/>
        <w:jc w:val="both"/>
        <w:rPr>
          <w:rFonts w:ascii="Arial" w:hAnsi="Arial" w:cs="Arial"/>
        </w:rPr>
      </w:pPr>
      <w:r w:rsidRPr="008B03DA">
        <w:rPr>
          <w:rStyle w:val="FootnoteReference"/>
          <w:rFonts w:ascii="Arial" w:hAnsi="Arial" w:cs="Arial"/>
        </w:rPr>
        <w:footnoteRef/>
      </w:r>
      <w:r w:rsidRPr="008B03DA">
        <w:rPr>
          <w:rFonts w:ascii="Arial" w:hAnsi="Arial" w:cs="Arial"/>
        </w:rPr>
        <w:t xml:space="preserve"> Memorandum Contra at </w:t>
      </w:r>
      <w:r w:rsidR="00FD73D4" w:rsidRPr="008B03DA">
        <w:rPr>
          <w:rFonts w:ascii="Arial" w:hAnsi="Arial" w:cs="Arial"/>
        </w:rPr>
        <w:t>7</w:t>
      </w:r>
      <w:r w:rsidRPr="008B03DA">
        <w:rPr>
          <w:rFonts w:ascii="Arial" w:hAnsi="Arial" w:cs="Arial"/>
        </w:rPr>
        <w:t>.</w:t>
      </w:r>
    </w:p>
  </w:footnote>
  <w:footnote w:id="12">
    <w:p w14:paraId="3359976F" w14:textId="77777777" w:rsidR="00FD73D4" w:rsidRDefault="00FD73D4" w:rsidP="008B03DA">
      <w:pPr>
        <w:pStyle w:val="FootnoteText"/>
        <w:jc w:val="both"/>
        <w:rPr>
          <w:rFonts w:ascii="Arial" w:hAnsi="Arial" w:cs="Arial"/>
          <w:i/>
        </w:rPr>
      </w:pPr>
      <w:r w:rsidRPr="008B03DA">
        <w:rPr>
          <w:rStyle w:val="FootnoteReference"/>
          <w:rFonts w:ascii="Arial" w:hAnsi="Arial" w:cs="Arial"/>
        </w:rPr>
        <w:footnoteRef/>
      </w:r>
      <w:r w:rsidRPr="008B03DA">
        <w:rPr>
          <w:rFonts w:ascii="Arial" w:hAnsi="Arial" w:cs="Arial"/>
        </w:rPr>
        <w:t xml:space="preserve"> </w:t>
      </w:r>
      <w:r w:rsidRPr="00084B09">
        <w:rPr>
          <w:rFonts w:ascii="Arial" w:hAnsi="Arial" w:cs="Arial"/>
          <w:i/>
        </w:rPr>
        <w:t>Id.</w:t>
      </w:r>
    </w:p>
    <w:p w14:paraId="11E59E20" w14:textId="77777777" w:rsidR="00084B09" w:rsidRPr="008B03DA" w:rsidRDefault="00084B09" w:rsidP="008B03DA">
      <w:pPr>
        <w:pStyle w:val="FootnoteText"/>
        <w:jc w:val="both"/>
        <w:rPr>
          <w:rFonts w:ascii="Arial" w:hAnsi="Arial" w:cs="Arial"/>
        </w:rPr>
      </w:pPr>
    </w:p>
  </w:footnote>
  <w:footnote w:id="13">
    <w:p w14:paraId="0F1346FB" w14:textId="1C5B8CCD" w:rsidR="00153213" w:rsidRPr="008B03DA" w:rsidRDefault="00153213" w:rsidP="008B03DA">
      <w:pPr>
        <w:autoSpaceDE w:val="0"/>
        <w:autoSpaceDN w:val="0"/>
        <w:adjustRightInd w:val="0"/>
        <w:spacing w:after="0" w:line="240" w:lineRule="auto"/>
        <w:jc w:val="both"/>
        <w:rPr>
          <w:rFonts w:ascii="Arial" w:hAnsi="Arial" w:cs="Arial"/>
          <w:i/>
          <w:iCs/>
          <w:sz w:val="20"/>
          <w:szCs w:val="20"/>
        </w:rPr>
      </w:pPr>
      <w:r w:rsidRPr="008B03DA">
        <w:rPr>
          <w:rStyle w:val="FootnoteReference"/>
          <w:rFonts w:ascii="Arial" w:hAnsi="Arial" w:cs="Arial"/>
          <w:sz w:val="20"/>
          <w:szCs w:val="20"/>
        </w:rPr>
        <w:footnoteRef/>
      </w:r>
      <w:r w:rsidRPr="008B03DA">
        <w:rPr>
          <w:rFonts w:ascii="Arial" w:hAnsi="Arial" w:cs="Arial"/>
          <w:sz w:val="20"/>
          <w:szCs w:val="20"/>
        </w:rPr>
        <w:t xml:space="preserve"> </w:t>
      </w:r>
      <w:r w:rsidRPr="008B03DA">
        <w:rPr>
          <w:rFonts w:ascii="Arial" w:hAnsi="Arial" w:cs="Arial"/>
          <w:i/>
          <w:iCs/>
          <w:sz w:val="20"/>
          <w:szCs w:val="20"/>
        </w:rPr>
        <w:t>In the Matter of the Application of Duke Energy Ohio for Approval of the Fourth Amended Corporate Separation Plan under Section 4928.17, Revised Code and Chapter 4901:1-37, Ohio Administrative Code and In the Matter of the Application of Duke Energy Ohio for Authority to Amend its Retail Tariff, P.U.C.O. No. 19</w:t>
      </w:r>
      <w:r w:rsidRPr="008B03DA">
        <w:rPr>
          <w:rFonts w:ascii="Arial" w:hAnsi="Arial" w:cs="Arial"/>
          <w:sz w:val="20"/>
          <w:szCs w:val="20"/>
        </w:rPr>
        <w:t>, Case No</w:t>
      </w:r>
      <w:r w:rsidR="00084B09">
        <w:rPr>
          <w:rFonts w:ascii="Arial" w:hAnsi="Arial" w:cs="Arial"/>
          <w:sz w:val="20"/>
          <w:szCs w:val="20"/>
        </w:rPr>
        <w:t xml:space="preserve">s. 14-689-EL-UNC, </w:t>
      </w:r>
      <w:r w:rsidR="00084B09">
        <w:rPr>
          <w:rFonts w:ascii="Arial" w:hAnsi="Arial" w:cs="Arial"/>
          <w:i/>
          <w:sz w:val="20"/>
          <w:szCs w:val="20"/>
        </w:rPr>
        <w:t>et al.</w:t>
      </w:r>
      <w:r w:rsidR="00084B09">
        <w:rPr>
          <w:rFonts w:ascii="Arial" w:hAnsi="Arial" w:cs="Arial"/>
          <w:sz w:val="20"/>
          <w:szCs w:val="20"/>
        </w:rPr>
        <w:t>,</w:t>
      </w:r>
      <w:r w:rsidRPr="008B03DA">
        <w:rPr>
          <w:rFonts w:ascii="Arial" w:hAnsi="Arial" w:cs="Arial"/>
          <w:sz w:val="20"/>
          <w:szCs w:val="20"/>
        </w:rPr>
        <w:t xml:space="preserve"> Entry on Rehearing at ¶14 (August 26,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8A5" w14:textId="77777777" w:rsidR="003D28AD" w:rsidRDefault="003D2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2D57" w14:textId="77777777" w:rsidR="003D28AD" w:rsidRDefault="003D2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230F" w14:textId="77777777" w:rsidR="003D28AD" w:rsidRDefault="003D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4642"/>
    <w:multiLevelType w:val="hybridMultilevel"/>
    <w:tmpl w:val="201C59AA"/>
    <w:lvl w:ilvl="0" w:tplc="E82C845C">
      <w:start w:val="1"/>
      <w:numFmt w:val="upperRoman"/>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46F030F6"/>
    <w:multiLevelType w:val="hybridMultilevel"/>
    <w:tmpl w:val="C570DC20"/>
    <w:lvl w:ilvl="0" w:tplc="21287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794C93"/>
    <w:multiLevelType w:val="hybridMultilevel"/>
    <w:tmpl w:val="27E273B8"/>
    <w:lvl w:ilvl="0" w:tplc="715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i Wilson">
    <w15:presenceInfo w15:providerId="AD" w15:userId="S-1-5-21-1316090093-710254092-3585433132-13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91"/>
    <w:rsid w:val="00050421"/>
    <w:rsid w:val="00061157"/>
    <w:rsid w:val="00084B09"/>
    <w:rsid w:val="00091DE0"/>
    <w:rsid w:val="000936D0"/>
    <w:rsid w:val="000B5B87"/>
    <w:rsid w:val="000D041D"/>
    <w:rsid w:val="00142022"/>
    <w:rsid w:val="00153213"/>
    <w:rsid w:val="0015666F"/>
    <w:rsid w:val="001D673F"/>
    <w:rsid w:val="00263C8A"/>
    <w:rsid w:val="00267448"/>
    <w:rsid w:val="002825D3"/>
    <w:rsid w:val="002A7CF7"/>
    <w:rsid w:val="002C3F18"/>
    <w:rsid w:val="00305B09"/>
    <w:rsid w:val="003D0B9B"/>
    <w:rsid w:val="003D28AD"/>
    <w:rsid w:val="003F6855"/>
    <w:rsid w:val="00414055"/>
    <w:rsid w:val="00440227"/>
    <w:rsid w:val="00490262"/>
    <w:rsid w:val="00592EE9"/>
    <w:rsid w:val="005D116B"/>
    <w:rsid w:val="005E25DE"/>
    <w:rsid w:val="005F2FAB"/>
    <w:rsid w:val="006000B8"/>
    <w:rsid w:val="00657BDB"/>
    <w:rsid w:val="00671F10"/>
    <w:rsid w:val="006864A8"/>
    <w:rsid w:val="00686D64"/>
    <w:rsid w:val="00694873"/>
    <w:rsid w:val="006D1A4B"/>
    <w:rsid w:val="006E6627"/>
    <w:rsid w:val="007276D1"/>
    <w:rsid w:val="00743999"/>
    <w:rsid w:val="00796D6C"/>
    <w:rsid w:val="007B4A23"/>
    <w:rsid w:val="007C547A"/>
    <w:rsid w:val="007E0B3B"/>
    <w:rsid w:val="007F53E7"/>
    <w:rsid w:val="00804A29"/>
    <w:rsid w:val="008157DB"/>
    <w:rsid w:val="0084398F"/>
    <w:rsid w:val="008476D3"/>
    <w:rsid w:val="008769B9"/>
    <w:rsid w:val="008B03DA"/>
    <w:rsid w:val="00901491"/>
    <w:rsid w:val="00970A51"/>
    <w:rsid w:val="009771BE"/>
    <w:rsid w:val="009B3EC6"/>
    <w:rsid w:val="009C1BCE"/>
    <w:rsid w:val="00A12B45"/>
    <w:rsid w:val="00A1532F"/>
    <w:rsid w:val="00A15430"/>
    <w:rsid w:val="00B12C47"/>
    <w:rsid w:val="00B66846"/>
    <w:rsid w:val="00B66B96"/>
    <w:rsid w:val="00C27273"/>
    <w:rsid w:val="00D13D90"/>
    <w:rsid w:val="00D66A95"/>
    <w:rsid w:val="00D84958"/>
    <w:rsid w:val="00E40F91"/>
    <w:rsid w:val="00E731FA"/>
    <w:rsid w:val="00EB4F6F"/>
    <w:rsid w:val="00EE56B1"/>
    <w:rsid w:val="00EF59F6"/>
    <w:rsid w:val="00F02EC8"/>
    <w:rsid w:val="00F0553B"/>
    <w:rsid w:val="00FD73D4"/>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3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202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2022"/>
    <w:rPr>
      <w:rFonts w:ascii="Times New Roman" w:eastAsia="Times New Roman" w:hAnsi="Times New Roman" w:cs="Times New Roman"/>
      <w:b/>
      <w:sz w:val="24"/>
      <w:szCs w:val="20"/>
    </w:rPr>
  </w:style>
  <w:style w:type="paragraph" w:styleId="ListParagraph">
    <w:name w:val="List Paragraph"/>
    <w:basedOn w:val="Normal"/>
    <w:uiPriority w:val="34"/>
    <w:qFormat/>
    <w:rsid w:val="00D66A95"/>
    <w:pPr>
      <w:ind w:left="720"/>
      <w:contextualSpacing/>
    </w:pPr>
  </w:style>
  <w:style w:type="paragraph" w:styleId="FootnoteText">
    <w:name w:val="footnote text"/>
    <w:basedOn w:val="Normal"/>
    <w:link w:val="FootnoteTextChar"/>
    <w:uiPriority w:val="99"/>
    <w:semiHidden/>
    <w:unhideWhenUsed/>
    <w:rsid w:val="00727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6D1"/>
    <w:rPr>
      <w:sz w:val="20"/>
      <w:szCs w:val="20"/>
    </w:rPr>
  </w:style>
  <w:style w:type="character" w:styleId="FootnoteReference">
    <w:name w:val="footnote reference"/>
    <w:basedOn w:val="DefaultParagraphFont"/>
    <w:uiPriority w:val="99"/>
    <w:semiHidden/>
    <w:unhideWhenUsed/>
    <w:rsid w:val="007276D1"/>
    <w:rPr>
      <w:vertAlign w:val="superscript"/>
    </w:rPr>
  </w:style>
  <w:style w:type="character" w:customStyle="1" w:styleId="apple-style-span">
    <w:name w:val="apple-style-span"/>
    <w:basedOn w:val="DefaultParagraphFont"/>
    <w:rsid w:val="007276D1"/>
  </w:style>
  <w:style w:type="character" w:customStyle="1" w:styleId="apple-converted-space">
    <w:name w:val="apple-converted-space"/>
    <w:basedOn w:val="DefaultParagraphFont"/>
    <w:rsid w:val="007276D1"/>
  </w:style>
  <w:style w:type="paragraph" w:styleId="Header">
    <w:name w:val="header"/>
    <w:basedOn w:val="Normal"/>
    <w:link w:val="HeaderChar"/>
    <w:uiPriority w:val="99"/>
    <w:unhideWhenUsed/>
    <w:rsid w:val="006E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27"/>
  </w:style>
  <w:style w:type="paragraph" w:styleId="Footer">
    <w:name w:val="footer"/>
    <w:basedOn w:val="Normal"/>
    <w:link w:val="FooterChar"/>
    <w:uiPriority w:val="99"/>
    <w:unhideWhenUsed/>
    <w:rsid w:val="006E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27"/>
  </w:style>
  <w:style w:type="character" w:styleId="Hyperlink">
    <w:name w:val="Hyperlink"/>
    <w:basedOn w:val="DefaultParagraphFont"/>
    <w:uiPriority w:val="99"/>
    <w:rsid w:val="00657BDB"/>
    <w:rPr>
      <w:color w:val="0000FF"/>
      <w:u w:val="single"/>
    </w:rPr>
  </w:style>
  <w:style w:type="character" w:styleId="CommentReference">
    <w:name w:val="annotation reference"/>
    <w:basedOn w:val="DefaultParagraphFont"/>
    <w:uiPriority w:val="99"/>
    <w:semiHidden/>
    <w:unhideWhenUsed/>
    <w:rsid w:val="000936D0"/>
    <w:rPr>
      <w:sz w:val="16"/>
      <w:szCs w:val="16"/>
    </w:rPr>
  </w:style>
  <w:style w:type="paragraph" w:styleId="CommentText">
    <w:name w:val="annotation text"/>
    <w:basedOn w:val="Normal"/>
    <w:link w:val="CommentTextChar"/>
    <w:uiPriority w:val="99"/>
    <w:semiHidden/>
    <w:unhideWhenUsed/>
    <w:rsid w:val="000936D0"/>
    <w:pPr>
      <w:spacing w:line="240" w:lineRule="auto"/>
    </w:pPr>
    <w:rPr>
      <w:sz w:val="20"/>
      <w:szCs w:val="20"/>
    </w:rPr>
  </w:style>
  <w:style w:type="character" w:customStyle="1" w:styleId="CommentTextChar">
    <w:name w:val="Comment Text Char"/>
    <w:basedOn w:val="DefaultParagraphFont"/>
    <w:link w:val="CommentText"/>
    <w:uiPriority w:val="99"/>
    <w:semiHidden/>
    <w:rsid w:val="000936D0"/>
    <w:rPr>
      <w:sz w:val="20"/>
      <w:szCs w:val="20"/>
    </w:rPr>
  </w:style>
  <w:style w:type="paragraph" w:styleId="CommentSubject">
    <w:name w:val="annotation subject"/>
    <w:basedOn w:val="CommentText"/>
    <w:next w:val="CommentText"/>
    <w:link w:val="CommentSubjectChar"/>
    <w:uiPriority w:val="99"/>
    <w:semiHidden/>
    <w:unhideWhenUsed/>
    <w:rsid w:val="000936D0"/>
    <w:rPr>
      <w:b/>
      <w:bCs/>
    </w:rPr>
  </w:style>
  <w:style w:type="character" w:customStyle="1" w:styleId="CommentSubjectChar">
    <w:name w:val="Comment Subject Char"/>
    <w:basedOn w:val="CommentTextChar"/>
    <w:link w:val="CommentSubject"/>
    <w:uiPriority w:val="99"/>
    <w:semiHidden/>
    <w:rsid w:val="000936D0"/>
    <w:rPr>
      <w:b/>
      <w:bCs/>
      <w:sz w:val="20"/>
      <w:szCs w:val="20"/>
    </w:rPr>
  </w:style>
  <w:style w:type="paragraph" w:styleId="BalloonText">
    <w:name w:val="Balloon Text"/>
    <w:basedOn w:val="Normal"/>
    <w:link w:val="BalloonTextChar"/>
    <w:uiPriority w:val="99"/>
    <w:semiHidden/>
    <w:unhideWhenUsed/>
    <w:rsid w:val="0009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202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2022"/>
    <w:rPr>
      <w:rFonts w:ascii="Times New Roman" w:eastAsia="Times New Roman" w:hAnsi="Times New Roman" w:cs="Times New Roman"/>
      <w:b/>
      <w:sz w:val="24"/>
      <w:szCs w:val="20"/>
    </w:rPr>
  </w:style>
  <w:style w:type="paragraph" w:styleId="ListParagraph">
    <w:name w:val="List Paragraph"/>
    <w:basedOn w:val="Normal"/>
    <w:uiPriority w:val="34"/>
    <w:qFormat/>
    <w:rsid w:val="00D66A95"/>
    <w:pPr>
      <w:ind w:left="720"/>
      <w:contextualSpacing/>
    </w:pPr>
  </w:style>
  <w:style w:type="paragraph" w:styleId="FootnoteText">
    <w:name w:val="footnote text"/>
    <w:basedOn w:val="Normal"/>
    <w:link w:val="FootnoteTextChar"/>
    <w:uiPriority w:val="99"/>
    <w:semiHidden/>
    <w:unhideWhenUsed/>
    <w:rsid w:val="00727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6D1"/>
    <w:rPr>
      <w:sz w:val="20"/>
      <w:szCs w:val="20"/>
    </w:rPr>
  </w:style>
  <w:style w:type="character" w:styleId="FootnoteReference">
    <w:name w:val="footnote reference"/>
    <w:basedOn w:val="DefaultParagraphFont"/>
    <w:uiPriority w:val="99"/>
    <w:semiHidden/>
    <w:unhideWhenUsed/>
    <w:rsid w:val="007276D1"/>
    <w:rPr>
      <w:vertAlign w:val="superscript"/>
    </w:rPr>
  </w:style>
  <w:style w:type="character" w:customStyle="1" w:styleId="apple-style-span">
    <w:name w:val="apple-style-span"/>
    <w:basedOn w:val="DefaultParagraphFont"/>
    <w:rsid w:val="007276D1"/>
  </w:style>
  <w:style w:type="character" w:customStyle="1" w:styleId="apple-converted-space">
    <w:name w:val="apple-converted-space"/>
    <w:basedOn w:val="DefaultParagraphFont"/>
    <w:rsid w:val="007276D1"/>
  </w:style>
  <w:style w:type="paragraph" w:styleId="Header">
    <w:name w:val="header"/>
    <w:basedOn w:val="Normal"/>
    <w:link w:val="HeaderChar"/>
    <w:uiPriority w:val="99"/>
    <w:unhideWhenUsed/>
    <w:rsid w:val="006E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27"/>
  </w:style>
  <w:style w:type="paragraph" w:styleId="Footer">
    <w:name w:val="footer"/>
    <w:basedOn w:val="Normal"/>
    <w:link w:val="FooterChar"/>
    <w:uiPriority w:val="99"/>
    <w:unhideWhenUsed/>
    <w:rsid w:val="006E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27"/>
  </w:style>
  <w:style w:type="character" w:styleId="Hyperlink">
    <w:name w:val="Hyperlink"/>
    <w:basedOn w:val="DefaultParagraphFont"/>
    <w:uiPriority w:val="99"/>
    <w:rsid w:val="00657BDB"/>
    <w:rPr>
      <w:color w:val="0000FF"/>
      <w:u w:val="single"/>
    </w:rPr>
  </w:style>
  <w:style w:type="character" w:styleId="CommentReference">
    <w:name w:val="annotation reference"/>
    <w:basedOn w:val="DefaultParagraphFont"/>
    <w:uiPriority w:val="99"/>
    <w:semiHidden/>
    <w:unhideWhenUsed/>
    <w:rsid w:val="000936D0"/>
    <w:rPr>
      <w:sz w:val="16"/>
      <w:szCs w:val="16"/>
    </w:rPr>
  </w:style>
  <w:style w:type="paragraph" w:styleId="CommentText">
    <w:name w:val="annotation text"/>
    <w:basedOn w:val="Normal"/>
    <w:link w:val="CommentTextChar"/>
    <w:uiPriority w:val="99"/>
    <w:semiHidden/>
    <w:unhideWhenUsed/>
    <w:rsid w:val="000936D0"/>
    <w:pPr>
      <w:spacing w:line="240" w:lineRule="auto"/>
    </w:pPr>
    <w:rPr>
      <w:sz w:val="20"/>
      <w:szCs w:val="20"/>
    </w:rPr>
  </w:style>
  <w:style w:type="character" w:customStyle="1" w:styleId="CommentTextChar">
    <w:name w:val="Comment Text Char"/>
    <w:basedOn w:val="DefaultParagraphFont"/>
    <w:link w:val="CommentText"/>
    <w:uiPriority w:val="99"/>
    <w:semiHidden/>
    <w:rsid w:val="000936D0"/>
    <w:rPr>
      <w:sz w:val="20"/>
      <w:szCs w:val="20"/>
    </w:rPr>
  </w:style>
  <w:style w:type="paragraph" w:styleId="CommentSubject">
    <w:name w:val="annotation subject"/>
    <w:basedOn w:val="CommentText"/>
    <w:next w:val="CommentText"/>
    <w:link w:val="CommentSubjectChar"/>
    <w:uiPriority w:val="99"/>
    <w:semiHidden/>
    <w:unhideWhenUsed/>
    <w:rsid w:val="000936D0"/>
    <w:rPr>
      <w:b/>
      <w:bCs/>
    </w:rPr>
  </w:style>
  <w:style w:type="character" w:customStyle="1" w:styleId="CommentSubjectChar">
    <w:name w:val="Comment Subject Char"/>
    <w:basedOn w:val="CommentTextChar"/>
    <w:link w:val="CommentSubject"/>
    <w:uiPriority w:val="99"/>
    <w:semiHidden/>
    <w:rsid w:val="000936D0"/>
    <w:rPr>
      <w:b/>
      <w:bCs/>
      <w:sz w:val="20"/>
      <w:szCs w:val="20"/>
    </w:rPr>
  </w:style>
  <w:style w:type="paragraph" w:styleId="BalloonText">
    <w:name w:val="Balloon Text"/>
    <w:basedOn w:val="Normal"/>
    <w:link w:val="BalloonTextChar"/>
    <w:uiPriority w:val="99"/>
    <w:semiHidden/>
    <w:unhideWhenUsed/>
    <w:rsid w:val="0009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7573">
      <w:bodyDiv w:val="1"/>
      <w:marLeft w:val="0"/>
      <w:marRight w:val="0"/>
      <w:marTop w:val="0"/>
      <w:marBottom w:val="0"/>
      <w:divBdr>
        <w:top w:val="none" w:sz="0" w:space="0" w:color="auto"/>
        <w:left w:val="none" w:sz="0" w:space="0" w:color="auto"/>
        <w:bottom w:val="none" w:sz="0" w:space="0" w:color="auto"/>
        <w:right w:val="none" w:sz="0" w:space="0" w:color="auto"/>
      </w:divBdr>
    </w:div>
    <w:div w:id="14400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7B7D-843F-4074-848D-F925BD4D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2462</Words>
  <Characters>14040</Characters>
  <Application>Microsoft Office Word</Application>
  <DocSecurity>0</DocSecurity>
  <Lines>117</Lines>
  <Paragraphs>32</Paragraphs>
  <ScaleCrop>false</ScaleCrop>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2014-12-26T21:31:00Z</dcterms:created>
  <dcterms:modified xsi:type="dcterms:W3CDTF">2014-12-26T21:31:00Z</dcterms:modified>
</cp:coreProperties>
</file>