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0B6B2A" w:rsidRPr="0070059A" w:rsidP="000B6B2A">
      <w:pPr>
        <w:spacing w:after="0" w:line="240" w:lineRule="auto"/>
        <w:jc w:val="center"/>
        <w:rPr>
          <w:rFonts w:cs="Times New Roman"/>
          <w:b/>
          <w:szCs w:val="24"/>
        </w:rPr>
      </w:pPr>
      <w:bookmarkStart w:id="0" w:name="_GoBack"/>
      <w:bookmarkEnd w:id="0"/>
      <w:r w:rsidRPr="0070059A">
        <w:rPr>
          <w:rFonts w:cs="Times New Roman"/>
          <w:b/>
          <w:szCs w:val="24"/>
        </w:rPr>
        <w:t>BEFORE</w:t>
      </w:r>
    </w:p>
    <w:p w:rsidR="000B6B2A" w:rsidRPr="0070059A" w:rsidP="000B6B2A">
      <w:pPr>
        <w:spacing w:after="0" w:line="240" w:lineRule="auto"/>
        <w:jc w:val="center"/>
        <w:rPr>
          <w:rFonts w:cs="Times New Roman"/>
          <w:b/>
          <w:szCs w:val="24"/>
        </w:rPr>
      </w:pPr>
      <w:r w:rsidRPr="0070059A">
        <w:rPr>
          <w:rFonts w:cs="Times New Roman"/>
          <w:b/>
          <w:szCs w:val="24"/>
        </w:rPr>
        <w:t>THE PUBLIC UTILITIES COMMISSION OF OHIO</w:t>
      </w:r>
    </w:p>
    <w:p w:rsidR="000B6B2A" w:rsidRPr="0070059A" w:rsidP="000B6B2A">
      <w:pPr>
        <w:spacing w:after="0" w:line="240" w:lineRule="auto"/>
        <w:jc w:val="center"/>
        <w:rPr>
          <w:rFonts w:cs="Times New Roman"/>
          <w:b/>
          <w:szCs w:val="24"/>
        </w:rPr>
      </w:pPr>
    </w:p>
    <w:tbl>
      <w:tblPr>
        <w:tblW w:w="10358" w:type="dxa"/>
        <w:tblLook w:val="01E0"/>
      </w:tblPr>
      <w:tblGrid>
        <w:gridCol w:w="5238"/>
        <w:gridCol w:w="480"/>
        <w:gridCol w:w="4640"/>
      </w:tblGrid>
      <w:tr w:rsidTr="000B6B2A">
        <w:tblPrEx>
          <w:tblW w:w="10358" w:type="dxa"/>
          <w:tblLook w:val="01E0"/>
        </w:tblPrEx>
        <w:trPr>
          <w:trHeight w:val="807"/>
        </w:trPr>
        <w:tc>
          <w:tcPr>
            <w:tcW w:w="5238" w:type="dxa"/>
            <w:shd w:val="clear" w:color="auto" w:fill="auto"/>
          </w:tcPr>
          <w:p w:rsidR="000B6B2A" w:rsidRPr="0070059A" w:rsidP="000B6B2A">
            <w:pPr>
              <w:autoSpaceDE w:val="0"/>
              <w:autoSpaceDN w:val="0"/>
              <w:adjustRightInd w:val="0"/>
              <w:spacing w:after="0" w:line="240" w:lineRule="auto"/>
              <w:rPr>
                <w:rFonts w:cs="Times New Roman"/>
                <w:szCs w:val="24"/>
              </w:rPr>
            </w:pPr>
            <w:r w:rsidRPr="0070059A">
              <w:rPr>
                <w:rFonts w:cs="Times New Roman"/>
                <w:szCs w:val="24"/>
              </w:rPr>
              <w:t xml:space="preserve">In the Matter of the </w:t>
            </w:r>
            <w:r>
              <w:rPr>
                <w:rFonts w:cs="Times New Roman"/>
                <w:szCs w:val="24"/>
              </w:rPr>
              <w:t>A</w:t>
            </w:r>
            <w:r w:rsidRPr="0070059A">
              <w:rPr>
                <w:rFonts w:cs="Times New Roman"/>
                <w:szCs w:val="24"/>
              </w:rPr>
              <w:t>pplication of the Dayton Power and Light Company for an Increase in Electric Distribution Rates.</w:t>
            </w:r>
          </w:p>
          <w:p w:rsidR="000B6B2A" w:rsidRPr="0070059A" w:rsidP="000B6B2A">
            <w:pPr>
              <w:autoSpaceDE w:val="0"/>
              <w:autoSpaceDN w:val="0"/>
              <w:adjustRightInd w:val="0"/>
              <w:spacing w:after="0" w:line="240" w:lineRule="auto"/>
              <w:rPr>
                <w:rFonts w:cs="Times New Roman"/>
                <w:szCs w:val="24"/>
              </w:rPr>
            </w:pPr>
          </w:p>
          <w:p w:rsidR="000B6B2A" w:rsidRPr="0070059A" w:rsidP="000B6B2A">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Approval to Change Accounting Methods.</w:t>
            </w:r>
          </w:p>
          <w:p w:rsidR="000B6B2A" w:rsidRPr="0070059A" w:rsidP="000B6B2A">
            <w:pPr>
              <w:autoSpaceDE w:val="0"/>
              <w:autoSpaceDN w:val="0"/>
              <w:adjustRightInd w:val="0"/>
              <w:spacing w:after="0" w:line="240" w:lineRule="auto"/>
              <w:rPr>
                <w:rFonts w:cs="Times New Roman"/>
                <w:szCs w:val="24"/>
              </w:rPr>
            </w:pPr>
          </w:p>
          <w:p w:rsidR="000B6B2A" w:rsidRPr="0070059A" w:rsidP="000B6B2A">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Tariff Approval.</w:t>
            </w:r>
          </w:p>
        </w:tc>
        <w:tc>
          <w:tcPr>
            <w:tcW w:w="480" w:type="dxa"/>
            <w:shd w:val="clear" w:color="auto" w:fill="auto"/>
          </w:tcPr>
          <w:p w:rsidR="000B6B2A" w:rsidRPr="0070059A" w:rsidP="000B6B2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0B6B2A" w:rsidRPr="0070059A" w:rsidP="000B6B2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0B6B2A" w:rsidRPr="0070059A" w:rsidP="000B6B2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0B6B2A" w:rsidRPr="0070059A" w:rsidP="000B6B2A">
            <w:pPr>
              <w:pStyle w:val="HTMLPreformatted"/>
              <w:rPr>
                <w:rFonts w:ascii="Times New Roman" w:hAnsi="Times New Roman" w:cs="Times New Roman"/>
                <w:sz w:val="24"/>
                <w:szCs w:val="24"/>
              </w:rPr>
            </w:pPr>
          </w:p>
          <w:p w:rsidR="000B6B2A" w:rsidRPr="0070059A" w:rsidP="000B6B2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0B6B2A" w:rsidRPr="0070059A" w:rsidP="000B6B2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0B6B2A" w:rsidRPr="0070059A" w:rsidP="000B6B2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0B6B2A" w:rsidRPr="0070059A" w:rsidP="000B6B2A">
            <w:pPr>
              <w:pStyle w:val="HTMLPreformatted"/>
              <w:rPr>
                <w:rFonts w:ascii="Times New Roman" w:hAnsi="Times New Roman" w:cs="Times New Roman"/>
                <w:sz w:val="24"/>
                <w:szCs w:val="24"/>
              </w:rPr>
            </w:pPr>
          </w:p>
          <w:p w:rsidR="000B6B2A" w:rsidRPr="0070059A" w:rsidP="000B6B2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0B6B2A" w:rsidRPr="0070059A" w:rsidP="000B6B2A">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tc>
        <w:tc>
          <w:tcPr>
            <w:tcW w:w="4640" w:type="dxa"/>
            <w:shd w:val="clear" w:color="auto" w:fill="auto"/>
          </w:tcPr>
          <w:p w:rsidR="000B6B2A" w:rsidRPr="0070059A" w:rsidP="000B6B2A">
            <w:pPr>
              <w:autoSpaceDE w:val="0"/>
              <w:autoSpaceDN w:val="0"/>
              <w:adjustRightInd w:val="0"/>
              <w:spacing w:after="0" w:line="240" w:lineRule="auto"/>
              <w:rPr>
                <w:rFonts w:cs="Times New Roman"/>
                <w:szCs w:val="24"/>
              </w:rPr>
            </w:pPr>
          </w:p>
          <w:p w:rsidR="000B6B2A" w:rsidRPr="0070059A" w:rsidP="000B6B2A">
            <w:pPr>
              <w:autoSpaceDE w:val="0"/>
              <w:autoSpaceDN w:val="0"/>
              <w:adjustRightInd w:val="0"/>
              <w:spacing w:after="0" w:line="240" w:lineRule="auto"/>
              <w:rPr>
                <w:rFonts w:cs="Times New Roman"/>
                <w:szCs w:val="24"/>
              </w:rPr>
            </w:pPr>
            <w:r w:rsidRPr="0070059A">
              <w:rPr>
                <w:rFonts w:cs="Times New Roman"/>
                <w:szCs w:val="24"/>
              </w:rPr>
              <w:t>Case No. 15-1830-EL-AIR</w:t>
            </w:r>
          </w:p>
          <w:p w:rsidR="000B6B2A" w:rsidRPr="0070059A" w:rsidP="000B6B2A">
            <w:pPr>
              <w:autoSpaceDE w:val="0"/>
              <w:autoSpaceDN w:val="0"/>
              <w:adjustRightInd w:val="0"/>
              <w:spacing w:after="0" w:line="240" w:lineRule="auto"/>
              <w:rPr>
                <w:rFonts w:cs="Times New Roman"/>
                <w:szCs w:val="24"/>
              </w:rPr>
            </w:pPr>
          </w:p>
          <w:p w:rsidR="000B6B2A" w:rsidRPr="0070059A" w:rsidP="000B6B2A">
            <w:pPr>
              <w:autoSpaceDE w:val="0"/>
              <w:autoSpaceDN w:val="0"/>
              <w:adjustRightInd w:val="0"/>
              <w:spacing w:after="0" w:line="240" w:lineRule="auto"/>
              <w:rPr>
                <w:rFonts w:cs="Times New Roman"/>
                <w:szCs w:val="24"/>
              </w:rPr>
            </w:pPr>
          </w:p>
          <w:p w:rsidR="000B6B2A" w:rsidRPr="0070059A" w:rsidP="000B6B2A">
            <w:pPr>
              <w:autoSpaceDE w:val="0"/>
              <w:autoSpaceDN w:val="0"/>
              <w:adjustRightInd w:val="0"/>
              <w:spacing w:after="0" w:line="240" w:lineRule="auto"/>
              <w:rPr>
                <w:rFonts w:cs="Times New Roman"/>
                <w:szCs w:val="24"/>
              </w:rPr>
            </w:pPr>
          </w:p>
          <w:p w:rsidR="000B6B2A" w:rsidRPr="0070059A" w:rsidP="000B6B2A">
            <w:pPr>
              <w:autoSpaceDE w:val="0"/>
              <w:autoSpaceDN w:val="0"/>
              <w:adjustRightInd w:val="0"/>
              <w:spacing w:after="0" w:line="240" w:lineRule="auto"/>
              <w:rPr>
                <w:rFonts w:cs="Times New Roman"/>
                <w:szCs w:val="24"/>
              </w:rPr>
            </w:pPr>
            <w:r w:rsidRPr="0070059A">
              <w:rPr>
                <w:rFonts w:cs="Times New Roman"/>
                <w:szCs w:val="24"/>
              </w:rPr>
              <w:t>Case No. 15-1831-EL-AAM</w:t>
            </w:r>
          </w:p>
          <w:p w:rsidR="000B6B2A" w:rsidRPr="0070059A" w:rsidP="000B6B2A">
            <w:pPr>
              <w:spacing w:after="0" w:line="240" w:lineRule="auto"/>
              <w:rPr>
                <w:rFonts w:cs="Times New Roman"/>
                <w:szCs w:val="24"/>
              </w:rPr>
            </w:pPr>
          </w:p>
          <w:p w:rsidR="000B6B2A" w:rsidRPr="0070059A" w:rsidP="000B6B2A">
            <w:pPr>
              <w:spacing w:after="0" w:line="240" w:lineRule="auto"/>
              <w:rPr>
                <w:rFonts w:cs="Times New Roman"/>
                <w:szCs w:val="24"/>
              </w:rPr>
            </w:pPr>
          </w:p>
          <w:p w:rsidR="000B6B2A" w:rsidRPr="0070059A" w:rsidP="000B6B2A">
            <w:pPr>
              <w:spacing w:after="0" w:line="240" w:lineRule="auto"/>
              <w:rPr>
                <w:rFonts w:cs="Times New Roman"/>
                <w:szCs w:val="24"/>
              </w:rPr>
            </w:pPr>
            <w:r w:rsidRPr="0070059A">
              <w:rPr>
                <w:rFonts w:cs="Times New Roman"/>
                <w:szCs w:val="24"/>
              </w:rPr>
              <w:t>Case No. 15-1832-EL-ATA</w:t>
            </w:r>
          </w:p>
          <w:p w:rsidR="000B6B2A" w:rsidRPr="0070059A" w:rsidP="000B6B2A">
            <w:pPr>
              <w:pStyle w:val="HTMLPreformatted"/>
              <w:rPr>
                <w:rFonts w:ascii="Times New Roman" w:hAnsi="Times New Roman" w:cs="Times New Roman"/>
                <w:sz w:val="24"/>
                <w:szCs w:val="24"/>
              </w:rPr>
            </w:pPr>
          </w:p>
        </w:tc>
      </w:tr>
    </w:tbl>
    <w:p w:rsidR="000B6B2A" w:rsidRPr="00B70844" w:rsidP="000B6B2A">
      <w:pPr>
        <w:pBdr>
          <w:bottom w:val="single" w:sz="12" w:space="1" w:color="auto"/>
        </w:pBdr>
        <w:spacing w:before="4"/>
        <w:rPr>
          <w:sz w:val="18"/>
          <w:szCs w:val="18"/>
        </w:rPr>
      </w:pPr>
    </w:p>
    <w:p w:rsidR="000B6B2A" w:rsidRPr="006849DE" w:rsidP="000B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Pr>
          <w:rFonts w:cs="Times New Roman"/>
          <w:b/>
          <w:szCs w:val="24"/>
        </w:rPr>
        <w:t>MEMORANDUM CONTRA THE MARKETERS</w:t>
      </w:r>
      <w:r>
        <w:rPr>
          <w:rFonts w:cs="Times New Roman"/>
          <w:b/>
          <w:szCs w:val="24"/>
        </w:rPr>
        <w:t>’</w:t>
      </w:r>
      <w:r>
        <w:rPr>
          <w:rFonts w:cs="Times New Roman"/>
          <w:b/>
          <w:szCs w:val="24"/>
        </w:rPr>
        <w:t xml:space="preserve"> </w:t>
      </w:r>
      <w:r w:rsidR="005D5896">
        <w:rPr>
          <w:rFonts w:cs="Times New Roman"/>
          <w:b/>
          <w:szCs w:val="24"/>
        </w:rPr>
        <w:br/>
      </w:r>
      <w:r w:rsidRPr="006849DE" w:rsidR="00F236F9">
        <w:rPr>
          <w:rFonts w:cs="Times New Roman"/>
          <w:b/>
          <w:szCs w:val="24"/>
        </w:rPr>
        <w:t>APPLICATION</w:t>
      </w:r>
      <w:r>
        <w:rPr>
          <w:rFonts w:cs="Times New Roman"/>
          <w:b/>
          <w:szCs w:val="24"/>
        </w:rPr>
        <w:t>S</w:t>
      </w:r>
      <w:r w:rsidRPr="006849DE" w:rsidR="00F236F9">
        <w:rPr>
          <w:rFonts w:cs="Times New Roman"/>
          <w:b/>
          <w:szCs w:val="24"/>
        </w:rPr>
        <w:t xml:space="preserve"> FOR REHEARING</w:t>
      </w:r>
    </w:p>
    <w:p w:rsidR="000B6B2A" w:rsidRPr="006849DE" w:rsidP="000B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BY</w:t>
      </w:r>
    </w:p>
    <w:p w:rsidR="000B6B2A" w:rsidRPr="006849DE" w:rsidP="000B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sidRPr="006849DE">
        <w:rPr>
          <w:rFonts w:cs="Times New Roman"/>
          <w:b/>
          <w:szCs w:val="24"/>
        </w:rPr>
        <w:t>THE OFFICE OF THE OHIO CONSUMERS</w:t>
      </w:r>
      <w:r>
        <w:rPr>
          <w:rFonts w:cs="Times New Roman"/>
          <w:b/>
          <w:szCs w:val="24"/>
        </w:rPr>
        <w:t>’</w:t>
      </w:r>
      <w:r w:rsidRPr="006849DE">
        <w:rPr>
          <w:rFonts w:cs="Times New Roman"/>
          <w:b/>
          <w:szCs w:val="24"/>
        </w:rPr>
        <w:t xml:space="preserve"> COUNSEL</w:t>
      </w:r>
    </w:p>
    <w:p w:rsidR="00BC5683" w:rsidRPr="006849DE" w:rsidP="000B6B2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BC5683" w:rsidP="009C046F">
      <w:pPr>
        <w:spacing w:after="0"/>
      </w:pPr>
    </w:p>
    <w:p w:rsidR="00AB4C00" w:rsidP="00BC5683">
      <w:pPr>
        <w:pStyle w:val="Heading1"/>
      </w:pPr>
      <w:r>
        <w:t>I.</w:t>
      </w:r>
      <w:r>
        <w:tab/>
        <w:t>INTRODUCTION</w:t>
      </w:r>
    </w:p>
    <w:p w:rsidR="00E3109A" w:rsidP="00AB4C00">
      <w:pPr>
        <w:spacing w:after="0" w:line="480" w:lineRule="auto"/>
        <w:ind w:firstLine="720"/>
      </w:pPr>
      <w:r>
        <w:t xml:space="preserve">IGS Energy </w:t>
      </w:r>
      <w:r w:rsidR="00AB4C00">
        <w:t>(</w:t>
      </w:r>
      <w:r w:rsidR="000B6B2A">
        <w:t>“</w:t>
      </w:r>
      <w:r w:rsidR="00AB4C00">
        <w:t>IGS</w:t>
      </w:r>
      <w:r w:rsidR="000B6B2A">
        <w:t>”</w:t>
      </w:r>
      <w:r w:rsidR="00AB4C00">
        <w:t xml:space="preserve">) </w:t>
      </w:r>
      <w:r>
        <w:t>and the Retail Energy Supply Association (</w:t>
      </w:r>
      <w:r w:rsidR="000B6B2A">
        <w:t>“</w:t>
      </w:r>
      <w:r w:rsidR="00AB4C00">
        <w:t>RESA</w:t>
      </w:r>
      <w:r w:rsidR="000B6B2A">
        <w:t>”</w:t>
      </w:r>
      <w:r w:rsidR="00AB4C00">
        <w:t>) (</w:t>
      </w:r>
      <w:r>
        <w:t xml:space="preserve">together, the </w:t>
      </w:r>
      <w:r w:rsidR="000B6B2A">
        <w:t>“</w:t>
      </w:r>
      <w:r>
        <w:t>Marketers</w:t>
      </w:r>
      <w:r w:rsidR="000B6B2A">
        <w:t>”</w:t>
      </w:r>
      <w:r>
        <w:t>) want standard service offer (</w:t>
      </w:r>
      <w:r w:rsidR="000B6B2A">
        <w:t>“</w:t>
      </w:r>
      <w:r>
        <w:t>SSO</w:t>
      </w:r>
      <w:r w:rsidR="000B6B2A">
        <w:t>”</w:t>
      </w:r>
      <w:r>
        <w:t>) customers to pay higher</w:t>
      </w:r>
      <w:r w:rsidR="00C83308">
        <w:t xml:space="preserve"> </w:t>
      </w:r>
      <w:r>
        <w:t>rates.</w:t>
      </w:r>
      <w:r w:rsidR="00F546CE">
        <w:t xml:space="preserve"> That is bad.</w:t>
      </w:r>
      <w:r>
        <w:t xml:space="preserve"> Their motivation is </w:t>
      </w:r>
      <w:r w:rsidR="0076295C">
        <w:t>apparent</w:t>
      </w:r>
      <w:r>
        <w:t>: if the SSO is more expensive, customers will have a greater incentive to shop for generation</w:t>
      </w:r>
      <w:r w:rsidR="00D86985">
        <w:t xml:space="preserve"> with Marketers</w:t>
      </w:r>
      <w:r>
        <w:t xml:space="preserve">, thus increasing </w:t>
      </w:r>
      <w:r w:rsidR="00717F80">
        <w:t xml:space="preserve">the </w:t>
      </w:r>
      <w:r>
        <w:t>Marketers</w:t>
      </w:r>
      <w:r w:rsidR="000B6B2A">
        <w:t>’</w:t>
      </w:r>
      <w:r>
        <w:t xml:space="preserve"> profits. </w:t>
      </w:r>
      <w:r w:rsidR="00E7413B">
        <w:t xml:space="preserve">In its Brief, DP&amp;L chastised the Marketers: </w:t>
      </w:r>
      <w:r>
        <w:t xml:space="preserve">  </w:t>
      </w:r>
    </w:p>
    <w:p w:rsidR="00E3109A" w:rsidP="00BC5683">
      <w:pPr>
        <w:spacing w:after="240" w:line="240" w:lineRule="auto"/>
        <w:ind w:left="1440" w:right="720"/>
      </w:pPr>
      <w:r w:rsidRPr="00E3109A">
        <w:t>The marketers</w:t>
      </w:r>
      <w:r w:rsidR="000B6B2A">
        <w:t>’</w:t>
      </w:r>
      <w:r w:rsidRPr="00E3109A">
        <w:t xml:space="preserve"> goal is not to benefit customers; instead, the</w:t>
      </w:r>
      <w:r>
        <w:t xml:space="preserve"> </w:t>
      </w:r>
      <w:r w:rsidRPr="00E3109A">
        <w:t>marketers</w:t>
      </w:r>
      <w:r w:rsidR="000B6B2A">
        <w:t>’</w:t>
      </w:r>
      <w:r w:rsidRPr="00E3109A">
        <w:t xml:space="preserve"> goal is to increase the SSO price so more customers will shop; The fact that the marketers goal is to increase their own profits is further demonstrated by the marketers</w:t>
      </w:r>
      <w:r w:rsidR="000B6B2A">
        <w:t>’</w:t>
      </w:r>
      <w:r w:rsidRPr="00E3109A">
        <w:t xml:space="preserve"> multiple</w:t>
      </w:r>
      <w:r>
        <w:t xml:space="preserve"> </w:t>
      </w:r>
      <w:r w:rsidRPr="00E3109A">
        <w:t>references to their own costs, which are entirely irrelevant to the issues in this case.</w:t>
      </w:r>
      <w:r>
        <w:rPr>
          <w:rStyle w:val="FootnoteReference"/>
        </w:rPr>
        <w:footnoteReference w:id="2"/>
      </w:r>
    </w:p>
    <w:p w:rsidR="00BC5683" w:rsidP="00BC5683">
      <w:pPr>
        <w:spacing w:after="240" w:line="240" w:lineRule="auto"/>
        <w:ind w:left="1440" w:right="720"/>
        <w:sectPr w:rsidSect="000B6B2A">
          <w:footerReference w:type="default" r:id="rId5"/>
          <w:pgSz w:w="12240" w:h="15840"/>
          <w:pgMar w:top="1440" w:right="1800" w:bottom="1440" w:left="1800" w:header="720" w:footer="720" w:gutter="0"/>
          <w:cols w:space="720"/>
          <w:docGrid w:linePitch="360"/>
        </w:sectPr>
      </w:pPr>
    </w:p>
    <w:p w:rsidR="005D5896" w:rsidP="000B6B2A">
      <w:pPr>
        <w:spacing w:after="0" w:line="480" w:lineRule="auto"/>
        <w:ind w:firstLine="720"/>
      </w:pPr>
      <w:r>
        <w:t>To achieve their goal</w:t>
      </w:r>
      <w:r w:rsidR="00E3109A">
        <w:t xml:space="preserve"> for higher profits at the expense of SSO customers</w:t>
      </w:r>
      <w:r>
        <w:t xml:space="preserve">, the Marketers </w:t>
      </w:r>
      <w:r w:rsidR="00717F80">
        <w:t>argue that when DP&amp;L provides distribution service to SSO customers, it is engaging in competitive services</w:t>
      </w:r>
      <w:r w:rsidR="00230986">
        <w:t>,</w:t>
      </w:r>
      <w:r>
        <w:rPr>
          <w:rStyle w:val="FootnoteReference"/>
        </w:rPr>
        <w:footnoteReference w:id="3"/>
      </w:r>
      <w:r w:rsidR="00AB4C00">
        <w:t xml:space="preserve"> </w:t>
      </w:r>
      <w:r w:rsidR="00230986">
        <w:t xml:space="preserve">which </w:t>
      </w:r>
      <w:r w:rsidR="00717F80">
        <w:t>the PUCO does not regulate. This is false.</w:t>
      </w:r>
    </w:p>
    <w:p w:rsidR="00E7413B" w:rsidP="000B6B2A">
      <w:pPr>
        <w:spacing w:after="0" w:line="480" w:lineRule="auto"/>
        <w:ind w:firstLine="720"/>
      </w:pPr>
      <w:r>
        <w:t>I</w:t>
      </w:r>
      <w:r w:rsidR="00717F80">
        <w:t xml:space="preserve">t is crucial to keep </w:t>
      </w:r>
      <w:r w:rsidR="00E25E0B">
        <w:t xml:space="preserve">the </w:t>
      </w:r>
      <w:r w:rsidR="00717F80">
        <w:t>separat</w:t>
      </w:r>
      <w:r w:rsidR="00E25E0B">
        <w:t xml:space="preserve">ion of </w:t>
      </w:r>
      <w:r w:rsidR="00717F80">
        <w:t xml:space="preserve">distribution services (which are regulated in Ohio) and generation services (which are not). But </w:t>
      </w:r>
      <w:r w:rsidR="000F39B2">
        <w:t>there is no commingling of distribution and generation rates in this case</w:t>
      </w:r>
      <w:r w:rsidR="00717F80">
        <w:t>.</w:t>
      </w:r>
      <w:r w:rsidR="00230986">
        <w:t xml:space="preserve"> </w:t>
      </w:r>
      <w:r w:rsidR="000F39B2">
        <w:t xml:space="preserve">DP&amp;L provides distribution service to SSO customers, just as it does to shopping customers. </w:t>
      </w:r>
      <w:r w:rsidR="00D86985">
        <w:t xml:space="preserve">Distribution services do not transform into generation services simply because DP&amp;L is </w:t>
      </w:r>
      <w:r w:rsidR="00E25E0B">
        <w:t xml:space="preserve">offering </w:t>
      </w:r>
      <w:r w:rsidR="00230986">
        <w:t>them</w:t>
      </w:r>
      <w:r w:rsidR="00D86985">
        <w:t xml:space="preserve"> to SSO generation customers.</w:t>
      </w:r>
      <w:r>
        <w:t xml:space="preserve"> </w:t>
      </w:r>
    </w:p>
    <w:p w:rsidR="00BC5683" w:rsidP="00BC5683">
      <w:pPr>
        <w:spacing w:after="0" w:line="480" w:lineRule="auto"/>
        <w:ind w:firstLine="720"/>
      </w:pPr>
      <w:r>
        <w:t xml:space="preserve">The </w:t>
      </w:r>
      <w:r w:rsidR="00FE645D">
        <w:t>PUCO</w:t>
      </w:r>
      <w:r w:rsidR="000B6B2A">
        <w:t>’</w:t>
      </w:r>
      <w:r w:rsidR="00FE645D">
        <w:t xml:space="preserve">s </w:t>
      </w:r>
      <w:r>
        <w:t>Order</w:t>
      </w:r>
      <w:r>
        <w:rPr>
          <w:rStyle w:val="FootnoteReference"/>
        </w:rPr>
        <w:footnoteReference w:id="4"/>
      </w:r>
      <w:r>
        <w:t xml:space="preserve"> protects customers by rejecting the Marketers</w:t>
      </w:r>
      <w:r w:rsidR="000B6B2A">
        <w:t>’</w:t>
      </w:r>
      <w:r>
        <w:t xml:space="preserve"> proposal to artificially increase charges to SSO customers. The PUCO should reject the Marketers</w:t>
      </w:r>
      <w:r w:rsidR="000B6B2A">
        <w:t>’</w:t>
      </w:r>
      <w:r>
        <w:t xml:space="preserve"> applications for rehearing. </w:t>
      </w:r>
    </w:p>
    <w:p w:rsidR="00717F80" w:rsidRPr="004804AD" w:rsidP="00BC5683">
      <w:pPr>
        <w:pStyle w:val="Heading1"/>
      </w:pPr>
      <w:r>
        <w:t>I</w:t>
      </w:r>
      <w:r w:rsidR="00AB4C00">
        <w:t>I</w:t>
      </w:r>
      <w:r>
        <w:t>.</w:t>
      </w:r>
      <w:r>
        <w:tab/>
        <w:t>RECOMMENDATIONS</w:t>
      </w:r>
    </w:p>
    <w:p w:rsidR="00072AC3" w:rsidRPr="00061E42" w:rsidP="00BC5683">
      <w:pPr>
        <w:pStyle w:val="Heading2"/>
      </w:pPr>
      <w:r>
        <w:t>A.</w:t>
      </w:r>
      <w:r>
        <w:tab/>
      </w:r>
      <w:bookmarkStart w:id="1" w:name="_Hlk529195384"/>
      <w:r w:rsidRPr="00072AC3">
        <w:t xml:space="preserve">The Marketers have failed to show that the Settlement – which was negotiated and signed by diverse parties (including OCC) </w:t>
      </w:r>
      <w:r w:rsidR="000B6B2A">
        <w:t>“</w:t>
      </w:r>
      <w:r w:rsidRPr="00072AC3">
        <w:t xml:space="preserve">who recommend that the Commission approve and </w:t>
      </w:r>
      <w:r w:rsidRPr="00061E42">
        <w:t xml:space="preserve">adopt this Stipulation without modification to resolve </w:t>
      </w:r>
      <w:r w:rsidRPr="00072AC3">
        <w:rPr>
          <w:i/>
          <w:u w:val="single"/>
        </w:rPr>
        <w:t>all</w:t>
      </w:r>
      <w:r w:rsidRPr="00061E42">
        <w:t xml:space="preserve"> of the issues</w:t>
      </w:r>
      <w:r w:rsidR="000B6B2A">
        <w:t>”</w:t>
      </w:r>
      <w:r w:rsidRPr="00061E42">
        <w:t xml:space="preserve"> </w:t>
      </w:r>
      <w:r w:rsidRPr="00072AC3">
        <w:t>– violates any of the PUCO</w:t>
      </w:r>
      <w:r w:rsidR="000B6B2A">
        <w:t>’</w:t>
      </w:r>
      <w:r w:rsidRPr="00072AC3">
        <w:t>s standards warranting a modification of the Settlement</w:t>
      </w:r>
      <w:r w:rsidR="000B6B2A">
        <w:t>’</w:t>
      </w:r>
      <w:r w:rsidRPr="00072AC3">
        <w:t>s terms. (Stipulation at 1 (emphasis added)</w:t>
      </w:r>
      <w:r w:rsidR="00AB4C00">
        <w:t>.</w:t>
      </w:r>
      <w:r w:rsidRPr="00072AC3">
        <w:t>)</w:t>
      </w:r>
      <w:bookmarkEnd w:id="1"/>
      <w:r w:rsidRPr="00072AC3">
        <w:t xml:space="preserve">  Indeed, the Marketers</w:t>
      </w:r>
      <w:r w:rsidR="000B6B2A">
        <w:t>’</w:t>
      </w:r>
      <w:r w:rsidRPr="00072AC3">
        <w:t xml:space="preserve"> proposal for a modification would threaten the Settlement. (Stipulation at 16-17</w:t>
      </w:r>
      <w:r w:rsidR="00AB4C00">
        <w:t>.</w:t>
      </w:r>
      <w:r w:rsidRPr="00072AC3">
        <w:t xml:space="preserve">)  The PUCO should adopt the Settlement </w:t>
      </w:r>
      <w:r w:rsidR="000B6B2A">
        <w:t>“</w:t>
      </w:r>
      <w:r w:rsidRPr="00072AC3">
        <w:t>in its entirety and without material modification,</w:t>
      </w:r>
      <w:r w:rsidR="000B6B2A">
        <w:t>”</w:t>
      </w:r>
      <w:r w:rsidRPr="00072AC3">
        <w:t xml:space="preserve"> as the Settlement signatories agreed. (Stipulation at p. 16</w:t>
      </w:r>
      <w:r w:rsidR="00AB4C00">
        <w:t>.</w:t>
      </w:r>
      <w:r w:rsidRPr="00072AC3">
        <w:t>)</w:t>
      </w:r>
    </w:p>
    <w:p w:rsidR="00072AC3" w:rsidP="00AB4C00">
      <w:pPr>
        <w:keepNext/>
        <w:keepLines/>
        <w:spacing w:after="0" w:line="480" w:lineRule="auto"/>
        <w:ind w:firstLine="720"/>
      </w:pPr>
      <w:r w:rsidRPr="00AB4C00">
        <w:t xml:space="preserve">The Marketers have failed to show that the Settlement – which was negotiated and signed by diverse parties (including OCC) </w:t>
      </w:r>
      <w:r w:rsidR="000B6B2A">
        <w:t>“</w:t>
      </w:r>
      <w:r w:rsidRPr="00AB4C00">
        <w:t xml:space="preserve">who recommend that the Commission approve and adopt this Stipulation without modification to resolve </w:t>
      </w:r>
      <w:r w:rsidRPr="00AB4C00">
        <w:rPr>
          <w:i/>
          <w:u w:val="single"/>
        </w:rPr>
        <w:t>all</w:t>
      </w:r>
      <w:r w:rsidRPr="00AB4C00">
        <w:t xml:space="preserve"> of the issues</w:t>
      </w:r>
      <w:r w:rsidR="000B6B2A">
        <w:t>”</w:t>
      </w:r>
      <w:r w:rsidRPr="00AB4C00">
        <w:t xml:space="preserve"> – violates any of the PUCO</w:t>
      </w:r>
      <w:r w:rsidR="000B6B2A">
        <w:t>’</w:t>
      </w:r>
      <w:r w:rsidRPr="00AB4C00">
        <w:t>s standards warranting a modification of the Settlement</w:t>
      </w:r>
      <w:r w:rsidR="000B6B2A">
        <w:t>’</w:t>
      </w:r>
      <w:r w:rsidRPr="00AB4C00">
        <w:t>s terms.</w:t>
      </w:r>
      <w:r>
        <w:rPr>
          <w:rStyle w:val="FootnoteReference"/>
        </w:rPr>
        <w:footnoteReference w:id="5"/>
      </w:r>
      <w:r w:rsidRPr="00AB4C00">
        <w:t xml:space="preserve"> </w:t>
      </w:r>
      <w:r>
        <w:t>The PUCO</w:t>
      </w:r>
      <w:r w:rsidR="000B6B2A">
        <w:t>’</w:t>
      </w:r>
      <w:r>
        <w:t>s settlement standards</w:t>
      </w:r>
      <w:r w:rsidR="00A532F5">
        <w:t xml:space="preserve"> are</w:t>
      </w:r>
      <w:r w:rsidR="00B8266C">
        <w:t>: if this Settlement is the product of serious bargaining among capable, knowledgeable parties; if th</w:t>
      </w:r>
      <w:r w:rsidR="00A532F5">
        <w:t>is</w:t>
      </w:r>
      <w:r w:rsidR="00B8266C">
        <w:t xml:space="preserve"> Settlement</w:t>
      </w:r>
      <w:r w:rsidR="00737868">
        <w:t xml:space="preserve"> as a package</w:t>
      </w:r>
      <w:r w:rsidR="00B8266C">
        <w:t xml:space="preserve"> benefits customers </w:t>
      </w:r>
      <w:r w:rsidR="00A532F5">
        <w:t>and the public interest, and if this Settlement violates any important regulatory principle or practice.</w:t>
      </w:r>
      <w:r>
        <w:rPr>
          <w:rStyle w:val="FootnoteReference"/>
        </w:rPr>
        <w:footnoteReference w:id="6"/>
      </w:r>
      <w:r w:rsidR="00737868">
        <w:t xml:space="preserve"> </w:t>
      </w:r>
      <w:r w:rsidR="00A532F5">
        <w:t xml:space="preserve"> The PUCO will also consider if the signatories represent diverse interests.  </w:t>
      </w:r>
    </w:p>
    <w:p w:rsidR="009C046F" w:rsidP="006B007E">
      <w:pPr>
        <w:keepNext/>
        <w:keepLines/>
        <w:spacing w:after="0" w:line="480" w:lineRule="auto"/>
        <w:ind w:firstLine="720"/>
        <w:sectPr w:rsidSect="000B6B2A">
          <w:footerReference w:type="default" r:id="rId6"/>
          <w:pgSz w:w="12240" w:h="15840"/>
          <w:pgMar w:top="1440" w:right="1800" w:bottom="1440" w:left="1800" w:header="720" w:footer="720" w:gutter="0"/>
          <w:cols w:space="720"/>
          <w:docGrid w:linePitch="360"/>
        </w:sectPr>
      </w:pPr>
      <w:r>
        <w:t>As OCC addressed in its Brief, the PUCO</w:t>
      </w:r>
      <w:r w:rsidR="000B6B2A">
        <w:t>’</w:t>
      </w:r>
      <w:r>
        <w:t>s standards are met for adopting this Settlement. And, for the additional reasons stated below, the Marketers have failed to show that the Settlement standards have been violated. The PUCO should deny the Marketers</w:t>
      </w:r>
      <w:r w:rsidR="000B6B2A">
        <w:t>’</w:t>
      </w:r>
      <w:r>
        <w:t xml:space="preserve"> applications for rehearing</w:t>
      </w:r>
      <w:r w:rsidR="00294540">
        <w:t xml:space="preserve"> and protect and preserve the Settlement from their proposed material modification</w:t>
      </w:r>
      <w:r>
        <w:t>.</w:t>
      </w:r>
    </w:p>
    <w:p w:rsidR="00717F80" w:rsidRPr="004804AD" w:rsidP="00BC5683">
      <w:pPr>
        <w:pStyle w:val="Heading2"/>
      </w:pPr>
      <w:r>
        <w:t>B.</w:t>
      </w:r>
      <w:r>
        <w:tab/>
      </w:r>
      <w:r w:rsidR="003A0EA1">
        <w:t xml:space="preserve">The </w:t>
      </w:r>
      <w:r w:rsidR="00566680">
        <w:t>PUCO</w:t>
      </w:r>
      <w:r w:rsidR="000B6B2A">
        <w:t>’</w:t>
      </w:r>
      <w:r w:rsidR="00566680">
        <w:t xml:space="preserve">s </w:t>
      </w:r>
      <w:r w:rsidR="003A0EA1">
        <w:t xml:space="preserve">Order does not result in </w:t>
      </w:r>
      <w:r w:rsidR="009233EE">
        <w:t>unlawful</w:t>
      </w:r>
      <w:r w:rsidR="003A0EA1">
        <w:t xml:space="preserve"> regulation of competitive services.</w:t>
      </w:r>
    </w:p>
    <w:p w:rsidR="00C83308" w:rsidP="000B6B2A">
      <w:pPr>
        <w:spacing w:after="0" w:line="480" w:lineRule="auto"/>
        <w:ind w:firstLine="720"/>
      </w:pPr>
      <w:r>
        <w:t>The Marketers</w:t>
      </w:r>
      <w:r w:rsidR="000B6B2A">
        <w:t>’</w:t>
      </w:r>
      <w:r>
        <w:t xml:space="preserve"> opposition to the Order relies on the false claim that the Order will result in the </w:t>
      </w:r>
      <w:r w:rsidR="009233EE">
        <w:t xml:space="preserve">unlawful </w:t>
      </w:r>
      <w:r>
        <w:t xml:space="preserve">regulation of competitive services. </w:t>
      </w:r>
      <w:r>
        <w:t xml:space="preserve">In its </w:t>
      </w:r>
      <w:r w:rsidR="00294366">
        <w:t>Application for Rehearing</w:t>
      </w:r>
      <w:r>
        <w:t>, IGS makes the following arguments:</w:t>
      </w:r>
      <w:r w:rsidR="006B007E">
        <w:t xml:space="preserve"> </w:t>
      </w:r>
      <w:r w:rsidR="000B6B2A">
        <w:t>“</w:t>
      </w:r>
      <w:r w:rsidR="003C51C9">
        <w:t>The Order is unlawful and unreasonable inasmuch as authorized [sic] DP&amp;L to recover the cost of competitive retail electric service through non-competitive service rates.</w:t>
      </w:r>
      <w:r w:rsidR="000B6B2A">
        <w:t>”</w:t>
      </w:r>
      <w:r>
        <w:rPr>
          <w:rStyle w:val="FootnoteReference"/>
        </w:rPr>
        <w:footnoteReference w:id="7"/>
      </w:r>
      <w:r w:rsidR="00CB2784">
        <w:t xml:space="preserve"> </w:t>
      </w:r>
      <w:r w:rsidR="000B6B2A">
        <w:t>“</w:t>
      </w:r>
      <w:r w:rsidR="00CB2784">
        <w:t>The Order should have allocated all competitive retail electric service costs to the SSO</w:t>
      </w:r>
      <w:r w:rsidR="009F64CE">
        <w:t>,</w:t>
      </w:r>
      <w:r w:rsidR="000B6B2A">
        <w:t>”</w:t>
      </w:r>
      <w:r>
        <w:rPr>
          <w:rStyle w:val="FootnoteReference"/>
        </w:rPr>
        <w:footnoteReference w:id="8"/>
      </w:r>
      <w:r>
        <w:t xml:space="preserve"> and</w:t>
      </w:r>
      <w:r w:rsidR="00CB2784">
        <w:t xml:space="preserve"> </w:t>
      </w:r>
      <w:r w:rsidR="000B6B2A">
        <w:t>“</w:t>
      </w:r>
      <w:r w:rsidR="00CB2784">
        <w:t>The Order</w:t>
      </w:r>
      <w:r w:rsidR="000B6B2A">
        <w:t>’</w:t>
      </w:r>
      <w:r w:rsidR="00CB2784">
        <w:t>s reasoning circumvents the statutory limitation against regulation of competitive retail electric services under Chapter 4909</w:t>
      </w:r>
      <w:r w:rsidR="000B6B2A">
        <w:t>.”</w:t>
      </w:r>
      <w:r>
        <w:rPr>
          <w:rStyle w:val="FootnoteReference"/>
        </w:rPr>
        <w:footnoteReference w:id="9"/>
      </w:r>
      <w:r>
        <w:t xml:space="preserve"> Th</w:t>
      </w:r>
      <w:r w:rsidR="00906086">
        <w:t>ese</w:t>
      </w:r>
      <w:r>
        <w:t xml:space="preserve"> argument</w:t>
      </w:r>
      <w:r w:rsidR="00906086">
        <w:t>s</w:t>
      </w:r>
      <w:r>
        <w:t xml:space="preserve"> </w:t>
      </w:r>
      <w:r>
        <w:t xml:space="preserve">all </w:t>
      </w:r>
      <w:r>
        <w:t>fail because nothing in the Order constitutes regulation of competitive services.</w:t>
      </w:r>
      <w:r w:rsidR="00E25E0B">
        <w:t xml:space="preserve">  </w:t>
      </w:r>
    </w:p>
    <w:p w:rsidR="00474A21" w:rsidP="000B6B2A">
      <w:pPr>
        <w:spacing w:after="0" w:line="480" w:lineRule="auto"/>
        <w:ind w:firstLine="720"/>
      </w:pPr>
      <w:r>
        <w:t xml:space="preserve"> </w:t>
      </w:r>
      <w:r>
        <w:t xml:space="preserve">The law identifies the following competitive services: </w:t>
      </w:r>
      <w:r w:rsidR="000B6B2A">
        <w:t>“</w:t>
      </w:r>
      <w:r>
        <w:t>retail electric generation, aggregation, power marketing, and power brokerage services supplied to consumers within the certified territory of an electric utility.</w:t>
      </w:r>
      <w:r w:rsidR="000B6B2A">
        <w:t>”</w:t>
      </w:r>
      <w:r>
        <w:rPr>
          <w:rStyle w:val="FootnoteReference"/>
        </w:rPr>
        <w:footnoteReference w:id="10"/>
      </w:r>
      <w:r>
        <w:t xml:space="preserve"> </w:t>
      </w:r>
      <w:r w:rsidR="009233EE">
        <w:t>A</w:t>
      </w:r>
      <w:r>
        <w:t xml:space="preserve">t no point in their applications for rehearing do the Marketers refer to this definition or otherwise identify how the Order would result in the regulation of retail electric generation, aggregation, power marketing, or power brokerage services. Instead, they rely on vague references to </w:t>
      </w:r>
      <w:r w:rsidR="000B6B2A">
        <w:t>“</w:t>
      </w:r>
      <w:r>
        <w:t>costs associated with the SSO.</w:t>
      </w:r>
      <w:r w:rsidR="000B6B2A">
        <w:t>”</w:t>
      </w:r>
      <w:r>
        <w:rPr>
          <w:rStyle w:val="FootnoteReference"/>
        </w:rPr>
        <w:footnoteReference w:id="11"/>
      </w:r>
      <w:r>
        <w:t xml:space="preserve"> </w:t>
      </w:r>
    </w:p>
    <w:p w:rsidR="00474A21" w:rsidRPr="00474A21" w:rsidP="000B6B2A">
      <w:pPr>
        <w:spacing w:after="0" w:line="480" w:lineRule="auto"/>
        <w:ind w:firstLine="720"/>
      </w:pPr>
      <w:r>
        <w:t xml:space="preserve">Distribution utilities in Ohio necessarily </w:t>
      </w:r>
      <w:r>
        <w:t xml:space="preserve">incur </w:t>
      </w:r>
      <w:r w:rsidRPr="00474A21">
        <w:t>distribution</w:t>
      </w:r>
      <w:r>
        <w:t xml:space="preserve"> costs that are </w:t>
      </w:r>
      <w:r w:rsidR="000B6B2A">
        <w:t>“</w:t>
      </w:r>
      <w:r>
        <w:t>associated with the SSO.</w:t>
      </w:r>
      <w:r w:rsidR="000B6B2A">
        <w:t>”</w:t>
      </w:r>
      <w:r>
        <w:t xml:space="preserve"> After all, 100% of SSO customers are also distribution customers, and DP&amp;L must provide distribution service to those customers, just as it provides distribution service to </w:t>
      </w:r>
      <w:r w:rsidR="00C83308">
        <w:t xml:space="preserve">100% of </w:t>
      </w:r>
      <w:r>
        <w:t>shopping customers. The mere provision of distribution services to SSO customers does not transform those services into competitive services</w:t>
      </w:r>
      <w:r>
        <w:t xml:space="preserve">. But </w:t>
      </w:r>
      <w:r>
        <w:t>that is essentially what the Marketers are arguing here.</w:t>
      </w:r>
    </w:p>
    <w:p w:rsidR="00B3789E" w:rsidP="000B6B2A">
      <w:pPr>
        <w:spacing w:after="0" w:line="480" w:lineRule="auto"/>
        <w:ind w:firstLine="720"/>
      </w:pPr>
      <w:r>
        <w:t>T</w:t>
      </w:r>
      <w:r>
        <w:t>he Marketers</w:t>
      </w:r>
      <w:r w:rsidR="000B6B2A">
        <w:t>’</w:t>
      </w:r>
      <w:r>
        <w:t xml:space="preserve"> own witness contradicts th</w:t>
      </w:r>
      <w:r w:rsidR="00AA5B08">
        <w:t>e</w:t>
      </w:r>
      <w:r w:rsidR="006B007E">
        <w:t>ir</w:t>
      </w:r>
      <w:r w:rsidR="00AA5B08">
        <w:t xml:space="preserve"> </w:t>
      </w:r>
      <w:r>
        <w:t>theory. Edward Hess, testifying on behalf of the Marketers, identified various costs that he would reallocate exclusively to SSO customers.</w:t>
      </w:r>
      <w:r>
        <w:rPr>
          <w:rStyle w:val="FootnoteReference"/>
        </w:rPr>
        <w:footnoteReference w:id="12"/>
      </w:r>
      <w:r w:rsidR="009233EE">
        <w:t xml:space="preserve"> </w:t>
      </w:r>
      <w:r>
        <w:t>He pointed to things like call center costs, printing and postage, accounting infrastructure, IT employees and software, administrative and general salaries, legal and regulatory costs, office space, regulatory assessments, and taxes.</w:t>
      </w:r>
      <w:r>
        <w:rPr>
          <w:rStyle w:val="FootnoteReference"/>
        </w:rPr>
        <w:footnoteReference w:id="13"/>
      </w:r>
      <w:r w:rsidR="009233EE">
        <w:t xml:space="preserve"> </w:t>
      </w:r>
      <w:r w:rsidR="00230986">
        <w:t>But these are all typical distribution functions</w:t>
      </w:r>
      <w:r w:rsidR="00E25E0B">
        <w:t xml:space="preserve"> provided to all distribution customers including both SSO customers and shopping customers</w:t>
      </w:r>
      <w:r w:rsidR="00230986">
        <w:t xml:space="preserve">. Indeed, </w:t>
      </w:r>
      <w:r>
        <w:t xml:space="preserve">Mr. Hess identified these categories of costs by looking at applicable </w:t>
      </w:r>
      <w:r w:rsidRPr="00230986">
        <w:t>distribution</w:t>
      </w:r>
      <w:r>
        <w:t>-related FERC accounts.</w:t>
      </w:r>
      <w:r>
        <w:rPr>
          <w:rStyle w:val="FootnoteReference"/>
        </w:rPr>
        <w:footnoteReference w:id="14"/>
      </w:r>
      <w:r w:rsidR="009233EE">
        <w:t xml:space="preserve"> </w:t>
      </w:r>
      <w:r>
        <w:t xml:space="preserve">Tellingly, Mr. Hess did not testify that these expenses should be </w:t>
      </w:r>
      <w:r w:rsidR="00230986">
        <w:t xml:space="preserve">excluded from those FERC accounts or </w:t>
      </w:r>
      <w:r>
        <w:t>included in DP&amp;L</w:t>
      </w:r>
      <w:r w:rsidR="000B6B2A">
        <w:t>’</w:t>
      </w:r>
      <w:r>
        <w:t>s electric security plan (which generally sets the terms of DP&amp;L</w:t>
      </w:r>
      <w:r w:rsidR="000B6B2A">
        <w:t>’</w:t>
      </w:r>
      <w:r>
        <w:t>s standard service offer).</w:t>
      </w:r>
    </w:p>
    <w:p w:rsidR="003A0EA1" w:rsidP="000B6B2A">
      <w:pPr>
        <w:spacing w:after="0" w:line="480" w:lineRule="auto"/>
        <w:ind w:firstLine="720"/>
      </w:pPr>
      <w:r>
        <w:t>If Mr. Hess believed that the costs in question were costs for competitive services, then he would have testified that it was improper to include them in distribution-related FERC accounts in the first place. But he did not challenge DP&amp;L</w:t>
      </w:r>
      <w:r w:rsidR="000B6B2A">
        <w:t>’</w:t>
      </w:r>
      <w:r>
        <w:t>s inclusion of these costs in distribution accounts. This fatally undermines the Marketers</w:t>
      </w:r>
      <w:r w:rsidR="000B6B2A">
        <w:t>’</w:t>
      </w:r>
      <w:r>
        <w:t xml:space="preserve"> argument that the Order results in competitive costs being included in non-competitive distribution rates.</w:t>
      </w:r>
    </w:p>
    <w:p w:rsidR="00B3789E" w:rsidRPr="00B3789E" w:rsidP="000B6B2A">
      <w:pPr>
        <w:spacing w:after="0" w:line="480" w:lineRule="auto"/>
        <w:ind w:firstLine="720"/>
      </w:pPr>
      <w:r>
        <w:t xml:space="preserve">The Marketers are right that the PUCO should not charge customers for competitive services through monopoly distribution rates. But </w:t>
      </w:r>
      <w:r w:rsidR="008E2CB6">
        <w:t xml:space="preserve">the distribution rates in the approved Settlement do not include </w:t>
      </w:r>
      <w:r w:rsidR="00554031">
        <w:t xml:space="preserve">any </w:t>
      </w:r>
      <w:r w:rsidR="008E2CB6">
        <w:t xml:space="preserve">charges for competitive services. The Order complies with the law by charging </w:t>
      </w:r>
      <w:r w:rsidR="00554031">
        <w:t xml:space="preserve">all distribution </w:t>
      </w:r>
      <w:r w:rsidR="008E2CB6">
        <w:t xml:space="preserve">customers </w:t>
      </w:r>
      <w:r w:rsidR="00554031">
        <w:t xml:space="preserve">(SSO customers and shopping customers) </w:t>
      </w:r>
      <w:r w:rsidR="008E2CB6">
        <w:t>only for distribution-related services through base distribution rates.</w:t>
      </w:r>
    </w:p>
    <w:p w:rsidR="004804AD" w:rsidRPr="008E2CB6" w:rsidP="00BC5683">
      <w:pPr>
        <w:pStyle w:val="Heading2"/>
      </w:pPr>
      <w:r>
        <w:t>C</w:t>
      </w:r>
      <w:r w:rsidR="008E2CB6">
        <w:t>.</w:t>
      </w:r>
      <w:r w:rsidR="008E2CB6">
        <w:tab/>
      </w:r>
      <w:r w:rsidR="00F129B5">
        <w:t xml:space="preserve">The </w:t>
      </w:r>
      <w:r w:rsidR="009F64CE">
        <w:t>PUCO</w:t>
      </w:r>
      <w:r w:rsidR="000B6B2A">
        <w:t>’</w:t>
      </w:r>
      <w:r w:rsidR="009F64CE">
        <w:t xml:space="preserve">s </w:t>
      </w:r>
      <w:r w:rsidR="00F129B5">
        <w:t xml:space="preserve">Order does not violate </w:t>
      </w:r>
      <w:r w:rsidR="00F236F9">
        <w:t xml:space="preserve">R.C. 4928.02 because there is no </w:t>
      </w:r>
      <w:r w:rsidR="00C83308">
        <w:t xml:space="preserve">anti-competitive </w:t>
      </w:r>
      <w:r w:rsidR="00F236F9">
        <w:t>subsidy to SSO customers.</w:t>
      </w:r>
    </w:p>
    <w:p w:rsidR="008E2CB6" w:rsidP="000B6B2A">
      <w:pPr>
        <w:spacing w:after="0" w:line="480" w:lineRule="auto"/>
        <w:ind w:firstLine="720"/>
      </w:pPr>
      <w:r>
        <w:t>The PUCO should reject the Marketers</w:t>
      </w:r>
      <w:r w:rsidR="000B6B2A">
        <w:t>’</w:t>
      </w:r>
      <w:r>
        <w:t xml:space="preserve"> argument that the Settlement violates state policy found in R.C. 4928.02.</w:t>
      </w:r>
      <w:r>
        <w:rPr>
          <w:rStyle w:val="FootnoteReference"/>
        </w:rPr>
        <w:footnoteReference w:id="15"/>
      </w:r>
      <w:r>
        <w:t xml:space="preserve"> In support of th</w:t>
      </w:r>
      <w:r w:rsidR="00230986">
        <w:t>is</w:t>
      </w:r>
      <w:r>
        <w:t xml:space="preserve"> argument, the Marketers rely on </w:t>
      </w:r>
      <w:r>
        <w:rPr>
          <w:i/>
        </w:rPr>
        <w:t>Elyria Foundry Co. v. PUCO</w:t>
      </w:r>
      <w:r>
        <w:t>,</w:t>
      </w:r>
      <w:r w:rsidR="00230986">
        <w:t xml:space="preserve"> 14 Ohio St. 3d 305 (2007),</w:t>
      </w:r>
      <w:r>
        <w:t xml:space="preserve"> where </w:t>
      </w:r>
      <w:r w:rsidR="00122C24">
        <w:t>the Ohio Supreme Court ruled that the PUCO violated R.C. 4928.02 by allowing FirstEnergy to charge distribution customers for generation costs.</w:t>
      </w:r>
    </w:p>
    <w:p w:rsidR="00131BB4" w:rsidRPr="00131BB4" w:rsidP="000B6B2A">
      <w:pPr>
        <w:spacing w:after="0" w:line="480" w:lineRule="auto"/>
        <w:ind w:firstLine="720"/>
      </w:pPr>
      <w:r>
        <w:t xml:space="preserve">But the costs in </w:t>
      </w:r>
      <w:r>
        <w:rPr>
          <w:i/>
        </w:rPr>
        <w:t>Elyria</w:t>
      </w:r>
      <w:r>
        <w:t xml:space="preserve"> were not the same as the costs here. In </w:t>
      </w:r>
      <w:r>
        <w:rPr>
          <w:i/>
        </w:rPr>
        <w:t>Elyria</w:t>
      </w:r>
      <w:r>
        <w:t xml:space="preserve">, the PUCO authorized FirstEnergy to charge distribution customers for fuel costs—costs </w:t>
      </w:r>
      <w:r w:rsidR="00230986">
        <w:t>that</w:t>
      </w:r>
      <w:r>
        <w:t xml:space="preserve"> are unambiguously generation costs.</w:t>
      </w:r>
      <w:r>
        <w:rPr>
          <w:rStyle w:val="FootnoteReference"/>
        </w:rPr>
        <w:footnoteReference w:id="16"/>
      </w:r>
      <w:r>
        <w:t xml:space="preserve"> </w:t>
      </w:r>
      <w:r w:rsidR="00C83308">
        <w:t>Here</w:t>
      </w:r>
      <w:r w:rsidR="00554031">
        <w:t xml:space="preserve">, </w:t>
      </w:r>
      <w:r w:rsidR="00230986">
        <w:t>DP&amp;L is not seeking to charge distribution customers for SSO fuel costs or any other generation</w:t>
      </w:r>
      <w:r w:rsidR="00C83308">
        <w:t>-related</w:t>
      </w:r>
      <w:r w:rsidR="00230986">
        <w:t xml:space="preserve"> costs. </w:t>
      </w:r>
      <w:r>
        <w:t>As described above, the costs in question are typical costs that a distribution utility incurs to provide distribution service</w:t>
      </w:r>
      <w:r w:rsidR="006B007E">
        <w:t>.</w:t>
      </w:r>
      <w:r>
        <w:rPr>
          <w:rStyle w:val="FootnoteReference"/>
        </w:rPr>
        <w:footnoteReference w:id="17"/>
      </w:r>
    </w:p>
    <w:p w:rsidR="00230986" w:rsidP="000B6B2A">
      <w:pPr>
        <w:spacing w:after="0" w:line="480" w:lineRule="auto"/>
        <w:ind w:firstLine="720"/>
      </w:pPr>
      <w:r>
        <w:t>DP&amp;L</w:t>
      </w:r>
      <w:r w:rsidR="000B6B2A">
        <w:t>’</w:t>
      </w:r>
      <w:r>
        <w:t>s SSO customers pay their generation costs through a separate generation rider. A typical SSO customer using 1,000 kWh per month pays $55.62 per month in generation charges alone through that rider.</w:t>
      </w:r>
      <w:r>
        <w:rPr>
          <w:rStyle w:val="FootnoteReference"/>
        </w:rPr>
        <w:footnoteReference w:id="18"/>
      </w:r>
      <w:r>
        <w:t xml:space="preserve"> And the rider is bypassable, meaning that those generation charges are paid exclusively by SSO customers, not shopping customers.</w:t>
      </w:r>
    </w:p>
    <w:p w:rsidR="00CB2784" w:rsidP="00230986">
      <w:pPr>
        <w:spacing w:after="0" w:line="480" w:lineRule="auto"/>
        <w:ind w:firstLine="720"/>
      </w:pPr>
      <w:r>
        <w:t xml:space="preserve">Whereas in </w:t>
      </w:r>
      <w:r>
        <w:rPr>
          <w:i/>
        </w:rPr>
        <w:t>Elyria</w:t>
      </w:r>
      <w:r>
        <w:t xml:space="preserve">, customers </w:t>
      </w:r>
      <w:r w:rsidR="00131BB4">
        <w:t>would have been</w:t>
      </w:r>
      <w:r>
        <w:t xml:space="preserve"> charged generation costs through distribution rates, here, SSO customers pay for their generation costs </w:t>
      </w:r>
      <w:r w:rsidR="00131BB4">
        <w:t xml:space="preserve">exclusively </w:t>
      </w:r>
      <w:r>
        <w:t xml:space="preserve">through a generation rider. </w:t>
      </w:r>
      <w:r>
        <w:t>Thus, the Supreme Court</w:t>
      </w:r>
      <w:r w:rsidR="000B6B2A">
        <w:t>’</w:t>
      </w:r>
      <w:r>
        <w:t xml:space="preserve">s ruling in </w:t>
      </w:r>
      <w:r>
        <w:rPr>
          <w:i/>
        </w:rPr>
        <w:t>Elyria</w:t>
      </w:r>
      <w:r>
        <w:t xml:space="preserve"> does not extend to this case</w:t>
      </w:r>
      <w:r w:rsidR="001003AC">
        <w:t>.</w:t>
      </w:r>
      <w:r>
        <w:t xml:space="preserve"> </w:t>
      </w:r>
      <w:r w:rsidR="00131BB4">
        <w:t>T</w:t>
      </w:r>
      <w:r w:rsidR="001003AC">
        <w:t xml:space="preserve">here is no subsidy, and thus no violation </w:t>
      </w:r>
      <w:r>
        <w:t>of state policy against anticompetitive subsidies.</w:t>
      </w:r>
    </w:p>
    <w:p w:rsidR="00CB2784" w:rsidRPr="00CB2784" w:rsidP="00BC5683">
      <w:pPr>
        <w:pStyle w:val="Heading2"/>
      </w:pPr>
      <w:r>
        <w:t>D</w:t>
      </w:r>
      <w:r>
        <w:t>.</w:t>
      </w:r>
      <w:r>
        <w:tab/>
      </w:r>
      <w:r w:rsidR="00906086">
        <w:t xml:space="preserve">The </w:t>
      </w:r>
      <w:r w:rsidR="009F64CE">
        <w:t>PUCO</w:t>
      </w:r>
      <w:r w:rsidR="000B6B2A">
        <w:t>’</w:t>
      </w:r>
      <w:r w:rsidR="009F64CE">
        <w:t xml:space="preserve">s </w:t>
      </w:r>
      <w:r w:rsidR="00131BB4">
        <w:t xml:space="preserve">Order accurately identified </w:t>
      </w:r>
      <w:r w:rsidR="009F64CE">
        <w:t>that the Marketers</w:t>
      </w:r>
      <w:r w:rsidR="000B6B2A">
        <w:t>’</w:t>
      </w:r>
      <w:r w:rsidR="009F64CE">
        <w:t xml:space="preserve"> proposal has a </w:t>
      </w:r>
      <w:r w:rsidR="003D6DF5">
        <w:t xml:space="preserve">one-sided and unfair </w:t>
      </w:r>
      <w:r w:rsidR="006B007E">
        <w:t>e</w:t>
      </w:r>
      <w:r w:rsidR="009F64CE">
        <w:t>ffect on customers.</w:t>
      </w:r>
    </w:p>
    <w:p w:rsidR="008E2CB6" w:rsidP="000B6B2A">
      <w:pPr>
        <w:spacing w:after="0" w:line="480" w:lineRule="auto"/>
        <w:ind w:firstLine="720"/>
      </w:pPr>
      <w:r>
        <w:t>In the Order, the PUCO recognized the one-sidedness of the Marketers</w:t>
      </w:r>
      <w:r w:rsidR="000B6B2A">
        <w:t>’</w:t>
      </w:r>
      <w:r>
        <w:t xml:space="preserve"> approach. The Marketers argue that some distribution costs are related exclusively to the SSO and therefore should be charged exclusively to SSO customers.</w:t>
      </w:r>
      <w:r>
        <w:rPr>
          <w:rStyle w:val="FootnoteReference"/>
        </w:rPr>
        <w:footnoteReference w:id="19"/>
      </w:r>
      <w:r>
        <w:t xml:space="preserve"> But they ignore the flip side—that using the same logic, some distribution costs would be related exclusively to shopping. If the PUCO were to adopt the Marketers</w:t>
      </w:r>
      <w:r w:rsidR="000B6B2A">
        <w:t>’</w:t>
      </w:r>
      <w:r>
        <w:t xml:space="preserve"> proposal (which it should not), then at a minimum, it would need to evaluate not just the distribution costs that are related </w:t>
      </w:r>
      <w:r w:rsidR="00C83308">
        <w:t xml:space="preserve">exclusively </w:t>
      </w:r>
      <w:r>
        <w:t xml:space="preserve">to the SSO </w:t>
      </w:r>
      <w:r w:rsidR="00554031">
        <w:t xml:space="preserve">customers </w:t>
      </w:r>
      <w:r>
        <w:t xml:space="preserve">but those that are related </w:t>
      </w:r>
      <w:r w:rsidR="00C83308">
        <w:t xml:space="preserve">exclusively </w:t>
      </w:r>
      <w:r>
        <w:t>to shopping</w:t>
      </w:r>
      <w:r w:rsidR="00554031">
        <w:t xml:space="preserve"> customers</w:t>
      </w:r>
      <w:r>
        <w:t>. The Order recognizes the fairness of this approach as compared to the Marketers</w:t>
      </w:r>
      <w:r w:rsidR="000B6B2A">
        <w:t>’</w:t>
      </w:r>
      <w:r>
        <w:t xml:space="preserve"> biased attempt to inflate charges to SSO customers. </w:t>
      </w:r>
      <w:r w:rsidR="00C83308">
        <w:t xml:space="preserve">The Order states: </w:t>
      </w:r>
      <w:r w:rsidR="000B6B2A">
        <w:t>“</w:t>
      </w:r>
      <w:r w:rsidR="00D53A0F">
        <w:t>If we are to evaluate whether there are actual distribution costs solely related to providing SSO service, we should also evaluate whether there are actual distribution costs solely related to the customer choice program.</w:t>
      </w:r>
      <w:r w:rsidR="000B6B2A">
        <w:t>”</w:t>
      </w:r>
      <w:r>
        <w:rPr>
          <w:rStyle w:val="FootnoteReference"/>
        </w:rPr>
        <w:footnoteReference w:id="20"/>
      </w:r>
    </w:p>
    <w:p w:rsidR="00D53A0F" w:rsidP="000B6B2A">
      <w:pPr>
        <w:spacing w:after="0" w:line="480" w:lineRule="auto"/>
        <w:ind w:firstLine="720"/>
      </w:pPr>
      <w:r>
        <w:t xml:space="preserve">The Marketers cannot overcome the basic logic of this reasoning. </w:t>
      </w:r>
      <w:r w:rsidR="00C83308">
        <w:t>Nevertheless, t</w:t>
      </w:r>
      <w:r>
        <w:t xml:space="preserve">hey attempt to do so </w:t>
      </w:r>
      <w:r w:rsidR="00783F5F">
        <w:t xml:space="preserve">in </w:t>
      </w:r>
      <w:r>
        <w:t>two ways, both of which fail.</w:t>
      </w:r>
    </w:p>
    <w:p w:rsidR="00D53A0F" w:rsidRPr="00D53A0F" w:rsidP="000B6B2A">
      <w:pPr>
        <w:spacing w:after="0" w:line="480" w:lineRule="auto"/>
        <w:ind w:firstLine="720"/>
      </w:pPr>
      <w:r>
        <w:t xml:space="preserve">First, the Marketers argue that any distribution costs related to customer choice are already </w:t>
      </w:r>
      <w:r w:rsidR="000B6B2A">
        <w:t>“</w:t>
      </w:r>
      <w:r>
        <w:t>directly assigned to CRES providers.</w:t>
      </w:r>
      <w:r w:rsidR="000B6B2A">
        <w:t>”</w:t>
      </w:r>
      <w:r>
        <w:rPr>
          <w:rStyle w:val="FootnoteReference"/>
        </w:rPr>
        <w:footnoteReference w:id="21"/>
      </w:r>
      <w:r>
        <w:t xml:space="preserve"> But the record does not support this conclusion. The Marketers </w:t>
      </w:r>
      <w:r w:rsidR="00783F5F">
        <w:t>state that</w:t>
      </w:r>
      <w:r>
        <w:t xml:space="preserve"> the total costs </w:t>
      </w:r>
      <w:r w:rsidR="000B6B2A">
        <w:t>“</w:t>
      </w:r>
      <w:r>
        <w:t>directly assigned to CRES providers</w:t>
      </w:r>
      <w:r w:rsidR="000B6B2A">
        <w:t>”</w:t>
      </w:r>
      <w:r>
        <w:t xml:space="preserve"> is less than $600,000 per year.</w:t>
      </w:r>
      <w:r>
        <w:rPr>
          <w:rStyle w:val="FootnoteReference"/>
        </w:rPr>
        <w:footnoteReference w:id="22"/>
      </w:r>
      <w:r>
        <w:t xml:space="preserve"> These costs </w:t>
      </w:r>
      <w:r w:rsidR="003D6DF5">
        <w:t>pertain</w:t>
      </w:r>
      <w:r>
        <w:t xml:space="preserve"> to switching fees and interval data fees.</w:t>
      </w:r>
      <w:r>
        <w:rPr>
          <w:rStyle w:val="FootnoteReference"/>
        </w:rPr>
        <w:footnoteReference w:id="23"/>
      </w:r>
      <w:r>
        <w:t xml:space="preserve"> The Marketers, however, are asking the PUCO to charge SSO customers for over $11 million in distribution costs, including call center costs, printing and postage, accounting infrastructure, IT employees and software, administrative and general salaries, legal and regulatory costs, office space, regulatory assessments, and taxes.</w:t>
      </w:r>
      <w:r>
        <w:rPr>
          <w:rStyle w:val="FootnoteReference"/>
        </w:rPr>
        <w:footnoteReference w:id="24"/>
      </w:r>
      <w:r>
        <w:t xml:space="preserve"> </w:t>
      </w:r>
      <w:r w:rsidR="00AA5B08">
        <w:t>The Marketers are comparing apples and oranges, so their comparison fails</w:t>
      </w:r>
      <w:r>
        <w:t>.</w:t>
      </w:r>
    </w:p>
    <w:p w:rsidR="00D53A0F" w:rsidRPr="003D6DF5" w:rsidP="000B6B2A">
      <w:pPr>
        <w:spacing w:after="0" w:line="480" w:lineRule="auto"/>
        <w:ind w:firstLine="720"/>
      </w:pPr>
      <w:r>
        <w:t xml:space="preserve">Second, the Marketers </w:t>
      </w:r>
      <w:r w:rsidR="00E4534A">
        <w:t>argue that the PUCO need not look at distribution costs related to shopping because those costs are for non-competitive services.</w:t>
      </w:r>
      <w:r>
        <w:rPr>
          <w:rStyle w:val="FootnoteReference"/>
        </w:rPr>
        <w:footnoteReference w:id="25"/>
      </w:r>
      <w:r w:rsidR="00E4534A">
        <w:t xml:space="preserve"> </w:t>
      </w:r>
      <w:r w:rsidR="003D6DF5">
        <w:t>A</w:t>
      </w:r>
      <w:r w:rsidR="001A4086">
        <w:t xml:space="preserve">ccording to the Marketers, when DP&amp;L provides distribution services to SSO customers, DP&amp;L is providing a </w:t>
      </w:r>
      <w:r w:rsidRPr="003D6DF5" w:rsidR="001A4086">
        <w:rPr>
          <w:i/>
        </w:rPr>
        <w:t>competitive</w:t>
      </w:r>
      <w:r w:rsidR="001A4086">
        <w:t xml:space="preserve"> service, and only SSO customers should pay for those services. But when DP&amp;L provides those exact same services to shopping customers, DP&amp;L is providing a </w:t>
      </w:r>
      <w:r w:rsidRPr="003D6DF5" w:rsidR="001A4086">
        <w:rPr>
          <w:i/>
        </w:rPr>
        <w:t>non-competitive</w:t>
      </w:r>
      <w:r w:rsidR="001A4086">
        <w:t xml:space="preserve"> service, and SSO and shopping customers should pay for those services. The PUCO </w:t>
      </w:r>
      <w:r w:rsidR="003D6DF5">
        <w:t>saw</w:t>
      </w:r>
      <w:r w:rsidR="001A4086">
        <w:t xml:space="preserve"> through this </w:t>
      </w:r>
      <w:r w:rsidR="00554031">
        <w:t xml:space="preserve">inconsistent </w:t>
      </w:r>
      <w:r w:rsidR="00783F5F">
        <w:t>proposal</w:t>
      </w:r>
      <w:r w:rsidR="001A4086">
        <w:t xml:space="preserve"> to </w:t>
      </w:r>
      <w:r w:rsidR="00554031">
        <w:t xml:space="preserve">unreasonably </w:t>
      </w:r>
      <w:r w:rsidR="001A4086">
        <w:t>increase charges to SSO customers</w:t>
      </w:r>
      <w:r w:rsidR="003D6DF5">
        <w:t xml:space="preserve"> and properly rejected it</w:t>
      </w:r>
      <w:r w:rsidR="001A4086">
        <w:t>.</w:t>
      </w:r>
      <w:r>
        <w:rPr>
          <w:rStyle w:val="FootnoteReference"/>
        </w:rPr>
        <w:footnoteReference w:id="26"/>
      </w:r>
      <w:r w:rsidR="003D6DF5">
        <w:t xml:space="preserve"> It should do so again by denying the Marketers</w:t>
      </w:r>
      <w:r w:rsidR="000B6B2A">
        <w:t>’</w:t>
      </w:r>
      <w:r w:rsidR="003D6DF5">
        <w:t xml:space="preserve"> applications for rehearing.</w:t>
      </w:r>
    </w:p>
    <w:p w:rsidR="00D53A0F" w:rsidRPr="00FD117D" w:rsidP="00BC5683">
      <w:pPr>
        <w:pStyle w:val="Heading2"/>
      </w:pPr>
      <w:r>
        <w:t>E</w:t>
      </w:r>
      <w:r w:rsidR="00FD117D">
        <w:t>.</w:t>
      </w:r>
      <w:r w:rsidR="00FD117D">
        <w:tab/>
        <w:t xml:space="preserve">The PUCO should reject the </w:t>
      </w:r>
      <w:r w:rsidR="003D6DF5">
        <w:t>Marketers</w:t>
      </w:r>
      <w:r w:rsidR="000B6B2A">
        <w:t>’</w:t>
      </w:r>
      <w:r w:rsidR="003D6DF5">
        <w:t xml:space="preserve"> testimony </w:t>
      </w:r>
      <w:r w:rsidR="00FD117D">
        <w:t>as unreliable and inadequate to support additional charges to SSO customers.</w:t>
      </w:r>
    </w:p>
    <w:p w:rsidR="002B1118" w:rsidP="000B6B2A">
      <w:pPr>
        <w:spacing w:after="0" w:line="480" w:lineRule="auto"/>
        <w:ind w:firstLine="720"/>
      </w:pPr>
      <w:r>
        <w:t xml:space="preserve">The Marketers misstate the record by </w:t>
      </w:r>
      <w:r w:rsidR="00721BD2">
        <w:t>suggesting</w:t>
      </w:r>
      <w:r>
        <w:t xml:space="preserve"> that there is uncontroverted evidence that SSO customers should pay an additional $11 million for </w:t>
      </w:r>
      <w:r>
        <w:t xml:space="preserve">distribution service. According to the Marketers: </w:t>
      </w:r>
      <w:r w:rsidR="000B6B2A">
        <w:t>“</w:t>
      </w:r>
      <w:r>
        <w:t>IGS submitted testimony indicated [sic] that based upon the amount of revenue recommended in the Staff Report, DP&amp;L would recover in excess of $11 million in SSO-related costs through distribution rates.</w:t>
      </w:r>
      <w:r w:rsidR="00D624D6">
        <w:t xml:space="preserve"> No other quantitative estimate of the SSO subsidy was provided.</w:t>
      </w:r>
      <w:r w:rsidR="000B6B2A">
        <w:t>”</w:t>
      </w:r>
      <w:r>
        <w:rPr>
          <w:rStyle w:val="FootnoteReference"/>
        </w:rPr>
        <w:footnoteReference w:id="27"/>
      </w:r>
      <w:r>
        <w:t xml:space="preserve"> This is misleading</w:t>
      </w:r>
      <w:r w:rsidR="00D624D6">
        <w:t xml:space="preserve"> and false.</w:t>
      </w:r>
    </w:p>
    <w:p w:rsidR="00BB380C" w:rsidRPr="003D6DF5" w:rsidP="000B6B2A">
      <w:pPr>
        <w:spacing w:after="0" w:line="480" w:lineRule="auto"/>
        <w:ind w:firstLine="720"/>
      </w:pPr>
      <w:r>
        <w:t xml:space="preserve">First, </w:t>
      </w:r>
      <w:r w:rsidR="00783F5F">
        <w:t>every</w:t>
      </w:r>
      <w:r>
        <w:t xml:space="preserve"> part</w:t>
      </w:r>
      <w:r w:rsidR="00783F5F">
        <w:t>y that filed a reply brief in response to the Marketers</w:t>
      </w:r>
      <w:r w:rsidR="000B6B2A">
        <w:t>’</w:t>
      </w:r>
      <w:r w:rsidR="00783F5F">
        <w:t xml:space="preserve"> proposal </w:t>
      </w:r>
      <w:r>
        <w:t>dispute</w:t>
      </w:r>
      <w:r w:rsidR="00783F5F">
        <w:t>d</w:t>
      </w:r>
      <w:r>
        <w:t xml:space="preserve"> the Marketers</w:t>
      </w:r>
      <w:r w:rsidR="000B6B2A">
        <w:t>’</w:t>
      </w:r>
      <w:r>
        <w:t xml:space="preserve"> claim that there is any subsidy at all, </w:t>
      </w:r>
      <w:r w:rsidR="00783F5F">
        <w:t xml:space="preserve">which is the same as </w:t>
      </w:r>
      <w:r>
        <w:t>quantifying the subsidy at $0.</w:t>
      </w:r>
      <w:r>
        <w:rPr>
          <w:rStyle w:val="FootnoteReference"/>
        </w:rPr>
        <w:footnoteReference w:id="28"/>
      </w:r>
      <w:r w:rsidR="003D6DF5">
        <w:t xml:space="preserve"> </w:t>
      </w:r>
    </w:p>
    <w:p w:rsidR="00D624D6" w:rsidRPr="00D624D6" w:rsidP="000B6B2A">
      <w:pPr>
        <w:spacing w:after="0" w:line="480" w:lineRule="auto"/>
        <w:ind w:firstLine="720"/>
      </w:pPr>
      <w:r>
        <w:t>Second</w:t>
      </w:r>
      <w:r>
        <w:t xml:space="preserve">, the claim that there is </w:t>
      </w:r>
      <w:r w:rsidR="000B6B2A">
        <w:t>“</w:t>
      </w:r>
      <w:r>
        <w:t>[n]o other quantitative estimate</w:t>
      </w:r>
      <w:r w:rsidR="000B6B2A">
        <w:t>”</w:t>
      </w:r>
      <w:r>
        <w:t xml:space="preserve"> is false. OCC witness Willis quantified the subsidy at $0.</w:t>
      </w:r>
      <w:r>
        <w:rPr>
          <w:rStyle w:val="FootnoteReference"/>
        </w:rPr>
        <w:footnoteReference w:id="29"/>
      </w:r>
      <w:r>
        <w:t xml:space="preserve"> As did DP&amp;L.</w:t>
      </w:r>
      <w:r>
        <w:rPr>
          <w:rStyle w:val="FootnoteReference"/>
        </w:rPr>
        <w:footnoteReference w:id="30"/>
      </w:r>
    </w:p>
    <w:p w:rsidR="002B1118" w:rsidP="000B6B2A">
      <w:pPr>
        <w:spacing w:after="0" w:line="480" w:lineRule="auto"/>
        <w:ind w:firstLine="720"/>
      </w:pPr>
      <w:r>
        <w:t>Third</w:t>
      </w:r>
      <w:r>
        <w:t>, the PUCO did not adopt IGS</w:t>
      </w:r>
      <w:r w:rsidR="000B6B2A">
        <w:t>’</w:t>
      </w:r>
      <w:r>
        <w:t xml:space="preserve">s $11 million </w:t>
      </w:r>
      <w:r>
        <w:t>number</w:t>
      </w:r>
      <w:r>
        <w:t>. And with good reason. The $11 million calculation was seriously flawed. The Marketers</w:t>
      </w:r>
      <w:r w:rsidR="000B6B2A">
        <w:t>’</w:t>
      </w:r>
      <w:r>
        <w:t xml:space="preserve"> witness (Mr. Hess) based his calculations on the Staff Report, even though the Settlement </w:t>
      </w:r>
      <w:r w:rsidR="00B16849">
        <w:t xml:space="preserve">made </w:t>
      </w:r>
      <w:r>
        <w:t>no fewer than five separate adjustments to the Staff Report.</w:t>
      </w:r>
      <w:r>
        <w:rPr>
          <w:rStyle w:val="FootnoteReference"/>
        </w:rPr>
        <w:footnoteReference w:id="31"/>
      </w:r>
      <w:r>
        <w:t xml:space="preserve"> </w:t>
      </w:r>
      <w:r w:rsidR="00B16849">
        <w:t>He</w:t>
      </w:r>
      <w:r>
        <w:t xml:space="preserve"> used the wrong </w:t>
      </w:r>
      <w:r w:rsidR="00B16849">
        <w:t xml:space="preserve">tax rate and the wrong </w:t>
      </w:r>
      <w:r>
        <w:t>gross revenue conversion factor.</w:t>
      </w:r>
      <w:r>
        <w:rPr>
          <w:rStyle w:val="FootnoteReference"/>
        </w:rPr>
        <w:footnoteReference w:id="32"/>
      </w:r>
      <w:r>
        <w:t xml:space="preserve"> </w:t>
      </w:r>
      <w:r w:rsidR="00B16849">
        <w:t>He</w:t>
      </w:r>
      <w:r>
        <w:t xml:space="preserve"> used the wrong rate of return.</w:t>
      </w:r>
      <w:r>
        <w:rPr>
          <w:rStyle w:val="FootnoteReference"/>
        </w:rPr>
        <w:footnoteReference w:id="33"/>
      </w:r>
      <w:r>
        <w:t xml:space="preserve"> </w:t>
      </w:r>
      <w:r w:rsidR="00B16849">
        <w:t>He</w:t>
      </w:r>
      <w:r>
        <w:t xml:space="preserve"> </w:t>
      </w:r>
      <w:r w:rsidR="00374134">
        <w:t xml:space="preserve">used </w:t>
      </w:r>
      <w:r>
        <w:t>the wrong exhibit with his</w:t>
      </w:r>
      <w:r w:rsidR="00374134">
        <w:t xml:space="preserve"> filed</w:t>
      </w:r>
      <w:r>
        <w:t xml:space="preserve"> testimony, which included errors and internal inconsistencies.</w:t>
      </w:r>
      <w:r>
        <w:rPr>
          <w:rStyle w:val="FootnoteReference"/>
        </w:rPr>
        <w:footnoteReference w:id="34"/>
      </w:r>
      <w:r>
        <w:t xml:space="preserve"> And </w:t>
      </w:r>
      <w:r w:rsidR="00B16849">
        <w:t>he</w:t>
      </w:r>
      <w:r>
        <w:t xml:space="preserve"> used revenue data from December 31, 2015 and customer count numbers from March 31, 2016, even though more recent data was available.</w:t>
      </w:r>
      <w:r>
        <w:rPr>
          <w:rStyle w:val="FootnoteReference"/>
        </w:rPr>
        <w:footnoteReference w:id="35"/>
      </w:r>
      <w:r>
        <w:t xml:space="preserve"> With all of these errors, the PUCO rightfully declined to adopt Mr. Hess</w:t>
      </w:r>
      <w:r w:rsidR="000B6B2A">
        <w:t>’</w:t>
      </w:r>
      <w:r>
        <w:t>s $11 million surcharge to customers.</w:t>
      </w:r>
    </w:p>
    <w:p w:rsidR="007F56F0" w:rsidP="00BC1947">
      <w:pPr>
        <w:spacing w:after="0" w:line="480" w:lineRule="auto"/>
        <w:ind w:firstLine="720"/>
      </w:pPr>
      <w:r>
        <w:t>The Marketers</w:t>
      </w:r>
      <w:r w:rsidR="000B6B2A">
        <w:t>’</w:t>
      </w:r>
      <w:r>
        <w:t xml:space="preserve"> argument </w:t>
      </w:r>
      <w:r w:rsidR="00C83308">
        <w:t>can be summarized</w:t>
      </w:r>
      <w:r>
        <w:t xml:space="preserve"> </w:t>
      </w:r>
      <w:r w:rsidR="00C83308">
        <w:t>as follows</w:t>
      </w:r>
      <w:r>
        <w:t xml:space="preserve">: our witness testified that SSO customers should pay an additional $11 million, and therefore, the PUCO </w:t>
      </w:r>
      <w:r w:rsidR="00B643A8">
        <w:t>must</w:t>
      </w:r>
      <w:r>
        <w:t xml:space="preserve"> order SSO customers to pay an additional $11 million. This ignores the </w:t>
      </w:r>
      <w:r w:rsidR="00B16849">
        <w:t xml:space="preserve">abundant </w:t>
      </w:r>
      <w:r>
        <w:t>evidence demonstrating the legal and factual flaws in the Marketers</w:t>
      </w:r>
      <w:r w:rsidR="000B6B2A">
        <w:t>’</w:t>
      </w:r>
      <w:r>
        <w:t xml:space="preserve"> proposal. The PUCO</w:t>
      </w:r>
      <w:r w:rsidR="000B6B2A">
        <w:t>’</w:t>
      </w:r>
      <w:r>
        <w:t>s rejection of the Marketers</w:t>
      </w:r>
      <w:r w:rsidR="000B6B2A">
        <w:t>’</w:t>
      </w:r>
      <w:r>
        <w:t xml:space="preserve"> proposal is not against the manifest weight of the evidence. To the contrary, the</w:t>
      </w:r>
      <w:r w:rsidR="00C83308">
        <w:t xml:space="preserve"> record</w:t>
      </w:r>
      <w:r>
        <w:t xml:space="preserve"> evidence overwhelmingly supports the PUCO</w:t>
      </w:r>
      <w:r w:rsidR="000B6B2A">
        <w:t>’</w:t>
      </w:r>
      <w:r>
        <w:t>s conclusion.</w:t>
      </w:r>
    </w:p>
    <w:p w:rsidR="004804AD" w:rsidRPr="008034A3" w:rsidP="00BC5683">
      <w:pPr>
        <w:pStyle w:val="Heading1"/>
      </w:pPr>
      <w:r>
        <w:t>III.</w:t>
      </w:r>
      <w:r>
        <w:tab/>
      </w:r>
      <w:r w:rsidR="008034A3">
        <w:t>CONCLUSION</w:t>
      </w:r>
    </w:p>
    <w:p w:rsidR="00072AC3" w:rsidRPr="00072AC3" w:rsidP="00072AC3">
      <w:pPr>
        <w:spacing w:after="0" w:line="480" w:lineRule="auto"/>
        <w:ind w:firstLine="720"/>
      </w:pPr>
      <w:r>
        <w:t>All customers benefit from DP&amp;L</w:t>
      </w:r>
      <w:r w:rsidR="000B6B2A">
        <w:t>’</w:t>
      </w:r>
      <w:r>
        <w:t>s standard service offer. The Marketers</w:t>
      </w:r>
      <w:r w:rsidR="000B6B2A">
        <w:t>’</w:t>
      </w:r>
      <w:r>
        <w:t xml:space="preserve"> proposal in this case is a </w:t>
      </w:r>
      <w:r w:rsidR="00374134">
        <w:t xml:space="preserve">self-serving </w:t>
      </w:r>
      <w:r>
        <w:t xml:space="preserve">attempt to </w:t>
      </w:r>
      <w:r w:rsidR="00C83308">
        <w:t xml:space="preserve">exclusively </w:t>
      </w:r>
      <w:r>
        <w:t xml:space="preserve">increase costs for SSO customers so that those customers will </w:t>
      </w:r>
      <w:r w:rsidR="00C83308">
        <w:t xml:space="preserve">be incented to </w:t>
      </w:r>
      <w:r>
        <w:t>shop for generation with Marketers</w:t>
      </w:r>
      <w:r w:rsidR="00C83308">
        <w:t xml:space="preserve"> and improve Marketers</w:t>
      </w:r>
      <w:r w:rsidR="000B6B2A">
        <w:t>’</w:t>
      </w:r>
      <w:r w:rsidR="00C83308">
        <w:t xml:space="preserve"> profitability</w:t>
      </w:r>
      <w:r>
        <w:t xml:space="preserve">. </w:t>
      </w:r>
      <w:r w:rsidR="00B643A8">
        <w:t xml:space="preserve"> </w:t>
      </w:r>
      <w:r w:rsidRPr="00072AC3">
        <w:t xml:space="preserve">DP&amp;L </w:t>
      </w:r>
      <w:r>
        <w:t>wrote that:</w:t>
      </w:r>
    </w:p>
    <w:p w:rsidR="00B46945" w:rsidP="00BC5683">
      <w:pPr>
        <w:spacing w:after="240" w:line="240" w:lineRule="auto"/>
        <w:ind w:left="1440" w:right="720"/>
      </w:pPr>
      <w:r w:rsidRPr="00072AC3">
        <w:t>The marketers</w:t>
      </w:r>
      <w:r w:rsidR="000B6B2A">
        <w:t>’</w:t>
      </w:r>
      <w:r w:rsidRPr="00072AC3">
        <w:t xml:space="preserve"> goal is not to benefit customers; instead, the marketers</w:t>
      </w:r>
      <w:r w:rsidR="000B6B2A">
        <w:t>’</w:t>
      </w:r>
      <w:r w:rsidRPr="00072AC3">
        <w:t xml:space="preserve"> goal is to increase the SSO price so more customers will shop; The fact that the marketers goal is to increase their own profits is further demonstrated by the marketers</w:t>
      </w:r>
      <w:r w:rsidR="000B6B2A">
        <w:t>’</w:t>
      </w:r>
      <w:r w:rsidRPr="00072AC3">
        <w:t xml:space="preserve"> multiple references to their own costs, which are entirely irrelevant to the issues in this case</w:t>
      </w:r>
      <w:r w:rsidR="00BC1947">
        <w:t>.</w:t>
      </w:r>
      <w:r>
        <w:rPr>
          <w:rStyle w:val="FootnoteReference"/>
        </w:rPr>
        <w:footnoteReference w:id="36"/>
      </w:r>
    </w:p>
    <w:p w:rsidR="004804AD" w:rsidP="000B6B2A">
      <w:pPr>
        <w:spacing w:after="0" w:line="480" w:lineRule="auto"/>
        <w:ind w:firstLine="720"/>
      </w:pPr>
      <w:r>
        <w:t xml:space="preserve">Marketers prefer to improve their bottom line by attacking the </w:t>
      </w:r>
      <w:r w:rsidR="001061FF">
        <w:t xml:space="preserve">competitively-sourced </w:t>
      </w:r>
      <w:r>
        <w:t xml:space="preserve">SSO and proposing </w:t>
      </w:r>
      <w:r w:rsidR="00C83308">
        <w:t>arbitrary cost-shifting</w:t>
      </w:r>
      <w:r>
        <w:t xml:space="preserve"> </w:t>
      </w:r>
      <w:r w:rsidR="00C83308">
        <w:t>to</w:t>
      </w:r>
      <w:r w:rsidR="001061FF">
        <w:t xml:space="preserve"> SSO customers. </w:t>
      </w:r>
      <w:r w:rsidR="00D86985">
        <w:t>The PUCO rightfully rejected the Marketers</w:t>
      </w:r>
      <w:r w:rsidR="000B6B2A">
        <w:t>’</w:t>
      </w:r>
      <w:r w:rsidR="00D86985">
        <w:t xml:space="preserve"> proposal in the Order and it should likewise reject their applications for rehearing.</w:t>
      </w:r>
      <w:r w:rsidR="0017003E">
        <w:t xml:space="preserve"> For the benefit of the public, the PUCO should preserve and protect the Settlement from material modification by the Marketers.</w:t>
      </w:r>
    </w:p>
    <w:p w:rsidR="000B6B2A" w:rsidRPr="00A4515D" w:rsidP="009C046F">
      <w:pPr>
        <w:rPr>
          <w:rFonts w:eastAsia="Times New Roman" w:cs="Times New Roman"/>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sidRPr="00A4515D">
        <w:rPr>
          <w:rFonts w:eastAsia="Times New Roman" w:cs="Times New Roman"/>
          <w:szCs w:val="24"/>
        </w:rPr>
        <w:t>Respectfully submitted,</w:t>
      </w:r>
    </w:p>
    <w:p w:rsidR="000B6B2A" w:rsidRPr="0070059A" w:rsidP="000B6B2A">
      <w:pPr>
        <w:spacing w:after="0" w:line="240" w:lineRule="auto"/>
        <w:ind w:left="3600" w:firstLine="720"/>
        <w:rPr>
          <w:rFonts w:eastAsiaTheme="minorEastAsia" w:cs="Times New Roman"/>
          <w:szCs w:val="24"/>
        </w:rPr>
      </w:pPr>
      <w:r>
        <w:rPr>
          <w:rFonts w:eastAsiaTheme="minorEastAsia" w:cs="Times New Roman"/>
          <w:szCs w:val="24"/>
        </w:rPr>
        <w:t>Bruce Weston</w:t>
      </w:r>
      <w:r w:rsidRPr="0070059A">
        <w:rPr>
          <w:rFonts w:eastAsiaTheme="minorEastAsia" w:cs="Times New Roman"/>
          <w:szCs w:val="24"/>
        </w:rPr>
        <w:t xml:space="preserve"> (0016973)</w:t>
      </w:r>
    </w:p>
    <w:p w:rsidR="000B6B2A" w:rsidRPr="0070059A" w:rsidP="000B6B2A">
      <w:pPr>
        <w:spacing w:after="0" w:line="240" w:lineRule="auto"/>
        <w:ind w:firstLine="4320"/>
        <w:rPr>
          <w:rFonts w:eastAsiaTheme="minorEastAsia" w:cs="Times New Roman"/>
          <w:szCs w:val="24"/>
        </w:rPr>
      </w:pPr>
      <w:r>
        <w:rPr>
          <w:rFonts w:eastAsiaTheme="minorEastAsia" w:cs="Times New Roman"/>
          <w:szCs w:val="24"/>
        </w:rPr>
        <w:t>Ohio Consumers</w:t>
      </w:r>
      <w:r>
        <w:rPr>
          <w:rFonts w:eastAsiaTheme="minorEastAsia" w:cs="Times New Roman"/>
          <w:szCs w:val="24"/>
        </w:rPr>
        <w:t>’</w:t>
      </w:r>
      <w:r>
        <w:rPr>
          <w:rFonts w:eastAsiaTheme="minorEastAsia" w:cs="Times New Roman"/>
          <w:szCs w:val="24"/>
        </w:rPr>
        <w:t xml:space="preserve"> Counsel</w:t>
      </w:r>
    </w:p>
    <w:p w:rsidR="000B6B2A" w:rsidRPr="009C046F" w:rsidP="000B6B2A">
      <w:pPr>
        <w:spacing w:after="0" w:line="240" w:lineRule="auto"/>
        <w:ind w:firstLine="4320"/>
        <w:rPr>
          <w:rFonts w:eastAsiaTheme="minorEastAsia" w:cs="Times New Roman"/>
          <w:sz w:val="14"/>
          <w:szCs w:val="14"/>
        </w:rPr>
      </w:pPr>
    </w:p>
    <w:p w:rsidR="000B6B2A" w:rsidRPr="0070059A" w:rsidP="000B6B2A">
      <w:pPr>
        <w:spacing w:after="0" w:line="240" w:lineRule="auto"/>
        <w:ind w:firstLine="4320"/>
        <w:rPr>
          <w:rFonts w:eastAsiaTheme="minorEastAsia" w:cs="Times New Roman"/>
          <w:szCs w:val="24"/>
        </w:rPr>
      </w:pPr>
      <w:r>
        <w:rPr>
          <w:rFonts w:eastAsiaTheme="minorEastAsia" w:cs="Times New Roman"/>
          <w:szCs w:val="24"/>
          <w:u w:val="single"/>
        </w:rPr>
        <w:t xml:space="preserve">/s/ </w:t>
      </w:r>
      <w:r>
        <w:rPr>
          <w:rFonts w:eastAsiaTheme="minorEastAsia" w:cs="Times New Roman"/>
          <w:i/>
          <w:szCs w:val="24"/>
          <w:u w:val="single"/>
        </w:rPr>
        <w:t>Christopher Healey</w:t>
      </w:r>
      <w:r>
        <w:rPr>
          <w:rFonts w:eastAsiaTheme="minorEastAsia" w:cs="Times New Roman"/>
          <w:szCs w:val="24"/>
          <w:u w:val="single"/>
        </w:rPr>
        <w:tab/>
      </w:r>
    </w:p>
    <w:p w:rsidR="000B6B2A" w:rsidRPr="0070059A" w:rsidP="000B6B2A">
      <w:pPr>
        <w:spacing w:after="0" w:line="240" w:lineRule="auto"/>
        <w:ind w:firstLine="4320"/>
        <w:rPr>
          <w:rFonts w:eastAsiaTheme="minorEastAsia" w:cs="Times New Roman"/>
          <w:szCs w:val="24"/>
        </w:rPr>
      </w:pPr>
      <w:r w:rsidRPr="0070059A">
        <w:rPr>
          <w:rFonts w:eastAsiaTheme="minorEastAsia" w:cs="Times New Roman"/>
          <w:szCs w:val="24"/>
        </w:rPr>
        <w:t>Christopher Healey (0086027)</w:t>
      </w:r>
    </w:p>
    <w:p w:rsidR="000B6B2A" w:rsidRPr="0070059A" w:rsidP="000B6B2A">
      <w:pPr>
        <w:spacing w:after="0" w:line="240" w:lineRule="auto"/>
        <w:ind w:firstLine="4320"/>
        <w:rPr>
          <w:rFonts w:eastAsiaTheme="minorEastAsia" w:cs="Times New Roman"/>
          <w:szCs w:val="24"/>
        </w:rPr>
      </w:pPr>
      <w:r w:rsidRPr="0070059A">
        <w:rPr>
          <w:rFonts w:eastAsiaTheme="minorEastAsia" w:cs="Times New Roman"/>
          <w:szCs w:val="24"/>
        </w:rPr>
        <w:t>Counsel of Record</w:t>
      </w:r>
    </w:p>
    <w:p w:rsidR="000B6B2A" w:rsidRPr="0070059A" w:rsidP="000B6B2A">
      <w:pPr>
        <w:spacing w:after="0" w:line="240" w:lineRule="auto"/>
        <w:ind w:firstLine="4320"/>
        <w:rPr>
          <w:rFonts w:eastAsiaTheme="minorEastAsia" w:cs="Times New Roman"/>
          <w:szCs w:val="24"/>
        </w:rPr>
      </w:pPr>
      <w:r w:rsidRPr="0070059A">
        <w:rPr>
          <w:rFonts w:eastAsiaTheme="minorEastAsia" w:cs="Times New Roman"/>
          <w:szCs w:val="24"/>
        </w:rPr>
        <w:t>Terry L. Etter (0067445)</w:t>
      </w:r>
    </w:p>
    <w:p w:rsidR="000B6B2A" w:rsidRPr="0070059A" w:rsidP="000B6B2A">
      <w:pPr>
        <w:spacing w:after="0" w:line="240" w:lineRule="auto"/>
        <w:ind w:firstLine="4320"/>
        <w:rPr>
          <w:rFonts w:eastAsiaTheme="minorEastAsia" w:cs="Times New Roman"/>
          <w:szCs w:val="24"/>
        </w:rPr>
      </w:pPr>
      <w:r w:rsidRPr="0070059A">
        <w:rPr>
          <w:rFonts w:eastAsiaTheme="minorEastAsia" w:cs="Times New Roman"/>
          <w:szCs w:val="24"/>
        </w:rPr>
        <w:t>Assistant Consumers</w:t>
      </w:r>
      <w:r>
        <w:rPr>
          <w:rFonts w:eastAsiaTheme="minorEastAsia" w:cs="Times New Roman"/>
          <w:szCs w:val="24"/>
        </w:rPr>
        <w:t>’</w:t>
      </w:r>
      <w:r w:rsidRPr="0070059A">
        <w:rPr>
          <w:rFonts w:eastAsiaTheme="minorEastAsia" w:cs="Times New Roman"/>
          <w:szCs w:val="24"/>
        </w:rPr>
        <w:t xml:space="preserve"> Counsel</w:t>
      </w:r>
    </w:p>
    <w:p w:rsidR="000B6B2A" w:rsidRPr="0070059A" w:rsidP="009C046F">
      <w:pPr>
        <w:spacing w:before="120" w:after="0" w:line="240" w:lineRule="auto"/>
        <w:ind w:firstLine="4320"/>
        <w:rPr>
          <w:rFonts w:eastAsiaTheme="minorEastAsia" w:cs="Times New Roman"/>
          <w:b/>
          <w:szCs w:val="24"/>
        </w:rPr>
      </w:pPr>
      <w:r w:rsidRPr="0070059A">
        <w:rPr>
          <w:rFonts w:eastAsiaTheme="minorEastAsia" w:cs="Times New Roman"/>
          <w:b/>
          <w:szCs w:val="24"/>
        </w:rPr>
        <w:t>Office of the Ohio Consumers</w:t>
      </w:r>
      <w:r>
        <w:rPr>
          <w:rFonts w:eastAsiaTheme="minorEastAsia" w:cs="Times New Roman"/>
          <w:b/>
          <w:szCs w:val="24"/>
        </w:rPr>
        <w:t>’</w:t>
      </w:r>
      <w:r w:rsidRPr="0070059A">
        <w:rPr>
          <w:rFonts w:eastAsiaTheme="minorEastAsia" w:cs="Times New Roman"/>
          <w:b/>
          <w:szCs w:val="24"/>
        </w:rPr>
        <w:t xml:space="preserve"> Counsel</w:t>
      </w:r>
    </w:p>
    <w:p w:rsidR="000B6B2A" w:rsidRPr="0070059A" w:rsidP="000B6B2A">
      <w:pPr>
        <w:spacing w:after="0" w:line="240" w:lineRule="auto"/>
        <w:ind w:firstLine="4320"/>
        <w:rPr>
          <w:rFonts w:eastAsiaTheme="minorEastAsia" w:cs="Times New Roman"/>
          <w:szCs w:val="24"/>
        </w:rPr>
      </w:pPr>
      <w:r w:rsidRPr="0070059A">
        <w:rPr>
          <w:rFonts w:eastAsiaTheme="minorEastAsia" w:cs="Times New Roman"/>
          <w:szCs w:val="24"/>
        </w:rPr>
        <w:t>65 East State Street, 7th Floor</w:t>
      </w:r>
    </w:p>
    <w:p w:rsidR="000B6B2A" w:rsidRPr="0070059A" w:rsidP="000B6B2A">
      <w:pPr>
        <w:spacing w:after="0" w:line="240" w:lineRule="auto"/>
        <w:ind w:firstLine="4320"/>
        <w:rPr>
          <w:rFonts w:eastAsiaTheme="minorEastAsia" w:cs="Times New Roman"/>
          <w:szCs w:val="24"/>
        </w:rPr>
      </w:pPr>
      <w:r w:rsidRPr="0070059A">
        <w:rPr>
          <w:rFonts w:eastAsiaTheme="minorEastAsia" w:cs="Times New Roman"/>
          <w:szCs w:val="24"/>
        </w:rPr>
        <w:t>Columbus, Ohio 43215</w:t>
      </w:r>
      <w:r>
        <w:rPr>
          <w:rFonts w:eastAsiaTheme="minorEastAsia" w:cs="Times New Roman"/>
          <w:szCs w:val="24"/>
        </w:rPr>
        <w:t>-4213</w:t>
      </w:r>
    </w:p>
    <w:p w:rsidR="000B6B2A" w:rsidRPr="0070059A" w:rsidP="000B6B2A">
      <w:pPr>
        <w:spacing w:after="0" w:line="240" w:lineRule="auto"/>
        <w:ind w:firstLine="4320"/>
        <w:rPr>
          <w:rFonts w:eastAsiaTheme="minorEastAsia" w:cs="Times New Roman"/>
          <w:szCs w:val="24"/>
        </w:rPr>
      </w:pPr>
      <w:r w:rsidRPr="0070059A">
        <w:rPr>
          <w:rFonts w:eastAsiaTheme="minorEastAsia" w:cs="Times New Roman"/>
          <w:szCs w:val="24"/>
        </w:rPr>
        <w:t>Telephone [Healey]: 614-466-9571</w:t>
      </w:r>
    </w:p>
    <w:p w:rsidR="000B6B2A" w:rsidRPr="0077744E" w:rsidP="000B6B2A">
      <w:pPr>
        <w:spacing w:after="0" w:line="240" w:lineRule="auto"/>
        <w:ind w:firstLine="4320"/>
        <w:rPr>
          <w:rFonts w:eastAsiaTheme="minorEastAsia" w:cs="Times New Roman"/>
          <w:szCs w:val="24"/>
        </w:rPr>
      </w:pPr>
      <w:r w:rsidRPr="0070059A">
        <w:rPr>
          <w:rFonts w:eastAsiaTheme="minorEastAsia" w:cs="Times New Roman"/>
          <w:szCs w:val="24"/>
        </w:rPr>
        <w:t>Telephone [Etter]: 614-466</w:t>
      </w:r>
      <w:r w:rsidRPr="0077744E">
        <w:rPr>
          <w:rFonts w:eastAsiaTheme="minorEastAsia" w:cs="Times New Roman"/>
          <w:szCs w:val="24"/>
        </w:rPr>
        <w:t>-7964</w:t>
      </w:r>
    </w:p>
    <w:p w:rsidR="000B6B2A" w:rsidRPr="00384E27" w:rsidP="000B6B2A">
      <w:pPr>
        <w:spacing w:after="0" w:line="240" w:lineRule="auto"/>
        <w:ind w:firstLine="4320"/>
        <w:rPr>
          <w:rStyle w:val="Hyperlink"/>
          <w:rFonts w:eastAsiaTheme="minorEastAsia"/>
          <w:color w:val="auto"/>
          <w:u w:val="none"/>
        </w:rPr>
      </w:pPr>
      <w:r w:rsidRPr="00384E27">
        <w:rPr>
          <w:rFonts w:eastAsiaTheme="minorEastAsia" w:cs="Times New Roman"/>
          <w:szCs w:val="24"/>
        </w:rPr>
        <w:t xml:space="preserve">christopher.healey@occ.ohio.gov </w:t>
      </w:r>
    </w:p>
    <w:p w:rsidR="000B6B2A" w:rsidRPr="00384E27" w:rsidP="000B6B2A">
      <w:pPr>
        <w:spacing w:after="0" w:line="240" w:lineRule="auto"/>
        <w:ind w:firstLine="4320"/>
        <w:rPr>
          <w:rStyle w:val="Hyperlink"/>
          <w:rFonts w:eastAsiaTheme="minorEastAsia"/>
          <w:color w:val="auto"/>
          <w:u w:val="none"/>
        </w:rPr>
      </w:pPr>
      <w:r w:rsidRPr="00384E27">
        <w:rPr>
          <w:rFonts w:eastAsiaTheme="minorEastAsia" w:cs="Times New Roman"/>
          <w:szCs w:val="24"/>
        </w:rPr>
        <w:t xml:space="preserve">terry.etter@occ.ohio.gov </w:t>
      </w:r>
    </w:p>
    <w:p w:rsidR="00DA044E" w:rsidP="000B6B2A">
      <w:pPr>
        <w:spacing w:after="0" w:line="240" w:lineRule="auto"/>
        <w:ind w:left="4320"/>
        <w:rPr>
          <w:rStyle w:val="Hyperlink"/>
          <w:rFonts w:eastAsiaTheme="minorEastAsia"/>
          <w:color w:val="auto"/>
          <w:u w:val="none"/>
        </w:rPr>
        <w:sectPr w:rsidSect="009C046F">
          <w:footerReference w:type="default" r:id="rId7"/>
          <w:pgSz w:w="12240" w:h="15840"/>
          <w:pgMar w:top="1440" w:right="1800" w:bottom="1440" w:left="1800" w:header="720" w:footer="720" w:gutter="0"/>
          <w:cols w:space="720"/>
          <w:docGrid w:linePitch="360"/>
        </w:sectPr>
      </w:pPr>
      <w:r w:rsidRPr="0077744E">
        <w:rPr>
          <w:rStyle w:val="Hyperlink"/>
          <w:rFonts w:eastAsiaTheme="minorEastAsia"/>
          <w:color w:val="auto"/>
          <w:u w:val="none"/>
        </w:rPr>
        <w:t>(</w:t>
      </w:r>
      <w:r>
        <w:rPr>
          <w:rStyle w:val="Hyperlink"/>
          <w:rFonts w:eastAsiaTheme="minorEastAsia"/>
          <w:color w:val="auto"/>
          <w:u w:val="none"/>
        </w:rPr>
        <w:t>will accept service via email</w:t>
      </w:r>
      <w:r w:rsidRPr="0077744E">
        <w:rPr>
          <w:rStyle w:val="Hyperlink"/>
          <w:rFonts w:eastAsiaTheme="minorEastAsia"/>
          <w:color w:val="auto"/>
          <w:u w:val="none"/>
        </w:rPr>
        <w:t>)</w:t>
      </w:r>
    </w:p>
    <w:p w:rsidR="000B6B2A" w:rsidP="000B6B2A">
      <w:pPr>
        <w:spacing w:after="0" w:line="240" w:lineRule="auto"/>
        <w:jc w:val="center"/>
        <w:rPr>
          <w:rFonts w:eastAsiaTheme="minorEastAsia" w:cs="Times New Roman"/>
          <w:b/>
          <w:szCs w:val="24"/>
          <w:u w:val="single"/>
        </w:rPr>
      </w:pPr>
      <w:r w:rsidRPr="006849DE">
        <w:rPr>
          <w:rFonts w:eastAsiaTheme="minorEastAsia" w:cs="Times New Roman"/>
          <w:b/>
          <w:szCs w:val="24"/>
          <w:u w:val="single"/>
        </w:rPr>
        <w:t>CERTIFICATE OF SERVICE</w:t>
      </w:r>
    </w:p>
    <w:p w:rsidR="000B6B2A" w:rsidRPr="006849DE" w:rsidP="000B6B2A">
      <w:pPr>
        <w:spacing w:after="0" w:line="240" w:lineRule="auto"/>
        <w:jc w:val="center"/>
        <w:rPr>
          <w:rFonts w:eastAsiaTheme="minorEastAsia" w:cs="Times New Roman"/>
          <w:b/>
          <w:szCs w:val="24"/>
          <w:u w:val="single"/>
        </w:rPr>
      </w:pPr>
    </w:p>
    <w:p w:rsidR="000B6B2A" w:rsidP="000B6B2A">
      <w:pPr>
        <w:spacing w:after="0" w:line="360" w:lineRule="auto"/>
        <w:ind w:firstLine="720"/>
        <w:rPr>
          <w:rFonts w:eastAsiaTheme="minorEastAsia" w:cs="Times New Roman"/>
          <w:szCs w:val="24"/>
        </w:rPr>
      </w:pPr>
      <w:r w:rsidRPr="006849DE">
        <w:rPr>
          <w:rFonts w:eastAsiaTheme="minorEastAsia" w:cs="Times New Roman"/>
          <w:szCs w:val="24"/>
        </w:rPr>
        <w:t xml:space="preserve">I hereby certify that a copy of the foregoing </w:t>
      </w:r>
      <w:r w:rsidR="00860549">
        <w:rPr>
          <w:rFonts w:eastAsiaTheme="minorEastAsia" w:cs="Times New Roman"/>
          <w:szCs w:val="24"/>
        </w:rPr>
        <w:t xml:space="preserve">Memorandum Contra </w:t>
      </w:r>
      <w:r w:rsidRPr="006849DE">
        <w:rPr>
          <w:rFonts w:eastAsiaTheme="minorEastAsia" w:cs="Times New Roman"/>
          <w:szCs w:val="24"/>
        </w:rPr>
        <w:t xml:space="preserve">was served on the persons stated below via electronic transmission, this </w:t>
      </w:r>
      <w:r w:rsidR="00AE54F2">
        <w:rPr>
          <w:rFonts w:eastAsiaTheme="minorEastAsia" w:cs="Times New Roman"/>
          <w:szCs w:val="24"/>
        </w:rPr>
        <w:t>5th</w:t>
      </w:r>
      <w:r>
        <w:rPr>
          <w:rFonts w:eastAsiaTheme="minorEastAsia" w:cs="Times New Roman"/>
          <w:szCs w:val="24"/>
        </w:rPr>
        <w:t xml:space="preserve"> </w:t>
      </w:r>
      <w:r w:rsidRPr="006849DE">
        <w:rPr>
          <w:rFonts w:eastAsiaTheme="minorEastAsia" w:cs="Times New Roman"/>
          <w:szCs w:val="24"/>
        </w:rPr>
        <w:t>day of</w:t>
      </w:r>
      <w:r>
        <w:rPr>
          <w:rFonts w:eastAsiaTheme="minorEastAsia" w:cs="Times New Roman"/>
          <w:szCs w:val="24"/>
        </w:rPr>
        <w:t xml:space="preserve"> </w:t>
      </w:r>
      <w:r w:rsidR="00860549">
        <w:rPr>
          <w:rFonts w:eastAsiaTheme="minorEastAsia" w:cs="Times New Roman"/>
          <w:szCs w:val="24"/>
        </w:rPr>
        <w:t>November</w:t>
      </w:r>
      <w:r>
        <w:rPr>
          <w:rFonts w:eastAsiaTheme="minorEastAsia" w:cs="Times New Roman"/>
          <w:szCs w:val="24"/>
        </w:rPr>
        <w:t xml:space="preserve"> 2018</w:t>
      </w:r>
      <w:r w:rsidRPr="006849DE">
        <w:rPr>
          <w:rFonts w:eastAsiaTheme="minorEastAsia" w:cs="Times New Roman"/>
          <w:szCs w:val="24"/>
        </w:rPr>
        <w:t>.</w:t>
      </w:r>
    </w:p>
    <w:p w:rsidR="000B6B2A" w:rsidRPr="006849DE" w:rsidP="000B6B2A">
      <w:pPr>
        <w:spacing w:after="0" w:line="360" w:lineRule="auto"/>
        <w:ind w:firstLine="720"/>
        <w:rPr>
          <w:rFonts w:eastAsiaTheme="minorEastAsia" w:cs="Times New Roman"/>
          <w:szCs w:val="24"/>
        </w:rPr>
      </w:pPr>
    </w:p>
    <w:p w:rsidR="000B6B2A" w:rsidRPr="006849DE" w:rsidP="000B6B2A">
      <w:pPr>
        <w:spacing w:after="0" w:line="240" w:lineRule="auto"/>
        <w:ind w:firstLine="5040"/>
        <w:rPr>
          <w:rFonts w:eastAsiaTheme="minorEastAsia" w:cs="Times New Roman"/>
          <w:szCs w:val="24"/>
        </w:rPr>
      </w:pPr>
      <w:r w:rsidRPr="006849DE">
        <w:rPr>
          <w:rFonts w:eastAsiaTheme="minorEastAsia" w:cs="Times New Roman"/>
          <w:szCs w:val="24"/>
          <w:u w:val="single"/>
        </w:rPr>
        <w:t xml:space="preserve">/s/ </w:t>
      </w:r>
      <w:r>
        <w:rPr>
          <w:rFonts w:eastAsiaTheme="minorEastAsia" w:cs="Times New Roman"/>
          <w:i/>
          <w:szCs w:val="24"/>
          <w:u w:val="single"/>
        </w:rPr>
        <w:t>Christopher Healey</w:t>
      </w:r>
      <w:r w:rsidRPr="006849DE">
        <w:rPr>
          <w:rFonts w:eastAsiaTheme="minorEastAsia" w:cs="Times New Roman"/>
          <w:szCs w:val="24"/>
        </w:rPr>
        <w:t>_______</w:t>
      </w:r>
    </w:p>
    <w:p w:rsidR="000B6B2A" w:rsidRPr="006849DE" w:rsidP="000B6B2A">
      <w:pPr>
        <w:spacing w:after="0" w:line="240" w:lineRule="auto"/>
        <w:ind w:firstLine="5040"/>
        <w:rPr>
          <w:rFonts w:eastAsiaTheme="minorEastAsia" w:cs="Times New Roman"/>
          <w:szCs w:val="24"/>
        </w:rPr>
      </w:pPr>
      <w:r>
        <w:rPr>
          <w:rFonts w:eastAsiaTheme="minorEastAsia" w:cs="Times New Roman"/>
          <w:szCs w:val="24"/>
        </w:rPr>
        <w:t>Christopher Healey</w:t>
      </w:r>
    </w:p>
    <w:p w:rsidR="000B6B2A" w:rsidP="000B6B2A">
      <w:pPr>
        <w:spacing w:after="0" w:line="240" w:lineRule="auto"/>
        <w:ind w:firstLine="5040"/>
        <w:rPr>
          <w:rFonts w:eastAsiaTheme="minorEastAsia" w:cs="Times New Roman"/>
          <w:szCs w:val="24"/>
        </w:rPr>
      </w:pPr>
      <w:r>
        <w:rPr>
          <w:rFonts w:eastAsiaTheme="minorEastAsia" w:cs="Times New Roman"/>
          <w:szCs w:val="24"/>
        </w:rPr>
        <w:t>Counsel of Record</w:t>
      </w:r>
    </w:p>
    <w:p w:rsidR="000B6B2A" w:rsidP="000B6B2A">
      <w:pPr>
        <w:jc w:val="center"/>
        <w:rPr>
          <w:b/>
          <w:u w:val="single"/>
        </w:rPr>
      </w:pPr>
    </w:p>
    <w:p w:rsidR="000B6B2A" w:rsidRPr="00384E27" w:rsidP="000B6B2A">
      <w:pPr>
        <w:tabs>
          <w:tab w:val="left" w:pos="4320"/>
        </w:tabs>
        <w:jc w:val="center"/>
        <w:rPr>
          <w:u w:val="single"/>
        </w:rPr>
      </w:pPr>
      <w:r w:rsidRPr="00384E27">
        <w:rPr>
          <w:b/>
          <w:u w:val="single"/>
        </w:rPr>
        <w:t>SERVICE LIST</w:t>
      </w:r>
    </w:p>
    <w:tbl>
      <w:tblPr>
        <w:tblStyle w:val="TableGrid"/>
        <w:tblW w:w="8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117"/>
      </w:tblGrid>
      <w:tr w:rsidTr="002D26AD">
        <w:tblPrEx>
          <w:tblW w:w="8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80" w:type="dxa"/>
          </w:tcPr>
          <w:p w:rsidR="002D26AD" w:rsidRPr="002D26AD" w:rsidP="000B6B2A">
            <w:pPr>
              <w:autoSpaceDE w:val="0"/>
              <w:autoSpaceDN w:val="0"/>
              <w:adjustRightInd w:val="0"/>
              <w:rPr>
                <w:rFonts w:cs="Times New Roman"/>
                <w:szCs w:val="24"/>
              </w:rPr>
            </w:pPr>
            <w:r w:rsidRPr="002D26AD">
              <w:rPr>
                <w:rFonts w:cs="Times New Roman"/>
                <w:szCs w:val="24"/>
              </w:rPr>
              <w:t>Thomas.mcnamee@ohioattorneygeneral.gov</w:t>
            </w:r>
          </w:p>
          <w:p w:rsidR="002D26AD" w:rsidRPr="002D26AD" w:rsidP="000B6B2A">
            <w:pPr>
              <w:autoSpaceDE w:val="0"/>
              <w:autoSpaceDN w:val="0"/>
              <w:adjustRightInd w:val="0"/>
              <w:rPr>
                <w:rFonts w:cs="Times New Roman"/>
                <w:szCs w:val="24"/>
              </w:rPr>
            </w:pPr>
            <w:r w:rsidRPr="002D26AD">
              <w:rPr>
                <w:rStyle w:val="DefaultParagraphFont"/>
                <w:color w:val="auto"/>
                <w:u w:val="none"/>
              </w:rPr>
              <w:t>Bojko@carpenterlipps.com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ORourke@carpenterlipps.com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ghiloni@carpenterlipps.com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sechler@carpenterlipps.com</w:t>
            </w:r>
            <w:r w:rsidRPr="002D26AD">
              <w:rPr>
                <w:rFonts w:cs="Times New Roman"/>
                <w:szCs w:val="24"/>
              </w:rPr>
              <w:t xml:space="preserve"> </w:t>
            </w:r>
            <w:r w:rsidRPr="002D26AD">
              <w:rPr>
                <w:rStyle w:val="DefaultParagraphFont"/>
                <w:color w:val="auto"/>
                <w:u w:val="none"/>
              </w:rPr>
              <w:t xml:space="preserve"> </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dboehm@BKLlawfirm.com</w:t>
            </w:r>
            <w:r w:rsidRPr="002D26AD">
              <w:rPr>
                <w:rFonts w:cs="Times New Roman"/>
                <w:szCs w:val="24"/>
              </w:rPr>
              <w:t xml:space="preserve"> </w:t>
            </w:r>
          </w:p>
          <w:p w:rsidR="002D26AD" w:rsidRPr="002D26AD" w:rsidP="009C046F">
            <w:pPr>
              <w:tabs>
                <w:tab w:val="right" w:pos="4461"/>
              </w:tabs>
              <w:autoSpaceDE w:val="0"/>
              <w:autoSpaceDN w:val="0"/>
              <w:adjustRightInd w:val="0"/>
              <w:rPr>
                <w:rFonts w:cs="Times New Roman"/>
                <w:szCs w:val="24"/>
              </w:rPr>
            </w:pPr>
            <w:r w:rsidRPr="002D26AD">
              <w:rPr>
                <w:rStyle w:val="DefaultParagraphFont"/>
                <w:color w:val="auto"/>
                <w:u w:val="none"/>
              </w:rPr>
              <w:t>mkurtz@BKLlawfirm.com</w:t>
            </w:r>
            <w:r w:rsidRPr="002D26AD">
              <w:rPr>
                <w:rFonts w:cs="Times New Roman"/>
                <w:szCs w:val="24"/>
              </w:rPr>
              <w:t xml:space="preserve"> </w:t>
            </w:r>
            <w:r w:rsidR="009C046F">
              <w:rPr>
                <w:rFonts w:cs="Times New Roman"/>
                <w:szCs w:val="24"/>
              </w:rPr>
              <w:tab/>
            </w:r>
          </w:p>
          <w:p w:rsidR="002D26AD" w:rsidRPr="002D26AD" w:rsidP="000B6B2A">
            <w:pPr>
              <w:autoSpaceDE w:val="0"/>
              <w:autoSpaceDN w:val="0"/>
              <w:adjustRightInd w:val="0"/>
              <w:rPr>
                <w:rFonts w:cs="Times New Roman"/>
                <w:szCs w:val="24"/>
              </w:rPr>
            </w:pPr>
            <w:r w:rsidRPr="002D26AD">
              <w:rPr>
                <w:rStyle w:val="DefaultParagraphFont"/>
                <w:color w:val="auto"/>
                <w:u w:val="none"/>
              </w:rPr>
              <w:t>jkylercohn@BKLlawfirm.com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sam@mwncmh.com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fdarr@mwncmh.com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mpritchard@mwncmh.com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jlang@calfee.com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talexander@calfee.com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slesser@calfee.com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jvickers@elpc.org</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tdougherty@theOEC.org</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mleppla@theOEC.org</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jfinnigan@edf.org</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swilliams@nrdc.org</w:t>
            </w:r>
            <w:r w:rsidRPr="002D26AD">
              <w:rPr>
                <w:rFonts w:cs="Times New Roman"/>
                <w:szCs w:val="24"/>
              </w:rPr>
              <w:t xml:space="preserve"> </w:t>
            </w:r>
          </w:p>
          <w:p w:rsidR="002D26AD" w:rsidRPr="002D26AD" w:rsidP="000B6B2A">
            <w:pPr>
              <w:rPr>
                <w:rFonts w:cs="Times New Roman"/>
                <w:szCs w:val="24"/>
              </w:rPr>
            </w:pPr>
            <w:r w:rsidRPr="002D26AD">
              <w:rPr>
                <w:rStyle w:val="DefaultParagraphFont"/>
                <w:color w:val="auto"/>
                <w:u w:val="none"/>
              </w:rPr>
              <w:t>rdove@attorneydove.com</w:t>
            </w:r>
            <w:r w:rsidRPr="002D26AD">
              <w:rPr>
                <w:rFonts w:cs="Times New Roman"/>
                <w:szCs w:val="24"/>
              </w:rPr>
              <w:t xml:space="preserve"> </w:t>
            </w:r>
            <w:r w:rsidRPr="002D26AD">
              <w:rPr>
                <w:rStyle w:val="DefaultParagraphFont"/>
                <w:color w:val="auto"/>
                <w:u w:val="none"/>
              </w:rPr>
              <w:t xml:space="preserve"> </w:t>
            </w:r>
          </w:p>
          <w:p w:rsidR="002D26AD" w:rsidRPr="002D26AD" w:rsidP="000B6B2A">
            <w:pPr>
              <w:rPr>
                <w:rFonts w:cs="Times New Roman"/>
                <w:szCs w:val="24"/>
              </w:rPr>
            </w:pPr>
            <w:r w:rsidRPr="002D26AD">
              <w:rPr>
                <w:rStyle w:val="DefaultParagraphFont"/>
                <w:color w:val="auto"/>
                <w:u w:val="none"/>
              </w:rPr>
              <w:t>kfield@elpc.org</w:t>
            </w:r>
            <w:r w:rsidRPr="002D26AD">
              <w:rPr>
                <w:rFonts w:cs="Times New Roman"/>
                <w:szCs w:val="24"/>
              </w:rPr>
              <w:t xml:space="preserve"> </w:t>
            </w:r>
          </w:p>
          <w:p w:rsidR="002D26AD" w:rsidRPr="002D26AD" w:rsidP="000B6B2A">
            <w:pPr>
              <w:rPr>
                <w:rFonts w:cs="Times New Roman"/>
                <w:szCs w:val="24"/>
              </w:rPr>
            </w:pPr>
            <w:r w:rsidRPr="002D26AD">
              <w:rPr>
                <w:rStyle w:val="DefaultParagraphFont"/>
                <w:color w:val="auto"/>
                <w:u w:val="none"/>
              </w:rPr>
              <w:t>mfleisher@elpc.org</w:t>
            </w:r>
            <w:r w:rsidRPr="002D26AD">
              <w:rPr>
                <w:rFonts w:cs="Times New Roman"/>
                <w:szCs w:val="24"/>
              </w:rPr>
              <w:t xml:space="preserve"> </w:t>
            </w:r>
          </w:p>
          <w:p w:rsidR="002D26AD" w:rsidRPr="002D26AD" w:rsidP="000B6B2A">
            <w:pPr>
              <w:rPr>
                <w:rFonts w:cs="Times New Roman"/>
                <w:szCs w:val="24"/>
              </w:rPr>
            </w:pPr>
          </w:p>
          <w:p w:rsidR="002D26AD" w:rsidRPr="002D26AD" w:rsidP="000B6B2A">
            <w:pPr>
              <w:autoSpaceDE w:val="0"/>
              <w:autoSpaceDN w:val="0"/>
              <w:adjustRightInd w:val="0"/>
              <w:rPr>
                <w:rFonts w:cs="Times New Roman"/>
                <w:szCs w:val="24"/>
              </w:rPr>
            </w:pPr>
            <w:r w:rsidRPr="002D26AD">
              <w:rPr>
                <w:rFonts w:cs="Times New Roman"/>
                <w:szCs w:val="24"/>
              </w:rPr>
              <w:t>Attorney Examiners:</w:t>
            </w:r>
          </w:p>
          <w:p w:rsidR="002D26AD" w:rsidRPr="002D26AD" w:rsidP="000B6B2A">
            <w:pPr>
              <w:rPr>
                <w:rFonts w:cs="Times New Roman"/>
                <w:szCs w:val="24"/>
              </w:rPr>
            </w:pPr>
            <w:r w:rsidRPr="002D26AD">
              <w:rPr>
                <w:rStyle w:val="DefaultParagraphFont"/>
                <w:color w:val="auto"/>
                <w:u w:val="none"/>
              </w:rPr>
              <w:t>gregory.price@puc.state.oh.us</w:t>
            </w:r>
            <w:r w:rsidRPr="002D26AD">
              <w:rPr>
                <w:rFonts w:cs="Times New Roman"/>
                <w:szCs w:val="24"/>
              </w:rPr>
              <w:t xml:space="preserve"> </w:t>
            </w:r>
          </w:p>
          <w:p w:rsidR="002D26AD" w:rsidRPr="002D26AD" w:rsidP="000B6B2A">
            <w:pPr>
              <w:rPr>
                <w:rFonts w:cs="Times New Roman"/>
                <w:szCs w:val="24"/>
              </w:rPr>
            </w:pPr>
            <w:r w:rsidRPr="002D26AD">
              <w:rPr>
                <w:rFonts w:cs="Times New Roman"/>
                <w:szCs w:val="24"/>
              </w:rPr>
              <w:t>patricia.schabo@puc.state.oh.us</w:t>
            </w:r>
          </w:p>
        </w:tc>
        <w:tc>
          <w:tcPr>
            <w:tcW w:w="4114" w:type="dxa"/>
          </w:tcPr>
          <w:p w:rsidR="002D26AD" w:rsidRPr="002D26AD" w:rsidP="000B6B2A">
            <w:pPr>
              <w:autoSpaceDE w:val="0"/>
              <w:autoSpaceDN w:val="0"/>
              <w:adjustRightInd w:val="0"/>
              <w:rPr>
                <w:rFonts w:cs="Times New Roman"/>
                <w:szCs w:val="24"/>
              </w:rPr>
            </w:pPr>
            <w:r w:rsidRPr="002D26AD">
              <w:rPr>
                <w:rStyle w:val="DefaultParagraphFont"/>
                <w:color w:val="auto"/>
                <w:u w:val="none"/>
              </w:rPr>
              <w:t>Michael.schuler@aes.com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djireland@ficlaw.com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jsharkey@ficlaw.com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Kurt.Helfrich@ThompsonHine.com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Stephanie.Chmiel@ThompsonHine.com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Michael.Austin@ThompsonHine.com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mfleisher@elpc.org</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dparram@taftlaw.com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thomas.jernigan.3@us.af.mil</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cmooney@ohiopartners.org</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dborchers@bricker.com</w:t>
            </w:r>
          </w:p>
          <w:p w:rsidR="002D26AD" w:rsidRPr="002D26AD" w:rsidP="000B6B2A">
            <w:pPr>
              <w:autoSpaceDE w:val="0"/>
              <w:autoSpaceDN w:val="0"/>
              <w:adjustRightInd w:val="0"/>
              <w:rPr>
                <w:rFonts w:cs="Times New Roman"/>
                <w:szCs w:val="24"/>
              </w:rPr>
            </w:pPr>
            <w:r w:rsidRPr="002D26AD">
              <w:rPr>
                <w:rStyle w:val="DefaultParagraphFont"/>
                <w:color w:val="auto"/>
                <w:u w:val="none"/>
              </w:rPr>
              <w:t>mwarnock@bricker.com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ejacobs@ablelaw.org</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joliker@igsenergy.com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lhawrot@spilmanlaw.com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dwilliamson@spilmanlaw.com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Style w:val="DefaultParagraphFont"/>
                <w:color w:val="auto"/>
                <w:u w:val="none"/>
              </w:rPr>
              <w:t>charris@spilmanlaw.com</w:t>
            </w:r>
            <w:r w:rsidRPr="002D26AD">
              <w:rPr>
                <w:rFonts w:cs="Times New Roman"/>
                <w:szCs w:val="24"/>
              </w:rPr>
              <w:t xml:space="preserve"> </w:t>
            </w:r>
          </w:p>
          <w:p w:rsidR="002D26AD" w:rsidRPr="002D26AD" w:rsidP="000B6B2A">
            <w:pPr>
              <w:autoSpaceDE w:val="0"/>
              <w:autoSpaceDN w:val="0"/>
              <w:adjustRightInd w:val="0"/>
              <w:rPr>
                <w:rFonts w:cs="Times New Roman"/>
                <w:szCs w:val="24"/>
              </w:rPr>
            </w:pPr>
            <w:r w:rsidRPr="002D26AD">
              <w:rPr>
                <w:rFonts w:cs="Times New Roman"/>
                <w:szCs w:val="24"/>
              </w:rPr>
              <w:t>mjsettineri@vorys.com</w:t>
            </w:r>
          </w:p>
          <w:p w:rsidR="002D26AD" w:rsidRPr="002D26AD" w:rsidP="000B6B2A">
            <w:pPr>
              <w:rPr>
                <w:rFonts w:cs="Times New Roman"/>
                <w:szCs w:val="24"/>
              </w:rPr>
            </w:pPr>
            <w:r w:rsidRPr="002D26AD">
              <w:rPr>
                <w:rStyle w:val="DefaultParagraphFont"/>
                <w:color w:val="auto"/>
                <w:u w:val="none"/>
              </w:rPr>
              <w:t>glpetrucci@vorys.com</w:t>
            </w:r>
          </w:p>
          <w:p w:rsidR="002D26AD" w:rsidRPr="002D26AD" w:rsidP="000B6B2A">
            <w:pPr>
              <w:autoSpaceDE w:val="0"/>
              <w:autoSpaceDN w:val="0"/>
              <w:adjustRightInd w:val="0"/>
              <w:rPr>
                <w:rFonts w:cs="Times New Roman"/>
                <w:szCs w:val="24"/>
              </w:rPr>
            </w:pPr>
            <w:r w:rsidRPr="002D26AD">
              <w:rPr>
                <w:rFonts w:cs="Times New Roman"/>
                <w:szCs w:val="24"/>
              </w:rPr>
              <w:t>whitt@whitt-sturtevant.com</w:t>
            </w:r>
          </w:p>
          <w:p w:rsidR="002D26AD" w:rsidRPr="002D26AD" w:rsidP="000B6B2A">
            <w:pPr>
              <w:autoSpaceDE w:val="0"/>
              <w:autoSpaceDN w:val="0"/>
              <w:adjustRightInd w:val="0"/>
              <w:rPr>
                <w:rFonts w:cs="Times New Roman"/>
                <w:szCs w:val="24"/>
              </w:rPr>
            </w:pPr>
            <w:r w:rsidRPr="002D26AD">
              <w:rPr>
                <w:rFonts w:cs="Times New Roman"/>
                <w:szCs w:val="24"/>
              </w:rPr>
              <w:t>campbell@whitt-sturtevant.com</w:t>
            </w:r>
          </w:p>
          <w:p w:rsidR="002D26AD" w:rsidRPr="002D26AD" w:rsidP="000B6B2A">
            <w:pPr>
              <w:rPr>
                <w:rFonts w:cs="Times New Roman"/>
                <w:szCs w:val="24"/>
              </w:rPr>
            </w:pPr>
            <w:r w:rsidRPr="002D26AD">
              <w:rPr>
                <w:rStyle w:val="DefaultParagraphFont"/>
                <w:color w:val="auto"/>
                <w:u w:val="none"/>
              </w:rPr>
              <w:t>glover@whitt-sturtevant.com</w:t>
            </w:r>
          </w:p>
          <w:p w:rsidR="002D26AD" w:rsidRPr="002D26AD" w:rsidP="000B6B2A">
            <w:pPr>
              <w:rPr>
                <w:rFonts w:cs="Times New Roman"/>
                <w:szCs w:val="24"/>
              </w:rPr>
            </w:pPr>
            <w:r w:rsidRPr="002D26AD">
              <w:rPr>
                <w:rStyle w:val="DefaultParagraphFont"/>
                <w:color w:val="auto"/>
                <w:u w:val="none"/>
              </w:rPr>
              <w:t>jdoll@djflawfirm.com</w:t>
            </w:r>
          </w:p>
          <w:p w:rsidR="002D26AD" w:rsidRPr="002D26AD" w:rsidP="000B6B2A">
            <w:pPr>
              <w:rPr>
                <w:rFonts w:cs="Times New Roman"/>
                <w:szCs w:val="24"/>
              </w:rPr>
            </w:pPr>
          </w:p>
          <w:p w:rsidR="002D26AD" w:rsidRPr="002D26AD" w:rsidP="000B6B2A">
            <w:pPr>
              <w:rPr>
                <w:rFonts w:cs="Times New Roman"/>
                <w:szCs w:val="24"/>
              </w:rPr>
            </w:pPr>
          </w:p>
          <w:p w:rsidR="002D26AD" w:rsidRPr="002D26AD" w:rsidP="000B6B2A">
            <w:pPr>
              <w:rPr>
                <w:rFonts w:cs="Times New Roman"/>
                <w:szCs w:val="24"/>
              </w:rPr>
            </w:pPr>
          </w:p>
        </w:tc>
      </w:tr>
    </w:tbl>
    <w:p w:rsidR="000B6B2A" w:rsidRPr="00DE0B7B" w:rsidP="000B6B2A"/>
    <w:sectPr w:rsidSect="009C046F">
      <w:footerReference w:type="default" r:id="rI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68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43631088"/>
      <w:docPartObj>
        <w:docPartGallery w:val="Page Numbers (Bottom of Page)"/>
        <w:docPartUnique/>
      </w:docPartObj>
    </w:sdtPr>
    <w:sdtEndPr>
      <w:rPr>
        <w:noProof/>
      </w:rPr>
    </w:sdtEndPr>
    <w:sdtContent>
      <w:p w:rsidR="00BC568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72029877"/>
      <w:docPartObj>
        <w:docPartGallery w:val="Page Numbers (Bottom of Page)"/>
        <w:docPartUnique/>
      </w:docPartObj>
    </w:sdtPr>
    <w:sdtEndPr>
      <w:rPr>
        <w:noProof/>
      </w:rPr>
    </w:sdtEndPr>
    <w:sdtContent>
      <w:p w:rsidR="009C046F">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44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5F51" w:rsidP="000B6B2A">
      <w:pPr>
        <w:spacing w:after="0" w:line="240" w:lineRule="auto"/>
        <w:rPr>
          <w:noProof/>
        </w:rPr>
      </w:pPr>
      <w:r>
        <w:rPr>
          <w:noProof/>
        </w:rPr>
        <w:separator/>
      </w:r>
    </w:p>
  </w:footnote>
  <w:footnote w:type="continuationSeparator" w:id="1">
    <w:p w:rsidR="00E15F51" w:rsidP="000B6B2A">
      <w:pPr>
        <w:spacing w:after="0" w:line="240" w:lineRule="auto"/>
      </w:pPr>
      <w:r>
        <w:continuationSeparator/>
      </w:r>
    </w:p>
  </w:footnote>
  <w:footnote w:id="2">
    <w:p w:rsidR="000B6B2A" w:rsidRPr="00BC5683">
      <w:pPr>
        <w:pStyle w:val="FootnoteText"/>
      </w:pPr>
      <w:r w:rsidRPr="00BC5683">
        <w:rPr>
          <w:rStyle w:val="FootnoteReference"/>
        </w:rPr>
        <w:footnoteRef/>
      </w:r>
      <w:r w:rsidRPr="00BC5683">
        <w:t xml:space="preserve"> DP&amp;L Reply Brief at 4 (Aug. 27, 2018) (“DP&amp;L Reply Brief”).</w:t>
      </w:r>
    </w:p>
  </w:footnote>
  <w:footnote w:id="3">
    <w:p w:rsidR="000B6B2A" w:rsidRPr="00BC5683" w:rsidP="00AB4C00">
      <w:pPr>
        <w:pStyle w:val="FootnoteText"/>
      </w:pPr>
      <w:r w:rsidRPr="00BC5683">
        <w:rPr>
          <w:rStyle w:val="FootnoteReference"/>
        </w:rPr>
        <w:footnoteRef/>
      </w:r>
      <w:r w:rsidRPr="00BC5683">
        <w:t xml:space="preserve"> </w:t>
      </w:r>
      <w:r w:rsidRPr="00BC5683">
        <w:rPr>
          <w:i/>
        </w:rPr>
        <w:t xml:space="preserve"> See</w:t>
      </w:r>
      <w:r w:rsidRPr="00BC5683">
        <w:t xml:space="preserve"> Application for Rehearing and Memorandum in Support of Interstate Gas Supply, Inc. (Oct. 26, 2018) (the “IGS AFR”) at 22-25; Application for Rehearing of the Retail Energy Supply Association (Oct. 26, 2018) (the “RESA AFR”) at 1.  RESA’s first assignment of error is that the Order “authorizes distribution rates that recover costs incurred by DP&amp;L to provide SSO service, in violation of R.C. Chapter 4928.” </w:t>
      </w:r>
      <w:r w:rsidRPr="00BC5683">
        <w:rPr>
          <w:i/>
        </w:rPr>
        <w:t>See</w:t>
      </w:r>
      <w:r w:rsidRPr="00BC5683">
        <w:t xml:space="preserve"> RESA AFR at 1. RESA does not provide any argument on this issue but instead incorporates IGS’s AFR by reference. </w:t>
      </w:r>
      <w:r w:rsidRPr="00BC5683">
        <w:rPr>
          <w:i/>
        </w:rPr>
        <w:t>Id.</w:t>
      </w:r>
      <w:r w:rsidRPr="00BC5683">
        <w:t xml:space="preserve"> at 3. Thus, when OCC cites IGS’s application for rehearing, it refers to the Marketers as opposed to solely referring to IGS.</w:t>
      </w:r>
    </w:p>
  </w:footnote>
  <w:footnote w:id="4">
    <w:p w:rsidR="000B6B2A" w:rsidRPr="00BC5683">
      <w:pPr>
        <w:pStyle w:val="FootnoteText"/>
      </w:pPr>
      <w:r w:rsidRPr="00BC5683">
        <w:rPr>
          <w:rStyle w:val="FootnoteReference"/>
        </w:rPr>
        <w:footnoteRef/>
      </w:r>
      <w:r w:rsidRPr="00BC5683">
        <w:t xml:space="preserve"> Opinion &amp; Order (Sept. 26, 2018).</w:t>
      </w:r>
    </w:p>
  </w:footnote>
  <w:footnote w:id="5">
    <w:p w:rsidR="000B6B2A" w:rsidRPr="00BC5683">
      <w:pPr>
        <w:pStyle w:val="FootnoteText"/>
      </w:pPr>
      <w:r w:rsidRPr="00BC5683">
        <w:rPr>
          <w:rStyle w:val="FootnoteReference"/>
        </w:rPr>
        <w:footnoteRef/>
      </w:r>
      <w:r w:rsidRPr="00BC5683">
        <w:t xml:space="preserve"> Stipulation at 1 (emphasis added).</w:t>
      </w:r>
    </w:p>
  </w:footnote>
  <w:footnote w:id="6">
    <w:p w:rsidR="000B6B2A" w:rsidRPr="00BC5683">
      <w:pPr>
        <w:pStyle w:val="FootnoteText"/>
      </w:pPr>
      <w:r w:rsidRPr="00BC5683">
        <w:rPr>
          <w:rStyle w:val="FootnoteReference"/>
        </w:rPr>
        <w:footnoteRef/>
      </w:r>
      <w:r w:rsidRPr="00BC5683">
        <w:t xml:space="preserve"> </w:t>
      </w:r>
      <w:r w:rsidRPr="00BC5683">
        <w:rPr>
          <w:i/>
        </w:rPr>
        <w:t>See</w:t>
      </w:r>
      <w:r w:rsidRPr="00BC5683">
        <w:t xml:space="preserve"> OCC Brief at 2 (Aug. 17, 2018).</w:t>
      </w:r>
    </w:p>
  </w:footnote>
  <w:footnote w:id="7">
    <w:p w:rsidR="000B6B2A" w:rsidRPr="00BC5683" w:rsidP="00C83308">
      <w:pPr>
        <w:pStyle w:val="FootnoteText"/>
      </w:pPr>
      <w:r w:rsidRPr="00BC5683">
        <w:rPr>
          <w:rStyle w:val="FootnoteReference"/>
        </w:rPr>
        <w:footnoteRef/>
      </w:r>
      <w:r w:rsidRPr="00BC5683">
        <w:t xml:space="preserve"> </w:t>
      </w:r>
      <w:r w:rsidRPr="00BC5683">
        <w:rPr>
          <w:i/>
        </w:rPr>
        <w:t>See</w:t>
      </w:r>
      <w:r w:rsidRPr="00BC5683">
        <w:t xml:space="preserve"> IGS AFR at 22.</w:t>
      </w:r>
    </w:p>
  </w:footnote>
  <w:footnote w:id="8">
    <w:p w:rsidR="000B6B2A" w:rsidRPr="00BC5683" w:rsidP="00C83308">
      <w:pPr>
        <w:pStyle w:val="FootnoteText"/>
      </w:pPr>
      <w:r w:rsidRPr="00BC5683">
        <w:rPr>
          <w:rStyle w:val="FootnoteReference"/>
        </w:rPr>
        <w:footnoteRef/>
      </w:r>
      <w:r w:rsidRPr="00BC5683">
        <w:t xml:space="preserve"> </w:t>
      </w:r>
      <w:r w:rsidRPr="00BC5683">
        <w:rPr>
          <w:i/>
        </w:rPr>
        <w:t>Id.</w:t>
      </w:r>
      <w:r w:rsidRPr="00BC5683">
        <w:t xml:space="preserve"> at 29.</w:t>
      </w:r>
    </w:p>
  </w:footnote>
  <w:footnote w:id="9">
    <w:p w:rsidR="000B6B2A" w:rsidRPr="00BC5683">
      <w:pPr>
        <w:pStyle w:val="FootnoteText"/>
      </w:pPr>
      <w:r w:rsidRPr="00BC5683">
        <w:rPr>
          <w:rStyle w:val="FootnoteReference"/>
        </w:rPr>
        <w:footnoteRef/>
      </w:r>
      <w:r w:rsidRPr="00BC5683">
        <w:t xml:space="preserve"> </w:t>
      </w:r>
      <w:r w:rsidRPr="00BC5683">
        <w:rPr>
          <w:i/>
        </w:rPr>
        <w:t xml:space="preserve">Id. </w:t>
      </w:r>
      <w:r w:rsidRPr="00BC5683">
        <w:t>at 30.</w:t>
      </w:r>
    </w:p>
  </w:footnote>
  <w:footnote w:id="10">
    <w:p w:rsidR="000B6B2A" w:rsidRPr="00BC5683">
      <w:pPr>
        <w:pStyle w:val="FootnoteText"/>
      </w:pPr>
      <w:r w:rsidRPr="00BC5683">
        <w:rPr>
          <w:rStyle w:val="FootnoteReference"/>
        </w:rPr>
        <w:footnoteRef/>
      </w:r>
      <w:r w:rsidRPr="00BC5683">
        <w:t xml:space="preserve"> R.C. 4928.03.</w:t>
      </w:r>
    </w:p>
  </w:footnote>
  <w:footnote w:id="11">
    <w:p w:rsidR="000B6B2A" w:rsidRPr="00BC5683" w:rsidP="00A26F34">
      <w:pPr>
        <w:spacing w:after="120" w:line="240" w:lineRule="auto"/>
        <w:rPr>
          <w:sz w:val="20"/>
          <w:szCs w:val="20"/>
        </w:rPr>
      </w:pPr>
      <w:r w:rsidRPr="00BC5683">
        <w:rPr>
          <w:rStyle w:val="FootnoteReference"/>
          <w:sz w:val="20"/>
          <w:szCs w:val="20"/>
        </w:rPr>
        <w:footnoteRef/>
      </w:r>
      <w:r w:rsidRPr="00BC5683">
        <w:rPr>
          <w:sz w:val="20"/>
          <w:szCs w:val="20"/>
        </w:rPr>
        <w:t xml:space="preserve"> </w:t>
      </w:r>
      <w:r w:rsidRPr="00BC5683">
        <w:rPr>
          <w:i/>
          <w:sz w:val="20"/>
          <w:szCs w:val="20"/>
        </w:rPr>
        <w:t xml:space="preserve">See, e.g., </w:t>
      </w:r>
      <w:r w:rsidRPr="00BC5683">
        <w:rPr>
          <w:sz w:val="20"/>
          <w:szCs w:val="20"/>
        </w:rPr>
        <w:t xml:space="preserve">IGS AFR at 9. </w:t>
      </w:r>
    </w:p>
    <w:p w:rsidR="000B6B2A" w:rsidRPr="00BC5683">
      <w:pPr>
        <w:pStyle w:val="FootnoteText"/>
      </w:pPr>
    </w:p>
  </w:footnote>
  <w:footnote w:id="12">
    <w:p w:rsidR="000B6B2A" w:rsidRPr="00BC5683">
      <w:pPr>
        <w:pStyle w:val="FootnoteText"/>
      </w:pPr>
      <w:r w:rsidRPr="00BC5683">
        <w:rPr>
          <w:rStyle w:val="FootnoteReference"/>
        </w:rPr>
        <w:footnoteRef/>
      </w:r>
      <w:r w:rsidRPr="00BC5683">
        <w:t xml:space="preserve"> </w:t>
      </w:r>
      <w:r w:rsidRPr="00BC5683">
        <w:rPr>
          <w:i/>
        </w:rPr>
        <w:t>See</w:t>
      </w:r>
      <w:r w:rsidRPr="00BC5683">
        <w:t xml:space="preserve"> RESA/IGS Ex. 2 (“Hess Testimony”) at 14-15.</w:t>
      </w:r>
    </w:p>
  </w:footnote>
  <w:footnote w:id="13">
    <w:p w:rsidR="000B6B2A" w:rsidRPr="00BC5683">
      <w:pPr>
        <w:pStyle w:val="FootnoteText"/>
      </w:pPr>
      <w:r w:rsidRPr="00BC5683">
        <w:rPr>
          <w:rStyle w:val="FootnoteReference"/>
        </w:rPr>
        <w:footnoteRef/>
      </w:r>
      <w:r w:rsidRPr="00BC5683">
        <w:t xml:space="preserve"> </w:t>
      </w:r>
      <w:r w:rsidRPr="00BC5683">
        <w:rPr>
          <w:i/>
        </w:rPr>
        <w:t>Id</w:t>
      </w:r>
      <w:r w:rsidRPr="00BC5683">
        <w:t>.</w:t>
      </w:r>
    </w:p>
  </w:footnote>
  <w:footnote w:id="14">
    <w:p w:rsidR="000B6B2A" w:rsidRPr="00BC5683">
      <w:pPr>
        <w:pStyle w:val="FootnoteText"/>
      </w:pPr>
      <w:r w:rsidRPr="00BC5683">
        <w:rPr>
          <w:rStyle w:val="FootnoteReference"/>
        </w:rPr>
        <w:footnoteRef/>
      </w:r>
      <w:r w:rsidRPr="00BC5683">
        <w:t xml:space="preserve"> </w:t>
      </w:r>
      <w:r w:rsidRPr="00BC5683">
        <w:rPr>
          <w:i/>
        </w:rPr>
        <w:t>Id.</w:t>
      </w:r>
      <w:r w:rsidRPr="00BC5683">
        <w:t xml:space="preserve"> at Exhibit JEH-2.</w:t>
      </w:r>
    </w:p>
  </w:footnote>
  <w:footnote w:id="15">
    <w:p w:rsidR="000B6B2A" w:rsidRPr="00BC5683">
      <w:pPr>
        <w:pStyle w:val="FootnoteText"/>
      </w:pPr>
      <w:r w:rsidRPr="00BC5683">
        <w:rPr>
          <w:rStyle w:val="FootnoteReference"/>
        </w:rPr>
        <w:footnoteRef/>
      </w:r>
      <w:r w:rsidRPr="00BC5683">
        <w:t xml:space="preserve"> </w:t>
      </w:r>
      <w:r w:rsidRPr="00BC5683">
        <w:rPr>
          <w:i/>
        </w:rPr>
        <w:t>See</w:t>
      </w:r>
      <w:r w:rsidRPr="00BC5683">
        <w:t xml:space="preserve"> IGS AFR at 26.</w:t>
      </w:r>
    </w:p>
  </w:footnote>
  <w:footnote w:id="16">
    <w:p w:rsidR="000B6B2A" w:rsidRPr="00BC5683">
      <w:pPr>
        <w:pStyle w:val="FootnoteText"/>
      </w:pPr>
      <w:r w:rsidRPr="00BC5683">
        <w:rPr>
          <w:rStyle w:val="FootnoteReference"/>
        </w:rPr>
        <w:footnoteRef/>
      </w:r>
      <w:r w:rsidRPr="00BC5683">
        <w:t xml:space="preserve"> </w:t>
      </w:r>
      <w:r w:rsidRPr="00BC5683">
        <w:rPr>
          <w:i/>
        </w:rPr>
        <w:t>Elyria</w:t>
      </w:r>
      <w:r w:rsidRPr="00BC5683">
        <w:t xml:space="preserve"> at 314-15.</w:t>
      </w:r>
    </w:p>
  </w:footnote>
  <w:footnote w:id="17">
    <w:p w:rsidR="000B6B2A" w:rsidRPr="00BC5683">
      <w:pPr>
        <w:pStyle w:val="FootnoteText"/>
      </w:pPr>
      <w:r w:rsidRPr="00BC5683">
        <w:rPr>
          <w:rStyle w:val="FootnoteReference"/>
        </w:rPr>
        <w:footnoteRef/>
      </w:r>
      <w:r w:rsidRPr="00BC5683">
        <w:t xml:space="preserve"> </w:t>
      </w:r>
      <w:r w:rsidRPr="00BC5683">
        <w:rPr>
          <w:i/>
        </w:rPr>
        <w:t>See supra</w:t>
      </w:r>
      <w:r w:rsidRPr="00BC5683">
        <w:t xml:space="preserve"> § I.A (refuting the Marketers’ claim that call center costs, printing and postage, accounting infrastructure, IT employees and software, administrative and general salaries, legal and regulatory costs, office space, regulatory assessments, and taxes are generation-related costs that must be charged exclusively to SSO customers).</w:t>
      </w:r>
    </w:p>
  </w:footnote>
  <w:footnote w:id="18">
    <w:p w:rsidR="000B6B2A" w:rsidRPr="00BC5683">
      <w:pPr>
        <w:pStyle w:val="FootnoteText"/>
      </w:pPr>
      <w:r w:rsidRPr="00BC5683">
        <w:rPr>
          <w:rStyle w:val="FootnoteReference"/>
        </w:rPr>
        <w:footnoteRef/>
      </w:r>
      <w:r w:rsidRPr="00BC5683">
        <w:t xml:space="preserve"> </w:t>
      </w:r>
      <w:r w:rsidRPr="00BC5683">
        <w:rPr>
          <w:i/>
        </w:rPr>
        <w:t>See</w:t>
      </w:r>
      <w:r w:rsidRPr="00BC5683">
        <w:t xml:space="preserve"> Reply Brief by the Office of the Ohio Consumers’ Counsel (“OCC Reply Brief”) at 14 (Aug. 27, 2018).</w:t>
      </w:r>
    </w:p>
  </w:footnote>
  <w:footnote w:id="19">
    <w:p w:rsidR="000B6B2A" w:rsidRPr="00BC5683">
      <w:pPr>
        <w:pStyle w:val="FootnoteText"/>
      </w:pPr>
      <w:r w:rsidRPr="00BC5683">
        <w:rPr>
          <w:rStyle w:val="FootnoteReference"/>
        </w:rPr>
        <w:footnoteRef/>
      </w:r>
      <w:r w:rsidRPr="00BC5683">
        <w:t xml:space="preserve"> </w:t>
      </w:r>
      <w:r w:rsidRPr="00BC5683">
        <w:rPr>
          <w:i/>
        </w:rPr>
        <w:t>See</w:t>
      </w:r>
      <w:r w:rsidRPr="00BC5683">
        <w:t xml:space="preserve"> </w:t>
      </w:r>
      <w:r w:rsidRPr="00BC5683">
        <w:rPr>
          <w:i/>
        </w:rPr>
        <w:t>generally</w:t>
      </w:r>
      <w:r w:rsidRPr="00BC5683">
        <w:t xml:space="preserve"> IGS AFR.</w:t>
      </w:r>
    </w:p>
  </w:footnote>
  <w:footnote w:id="20">
    <w:p w:rsidR="000B6B2A" w:rsidRPr="00BC5683" w:rsidP="00C83308">
      <w:pPr>
        <w:pStyle w:val="FootnoteText"/>
      </w:pPr>
      <w:r w:rsidRPr="00BC5683">
        <w:rPr>
          <w:rStyle w:val="FootnoteReference"/>
        </w:rPr>
        <w:footnoteRef/>
      </w:r>
      <w:r w:rsidRPr="00BC5683">
        <w:t xml:space="preserve"> </w:t>
      </w:r>
      <w:r w:rsidRPr="00BC5683">
        <w:rPr>
          <w:i/>
        </w:rPr>
        <w:t>See</w:t>
      </w:r>
      <w:r w:rsidRPr="00BC5683">
        <w:t xml:space="preserve"> Order at 10</w:t>
      </w:r>
    </w:p>
  </w:footnote>
  <w:footnote w:id="21">
    <w:p w:rsidR="000B6B2A" w:rsidRPr="00BC5683">
      <w:pPr>
        <w:pStyle w:val="FootnoteText"/>
      </w:pPr>
      <w:r w:rsidRPr="00BC5683">
        <w:rPr>
          <w:rStyle w:val="FootnoteReference"/>
        </w:rPr>
        <w:footnoteRef/>
      </w:r>
      <w:r w:rsidRPr="00BC5683">
        <w:t xml:space="preserve"> </w:t>
      </w:r>
      <w:r w:rsidRPr="00BC5683">
        <w:rPr>
          <w:i/>
        </w:rPr>
        <w:t>See</w:t>
      </w:r>
      <w:r w:rsidRPr="00BC5683">
        <w:t xml:space="preserve"> IGS AFR at 31.</w:t>
      </w:r>
    </w:p>
  </w:footnote>
  <w:footnote w:id="22">
    <w:p w:rsidR="000B6B2A" w:rsidRPr="00BC5683">
      <w:pPr>
        <w:pStyle w:val="FootnoteText"/>
      </w:pPr>
      <w:r w:rsidRPr="00BC5683">
        <w:rPr>
          <w:rStyle w:val="FootnoteReference"/>
        </w:rPr>
        <w:footnoteRef/>
      </w:r>
      <w:r w:rsidRPr="00BC5683">
        <w:t xml:space="preserve"> </w:t>
      </w:r>
      <w:r w:rsidRPr="00BC5683">
        <w:rPr>
          <w:i/>
        </w:rPr>
        <w:t>See</w:t>
      </w:r>
      <w:r w:rsidRPr="00BC5683">
        <w:t xml:space="preserve"> </w:t>
      </w:r>
      <w:r w:rsidRPr="00BC5683">
        <w:rPr>
          <w:i/>
        </w:rPr>
        <w:t>id.</w:t>
      </w:r>
      <w:r w:rsidRPr="00BC5683">
        <w:t xml:space="preserve"> at 17.</w:t>
      </w:r>
    </w:p>
  </w:footnote>
  <w:footnote w:id="23">
    <w:p w:rsidR="000B6B2A" w:rsidRPr="00BC5683">
      <w:pPr>
        <w:pStyle w:val="FootnoteText"/>
      </w:pPr>
      <w:r w:rsidRPr="00BC5683">
        <w:rPr>
          <w:rStyle w:val="FootnoteReference"/>
        </w:rPr>
        <w:footnoteRef/>
      </w:r>
      <w:r w:rsidRPr="00BC5683">
        <w:t xml:space="preserve"> </w:t>
      </w:r>
      <w:r w:rsidRPr="00BC5683">
        <w:rPr>
          <w:i/>
        </w:rPr>
        <w:t>Id.</w:t>
      </w:r>
    </w:p>
  </w:footnote>
  <w:footnote w:id="24">
    <w:p w:rsidR="000B6B2A" w:rsidRPr="00BC5683">
      <w:pPr>
        <w:pStyle w:val="FootnoteText"/>
      </w:pPr>
      <w:r w:rsidRPr="00BC5683">
        <w:rPr>
          <w:rStyle w:val="FootnoteReference"/>
        </w:rPr>
        <w:footnoteRef/>
      </w:r>
      <w:r w:rsidRPr="00BC5683">
        <w:t xml:space="preserve"> </w:t>
      </w:r>
      <w:r w:rsidRPr="00BC5683">
        <w:rPr>
          <w:i/>
        </w:rPr>
        <w:t>See</w:t>
      </w:r>
      <w:r w:rsidRPr="00BC5683">
        <w:t xml:space="preserve"> Hess Testimony at 14-15.</w:t>
      </w:r>
    </w:p>
  </w:footnote>
  <w:footnote w:id="25">
    <w:p w:rsidR="000B6B2A" w:rsidRPr="00BC5683">
      <w:pPr>
        <w:pStyle w:val="FootnoteText"/>
      </w:pPr>
      <w:r w:rsidRPr="00BC5683">
        <w:rPr>
          <w:rStyle w:val="FootnoteReference"/>
        </w:rPr>
        <w:footnoteRef/>
      </w:r>
      <w:r w:rsidRPr="00BC5683">
        <w:t xml:space="preserve"> </w:t>
      </w:r>
      <w:r w:rsidRPr="00BC5683">
        <w:rPr>
          <w:i/>
        </w:rPr>
        <w:t>See</w:t>
      </w:r>
      <w:r w:rsidRPr="00BC5683">
        <w:t xml:space="preserve"> IGS AFR at 31-32.</w:t>
      </w:r>
    </w:p>
  </w:footnote>
  <w:footnote w:id="26">
    <w:p w:rsidR="000B6B2A" w:rsidRPr="00BC5683">
      <w:pPr>
        <w:pStyle w:val="FootnoteText"/>
      </w:pPr>
      <w:r w:rsidRPr="00BC5683">
        <w:rPr>
          <w:rStyle w:val="FootnoteReference"/>
        </w:rPr>
        <w:footnoteRef/>
      </w:r>
      <w:r w:rsidRPr="00BC5683">
        <w:t xml:space="preserve"> </w:t>
      </w:r>
      <w:r w:rsidRPr="00BC5683">
        <w:rPr>
          <w:i/>
        </w:rPr>
        <w:t>See</w:t>
      </w:r>
      <w:r w:rsidRPr="00BC5683">
        <w:t xml:space="preserve"> Order at 10.</w:t>
      </w:r>
    </w:p>
  </w:footnote>
  <w:footnote w:id="27">
    <w:p w:rsidR="000B6B2A" w:rsidRPr="00BC5683">
      <w:pPr>
        <w:pStyle w:val="FootnoteText"/>
      </w:pPr>
      <w:r w:rsidRPr="00BC5683">
        <w:rPr>
          <w:rStyle w:val="FootnoteReference"/>
        </w:rPr>
        <w:footnoteRef/>
      </w:r>
      <w:r w:rsidRPr="00BC5683">
        <w:t xml:space="preserve"> </w:t>
      </w:r>
      <w:r w:rsidRPr="00BC5683">
        <w:rPr>
          <w:i/>
        </w:rPr>
        <w:t>See</w:t>
      </w:r>
      <w:r w:rsidRPr="00BC5683">
        <w:t xml:space="preserve"> IGS AFR at 33.</w:t>
      </w:r>
    </w:p>
  </w:footnote>
  <w:footnote w:id="28">
    <w:p w:rsidR="000B6B2A" w:rsidRPr="00BC5683">
      <w:pPr>
        <w:pStyle w:val="FootnoteText"/>
      </w:pPr>
      <w:r w:rsidRPr="00BC5683">
        <w:rPr>
          <w:rStyle w:val="FootnoteReference"/>
        </w:rPr>
        <w:footnoteRef/>
      </w:r>
      <w:r w:rsidRPr="00BC5683">
        <w:t xml:space="preserve"> </w:t>
      </w:r>
      <w:r w:rsidRPr="00BC5683">
        <w:rPr>
          <w:i/>
        </w:rPr>
        <w:t xml:space="preserve">See </w:t>
      </w:r>
      <w:r w:rsidRPr="00BC5683">
        <w:t>OCC Reply Brief at 3-15; Reply Brief of the Greater Edgemont Community Coalition and Ohio Partners for Affordable Energy at 4 (Aug. 27, 2018) (“The standard service offer does not create a subsidy.”); Reply Brief Submitted on Behalf of the Staff of the Public Utilities Commission of Ohio at 6 (Aug. 27, 2018) (the Marketers’ “notion that non-SSO customers subsidize the SSO has no factual basis”); DP&amp;L Reply Brief at 2 (“The Commission Should Not Shift Costs to the SSO.”).</w:t>
      </w:r>
    </w:p>
  </w:footnote>
  <w:footnote w:id="29">
    <w:p w:rsidR="000B6B2A" w:rsidRPr="00BC5683">
      <w:pPr>
        <w:pStyle w:val="FootnoteText"/>
      </w:pPr>
      <w:r w:rsidRPr="00BC5683">
        <w:rPr>
          <w:rStyle w:val="FootnoteReference"/>
        </w:rPr>
        <w:footnoteRef/>
      </w:r>
      <w:r w:rsidRPr="00BC5683">
        <w:t xml:space="preserve"> </w:t>
      </w:r>
      <w:r w:rsidRPr="00BC5683">
        <w:rPr>
          <w:i/>
        </w:rPr>
        <w:t>See</w:t>
      </w:r>
      <w:r w:rsidRPr="00BC5683">
        <w:t xml:space="preserve"> OCC Ex. 1 at 8.</w:t>
      </w:r>
    </w:p>
  </w:footnote>
  <w:footnote w:id="30">
    <w:p w:rsidR="000B6B2A" w:rsidRPr="00BC5683">
      <w:pPr>
        <w:pStyle w:val="FootnoteText"/>
      </w:pPr>
      <w:r w:rsidRPr="00BC5683">
        <w:rPr>
          <w:rStyle w:val="FootnoteReference"/>
        </w:rPr>
        <w:footnoteRef/>
      </w:r>
      <w:r w:rsidRPr="00BC5683">
        <w:t xml:space="preserve"> </w:t>
      </w:r>
      <w:r w:rsidRPr="00BC5683">
        <w:rPr>
          <w:i/>
        </w:rPr>
        <w:t>See</w:t>
      </w:r>
      <w:r w:rsidRPr="00BC5683">
        <w:t xml:space="preserve"> The Dayton Power and Light Company’s Post-Hearing Brief at 7 (Aug. 17, 2018) (“An evaluation was done by DP&amp;L as well as the PUCO Staff, with both concluding that no costs should be shifted to the SSO.”).</w:t>
      </w:r>
    </w:p>
  </w:footnote>
  <w:footnote w:id="31">
    <w:p w:rsidR="000B6B2A" w:rsidRPr="00BC5683">
      <w:pPr>
        <w:pStyle w:val="FootnoteText"/>
      </w:pPr>
      <w:r w:rsidRPr="00BC5683">
        <w:rPr>
          <w:rStyle w:val="FootnoteReference"/>
        </w:rPr>
        <w:footnoteRef/>
      </w:r>
      <w:r w:rsidRPr="00BC5683">
        <w:t xml:space="preserve"> </w:t>
      </w:r>
      <w:r w:rsidRPr="00BC5683">
        <w:rPr>
          <w:i/>
        </w:rPr>
        <w:t>See</w:t>
      </w:r>
      <w:r w:rsidRPr="00BC5683">
        <w:t xml:space="preserve"> OCC Reply Brief at 7.</w:t>
      </w:r>
    </w:p>
  </w:footnote>
  <w:footnote w:id="32">
    <w:p w:rsidR="000B6B2A" w:rsidRPr="00BC5683">
      <w:pPr>
        <w:pStyle w:val="FootnoteText"/>
      </w:pPr>
      <w:r w:rsidRPr="00BC5683">
        <w:rPr>
          <w:rStyle w:val="FootnoteReference"/>
        </w:rPr>
        <w:footnoteRef/>
      </w:r>
      <w:r w:rsidRPr="00BC5683">
        <w:t xml:space="preserve"> </w:t>
      </w:r>
      <w:r w:rsidRPr="00BC5683">
        <w:rPr>
          <w:i/>
        </w:rPr>
        <w:t>Id.</w:t>
      </w:r>
    </w:p>
  </w:footnote>
  <w:footnote w:id="33">
    <w:p w:rsidR="000B6B2A" w:rsidRPr="00BC5683">
      <w:pPr>
        <w:pStyle w:val="FootnoteText"/>
      </w:pPr>
      <w:r w:rsidRPr="00BC5683">
        <w:rPr>
          <w:rStyle w:val="FootnoteReference"/>
        </w:rPr>
        <w:footnoteRef/>
      </w:r>
      <w:r w:rsidRPr="00BC5683">
        <w:t xml:space="preserve"> </w:t>
      </w:r>
      <w:r w:rsidRPr="00BC5683">
        <w:rPr>
          <w:i/>
        </w:rPr>
        <w:t>Id.</w:t>
      </w:r>
      <w:r w:rsidRPr="00BC5683">
        <w:t xml:space="preserve"> at 7-8.</w:t>
      </w:r>
    </w:p>
  </w:footnote>
  <w:footnote w:id="34">
    <w:p w:rsidR="000B6B2A" w:rsidRPr="00BC5683">
      <w:pPr>
        <w:pStyle w:val="FootnoteText"/>
      </w:pPr>
      <w:r w:rsidRPr="00BC5683">
        <w:rPr>
          <w:rStyle w:val="FootnoteReference"/>
        </w:rPr>
        <w:footnoteRef/>
      </w:r>
      <w:r w:rsidRPr="00BC5683">
        <w:t xml:space="preserve"> </w:t>
      </w:r>
      <w:r w:rsidRPr="00BC5683">
        <w:rPr>
          <w:i/>
        </w:rPr>
        <w:t>Id.</w:t>
      </w:r>
      <w:r w:rsidRPr="00BC5683">
        <w:t xml:space="preserve"> at 8-9.</w:t>
      </w:r>
    </w:p>
  </w:footnote>
  <w:footnote w:id="35">
    <w:p w:rsidR="000B6B2A" w:rsidRPr="00BC5683">
      <w:pPr>
        <w:pStyle w:val="FootnoteText"/>
      </w:pPr>
      <w:r w:rsidRPr="00BC5683">
        <w:rPr>
          <w:rStyle w:val="FootnoteReference"/>
        </w:rPr>
        <w:footnoteRef/>
      </w:r>
      <w:r w:rsidRPr="00BC5683">
        <w:t xml:space="preserve"> </w:t>
      </w:r>
      <w:r w:rsidRPr="00BC5683">
        <w:rPr>
          <w:i/>
        </w:rPr>
        <w:t>Id.</w:t>
      </w:r>
      <w:r w:rsidRPr="00BC5683">
        <w:t xml:space="preserve"> at 9.</w:t>
      </w:r>
    </w:p>
  </w:footnote>
  <w:footnote w:id="36">
    <w:p w:rsidR="000B6B2A" w:rsidRPr="00BC5683">
      <w:pPr>
        <w:pStyle w:val="FootnoteText"/>
      </w:pPr>
      <w:r w:rsidRPr="00BC5683">
        <w:rPr>
          <w:rStyle w:val="FootnoteReference"/>
        </w:rPr>
        <w:footnoteRef/>
      </w:r>
      <w:r w:rsidRPr="00BC5683">
        <w:t xml:space="preserve"> DP&amp;L Reply Brief at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39C1AB6"/>
    <w:lvl w:ilvl="0">
      <w:start w:val="1"/>
      <w:numFmt w:val="decimal"/>
      <w:lvlText w:val="%1."/>
      <w:lvlJc w:val="left"/>
      <w:pPr>
        <w:tabs>
          <w:tab w:val="num" w:pos="1800"/>
        </w:tabs>
        <w:ind w:left="1800" w:hanging="360"/>
      </w:pPr>
    </w:lvl>
  </w:abstractNum>
  <w:abstractNum w:abstractNumId="1">
    <w:nsid w:val="FFFFFF7D"/>
    <w:multiLevelType w:val="singleLevel"/>
    <w:tmpl w:val="305E07D8"/>
    <w:lvl w:ilvl="0">
      <w:start w:val="1"/>
      <w:numFmt w:val="decimal"/>
      <w:lvlText w:val="%1."/>
      <w:lvlJc w:val="left"/>
      <w:pPr>
        <w:tabs>
          <w:tab w:val="num" w:pos="1440"/>
        </w:tabs>
        <w:ind w:left="1440" w:hanging="360"/>
      </w:pPr>
    </w:lvl>
  </w:abstractNum>
  <w:abstractNum w:abstractNumId="2">
    <w:nsid w:val="FFFFFF7E"/>
    <w:multiLevelType w:val="singleLevel"/>
    <w:tmpl w:val="782481F0"/>
    <w:lvl w:ilvl="0">
      <w:start w:val="1"/>
      <w:numFmt w:val="decimal"/>
      <w:lvlText w:val="%1."/>
      <w:lvlJc w:val="left"/>
      <w:pPr>
        <w:tabs>
          <w:tab w:val="num" w:pos="1080"/>
        </w:tabs>
        <w:ind w:left="1080" w:hanging="360"/>
      </w:pPr>
    </w:lvl>
  </w:abstractNum>
  <w:abstractNum w:abstractNumId="3">
    <w:nsid w:val="FFFFFF7F"/>
    <w:multiLevelType w:val="singleLevel"/>
    <w:tmpl w:val="3DA69542"/>
    <w:lvl w:ilvl="0">
      <w:start w:val="1"/>
      <w:numFmt w:val="decimal"/>
      <w:lvlText w:val="%1."/>
      <w:lvlJc w:val="left"/>
      <w:pPr>
        <w:tabs>
          <w:tab w:val="num" w:pos="720"/>
        </w:tabs>
        <w:ind w:left="720" w:hanging="360"/>
      </w:pPr>
    </w:lvl>
  </w:abstractNum>
  <w:abstractNum w:abstractNumId="4">
    <w:nsid w:val="FFFFFF80"/>
    <w:multiLevelType w:val="singleLevel"/>
    <w:tmpl w:val="EBAE12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5E03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8CD6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327B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7AA63C"/>
    <w:lvl w:ilvl="0">
      <w:start w:val="1"/>
      <w:numFmt w:val="decimal"/>
      <w:lvlText w:val="%1."/>
      <w:lvlJc w:val="left"/>
      <w:pPr>
        <w:tabs>
          <w:tab w:val="num" w:pos="360"/>
        </w:tabs>
        <w:ind w:left="360" w:hanging="360"/>
      </w:pPr>
    </w:lvl>
  </w:abstractNum>
  <w:abstractNum w:abstractNumId="9">
    <w:nsid w:val="FFFFFF89"/>
    <w:multiLevelType w:val="singleLevel"/>
    <w:tmpl w:val="B5E6F18A"/>
    <w:lvl w:ilvl="0">
      <w:start w:val="1"/>
      <w:numFmt w:val="bullet"/>
      <w:lvlText w:val=""/>
      <w:lvlJc w:val="left"/>
      <w:pPr>
        <w:tabs>
          <w:tab w:val="num" w:pos="360"/>
        </w:tabs>
        <w:ind w:left="360" w:hanging="360"/>
      </w:pPr>
      <w:rPr>
        <w:rFonts w:ascii="Symbol" w:hAnsi="Symbol" w:hint="default"/>
      </w:rPr>
    </w:lvl>
  </w:abstractNum>
  <w:abstractNum w:abstractNumId="10">
    <w:nsid w:val="00322334"/>
    <w:multiLevelType w:val="hybridMultilevel"/>
    <w:tmpl w:val="C4A6C6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015841E5"/>
    <w:multiLevelType w:val="hybridMultilevel"/>
    <w:tmpl w:val="3816168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5E55674"/>
    <w:multiLevelType w:val="hybridMultilevel"/>
    <w:tmpl w:val="9C4EEEAE"/>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B393111"/>
    <w:multiLevelType w:val="hybridMultilevel"/>
    <w:tmpl w:val="245885E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0C0D12AF"/>
    <w:multiLevelType w:val="hybridMultilevel"/>
    <w:tmpl w:val="16729C92"/>
    <w:lvl w:ilvl="0">
      <w:start w:val="1"/>
      <w:numFmt w:val="decimal"/>
      <w:lvlText w:val="%1."/>
      <w:lvlJc w:val="left"/>
      <w:pPr>
        <w:ind w:left="778" w:hanging="360"/>
      </w:pPr>
      <w:rPr>
        <w:b/>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15">
    <w:nsid w:val="0C45766B"/>
    <w:multiLevelType w:val="hybridMultilevel"/>
    <w:tmpl w:val="A5C03746"/>
    <w:lvl w:ilvl="0">
      <w:start w:val="1"/>
      <w:numFmt w:val="upperLetter"/>
      <w:lvlText w:val="%1."/>
      <w:lvlJc w:val="left"/>
      <w:pPr>
        <w:ind w:left="324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6">
    <w:nsid w:val="0EC67D1C"/>
    <w:multiLevelType w:val="hybridMultilevel"/>
    <w:tmpl w:val="EF50518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0FAD25BD"/>
    <w:multiLevelType w:val="hybridMultilevel"/>
    <w:tmpl w:val="AFE0CF3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10E8414B"/>
    <w:multiLevelType w:val="hybridMultilevel"/>
    <w:tmpl w:val="33F0F474"/>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16A56791"/>
    <w:multiLevelType w:val="hybridMultilevel"/>
    <w:tmpl w:val="20E2044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7A66774"/>
    <w:multiLevelType w:val="hybridMultilevel"/>
    <w:tmpl w:val="839EADB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1A961368"/>
    <w:multiLevelType w:val="hybridMultilevel"/>
    <w:tmpl w:val="8EE2E24E"/>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2">
    <w:nsid w:val="1D086487"/>
    <w:multiLevelType w:val="hybridMultilevel"/>
    <w:tmpl w:val="B8A28E2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2043176"/>
    <w:multiLevelType w:val="hybridMultilevel"/>
    <w:tmpl w:val="EF507CA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22E4477C"/>
    <w:multiLevelType w:val="hybridMultilevel"/>
    <w:tmpl w:val="52D2A1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295B5242"/>
    <w:multiLevelType w:val="hybridMultilevel"/>
    <w:tmpl w:val="F0BCEF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F440CF7"/>
    <w:multiLevelType w:val="hybridMultilevel"/>
    <w:tmpl w:val="571A092A"/>
    <w:lvl w:ilvl="0">
      <w:start w:val="1"/>
      <w:numFmt w:val="decimal"/>
      <w:pStyle w:val="Heading4"/>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7">
    <w:nsid w:val="317B7CE6"/>
    <w:multiLevelType w:val="hybridMultilevel"/>
    <w:tmpl w:val="DF3CC68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3DBE7556"/>
    <w:multiLevelType w:val="hybridMultilevel"/>
    <w:tmpl w:val="56904B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3F8A44A5"/>
    <w:multiLevelType w:val="hybridMultilevel"/>
    <w:tmpl w:val="6E7625C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41FB707D"/>
    <w:multiLevelType w:val="hybridMultilevel"/>
    <w:tmpl w:val="519C5DC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45260755"/>
    <w:multiLevelType w:val="hybridMultilevel"/>
    <w:tmpl w:val="6F4E7C9A"/>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4743258A"/>
    <w:multiLevelType w:val="hybridMultilevel"/>
    <w:tmpl w:val="B33445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4C2F5E2B"/>
    <w:multiLevelType w:val="hybridMultilevel"/>
    <w:tmpl w:val="6568A10E"/>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4DAB6C42"/>
    <w:multiLevelType w:val="hybridMultilevel"/>
    <w:tmpl w:val="247AE7DE"/>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1502BAB"/>
    <w:multiLevelType w:val="hybridMultilevel"/>
    <w:tmpl w:val="F72605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19D3C25"/>
    <w:multiLevelType w:val="hybridMultilevel"/>
    <w:tmpl w:val="26363B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53286F4C"/>
    <w:multiLevelType w:val="hybridMultilevel"/>
    <w:tmpl w:val="F348B506"/>
    <w:lvl w:ilvl="0">
      <w:start w:val="2"/>
      <w:numFmt w:val="upp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A31614A"/>
    <w:multiLevelType w:val="hybridMultilevel"/>
    <w:tmpl w:val="6278EC9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F0518BC"/>
    <w:multiLevelType w:val="hybridMultilevel"/>
    <w:tmpl w:val="73644D5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68DA3CDD"/>
    <w:multiLevelType w:val="hybridMultilevel"/>
    <w:tmpl w:val="574460A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1">
    <w:nsid w:val="6FB419F2"/>
    <w:multiLevelType w:val="hybridMultilevel"/>
    <w:tmpl w:val="157EDF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6FFE2FD5"/>
    <w:multiLevelType w:val="hybridMultilevel"/>
    <w:tmpl w:val="7154FB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3">
    <w:nsid w:val="77E157A2"/>
    <w:multiLevelType w:val="hybridMultilevel"/>
    <w:tmpl w:val="03146A3E"/>
    <w:lvl w:ilvl="0">
      <w:start w:val="1"/>
      <w:numFmt w:val="decimal"/>
      <w:lvlText w:val="%1."/>
      <w:lvlJc w:val="left"/>
      <w:pPr>
        <w:ind w:left="778" w:hanging="360"/>
      </w:pPr>
      <w:rPr>
        <w:b/>
        <w:i w:val="0"/>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44">
    <w:nsid w:val="79D82F71"/>
    <w:multiLevelType w:val="hybridMultilevel"/>
    <w:tmpl w:val="45FEB34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nsid w:val="7B66497B"/>
    <w:multiLevelType w:val="hybridMultilevel"/>
    <w:tmpl w:val="94343A5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44"/>
  </w:num>
  <w:num w:numId="2">
    <w:abstractNumId w:val="22"/>
  </w:num>
  <w:num w:numId="3">
    <w:abstractNumId w:val="38"/>
  </w:num>
  <w:num w:numId="4">
    <w:abstractNumId w:val="12"/>
  </w:num>
  <w:num w:numId="5">
    <w:abstractNumId w:val="31"/>
  </w:num>
  <w:num w:numId="6">
    <w:abstractNumId w:val="30"/>
  </w:num>
  <w:num w:numId="7">
    <w:abstractNumId w:val="18"/>
  </w:num>
  <w:num w:numId="8">
    <w:abstractNumId w:val="37"/>
  </w:num>
  <w:num w:numId="9">
    <w:abstractNumId w:val="24"/>
  </w:num>
  <w:num w:numId="10">
    <w:abstractNumId w:val="34"/>
  </w:num>
  <w:num w:numId="11">
    <w:abstractNumId w:val="25"/>
  </w:num>
  <w:num w:numId="12">
    <w:abstractNumId w:val="33"/>
  </w:num>
  <w:num w:numId="13">
    <w:abstractNumId w:val="27"/>
  </w:num>
  <w:num w:numId="14">
    <w:abstractNumId w:val="19"/>
  </w:num>
  <w:num w:numId="15">
    <w:abstractNumId w:val="13"/>
  </w:num>
  <w:num w:numId="16">
    <w:abstractNumId w:val="16"/>
  </w:num>
  <w:num w:numId="17">
    <w:abstractNumId w:val="35"/>
  </w:num>
  <w:num w:numId="18">
    <w:abstractNumId w:val="14"/>
  </w:num>
  <w:num w:numId="19">
    <w:abstractNumId w:val="43"/>
  </w:num>
  <w:num w:numId="20">
    <w:abstractNumId w:val="40"/>
  </w:num>
  <w:num w:numId="21">
    <w:abstractNumId w:val="10"/>
  </w:num>
  <w:num w:numId="22">
    <w:abstractNumId w:val="21"/>
  </w:num>
  <w:num w:numId="23">
    <w:abstractNumId w:val="41"/>
  </w:num>
  <w:num w:numId="24">
    <w:abstractNumId w:val="45"/>
  </w:num>
  <w:num w:numId="25">
    <w:abstractNumId w:val="20"/>
  </w:num>
  <w:num w:numId="26">
    <w:abstractNumId w:val="15"/>
  </w:num>
  <w:num w:numId="27">
    <w:abstractNumId w:val="15"/>
    <w:lvlOverride w:ilvl="0">
      <w:startOverride w:val="1"/>
    </w:lvlOverride>
  </w:num>
  <w:num w:numId="28">
    <w:abstractNumId w:val="15"/>
    <w:lvlOverride w:ilvl="0">
      <w:startOverride w:val="1"/>
    </w:lvlOverride>
  </w:num>
  <w:num w:numId="29">
    <w:abstractNumId w:val="9"/>
  </w:num>
  <w:num w:numId="30">
    <w:abstractNumId w:val="7"/>
  </w:num>
  <w:num w:numId="31">
    <w:abstractNumId w:val="6"/>
  </w:num>
  <w:num w:numId="32">
    <w:abstractNumId w:val="5"/>
  </w:num>
  <w:num w:numId="33">
    <w:abstractNumId w:val="4"/>
  </w:num>
  <w:num w:numId="34">
    <w:abstractNumId w:val="39"/>
  </w:num>
  <w:num w:numId="35">
    <w:abstractNumId w:val="23"/>
  </w:num>
  <w:num w:numId="36">
    <w:abstractNumId w:val="26"/>
  </w:num>
  <w:num w:numId="37">
    <w:abstractNumId w:val="17"/>
  </w:num>
  <w:num w:numId="38">
    <w:abstractNumId w:val="36"/>
  </w:num>
  <w:num w:numId="39">
    <w:abstractNumId w:val="29"/>
  </w:num>
  <w:num w:numId="40">
    <w:abstractNumId w:val="28"/>
  </w:num>
  <w:num w:numId="41">
    <w:abstractNumId w:val="32"/>
  </w:num>
  <w:num w:numId="42">
    <w:abstractNumId w:val="11"/>
  </w:num>
  <w:num w:numId="43">
    <w:abstractNumId w:val="42"/>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683"/>
    <w:rPr>
      <w:rFonts w:ascii="Times New Roman" w:hAnsi="Times New Roman"/>
      <w:sz w:val="24"/>
    </w:rPr>
  </w:style>
  <w:style w:type="paragraph" w:styleId="Heading1">
    <w:name w:val="heading 1"/>
    <w:basedOn w:val="Normal"/>
    <w:next w:val="Normal"/>
    <w:link w:val="Heading1Char"/>
    <w:autoRedefine/>
    <w:uiPriority w:val="9"/>
    <w:qFormat/>
    <w:rsid w:val="00BC5683"/>
    <w:pPr>
      <w:keepNext/>
      <w:keepLines/>
      <w:spacing w:after="240" w:line="240" w:lineRule="auto"/>
      <w:outlineLvl w:val="0"/>
    </w:pPr>
    <w:rPr>
      <w:rFonts w:eastAsia="Times New Roman" w:cs="Times New Roman"/>
      <w:b/>
      <w:bCs/>
      <w:caps/>
      <w:szCs w:val="24"/>
    </w:rPr>
  </w:style>
  <w:style w:type="paragraph" w:styleId="Heading2">
    <w:name w:val="heading 2"/>
    <w:basedOn w:val="Normal"/>
    <w:next w:val="Normal"/>
    <w:link w:val="Heading2Char"/>
    <w:autoRedefine/>
    <w:uiPriority w:val="9"/>
    <w:unhideWhenUsed/>
    <w:qFormat/>
    <w:rsid w:val="00BC5683"/>
    <w:pPr>
      <w:keepNext/>
      <w:keepLines/>
      <w:spacing w:after="240" w:line="240" w:lineRule="auto"/>
      <w:ind w:left="1440" w:right="720" w:hanging="720"/>
      <w:outlineLvl w:val="1"/>
    </w:pPr>
    <w:rPr>
      <w:rFonts w:eastAsia="Times New Roman" w:cs="Times New Roman"/>
      <w:b/>
      <w:bCs/>
      <w:szCs w:val="24"/>
    </w:rPr>
  </w:style>
  <w:style w:type="paragraph" w:styleId="Heading3">
    <w:name w:val="heading 3"/>
    <w:basedOn w:val="Normal"/>
    <w:next w:val="Normal"/>
    <w:link w:val="Heading3Char"/>
    <w:autoRedefine/>
    <w:uiPriority w:val="9"/>
    <w:unhideWhenUsed/>
    <w:qFormat/>
    <w:rsid w:val="00365CB9"/>
    <w:pPr>
      <w:keepNext/>
      <w:keepLines/>
      <w:numPr>
        <w:numId w:val="22"/>
      </w:numPr>
      <w:spacing w:after="240" w:line="240" w:lineRule="auto"/>
      <w:ind w:left="1440" w:right="144" w:hanging="720"/>
      <w:outlineLvl w:val="2"/>
    </w:pPr>
    <w:rPr>
      <w:rFonts w:eastAsiaTheme="majorEastAsia" w:cs="Times New Roman"/>
      <w:b/>
      <w:bCs/>
      <w:szCs w:val="24"/>
    </w:rPr>
  </w:style>
  <w:style w:type="paragraph" w:styleId="Heading4">
    <w:name w:val="heading 4"/>
    <w:basedOn w:val="Normal"/>
    <w:next w:val="Normal"/>
    <w:link w:val="Heading4Char"/>
    <w:autoRedefine/>
    <w:uiPriority w:val="9"/>
    <w:unhideWhenUsed/>
    <w:qFormat/>
    <w:rsid w:val="00E90D37"/>
    <w:pPr>
      <w:keepNext/>
      <w:keepLines/>
      <w:numPr>
        <w:numId w:val="36"/>
      </w:numPr>
      <w:spacing w:after="240" w:line="240" w:lineRule="auto"/>
      <w:ind w:left="2880" w:right="72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3527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68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365CB9"/>
    <w:rPr>
      <w:rFonts w:ascii="Times New Roman" w:hAnsi="Times New Roman" w:eastAsiaTheme="majorEastAsia" w:cs="Times New Roman"/>
      <w:b/>
      <w:bCs/>
      <w:sz w:val="24"/>
      <w:szCs w:val="24"/>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1"/>
    <w:basedOn w:val="DefaultParagraphFont"/>
    <w:link w:val="FootnoteText"/>
    <w:uiPriority w:val="99"/>
    <w:locked/>
    <w:rsid w:val="00CF1095"/>
    <w:rPr>
      <w:rFonts w:ascii="Times New Roman" w:eastAsia="Times New Roman" w:hAnsi="Times New Roman" w:cs="Times New Roman"/>
      <w:spacing w:val="-5"/>
      <w:sz w:val="20"/>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unhideWhenUsed/>
    <w:qFormat/>
    <w:rsid w:val="00CF1095"/>
    <w:pPr>
      <w:spacing w:after="120" w:line="240" w:lineRule="auto"/>
    </w:pPr>
    <w:rPr>
      <w:rFonts w:eastAsia="Times New Roman" w:cs="Times New Roman"/>
      <w:spacing w:val="-5"/>
      <w:sz w:val="20"/>
      <w:szCs w:val="20"/>
    </w:rPr>
  </w:style>
  <w:style w:type="character" w:customStyle="1" w:styleId="FootnoteTextChar1">
    <w:name w:val="Footnote Text Char1"/>
    <w:aliases w:val="Footnote Text Char Char,Footnote Text Char Char Char Char,Footnote Text Char Char4 Char Char Char Char,Footnote Text Char1 Char Char,Footnote Text Char4 Char Char Char Char,Footnote Text Char4 Char1 Char Char Char Char Char"/>
    <w:basedOn w:val="DefaultParagraphFont"/>
    <w:uiPriority w:val="99"/>
    <w:rsid w:val="00921526"/>
    <w:rPr>
      <w:rFonts w:ascii="Times New Roman" w:hAnsi="Times New Roman"/>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unhideWhenUsed/>
    <w:qFormat/>
    <w:rsid w:val="00921526"/>
    <w:rPr>
      <w:vertAlign w:val="superscript"/>
    </w:rPr>
  </w:style>
  <w:style w:type="character" w:styleId="Hyperlink">
    <w:name w:val="Hyperlink"/>
    <w:basedOn w:val="DefaultParagraphFont"/>
    <w:uiPriority w:val="99"/>
    <w:unhideWhenUsed/>
    <w:rsid w:val="00921526"/>
    <w:rPr>
      <w:color w:val="0000FF"/>
      <w:u w:val="single"/>
    </w:rPr>
  </w:style>
  <w:style w:type="character" w:customStyle="1" w:styleId="Heading1Char">
    <w:name w:val="Heading 1 Char"/>
    <w:basedOn w:val="DefaultParagraphFont"/>
    <w:link w:val="Heading1"/>
    <w:uiPriority w:val="9"/>
    <w:rsid w:val="00BC5683"/>
    <w:rPr>
      <w:rFonts w:ascii="Times New Roman" w:eastAsia="Times New Roman" w:hAnsi="Times New Roman" w:cs="Times New Roman"/>
      <w:b/>
      <w:bCs/>
      <w:caps/>
      <w:sz w:val="24"/>
      <w:szCs w:val="24"/>
    </w:rPr>
  </w:style>
  <w:style w:type="table" w:styleId="TableGrid">
    <w:name w:val="Table Grid"/>
    <w:basedOn w:val="TableNormal"/>
    <w:uiPriority w:val="59"/>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uiPriority w:val="99"/>
    <w:semiHidden/>
    <w:unhideWhenUsed/>
    <w:rsid w:val="00F91D6B"/>
    <w:pPr>
      <w:spacing w:line="240" w:lineRule="auto"/>
    </w:pPr>
    <w:rPr>
      <w:sz w:val="20"/>
      <w:szCs w:val="20"/>
    </w:rPr>
  </w:style>
  <w:style w:type="character" w:customStyle="1" w:styleId="CommentTextChar">
    <w:name w:val="Comment Text Char"/>
    <w:basedOn w:val="DefaultParagraphFont"/>
    <w:link w:val="CommentText"/>
    <w:uiPriority w:val="99"/>
    <w:semiHidden/>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apple-converted-space">
    <w:name w:val="apple-converted-space"/>
    <w:basedOn w:val="DefaultParagraphFont"/>
    <w:rsid w:val="00AE0D6F"/>
  </w:style>
  <w:style w:type="paragraph" w:styleId="TOC1">
    <w:name w:val="toc 1"/>
    <w:basedOn w:val="Normal"/>
    <w:next w:val="Normal"/>
    <w:autoRedefine/>
    <w:uiPriority w:val="39"/>
    <w:unhideWhenUsed/>
    <w:qFormat/>
    <w:rsid w:val="00D13515"/>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E90D37"/>
    <w:pPr>
      <w:tabs>
        <w:tab w:val="decimal" w:leader="dot" w:pos="8640"/>
      </w:tabs>
      <w:spacing w:after="240" w:line="240" w:lineRule="auto"/>
      <w:outlineLvl w:val="1"/>
    </w:pPr>
    <w:rPr>
      <w:rFonts w:cs="Times New Roman"/>
      <w:bCs/>
      <w:noProof/>
    </w:rPr>
  </w:style>
  <w:style w:type="paragraph" w:styleId="TOC3">
    <w:name w:val="toc 3"/>
    <w:basedOn w:val="Normal"/>
    <w:next w:val="Normal"/>
    <w:autoRedefine/>
    <w:uiPriority w:val="39"/>
    <w:unhideWhenUsed/>
    <w:qFormat/>
    <w:rsid w:val="00365CB9"/>
    <w:pPr>
      <w:tabs>
        <w:tab w:val="left" w:pos="2160"/>
        <w:tab w:val="decimal" w:leader="dot" w:pos="8640"/>
      </w:tabs>
      <w:spacing w:after="240" w:line="240" w:lineRule="auto"/>
      <w:ind w:left="2160" w:hanging="720"/>
    </w:pPr>
  </w:style>
  <w:style w:type="character" w:customStyle="1" w:styleId="Heading4Char">
    <w:name w:val="Heading 4 Char"/>
    <w:basedOn w:val="DefaultParagraphFont"/>
    <w:link w:val="Heading4"/>
    <w:uiPriority w:val="9"/>
    <w:rsid w:val="00E90D37"/>
    <w:rPr>
      <w:rFonts w:ascii="Times New Roman Bold" w:hAnsi="Times New Roman Bold" w:eastAsiaTheme="majorEastAsia" w:cstheme="majorBidi"/>
      <w:b/>
      <w:bCs/>
      <w:iCs/>
      <w:sz w:val="24"/>
    </w:rPr>
  </w:style>
  <w:style w:type="character" w:customStyle="1" w:styleId="FootnoteTextChar3">
    <w:name w:val="Footnote Text Char3"/>
    <w:aliases w:val="Footnote Text Char Char Char,Footnote Text Char Char Char Char Char,Footnote Text Char1 Char,Footnote Text Char1 Char Char1 Char,Footnote Text Char1 Char Char1 Char Char Char Char,Footnote Text Char2 Char Char Char Char1 Char,fn Char"/>
    <w:semiHidden/>
    <w:locked/>
    <w:rsid w:val="00FF46FF"/>
    <w:rPr>
      <w:lang w:val="en-US" w:eastAsia="en-US" w:bidi="ar-SA"/>
    </w:rPr>
  </w:style>
  <w:style w:type="paragraph" w:styleId="TOC4">
    <w:name w:val="toc 4"/>
    <w:basedOn w:val="Normal"/>
    <w:next w:val="Normal"/>
    <w:autoRedefine/>
    <w:uiPriority w:val="39"/>
    <w:unhideWhenUsed/>
    <w:qFormat/>
    <w:rsid w:val="00E90D37"/>
    <w:pPr>
      <w:tabs>
        <w:tab w:val="decimal" w:leader="dot" w:pos="8640"/>
      </w:tabs>
      <w:spacing w:after="240" w:line="240" w:lineRule="auto"/>
      <w:ind w:left="2880" w:hanging="720"/>
    </w:pPr>
  </w:style>
  <w:style w:type="paragraph" w:styleId="TOC5">
    <w:name w:val="toc 5"/>
    <w:basedOn w:val="Normal"/>
    <w:next w:val="Normal"/>
    <w:autoRedefine/>
    <w:uiPriority w:val="39"/>
    <w:semiHidden/>
    <w:unhideWhenUsed/>
    <w:rsid w:val="003F5D42"/>
    <w:pPr>
      <w:tabs>
        <w:tab w:val="left" w:pos="720"/>
        <w:tab w:val="left" w:pos="1440"/>
        <w:tab w:val="left" w:pos="2160"/>
        <w:tab w:val="decimal" w:leader="dot" w:pos="8640"/>
      </w:tabs>
      <w:spacing w:after="240" w:line="240" w:lineRule="auto"/>
      <w:ind w:left="3600" w:hanging="720"/>
    </w:pPr>
  </w:style>
  <w:style w:type="character" w:customStyle="1" w:styleId="Heading5Char">
    <w:name w:val="Heading 5 Char"/>
    <w:basedOn w:val="DefaultParagraphFont"/>
    <w:link w:val="Heading5"/>
    <w:uiPriority w:val="9"/>
    <w:rsid w:val="00352742"/>
    <w:rPr>
      <w:rFonts w:asciiTheme="majorHAnsi" w:eastAsiaTheme="majorEastAsia" w:hAnsiTheme="majorHAnsi" w:cstheme="majorBidi"/>
      <w:color w:val="243F60" w:themeColor="accent1" w:themeShade="7F"/>
      <w:sz w:val="24"/>
    </w:rPr>
  </w:style>
  <w:style w:type="character" w:customStyle="1" w:styleId="sssh">
    <w:name w:val="ss_sh"/>
    <w:basedOn w:val="DefaultParagraphFont"/>
    <w:rsid w:val="004D5C08"/>
  </w:style>
  <w:style w:type="character" w:customStyle="1" w:styleId="ssrptrline">
    <w:name w:val="ss_rptrline"/>
    <w:rsid w:val="00D44B24"/>
  </w:style>
  <w:style w:type="character" w:customStyle="1" w:styleId="ssnonpaginatedrptr">
    <w:name w:val="ss_nonpaginatedrptr"/>
    <w:rsid w:val="00D44B24"/>
  </w:style>
  <w:style w:type="paragraph" w:styleId="HTMLPreformatted">
    <w:name w:val="HTML Preformatted"/>
    <w:basedOn w:val="Normal"/>
    <w:link w:val="HTMLPreformattedChar"/>
    <w:rsid w:val="00A45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A4515D"/>
    <w:rPr>
      <w:rFonts w:ascii="Courier New" w:eastAsia="Courier New" w:hAnsi="Courier New" w:cs="Courier New"/>
      <w:sz w:val="20"/>
      <w:szCs w:val="20"/>
    </w:rPr>
  </w:style>
  <w:style w:type="paragraph" w:styleId="BodyTextIndent3">
    <w:name w:val="Body Text Indent 3"/>
    <w:basedOn w:val="Normal"/>
    <w:link w:val="BodyTextIndent3Char"/>
    <w:uiPriority w:val="99"/>
    <w:semiHidden/>
    <w:unhideWhenUsed/>
    <w:rsid w:val="00A451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515D"/>
    <w:rPr>
      <w:rFonts w:ascii="Times New Roman" w:hAnsi="Times New Roman"/>
      <w:sz w:val="16"/>
      <w:szCs w:val="16"/>
    </w:rPr>
  </w:style>
  <w:style w:type="paragraph" w:styleId="Revision">
    <w:name w:val="Revision"/>
    <w:hidden/>
    <w:uiPriority w:val="99"/>
    <w:semiHidden/>
    <w:rsid w:val="009E65EE"/>
    <w:pPr>
      <w:spacing w:after="0" w:line="240" w:lineRule="auto"/>
    </w:pPr>
    <w:rPr>
      <w:rFonts w:ascii="Times New Roman" w:hAnsi="Times New Roman"/>
      <w:sz w:val="24"/>
    </w:rPr>
  </w:style>
  <w:style w:type="paragraph" w:customStyle="1" w:styleId="p1">
    <w:name w:val="p1"/>
    <w:basedOn w:val="Normal"/>
    <w:rsid w:val="00D90472"/>
    <w:pPr>
      <w:spacing w:after="0" w:line="240" w:lineRule="auto"/>
    </w:pPr>
    <w:rPr>
      <w:rFonts w:ascii="Verdana" w:hAnsi="Verdana" w:cs="Times New Roman"/>
      <w:sz w:val="19"/>
      <w:szCs w:val="19"/>
    </w:rPr>
  </w:style>
  <w:style w:type="character" w:customStyle="1" w:styleId="s1">
    <w:name w:val="s1"/>
    <w:basedOn w:val="DefaultParagraphFont"/>
    <w:rsid w:val="00D90472"/>
  </w:style>
  <w:style w:type="table" w:customStyle="1" w:styleId="TableGrid2">
    <w:name w:val="Table Grid2"/>
    <w:basedOn w:val="TableNormal"/>
    <w:next w:val="TableGrid"/>
    <w:rsid w:val="00AF6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7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MC Marketer AFR (15-1830).docx</vt:lpstr>
    </vt:vector>
  </TitlesOfParts>
  <Company/>
  <LinksUpToDate>false</LinksUpToDate>
  <CharactersWithSpaces>18963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2018-11-05T22:02:04Z</dcterms:created>
  <dcterms:modified xsi:type="dcterms:W3CDTF">2018-11-05T22:02:04Z</dcterms:modified>
</cp:coreProperties>
</file>