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14" w:rsidRPr="00466875" w:rsidRDefault="00131782" w:rsidP="00131782">
      <w:pPr>
        <w:jc w:val="center"/>
        <w:rPr>
          <w:b/>
          <w:sz w:val="28"/>
          <w:szCs w:val="28"/>
        </w:rPr>
      </w:pPr>
      <w:r w:rsidRPr="00466875">
        <w:rPr>
          <w:b/>
          <w:sz w:val="28"/>
          <w:szCs w:val="28"/>
        </w:rPr>
        <w:t>BEFORE</w:t>
      </w:r>
    </w:p>
    <w:p w:rsidR="00131782" w:rsidRPr="00466875" w:rsidRDefault="00131782" w:rsidP="00131782">
      <w:pPr>
        <w:jc w:val="center"/>
        <w:rPr>
          <w:b/>
          <w:sz w:val="28"/>
          <w:szCs w:val="28"/>
        </w:rPr>
      </w:pPr>
      <w:r w:rsidRPr="00466875">
        <w:rPr>
          <w:b/>
          <w:sz w:val="28"/>
          <w:szCs w:val="28"/>
        </w:rPr>
        <w:t>THE PUBLIC UTILITIES COMMISSION OF OHIO</w:t>
      </w:r>
    </w:p>
    <w:p w:rsidR="00131782" w:rsidRPr="00466875" w:rsidRDefault="00131782" w:rsidP="00131782">
      <w:pPr>
        <w:jc w:val="center"/>
        <w:rPr>
          <w:b/>
          <w:sz w:val="26"/>
          <w:szCs w:val="26"/>
        </w:rPr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40"/>
        <w:gridCol w:w="3852"/>
      </w:tblGrid>
      <w:tr w:rsidR="00131782" w:rsidRPr="00466875" w:rsidTr="00466875">
        <w:tc>
          <w:tcPr>
            <w:tcW w:w="4428" w:type="dxa"/>
          </w:tcPr>
          <w:p w:rsidR="00131782" w:rsidRPr="00466875" w:rsidRDefault="00131782" w:rsidP="001B55A9">
            <w:pPr>
              <w:jc w:val="both"/>
              <w:rPr>
                <w:sz w:val="26"/>
                <w:szCs w:val="26"/>
              </w:rPr>
            </w:pPr>
            <w:r w:rsidRPr="00466875">
              <w:rPr>
                <w:sz w:val="26"/>
                <w:szCs w:val="26"/>
              </w:rPr>
              <w:t xml:space="preserve">In the Matter of </w:t>
            </w:r>
            <w:r w:rsidR="001B55A9" w:rsidRPr="00466875">
              <w:rPr>
                <w:sz w:val="26"/>
                <w:szCs w:val="26"/>
              </w:rPr>
              <w:t xml:space="preserve">Joseph </w:t>
            </w:r>
            <w:proofErr w:type="spellStart"/>
            <w:r w:rsidR="001B55A9" w:rsidRPr="00466875">
              <w:rPr>
                <w:sz w:val="26"/>
                <w:szCs w:val="26"/>
              </w:rPr>
              <w:t>Huth</w:t>
            </w:r>
            <w:proofErr w:type="spellEnd"/>
            <w:r w:rsidR="00321F2F" w:rsidRPr="00466875">
              <w:rPr>
                <w:sz w:val="26"/>
                <w:szCs w:val="26"/>
              </w:rPr>
              <w:t xml:space="preserve">, </w:t>
            </w:r>
            <w:r w:rsidR="00422467" w:rsidRPr="00466875">
              <w:rPr>
                <w:sz w:val="26"/>
                <w:szCs w:val="26"/>
              </w:rPr>
              <w:t>Notice of Apparent V</w:t>
            </w:r>
            <w:r w:rsidR="000439CA" w:rsidRPr="00466875">
              <w:rPr>
                <w:sz w:val="26"/>
                <w:szCs w:val="26"/>
              </w:rPr>
              <w:t>iolation and Intent to Assess Forfeiture.</w:t>
            </w:r>
          </w:p>
        </w:tc>
        <w:tc>
          <w:tcPr>
            <w:tcW w:w="540" w:type="dxa"/>
          </w:tcPr>
          <w:p w:rsidR="000439CA" w:rsidRPr="00466875" w:rsidRDefault="00131782" w:rsidP="000439CA">
            <w:pPr>
              <w:rPr>
                <w:sz w:val="26"/>
                <w:szCs w:val="26"/>
              </w:rPr>
            </w:pPr>
            <w:r w:rsidRPr="00466875">
              <w:rPr>
                <w:sz w:val="26"/>
                <w:szCs w:val="26"/>
              </w:rPr>
              <w:t>:</w:t>
            </w:r>
          </w:p>
          <w:p w:rsidR="00131782" w:rsidRPr="00466875" w:rsidRDefault="00131782" w:rsidP="00131782">
            <w:pPr>
              <w:jc w:val="both"/>
              <w:rPr>
                <w:sz w:val="26"/>
                <w:szCs w:val="26"/>
              </w:rPr>
            </w:pPr>
            <w:r w:rsidRPr="00466875">
              <w:rPr>
                <w:sz w:val="26"/>
                <w:szCs w:val="26"/>
              </w:rPr>
              <w:t>:</w:t>
            </w:r>
          </w:p>
          <w:p w:rsidR="00131782" w:rsidRPr="00466875" w:rsidRDefault="00131782" w:rsidP="00131782">
            <w:pPr>
              <w:jc w:val="both"/>
              <w:rPr>
                <w:sz w:val="26"/>
                <w:szCs w:val="26"/>
              </w:rPr>
            </w:pPr>
            <w:r w:rsidRPr="00466875">
              <w:rPr>
                <w:sz w:val="26"/>
                <w:szCs w:val="26"/>
              </w:rPr>
              <w:t>:</w:t>
            </w:r>
          </w:p>
          <w:p w:rsidR="00A200F5" w:rsidRPr="00466875" w:rsidRDefault="00A200F5" w:rsidP="001317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131782" w:rsidRPr="00466875" w:rsidRDefault="00131782" w:rsidP="00131782">
            <w:pPr>
              <w:jc w:val="both"/>
              <w:rPr>
                <w:sz w:val="26"/>
                <w:szCs w:val="26"/>
              </w:rPr>
            </w:pPr>
          </w:p>
          <w:p w:rsidR="00131782" w:rsidRPr="00466875" w:rsidRDefault="00131782" w:rsidP="00466875">
            <w:pPr>
              <w:tabs>
                <w:tab w:val="left" w:pos="1224"/>
              </w:tabs>
              <w:jc w:val="both"/>
              <w:rPr>
                <w:sz w:val="26"/>
                <w:szCs w:val="26"/>
              </w:rPr>
            </w:pPr>
            <w:r w:rsidRPr="00466875">
              <w:rPr>
                <w:sz w:val="26"/>
                <w:szCs w:val="26"/>
              </w:rPr>
              <w:t xml:space="preserve">Case No. </w:t>
            </w:r>
            <w:r w:rsidR="00466875">
              <w:rPr>
                <w:sz w:val="26"/>
                <w:szCs w:val="26"/>
              </w:rPr>
              <w:tab/>
            </w:r>
            <w:r w:rsidR="00005FF4" w:rsidRPr="00466875">
              <w:rPr>
                <w:sz w:val="26"/>
                <w:szCs w:val="26"/>
              </w:rPr>
              <w:t>1</w:t>
            </w:r>
            <w:r w:rsidR="001B55A9" w:rsidRPr="00466875">
              <w:rPr>
                <w:sz w:val="26"/>
                <w:szCs w:val="26"/>
              </w:rPr>
              <w:t>4</w:t>
            </w:r>
            <w:r w:rsidR="000439CA" w:rsidRPr="00466875">
              <w:rPr>
                <w:sz w:val="26"/>
                <w:szCs w:val="26"/>
              </w:rPr>
              <w:t>-</w:t>
            </w:r>
            <w:r w:rsidR="00883433" w:rsidRPr="00466875">
              <w:rPr>
                <w:sz w:val="26"/>
                <w:szCs w:val="26"/>
              </w:rPr>
              <w:t>2</w:t>
            </w:r>
            <w:r w:rsidR="001B55A9" w:rsidRPr="00466875">
              <w:rPr>
                <w:sz w:val="26"/>
                <w:szCs w:val="26"/>
              </w:rPr>
              <w:t>045</w:t>
            </w:r>
            <w:r w:rsidR="000439CA" w:rsidRPr="00466875">
              <w:rPr>
                <w:sz w:val="26"/>
                <w:szCs w:val="26"/>
              </w:rPr>
              <w:t>-</w:t>
            </w:r>
            <w:r w:rsidR="00CE2992" w:rsidRPr="00466875">
              <w:rPr>
                <w:sz w:val="26"/>
                <w:szCs w:val="26"/>
              </w:rPr>
              <w:t>T</w:t>
            </w:r>
            <w:r w:rsidR="000439CA" w:rsidRPr="00466875">
              <w:rPr>
                <w:sz w:val="26"/>
                <w:szCs w:val="26"/>
              </w:rPr>
              <w:t>R-CVF</w:t>
            </w:r>
          </w:p>
          <w:p w:rsidR="000439CA" w:rsidRPr="00466875" w:rsidRDefault="000439CA" w:rsidP="00466875">
            <w:pPr>
              <w:tabs>
                <w:tab w:val="left" w:pos="1224"/>
              </w:tabs>
              <w:jc w:val="both"/>
              <w:rPr>
                <w:sz w:val="26"/>
                <w:szCs w:val="26"/>
              </w:rPr>
            </w:pPr>
            <w:r w:rsidRPr="00466875">
              <w:rPr>
                <w:sz w:val="26"/>
                <w:szCs w:val="26"/>
              </w:rPr>
              <w:t xml:space="preserve"> </w:t>
            </w:r>
            <w:r w:rsidR="00466875">
              <w:rPr>
                <w:sz w:val="26"/>
                <w:szCs w:val="26"/>
              </w:rPr>
              <w:tab/>
            </w:r>
            <w:r w:rsidRPr="00466875">
              <w:rPr>
                <w:sz w:val="26"/>
                <w:szCs w:val="26"/>
              </w:rPr>
              <w:t>(</w:t>
            </w:r>
            <w:proofErr w:type="spellStart"/>
            <w:r w:rsidR="007836EE" w:rsidRPr="00466875">
              <w:rPr>
                <w:sz w:val="26"/>
                <w:szCs w:val="26"/>
              </w:rPr>
              <w:t>OH</w:t>
            </w:r>
            <w:r w:rsidR="00883433" w:rsidRPr="00466875">
              <w:rPr>
                <w:sz w:val="26"/>
                <w:szCs w:val="26"/>
              </w:rPr>
              <w:t>32</w:t>
            </w:r>
            <w:r w:rsidR="001B55A9" w:rsidRPr="00466875">
              <w:rPr>
                <w:sz w:val="26"/>
                <w:szCs w:val="26"/>
              </w:rPr>
              <w:t>6300</w:t>
            </w:r>
            <w:r w:rsidR="00883433" w:rsidRPr="00466875">
              <w:rPr>
                <w:sz w:val="26"/>
                <w:szCs w:val="26"/>
              </w:rPr>
              <w:t>1</w:t>
            </w:r>
            <w:r w:rsidR="001B55A9" w:rsidRPr="00466875">
              <w:rPr>
                <w:sz w:val="26"/>
                <w:szCs w:val="26"/>
              </w:rPr>
              <w:t>239C</w:t>
            </w:r>
            <w:proofErr w:type="spellEnd"/>
            <w:r w:rsidRPr="00466875">
              <w:rPr>
                <w:sz w:val="26"/>
                <w:szCs w:val="26"/>
              </w:rPr>
              <w:t>)</w:t>
            </w:r>
          </w:p>
          <w:p w:rsidR="00AD112A" w:rsidRPr="00466875" w:rsidRDefault="00AD112A" w:rsidP="00A47B24">
            <w:pPr>
              <w:jc w:val="both"/>
              <w:rPr>
                <w:sz w:val="26"/>
                <w:szCs w:val="26"/>
              </w:rPr>
            </w:pPr>
          </w:p>
        </w:tc>
      </w:tr>
    </w:tbl>
    <w:p w:rsidR="005F017E" w:rsidRPr="005F017E" w:rsidRDefault="005F017E" w:rsidP="005F017E">
      <w:pPr>
        <w:tabs>
          <w:tab w:val="left" w:pos="9360"/>
        </w:tabs>
        <w:spacing w:after="24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131782" w:rsidRPr="00466875" w:rsidRDefault="001B55A9" w:rsidP="005F017E">
      <w:pPr>
        <w:tabs>
          <w:tab w:val="left" w:pos="9360"/>
        </w:tabs>
        <w:jc w:val="center"/>
        <w:rPr>
          <w:b/>
          <w:sz w:val="26"/>
          <w:szCs w:val="26"/>
        </w:rPr>
      </w:pPr>
      <w:r w:rsidRPr="00466875">
        <w:rPr>
          <w:b/>
          <w:sz w:val="26"/>
          <w:szCs w:val="26"/>
        </w:rPr>
        <w:t>JOINT</w:t>
      </w:r>
      <w:r w:rsidR="00AD112A" w:rsidRPr="00466875">
        <w:rPr>
          <w:b/>
          <w:sz w:val="26"/>
          <w:szCs w:val="26"/>
        </w:rPr>
        <w:t xml:space="preserve"> </w:t>
      </w:r>
      <w:r w:rsidR="00131782" w:rsidRPr="00466875">
        <w:rPr>
          <w:b/>
          <w:sz w:val="26"/>
          <w:szCs w:val="26"/>
        </w:rPr>
        <w:t>MOTION FOR C</w:t>
      </w:r>
      <w:r w:rsidR="00D71842" w:rsidRPr="00466875">
        <w:rPr>
          <w:b/>
          <w:sz w:val="26"/>
          <w:szCs w:val="26"/>
        </w:rPr>
        <w:t>ONTINUANCE</w:t>
      </w:r>
      <w:r w:rsidR="00131782" w:rsidRPr="00466875">
        <w:rPr>
          <w:b/>
          <w:sz w:val="26"/>
          <w:szCs w:val="26"/>
        </w:rPr>
        <w:t xml:space="preserve"> OF </w:t>
      </w:r>
      <w:r w:rsidR="003944F9" w:rsidRPr="00466875">
        <w:rPr>
          <w:b/>
          <w:sz w:val="26"/>
          <w:szCs w:val="26"/>
        </w:rPr>
        <w:t xml:space="preserve">ADMINISTRATIVE HEARING </w:t>
      </w:r>
    </w:p>
    <w:p w:rsidR="005F017E" w:rsidRPr="005F017E" w:rsidRDefault="005F017E" w:rsidP="005F017E">
      <w:pPr>
        <w:tabs>
          <w:tab w:val="left" w:pos="9360"/>
        </w:tabs>
        <w:spacing w:after="24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7836EE" w:rsidRPr="00466875" w:rsidRDefault="00131782" w:rsidP="00466875">
      <w:pPr>
        <w:pStyle w:val="Textstyle"/>
      </w:pPr>
      <w:r w:rsidRPr="00466875">
        <w:tab/>
      </w:r>
      <w:r w:rsidR="00AD112A" w:rsidRPr="00466875">
        <w:t xml:space="preserve">The </w:t>
      </w:r>
      <w:r w:rsidR="001B55A9" w:rsidRPr="00466875">
        <w:t xml:space="preserve">Respondent and </w:t>
      </w:r>
      <w:r w:rsidR="00A71BC0" w:rsidRPr="00466875">
        <w:t xml:space="preserve">the </w:t>
      </w:r>
      <w:r w:rsidRPr="00466875">
        <w:t>Staff of the Public Utilities Commission of Ohio</w:t>
      </w:r>
      <w:r w:rsidR="00D71842" w:rsidRPr="00466875">
        <w:t xml:space="preserve"> (</w:t>
      </w:r>
      <w:r w:rsidR="00BF1697" w:rsidRPr="00466875">
        <w:t>“</w:t>
      </w:r>
      <w:r w:rsidR="00D71842" w:rsidRPr="00466875">
        <w:t>Staff</w:t>
      </w:r>
      <w:r w:rsidR="00BF1697" w:rsidRPr="00466875">
        <w:t>”</w:t>
      </w:r>
      <w:r w:rsidR="00D71842" w:rsidRPr="00466875">
        <w:t>)</w:t>
      </w:r>
      <w:r w:rsidR="009F65AC" w:rsidRPr="00466875">
        <w:t xml:space="preserve"> </w:t>
      </w:r>
      <w:r w:rsidR="00AD112A" w:rsidRPr="00466875">
        <w:t>request</w:t>
      </w:r>
      <w:r w:rsidRPr="00466875">
        <w:t xml:space="preserve"> a c</w:t>
      </w:r>
      <w:r w:rsidR="00D71842" w:rsidRPr="00466875">
        <w:t>ontinuance of</w:t>
      </w:r>
      <w:r w:rsidR="003944F9" w:rsidRPr="00466875">
        <w:t xml:space="preserve"> </w:t>
      </w:r>
      <w:r w:rsidR="00D71842" w:rsidRPr="00466875">
        <w:t xml:space="preserve">the </w:t>
      </w:r>
      <w:r w:rsidR="003944F9" w:rsidRPr="00466875">
        <w:t xml:space="preserve">Administrative Hearing </w:t>
      </w:r>
      <w:r w:rsidR="001B55A9" w:rsidRPr="00466875">
        <w:t xml:space="preserve">to February 26, 2015 </w:t>
      </w:r>
      <w:r w:rsidR="007836EE" w:rsidRPr="00466875">
        <w:t>in the a</w:t>
      </w:r>
      <w:r w:rsidRPr="00466875">
        <w:t>bove captioned case</w:t>
      </w:r>
      <w:r w:rsidR="005F3C6F" w:rsidRPr="00466875">
        <w:t>.</w:t>
      </w:r>
      <w:r w:rsidRPr="00466875">
        <w:t xml:space="preserve">  </w:t>
      </w:r>
    </w:p>
    <w:p w:rsidR="00131782" w:rsidRPr="00466875" w:rsidRDefault="00131782" w:rsidP="00466875">
      <w:pPr>
        <w:pStyle w:val="Textstyle"/>
      </w:pPr>
      <w:r w:rsidRPr="00466875">
        <w:tab/>
      </w:r>
      <w:r w:rsidR="007836EE" w:rsidRPr="00466875">
        <w:t xml:space="preserve">A memorandum in support, providing </w:t>
      </w:r>
      <w:r w:rsidRPr="00466875">
        <w:t>good cause</w:t>
      </w:r>
      <w:r w:rsidR="007836EE" w:rsidRPr="00466875">
        <w:t xml:space="preserve"> for th</w:t>
      </w:r>
      <w:r w:rsidR="00E74DD7" w:rsidRPr="00466875">
        <w:t>e</w:t>
      </w:r>
      <w:r w:rsidR="007836EE" w:rsidRPr="00466875">
        <w:t xml:space="preserve"> </w:t>
      </w:r>
      <w:r w:rsidR="002C5313" w:rsidRPr="00466875">
        <w:t xml:space="preserve">joint </w:t>
      </w:r>
      <w:r w:rsidR="007836EE" w:rsidRPr="00466875">
        <w:t>motion, is provided below</w:t>
      </w:r>
      <w:r w:rsidR="00083F32" w:rsidRPr="00466875">
        <w:t>.</w:t>
      </w:r>
    </w:p>
    <w:p w:rsidR="00466875" w:rsidRPr="0064436A" w:rsidRDefault="00466875" w:rsidP="00466875">
      <w:pPr>
        <w:tabs>
          <w:tab w:val="left" w:pos="9348"/>
        </w:tabs>
        <w:spacing w:line="480" w:lineRule="auto"/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Respectfully submitted,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>
        <w:rPr>
          <w:b/>
          <w:sz w:val="26"/>
          <w:szCs w:val="26"/>
        </w:rPr>
        <w:t>Michael DeWine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Ohio Attorney General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</w:p>
    <w:p w:rsidR="00466875" w:rsidRDefault="00466875" w:rsidP="00466875">
      <w:pPr>
        <w:tabs>
          <w:tab w:val="left" w:pos="9348"/>
        </w:tabs>
        <w:ind w:left="4320"/>
        <w:rPr>
          <w:b/>
          <w:sz w:val="26"/>
          <w:szCs w:val="26"/>
        </w:rPr>
      </w:pPr>
      <w:r>
        <w:rPr>
          <w:b/>
          <w:sz w:val="26"/>
          <w:szCs w:val="26"/>
        </w:rPr>
        <w:t>William L. Wright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Section Chief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</w:p>
    <w:p w:rsidR="00466875" w:rsidRPr="00ED784E" w:rsidRDefault="00466875" w:rsidP="00466875">
      <w:pPr>
        <w:tabs>
          <w:tab w:val="left" w:pos="9348"/>
        </w:tabs>
        <w:ind w:left="4320"/>
        <w:rPr>
          <w:rFonts w:ascii="Viner Hand ITC" w:hAnsi="Viner Hand ITC"/>
          <w:sz w:val="32"/>
          <w:szCs w:val="32"/>
          <w:u w:val="single"/>
        </w:rPr>
      </w:pPr>
      <w:r w:rsidRPr="00ED784E">
        <w:rPr>
          <w:rFonts w:ascii="Viner Hand ITC" w:hAnsi="Viner Hand ITC"/>
          <w:sz w:val="32"/>
          <w:szCs w:val="32"/>
          <w:u w:val="single"/>
        </w:rPr>
        <w:t>/s/ John H. Jones</w:t>
      </w:r>
      <w:r w:rsidRPr="00ED784E">
        <w:rPr>
          <w:rFonts w:ascii="Viner Hand ITC" w:hAnsi="Viner Hand ITC"/>
          <w:sz w:val="32"/>
          <w:szCs w:val="32"/>
          <w:u w:val="single"/>
        </w:rPr>
        <w:tab/>
      </w:r>
    </w:p>
    <w:p w:rsidR="00466875" w:rsidRPr="0064436A" w:rsidRDefault="00466875" w:rsidP="00466875">
      <w:pPr>
        <w:tabs>
          <w:tab w:val="left" w:pos="9348"/>
        </w:tabs>
        <w:ind w:left="4320"/>
        <w:rPr>
          <w:b/>
          <w:sz w:val="26"/>
          <w:szCs w:val="26"/>
        </w:rPr>
      </w:pPr>
      <w:r>
        <w:rPr>
          <w:b/>
          <w:sz w:val="26"/>
          <w:szCs w:val="26"/>
        </w:rPr>
        <w:t>John H. Jones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 xml:space="preserve">Assistant </w:t>
      </w:r>
      <w:r>
        <w:rPr>
          <w:sz w:val="26"/>
          <w:szCs w:val="26"/>
        </w:rPr>
        <w:t>Section Chief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Public Utilities Section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 xml:space="preserve">180 East Broad Street, </w:t>
      </w:r>
      <w:r>
        <w:rPr>
          <w:sz w:val="26"/>
          <w:szCs w:val="26"/>
        </w:rPr>
        <w:t>6</w:t>
      </w:r>
      <w:r w:rsidRPr="000753F8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Floor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Columbus, OH  43215-3793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614.466.4397</w:t>
      </w:r>
      <w:r>
        <w:rPr>
          <w:sz w:val="26"/>
          <w:szCs w:val="26"/>
        </w:rPr>
        <w:t xml:space="preserve"> (telephone)</w:t>
      </w:r>
    </w:p>
    <w:p w:rsidR="00466875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614.644.8764 (fax)</w:t>
      </w:r>
    </w:p>
    <w:p w:rsidR="00466875" w:rsidRDefault="00466875" w:rsidP="00466875">
      <w:pPr>
        <w:tabs>
          <w:tab w:val="left" w:pos="9348"/>
        </w:tabs>
        <w:ind w:left="4320"/>
        <w:rPr>
          <w:rStyle w:val="Hyperlink"/>
          <w:sz w:val="26"/>
          <w:szCs w:val="26"/>
        </w:rPr>
      </w:pPr>
      <w:hyperlink r:id="rId7" w:history="1">
        <w:r w:rsidRPr="00C07A47">
          <w:rPr>
            <w:rStyle w:val="Hyperlink"/>
            <w:sz w:val="26"/>
            <w:szCs w:val="26"/>
          </w:rPr>
          <w:t>john.jones@puc.state.oh.us</w:t>
        </w:r>
      </w:hyperlink>
    </w:p>
    <w:p w:rsidR="00466875" w:rsidRDefault="00466875" w:rsidP="00466875">
      <w:pPr>
        <w:tabs>
          <w:tab w:val="left" w:pos="9348"/>
        </w:tabs>
        <w:ind w:left="4320"/>
        <w:rPr>
          <w:b/>
          <w:sz w:val="26"/>
          <w:szCs w:val="26"/>
        </w:rPr>
      </w:pPr>
    </w:p>
    <w:p w:rsidR="00124BAD" w:rsidRDefault="00466875" w:rsidP="005F017E">
      <w:pPr>
        <w:tabs>
          <w:tab w:val="left" w:pos="9348"/>
        </w:tabs>
        <w:ind w:left="4320"/>
        <w:rPr>
          <w:b/>
          <w:sz w:val="26"/>
          <w:szCs w:val="26"/>
        </w:rPr>
      </w:pPr>
      <w:r>
        <w:rPr>
          <w:b/>
          <w:sz w:val="26"/>
          <w:szCs w:val="26"/>
        </w:rPr>
        <w:t>On behalf of the Staff of</w:t>
      </w:r>
      <w:r>
        <w:rPr>
          <w:b/>
          <w:sz w:val="26"/>
          <w:szCs w:val="26"/>
        </w:rPr>
        <w:br/>
        <w:t>The Public Utilities Commission of Ohio</w:t>
      </w:r>
    </w:p>
    <w:p w:rsidR="00124BAD" w:rsidRDefault="00124BAD" w:rsidP="005F017E">
      <w:pPr>
        <w:tabs>
          <w:tab w:val="left" w:pos="9348"/>
        </w:tabs>
        <w:ind w:left="4320"/>
        <w:rPr>
          <w:sz w:val="26"/>
          <w:szCs w:val="26"/>
        </w:rPr>
        <w:sectPr w:rsidR="00124BAD" w:rsidSect="0046687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66875" w:rsidRPr="00466875" w:rsidRDefault="00466875" w:rsidP="00466875">
      <w:pPr>
        <w:tabs>
          <w:tab w:val="left" w:pos="9360"/>
        </w:tabs>
        <w:rPr>
          <w:u w:val="single"/>
        </w:rPr>
      </w:pPr>
      <w:bookmarkStart w:id="0" w:name="_Toc98832725"/>
      <w:bookmarkStart w:id="1" w:name="_Toc101752791"/>
      <w:bookmarkStart w:id="2" w:name="_Toc104367859"/>
      <w:r>
        <w:rPr>
          <w:u w:val="single"/>
        </w:rPr>
        <w:tab/>
      </w:r>
    </w:p>
    <w:p w:rsidR="001045C6" w:rsidRPr="00466875" w:rsidRDefault="001045C6" w:rsidP="00131782">
      <w:pPr>
        <w:pStyle w:val="Heading1"/>
        <w:jc w:val="center"/>
        <w:rPr>
          <w:rFonts w:ascii="Times New Roman" w:hAnsi="Times New Roman" w:cs="Times New Roman"/>
          <w:sz w:val="26"/>
          <w:szCs w:val="26"/>
        </w:rPr>
      </w:pPr>
      <w:r w:rsidRPr="00466875">
        <w:rPr>
          <w:rFonts w:ascii="Times New Roman" w:hAnsi="Times New Roman" w:cs="Times New Roman"/>
          <w:sz w:val="26"/>
          <w:szCs w:val="26"/>
        </w:rPr>
        <w:t xml:space="preserve">MEMORANDUM </w:t>
      </w:r>
      <w:r w:rsidR="005F017E">
        <w:rPr>
          <w:rFonts w:ascii="Times New Roman" w:hAnsi="Times New Roman" w:cs="Times New Roman"/>
          <w:sz w:val="26"/>
          <w:szCs w:val="26"/>
        </w:rPr>
        <w:t>IN SUPPORT</w:t>
      </w:r>
    </w:p>
    <w:p w:rsidR="00466875" w:rsidRPr="00466875" w:rsidRDefault="00466875" w:rsidP="00466875">
      <w:pPr>
        <w:tabs>
          <w:tab w:val="left" w:pos="9360"/>
        </w:tabs>
        <w:spacing w:after="240"/>
        <w:rPr>
          <w:u w:val="single"/>
        </w:rPr>
      </w:pPr>
      <w:r>
        <w:rPr>
          <w:u w:val="single"/>
        </w:rPr>
        <w:tab/>
      </w:r>
    </w:p>
    <w:p w:rsidR="00A41D4E" w:rsidRPr="00466875" w:rsidRDefault="001045C6" w:rsidP="00466875">
      <w:pPr>
        <w:pStyle w:val="Textstyle"/>
      </w:pPr>
      <w:r w:rsidRPr="00466875">
        <w:tab/>
      </w:r>
      <w:r w:rsidR="006C4C42" w:rsidRPr="00466875">
        <w:t xml:space="preserve">The </w:t>
      </w:r>
      <w:r w:rsidR="001B55A9" w:rsidRPr="00466875">
        <w:t xml:space="preserve">Respondent and </w:t>
      </w:r>
      <w:r w:rsidR="00A71BC0" w:rsidRPr="00466875">
        <w:t xml:space="preserve">the </w:t>
      </w:r>
      <w:r w:rsidR="006C3676" w:rsidRPr="00466875">
        <w:t>Staff</w:t>
      </w:r>
      <w:r w:rsidR="002822FA" w:rsidRPr="00466875">
        <w:t xml:space="preserve"> </w:t>
      </w:r>
      <w:r w:rsidRPr="00466875">
        <w:t xml:space="preserve">respectfully request a </w:t>
      </w:r>
      <w:r w:rsidR="004E4074" w:rsidRPr="00466875">
        <w:t>continuance</w:t>
      </w:r>
      <w:r w:rsidR="004605F4" w:rsidRPr="00466875">
        <w:t xml:space="preserve"> </w:t>
      </w:r>
      <w:r w:rsidRPr="00466875">
        <w:t xml:space="preserve">of </w:t>
      </w:r>
      <w:r w:rsidR="004E4074" w:rsidRPr="00466875">
        <w:t>the</w:t>
      </w:r>
      <w:r w:rsidR="004605F4" w:rsidRPr="00466875">
        <w:t xml:space="preserve"> Adminis</w:t>
      </w:r>
      <w:r w:rsidR="00124BAD">
        <w:softHyphen/>
      </w:r>
      <w:r w:rsidR="004605F4" w:rsidRPr="00466875">
        <w:t xml:space="preserve">trative Hearing that is </w:t>
      </w:r>
      <w:r w:rsidR="00FF35CC" w:rsidRPr="00466875">
        <w:t xml:space="preserve">currently </w:t>
      </w:r>
      <w:r w:rsidR="004605F4" w:rsidRPr="00466875">
        <w:t>scheduled for</w:t>
      </w:r>
      <w:r w:rsidRPr="00466875">
        <w:t xml:space="preserve"> </w:t>
      </w:r>
      <w:r w:rsidR="001B55A9" w:rsidRPr="00466875">
        <w:t>February</w:t>
      </w:r>
      <w:r w:rsidR="00361DC3" w:rsidRPr="00466875">
        <w:t xml:space="preserve"> </w:t>
      </w:r>
      <w:r w:rsidR="006C3676" w:rsidRPr="00466875">
        <w:t>1</w:t>
      </w:r>
      <w:r w:rsidR="001B55A9" w:rsidRPr="00466875">
        <w:t>9</w:t>
      </w:r>
      <w:r w:rsidR="00C85B6E" w:rsidRPr="00466875">
        <w:t>, 20</w:t>
      </w:r>
      <w:r w:rsidR="004605F4" w:rsidRPr="00466875">
        <w:t>1</w:t>
      </w:r>
      <w:r w:rsidR="001B55A9" w:rsidRPr="00466875">
        <w:t>5</w:t>
      </w:r>
      <w:r w:rsidR="00C85B6E" w:rsidRPr="00466875">
        <w:t xml:space="preserve">, </w:t>
      </w:r>
      <w:r w:rsidR="004605F4" w:rsidRPr="00466875">
        <w:t xml:space="preserve">in this case.  </w:t>
      </w:r>
      <w:r w:rsidR="00767FAB" w:rsidRPr="00466875">
        <w:t xml:space="preserve">The reason for </w:t>
      </w:r>
      <w:r w:rsidR="006C4C42" w:rsidRPr="00466875">
        <w:t>the</w:t>
      </w:r>
      <w:r w:rsidR="00767FAB" w:rsidRPr="00466875">
        <w:t xml:space="preserve"> </w:t>
      </w:r>
      <w:r w:rsidR="001B55A9" w:rsidRPr="00466875">
        <w:t xml:space="preserve">joint </w:t>
      </w:r>
      <w:r w:rsidR="00767FAB" w:rsidRPr="00466875">
        <w:t xml:space="preserve">motion for continuance </w:t>
      </w:r>
      <w:r w:rsidR="00C8533D" w:rsidRPr="00466875">
        <w:t xml:space="preserve">is </w:t>
      </w:r>
      <w:r w:rsidR="00A71BC0" w:rsidRPr="00466875">
        <w:t xml:space="preserve">the </w:t>
      </w:r>
      <w:r w:rsidR="001B55A9" w:rsidRPr="00466875">
        <w:t xml:space="preserve">Respondent has a conflict on </w:t>
      </w:r>
      <w:r w:rsidR="00A71BC0" w:rsidRPr="00466875">
        <w:t>February 19, 2015</w:t>
      </w:r>
      <w:r w:rsidR="00C8533D" w:rsidRPr="00466875">
        <w:t xml:space="preserve"> and </w:t>
      </w:r>
      <w:r w:rsidR="00A71BC0" w:rsidRPr="00466875">
        <w:t>cannot</w:t>
      </w:r>
      <w:r w:rsidR="00C8533D" w:rsidRPr="00466875">
        <w:t xml:space="preserve"> be available for the hearing</w:t>
      </w:r>
      <w:r w:rsidR="006C4C42" w:rsidRPr="00466875">
        <w:t>.</w:t>
      </w:r>
      <w:r w:rsidR="001B55A9" w:rsidRPr="00466875">
        <w:t xml:space="preserve">  Respondent and Staff have coordinated and agreed upon a new hearing date of February 26, 2015.</w:t>
      </w:r>
    </w:p>
    <w:p w:rsidR="00447A82" w:rsidRPr="00466875" w:rsidRDefault="00A41D4E" w:rsidP="00466875">
      <w:pPr>
        <w:pStyle w:val="Textstyle"/>
      </w:pPr>
      <w:r w:rsidRPr="00466875">
        <w:tab/>
      </w:r>
      <w:r w:rsidR="004E4074" w:rsidRPr="00466875">
        <w:t xml:space="preserve">For the foregoing reasons, </w:t>
      </w:r>
      <w:r w:rsidR="006C4C42" w:rsidRPr="00466875">
        <w:t xml:space="preserve">the </w:t>
      </w:r>
      <w:r w:rsidR="001B55A9" w:rsidRPr="00466875">
        <w:t xml:space="preserve">Respondent and </w:t>
      </w:r>
      <w:r w:rsidR="00F24C87" w:rsidRPr="00466875">
        <w:t xml:space="preserve">the </w:t>
      </w:r>
      <w:r w:rsidR="00C8533D" w:rsidRPr="00466875">
        <w:t>Staff</w:t>
      </w:r>
      <w:r w:rsidR="006C4C42" w:rsidRPr="00466875">
        <w:t xml:space="preserve"> </w:t>
      </w:r>
      <w:r w:rsidR="00F34655" w:rsidRPr="00466875">
        <w:t>respect</w:t>
      </w:r>
      <w:r w:rsidR="00447A82" w:rsidRPr="00466875">
        <w:t xml:space="preserve">fully request </w:t>
      </w:r>
      <w:r w:rsidR="00F34655" w:rsidRPr="00466875">
        <w:t xml:space="preserve">that </w:t>
      </w:r>
      <w:r w:rsidR="00447A82" w:rsidRPr="00466875">
        <w:t xml:space="preserve">the Attorney-Examiner grant </w:t>
      </w:r>
      <w:r w:rsidR="0027168A" w:rsidRPr="00466875">
        <w:t>their</w:t>
      </w:r>
      <w:r w:rsidR="006C4C42" w:rsidRPr="00466875">
        <w:t xml:space="preserve"> </w:t>
      </w:r>
      <w:r w:rsidR="00447A82" w:rsidRPr="00466875">
        <w:t xml:space="preserve">motion for </w:t>
      </w:r>
      <w:r w:rsidR="00F34655" w:rsidRPr="00466875">
        <w:t xml:space="preserve">a continuance of the </w:t>
      </w:r>
      <w:r w:rsidR="00CC7C03" w:rsidRPr="00466875">
        <w:t>Administrative Hear</w:t>
      </w:r>
      <w:r w:rsidR="00124BAD">
        <w:softHyphen/>
      </w:r>
      <w:r w:rsidR="00CC7C03" w:rsidRPr="00466875">
        <w:t>ing to February 26</w:t>
      </w:r>
      <w:r w:rsidR="00EA209B" w:rsidRPr="00466875">
        <w:t>, 201</w:t>
      </w:r>
      <w:r w:rsidR="00CC7C03" w:rsidRPr="00466875">
        <w:t>5</w:t>
      </w:r>
      <w:r w:rsidR="00EA209B" w:rsidRPr="00466875">
        <w:t xml:space="preserve">.  </w:t>
      </w:r>
    </w:p>
    <w:bookmarkEnd w:id="0"/>
    <w:bookmarkEnd w:id="1"/>
    <w:bookmarkEnd w:id="2"/>
    <w:p w:rsidR="00466875" w:rsidRPr="0064436A" w:rsidRDefault="00466875" w:rsidP="00466875">
      <w:pPr>
        <w:tabs>
          <w:tab w:val="left" w:pos="9348"/>
        </w:tabs>
        <w:spacing w:line="480" w:lineRule="auto"/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Respectfully submitted,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>
        <w:rPr>
          <w:b/>
          <w:sz w:val="26"/>
          <w:szCs w:val="26"/>
        </w:rPr>
        <w:t>Michael DeWine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Ohio Attorney General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</w:p>
    <w:p w:rsidR="00466875" w:rsidRDefault="00466875" w:rsidP="00466875">
      <w:pPr>
        <w:tabs>
          <w:tab w:val="left" w:pos="9348"/>
        </w:tabs>
        <w:ind w:left="4320"/>
        <w:rPr>
          <w:b/>
          <w:sz w:val="26"/>
          <w:szCs w:val="26"/>
        </w:rPr>
      </w:pPr>
      <w:r>
        <w:rPr>
          <w:b/>
          <w:sz w:val="26"/>
          <w:szCs w:val="26"/>
        </w:rPr>
        <w:t>William L. Wright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Section Chief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</w:p>
    <w:p w:rsidR="00466875" w:rsidRPr="00ED784E" w:rsidRDefault="00466875" w:rsidP="00466875">
      <w:pPr>
        <w:tabs>
          <w:tab w:val="left" w:pos="9348"/>
        </w:tabs>
        <w:ind w:left="4320"/>
        <w:rPr>
          <w:rFonts w:ascii="Viner Hand ITC" w:hAnsi="Viner Hand ITC"/>
          <w:sz w:val="32"/>
          <w:szCs w:val="32"/>
          <w:u w:val="single"/>
        </w:rPr>
      </w:pPr>
      <w:r w:rsidRPr="00ED784E">
        <w:rPr>
          <w:rFonts w:ascii="Viner Hand ITC" w:hAnsi="Viner Hand ITC"/>
          <w:sz w:val="32"/>
          <w:szCs w:val="32"/>
          <w:u w:val="single"/>
        </w:rPr>
        <w:t>/s/ John H. Jones</w:t>
      </w:r>
      <w:r w:rsidRPr="00ED784E">
        <w:rPr>
          <w:rFonts w:ascii="Viner Hand ITC" w:hAnsi="Viner Hand ITC"/>
          <w:sz w:val="32"/>
          <w:szCs w:val="32"/>
          <w:u w:val="single"/>
        </w:rPr>
        <w:tab/>
      </w:r>
    </w:p>
    <w:p w:rsidR="00466875" w:rsidRPr="0064436A" w:rsidRDefault="00466875" w:rsidP="00466875">
      <w:pPr>
        <w:tabs>
          <w:tab w:val="left" w:pos="9348"/>
        </w:tabs>
        <w:ind w:left="4320"/>
        <w:rPr>
          <w:b/>
          <w:sz w:val="26"/>
          <w:szCs w:val="26"/>
        </w:rPr>
      </w:pPr>
      <w:r>
        <w:rPr>
          <w:b/>
          <w:sz w:val="26"/>
          <w:szCs w:val="26"/>
        </w:rPr>
        <w:t>John H. Jones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 xml:space="preserve">Assistant </w:t>
      </w:r>
      <w:r>
        <w:rPr>
          <w:sz w:val="26"/>
          <w:szCs w:val="26"/>
        </w:rPr>
        <w:t>Section Chief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Public Utilities Section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 xml:space="preserve">180 East Broad Street, </w:t>
      </w:r>
      <w:r>
        <w:rPr>
          <w:sz w:val="26"/>
          <w:szCs w:val="26"/>
        </w:rPr>
        <w:t>6</w:t>
      </w:r>
      <w:r w:rsidRPr="000753F8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Floor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Columbus, OH  43215-3793</w:t>
      </w:r>
    </w:p>
    <w:p w:rsidR="00466875" w:rsidRPr="0064436A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614.466.4397</w:t>
      </w:r>
      <w:r>
        <w:rPr>
          <w:sz w:val="26"/>
          <w:szCs w:val="26"/>
        </w:rPr>
        <w:t xml:space="preserve"> (telephone)</w:t>
      </w:r>
    </w:p>
    <w:p w:rsidR="00466875" w:rsidRDefault="00466875" w:rsidP="00466875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614.644.8764 (fax)</w:t>
      </w:r>
    </w:p>
    <w:p w:rsidR="00466875" w:rsidRDefault="00466875" w:rsidP="00466875">
      <w:pPr>
        <w:tabs>
          <w:tab w:val="left" w:pos="9348"/>
        </w:tabs>
        <w:ind w:left="4320"/>
        <w:rPr>
          <w:rStyle w:val="Hyperlink"/>
          <w:sz w:val="26"/>
          <w:szCs w:val="26"/>
        </w:rPr>
      </w:pPr>
      <w:hyperlink r:id="rId8" w:history="1">
        <w:r w:rsidRPr="00C07A47">
          <w:rPr>
            <w:rStyle w:val="Hyperlink"/>
            <w:sz w:val="26"/>
            <w:szCs w:val="26"/>
          </w:rPr>
          <w:t>john.jones@puc.state.oh.us</w:t>
        </w:r>
      </w:hyperlink>
    </w:p>
    <w:p w:rsidR="00466875" w:rsidRDefault="00466875" w:rsidP="00466875">
      <w:pPr>
        <w:tabs>
          <w:tab w:val="left" w:pos="9348"/>
        </w:tabs>
        <w:ind w:left="4320"/>
        <w:rPr>
          <w:b/>
          <w:sz w:val="26"/>
          <w:szCs w:val="26"/>
        </w:rPr>
      </w:pPr>
    </w:p>
    <w:p w:rsidR="00466875" w:rsidRPr="00466875" w:rsidRDefault="00466875" w:rsidP="00466875">
      <w:pPr>
        <w:tabs>
          <w:tab w:val="left" w:pos="9348"/>
        </w:tabs>
        <w:ind w:left="4320"/>
        <w:rPr>
          <w:b/>
          <w:sz w:val="26"/>
          <w:szCs w:val="26"/>
        </w:rPr>
      </w:pPr>
      <w:r>
        <w:rPr>
          <w:b/>
          <w:sz w:val="26"/>
          <w:szCs w:val="26"/>
        </w:rPr>
        <w:t>On behalf of the Staff of</w:t>
      </w:r>
      <w:r>
        <w:rPr>
          <w:b/>
          <w:sz w:val="26"/>
          <w:szCs w:val="26"/>
        </w:rPr>
        <w:br/>
        <w:t>The Public Utilities Commission of Ohio</w:t>
      </w:r>
    </w:p>
    <w:p w:rsidR="00B9106F" w:rsidRPr="00466875" w:rsidRDefault="00B9106F" w:rsidP="00466875">
      <w:pPr>
        <w:pStyle w:val="Heading1"/>
        <w:spacing w:before="360" w:after="240"/>
        <w:jc w:val="center"/>
        <w:rPr>
          <w:rFonts w:ascii="Times New Roman" w:hAnsi="Times New Roman" w:cs="Times New Roman"/>
          <w:sz w:val="26"/>
          <w:szCs w:val="26"/>
        </w:rPr>
      </w:pPr>
      <w:r w:rsidRPr="00466875">
        <w:rPr>
          <w:rFonts w:ascii="Times New Roman" w:hAnsi="Times New Roman" w:cs="Times New Roman"/>
          <w:sz w:val="26"/>
          <w:szCs w:val="26"/>
        </w:rPr>
        <w:t>CERTIFICATE OF SERVICE</w:t>
      </w:r>
    </w:p>
    <w:p w:rsidR="00B9106F" w:rsidRPr="00466875" w:rsidRDefault="00B9106F" w:rsidP="00466875">
      <w:pPr>
        <w:pStyle w:val="Textstyle"/>
      </w:pPr>
      <w:r w:rsidRPr="00466875">
        <w:rPr>
          <w:b/>
        </w:rPr>
        <w:tab/>
      </w:r>
      <w:r w:rsidRPr="00466875">
        <w:t xml:space="preserve">I hereby certify that a true copy of the foregoing </w:t>
      </w:r>
      <w:r w:rsidR="00CC7C03" w:rsidRPr="00466875">
        <w:rPr>
          <w:b/>
        </w:rPr>
        <w:t>Joint</w:t>
      </w:r>
      <w:r w:rsidR="003C50D9" w:rsidRPr="00466875">
        <w:t xml:space="preserve"> </w:t>
      </w:r>
      <w:r w:rsidRPr="00466875">
        <w:rPr>
          <w:b/>
        </w:rPr>
        <w:t>Motion for Continuance of Administrative Hearing</w:t>
      </w:r>
      <w:r w:rsidRPr="00466875">
        <w:t>,</w:t>
      </w:r>
      <w:r w:rsidRPr="00466875">
        <w:rPr>
          <w:b/>
        </w:rPr>
        <w:t xml:space="preserve"> </w:t>
      </w:r>
      <w:r w:rsidRPr="00466875">
        <w:t xml:space="preserve">submitted on behalf of </w:t>
      </w:r>
      <w:r w:rsidR="003C50D9" w:rsidRPr="00466875">
        <w:t xml:space="preserve">the </w:t>
      </w:r>
      <w:r w:rsidR="00CC7C03" w:rsidRPr="00466875">
        <w:t>parties</w:t>
      </w:r>
      <w:r w:rsidRPr="00466875">
        <w:t>,</w:t>
      </w:r>
      <w:r w:rsidR="004126A4" w:rsidRPr="00466875">
        <w:t xml:space="preserve"> </w:t>
      </w:r>
      <w:r w:rsidRPr="00466875">
        <w:t xml:space="preserve">was served </w:t>
      </w:r>
      <w:r w:rsidR="005F017E">
        <w:t xml:space="preserve">via </w:t>
      </w:r>
      <w:r w:rsidR="002F0770">
        <w:t>electronic mail</w:t>
      </w:r>
      <w:r w:rsidR="005F017E">
        <w:t>,</w:t>
      </w:r>
      <w:r w:rsidRPr="00466875">
        <w:t xml:space="preserve"> upon </w:t>
      </w:r>
      <w:r w:rsidR="002F0770">
        <w:t xml:space="preserve">Joseph </w:t>
      </w:r>
      <w:proofErr w:type="spellStart"/>
      <w:r w:rsidR="002F0770">
        <w:t>Huth</w:t>
      </w:r>
      <w:proofErr w:type="spellEnd"/>
      <w:r w:rsidR="002F0770">
        <w:t xml:space="preserve"> (</w:t>
      </w:r>
      <w:hyperlink r:id="rId9" w:history="1">
        <w:r w:rsidR="002F0770" w:rsidRPr="00B34625">
          <w:rPr>
            <w:rStyle w:val="Hyperlink"/>
          </w:rPr>
          <w:t>joeh@libertytran.com</w:t>
        </w:r>
      </w:hyperlink>
      <w:r w:rsidR="002F0770">
        <w:t>), P.O. B</w:t>
      </w:r>
      <w:bookmarkStart w:id="3" w:name="_GoBack"/>
      <w:bookmarkEnd w:id="3"/>
      <w:r w:rsidR="002F0770">
        <w:t>ox 377, New Alexandria, Pennsylvania, 15670</w:t>
      </w:r>
      <w:r w:rsidRPr="00466875">
        <w:t xml:space="preserve">, this </w:t>
      </w:r>
      <w:r w:rsidR="00CC7C03" w:rsidRPr="00466875">
        <w:t>9</w:t>
      </w:r>
      <w:r w:rsidR="00E828C0" w:rsidRPr="00466875">
        <w:t>th</w:t>
      </w:r>
      <w:r w:rsidRPr="00466875">
        <w:t xml:space="preserve"> day of </w:t>
      </w:r>
      <w:r w:rsidR="00CC7C03" w:rsidRPr="00466875">
        <w:t>February</w:t>
      </w:r>
      <w:r w:rsidRPr="00466875">
        <w:t xml:space="preserve"> 201</w:t>
      </w:r>
      <w:r w:rsidR="00CC7C03" w:rsidRPr="00466875">
        <w:t>5</w:t>
      </w:r>
      <w:r w:rsidRPr="00466875">
        <w:t xml:space="preserve">. </w:t>
      </w:r>
    </w:p>
    <w:p w:rsidR="005F017E" w:rsidRPr="00ED784E" w:rsidRDefault="005F017E" w:rsidP="005F017E">
      <w:pPr>
        <w:tabs>
          <w:tab w:val="left" w:pos="9348"/>
        </w:tabs>
        <w:ind w:left="4320"/>
        <w:rPr>
          <w:rFonts w:ascii="Viner Hand ITC" w:hAnsi="Viner Hand ITC"/>
          <w:sz w:val="32"/>
          <w:szCs w:val="32"/>
          <w:u w:val="single"/>
        </w:rPr>
      </w:pPr>
      <w:r w:rsidRPr="00ED784E">
        <w:rPr>
          <w:rFonts w:ascii="Viner Hand ITC" w:hAnsi="Viner Hand ITC"/>
          <w:sz w:val="32"/>
          <w:szCs w:val="32"/>
          <w:u w:val="single"/>
        </w:rPr>
        <w:t>/s/ John H. Jones</w:t>
      </w:r>
      <w:r w:rsidRPr="00ED784E">
        <w:rPr>
          <w:rFonts w:ascii="Viner Hand ITC" w:hAnsi="Viner Hand ITC"/>
          <w:sz w:val="32"/>
          <w:szCs w:val="32"/>
          <w:u w:val="single"/>
        </w:rPr>
        <w:tab/>
      </w:r>
    </w:p>
    <w:p w:rsidR="005F017E" w:rsidRPr="0064436A" w:rsidRDefault="005F017E" w:rsidP="005F017E">
      <w:pPr>
        <w:tabs>
          <w:tab w:val="left" w:pos="9348"/>
        </w:tabs>
        <w:ind w:left="4320"/>
        <w:rPr>
          <w:b/>
          <w:sz w:val="26"/>
          <w:szCs w:val="26"/>
        </w:rPr>
      </w:pPr>
      <w:r>
        <w:rPr>
          <w:b/>
          <w:sz w:val="26"/>
          <w:szCs w:val="26"/>
        </w:rPr>
        <w:t>John H. Jones</w:t>
      </w:r>
    </w:p>
    <w:p w:rsidR="005F017E" w:rsidRPr="0064436A" w:rsidRDefault="005F017E" w:rsidP="005F017E">
      <w:pPr>
        <w:tabs>
          <w:tab w:val="left" w:pos="9348"/>
        </w:tabs>
        <w:ind w:left="4320"/>
        <w:rPr>
          <w:sz w:val="26"/>
          <w:szCs w:val="26"/>
        </w:rPr>
      </w:pPr>
      <w:r w:rsidRPr="0064436A">
        <w:rPr>
          <w:sz w:val="26"/>
          <w:szCs w:val="26"/>
        </w:rPr>
        <w:t xml:space="preserve">Assistant </w:t>
      </w:r>
      <w:r>
        <w:rPr>
          <w:sz w:val="26"/>
          <w:szCs w:val="26"/>
        </w:rPr>
        <w:t>Section Chief</w:t>
      </w:r>
    </w:p>
    <w:sectPr w:rsidR="005F017E" w:rsidRPr="0064436A" w:rsidSect="00124BAD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80" w:rsidRDefault="00880980" w:rsidP="00AF7244">
      <w:r>
        <w:separator/>
      </w:r>
    </w:p>
  </w:endnote>
  <w:endnote w:type="continuationSeparator" w:id="0">
    <w:p w:rsidR="00880980" w:rsidRDefault="00880980" w:rsidP="00AF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450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BAD" w:rsidRDefault="00124BAD" w:rsidP="00124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AD" w:rsidRDefault="00124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80" w:rsidRDefault="00880980" w:rsidP="00AF7244">
      <w:r>
        <w:separator/>
      </w:r>
    </w:p>
  </w:footnote>
  <w:footnote w:type="continuationSeparator" w:id="0">
    <w:p w:rsidR="00880980" w:rsidRDefault="00880980" w:rsidP="00AF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82"/>
    <w:rsid w:val="00001998"/>
    <w:rsid w:val="00004675"/>
    <w:rsid w:val="00005FF4"/>
    <w:rsid w:val="000361D5"/>
    <w:rsid w:val="000439CA"/>
    <w:rsid w:val="00070B71"/>
    <w:rsid w:val="0007424C"/>
    <w:rsid w:val="00083F32"/>
    <w:rsid w:val="000A3383"/>
    <w:rsid w:val="000A3F5B"/>
    <w:rsid w:val="000B00A3"/>
    <w:rsid w:val="000B75CA"/>
    <w:rsid w:val="000C0B9D"/>
    <w:rsid w:val="000D194A"/>
    <w:rsid w:val="000D5D27"/>
    <w:rsid w:val="000E29FE"/>
    <w:rsid w:val="000E48A4"/>
    <w:rsid w:val="000F5B41"/>
    <w:rsid w:val="001033FA"/>
    <w:rsid w:val="001045C6"/>
    <w:rsid w:val="0011212D"/>
    <w:rsid w:val="001239BC"/>
    <w:rsid w:val="00124BAD"/>
    <w:rsid w:val="00131782"/>
    <w:rsid w:val="00142A93"/>
    <w:rsid w:val="001530D7"/>
    <w:rsid w:val="00154F8F"/>
    <w:rsid w:val="00157696"/>
    <w:rsid w:val="00192A74"/>
    <w:rsid w:val="001A44FF"/>
    <w:rsid w:val="001A7B16"/>
    <w:rsid w:val="001B55A9"/>
    <w:rsid w:val="001B7C4B"/>
    <w:rsid w:val="001E4F35"/>
    <w:rsid w:val="001F0AB8"/>
    <w:rsid w:val="00201751"/>
    <w:rsid w:val="00230FF1"/>
    <w:rsid w:val="002313C3"/>
    <w:rsid w:val="0023679D"/>
    <w:rsid w:val="00245F03"/>
    <w:rsid w:val="002523C2"/>
    <w:rsid w:val="00252CF9"/>
    <w:rsid w:val="0026084D"/>
    <w:rsid w:val="0026213E"/>
    <w:rsid w:val="00267D8F"/>
    <w:rsid w:val="0027168A"/>
    <w:rsid w:val="002723AB"/>
    <w:rsid w:val="0027240B"/>
    <w:rsid w:val="0028010A"/>
    <w:rsid w:val="002822FA"/>
    <w:rsid w:val="00292ABF"/>
    <w:rsid w:val="00295472"/>
    <w:rsid w:val="002A26B2"/>
    <w:rsid w:val="002A5DDC"/>
    <w:rsid w:val="002B1592"/>
    <w:rsid w:val="002B51DC"/>
    <w:rsid w:val="002C5313"/>
    <w:rsid w:val="002E0BAC"/>
    <w:rsid w:val="002E13A3"/>
    <w:rsid w:val="002F0770"/>
    <w:rsid w:val="00302629"/>
    <w:rsid w:val="003108FB"/>
    <w:rsid w:val="00310D40"/>
    <w:rsid w:val="0032132F"/>
    <w:rsid w:val="00321F2F"/>
    <w:rsid w:val="0032639B"/>
    <w:rsid w:val="0032678D"/>
    <w:rsid w:val="0033356A"/>
    <w:rsid w:val="00355497"/>
    <w:rsid w:val="00361DC3"/>
    <w:rsid w:val="00365702"/>
    <w:rsid w:val="0038049D"/>
    <w:rsid w:val="003944F9"/>
    <w:rsid w:val="003A0D61"/>
    <w:rsid w:val="003A1E52"/>
    <w:rsid w:val="003A7327"/>
    <w:rsid w:val="003B58F6"/>
    <w:rsid w:val="003B63AC"/>
    <w:rsid w:val="003C03F3"/>
    <w:rsid w:val="003C50D9"/>
    <w:rsid w:val="003E178C"/>
    <w:rsid w:val="003E3703"/>
    <w:rsid w:val="003E71D2"/>
    <w:rsid w:val="003F02EB"/>
    <w:rsid w:val="003F4D35"/>
    <w:rsid w:val="00403C00"/>
    <w:rsid w:val="004126A4"/>
    <w:rsid w:val="00422467"/>
    <w:rsid w:val="004347F4"/>
    <w:rsid w:val="00441460"/>
    <w:rsid w:val="0044686A"/>
    <w:rsid w:val="00447A82"/>
    <w:rsid w:val="004605F4"/>
    <w:rsid w:val="0046284B"/>
    <w:rsid w:val="00466875"/>
    <w:rsid w:val="00470DF2"/>
    <w:rsid w:val="004808EF"/>
    <w:rsid w:val="00482ACB"/>
    <w:rsid w:val="00492991"/>
    <w:rsid w:val="004C451E"/>
    <w:rsid w:val="004E4074"/>
    <w:rsid w:val="004E78A8"/>
    <w:rsid w:val="004F4846"/>
    <w:rsid w:val="00507043"/>
    <w:rsid w:val="005177E4"/>
    <w:rsid w:val="00522B1B"/>
    <w:rsid w:val="00525050"/>
    <w:rsid w:val="00542B4A"/>
    <w:rsid w:val="00546B64"/>
    <w:rsid w:val="00546BD4"/>
    <w:rsid w:val="005566E9"/>
    <w:rsid w:val="0056668C"/>
    <w:rsid w:val="0057069C"/>
    <w:rsid w:val="00574C7D"/>
    <w:rsid w:val="005760FD"/>
    <w:rsid w:val="005807CF"/>
    <w:rsid w:val="00580A6A"/>
    <w:rsid w:val="005913D8"/>
    <w:rsid w:val="0059796B"/>
    <w:rsid w:val="005C2A8E"/>
    <w:rsid w:val="005C5CDB"/>
    <w:rsid w:val="005C6D98"/>
    <w:rsid w:val="005E6C59"/>
    <w:rsid w:val="005F017E"/>
    <w:rsid w:val="005F3C6F"/>
    <w:rsid w:val="0060487B"/>
    <w:rsid w:val="00605365"/>
    <w:rsid w:val="006059DD"/>
    <w:rsid w:val="00611013"/>
    <w:rsid w:val="00612F27"/>
    <w:rsid w:val="00617E49"/>
    <w:rsid w:val="00632636"/>
    <w:rsid w:val="00647B4B"/>
    <w:rsid w:val="00660C86"/>
    <w:rsid w:val="00664454"/>
    <w:rsid w:val="00673BC8"/>
    <w:rsid w:val="00674059"/>
    <w:rsid w:val="00692771"/>
    <w:rsid w:val="006C16BD"/>
    <w:rsid w:val="006C3676"/>
    <w:rsid w:val="006C4C42"/>
    <w:rsid w:val="006C4D4F"/>
    <w:rsid w:val="006D68E4"/>
    <w:rsid w:val="006F08D3"/>
    <w:rsid w:val="006F159C"/>
    <w:rsid w:val="006F3746"/>
    <w:rsid w:val="007030FC"/>
    <w:rsid w:val="007046BF"/>
    <w:rsid w:val="00727B2A"/>
    <w:rsid w:val="00736517"/>
    <w:rsid w:val="00750C41"/>
    <w:rsid w:val="00752DF4"/>
    <w:rsid w:val="00752E98"/>
    <w:rsid w:val="00756117"/>
    <w:rsid w:val="00767C01"/>
    <w:rsid w:val="00767FAB"/>
    <w:rsid w:val="00772540"/>
    <w:rsid w:val="00774F01"/>
    <w:rsid w:val="00776AD2"/>
    <w:rsid w:val="00781086"/>
    <w:rsid w:val="007836EE"/>
    <w:rsid w:val="007A1B6C"/>
    <w:rsid w:val="007A4E6A"/>
    <w:rsid w:val="007B6695"/>
    <w:rsid w:val="007C08D2"/>
    <w:rsid w:val="007C5161"/>
    <w:rsid w:val="007D3578"/>
    <w:rsid w:val="007D42E2"/>
    <w:rsid w:val="007E41C8"/>
    <w:rsid w:val="007F01A4"/>
    <w:rsid w:val="007F6CC6"/>
    <w:rsid w:val="00802627"/>
    <w:rsid w:val="0081580D"/>
    <w:rsid w:val="00816D79"/>
    <w:rsid w:val="00821872"/>
    <w:rsid w:val="00841CA9"/>
    <w:rsid w:val="008421DC"/>
    <w:rsid w:val="008450E4"/>
    <w:rsid w:val="0084601C"/>
    <w:rsid w:val="00856359"/>
    <w:rsid w:val="008634B9"/>
    <w:rsid w:val="00871753"/>
    <w:rsid w:val="00876E97"/>
    <w:rsid w:val="00880980"/>
    <w:rsid w:val="00883433"/>
    <w:rsid w:val="00894D86"/>
    <w:rsid w:val="008B02EC"/>
    <w:rsid w:val="008B6084"/>
    <w:rsid w:val="008D2194"/>
    <w:rsid w:val="008D44A6"/>
    <w:rsid w:val="008E2CD0"/>
    <w:rsid w:val="008E5450"/>
    <w:rsid w:val="008E56D1"/>
    <w:rsid w:val="008E798D"/>
    <w:rsid w:val="0090692D"/>
    <w:rsid w:val="009159DB"/>
    <w:rsid w:val="00922F96"/>
    <w:rsid w:val="009242AE"/>
    <w:rsid w:val="009265AC"/>
    <w:rsid w:val="00926A93"/>
    <w:rsid w:val="00931361"/>
    <w:rsid w:val="00932CFB"/>
    <w:rsid w:val="00934F03"/>
    <w:rsid w:val="0094185D"/>
    <w:rsid w:val="0096284C"/>
    <w:rsid w:val="00990687"/>
    <w:rsid w:val="00991557"/>
    <w:rsid w:val="009A016E"/>
    <w:rsid w:val="009B271D"/>
    <w:rsid w:val="009C0176"/>
    <w:rsid w:val="009E6ED6"/>
    <w:rsid w:val="009F5137"/>
    <w:rsid w:val="009F5DA0"/>
    <w:rsid w:val="009F65AC"/>
    <w:rsid w:val="00A200F5"/>
    <w:rsid w:val="00A21C0A"/>
    <w:rsid w:val="00A25BDD"/>
    <w:rsid w:val="00A33ACA"/>
    <w:rsid w:val="00A41D4E"/>
    <w:rsid w:val="00A43FEA"/>
    <w:rsid w:val="00A47B24"/>
    <w:rsid w:val="00A50845"/>
    <w:rsid w:val="00A54F1F"/>
    <w:rsid w:val="00A60F2B"/>
    <w:rsid w:val="00A71472"/>
    <w:rsid w:val="00A71BC0"/>
    <w:rsid w:val="00A73E8D"/>
    <w:rsid w:val="00A74EEF"/>
    <w:rsid w:val="00A91A94"/>
    <w:rsid w:val="00A93967"/>
    <w:rsid w:val="00A93B60"/>
    <w:rsid w:val="00AA033A"/>
    <w:rsid w:val="00AA31D4"/>
    <w:rsid w:val="00AA654F"/>
    <w:rsid w:val="00AB01DD"/>
    <w:rsid w:val="00AB0F42"/>
    <w:rsid w:val="00AD112A"/>
    <w:rsid w:val="00AD42C4"/>
    <w:rsid w:val="00AE7ADB"/>
    <w:rsid w:val="00AF39F6"/>
    <w:rsid w:val="00AF658B"/>
    <w:rsid w:val="00AF7244"/>
    <w:rsid w:val="00B043DE"/>
    <w:rsid w:val="00B11E2A"/>
    <w:rsid w:val="00B1719C"/>
    <w:rsid w:val="00B23CB8"/>
    <w:rsid w:val="00B47315"/>
    <w:rsid w:val="00B50D26"/>
    <w:rsid w:val="00B63238"/>
    <w:rsid w:val="00B654E2"/>
    <w:rsid w:val="00B66656"/>
    <w:rsid w:val="00B87DFD"/>
    <w:rsid w:val="00B9106F"/>
    <w:rsid w:val="00B92EB0"/>
    <w:rsid w:val="00BA42C8"/>
    <w:rsid w:val="00BC7055"/>
    <w:rsid w:val="00BD1263"/>
    <w:rsid w:val="00BE6C5F"/>
    <w:rsid w:val="00BF1697"/>
    <w:rsid w:val="00BF5F67"/>
    <w:rsid w:val="00BF783E"/>
    <w:rsid w:val="00BF7D1E"/>
    <w:rsid w:val="00C03D52"/>
    <w:rsid w:val="00C1261E"/>
    <w:rsid w:val="00C1488D"/>
    <w:rsid w:val="00C201FE"/>
    <w:rsid w:val="00C27ACA"/>
    <w:rsid w:val="00C5716E"/>
    <w:rsid w:val="00C579BB"/>
    <w:rsid w:val="00C807EF"/>
    <w:rsid w:val="00C8216E"/>
    <w:rsid w:val="00C8456B"/>
    <w:rsid w:val="00C8533D"/>
    <w:rsid w:val="00C85B6E"/>
    <w:rsid w:val="00C96169"/>
    <w:rsid w:val="00C97E97"/>
    <w:rsid w:val="00CA29E2"/>
    <w:rsid w:val="00CB2C91"/>
    <w:rsid w:val="00CB7C66"/>
    <w:rsid w:val="00CC09C6"/>
    <w:rsid w:val="00CC7C03"/>
    <w:rsid w:val="00CE2992"/>
    <w:rsid w:val="00CE51BC"/>
    <w:rsid w:val="00CF097C"/>
    <w:rsid w:val="00D25C8A"/>
    <w:rsid w:val="00D26CF8"/>
    <w:rsid w:val="00D507E6"/>
    <w:rsid w:val="00D52715"/>
    <w:rsid w:val="00D63F7B"/>
    <w:rsid w:val="00D66132"/>
    <w:rsid w:val="00D677E3"/>
    <w:rsid w:val="00D71842"/>
    <w:rsid w:val="00D7553B"/>
    <w:rsid w:val="00D7640E"/>
    <w:rsid w:val="00D872B6"/>
    <w:rsid w:val="00DF1E35"/>
    <w:rsid w:val="00E06534"/>
    <w:rsid w:val="00E0662A"/>
    <w:rsid w:val="00E21C2F"/>
    <w:rsid w:val="00E22A4B"/>
    <w:rsid w:val="00E267A9"/>
    <w:rsid w:val="00E3387C"/>
    <w:rsid w:val="00E41B2E"/>
    <w:rsid w:val="00E47D98"/>
    <w:rsid w:val="00E50414"/>
    <w:rsid w:val="00E5124E"/>
    <w:rsid w:val="00E73F1B"/>
    <w:rsid w:val="00E74DD7"/>
    <w:rsid w:val="00E828C0"/>
    <w:rsid w:val="00E85A88"/>
    <w:rsid w:val="00E973FC"/>
    <w:rsid w:val="00E97649"/>
    <w:rsid w:val="00EA209B"/>
    <w:rsid w:val="00EB3598"/>
    <w:rsid w:val="00EB3742"/>
    <w:rsid w:val="00EB3F13"/>
    <w:rsid w:val="00EC0B0A"/>
    <w:rsid w:val="00ED389A"/>
    <w:rsid w:val="00EE229A"/>
    <w:rsid w:val="00EE4A96"/>
    <w:rsid w:val="00EF463D"/>
    <w:rsid w:val="00F01289"/>
    <w:rsid w:val="00F07E07"/>
    <w:rsid w:val="00F224C3"/>
    <w:rsid w:val="00F24C87"/>
    <w:rsid w:val="00F3071A"/>
    <w:rsid w:val="00F34655"/>
    <w:rsid w:val="00F36CC3"/>
    <w:rsid w:val="00F40EF4"/>
    <w:rsid w:val="00F52521"/>
    <w:rsid w:val="00F5572A"/>
    <w:rsid w:val="00F72F6B"/>
    <w:rsid w:val="00FA6CF1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3DE4FC-7BD8-4A35-A2A4-C9DF1AF9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87C"/>
    <w:rPr>
      <w:sz w:val="24"/>
      <w:szCs w:val="24"/>
    </w:rPr>
  </w:style>
  <w:style w:type="paragraph" w:styleId="Heading1">
    <w:name w:val="heading 1"/>
    <w:basedOn w:val="Normal"/>
    <w:next w:val="Normal"/>
    <w:qFormat/>
    <w:rsid w:val="00131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OC2Left0">
    <w:name w:val="Style TOC 2 + Left:  0&quot;"/>
    <w:basedOn w:val="TOC2"/>
    <w:autoRedefine/>
    <w:rsid w:val="003B58F6"/>
    <w:pPr>
      <w:tabs>
        <w:tab w:val="left" w:leader="dot" w:pos="2160"/>
        <w:tab w:val="right" w:leader="dot" w:pos="9360"/>
      </w:tabs>
      <w:ind w:left="720" w:right="1440"/>
      <w:jc w:val="both"/>
    </w:pPr>
    <w:rPr>
      <w:szCs w:val="20"/>
    </w:rPr>
  </w:style>
  <w:style w:type="paragraph" w:styleId="TOC2">
    <w:name w:val="toc 2"/>
    <w:basedOn w:val="Normal"/>
    <w:next w:val="Normal"/>
    <w:autoRedefine/>
    <w:semiHidden/>
    <w:rsid w:val="003B58F6"/>
    <w:pPr>
      <w:ind w:left="240"/>
    </w:pPr>
  </w:style>
  <w:style w:type="paragraph" w:customStyle="1" w:styleId="TOCNetta">
    <w:name w:val="TOC Netta"/>
    <w:basedOn w:val="TOC1"/>
    <w:autoRedefine/>
    <w:rsid w:val="00252CF9"/>
    <w:pPr>
      <w:tabs>
        <w:tab w:val="right" w:leader="dot" w:pos="8630"/>
        <w:tab w:val="right" w:pos="9360"/>
      </w:tabs>
      <w:spacing w:before="240" w:after="240"/>
      <w:jc w:val="both"/>
    </w:pPr>
    <w:rPr>
      <w:noProof/>
    </w:rPr>
  </w:style>
  <w:style w:type="paragraph" w:styleId="TOC1">
    <w:name w:val="toc 1"/>
    <w:basedOn w:val="Normal"/>
    <w:next w:val="Normal"/>
    <w:autoRedefine/>
    <w:semiHidden/>
    <w:rsid w:val="00252CF9"/>
  </w:style>
  <w:style w:type="table" w:styleId="TableGrid">
    <w:name w:val="Table Grid"/>
    <w:basedOn w:val="TableNormal"/>
    <w:rsid w:val="0013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4F0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F72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7244"/>
  </w:style>
  <w:style w:type="character" w:styleId="FootnoteReference">
    <w:name w:val="footnote reference"/>
    <w:basedOn w:val="DefaultParagraphFont"/>
    <w:rsid w:val="00AF7244"/>
    <w:rPr>
      <w:vertAlign w:val="superscript"/>
    </w:rPr>
  </w:style>
  <w:style w:type="paragraph" w:styleId="NoSpacing">
    <w:name w:val="No Spacing"/>
    <w:uiPriority w:val="1"/>
    <w:qFormat/>
    <w:rsid w:val="00AD112A"/>
    <w:rPr>
      <w:sz w:val="24"/>
      <w:szCs w:val="24"/>
    </w:rPr>
  </w:style>
  <w:style w:type="character" w:styleId="Hyperlink">
    <w:name w:val="Hyperlink"/>
    <w:rsid w:val="00466875"/>
    <w:rPr>
      <w:color w:val="0000FF"/>
      <w:u w:val="single"/>
    </w:rPr>
  </w:style>
  <w:style w:type="paragraph" w:customStyle="1" w:styleId="Textstyle">
    <w:name w:val="Text style"/>
    <w:basedOn w:val="Normal"/>
    <w:rsid w:val="00466875"/>
    <w:pPr>
      <w:spacing w:line="480" w:lineRule="auto"/>
    </w:pPr>
    <w:rPr>
      <w:sz w:val="26"/>
      <w:szCs w:val="26"/>
    </w:rPr>
  </w:style>
  <w:style w:type="paragraph" w:styleId="Header">
    <w:name w:val="header"/>
    <w:basedOn w:val="Normal"/>
    <w:link w:val="HeaderChar"/>
    <w:unhideWhenUsed/>
    <w:rsid w:val="00124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4B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jones@puc.state.oh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.jones@puc.state.oh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eh@liberty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ED05-810A-4A6C-BC53-4BFC06F1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335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tonnetta gaskins</dc:creator>
  <cp:lastModifiedBy>Keeton, Kim</cp:lastModifiedBy>
  <cp:revision>6</cp:revision>
  <cp:lastPrinted>2015-02-09T16:33:00Z</cp:lastPrinted>
  <dcterms:created xsi:type="dcterms:W3CDTF">2015-02-09T16:22:00Z</dcterms:created>
  <dcterms:modified xsi:type="dcterms:W3CDTF">2015-02-09T16:33:00Z</dcterms:modified>
</cp:coreProperties>
</file>