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EF" w:rsidRDefault="008A3BEF" w:rsidP="008A3BEF">
      <w:pPr>
        <w:jc w:val="center"/>
        <w:rPr>
          <w:rFonts w:cs="Arial"/>
          <w:b/>
          <w:smallCaps/>
          <w:sz w:val="28"/>
        </w:rPr>
      </w:pPr>
      <w:r>
        <w:rPr>
          <w:rFonts w:cs="Arial"/>
          <w:b/>
          <w:smallCaps/>
          <w:sz w:val="28"/>
        </w:rPr>
        <w:t>Before</w:t>
      </w:r>
    </w:p>
    <w:p w:rsidR="008A3BEF" w:rsidRDefault="008A3BEF" w:rsidP="008A3BEF">
      <w:pPr>
        <w:jc w:val="center"/>
        <w:rPr>
          <w:rFonts w:cs="Arial"/>
          <w:b/>
          <w:smallCaps/>
          <w:sz w:val="28"/>
        </w:rPr>
      </w:pPr>
      <w:r>
        <w:rPr>
          <w:rFonts w:cs="Arial"/>
          <w:b/>
          <w:smallCaps/>
          <w:sz w:val="28"/>
        </w:rPr>
        <w:t>The Public Utilities Commission of Ohio</w:t>
      </w:r>
    </w:p>
    <w:p w:rsidR="008A3BEF" w:rsidRPr="00D95797" w:rsidRDefault="008A3BEF" w:rsidP="008A3BEF">
      <w:pPr>
        <w:autoSpaceDE w:val="0"/>
        <w:autoSpaceDN w:val="0"/>
        <w:adjustRightInd w:val="0"/>
        <w:rPr>
          <w:rFonts w:cs="Arial"/>
        </w:rPr>
      </w:pPr>
    </w:p>
    <w:p w:rsidR="008A3BEF" w:rsidRPr="00D95797" w:rsidRDefault="008A3BEF" w:rsidP="008A3BEF">
      <w:pPr>
        <w:autoSpaceDE w:val="0"/>
        <w:autoSpaceDN w:val="0"/>
        <w:adjustRightInd w:val="0"/>
        <w:rPr>
          <w:rFonts w:cs="Arial"/>
        </w:rPr>
      </w:pPr>
    </w:p>
    <w:p w:rsidR="008A3BEF" w:rsidRDefault="008A3BEF" w:rsidP="008A3BEF">
      <w:pPr>
        <w:pStyle w:val="BodyText"/>
        <w:tabs>
          <w:tab w:val="clear" w:pos="5040"/>
          <w:tab w:val="left" w:pos="4680"/>
          <w:tab w:val="left" w:pos="5760"/>
        </w:tabs>
        <w:rPr>
          <w:rFonts w:cs="Arial"/>
          <w:b w:val="0"/>
          <w:smallCaps w:val="0"/>
          <w:color w:val="000000"/>
          <w:sz w:val="24"/>
          <w:szCs w:val="24"/>
        </w:rPr>
      </w:pPr>
      <w:r w:rsidRPr="008A3BEF">
        <w:rPr>
          <w:rFonts w:cs="Arial"/>
          <w:b w:val="0"/>
          <w:smallCaps w:val="0"/>
          <w:color w:val="000000"/>
          <w:sz w:val="24"/>
          <w:szCs w:val="24"/>
        </w:rPr>
        <w:t xml:space="preserve">In the </w:t>
      </w:r>
      <w:r w:rsidR="00050537">
        <w:rPr>
          <w:rFonts w:cs="Arial"/>
          <w:b w:val="0"/>
          <w:smallCaps w:val="0"/>
          <w:color w:val="000000"/>
          <w:sz w:val="24"/>
          <w:szCs w:val="24"/>
        </w:rPr>
        <w:t>M</w:t>
      </w:r>
      <w:r w:rsidRPr="008A3BEF">
        <w:rPr>
          <w:rFonts w:cs="Arial"/>
          <w:b w:val="0"/>
          <w:smallCaps w:val="0"/>
          <w:color w:val="000000"/>
          <w:sz w:val="24"/>
          <w:szCs w:val="24"/>
        </w:rPr>
        <w:t xml:space="preserve">atter of the </w:t>
      </w:r>
      <w:r w:rsidR="00050537">
        <w:rPr>
          <w:rFonts w:cs="Arial"/>
          <w:b w:val="0"/>
          <w:smallCaps w:val="0"/>
          <w:color w:val="000000"/>
          <w:sz w:val="24"/>
          <w:szCs w:val="24"/>
        </w:rPr>
        <w:t>A</w:t>
      </w:r>
      <w:r w:rsidRPr="008A3BEF">
        <w:rPr>
          <w:rFonts w:cs="Arial"/>
          <w:b w:val="0"/>
          <w:smallCaps w:val="0"/>
          <w:color w:val="000000"/>
          <w:sz w:val="24"/>
          <w:szCs w:val="24"/>
        </w:rPr>
        <w:t>pplication of the</w:t>
      </w:r>
      <w:r>
        <w:rPr>
          <w:rFonts w:cs="Arial"/>
          <w:b w:val="0"/>
          <w:smallCaps w:val="0"/>
          <w:color w:val="000000"/>
          <w:sz w:val="24"/>
          <w:szCs w:val="24"/>
        </w:rPr>
        <w:tab/>
        <w:t>)</w:t>
      </w:r>
      <w:r w:rsidRPr="008A3BEF">
        <w:rPr>
          <w:rFonts w:cs="Arial"/>
          <w:b w:val="0"/>
          <w:smallCaps w:val="0"/>
          <w:color w:val="000000"/>
          <w:sz w:val="24"/>
          <w:szCs w:val="24"/>
        </w:rPr>
        <w:t xml:space="preserve"> </w:t>
      </w:r>
    </w:p>
    <w:p w:rsidR="008A3BEF" w:rsidRDefault="008A3BEF" w:rsidP="008A3BEF">
      <w:pPr>
        <w:pStyle w:val="BodyText"/>
        <w:tabs>
          <w:tab w:val="clear" w:pos="5040"/>
          <w:tab w:val="left" w:pos="4680"/>
          <w:tab w:val="left" w:pos="5400"/>
        </w:tabs>
        <w:rPr>
          <w:rFonts w:cs="Arial"/>
          <w:b w:val="0"/>
          <w:smallCaps w:val="0"/>
          <w:color w:val="000000"/>
          <w:sz w:val="24"/>
          <w:szCs w:val="24"/>
        </w:rPr>
      </w:pPr>
      <w:r w:rsidRPr="008A3BEF">
        <w:rPr>
          <w:rFonts w:cs="Arial"/>
          <w:b w:val="0"/>
          <w:smallCaps w:val="0"/>
          <w:color w:val="000000"/>
          <w:sz w:val="24"/>
          <w:szCs w:val="24"/>
        </w:rPr>
        <w:t xml:space="preserve">Dayton Power and Light Company </w:t>
      </w:r>
      <w:r>
        <w:rPr>
          <w:rFonts w:cs="Arial"/>
          <w:b w:val="0"/>
          <w:smallCaps w:val="0"/>
          <w:color w:val="000000"/>
          <w:sz w:val="24"/>
          <w:szCs w:val="24"/>
        </w:rPr>
        <w:t>to</w:t>
      </w:r>
      <w:r>
        <w:rPr>
          <w:rFonts w:cs="Arial"/>
          <w:b w:val="0"/>
          <w:smallCaps w:val="0"/>
          <w:color w:val="000000"/>
          <w:sz w:val="24"/>
          <w:szCs w:val="24"/>
        </w:rPr>
        <w:tab/>
        <w:t>)</w:t>
      </w:r>
      <w:r>
        <w:rPr>
          <w:rFonts w:cs="Arial"/>
          <w:b w:val="0"/>
          <w:smallCaps w:val="0"/>
          <w:color w:val="000000"/>
          <w:sz w:val="24"/>
          <w:szCs w:val="24"/>
        </w:rPr>
        <w:tab/>
        <w:t>Case No. 13-2442-EL-UNC</w:t>
      </w:r>
    </w:p>
    <w:p w:rsidR="008A3BEF" w:rsidRDefault="008A3BEF" w:rsidP="008A3BEF">
      <w:pPr>
        <w:pStyle w:val="BodyText"/>
        <w:tabs>
          <w:tab w:val="clear" w:pos="5040"/>
          <w:tab w:val="left" w:pos="4680"/>
          <w:tab w:val="left" w:pos="5760"/>
        </w:tabs>
        <w:rPr>
          <w:rFonts w:cs="Arial"/>
          <w:b w:val="0"/>
          <w:smallCaps w:val="0"/>
          <w:color w:val="000000"/>
          <w:sz w:val="24"/>
          <w:szCs w:val="24"/>
        </w:rPr>
      </w:pPr>
      <w:r w:rsidRPr="008A3BEF">
        <w:rPr>
          <w:rFonts w:cs="Arial"/>
          <w:b w:val="0"/>
          <w:smallCaps w:val="0"/>
          <w:color w:val="000000"/>
          <w:sz w:val="24"/>
          <w:szCs w:val="24"/>
        </w:rPr>
        <w:t>Amend its Corporate Separation Plan</w:t>
      </w:r>
      <w:r>
        <w:rPr>
          <w:rFonts w:cs="Arial"/>
          <w:b w:val="0"/>
          <w:smallCaps w:val="0"/>
          <w:color w:val="000000"/>
          <w:sz w:val="24"/>
          <w:szCs w:val="24"/>
        </w:rPr>
        <w:tab/>
        <w:t>)</w:t>
      </w:r>
    </w:p>
    <w:p w:rsidR="008A3BEF" w:rsidRDefault="008A3BEF" w:rsidP="008A3BEF">
      <w:pPr>
        <w:pStyle w:val="BodyText"/>
        <w:tabs>
          <w:tab w:val="clear" w:pos="5040"/>
          <w:tab w:val="left" w:pos="4680"/>
          <w:tab w:val="left" w:pos="5760"/>
        </w:tabs>
        <w:rPr>
          <w:rFonts w:cs="Arial"/>
          <w:b w:val="0"/>
          <w:sz w:val="24"/>
          <w:szCs w:val="24"/>
        </w:rPr>
      </w:pPr>
    </w:p>
    <w:p w:rsidR="008A3BEF" w:rsidRPr="008A3BEF" w:rsidRDefault="008A3BEF" w:rsidP="008A3BEF">
      <w:pPr>
        <w:pStyle w:val="BodyText"/>
        <w:tabs>
          <w:tab w:val="clear" w:pos="5040"/>
          <w:tab w:val="left" w:pos="4680"/>
          <w:tab w:val="left" w:pos="5760"/>
        </w:tabs>
        <w:rPr>
          <w:rFonts w:cs="Arial"/>
          <w:b w:val="0"/>
          <w:sz w:val="24"/>
          <w:szCs w:val="24"/>
        </w:rPr>
      </w:pPr>
    </w:p>
    <w:p w:rsidR="008A3BEF" w:rsidRPr="001B132B" w:rsidRDefault="008A3BEF" w:rsidP="008A3BEF">
      <w:pPr>
        <w:pStyle w:val="BodyText"/>
        <w:pBdr>
          <w:top w:val="single" w:sz="12" w:space="1" w:color="auto"/>
        </w:pBdr>
        <w:rPr>
          <w:rFonts w:cs="Arial"/>
          <w:sz w:val="28"/>
          <w:szCs w:val="28"/>
        </w:rPr>
      </w:pPr>
    </w:p>
    <w:p w:rsidR="008A3BEF" w:rsidRPr="001B132B" w:rsidRDefault="00D708DC" w:rsidP="008A3BEF">
      <w:pPr>
        <w:jc w:val="center"/>
        <w:rPr>
          <w:rFonts w:cs="Arial"/>
          <w:b/>
          <w:smallCaps/>
          <w:sz w:val="28"/>
          <w:szCs w:val="28"/>
        </w:rPr>
      </w:pPr>
      <w:r w:rsidRPr="001B132B">
        <w:rPr>
          <w:rFonts w:ascii="Arial Bold" w:hAnsi="Arial Bold" w:cs="Arial"/>
          <w:b/>
          <w:smallCaps/>
          <w:sz w:val="28"/>
          <w:szCs w:val="28"/>
        </w:rPr>
        <w:t>O</w:t>
      </w:r>
      <w:r w:rsidR="001B132B" w:rsidRPr="001B132B">
        <w:rPr>
          <w:rFonts w:ascii="Arial Bold" w:hAnsi="Arial Bold" w:cs="Arial"/>
          <w:b/>
          <w:smallCaps/>
          <w:sz w:val="28"/>
          <w:szCs w:val="28"/>
        </w:rPr>
        <w:t>bjections of I</w:t>
      </w:r>
      <w:r w:rsidR="008A3BEF" w:rsidRPr="001B132B">
        <w:rPr>
          <w:rFonts w:cs="Arial"/>
          <w:b/>
          <w:smallCaps/>
          <w:sz w:val="28"/>
          <w:szCs w:val="28"/>
        </w:rPr>
        <w:t>ndustrial Energy Users-Ohio</w:t>
      </w:r>
    </w:p>
    <w:p w:rsidR="008A3BEF" w:rsidRPr="00402C8B" w:rsidRDefault="008A3BEF" w:rsidP="008A3BEF">
      <w:pPr>
        <w:pBdr>
          <w:bottom w:val="single" w:sz="12" w:space="1" w:color="auto"/>
        </w:pBdr>
        <w:jc w:val="both"/>
        <w:rPr>
          <w:rFonts w:cs="Arial"/>
          <w:sz w:val="28"/>
          <w:szCs w:val="28"/>
        </w:rPr>
      </w:pPr>
    </w:p>
    <w:p w:rsidR="008A3BEF" w:rsidRDefault="008A3BEF" w:rsidP="008A3BEF">
      <w:pPr>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Default="008A3BEF" w:rsidP="008A3BEF">
      <w:pPr>
        <w:tabs>
          <w:tab w:val="left" w:pos="4320"/>
          <w:tab w:val="right" w:pos="8640"/>
        </w:tabs>
        <w:ind w:left="4320"/>
        <w:jc w:val="both"/>
        <w:rPr>
          <w:rFonts w:cs="Arial"/>
        </w:rPr>
      </w:pPr>
    </w:p>
    <w:p w:rsidR="008A3BEF" w:rsidRPr="00FA702C" w:rsidRDefault="008A3BEF" w:rsidP="008A3BEF">
      <w:pPr>
        <w:tabs>
          <w:tab w:val="left" w:pos="4320"/>
          <w:tab w:val="right" w:pos="8640"/>
        </w:tabs>
        <w:ind w:left="4320"/>
        <w:jc w:val="both"/>
        <w:rPr>
          <w:rFonts w:cs="Arial"/>
          <w:sz w:val="24"/>
          <w:szCs w:val="24"/>
        </w:rPr>
      </w:pPr>
      <w:r w:rsidRPr="00FA702C">
        <w:rPr>
          <w:rFonts w:cs="Arial"/>
          <w:sz w:val="24"/>
          <w:szCs w:val="24"/>
        </w:rPr>
        <w:t>Samuel C. Randazzo (Counsel of Record)</w:t>
      </w:r>
    </w:p>
    <w:p w:rsidR="008A3BEF" w:rsidRPr="00FA702C" w:rsidRDefault="008A3BEF" w:rsidP="008A3BEF">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8A3BEF" w:rsidRPr="00FA702C" w:rsidRDefault="008A3BEF" w:rsidP="008A3BEF">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8A3BEF" w:rsidRPr="00FA702C" w:rsidRDefault="008A3BEF" w:rsidP="008A3BEF">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8A3BEF" w:rsidRPr="00FA702C" w:rsidRDefault="008A3BEF" w:rsidP="008A3BEF">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8A3BEF" w:rsidRPr="00FA702C" w:rsidRDefault="008A3BEF" w:rsidP="008A3BEF">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8A3BEF" w:rsidRPr="00FA702C" w:rsidRDefault="008A3BEF" w:rsidP="008A3BEF">
      <w:pPr>
        <w:pStyle w:val="BodyText"/>
        <w:tabs>
          <w:tab w:val="left" w:pos="4320"/>
        </w:tabs>
        <w:ind w:left="4320"/>
        <w:rPr>
          <w:b w:val="0"/>
          <w:smallCaps w:val="0"/>
          <w:sz w:val="24"/>
          <w:szCs w:val="24"/>
        </w:rPr>
      </w:pPr>
      <w:r w:rsidRPr="00FA702C">
        <w:rPr>
          <w:b w:val="0"/>
          <w:smallCaps w:val="0"/>
          <w:sz w:val="24"/>
          <w:szCs w:val="24"/>
        </w:rPr>
        <w:t>Columbus, OH  43215</w:t>
      </w:r>
    </w:p>
    <w:p w:rsidR="008A3BEF" w:rsidRPr="00FA702C" w:rsidRDefault="008A3BEF" w:rsidP="008A3BEF">
      <w:pPr>
        <w:pStyle w:val="BodyText"/>
        <w:tabs>
          <w:tab w:val="left" w:pos="4320"/>
        </w:tabs>
        <w:ind w:left="4320"/>
        <w:rPr>
          <w:b w:val="0"/>
          <w:smallCaps w:val="0"/>
          <w:sz w:val="24"/>
          <w:szCs w:val="24"/>
        </w:rPr>
      </w:pPr>
      <w:r w:rsidRPr="00FA702C">
        <w:rPr>
          <w:b w:val="0"/>
          <w:smallCaps w:val="0"/>
          <w:sz w:val="24"/>
          <w:szCs w:val="24"/>
        </w:rPr>
        <w:t>Telephone:  (614) 469-8000</w:t>
      </w:r>
    </w:p>
    <w:p w:rsidR="008A3BEF" w:rsidRPr="00FA702C" w:rsidRDefault="008A3BEF" w:rsidP="008A3BEF">
      <w:pPr>
        <w:pStyle w:val="BodyText"/>
        <w:tabs>
          <w:tab w:val="left" w:pos="4320"/>
        </w:tabs>
        <w:ind w:left="4320"/>
        <w:rPr>
          <w:b w:val="0"/>
          <w:smallCaps w:val="0"/>
          <w:sz w:val="24"/>
          <w:szCs w:val="24"/>
        </w:rPr>
      </w:pPr>
      <w:r w:rsidRPr="00FA702C">
        <w:rPr>
          <w:b w:val="0"/>
          <w:smallCaps w:val="0"/>
          <w:sz w:val="24"/>
          <w:szCs w:val="24"/>
        </w:rPr>
        <w:t>Telecopier:  (614) 469-4653</w:t>
      </w:r>
    </w:p>
    <w:p w:rsidR="008A3BEF" w:rsidRPr="00FA702C" w:rsidRDefault="008A3BEF" w:rsidP="008A3BEF">
      <w:pPr>
        <w:pStyle w:val="BodyText"/>
        <w:ind w:left="4320"/>
        <w:rPr>
          <w:b w:val="0"/>
          <w:smallCaps w:val="0"/>
          <w:sz w:val="24"/>
          <w:szCs w:val="24"/>
        </w:rPr>
      </w:pPr>
      <w:r w:rsidRPr="00FA702C">
        <w:rPr>
          <w:b w:val="0"/>
          <w:smallCaps w:val="0"/>
          <w:sz w:val="24"/>
          <w:szCs w:val="24"/>
        </w:rPr>
        <w:t>sam@mwncmh.com</w:t>
      </w:r>
    </w:p>
    <w:p w:rsidR="008A3BEF" w:rsidRPr="00FA702C" w:rsidRDefault="008A3BEF" w:rsidP="008A3BEF">
      <w:pPr>
        <w:pStyle w:val="BodyText"/>
        <w:ind w:left="4320"/>
        <w:rPr>
          <w:b w:val="0"/>
          <w:smallCaps w:val="0"/>
          <w:sz w:val="24"/>
          <w:szCs w:val="24"/>
        </w:rPr>
      </w:pPr>
      <w:r w:rsidRPr="00FA702C">
        <w:rPr>
          <w:b w:val="0"/>
          <w:smallCaps w:val="0"/>
          <w:sz w:val="24"/>
          <w:szCs w:val="24"/>
        </w:rPr>
        <w:t>fdarr@mwncmh.com</w:t>
      </w:r>
    </w:p>
    <w:p w:rsidR="008A3BEF" w:rsidRPr="00FA702C" w:rsidRDefault="008A3BEF" w:rsidP="008A3BEF">
      <w:pPr>
        <w:pStyle w:val="BodyText"/>
        <w:ind w:left="4320"/>
        <w:rPr>
          <w:b w:val="0"/>
          <w:smallCaps w:val="0"/>
          <w:sz w:val="24"/>
          <w:szCs w:val="24"/>
        </w:rPr>
      </w:pPr>
      <w:r w:rsidRPr="00FA702C">
        <w:rPr>
          <w:b w:val="0"/>
          <w:smallCaps w:val="0"/>
          <w:sz w:val="24"/>
          <w:szCs w:val="24"/>
        </w:rPr>
        <w:t>joliker@mwncmh.com</w:t>
      </w:r>
    </w:p>
    <w:p w:rsidR="008A3BEF" w:rsidRPr="00FA702C" w:rsidRDefault="008A3BEF" w:rsidP="008A3BEF">
      <w:pPr>
        <w:pStyle w:val="BodyText"/>
        <w:ind w:left="4320"/>
        <w:rPr>
          <w:rFonts w:cs="Arial"/>
          <w:b w:val="0"/>
          <w:sz w:val="24"/>
          <w:szCs w:val="24"/>
        </w:rPr>
      </w:pPr>
      <w:r w:rsidRPr="00FA702C">
        <w:rPr>
          <w:rFonts w:cs="Arial"/>
          <w:b w:val="0"/>
          <w:smallCaps w:val="0"/>
          <w:sz w:val="24"/>
          <w:szCs w:val="24"/>
        </w:rPr>
        <w:t>mpritchard@mwncmh.com</w:t>
      </w:r>
    </w:p>
    <w:p w:rsidR="008A3BEF" w:rsidRPr="00FA702C" w:rsidRDefault="008A3BEF" w:rsidP="008A3BEF">
      <w:pPr>
        <w:pStyle w:val="BodyText"/>
        <w:ind w:left="4320"/>
        <w:rPr>
          <w:rFonts w:cs="Arial"/>
          <w:sz w:val="24"/>
          <w:szCs w:val="24"/>
        </w:rPr>
      </w:pPr>
    </w:p>
    <w:p w:rsidR="008A3BEF" w:rsidRDefault="00F80AFB" w:rsidP="008A3BEF">
      <w:pPr>
        <w:jc w:val="both"/>
        <w:rPr>
          <w:rFonts w:cs="Arial"/>
          <w:b/>
          <w:sz w:val="24"/>
          <w:szCs w:val="24"/>
        </w:rPr>
      </w:pPr>
      <w:r>
        <w:rPr>
          <w:rFonts w:cs="Arial"/>
          <w:b/>
          <w:sz w:val="24"/>
          <w:szCs w:val="24"/>
        </w:rPr>
        <w:t>February 4</w:t>
      </w:r>
      <w:r w:rsidR="008A3BEF">
        <w:rPr>
          <w:rFonts w:cs="Arial"/>
          <w:b/>
          <w:sz w:val="24"/>
          <w:szCs w:val="24"/>
        </w:rPr>
        <w:t xml:space="preserve">, </w:t>
      </w:r>
      <w:r w:rsidR="008A3BEF" w:rsidRPr="00FA702C">
        <w:rPr>
          <w:rFonts w:cs="Arial"/>
          <w:b/>
          <w:sz w:val="24"/>
          <w:szCs w:val="24"/>
        </w:rPr>
        <w:t>2014</w:t>
      </w:r>
      <w:r w:rsidR="008A3BEF" w:rsidRPr="00FA702C">
        <w:rPr>
          <w:rFonts w:cs="Arial"/>
          <w:b/>
          <w:sz w:val="24"/>
          <w:szCs w:val="24"/>
        </w:rPr>
        <w:tab/>
      </w:r>
      <w:r w:rsidR="008A3BEF">
        <w:rPr>
          <w:rFonts w:cs="Arial"/>
          <w:b/>
          <w:sz w:val="24"/>
          <w:szCs w:val="24"/>
        </w:rPr>
        <w:tab/>
      </w:r>
      <w:r>
        <w:rPr>
          <w:rFonts w:cs="Arial"/>
          <w:b/>
          <w:sz w:val="24"/>
          <w:szCs w:val="24"/>
        </w:rPr>
        <w:tab/>
      </w:r>
      <w:r>
        <w:rPr>
          <w:rFonts w:cs="Arial"/>
          <w:b/>
          <w:sz w:val="24"/>
          <w:szCs w:val="24"/>
        </w:rPr>
        <w:tab/>
      </w:r>
      <w:r w:rsidR="008A3BEF" w:rsidRPr="00FA702C">
        <w:rPr>
          <w:rFonts w:cs="Arial"/>
          <w:b/>
          <w:sz w:val="24"/>
          <w:szCs w:val="24"/>
        </w:rPr>
        <w:t>Attorneys for Industrial Energy Users-Ohio</w:t>
      </w:r>
    </w:p>
    <w:p w:rsidR="002107C6" w:rsidRDefault="002107C6" w:rsidP="008A3BEF">
      <w:pPr>
        <w:jc w:val="both"/>
        <w:rPr>
          <w:rFonts w:cs="Arial"/>
          <w:b/>
          <w:sz w:val="24"/>
          <w:szCs w:val="24"/>
        </w:rPr>
      </w:pPr>
    </w:p>
    <w:p w:rsidR="008A3BEF" w:rsidRDefault="008A3BEF" w:rsidP="008A3BEF">
      <w:pPr>
        <w:jc w:val="both"/>
        <w:rPr>
          <w:rFonts w:cs="Arial"/>
          <w:b/>
        </w:rPr>
        <w:sectPr w:rsidR="008A3BEF" w:rsidSect="00A05B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8A3BEF" w:rsidRDefault="008A3BEF" w:rsidP="008A3BEF">
      <w:pPr>
        <w:jc w:val="center"/>
        <w:rPr>
          <w:rFonts w:cs="Arial"/>
          <w:b/>
          <w:smallCaps/>
          <w:sz w:val="28"/>
        </w:rPr>
      </w:pPr>
      <w:r>
        <w:rPr>
          <w:rFonts w:cs="Arial"/>
          <w:b/>
          <w:smallCaps/>
          <w:sz w:val="28"/>
        </w:rPr>
        <w:lastRenderedPageBreak/>
        <w:t>Before</w:t>
      </w:r>
    </w:p>
    <w:p w:rsidR="008A3BEF" w:rsidRDefault="008A3BEF" w:rsidP="008A3BEF">
      <w:pPr>
        <w:jc w:val="center"/>
        <w:rPr>
          <w:rFonts w:cs="Arial"/>
          <w:b/>
          <w:smallCaps/>
          <w:sz w:val="28"/>
        </w:rPr>
      </w:pPr>
      <w:r>
        <w:rPr>
          <w:rFonts w:cs="Arial"/>
          <w:b/>
          <w:smallCaps/>
          <w:sz w:val="28"/>
        </w:rPr>
        <w:t>The Public Utilities Commission of Ohio</w:t>
      </w:r>
    </w:p>
    <w:p w:rsidR="008A3BEF" w:rsidRPr="00D95797" w:rsidRDefault="008A3BEF" w:rsidP="008A3BEF">
      <w:pPr>
        <w:autoSpaceDE w:val="0"/>
        <w:autoSpaceDN w:val="0"/>
        <w:adjustRightInd w:val="0"/>
        <w:rPr>
          <w:rFonts w:cs="Arial"/>
        </w:rPr>
      </w:pPr>
    </w:p>
    <w:p w:rsidR="008A3BEF" w:rsidRPr="00D95797" w:rsidRDefault="008A3BEF" w:rsidP="008A3BEF">
      <w:pPr>
        <w:autoSpaceDE w:val="0"/>
        <w:autoSpaceDN w:val="0"/>
        <w:adjustRightInd w:val="0"/>
        <w:rPr>
          <w:rFonts w:cs="Arial"/>
        </w:rPr>
      </w:pPr>
    </w:p>
    <w:p w:rsidR="008A3BEF" w:rsidRDefault="008A3BEF" w:rsidP="008A3BEF">
      <w:pPr>
        <w:pStyle w:val="BodyText"/>
        <w:tabs>
          <w:tab w:val="clear" w:pos="5040"/>
          <w:tab w:val="left" w:pos="4680"/>
          <w:tab w:val="left" w:pos="5760"/>
        </w:tabs>
        <w:rPr>
          <w:rFonts w:cs="Arial"/>
          <w:b w:val="0"/>
          <w:smallCaps w:val="0"/>
          <w:color w:val="000000"/>
          <w:sz w:val="24"/>
          <w:szCs w:val="24"/>
        </w:rPr>
      </w:pPr>
      <w:r w:rsidRPr="008A3BEF">
        <w:rPr>
          <w:rFonts w:cs="Arial"/>
          <w:b w:val="0"/>
          <w:smallCaps w:val="0"/>
          <w:color w:val="000000"/>
          <w:sz w:val="24"/>
          <w:szCs w:val="24"/>
        </w:rPr>
        <w:t xml:space="preserve">In the </w:t>
      </w:r>
      <w:r w:rsidR="00050537">
        <w:rPr>
          <w:rFonts w:cs="Arial"/>
          <w:b w:val="0"/>
          <w:smallCaps w:val="0"/>
          <w:color w:val="000000"/>
          <w:sz w:val="24"/>
          <w:szCs w:val="24"/>
        </w:rPr>
        <w:t>Matter of the A</w:t>
      </w:r>
      <w:r w:rsidRPr="008A3BEF">
        <w:rPr>
          <w:rFonts w:cs="Arial"/>
          <w:b w:val="0"/>
          <w:smallCaps w:val="0"/>
          <w:color w:val="000000"/>
          <w:sz w:val="24"/>
          <w:szCs w:val="24"/>
        </w:rPr>
        <w:t>pplication of the</w:t>
      </w:r>
      <w:r>
        <w:rPr>
          <w:rFonts w:cs="Arial"/>
          <w:b w:val="0"/>
          <w:smallCaps w:val="0"/>
          <w:color w:val="000000"/>
          <w:sz w:val="24"/>
          <w:szCs w:val="24"/>
        </w:rPr>
        <w:tab/>
        <w:t>)</w:t>
      </w:r>
      <w:r w:rsidRPr="008A3BEF">
        <w:rPr>
          <w:rFonts w:cs="Arial"/>
          <w:b w:val="0"/>
          <w:smallCaps w:val="0"/>
          <w:color w:val="000000"/>
          <w:sz w:val="24"/>
          <w:szCs w:val="24"/>
        </w:rPr>
        <w:t xml:space="preserve"> </w:t>
      </w:r>
    </w:p>
    <w:p w:rsidR="008A3BEF" w:rsidRDefault="008A3BEF" w:rsidP="008A3BEF">
      <w:pPr>
        <w:pStyle w:val="BodyText"/>
        <w:tabs>
          <w:tab w:val="clear" w:pos="5040"/>
          <w:tab w:val="left" w:pos="4680"/>
          <w:tab w:val="left" w:pos="5400"/>
        </w:tabs>
        <w:rPr>
          <w:rFonts w:cs="Arial"/>
          <w:b w:val="0"/>
          <w:smallCaps w:val="0"/>
          <w:color w:val="000000"/>
          <w:sz w:val="24"/>
          <w:szCs w:val="24"/>
        </w:rPr>
      </w:pPr>
      <w:r w:rsidRPr="008A3BEF">
        <w:rPr>
          <w:rFonts w:cs="Arial"/>
          <w:b w:val="0"/>
          <w:smallCaps w:val="0"/>
          <w:color w:val="000000"/>
          <w:sz w:val="24"/>
          <w:szCs w:val="24"/>
        </w:rPr>
        <w:t xml:space="preserve">Dayton Power and Light Company </w:t>
      </w:r>
      <w:r>
        <w:rPr>
          <w:rFonts w:cs="Arial"/>
          <w:b w:val="0"/>
          <w:smallCaps w:val="0"/>
          <w:color w:val="000000"/>
          <w:sz w:val="24"/>
          <w:szCs w:val="24"/>
        </w:rPr>
        <w:t>to</w:t>
      </w:r>
      <w:r>
        <w:rPr>
          <w:rFonts w:cs="Arial"/>
          <w:b w:val="0"/>
          <w:smallCaps w:val="0"/>
          <w:color w:val="000000"/>
          <w:sz w:val="24"/>
          <w:szCs w:val="24"/>
        </w:rPr>
        <w:tab/>
        <w:t>)</w:t>
      </w:r>
      <w:r>
        <w:rPr>
          <w:rFonts w:cs="Arial"/>
          <w:b w:val="0"/>
          <w:smallCaps w:val="0"/>
          <w:color w:val="000000"/>
          <w:sz w:val="24"/>
          <w:szCs w:val="24"/>
        </w:rPr>
        <w:tab/>
        <w:t>Case No. 13-2442-EL-UNC</w:t>
      </w:r>
    </w:p>
    <w:p w:rsidR="008A3BEF" w:rsidRDefault="008A3BEF" w:rsidP="008A3BEF">
      <w:pPr>
        <w:pStyle w:val="BodyText"/>
        <w:tabs>
          <w:tab w:val="clear" w:pos="5040"/>
          <w:tab w:val="left" w:pos="4680"/>
          <w:tab w:val="left" w:pos="5760"/>
        </w:tabs>
        <w:rPr>
          <w:rFonts w:cs="Arial"/>
          <w:b w:val="0"/>
          <w:smallCaps w:val="0"/>
          <w:color w:val="000000"/>
          <w:sz w:val="24"/>
          <w:szCs w:val="24"/>
        </w:rPr>
      </w:pPr>
      <w:r w:rsidRPr="008A3BEF">
        <w:rPr>
          <w:rFonts w:cs="Arial"/>
          <w:b w:val="0"/>
          <w:smallCaps w:val="0"/>
          <w:color w:val="000000"/>
          <w:sz w:val="24"/>
          <w:szCs w:val="24"/>
        </w:rPr>
        <w:t>Amend its Corporate Separation Plan</w:t>
      </w:r>
      <w:r>
        <w:rPr>
          <w:rFonts w:cs="Arial"/>
          <w:b w:val="0"/>
          <w:smallCaps w:val="0"/>
          <w:color w:val="000000"/>
          <w:sz w:val="24"/>
          <w:szCs w:val="24"/>
        </w:rPr>
        <w:tab/>
        <w:t>)</w:t>
      </w:r>
    </w:p>
    <w:p w:rsidR="008A3BEF" w:rsidRDefault="008A3BEF" w:rsidP="008A3BEF">
      <w:pPr>
        <w:pStyle w:val="BodyText"/>
        <w:tabs>
          <w:tab w:val="clear" w:pos="5040"/>
          <w:tab w:val="left" w:pos="4680"/>
          <w:tab w:val="left" w:pos="5760"/>
        </w:tabs>
        <w:rPr>
          <w:rFonts w:cs="Arial"/>
          <w:b w:val="0"/>
          <w:sz w:val="24"/>
          <w:szCs w:val="24"/>
        </w:rPr>
      </w:pPr>
    </w:p>
    <w:p w:rsidR="008A3BEF" w:rsidRPr="008A3BEF" w:rsidRDefault="008A3BEF" w:rsidP="008A3BEF">
      <w:pPr>
        <w:pStyle w:val="BodyText"/>
        <w:tabs>
          <w:tab w:val="clear" w:pos="5040"/>
          <w:tab w:val="left" w:pos="4680"/>
          <w:tab w:val="left" w:pos="5760"/>
        </w:tabs>
        <w:rPr>
          <w:rFonts w:cs="Arial"/>
          <w:b w:val="0"/>
          <w:sz w:val="24"/>
          <w:szCs w:val="24"/>
        </w:rPr>
      </w:pPr>
    </w:p>
    <w:p w:rsidR="008A3BEF" w:rsidRPr="001B132B" w:rsidRDefault="008A3BEF" w:rsidP="008A3BEF">
      <w:pPr>
        <w:pStyle w:val="BodyText"/>
        <w:pBdr>
          <w:top w:val="single" w:sz="12" w:space="1" w:color="auto"/>
        </w:pBdr>
        <w:rPr>
          <w:rFonts w:cs="Arial"/>
          <w:sz w:val="28"/>
          <w:szCs w:val="28"/>
        </w:rPr>
      </w:pPr>
    </w:p>
    <w:p w:rsidR="008A3BEF" w:rsidRPr="001B132B" w:rsidRDefault="00D708DC" w:rsidP="008A3BEF">
      <w:pPr>
        <w:jc w:val="center"/>
        <w:rPr>
          <w:rFonts w:cs="Arial"/>
          <w:b/>
          <w:smallCaps/>
          <w:sz w:val="28"/>
          <w:szCs w:val="28"/>
        </w:rPr>
      </w:pPr>
      <w:r w:rsidRPr="001B132B">
        <w:rPr>
          <w:rFonts w:ascii="Arial Bold" w:hAnsi="Arial Bold" w:cs="Arial"/>
          <w:b/>
          <w:smallCaps/>
          <w:sz w:val="28"/>
          <w:szCs w:val="28"/>
        </w:rPr>
        <w:t>O</w:t>
      </w:r>
      <w:r w:rsidR="001B132B">
        <w:rPr>
          <w:rFonts w:ascii="Arial Bold" w:hAnsi="Arial Bold" w:cs="Arial"/>
          <w:b/>
          <w:smallCaps/>
          <w:sz w:val="28"/>
          <w:szCs w:val="28"/>
        </w:rPr>
        <w:t xml:space="preserve">bjections of </w:t>
      </w:r>
      <w:r w:rsidR="008A3BEF" w:rsidRPr="001B132B">
        <w:rPr>
          <w:rFonts w:cs="Arial"/>
          <w:b/>
          <w:smallCaps/>
          <w:sz w:val="28"/>
          <w:szCs w:val="28"/>
        </w:rPr>
        <w:t>Industrial Energy Users-Ohio</w:t>
      </w:r>
    </w:p>
    <w:p w:rsidR="008A3BEF" w:rsidRPr="001B132B" w:rsidRDefault="008A3BEF" w:rsidP="008A3BEF">
      <w:pPr>
        <w:pBdr>
          <w:bottom w:val="single" w:sz="12" w:space="1" w:color="auto"/>
        </w:pBdr>
        <w:jc w:val="both"/>
        <w:rPr>
          <w:rFonts w:cs="Arial"/>
          <w:sz w:val="28"/>
          <w:szCs w:val="28"/>
        </w:rPr>
      </w:pPr>
    </w:p>
    <w:p w:rsidR="008A3BEF" w:rsidRPr="00F740BA" w:rsidRDefault="008A3BEF" w:rsidP="008A3BEF">
      <w:pPr>
        <w:jc w:val="both"/>
        <w:rPr>
          <w:rFonts w:cs="Arial"/>
          <w:sz w:val="24"/>
          <w:szCs w:val="24"/>
        </w:rPr>
      </w:pPr>
    </w:p>
    <w:p w:rsidR="00290C2B" w:rsidRPr="00F740BA" w:rsidRDefault="00290C2B" w:rsidP="00050537">
      <w:pPr>
        <w:pStyle w:val="ListParagraph"/>
        <w:numPr>
          <w:ilvl w:val="0"/>
          <w:numId w:val="1"/>
        </w:numPr>
        <w:spacing w:line="480" w:lineRule="auto"/>
        <w:ind w:left="720"/>
        <w:rPr>
          <w:rFonts w:cs="Arial"/>
          <w:b/>
          <w:sz w:val="24"/>
          <w:szCs w:val="24"/>
        </w:rPr>
      </w:pPr>
      <w:r w:rsidRPr="00F740BA">
        <w:rPr>
          <w:rFonts w:cs="Arial"/>
          <w:b/>
          <w:sz w:val="24"/>
          <w:szCs w:val="24"/>
        </w:rPr>
        <w:t>INTRODUCTION</w:t>
      </w:r>
    </w:p>
    <w:p w:rsidR="00FC372D" w:rsidRDefault="00C03FDE" w:rsidP="00050537">
      <w:pPr>
        <w:spacing w:line="480" w:lineRule="auto"/>
        <w:ind w:firstLine="720"/>
        <w:jc w:val="both"/>
        <w:rPr>
          <w:rFonts w:cs="Arial"/>
          <w:sz w:val="24"/>
          <w:szCs w:val="24"/>
        </w:rPr>
      </w:pPr>
      <w:r>
        <w:rPr>
          <w:rFonts w:cs="Arial"/>
          <w:sz w:val="24"/>
          <w:szCs w:val="24"/>
        </w:rPr>
        <w:t>On December 30, 2013, the Dayton Power and Light Company (“DP&amp;L”) filed separate applications requesting authority to amend its corporate separation plan (“Corporate Separation Application”) and to transfer its generating assets (“Asset Transfer Application”).</w:t>
      </w:r>
      <w:r w:rsidR="00E44813">
        <w:rPr>
          <w:rStyle w:val="FootnoteReference"/>
          <w:rFonts w:cs="Arial"/>
          <w:sz w:val="24"/>
          <w:szCs w:val="24"/>
        </w:rPr>
        <w:footnoteReference w:id="1"/>
      </w:r>
      <w:r w:rsidR="004C6213">
        <w:rPr>
          <w:rFonts w:cs="Arial"/>
          <w:sz w:val="24"/>
          <w:szCs w:val="24"/>
        </w:rPr>
        <w:t xml:space="preserve">  </w:t>
      </w:r>
      <w:r w:rsidR="001A5188">
        <w:rPr>
          <w:rFonts w:cs="Arial"/>
          <w:sz w:val="24"/>
          <w:szCs w:val="24"/>
        </w:rPr>
        <w:t>DP&amp;L’s brief Corporate Separation Application states that “</w:t>
      </w:r>
      <w:r w:rsidR="00290C2B">
        <w:rPr>
          <w:rFonts w:cs="Arial"/>
          <w:sz w:val="24"/>
          <w:szCs w:val="24"/>
        </w:rPr>
        <w:t>[a]</w:t>
      </w:r>
      <w:r w:rsidR="001A5188">
        <w:rPr>
          <w:rFonts w:cs="Arial"/>
          <w:sz w:val="24"/>
          <w:szCs w:val="24"/>
        </w:rPr>
        <w:t>s discussed in DP&amp;L’s proposed Fourth Amended Corporate Separation Plan, the plan will explain the formation of AES US Services, L</w:t>
      </w:r>
      <w:r w:rsidR="0043561E">
        <w:rPr>
          <w:rFonts w:cs="Arial"/>
          <w:sz w:val="24"/>
          <w:szCs w:val="24"/>
        </w:rPr>
        <w:t>L</w:t>
      </w:r>
      <w:r w:rsidR="001A5188">
        <w:rPr>
          <w:rFonts w:cs="Arial"/>
          <w:sz w:val="24"/>
          <w:szCs w:val="24"/>
        </w:rPr>
        <w:t>C, which will provide certain administrative services to DP&amp;L.”</w:t>
      </w:r>
      <w:r w:rsidR="00F740BA">
        <w:rPr>
          <w:rStyle w:val="FootnoteReference"/>
          <w:rFonts w:cs="Arial"/>
          <w:sz w:val="24"/>
          <w:szCs w:val="24"/>
        </w:rPr>
        <w:footnoteReference w:id="2"/>
      </w:r>
      <w:r w:rsidR="00D708DC">
        <w:rPr>
          <w:rFonts w:cs="Arial"/>
          <w:sz w:val="24"/>
          <w:szCs w:val="24"/>
        </w:rPr>
        <w:t xml:space="preserve">  DP&amp;L claims that</w:t>
      </w:r>
      <w:r w:rsidR="00F740BA">
        <w:rPr>
          <w:rFonts w:cs="Arial"/>
          <w:sz w:val="24"/>
          <w:szCs w:val="24"/>
        </w:rPr>
        <w:t xml:space="preserve"> “AES US Services will allocate</w:t>
      </w:r>
      <w:r w:rsidR="00D708DC">
        <w:rPr>
          <w:rFonts w:cs="Arial"/>
          <w:sz w:val="24"/>
          <w:szCs w:val="24"/>
        </w:rPr>
        <w:t xml:space="preserve"> prudently-incurred </w:t>
      </w:r>
      <w:r w:rsidR="00F80AFB">
        <w:rPr>
          <w:rFonts w:cs="Arial"/>
          <w:sz w:val="24"/>
          <w:szCs w:val="24"/>
        </w:rPr>
        <w:t>costs to the Affiliates . . . .</w:t>
      </w:r>
      <w:r w:rsidR="00D708DC">
        <w:rPr>
          <w:rFonts w:cs="Arial"/>
          <w:sz w:val="24"/>
          <w:szCs w:val="24"/>
        </w:rPr>
        <w:t>”</w:t>
      </w:r>
      <w:r w:rsidR="00F740BA">
        <w:rPr>
          <w:rStyle w:val="FootnoteReference"/>
          <w:rFonts w:cs="Arial"/>
          <w:sz w:val="24"/>
          <w:szCs w:val="24"/>
        </w:rPr>
        <w:footnoteReference w:id="3"/>
      </w:r>
      <w:r w:rsidR="00D708DC">
        <w:rPr>
          <w:rFonts w:cs="Arial"/>
          <w:sz w:val="24"/>
          <w:szCs w:val="24"/>
        </w:rPr>
        <w:t xml:space="preserve">  DP&amp;L, however, does not disclose how AES US Services</w:t>
      </w:r>
      <w:r w:rsidR="0043561E">
        <w:rPr>
          <w:rFonts w:cs="Arial"/>
          <w:sz w:val="24"/>
          <w:szCs w:val="24"/>
        </w:rPr>
        <w:t>, LL</w:t>
      </w:r>
      <w:r w:rsidR="00050537">
        <w:rPr>
          <w:rFonts w:cs="Arial"/>
          <w:sz w:val="24"/>
          <w:szCs w:val="24"/>
        </w:rPr>
        <w:t>C ("AES")</w:t>
      </w:r>
      <w:r w:rsidR="00D708DC">
        <w:rPr>
          <w:rFonts w:cs="Arial"/>
          <w:sz w:val="24"/>
          <w:szCs w:val="24"/>
        </w:rPr>
        <w:t xml:space="preserve"> will allocate those costs to DP&amp;L.</w:t>
      </w:r>
    </w:p>
    <w:p w:rsidR="004C6213" w:rsidRDefault="00F740BA" w:rsidP="00050537">
      <w:pPr>
        <w:spacing w:line="480" w:lineRule="auto"/>
        <w:ind w:firstLine="720"/>
        <w:jc w:val="both"/>
        <w:rPr>
          <w:rFonts w:cs="Arial"/>
          <w:sz w:val="24"/>
          <w:szCs w:val="24"/>
        </w:rPr>
      </w:pPr>
      <w:r>
        <w:rPr>
          <w:rFonts w:cs="Arial"/>
          <w:sz w:val="24"/>
          <w:szCs w:val="24"/>
        </w:rPr>
        <w:t>DP&amp;L’s Corporate Separation Application also</w:t>
      </w:r>
      <w:r w:rsidR="00F62FEC">
        <w:rPr>
          <w:rFonts w:cs="Arial"/>
          <w:sz w:val="24"/>
          <w:szCs w:val="24"/>
        </w:rPr>
        <w:t xml:space="preserve"> states that</w:t>
      </w:r>
      <w:r w:rsidR="00E82456">
        <w:rPr>
          <w:rFonts w:cs="Arial"/>
          <w:sz w:val="24"/>
          <w:szCs w:val="24"/>
        </w:rPr>
        <w:t xml:space="preserve"> “[b]y filing its Application this month, DP&amp;L seeks approval of its Application to sell or transfer DP&amp;L’s </w:t>
      </w:r>
      <w:r w:rsidR="00E82456">
        <w:rPr>
          <w:rFonts w:cs="Arial"/>
          <w:sz w:val="24"/>
          <w:szCs w:val="24"/>
        </w:rPr>
        <w:lastRenderedPageBreak/>
        <w:t>generating assets, both wholly and partly owned, away from the electric distribution u</w:t>
      </w:r>
      <w:r w:rsidR="00F62FEC">
        <w:rPr>
          <w:rFonts w:cs="Arial"/>
          <w:sz w:val="24"/>
          <w:szCs w:val="24"/>
        </w:rPr>
        <w:t>tility by May 31, 2017.”</w:t>
      </w:r>
      <w:r>
        <w:rPr>
          <w:rStyle w:val="FootnoteReference"/>
          <w:rFonts w:cs="Arial"/>
          <w:sz w:val="24"/>
          <w:szCs w:val="24"/>
        </w:rPr>
        <w:footnoteReference w:id="4"/>
      </w:r>
      <w:r w:rsidR="00F62FEC">
        <w:rPr>
          <w:rFonts w:cs="Arial"/>
          <w:sz w:val="24"/>
          <w:szCs w:val="24"/>
        </w:rPr>
        <w:t xml:space="preserve">  T</w:t>
      </w:r>
      <w:r w:rsidR="004C6213">
        <w:rPr>
          <w:rFonts w:cs="Arial"/>
          <w:sz w:val="24"/>
          <w:szCs w:val="24"/>
        </w:rPr>
        <w:t xml:space="preserve">he Asset </w:t>
      </w:r>
      <w:r w:rsidR="00E82456">
        <w:rPr>
          <w:rFonts w:cs="Arial"/>
          <w:sz w:val="24"/>
          <w:szCs w:val="24"/>
        </w:rPr>
        <w:t>Transfer Application</w:t>
      </w:r>
      <w:r w:rsidR="00F62FEC">
        <w:rPr>
          <w:rFonts w:cs="Arial"/>
          <w:sz w:val="24"/>
          <w:szCs w:val="24"/>
        </w:rPr>
        <w:t>, however,</w:t>
      </w:r>
      <w:r w:rsidR="00E82456">
        <w:rPr>
          <w:rFonts w:cs="Arial"/>
          <w:sz w:val="24"/>
          <w:szCs w:val="24"/>
        </w:rPr>
        <w:t xml:space="preserve"> did not disclose the specific details under which DP&amp;L intends to transfer its generating assets; rather</w:t>
      </w:r>
      <w:r w:rsidR="004C6213">
        <w:rPr>
          <w:rFonts w:cs="Arial"/>
          <w:sz w:val="24"/>
          <w:szCs w:val="24"/>
        </w:rPr>
        <w:t xml:space="preserve"> DP&amp;</w:t>
      </w:r>
      <w:r w:rsidR="00E82456">
        <w:rPr>
          <w:rFonts w:cs="Arial"/>
          <w:sz w:val="24"/>
          <w:szCs w:val="24"/>
        </w:rPr>
        <w:t>L will</w:t>
      </w:r>
      <w:r w:rsidR="004C6213">
        <w:rPr>
          <w:rFonts w:cs="Arial"/>
          <w:sz w:val="24"/>
          <w:szCs w:val="24"/>
        </w:rPr>
        <w:t xml:space="preserve"> “file a supplement to [the Asset Transfer Application], setting forth a detailed plan for such a separation, once the Company has had the opportunity to complete its review of the pending issues and their operational and financial impacts.”</w:t>
      </w:r>
      <w:r w:rsidR="004C6213">
        <w:rPr>
          <w:rStyle w:val="FootnoteReference"/>
          <w:rFonts w:cs="Arial"/>
          <w:sz w:val="24"/>
          <w:szCs w:val="24"/>
        </w:rPr>
        <w:footnoteReference w:id="5"/>
      </w:r>
      <w:r w:rsidR="004C6213">
        <w:rPr>
          <w:rFonts w:cs="Arial"/>
          <w:sz w:val="24"/>
          <w:szCs w:val="24"/>
        </w:rPr>
        <w:t xml:space="preserve">  </w:t>
      </w:r>
      <w:r w:rsidR="00F62FEC">
        <w:rPr>
          <w:rFonts w:cs="Arial"/>
          <w:sz w:val="24"/>
          <w:szCs w:val="24"/>
        </w:rPr>
        <w:t>S</w:t>
      </w:r>
      <w:r w:rsidR="00E82456">
        <w:rPr>
          <w:rFonts w:cs="Arial"/>
          <w:sz w:val="24"/>
          <w:szCs w:val="24"/>
        </w:rPr>
        <w:t>im</w:t>
      </w:r>
      <w:r w:rsidR="00F62FEC">
        <w:rPr>
          <w:rFonts w:cs="Arial"/>
          <w:sz w:val="24"/>
          <w:szCs w:val="24"/>
        </w:rPr>
        <w:t>il</w:t>
      </w:r>
      <w:r w:rsidR="00E82456">
        <w:rPr>
          <w:rFonts w:cs="Arial"/>
          <w:sz w:val="24"/>
          <w:szCs w:val="24"/>
        </w:rPr>
        <w:t>arly</w:t>
      </w:r>
      <w:r w:rsidR="004C6213">
        <w:rPr>
          <w:rFonts w:cs="Arial"/>
          <w:sz w:val="24"/>
          <w:szCs w:val="24"/>
        </w:rPr>
        <w:t>, the Corporate Separation Application claims that</w:t>
      </w:r>
      <w:r w:rsidR="00E82456">
        <w:rPr>
          <w:rFonts w:cs="Arial"/>
          <w:sz w:val="24"/>
          <w:szCs w:val="24"/>
        </w:rPr>
        <w:t xml:space="preserve"> there are </w:t>
      </w:r>
      <w:r w:rsidR="009D5867">
        <w:rPr>
          <w:rFonts w:cs="Arial"/>
          <w:sz w:val="24"/>
          <w:szCs w:val="24"/>
        </w:rPr>
        <w:t xml:space="preserve">a </w:t>
      </w:r>
      <w:r w:rsidR="00E82456">
        <w:rPr>
          <w:rFonts w:cs="Arial"/>
          <w:sz w:val="24"/>
          <w:szCs w:val="24"/>
        </w:rPr>
        <w:t>number of uncertainties that will impact its corporate separation plan but that the Commission should leave those matters up to DP&amp;L’s discretion</w:t>
      </w:r>
      <w:r w:rsidR="004C6213">
        <w:rPr>
          <w:rFonts w:cs="Arial"/>
          <w:sz w:val="24"/>
          <w:szCs w:val="24"/>
        </w:rPr>
        <w:t>:</w:t>
      </w:r>
    </w:p>
    <w:p w:rsidR="00E44813" w:rsidRDefault="004C6213" w:rsidP="00050537">
      <w:pPr>
        <w:ind w:left="720" w:right="720"/>
        <w:jc w:val="both"/>
        <w:rPr>
          <w:sz w:val="24"/>
          <w:szCs w:val="24"/>
        </w:rPr>
      </w:pPr>
      <w:r>
        <w:rPr>
          <w:rFonts w:cs="Arial"/>
          <w:sz w:val="24"/>
          <w:szCs w:val="24"/>
        </w:rPr>
        <w:t>A number of factors, events and circumstances, many of which cannot reasonably be foreseen or predicted,</w:t>
      </w:r>
      <w:r w:rsidR="00F465AC">
        <w:rPr>
          <w:rFonts w:cs="Arial"/>
          <w:sz w:val="24"/>
          <w:szCs w:val="24"/>
        </w:rPr>
        <w:t xml:space="preserve"> will influence DP&amp;L’s planning . . . . </w:t>
      </w:r>
      <w:r>
        <w:rPr>
          <w:rFonts w:cs="Arial"/>
          <w:sz w:val="24"/>
          <w:szCs w:val="24"/>
        </w:rPr>
        <w:t xml:space="preserve">  </w:t>
      </w:r>
      <w:r w:rsidR="00E82456">
        <w:rPr>
          <w:rFonts w:cs="Arial"/>
          <w:sz w:val="24"/>
          <w:szCs w:val="24"/>
        </w:rPr>
        <w:t xml:space="preserve">  Accordingly, DP&amp;L and its affiliate</w:t>
      </w:r>
      <w:r w:rsidR="00B6112C">
        <w:rPr>
          <w:rFonts w:cs="Arial"/>
          <w:sz w:val="24"/>
          <w:szCs w:val="24"/>
        </w:rPr>
        <w:t>s</w:t>
      </w:r>
      <w:r w:rsidR="00E82456">
        <w:rPr>
          <w:rFonts w:cs="Arial"/>
          <w:sz w:val="24"/>
          <w:szCs w:val="24"/>
        </w:rPr>
        <w:t xml:space="preserve"> will need a reasonable degree of flexibility.  For this reason, the plan i</w:t>
      </w:r>
      <w:r w:rsidR="00F465AC">
        <w:rPr>
          <w:rFonts w:cs="Arial"/>
          <w:sz w:val="24"/>
          <w:szCs w:val="24"/>
        </w:rPr>
        <w:t xml:space="preserve">s structured in a way to ensure . . . </w:t>
      </w:r>
      <w:r w:rsidR="00E82456">
        <w:rPr>
          <w:rFonts w:cs="Arial"/>
          <w:sz w:val="24"/>
          <w:szCs w:val="24"/>
        </w:rPr>
        <w:t>DP&amp;L a modicum of discretion to select the precise means for achieving and maintaining such compliance in light of the relevant circumstances.</w:t>
      </w:r>
      <w:r w:rsidR="00E82456">
        <w:rPr>
          <w:rStyle w:val="FootnoteReference"/>
          <w:rFonts w:cs="Arial"/>
          <w:sz w:val="24"/>
          <w:szCs w:val="24"/>
        </w:rPr>
        <w:footnoteReference w:id="6"/>
      </w:r>
      <w:r>
        <w:rPr>
          <w:rFonts w:cs="Arial"/>
          <w:sz w:val="24"/>
          <w:szCs w:val="24"/>
        </w:rPr>
        <w:t xml:space="preserve"> </w:t>
      </w:r>
    </w:p>
    <w:p w:rsidR="00E44813" w:rsidRDefault="00E44813" w:rsidP="00050537">
      <w:pPr>
        <w:ind w:left="720" w:right="720"/>
        <w:jc w:val="both"/>
        <w:rPr>
          <w:sz w:val="24"/>
          <w:szCs w:val="24"/>
        </w:rPr>
      </w:pPr>
    </w:p>
    <w:p w:rsidR="00FC372D" w:rsidRDefault="00FC372D" w:rsidP="00050537">
      <w:pPr>
        <w:spacing w:line="480" w:lineRule="auto"/>
        <w:jc w:val="both"/>
        <w:rPr>
          <w:rFonts w:cs="Arial"/>
          <w:sz w:val="24"/>
          <w:szCs w:val="24"/>
        </w:rPr>
      </w:pPr>
      <w:r>
        <w:rPr>
          <w:rFonts w:cs="Arial"/>
          <w:sz w:val="24"/>
          <w:szCs w:val="24"/>
        </w:rPr>
        <w:t>The Corporate Separation Application also does not address DP&amp;L’s unlawful pricing of generation service to its affiliate,</w:t>
      </w:r>
      <w:r w:rsidR="00F80AFB">
        <w:rPr>
          <w:rFonts w:cs="Arial"/>
          <w:sz w:val="24"/>
          <w:szCs w:val="24"/>
        </w:rPr>
        <w:t xml:space="preserve"> Dayton Power and Light Energy Resources (“DPLER”),</w:t>
      </w:r>
      <w:r>
        <w:rPr>
          <w:rFonts w:cs="Arial"/>
          <w:sz w:val="24"/>
          <w:szCs w:val="24"/>
        </w:rPr>
        <w:t xml:space="preserve"> an issue currently the subject of an Entry on Rehearing the Commission has issued in DP&amp;L’s </w:t>
      </w:r>
      <w:r w:rsidR="00F80AFB">
        <w:rPr>
          <w:rFonts w:cs="Arial"/>
          <w:sz w:val="24"/>
          <w:szCs w:val="24"/>
        </w:rPr>
        <w:t xml:space="preserve">electric security plan (“ESP”) </w:t>
      </w:r>
      <w:r>
        <w:rPr>
          <w:rFonts w:cs="Arial"/>
          <w:sz w:val="24"/>
          <w:szCs w:val="24"/>
        </w:rPr>
        <w:t>case.</w:t>
      </w:r>
      <w:r w:rsidR="00B02CA0">
        <w:rPr>
          <w:rStyle w:val="FootnoteReference"/>
          <w:rFonts w:cs="Arial"/>
          <w:sz w:val="24"/>
          <w:szCs w:val="24"/>
        </w:rPr>
        <w:footnoteReference w:id="7"/>
      </w:r>
    </w:p>
    <w:p w:rsidR="00A72F26" w:rsidRDefault="00E44813" w:rsidP="00050537">
      <w:pPr>
        <w:spacing w:line="480" w:lineRule="auto"/>
        <w:ind w:firstLine="720"/>
        <w:jc w:val="both"/>
        <w:rPr>
          <w:sz w:val="24"/>
          <w:szCs w:val="24"/>
        </w:rPr>
      </w:pPr>
      <w:r>
        <w:rPr>
          <w:sz w:val="24"/>
          <w:szCs w:val="24"/>
        </w:rPr>
        <w:t xml:space="preserve">IEU-Ohio objects to the Corporate Separation Application because </w:t>
      </w:r>
      <w:r w:rsidR="00E72CBE">
        <w:rPr>
          <w:sz w:val="24"/>
          <w:szCs w:val="24"/>
        </w:rPr>
        <w:t>the application is incomplete</w:t>
      </w:r>
      <w:r w:rsidR="00F80AFB">
        <w:rPr>
          <w:sz w:val="24"/>
          <w:szCs w:val="24"/>
        </w:rPr>
        <w:t>—</w:t>
      </w:r>
      <w:r w:rsidR="00FC372D">
        <w:rPr>
          <w:sz w:val="24"/>
          <w:szCs w:val="24"/>
        </w:rPr>
        <w:t xml:space="preserve">it does not specify the costing </w:t>
      </w:r>
      <w:r w:rsidR="00F80AFB">
        <w:rPr>
          <w:sz w:val="24"/>
          <w:szCs w:val="24"/>
        </w:rPr>
        <w:t xml:space="preserve">methodology for the services AES </w:t>
      </w:r>
      <w:r w:rsidR="00FC372D">
        <w:rPr>
          <w:sz w:val="24"/>
          <w:szCs w:val="24"/>
        </w:rPr>
        <w:t>will provide</w:t>
      </w:r>
      <w:r w:rsidR="00E72CBE">
        <w:rPr>
          <w:sz w:val="24"/>
          <w:szCs w:val="24"/>
        </w:rPr>
        <w:t xml:space="preserve">.  Additionally, the Commission should not act on the </w:t>
      </w:r>
      <w:r w:rsidR="00F80AFB">
        <w:rPr>
          <w:sz w:val="24"/>
          <w:szCs w:val="24"/>
        </w:rPr>
        <w:t xml:space="preserve">Corporate </w:t>
      </w:r>
      <w:r w:rsidR="00F80AFB">
        <w:rPr>
          <w:sz w:val="24"/>
          <w:szCs w:val="24"/>
        </w:rPr>
        <w:lastRenderedPageBreak/>
        <w:t>Separation Application</w:t>
      </w:r>
      <w:r w:rsidR="00E72CBE">
        <w:rPr>
          <w:sz w:val="24"/>
          <w:szCs w:val="24"/>
        </w:rPr>
        <w:t xml:space="preserve"> without </w:t>
      </w:r>
      <w:r w:rsidR="00F80AFB">
        <w:rPr>
          <w:sz w:val="24"/>
          <w:szCs w:val="24"/>
        </w:rPr>
        <w:t>also addressing the unlawful Service Stability Rider (“SSR”)</w:t>
      </w:r>
      <w:r w:rsidR="00E72CBE">
        <w:rPr>
          <w:sz w:val="24"/>
          <w:szCs w:val="24"/>
        </w:rPr>
        <w:t xml:space="preserve"> that remains subject to a grant of rehearing in DP&amp;L</w:t>
      </w:r>
      <w:r w:rsidR="00F80AFB">
        <w:rPr>
          <w:sz w:val="24"/>
          <w:szCs w:val="24"/>
        </w:rPr>
        <w:t>’s</w:t>
      </w:r>
      <w:r w:rsidR="00E72CBE">
        <w:rPr>
          <w:sz w:val="24"/>
          <w:szCs w:val="24"/>
        </w:rPr>
        <w:t xml:space="preserve"> recent ESP case</w:t>
      </w:r>
      <w:r>
        <w:rPr>
          <w:sz w:val="24"/>
          <w:szCs w:val="24"/>
        </w:rPr>
        <w:t>.</w:t>
      </w:r>
      <w:r w:rsidR="00F979D9">
        <w:rPr>
          <w:rStyle w:val="FootnoteReference"/>
          <w:sz w:val="24"/>
          <w:szCs w:val="24"/>
        </w:rPr>
        <w:footnoteReference w:id="8"/>
      </w:r>
      <w:r w:rsidR="00FC372D">
        <w:rPr>
          <w:sz w:val="24"/>
          <w:szCs w:val="24"/>
        </w:rPr>
        <w:t xml:space="preserve">  Finally, the Commission should not approve the amendments to the corporate separation plan without indicating that it is reserving the issues related to the generation transfer to a time when the issues are properly before the Commission, </w:t>
      </w:r>
      <w:r w:rsidR="00FC372D" w:rsidRPr="003F14D8">
        <w:rPr>
          <w:i/>
          <w:sz w:val="24"/>
          <w:szCs w:val="24"/>
        </w:rPr>
        <w:t>i.e</w:t>
      </w:r>
      <w:r w:rsidR="00FC372D">
        <w:rPr>
          <w:sz w:val="24"/>
          <w:szCs w:val="24"/>
        </w:rPr>
        <w:t>., when DP&amp;L files an application that actually s</w:t>
      </w:r>
      <w:r w:rsidR="00F80AFB">
        <w:rPr>
          <w:sz w:val="24"/>
          <w:szCs w:val="24"/>
        </w:rPr>
        <w:t>e</w:t>
      </w:r>
      <w:r w:rsidR="00FC372D">
        <w:rPr>
          <w:sz w:val="24"/>
          <w:szCs w:val="24"/>
        </w:rPr>
        <w:t>eks to transfer the generation to a third party.</w:t>
      </w:r>
    </w:p>
    <w:p w:rsidR="00A72F26" w:rsidRPr="00B6112C" w:rsidRDefault="00A72F26" w:rsidP="00B6112C">
      <w:pPr>
        <w:pStyle w:val="ListParagraph"/>
        <w:numPr>
          <w:ilvl w:val="0"/>
          <w:numId w:val="1"/>
        </w:numPr>
        <w:tabs>
          <w:tab w:val="left" w:pos="720"/>
        </w:tabs>
        <w:spacing w:line="480" w:lineRule="auto"/>
        <w:ind w:left="720" w:right="720"/>
        <w:jc w:val="both"/>
        <w:rPr>
          <w:b/>
          <w:sz w:val="24"/>
          <w:szCs w:val="24"/>
        </w:rPr>
      </w:pPr>
      <w:r w:rsidRPr="00B6112C">
        <w:rPr>
          <w:b/>
          <w:sz w:val="24"/>
          <w:szCs w:val="24"/>
        </w:rPr>
        <w:t>OBJECTIONS</w:t>
      </w:r>
    </w:p>
    <w:p w:rsidR="00F62FEC" w:rsidRPr="00F80AFB" w:rsidRDefault="00F62FEC" w:rsidP="00050537">
      <w:pPr>
        <w:pStyle w:val="FootnoteText"/>
        <w:spacing w:line="480" w:lineRule="auto"/>
        <w:ind w:firstLine="720"/>
        <w:jc w:val="both"/>
        <w:rPr>
          <w:sz w:val="24"/>
          <w:szCs w:val="24"/>
        </w:rPr>
      </w:pPr>
      <w:r w:rsidRPr="00F80AFB">
        <w:rPr>
          <w:rFonts w:cs="Arial"/>
          <w:sz w:val="24"/>
          <w:szCs w:val="24"/>
        </w:rPr>
        <w:t>N</w:t>
      </w:r>
      <w:r w:rsidRPr="00F80AFB">
        <w:rPr>
          <w:rFonts w:eastAsia="Times New Roman" w:cs="Arial"/>
          <w:sz w:val="24"/>
          <w:szCs w:val="24"/>
        </w:rPr>
        <w:t>o electric utility shall engage, either directly or through an affiliate, in the business of supplying non-competitive retail electric service and competitive retail electric service,</w:t>
      </w:r>
      <w:r w:rsidRPr="00F80AFB">
        <w:rPr>
          <w:rFonts w:eastAsia="Times New Roman" w:cs="Arial"/>
          <w:sz w:val="24"/>
          <w:szCs w:val="24"/>
          <w:vertAlign w:val="superscript"/>
        </w:rPr>
        <w:footnoteReference w:id="9"/>
      </w:r>
      <w:r w:rsidRPr="00F80AFB">
        <w:rPr>
          <w:rFonts w:eastAsia="Times New Roman" w:cs="Arial"/>
          <w:sz w:val="24"/>
          <w:szCs w:val="24"/>
        </w:rPr>
        <w:t xml:space="preserve"> unless the utility operates under a corporate separation plan approved by the Commission that is consistent with the policy of</w:t>
      </w:r>
      <w:r w:rsidR="0011217A" w:rsidRPr="00F80AFB">
        <w:rPr>
          <w:rFonts w:eastAsia="Times New Roman" w:cs="Arial"/>
          <w:sz w:val="24"/>
          <w:szCs w:val="24"/>
        </w:rPr>
        <w:t xml:space="preserve"> R.C. 4928.02 and R.C. 4928.17.</w:t>
      </w:r>
      <w:r w:rsidR="0011217A" w:rsidRPr="00F80AFB">
        <w:rPr>
          <w:rStyle w:val="FootnoteReference"/>
          <w:rFonts w:eastAsia="Times New Roman" w:cs="Arial"/>
          <w:sz w:val="24"/>
          <w:szCs w:val="24"/>
        </w:rPr>
        <w:footnoteReference w:id="10"/>
      </w:r>
      <w:r w:rsidR="00F80AFB" w:rsidRPr="00F80AFB">
        <w:rPr>
          <w:rFonts w:eastAsia="Times New Roman" w:cs="Arial"/>
          <w:sz w:val="24"/>
          <w:szCs w:val="24"/>
        </w:rPr>
        <w:t xml:space="preserve">  As is relevant to this proceeding, </w:t>
      </w:r>
      <w:r w:rsidR="00F80AFB" w:rsidRPr="00F80AFB">
        <w:rPr>
          <w:sz w:val="24"/>
          <w:szCs w:val="24"/>
        </w:rPr>
        <w:t>R.C. 4928.17</w:t>
      </w:r>
      <w:r w:rsidR="00F979D9">
        <w:rPr>
          <w:sz w:val="24"/>
          <w:szCs w:val="24"/>
        </w:rPr>
        <w:t xml:space="preserve"> contains protections for customers in circumstances where an </w:t>
      </w:r>
      <w:r w:rsidR="0082549E">
        <w:rPr>
          <w:sz w:val="24"/>
          <w:szCs w:val="24"/>
        </w:rPr>
        <w:t>electric distribution utility ("</w:t>
      </w:r>
      <w:r w:rsidR="00F979D9">
        <w:rPr>
          <w:sz w:val="24"/>
          <w:szCs w:val="24"/>
        </w:rPr>
        <w:t>EDU</w:t>
      </w:r>
      <w:r w:rsidR="0082549E">
        <w:rPr>
          <w:sz w:val="24"/>
          <w:szCs w:val="24"/>
        </w:rPr>
        <w:t>")</w:t>
      </w:r>
      <w:r w:rsidR="00F979D9">
        <w:rPr>
          <w:sz w:val="24"/>
          <w:szCs w:val="24"/>
        </w:rPr>
        <w:t xml:space="preserve"> is procuring services or products from an affiliate and also when an EDU is supplying services or </w:t>
      </w:r>
      <w:r w:rsidR="00F979D9">
        <w:rPr>
          <w:sz w:val="24"/>
          <w:szCs w:val="24"/>
        </w:rPr>
        <w:lastRenderedPageBreak/>
        <w:t>products to an affiliate.  R.C. 4928.17</w:t>
      </w:r>
      <w:r w:rsidR="00953E9D">
        <w:rPr>
          <w:sz w:val="24"/>
          <w:szCs w:val="24"/>
        </w:rPr>
        <w:t>(A)(2) requires</w:t>
      </w:r>
      <w:r w:rsidR="00F80AFB" w:rsidRPr="00F80AFB">
        <w:rPr>
          <w:sz w:val="24"/>
          <w:szCs w:val="24"/>
        </w:rPr>
        <w:t xml:space="preserve"> </w:t>
      </w:r>
      <w:r w:rsidR="00953E9D">
        <w:rPr>
          <w:sz w:val="24"/>
          <w:szCs w:val="24"/>
        </w:rPr>
        <w:t xml:space="preserve">that a </w:t>
      </w:r>
      <w:r w:rsidR="00F80AFB" w:rsidRPr="00F80AFB">
        <w:rPr>
          <w:sz w:val="24"/>
          <w:szCs w:val="24"/>
        </w:rPr>
        <w:t>corp</w:t>
      </w:r>
      <w:r w:rsidR="00E761F9">
        <w:rPr>
          <w:sz w:val="24"/>
          <w:szCs w:val="24"/>
        </w:rPr>
        <w:t xml:space="preserve">orate separation plan “satisfies the public interest in preventing </w:t>
      </w:r>
      <w:r w:rsidR="00F80AFB" w:rsidRPr="00F80AFB">
        <w:rPr>
          <w:sz w:val="24"/>
          <w:szCs w:val="24"/>
        </w:rPr>
        <w:t>unfair competitive advantage and preventing the abuse of market power.”  R.C. 4928.01</w:t>
      </w:r>
      <w:r w:rsidR="00F979D9">
        <w:rPr>
          <w:sz w:val="24"/>
          <w:szCs w:val="24"/>
        </w:rPr>
        <w:t xml:space="preserve"> defines market power</w:t>
      </w:r>
      <w:r w:rsidR="00F80AFB" w:rsidRPr="00F80AFB">
        <w:rPr>
          <w:sz w:val="24"/>
          <w:szCs w:val="24"/>
        </w:rPr>
        <w:t xml:space="preserve"> as “the ability to impose on customers a sustained price for a product or service above the price that would prevail in a competitive market.”</w:t>
      </w:r>
      <w:r w:rsidR="00F80AFB">
        <w:rPr>
          <w:sz w:val="24"/>
          <w:szCs w:val="24"/>
        </w:rPr>
        <w:t xml:space="preserve">  Moreover, R.C. 4928.17(A)(3) requires DP&amp;L to supply products and services to its affiliates at fully embedded costs.</w:t>
      </w:r>
      <w:r w:rsidR="00F80AFB" w:rsidRPr="00F80AFB">
        <w:rPr>
          <w:sz w:val="24"/>
          <w:szCs w:val="24"/>
        </w:rPr>
        <w:t xml:space="preserve">  </w:t>
      </w:r>
    </w:p>
    <w:p w:rsidR="00290C2B" w:rsidRPr="00290C2B" w:rsidRDefault="00290C2B" w:rsidP="00050537">
      <w:pPr>
        <w:spacing w:line="480" w:lineRule="auto"/>
        <w:ind w:firstLine="720"/>
        <w:jc w:val="both"/>
        <w:rPr>
          <w:rFonts w:eastAsia="Times New Roman" w:cs="Arial"/>
          <w:sz w:val="24"/>
          <w:szCs w:val="24"/>
        </w:rPr>
      </w:pPr>
      <w:r w:rsidRPr="00A72F26">
        <w:rPr>
          <w:rFonts w:eastAsia="Times New Roman" w:cs="Arial"/>
          <w:sz w:val="24"/>
          <w:szCs w:val="24"/>
        </w:rPr>
        <w:t>The Commission may either approve, modify and approve, or disapprove the corporate separation plan.</w:t>
      </w:r>
      <w:r w:rsidRPr="00A72F26">
        <w:rPr>
          <w:rFonts w:eastAsia="Times New Roman" w:cs="Arial"/>
          <w:sz w:val="24"/>
          <w:szCs w:val="24"/>
          <w:vertAlign w:val="superscript"/>
        </w:rPr>
        <w:footnoteReference w:id="11"/>
      </w:r>
      <w:r w:rsidRPr="00A72F26">
        <w:rPr>
          <w:rFonts w:eastAsia="Times New Roman" w:cs="Arial"/>
          <w:sz w:val="24"/>
          <w:szCs w:val="24"/>
        </w:rPr>
        <w:t xml:space="preserve">  Additionally, the Commission may reject and require the refiling of a substantially inadequate corporate separation plan.</w:t>
      </w:r>
      <w:r w:rsidRPr="00A72F26">
        <w:rPr>
          <w:rFonts w:eastAsia="Times New Roman" w:cs="Arial"/>
          <w:sz w:val="24"/>
          <w:szCs w:val="24"/>
          <w:vertAlign w:val="superscript"/>
        </w:rPr>
        <w:footnoteReference w:id="12"/>
      </w:r>
      <w:r w:rsidRPr="00A72F26">
        <w:rPr>
          <w:rFonts w:eastAsia="Times New Roman" w:cs="Arial"/>
          <w:sz w:val="24"/>
          <w:szCs w:val="24"/>
        </w:rPr>
        <w:t xml:space="preserve">  The Commission shall approve the corporate separation plan “only upon findings that the plan reasonably complies with the requirements of division (A) of </w:t>
      </w:r>
      <w:r w:rsidR="00C164FB">
        <w:rPr>
          <w:rFonts w:eastAsia="Times New Roman" w:cs="Arial"/>
          <w:sz w:val="24"/>
          <w:szCs w:val="24"/>
        </w:rPr>
        <w:t>[R.C. 4928.17]</w:t>
      </w:r>
      <w:r w:rsidRPr="00A72F26">
        <w:rPr>
          <w:rFonts w:eastAsia="Times New Roman" w:cs="Arial"/>
          <w:sz w:val="24"/>
          <w:szCs w:val="24"/>
        </w:rPr>
        <w:t xml:space="preserve"> and will provide for ongoing compliance with the policy specified in section 4928.02 of the Revised </w:t>
      </w:r>
      <w:r w:rsidR="00C81A27">
        <w:rPr>
          <w:rFonts w:eastAsia="Times New Roman" w:cs="Arial"/>
          <w:sz w:val="24"/>
          <w:szCs w:val="24"/>
        </w:rPr>
        <w:t>C</w:t>
      </w:r>
      <w:r w:rsidRPr="00A72F26">
        <w:rPr>
          <w:rFonts w:eastAsia="Times New Roman" w:cs="Arial"/>
          <w:sz w:val="24"/>
          <w:szCs w:val="24"/>
        </w:rPr>
        <w:t>ode.”</w:t>
      </w:r>
      <w:r w:rsidRPr="00A72F26">
        <w:rPr>
          <w:rFonts w:eastAsia="Times New Roman" w:cs="Arial"/>
          <w:sz w:val="24"/>
          <w:szCs w:val="24"/>
          <w:vertAlign w:val="superscript"/>
        </w:rPr>
        <w:footnoteReference w:id="13"/>
      </w:r>
    </w:p>
    <w:p w:rsidR="00290C2B" w:rsidRPr="00B02CA0" w:rsidRDefault="00F740BA" w:rsidP="00050537">
      <w:pPr>
        <w:pStyle w:val="FootnoteText"/>
        <w:spacing w:line="480" w:lineRule="auto"/>
        <w:ind w:firstLine="720"/>
        <w:jc w:val="both"/>
        <w:rPr>
          <w:sz w:val="24"/>
          <w:szCs w:val="24"/>
        </w:rPr>
      </w:pPr>
      <w:r>
        <w:rPr>
          <w:rFonts w:cs="Arial"/>
          <w:sz w:val="24"/>
          <w:szCs w:val="24"/>
        </w:rPr>
        <w:t>DP&amp;L has</w:t>
      </w:r>
      <w:r w:rsidR="00D708DC">
        <w:rPr>
          <w:rFonts w:cs="Arial"/>
          <w:sz w:val="24"/>
          <w:szCs w:val="24"/>
        </w:rPr>
        <w:t xml:space="preserve"> not disclose</w:t>
      </w:r>
      <w:r>
        <w:rPr>
          <w:rFonts w:cs="Arial"/>
          <w:sz w:val="24"/>
          <w:szCs w:val="24"/>
        </w:rPr>
        <w:t>d</w:t>
      </w:r>
      <w:r w:rsidR="00D708DC">
        <w:rPr>
          <w:rFonts w:cs="Arial"/>
          <w:sz w:val="24"/>
          <w:szCs w:val="24"/>
        </w:rPr>
        <w:t xml:space="preserve"> how AES will allocate costs to DP&amp;L.</w:t>
      </w:r>
      <w:r w:rsidR="00EB1319">
        <w:rPr>
          <w:rFonts w:cs="Arial"/>
          <w:sz w:val="24"/>
          <w:szCs w:val="24"/>
        </w:rPr>
        <w:t xml:space="preserve">  </w:t>
      </w:r>
      <w:r w:rsidR="00F80AFB">
        <w:rPr>
          <w:rFonts w:cs="Arial"/>
          <w:sz w:val="24"/>
          <w:szCs w:val="24"/>
        </w:rPr>
        <w:t>DP&amp;L claims that there is no “mark-up</w:t>
      </w:r>
      <w:r w:rsidR="00EB1319">
        <w:rPr>
          <w:rFonts w:cs="Arial"/>
          <w:sz w:val="24"/>
          <w:szCs w:val="24"/>
        </w:rPr>
        <w:t>”</w:t>
      </w:r>
      <w:r w:rsidR="003F14D8">
        <w:rPr>
          <w:rStyle w:val="FootnoteReference"/>
          <w:rFonts w:cs="Arial"/>
          <w:sz w:val="24"/>
          <w:szCs w:val="24"/>
        </w:rPr>
        <w:footnoteReference w:id="14"/>
      </w:r>
      <w:r w:rsidR="00F80AFB">
        <w:rPr>
          <w:rFonts w:cs="Arial"/>
          <w:sz w:val="24"/>
          <w:szCs w:val="24"/>
        </w:rPr>
        <w:t xml:space="preserve"> but that does not get the job done.  Under Ohio law, AES cannot all</w:t>
      </w:r>
      <w:r w:rsidR="00F979D9">
        <w:rPr>
          <w:rFonts w:cs="Arial"/>
          <w:sz w:val="24"/>
          <w:szCs w:val="24"/>
        </w:rPr>
        <w:t>ocate costs to DP&amp;L that exceed</w:t>
      </w:r>
      <w:r w:rsidR="00F80AFB">
        <w:rPr>
          <w:rFonts w:cs="Arial"/>
          <w:sz w:val="24"/>
          <w:szCs w:val="24"/>
        </w:rPr>
        <w:t xml:space="preserve"> prices that would prevail in a competitive market.</w:t>
      </w:r>
      <w:r w:rsidR="003F14D8">
        <w:rPr>
          <w:rStyle w:val="FootnoteReference"/>
          <w:rFonts w:cs="Arial"/>
          <w:sz w:val="24"/>
          <w:szCs w:val="24"/>
        </w:rPr>
        <w:footnoteReference w:id="15"/>
      </w:r>
      <w:r w:rsidR="00B02CA0">
        <w:rPr>
          <w:rFonts w:cs="Arial"/>
          <w:sz w:val="24"/>
          <w:szCs w:val="24"/>
        </w:rPr>
        <w:t xml:space="preserve">  </w:t>
      </w:r>
      <w:r w:rsidR="000938C1">
        <w:rPr>
          <w:rFonts w:cs="Arial"/>
          <w:sz w:val="24"/>
          <w:szCs w:val="24"/>
        </w:rPr>
        <w:t>The Commission should require DP&amp;L to more specifically describe the manner in which AES allocates cost</w:t>
      </w:r>
      <w:r w:rsidR="0082549E">
        <w:rPr>
          <w:rFonts w:cs="Arial"/>
          <w:sz w:val="24"/>
          <w:szCs w:val="24"/>
        </w:rPr>
        <w:t>s</w:t>
      </w:r>
      <w:r w:rsidR="000938C1">
        <w:rPr>
          <w:rFonts w:cs="Arial"/>
          <w:sz w:val="24"/>
          <w:szCs w:val="24"/>
        </w:rPr>
        <w:t xml:space="preserve"> to DP&amp;L and ensure that the methodology complies with Ohio law.</w:t>
      </w:r>
    </w:p>
    <w:p w:rsidR="00953E9D" w:rsidRDefault="00F740BA" w:rsidP="00953E9D">
      <w:pPr>
        <w:spacing w:line="480" w:lineRule="auto"/>
        <w:ind w:firstLine="720"/>
        <w:jc w:val="both"/>
        <w:rPr>
          <w:rFonts w:cs="Arial"/>
          <w:sz w:val="24"/>
          <w:szCs w:val="24"/>
        </w:rPr>
      </w:pPr>
      <w:r w:rsidRPr="00F740BA">
        <w:rPr>
          <w:rFonts w:cs="Arial"/>
          <w:sz w:val="24"/>
          <w:szCs w:val="24"/>
        </w:rPr>
        <w:t>The application also fails to address an issue currently before th</w:t>
      </w:r>
      <w:r>
        <w:rPr>
          <w:rFonts w:cs="Arial"/>
          <w:sz w:val="24"/>
          <w:szCs w:val="24"/>
        </w:rPr>
        <w:t xml:space="preserve">e Commission in the </w:t>
      </w:r>
      <w:r w:rsidRPr="00953E9D">
        <w:rPr>
          <w:rFonts w:cs="Arial"/>
          <w:sz w:val="24"/>
          <w:szCs w:val="24"/>
        </w:rPr>
        <w:t>DP&amp;L</w:t>
      </w:r>
      <w:r w:rsidR="0029480A" w:rsidRPr="00953E9D">
        <w:rPr>
          <w:rFonts w:cs="Arial"/>
          <w:sz w:val="24"/>
          <w:szCs w:val="24"/>
        </w:rPr>
        <w:t xml:space="preserve"> ESP</w:t>
      </w:r>
      <w:r w:rsidRPr="003F14D8">
        <w:rPr>
          <w:rFonts w:cs="Arial"/>
          <w:sz w:val="24"/>
          <w:szCs w:val="24"/>
        </w:rPr>
        <w:t xml:space="preserve"> case</w:t>
      </w:r>
      <w:r w:rsidRPr="00F740BA">
        <w:rPr>
          <w:rFonts w:cs="Arial"/>
          <w:sz w:val="24"/>
          <w:szCs w:val="24"/>
        </w:rPr>
        <w:t>.</w:t>
      </w:r>
      <w:r>
        <w:rPr>
          <w:rFonts w:cs="Arial"/>
          <w:sz w:val="24"/>
          <w:szCs w:val="24"/>
        </w:rPr>
        <w:t xml:space="preserve">  In that case, </w:t>
      </w:r>
      <w:r w:rsidR="00C70268">
        <w:rPr>
          <w:rFonts w:cs="Arial"/>
          <w:sz w:val="24"/>
          <w:szCs w:val="24"/>
        </w:rPr>
        <w:t>IEU-Ohio</w:t>
      </w:r>
      <w:r>
        <w:rPr>
          <w:rFonts w:cs="Arial"/>
          <w:sz w:val="24"/>
          <w:szCs w:val="24"/>
        </w:rPr>
        <w:t xml:space="preserve"> and others </w:t>
      </w:r>
      <w:r w:rsidR="0029480A">
        <w:rPr>
          <w:rFonts w:cs="Arial"/>
          <w:sz w:val="24"/>
          <w:szCs w:val="24"/>
        </w:rPr>
        <w:t xml:space="preserve">demonstrated that DP&amp;L priced </w:t>
      </w:r>
      <w:r w:rsidR="0029480A">
        <w:rPr>
          <w:rFonts w:cs="Arial"/>
          <w:sz w:val="24"/>
          <w:szCs w:val="24"/>
        </w:rPr>
        <w:lastRenderedPageBreak/>
        <w:t xml:space="preserve">generation sales to </w:t>
      </w:r>
      <w:r w:rsidR="00B02CA0">
        <w:rPr>
          <w:rFonts w:cs="Arial"/>
          <w:sz w:val="24"/>
          <w:szCs w:val="24"/>
        </w:rPr>
        <w:t>its affiliate, DPLER,</w:t>
      </w:r>
      <w:r w:rsidR="00C70268">
        <w:rPr>
          <w:rFonts w:cs="Arial"/>
          <w:sz w:val="24"/>
          <w:szCs w:val="24"/>
        </w:rPr>
        <w:t xml:space="preserve"> below levels required under Ohio law</w:t>
      </w:r>
      <w:r w:rsidR="00B02CA0">
        <w:rPr>
          <w:rFonts w:cs="Arial"/>
          <w:sz w:val="24"/>
          <w:szCs w:val="24"/>
        </w:rPr>
        <w:t xml:space="preserve">.  </w:t>
      </w:r>
      <w:r w:rsidR="00E72CBE" w:rsidRPr="00A949AF">
        <w:rPr>
          <w:rFonts w:cs="Arial"/>
          <w:sz w:val="24"/>
          <w:szCs w:val="24"/>
        </w:rPr>
        <w:t xml:space="preserve">As of August 30, 2012, approximately 62% of DP&amp;L’s retail load had switched to a </w:t>
      </w:r>
      <w:r w:rsidR="00953E9D">
        <w:rPr>
          <w:rFonts w:cs="Arial"/>
          <w:sz w:val="24"/>
          <w:szCs w:val="24"/>
        </w:rPr>
        <w:t xml:space="preserve">competitive </w:t>
      </w:r>
      <w:r w:rsidR="0021049D">
        <w:rPr>
          <w:rFonts w:cs="Arial"/>
          <w:sz w:val="24"/>
          <w:szCs w:val="24"/>
        </w:rPr>
        <w:t xml:space="preserve">retail electric service </w:t>
      </w:r>
      <w:r w:rsidR="00E72CBE" w:rsidRPr="00A949AF">
        <w:rPr>
          <w:rFonts w:cs="Arial"/>
          <w:sz w:val="24"/>
          <w:szCs w:val="24"/>
        </w:rPr>
        <w:t>provider.</w:t>
      </w:r>
      <w:r w:rsidR="00E72CBE" w:rsidRPr="00A949AF">
        <w:rPr>
          <w:rFonts w:cs="Arial"/>
          <w:sz w:val="24"/>
          <w:szCs w:val="24"/>
          <w:vertAlign w:val="superscript"/>
        </w:rPr>
        <w:footnoteReference w:id="16"/>
      </w:r>
      <w:r w:rsidR="00E72CBE" w:rsidRPr="00A949AF">
        <w:rPr>
          <w:rFonts w:cs="Arial"/>
          <w:sz w:val="24"/>
          <w:szCs w:val="24"/>
        </w:rPr>
        <w:t xml:space="preserve">  The majority of the switched load has been retained by DPLER.</w:t>
      </w:r>
      <w:r w:rsidR="00E72CBE" w:rsidRPr="00A949AF">
        <w:rPr>
          <w:rFonts w:cs="Arial"/>
          <w:sz w:val="24"/>
          <w:szCs w:val="24"/>
          <w:vertAlign w:val="superscript"/>
        </w:rPr>
        <w:footnoteReference w:id="17"/>
      </w:r>
      <w:r w:rsidR="00E72CBE" w:rsidRPr="00A949AF">
        <w:rPr>
          <w:rFonts w:cs="Arial"/>
          <w:sz w:val="24"/>
          <w:szCs w:val="24"/>
        </w:rPr>
        <w:t xml:space="preserve">  </w:t>
      </w:r>
      <w:r w:rsidR="00C70268">
        <w:rPr>
          <w:rFonts w:cs="Arial"/>
          <w:sz w:val="24"/>
          <w:szCs w:val="24"/>
        </w:rPr>
        <w:t xml:space="preserve">DPLER secured power to </w:t>
      </w:r>
      <w:r w:rsidR="00B02CA0">
        <w:rPr>
          <w:rFonts w:cs="Arial"/>
          <w:sz w:val="24"/>
          <w:szCs w:val="24"/>
        </w:rPr>
        <w:t>serve those contracts from DP&amp;L.</w:t>
      </w:r>
      <w:r w:rsidR="00C70268">
        <w:rPr>
          <w:rFonts w:cs="Arial"/>
          <w:sz w:val="24"/>
          <w:szCs w:val="24"/>
        </w:rPr>
        <w:t xml:space="preserve">  </w:t>
      </w:r>
      <w:r w:rsidR="00E72CBE" w:rsidRPr="00A949AF">
        <w:rPr>
          <w:rFonts w:eastAsia="Times New Roman" w:cs="Arial"/>
          <w:sz w:val="24"/>
          <w:szCs w:val="24"/>
        </w:rPr>
        <w:t>The contract between DP&amp;L and DPLER to provide DPLER with generation resources is set at market-based prices.</w:t>
      </w:r>
      <w:r w:rsidR="00E72CBE" w:rsidRPr="00A949AF">
        <w:rPr>
          <w:rFonts w:eastAsia="Times New Roman" w:cs="Arial"/>
          <w:sz w:val="24"/>
          <w:szCs w:val="24"/>
          <w:vertAlign w:val="superscript"/>
        </w:rPr>
        <w:footnoteReference w:id="18"/>
      </w:r>
      <w:r w:rsidR="00E72CBE" w:rsidRPr="00A949AF">
        <w:rPr>
          <w:rFonts w:eastAsia="Times New Roman" w:cs="Arial"/>
          <w:sz w:val="24"/>
          <w:szCs w:val="24"/>
        </w:rPr>
        <w:t xml:space="preserve">  </w:t>
      </w:r>
      <w:r w:rsidR="00C70268">
        <w:rPr>
          <w:rFonts w:eastAsia="Times New Roman" w:cs="Arial"/>
          <w:sz w:val="24"/>
          <w:szCs w:val="24"/>
        </w:rPr>
        <w:t xml:space="preserve">DP&amp;L then complained that it was not securing sufficient generation-related revenue to support its earnings goal and </w:t>
      </w:r>
      <w:r w:rsidR="0029480A">
        <w:rPr>
          <w:rFonts w:cs="Arial"/>
          <w:sz w:val="24"/>
          <w:szCs w:val="24"/>
        </w:rPr>
        <w:t xml:space="preserve">requested </w:t>
      </w:r>
      <w:r w:rsidR="00E72CBE">
        <w:rPr>
          <w:rFonts w:cs="Arial"/>
          <w:sz w:val="24"/>
          <w:szCs w:val="24"/>
        </w:rPr>
        <w:t xml:space="preserve">authority to collect </w:t>
      </w:r>
      <w:r w:rsidR="0029480A">
        <w:rPr>
          <w:rFonts w:cs="Arial"/>
          <w:sz w:val="24"/>
          <w:szCs w:val="24"/>
        </w:rPr>
        <w:t>additional revenue through a nonbypassable cha</w:t>
      </w:r>
      <w:r w:rsidR="00B02CA0">
        <w:rPr>
          <w:rFonts w:cs="Arial"/>
          <w:sz w:val="24"/>
          <w:szCs w:val="24"/>
        </w:rPr>
        <w:t>rge (the SSR)</w:t>
      </w:r>
      <w:r w:rsidR="0029480A">
        <w:rPr>
          <w:rFonts w:cs="Arial"/>
          <w:sz w:val="24"/>
          <w:szCs w:val="24"/>
        </w:rPr>
        <w:t xml:space="preserve">.  </w:t>
      </w:r>
      <w:r w:rsidR="00C70268">
        <w:rPr>
          <w:rFonts w:cs="Arial"/>
          <w:sz w:val="24"/>
          <w:szCs w:val="24"/>
        </w:rPr>
        <w:t xml:space="preserve">Over the objection of IEU-Ohio, the Commission authorized the SSR, but </w:t>
      </w:r>
      <w:r w:rsidR="00E72CBE">
        <w:rPr>
          <w:rFonts w:cs="Arial"/>
          <w:sz w:val="24"/>
          <w:szCs w:val="24"/>
        </w:rPr>
        <w:t xml:space="preserve">failed to address the </w:t>
      </w:r>
      <w:r w:rsidR="0029480A">
        <w:rPr>
          <w:rFonts w:cs="Arial"/>
          <w:sz w:val="24"/>
          <w:szCs w:val="24"/>
        </w:rPr>
        <w:t>unlawful preference</w:t>
      </w:r>
      <w:r w:rsidR="003F14D8">
        <w:rPr>
          <w:rFonts w:cs="Arial"/>
          <w:sz w:val="24"/>
          <w:szCs w:val="24"/>
        </w:rPr>
        <w:t xml:space="preserve"> to DPLER</w:t>
      </w:r>
      <w:r w:rsidR="0029480A">
        <w:rPr>
          <w:rFonts w:cs="Arial"/>
          <w:sz w:val="24"/>
          <w:szCs w:val="24"/>
        </w:rPr>
        <w:t xml:space="preserve">.  </w:t>
      </w:r>
    </w:p>
    <w:p w:rsidR="00F62FEC" w:rsidRPr="00953E9D" w:rsidRDefault="00E72CBE" w:rsidP="00953E9D">
      <w:pPr>
        <w:spacing w:line="480" w:lineRule="auto"/>
        <w:ind w:firstLine="720"/>
        <w:jc w:val="both"/>
        <w:rPr>
          <w:rFonts w:eastAsia="Times New Roman" w:cs="Arial"/>
          <w:sz w:val="24"/>
          <w:szCs w:val="24"/>
        </w:rPr>
      </w:pPr>
      <w:r>
        <w:rPr>
          <w:rFonts w:cs="Arial"/>
          <w:sz w:val="24"/>
          <w:szCs w:val="24"/>
        </w:rPr>
        <w:t>The Commiss</w:t>
      </w:r>
      <w:r w:rsidR="00B02CA0">
        <w:rPr>
          <w:rFonts w:cs="Arial"/>
          <w:sz w:val="24"/>
          <w:szCs w:val="24"/>
        </w:rPr>
        <w:t>ion</w:t>
      </w:r>
      <w:r w:rsidR="00953E9D">
        <w:rPr>
          <w:rFonts w:cs="Arial"/>
          <w:sz w:val="24"/>
          <w:szCs w:val="24"/>
        </w:rPr>
        <w:t>, however,</w:t>
      </w:r>
      <w:r w:rsidR="00B02CA0">
        <w:rPr>
          <w:rFonts w:cs="Arial"/>
          <w:sz w:val="24"/>
          <w:szCs w:val="24"/>
        </w:rPr>
        <w:t xml:space="preserve"> has granted rehearing </w:t>
      </w:r>
      <w:r w:rsidR="00C70268">
        <w:rPr>
          <w:rFonts w:cs="Arial"/>
          <w:sz w:val="24"/>
          <w:szCs w:val="24"/>
        </w:rPr>
        <w:t>so that it may further consider its decision</w:t>
      </w:r>
      <w:r w:rsidR="00B02CA0">
        <w:rPr>
          <w:rFonts w:cs="Arial"/>
          <w:sz w:val="24"/>
          <w:szCs w:val="24"/>
        </w:rPr>
        <w:t xml:space="preserve"> authorizing </w:t>
      </w:r>
      <w:r w:rsidR="00B02CA0" w:rsidRPr="003F14D8">
        <w:rPr>
          <w:rFonts w:cs="Arial"/>
          <w:sz w:val="24"/>
          <w:szCs w:val="24"/>
        </w:rPr>
        <w:t>DP&amp;L’s ESP</w:t>
      </w:r>
      <w:r>
        <w:rPr>
          <w:rFonts w:cs="Arial"/>
          <w:sz w:val="24"/>
          <w:szCs w:val="24"/>
        </w:rPr>
        <w:t>, but has not issued a decision on the issue of the illegal preference</w:t>
      </w:r>
      <w:r w:rsidR="0029480A">
        <w:rPr>
          <w:rFonts w:cs="Arial"/>
          <w:sz w:val="24"/>
          <w:szCs w:val="24"/>
        </w:rPr>
        <w:t>.</w:t>
      </w:r>
      <w:r w:rsidR="0029480A">
        <w:rPr>
          <w:rStyle w:val="FootnoteReference"/>
          <w:rFonts w:cs="Arial"/>
          <w:sz w:val="24"/>
          <w:szCs w:val="24"/>
        </w:rPr>
        <w:footnoteReference w:id="19"/>
      </w:r>
      <w:r w:rsidR="0029480A">
        <w:rPr>
          <w:rFonts w:cs="Arial"/>
          <w:sz w:val="24"/>
          <w:szCs w:val="24"/>
        </w:rPr>
        <w:t xml:space="preserve"> </w:t>
      </w:r>
      <w:r w:rsidR="00F740BA">
        <w:rPr>
          <w:rFonts w:cs="Arial"/>
          <w:sz w:val="24"/>
          <w:szCs w:val="24"/>
        </w:rPr>
        <w:t xml:space="preserve"> </w:t>
      </w:r>
      <w:r w:rsidR="00C70268">
        <w:rPr>
          <w:rFonts w:cs="Arial"/>
          <w:sz w:val="24"/>
          <w:szCs w:val="24"/>
        </w:rPr>
        <w:t>The Commission should reverse its decision approving the SSR</w:t>
      </w:r>
      <w:r w:rsidR="00B02CA0">
        <w:rPr>
          <w:rFonts w:cs="Arial"/>
          <w:sz w:val="24"/>
          <w:szCs w:val="24"/>
        </w:rPr>
        <w:t xml:space="preserve"> </w:t>
      </w:r>
      <w:r w:rsidR="00C70268">
        <w:rPr>
          <w:rFonts w:cs="Arial"/>
          <w:sz w:val="24"/>
          <w:szCs w:val="24"/>
        </w:rPr>
        <w:t>p</w:t>
      </w:r>
      <w:r w:rsidR="00290C2B">
        <w:rPr>
          <w:rFonts w:cs="Arial"/>
          <w:sz w:val="24"/>
          <w:szCs w:val="24"/>
        </w:rPr>
        <w:t xml:space="preserve">rior to approving DP&amp;L’s Corporate Separation Application, </w:t>
      </w:r>
      <w:r w:rsidR="00F27414">
        <w:rPr>
          <w:rFonts w:cs="Arial"/>
          <w:sz w:val="24"/>
          <w:szCs w:val="24"/>
        </w:rPr>
        <w:t xml:space="preserve">and </w:t>
      </w:r>
      <w:r>
        <w:rPr>
          <w:rFonts w:cs="Arial"/>
          <w:sz w:val="24"/>
          <w:szCs w:val="24"/>
        </w:rPr>
        <w:t xml:space="preserve">then </w:t>
      </w:r>
      <w:r w:rsidR="0029480A">
        <w:rPr>
          <w:rFonts w:cs="Arial"/>
          <w:sz w:val="24"/>
          <w:szCs w:val="24"/>
        </w:rPr>
        <w:t>direct DP&amp;L to resubmit terms of corporate separation that indicate that DP&amp;L’s corporate separation p</w:t>
      </w:r>
      <w:r w:rsidR="00B02CA0">
        <w:rPr>
          <w:rFonts w:cs="Arial"/>
          <w:sz w:val="24"/>
          <w:szCs w:val="24"/>
        </w:rPr>
        <w:t>lan complies with R.C. 4928.17(A</w:t>
      </w:r>
      <w:r w:rsidR="0029480A">
        <w:rPr>
          <w:rFonts w:cs="Arial"/>
          <w:sz w:val="24"/>
          <w:szCs w:val="24"/>
        </w:rPr>
        <w:t xml:space="preserve">)(3). </w:t>
      </w:r>
    </w:p>
    <w:p w:rsidR="00F62FEC" w:rsidRDefault="0011217A" w:rsidP="00050537">
      <w:pPr>
        <w:autoSpaceDE w:val="0"/>
        <w:autoSpaceDN w:val="0"/>
        <w:adjustRightInd w:val="0"/>
        <w:spacing w:line="480" w:lineRule="auto"/>
        <w:ind w:firstLine="720"/>
        <w:contextualSpacing/>
        <w:jc w:val="both"/>
        <w:rPr>
          <w:rFonts w:cs="Arial"/>
          <w:sz w:val="24"/>
          <w:szCs w:val="24"/>
        </w:rPr>
      </w:pPr>
      <w:r>
        <w:rPr>
          <w:rFonts w:cs="Arial"/>
          <w:sz w:val="24"/>
          <w:szCs w:val="24"/>
        </w:rPr>
        <w:t>Additionally, t</w:t>
      </w:r>
      <w:r w:rsidR="00F62FEC">
        <w:rPr>
          <w:rFonts w:cs="Arial"/>
          <w:sz w:val="24"/>
          <w:szCs w:val="24"/>
        </w:rPr>
        <w:t>o the extent that DP&amp;L’s Corporate Separation Applicati</w:t>
      </w:r>
      <w:r>
        <w:rPr>
          <w:rFonts w:cs="Arial"/>
          <w:sz w:val="24"/>
          <w:szCs w:val="24"/>
        </w:rPr>
        <w:t xml:space="preserve">on </w:t>
      </w:r>
      <w:r w:rsidR="00F62FEC">
        <w:rPr>
          <w:rFonts w:cs="Arial"/>
          <w:sz w:val="24"/>
          <w:szCs w:val="24"/>
        </w:rPr>
        <w:t xml:space="preserve">is intended to set forth DP&amp;L’s </w:t>
      </w:r>
      <w:r w:rsidR="00C164FB">
        <w:rPr>
          <w:rFonts w:cs="Arial"/>
          <w:sz w:val="24"/>
          <w:szCs w:val="24"/>
        </w:rPr>
        <w:t>corporate</w:t>
      </w:r>
      <w:r w:rsidR="00B02CA0">
        <w:rPr>
          <w:rFonts w:cs="Arial"/>
          <w:sz w:val="24"/>
          <w:szCs w:val="24"/>
        </w:rPr>
        <w:t xml:space="preserve"> separation plan for the period</w:t>
      </w:r>
      <w:r w:rsidR="00C164FB">
        <w:rPr>
          <w:rFonts w:cs="Arial"/>
          <w:sz w:val="24"/>
          <w:szCs w:val="24"/>
        </w:rPr>
        <w:t xml:space="preserve"> after it transfers its generation assets to a third party</w:t>
      </w:r>
      <w:r w:rsidR="00D6570D">
        <w:rPr>
          <w:rFonts w:cs="Arial"/>
          <w:sz w:val="24"/>
          <w:szCs w:val="24"/>
        </w:rPr>
        <w:t>, the Commission should limit its approval to updating DP&amp;L’s corporate separation plan to account for the creation of AES</w:t>
      </w:r>
      <w:r w:rsidR="00F62FEC">
        <w:rPr>
          <w:rFonts w:cs="Arial"/>
          <w:sz w:val="24"/>
          <w:szCs w:val="24"/>
        </w:rPr>
        <w:t xml:space="preserve">.  DP&amp;L has not </w:t>
      </w:r>
      <w:r w:rsidR="00F62FEC">
        <w:rPr>
          <w:rFonts w:cs="Arial"/>
          <w:sz w:val="24"/>
          <w:szCs w:val="24"/>
        </w:rPr>
        <w:lastRenderedPageBreak/>
        <w:t>disclosed the specific details of its plan to transfer its generati</w:t>
      </w:r>
      <w:r w:rsidR="0021049D">
        <w:rPr>
          <w:rFonts w:cs="Arial"/>
          <w:sz w:val="24"/>
          <w:szCs w:val="24"/>
        </w:rPr>
        <w:t>o</w:t>
      </w:r>
      <w:r w:rsidR="00F62FEC">
        <w:rPr>
          <w:rFonts w:cs="Arial"/>
          <w:sz w:val="24"/>
          <w:szCs w:val="24"/>
        </w:rPr>
        <w:t xml:space="preserve">n assets; thus, the Commission cannot </w:t>
      </w:r>
      <w:r w:rsidR="00E97DAD">
        <w:rPr>
          <w:rFonts w:cs="Arial"/>
          <w:sz w:val="24"/>
          <w:szCs w:val="24"/>
        </w:rPr>
        <w:t>pre</w:t>
      </w:r>
      <w:r w:rsidR="00F62FEC">
        <w:rPr>
          <w:rFonts w:cs="Arial"/>
          <w:sz w:val="24"/>
          <w:szCs w:val="24"/>
        </w:rPr>
        <w:t>determine whether DP&amp;L’s proposed corpora</w:t>
      </w:r>
      <w:r w:rsidR="00E97DAD">
        <w:rPr>
          <w:rFonts w:cs="Arial"/>
          <w:sz w:val="24"/>
          <w:szCs w:val="24"/>
        </w:rPr>
        <w:t>te separation plan will comply with Ohio law</w:t>
      </w:r>
      <w:r w:rsidR="00F62FEC">
        <w:rPr>
          <w:rFonts w:cs="Arial"/>
          <w:sz w:val="24"/>
          <w:szCs w:val="24"/>
        </w:rPr>
        <w:t>.</w:t>
      </w:r>
    </w:p>
    <w:p w:rsidR="00F465AC" w:rsidRPr="000F29CE" w:rsidRDefault="00F465AC" w:rsidP="000F29CE">
      <w:pPr>
        <w:pStyle w:val="ListParagraph"/>
        <w:numPr>
          <w:ilvl w:val="0"/>
          <w:numId w:val="1"/>
        </w:numPr>
        <w:autoSpaceDE w:val="0"/>
        <w:autoSpaceDN w:val="0"/>
        <w:adjustRightInd w:val="0"/>
        <w:spacing w:line="480" w:lineRule="auto"/>
        <w:ind w:left="720"/>
        <w:jc w:val="both"/>
        <w:rPr>
          <w:rFonts w:cs="Arial"/>
          <w:b/>
          <w:sz w:val="24"/>
          <w:szCs w:val="24"/>
        </w:rPr>
      </w:pPr>
      <w:r w:rsidRPr="000F29CE">
        <w:rPr>
          <w:rFonts w:cs="Arial"/>
          <w:b/>
          <w:sz w:val="24"/>
          <w:szCs w:val="24"/>
        </w:rPr>
        <w:t>CONCLUSION</w:t>
      </w:r>
    </w:p>
    <w:p w:rsidR="00B27DC0" w:rsidRDefault="00F465AC" w:rsidP="00B27DC0">
      <w:pPr>
        <w:spacing w:line="480" w:lineRule="auto"/>
        <w:ind w:firstLine="720"/>
        <w:jc w:val="both"/>
        <w:rPr>
          <w:sz w:val="24"/>
          <w:szCs w:val="24"/>
        </w:rPr>
      </w:pPr>
      <w:r>
        <w:rPr>
          <w:rFonts w:cs="Arial"/>
          <w:sz w:val="24"/>
          <w:szCs w:val="24"/>
        </w:rPr>
        <w:t xml:space="preserve">For the reasons stated herein, IEU-Ohio urges the Commission to </w:t>
      </w:r>
      <w:r w:rsidR="00D6570D">
        <w:rPr>
          <w:rFonts w:cs="Arial"/>
          <w:sz w:val="24"/>
          <w:szCs w:val="24"/>
        </w:rPr>
        <w:t>require DP&amp;L to allocate costs from AES in a manner that complies with Ohio law, and, as discussed more fully in IEU-Ohio’s Application for Rehearing</w:t>
      </w:r>
      <w:r w:rsidR="00FC372D">
        <w:rPr>
          <w:rFonts w:cs="Arial"/>
          <w:sz w:val="24"/>
          <w:szCs w:val="24"/>
        </w:rPr>
        <w:t xml:space="preserve"> in the</w:t>
      </w:r>
      <w:r w:rsidR="00E97DAD">
        <w:rPr>
          <w:rFonts w:cs="Arial"/>
          <w:sz w:val="24"/>
          <w:szCs w:val="24"/>
        </w:rPr>
        <w:t xml:space="preserve"> </w:t>
      </w:r>
      <w:r w:rsidR="00E97DAD" w:rsidRPr="00953E9D">
        <w:rPr>
          <w:rFonts w:cs="Arial"/>
          <w:sz w:val="24"/>
          <w:szCs w:val="24"/>
        </w:rPr>
        <w:t>ESP</w:t>
      </w:r>
      <w:r w:rsidR="00FC372D">
        <w:rPr>
          <w:rFonts w:cs="Arial"/>
          <w:sz w:val="24"/>
          <w:szCs w:val="24"/>
        </w:rPr>
        <w:t xml:space="preserve"> </w:t>
      </w:r>
      <w:r w:rsidR="00E97DAD">
        <w:rPr>
          <w:rFonts w:cs="Arial"/>
          <w:sz w:val="24"/>
          <w:szCs w:val="24"/>
        </w:rPr>
        <w:t>c</w:t>
      </w:r>
      <w:r w:rsidR="00FC372D">
        <w:rPr>
          <w:rFonts w:cs="Arial"/>
          <w:sz w:val="24"/>
          <w:szCs w:val="24"/>
        </w:rPr>
        <w:t>ase</w:t>
      </w:r>
      <w:r w:rsidR="00D6570D">
        <w:rPr>
          <w:rFonts w:cs="Arial"/>
          <w:sz w:val="24"/>
          <w:szCs w:val="24"/>
        </w:rPr>
        <w:t>, to require DP&amp;L to provide products or services to its affiliates based upon fully embedded costs.</w:t>
      </w:r>
      <w:r w:rsidR="00E97DAD">
        <w:rPr>
          <w:rFonts w:cs="Arial"/>
          <w:sz w:val="24"/>
          <w:szCs w:val="24"/>
        </w:rPr>
        <w:t xml:space="preserve">  </w:t>
      </w:r>
      <w:r w:rsidR="00B27DC0">
        <w:rPr>
          <w:sz w:val="24"/>
          <w:szCs w:val="24"/>
        </w:rPr>
        <w:t xml:space="preserve">Finally, the Commission should not approve the amendment to the corporate separation plan without indicating that it is reserving the issues related to the generation transfer to a time when the issues are properly before the Commission, </w:t>
      </w:r>
      <w:r w:rsidR="00B27DC0" w:rsidRPr="003F14D8">
        <w:rPr>
          <w:i/>
          <w:sz w:val="24"/>
          <w:szCs w:val="24"/>
        </w:rPr>
        <w:t>i.e</w:t>
      </w:r>
      <w:r w:rsidR="00B27DC0">
        <w:rPr>
          <w:sz w:val="24"/>
          <w:szCs w:val="24"/>
        </w:rPr>
        <w:t>., when DP&amp;L files an application that actually seeks to transfer its generation assets to a third party.</w:t>
      </w:r>
    </w:p>
    <w:p w:rsidR="0089316A" w:rsidRDefault="000F29CE" w:rsidP="0089316A">
      <w:pPr>
        <w:autoSpaceDE w:val="0"/>
        <w:autoSpaceDN w:val="0"/>
        <w:adjustRightInd w:val="0"/>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Respectfully submitted,</w:t>
      </w:r>
    </w:p>
    <w:p w:rsidR="0089316A" w:rsidRDefault="0089316A" w:rsidP="0089316A">
      <w:pPr>
        <w:autoSpaceDE w:val="0"/>
        <w:autoSpaceDN w:val="0"/>
        <w:adjustRightInd w:val="0"/>
        <w:contextualSpacing/>
        <w:jc w:val="both"/>
        <w:rPr>
          <w:rFonts w:cs="Arial"/>
          <w:sz w:val="24"/>
          <w:szCs w:val="24"/>
        </w:rPr>
      </w:pPr>
    </w:p>
    <w:p w:rsidR="0089316A" w:rsidRDefault="0089316A" w:rsidP="0089316A">
      <w:pPr>
        <w:autoSpaceDE w:val="0"/>
        <w:autoSpaceDN w:val="0"/>
        <w:adjustRightInd w:val="0"/>
        <w:contextualSpacing/>
        <w:jc w:val="both"/>
        <w:rPr>
          <w:rFonts w:cs="Arial"/>
          <w:sz w:val="24"/>
          <w:szCs w:val="24"/>
        </w:rPr>
      </w:pPr>
    </w:p>
    <w:p w:rsidR="000F29CE" w:rsidRPr="0009021E" w:rsidRDefault="0009021E" w:rsidP="0009021E">
      <w:pPr>
        <w:autoSpaceDE w:val="0"/>
        <w:autoSpaceDN w:val="0"/>
        <w:adjustRightInd w:val="0"/>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09021E">
        <w:rPr>
          <w:rFonts w:cs="Arial"/>
          <w:sz w:val="24"/>
          <w:szCs w:val="24"/>
        </w:rPr>
        <w:t>/s/ Joseph E. Oliker</w:t>
      </w:r>
      <w:r w:rsidRPr="0009021E">
        <w:rPr>
          <w:rFonts w:cs="Arial"/>
          <w:sz w:val="24"/>
          <w:szCs w:val="24"/>
        </w:rPr>
        <w:tab/>
      </w:r>
      <w:r w:rsidRPr="0009021E">
        <w:rPr>
          <w:rFonts w:cs="Arial"/>
          <w:sz w:val="24"/>
          <w:szCs w:val="24"/>
        </w:rPr>
        <w:tab/>
      </w:r>
      <w:r w:rsidRPr="0009021E">
        <w:rPr>
          <w:rFonts w:cs="Arial"/>
          <w:sz w:val="24"/>
          <w:szCs w:val="24"/>
        </w:rPr>
        <w:tab/>
      </w:r>
      <w:r w:rsidRPr="0009021E">
        <w:rPr>
          <w:rFonts w:cs="Arial"/>
          <w:sz w:val="24"/>
          <w:szCs w:val="24"/>
        </w:rPr>
        <w:tab/>
      </w:r>
    </w:p>
    <w:p w:rsidR="000F29CE" w:rsidRPr="00FA702C" w:rsidRDefault="000F29CE" w:rsidP="0009021E">
      <w:pPr>
        <w:pBdr>
          <w:top w:val="single" w:sz="4" w:space="1" w:color="auto"/>
        </w:pBdr>
        <w:tabs>
          <w:tab w:val="left" w:pos="4320"/>
          <w:tab w:val="right" w:pos="8640"/>
        </w:tabs>
        <w:ind w:left="4320"/>
        <w:jc w:val="both"/>
        <w:rPr>
          <w:rFonts w:cs="Arial"/>
          <w:sz w:val="24"/>
          <w:szCs w:val="24"/>
        </w:rPr>
      </w:pPr>
      <w:r w:rsidRPr="00FA702C">
        <w:rPr>
          <w:rFonts w:cs="Arial"/>
          <w:sz w:val="24"/>
          <w:szCs w:val="24"/>
        </w:rPr>
        <w:t>Samuel C. Randazzo (Counsel of Record)</w:t>
      </w:r>
    </w:p>
    <w:p w:rsidR="000F29CE" w:rsidRPr="00FA702C" w:rsidRDefault="000F29CE" w:rsidP="000F29CE">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0F29CE" w:rsidRPr="00FA702C" w:rsidRDefault="000F29CE" w:rsidP="000F29CE">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0F29CE" w:rsidRPr="00FA702C" w:rsidRDefault="000F29CE" w:rsidP="000F29CE">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0F29CE" w:rsidRPr="00FA702C" w:rsidRDefault="000F29CE" w:rsidP="000F29CE">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0F29CE" w:rsidRPr="00FA702C" w:rsidRDefault="000F29CE" w:rsidP="000F29CE">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0F29CE" w:rsidRPr="00FA702C" w:rsidRDefault="000F29CE" w:rsidP="000F29CE">
      <w:pPr>
        <w:pStyle w:val="BodyText"/>
        <w:tabs>
          <w:tab w:val="left" w:pos="4320"/>
        </w:tabs>
        <w:ind w:left="4320"/>
        <w:rPr>
          <w:b w:val="0"/>
          <w:smallCaps w:val="0"/>
          <w:sz w:val="24"/>
          <w:szCs w:val="24"/>
        </w:rPr>
      </w:pPr>
      <w:r w:rsidRPr="00FA702C">
        <w:rPr>
          <w:b w:val="0"/>
          <w:smallCaps w:val="0"/>
          <w:sz w:val="24"/>
          <w:szCs w:val="24"/>
        </w:rPr>
        <w:t>Columbus, OH  43215</w:t>
      </w:r>
    </w:p>
    <w:p w:rsidR="000F29CE" w:rsidRPr="00FA702C" w:rsidRDefault="000F29CE" w:rsidP="000F29CE">
      <w:pPr>
        <w:pStyle w:val="BodyText"/>
        <w:tabs>
          <w:tab w:val="left" w:pos="4320"/>
        </w:tabs>
        <w:ind w:left="4320"/>
        <w:rPr>
          <w:b w:val="0"/>
          <w:smallCaps w:val="0"/>
          <w:sz w:val="24"/>
          <w:szCs w:val="24"/>
        </w:rPr>
      </w:pPr>
      <w:r w:rsidRPr="00FA702C">
        <w:rPr>
          <w:b w:val="0"/>
          <w:smallCaps w:val="0"/>
          <w:sz w:val="24"/>
          <w:szCs w:val="24"/>
        </w:rPr>
        <w:t>Telephone:  (614) 469-8000</w:t>
      </w:r>
    </w:p>
    <w:p w:rsidR="000F29CE" w:rsidRPr="00FA702C" w:rsidRDefault="000F29CE" w:rsidP="000F29CE">
      <w:pPr>
        <w:pStyle w:val="BodyText"/>
        <w:tabs>
          <w:tab w:val="left" w:pos="4320"/>
        </w:tabs>
        <w:ind w:left="4320"/>
        <w:rPr>
          <w:b w:val="0"/>
          <w:smallCaps w:val="0"/>
          <w:sz w:val="24"/>
          <w:szCs w:val="24"/>
        </w:rPr>
      </w:pPr>
      <w:r w:rsidRPr="00FA702C">
        <w:rPr>
          <w:b w:val="0"/>
          <w:smallCaps w:val="0"/>
          <w:sz w:val="24"/>
          <w:szCs w:val="24"/>
        </w:rPr>
        <w:t>Telecopier:  (614) 469-4653</w:t>
      </w:r>
    </w:p>
    <w:p w:rsidR="000F29CE" w:rsidRPr="00FA702C" w:rsidRDefault="000F29CE" w:rsidP="000F29CE">
      <w:pPr>
        <w:pStyle w:val="BodyText"/>
        <w:ind w:left="4320"/>
        <w:rPr>
          <w:b w:val="0"/>
          <w:smallCaps w:val="0"/>
          <w:sz w:val="24"/>
          <w:szCs w:val="24"/>
        </w:rPr>
      </w:pPr>
      <w:r w:rsidRPr="00FA702C">
        <w:rPr>
          <w:b w:val="0"/>
          <w:smallCaps w:val="0"/>
          <w:sz w:val="24"/>
          <w:szCs w:val="24"/>
        </w:rPr>
        <w:t>sam@mwncmh.com</w:t>
      </w:r>
    </w:p>
    <w:p w:rsidR="000F29CE" w:rsidRPr="00FA702C" w:rsidRDefault="000F29CE" w:rsidP="000F29CE">
      <w:pPr>
        <w:pStyle w:val="BodyText"/>
        <w:ind w:left="4320"/>
        <w:rPr>
          <w:b w:val="0"/>
          <w:smallCaps w:val="0"/>
          <w:sz w:val="24"/>
          <w:szCs w:val="24"/>
        </w:rPr>
      </w:pPr>
      <w:r w:rsidRPr="00FA702C">
        <w:rPr>
          <w:b w:val="0"/>
          <w:smallCaps w:val="0"/>
          <w:sz w:val="24"/>
          <w:szCs w:val="24"/>
        </w:rPr>
        <w:t>fdarr@mwncmh.com</w:t>
      </w:r>
    </w:p>
    <w:p w:rsidR="000F29CE" w:rsidRPr="00FA702C" w:rsidRDefault="000F29CE" w:rsidP="000F29CE">
      <w:pPr>
        <w:pStyle w:val="BodyText"/>
        <w:ind w:left="4320"/>
        <w:rPr>
          <w:b w:val="0"/>
          <w:smallCaps w:val="0"/>
          <w:sz w:val="24"/>
          <w:szCs w:val="24"/>
        </w:rPr>
      </w:pPr>
      <w:r w:rsidRPr="00FA702C">
        <w:rPr>
          <w:b w:val="0"/>
          <w:smallCaps w:val="0"/>
          <w:sz w:val="24"/>
          <w:szCs w:val="24"/>
        </w:rPr>
        <w:t>joliker@mwncmh.com</w:t>
      </w:r>
    </w:p>
    <w:p w:rsidR="000F29CE" w:rsidRPr="00FA702C" w:rsidRDefault="000F29CE" w:rsidP="000F29CE">
      <w:pPr>
        <w:pStyle w:val="BodyText"/>
        <w:ind w:left="4320"/>
        <w:rPr>
          <w:rFonts w:cs="Arial"/>
          <w:b w:val="0"/>
          <w:sz w:val="24"/>
          <w:szCs w:val="24"/>
        </w:rPr>
      </w:pPr>
      <w:r w:rsidRPr="00FA702C">
        <w:rPr>
          <w:rFonts w:cs="Arial"/>
          <w:b w:val="0"/>
          <w:smallCaps w:val="0"/>
          <w:sz w:val="24"/>
          <w:szCs w:val="24"/>
        </w:rPr>
        <w:t>mpritchard@mwncmh.com</w:t>
      </w:r>
    </w:p>
    <w:p w:rsidR="000F29CE" w:rsidRPr="00FA702C" w:rsidRDefault="000F29CE" w:rsidP="000F29CE">
      <w:pPr>
        <w:pStyle w:val="BodyText"/>
        <w:ind w:left="4320"/>
        <w:rPr>
          <w:rFonts w:cs="Arial"/>
          <w:sz w:val="24"/>
          <w:szCs w:val="24"/>
        </w:rPr>
      </w:pPr>
    </w:p>
    <w:p w:rsidR="000F29CE" w:rsidRDefault="000F29CE" w:rsidP="000F29CE">
      <w:pPr>
        <w:jc w:val="both"/>
        <w:rPr>
          <w:rFonts w:cs="Arial"/>
          <w:b/>
          <w:sz w:val="24"/>
          <w:szCs w:val="24"/>
        </w:rPr>
      </w:pPr>
      <w:r>
        <w:rPr>
          <w:rFonts w:cs="Arial"/>
          <w:b/>
          <w:sz w:val="24"/>
          <w:szCs w:val="24"/>
        </w:rPr>
        <w:tab/>
      </w:r>
      <w:r>
        <w:rPr>
          <w:rFonts w:cs="Arial"/>
          <w:b/>
          <w:sz w:val="24"/>
          <w:szCs w:val="24"/>
        </w:rPr>
        <w:tab/>
      </w:r>
      <w:r w:rsidRPr="00FA702C">
        <w:rPr>
          <w:rFonts w:cs="Arial"/>
          <w:b/>
          <w:sz w:val="24"/>
          <w:szCs w:val="24"/>
        </w:rPr>
        <w:tab/>
      </w:r>
      <w:r>
        <w:rPr>
          <w:rFonts w:cs="Arial"/>
          <w:b/>
          <w:sz w:val="24"/>
          <w:szCs w:val="24"/>
        </w:rPr>
        <w:tab/>
      </w:r>
      <w:r>
        <w:rPr>
          <w:rFonts w:cs="Arial"/>
          <w:b/>
          <w:sz w:val="24"/>
          <w:szCs w:val="24"/>
        </w:rPr>
        <w:tab/>
      </w:r>
      <w:r>
        <w:rPr>
          <w:rFonts w:cs="Arial"/>
          <w:b/>
          <w:sz w:val="24"/>
          <w:szCs w:val="24"/>
        </w:rPr>
        <w:tab/>
      </w:r>
      <w:r w:rsidRPr="00FA702C">
        <w:rPr>
          <w:rFonts w:cs="Arial"/>
          <w:b/>
          <w:sz w:val="24"/>
          <w:szCs w:val="24"/>
        </w:rPr>
        <w:t>Attorneys for Industrial Energy Users-Ohio</w:t>
      </w:r>
    </w:p>
    <w:p w:rsidR="000F29CE" w:rsidRDefault="000F29CE" w:rsidP="00050537">
      <w:pPr>
        <w:spacing w:line="480" w:lineRule="auto"/>
        <w:jc w:val="both"/>
        <w:rPr>
          <w:rFonts w:cs="Arial"/>
          <w:sz w:val="24"/>
          <w:szCs w:val="24"/>
        </w:rPr>
        <w:sectPr w:rsidR="000F29CE" w:rsidSect="002107C6">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005A0511" w:rsidRDefault="005A0511" w:rsidP="005A0511">
      <w:pPr>
        <w:jc w:val="center"/>
        <w:rPr>
          <w:rFonts w:cs="Arial"/>
          <w:b/>
          <w:sz w:val="24"/>
          <w:szCs w:val="24"/>
          <w:u w:val="single"/>
        </w:rPr>
      </w:pPr>
      <w:bookmarkStart w:id="1" w:name="_Toc385406742"/>
      <w:bookmarkStart w:id="2" w:name="_Toc381606702"/>
      <w:r>
        <w:rPr>
          <w:rFonts w:cs="Arial"/>
          <w:b/>
          <w:sz w:val="24"/>
          <w:szCs w:val="24"/>
          <w:u w:val="single"/>
        </w:rPr>
        <w:lastRenderedPageBreak/>
        <w:t>CERTIFICATE OF SERVICE</w:t>
      </w:r>
    </w:p>
    <w:bookmarkEnd w:id="1"/>
    <w:bookmarkEnd w:id="2"/>
    <w:p w:rsidR="005A0511" w:rsidRPr="00713A8E" w:rsidRDefault="005A0511" w:rsidP="005A0511">
      <w:pPr>
        <w:pStyle w:val="BodyText"/>
        <w:spacing w:line="480" w:lineRule="auto"/>
        <w:ind w:firstLine="720"/>
        <w:rPr>
          <w:smallCaps w:val="0"/>
        </w:rPr>
      </w:pPr>
    </w:p>
    <w:p w:rsidR="005A0511" w:rsidRPr="00713A8E" w:rsidRDefault="005A0511" w:rsidP="005A0511">
      <w:pPr>
        <w:pStyle w:val="BodyText"/>
        <w:spacing w:line="480" w:lineRule="auto"/>
        <w:ind w:firstLine="720"/>
        <w:rPr>
          <w:b w:val="0"/>
          <w:smallCaps w:val="0"/>
        </w:rPr>
      </w:pPr>
      <w:r w:rsidRPr="00713A8E">
        <w:rPr>
          <w:b w:val="0"/>
          <w:smallCaps w:val="0"/>
          <w:sz w:val="24"/>
          <w:szCs w:val="24"/>
        </w:rPr>
        <w:t xml:space="preserve">I hereby certify that a copy of the foregoing </w:t>
      </w:r>
      <w:r>
        <w:rPr>
          <w:b w:val="0"/>
          <w:i/>
          <w:smallCaps w:val="0"/>
          <w:sz w:val="24"/>
          <w:szCs w:val="24"/>
        </w:rPr>
        <w:t>Objections of Industrial Energy Users-Ohio</w:t>
      </w:r>
      <w:r>
        <w:rPr>
          <w:b w:val="0"/>
          <w:smallCaps w:val="0"/>
          <w:sz w:val="24"/>
          <w:szCs w:val="24"/>
        </w:rPr>
        <w:t xml:space="preserve"> </w:t>
      </w:r>
      <w:r w:rsidRPr="00713A8E">
        <w:rPr>
          <w:b w:val="0"/>
          <w:smallCaps w:val="0"/>
          <w:sz w:val="24"/>
          <w:szCs w:val="24"/>
        </w:rPr>
        <w:t xml:space="preserve">was served upon the following parties of record this </w:t>
      </w:r>
      <w:r>
        <w:rPr>
          <w:b w:val="0"/>
          <w:smallCaps w:val="0"/>
          <w:sz w:val="24"/>
          <w:szCs w:val="24"/>
        </w:rPr>
        <w:t>4th</w:t>
      </w:r>
      <w:r w:rsidRPr="00713A8E">
        <w:rPr>
          <w:b w:val="0"/>
          <w:smallCaps w:val="0"/>
          <w:sz w:val="24"/>
          <w:szCs w:val="24"/>
        </w:rPr>
        <w:t xml:space="preserve"> day of </w:t>
      </w:r>
      <w:r>
        <w:rPr>
          <w:b w:val="0"/>
          <w:smallCaps w:val="0"/>
          <w:sz w:val="24"/>
          <w:szCs w:val="24"/>
        </w:rPr>
        <w:t xml:space="preserve">February </w:t>
      </w:r>
      <w:r w:rsidRPr="00713A8E">
        <w:rPr>
          <w:b w:val="0"/>
          <w:smallCaps w:val="0"/>
          <w:sz w:val="24"/>
          <w:szCs w:val="24"/>
        </w:rPr>
        <w:t xml:space="preserve">2014, </w:t>
      </w:r>
      <w:r w:rsidRPr="00713A8E">
        <w:rPr>
          <w:b w:val="0"/>
          <w:i/>
          <w:smallCaps w:val="0"/>
          <w:sz w:val="24"/>
          <w:szCs w:val="24"/>
        </w:rPr>
        <w:t>via</w:t>
      </w:r>
      <w:r w:rsidRPr="00713A8E">
        <w:rPr>
          <w:b w:val="0"/>
          <w:smallCaps w:val="0"/>
          <w:sz w:val="24"/>
          <w:szCs w:val="24"/>
        </w:rPr>
        <w:t xml:space="preserve"> electronic transmission, hand-delivery or first class U.S. mail, postage prepaid.</w:t>
      </w:r>
    </w:p>
    <w:p w:rsidR="005A0511" w:rsidRPr="00713A8E" w:rsidRDefault="0009021E" w:rsidP="005A0511">
      <w:pPr>
        <w:tabs>
          <w:tab w:val="left" w:pos="-1440"/>
          <w:tab w:val="left" w:pos="-720"/>
          <w:tab w:val="left" w:pos="5040"/>
          <w:tab w:val="center" w:pos="7200"/>
          <w:tab w:val="right" w:pos="9360"/>
        </w:tabs>
        <w:ind w:firstLine="5040"/>
        <w:jc w:val="both"/>
        <w:rPr>
          <w:rFonts w:cs="Arial"/>
        </w:rPr>
      </w:pPr>
      <w:r>
        <w:rPr>
          <w:rFonts w:cs="Arial"/>
          <w:sz w:val="24"/>
          <w:szCs w:val="24"/>
          <w:u w:val="single"/>
        </w:rPr>
        <w:t>/s/ Joseph E. Oliker</w:t>
      </w:r>
      <w:r w:rsidR="005A0511" w:rsidRPr="00713A8E">
        <w:rPr>
          <w:rFonts w:cs="Arial"/>
          <w:u w:val="single"/>
        </w:rPr>
        <w:tab/>
      </w:r>
      <w:r w:rsidR="005A0511" w:rsidRPr="00713A8E">
        <w:rPr>
          <w:rFonts w:cs="Arial"/>
          <w:u w:val="single"/>
        </w:rPr>
        <w:tab/>
      </w:r>
    </w:p>
    <w:p w:rsidR="000D1F7F" w:rsidRDefault="005A0511" w:rsidP="000D1F7F">
      <w:pPr>
        <w:tabs>
          <w:tab w:val="left" w:pos="2160"/>
          <w:tab w:val="left" w:pos="2280"/>
        </w:tabs>
        <w:jc w:val="both"/>
        <w:rPr>
          <w:rFonts w:cs="Arial"/>
          <w:sz w:val="24"/>
          <w:szCs w:val="24"/>
        </w:rPr>
      </w:pPr>
      <w:r w:rsidRPr="00713A8E">
        <w:rPr>
          <w:rFonts w:cs="Arial"/>
        </w:rPr>
        <w:tab/>
      </w:r>
      <w:r w:rsidRPr="00713A8E">
        <w:rPr>
          <w:rFonts w:cs="Arial"/>
        </w:rPr>
        <w:tab/>
      </w:r>
      <w:r>
        <w:rPr>
          <w:rFonts w:cs="Arial"/>
        </w:rPr>
        <w:tab/>
      </w:r>
      <w:r>
        <w:rPr>
          <w:rFonts w:cs="Arial"/>
        </w:rPr>
        <w:tab/>
      </w:r>
      <w:r>
        <w:rPr>
          <w:rFonts w:cs="Arial"/>
        </w:rPr>
        <w:tab/>
      </w:r>
      <w:r>
        <w:rPr>
          <w:rFonts w:cs="Arial"/>
        </w:rPr>
        <w:tab/>
      </w:r>
      <w:r>
        <w:rPr>
          <w:rFonts w:cs="Arial"/>
          <w:sz w:val="24"/>
          <w:szCs w:val="24"/>
        </w:rPr>
        <w:t>Joseph E. Oliker</w:t>
      </w:r>
    </w:p>
    <w:p w:rsidR="000D1F7F" w:rsidRDefault="000D1F7F" w:rsidP="000D1F7F">
      <w:pPr>
        <w:tabs>
          <w:tab w:val="left" w:pos="2160"/>
          <w:tab w:val="left" w:pos="2280"/>
        </w:tabs>
        <w:jc w:val="both"/>
        <w:rPr>
          <w:rFonts w:cs="Arial"/>
          <w:sz w:val="24"/>
          <w:szCs w:val="24"/>
        </w:rPr>
        <w:sectPr w:rsidR="000D1F7F" w:rsidSect="00C0405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0D1F7F" w:rsidRDefault="000D1F7F" w:rsidP="005A0511">
      <w:pPr>
        <w:autoSpaceDE w:val="0"/>
        <w:autoSpaceDN w:val="0"/>
        <w:adjustRightInd w:val="0"/>
        <w:snapToGrid w:val="0"/>
        <w:rPr>
          <w:rFonts w:eastAsia="Times New Roman" w:cs="Arial"/>
          <w:color w:val="000000"/>
          <w:sz w:val="24"/>
          <w:szCs w:val="24"/>
        </w:rPr>
      </w:pP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Judi L. Sobecki</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The Dayton Power &amp; Light Company</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1065 Woodman Drive</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Dayton, Ohio  45432</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Judi.sobecki@dplinc.com</w:t>
      </w:r>
    </w:p>
    <w:p w:rsidR="005A0511" w:rsidRDefault="005A0511" w:rsidP="005A0511">
      <w:pPr>
        <w:autoSpaceDE w:val="0"/>
        <w:autoSpaceDN w:val="0"/>
        <w:adjustRightInd w:val="0"/>
        <w:snapToGrid w:val="0"/>
        <w:rPr>
          <w:rFonts w:eastAsia="Times New Roman" w:cs="Arial"/>
          <w:color w:val="000000"/>
          <w:sz w:val="24"/>
          <w:szCs w:val="24"/>
        </w:rPr>
      </w:pP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Charles J. Faruki</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Jeffrey S. Sharkey</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Faruki Ireland &amp; Cox P.L.L.</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500 Courthouse Plaza, S.W.</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10 North Ludlow Street</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Dayton, Ohio  45402</w:t>
      </w:r>
    </w:p>
    <w:p w:rsidR="005A0511" w:rsidRDefault="005A0511" w:rsidP="005A0511">
      <w:pPr>
        <w:autoSpaceDE w:val="0"/>
        <w:autoSpaceDN w:val="0"/>
        <w:adjustRightInd w:val="0"/>
        <w:snapToGrid w:val="0"/>
        <w:rPr>
          <w:rFonts w:eastAsia="Times New Roman" w:cs="Arial"/>
          <w:color w:val="000000"/>
          <w:sz w:val="24"/>
          <w:szCs w:val="24"/>
        </w:rPr>
      </w:pPr>
      <w:r>
        <w:rPr>
          <w:rFonts w:eastAsia="Times New Roman" w:cs="Arial"/>
          <w:color w:val="000000"/>
          <w:sz w:val="24"/>
          <w:szCs w:val="24"/>
        </w:rPr>
        <w:t>cfaruki@ficlaw.com</w:t>
      </w:r>
    </w:p>
    <w:p w:rsidR="005A0511" w:rsidRDefault="005A0511" w:rsidP="005A0511">
      <w:pPr>
        <w:autoSpaceDE w:val="0"/>
        <w:autoSpaceDN w:val="0"/>
        <w:adjustRightInd w:val="0"/>
        <w:snapToGrid w:val="0"/>
        <w:rPr>
          <w:rFonts w:eastAsia="Times New Roman" w:cs="Arial"/>
          <w:color w:val="000000"/>
          <w:sz w:val="24"/>
          <w:szCs w:val="24"/>
        </w:rPr>
      </w:pPr>
    </w:p>
    <w:p w:rsidR="005A0511" w:rsidRDefault="005A0511" w:rsidP="005A0511">
      <w:pPr>
        <w:autoSpaceDE w:val="0"/>
        <w:autoSpaceDN w:val="0"/>
        <w:adjustRightInd w:val="0"/>
        <w:snapToGrid w:val="0"/>
        <w:rPr>
          <w:rFonts w:ascii="Arial Bold" w:eastAsia="Times New Roman" w:hAnsi="Arial Bold" w:cs="Arial"/>
          <w:b/>
          <w:smallCaps/>
          <w:color w:val="000000"/>
          <w:sz w:val="24"/>
          <w:szCs w:val="24"/>
        </w:rPr>
      </w:pPr>
      <w:r w:rsidRPr="00713A8E">
        <w:rPr>
          <w:rFonts w:ascii="Arial Bold" w:eastAsia="Times New Roman" w:hAnsi="Arial Bold" w:cs="Arial"/>
          <w:b/>
          <w:smallCaps/>
          <w:color w:val="000000"/>
          <w:sz w:val="24"/>
          <w:szCs w:val="24"/>
        </w:rPr>
        <w:t>On Behalf</w:t>
      </w:r>
      <w:r>
        <w:rPr>
          <w:rFonts w:ascii="Arial Bold" w:eastAsia="Times New Roman" w:hAnsi="Arial Bold" w:cs="Arial"/>
          <w:b/>
          <w:smallCaps/>
          <w:color w:val="000000"/>
          <w:sz w:val="24"/>
          <w:szCs w:val="24"/>
        </w:rPr>
        <w:t xml:space="preserve"> of The Dayton Power and Light Company</w:t>
      </w:r>
    </w:p>
    <w:p w:rsidR="000D1F7F" w:rsidRDefault="000D1F7F" w:rsidP="000D1F7F">
      <w:pPr>
        <w:autoSpaceDE w:val="0"/>
        <w:autoSpaceDN w:val="0"/>
        <w:adjustRightInd w:val="0"/>
        <w:snapToGrid w:val="0"/>
        <w:rPr>
          <w:rFonts w:ascii="TimesNewRomanPS-ItalicMT" w:eastAsia="Times New Roman" w:hAnsi="TimesNewRomanPS-ItalicMT" w:cs="TimesNewRomanPS-ItalicMT"/>
          <w:color w:val="000000"/>
          <w:sz w:val="24"/>
          <w:szCs w:val="24"/>
        </w:rPr>
      </w:pPr>
    </w:p>
    <w:p w:rsidR="000D1F7F" w:rsidRPr="000D1F7F" w:rsidRDefault="000D1F7F" w:rsidP="000D1F7F">
      <w:pPr>
        <w:autoSpaceDE w:val="0"/>
        <w:autoSpaceDN w:val="0"/>
        <w:adjustRightInd w:val="0"/>
        <w:snapToGrid w:val="0"/>
        <w:rPr>
          <w:rFonts w:eastAsia="Times New Roman" w:cs="Arial"/>
          <w:color w:val="000000"/>
          <w:sz w:val="24"/>
          <w:szCs w:val="24"/>
        </w:rPr>
      </w:pPr>
      <w:r w:rsidRPr="000D1F7F">
        <w:rPr>
          <w:rFonts w:eastAsia="Times New Roman" w:cs="Arial"/>
          <w:color w:val="000000"/>
          <w:sz w:val="24"/>
          <w:szCs w:val="24"/>
        </w:rPr>
        <w:t>Bruce J. Weston</w:t>
      </w:r>
    </w:p>
    <w:p w:rsidR="000D1F7F" w:rsidRPr="000D1F7F" w:rsidRDefault="000D1F7F" w:rsidP="000D1F7F">
      <w:pPr>
        <w:autoSpaceDE w:val="0"/>
        <w:autoSpaceDN w:val="0"/>
        <w:adjustRightInd w:val="0"/>
        <w:snapToGrid w:val="0"/>
        <w:rPr>
          <w:rFonts w:eastAsia="Times New Roman" w:cs="Arial"/>
          <w:color w:val="000000"/>
          <w:sz w:val="24"/>
          <w:szCs w:val="24"/>
        </w:rPr>
      </w:pPr>
      <w:r w:rsidRPr="000D1F7F">
        <w:rPr>
          <w:rFonts w:eastAsia="Times New Roman" w:cs="Arial"/>
          <w:color w:val="000000"/>
          <w:sz w:val="24"/>
          <w:szCs w:val="24"/>
        </w:rPr>
        <w:t>Ohio Consumers' Counsel</w:t>
      </w:r>
    </w:p>
    <w:p w:rsidR="000D1F7F" w:rsidRPr="000D1F7F" w:rsidRDefault="000D1F7F" w:rsidP="000D1F7F">
      <w:pPr>
        <w:autoSpaceDE w:val="0"/>
        <w:autoSpaceDN w:val="0"/>
        <w:adjustRightInd w:val="0"/>
        <w:snapToGrid w:val="0"/>
        <w:rPr>
          <w:rFonts w:eastAsia="Times New Roman" w:cs="Arial"/>
          <w:color w:val="000000"/>
          <w:sz w:val="24"/>
          <w:szCs w:val="24"/>
          <w:lang w:val="x-none"/>
        </w:rPr>
      </w:pPr>
      <w:r w:rsidRPr="000D1F7F">
        <w:rPr>
          <w:rFonts w:eastAsia="Times New Roman" w:cs="Arial"/>
          <w:color w:val="000000"/>
          <w:sz w:val="24"/>
          <w:szCs w:val="24"/>
          <w:lang w:val="x-none"/>
        </w:rPr>
        <w:t>Edmund Berger, Counsel of Record</w:t>
      </w:r>
    </w:p>
    <w:p w:rsidR="000D1F7F" w:rsidRPr="000D1F7F" w:rsidRDefault="000D1F7F" w:rsidP="000D1F7F">
      <w:pPr>
        <w:autoSpaceDE w:val="0"/>
        <w:autoSpaceDN w:val="0"/>
        <w:adjustRightInd w:val="0"/>
        <w:snapToGrid w:val="0"/>
        <w:rPr>
          <w:rFonts w:eastAsia="Times New Roman" w:cs="Arial"/>
          <w:color w:val="000000"/>
          <w:sz w:val="24"/>
          <w:szCs w:val="24"/>
          <w:lang w:val="x-none"/>
        </w:rPr>
      </w:pPr>
      <w:r w:rsidRPr="000D1F7F">
        <w:rPr>
          <w:rFonts w:eastAsia="Times New Roman" w:cs="Arial"/>
          <w:color w:val="000000"/>
          <w:sz w:val="24"/>
          <w:szCs w:val="24"/>
          <w:lang w:val="x-none"/>
        </w:rPr>
        <w:t>Maureen R. Grady</w:t>
      </w:r>
    </w:p>
    <w:p w:rsidR="000D1F7F" w:rsidRPr="000D1F7F" w:rsidRDefault="000D1F7F" w:rsidP="000D1F7F">
      <w:pPr>
        <w:autoSpaceDE w:val="0"/>
        <w:autoSpaceDN w:val="0"/>
        <w:adjustRightInd w:val="0"/>
        <w:snapToGrid w:val="0"/>
        <w:rPr>
          <w:rFonts w:eastAsia="Times New Roman" w:cs="Arial"/>
          <w:color w:val="000000"/>
          <w:sz w:val="24"/>
          <w:szCs w:val="24"/>
          <w:lang w:val="x-none"/>
        </w:rPr>
      </w:pPr>
      <w:r w:rsidRPr="000D1F7F">
        <w:rPr>
          <w:rFonts w:eastAsia="Times New Roman" w:cs="Arial"/>
          <w:color w:val="000000"/>
          <w:sz w:val="24"/>
          <w:szCs w:val="24"/>
          <w:lang w:val="x-none"/>
        </w:rPr>
        <w:t>Assistant Consumers’ Counsel</w:t>
      </w:r>
    </w:p>
    <w:p w:rsidR="000D1F7F" w:rsidRPr="000D1F7F" w:rsidRDefault="000D1F7F" w:rsidP="000D1F7F">
      <w:pPr>
        <w:autoSpaceDE w:val="0"/>
        <w:autoSpaceDN w:val="0"/>
        <w:adjustRightInd w:val="0"/>
        <w:snapToGrid w:val="0"/>
        <w:rPr>
          <w:rFonts w:eastAsia="Times New Roman" w:cs="Arial"/>
          <w:color w:val="000000"/>
          <w:sz w:val="24"/>
          <w:szCs w:val="24"/>
          <w:lang w:val="x-none"/>
        </w:rPr>
      </w:pPr>
      <w:r w:rsidRPr="000D1F7F">
        <w:rPr>
          <w:rFonts w:eastAsia="Times New Roman" w:cs="Arial"/>
          <w:color w:val="000000"/>
          <w:sz w:val="24"/>
          <w:szCs w:val="24"/>
          <w:lang w:val="x-none"/>
        </w:rPr>
        <w:t>Office of the Ohio Consumers’ Counsel</w:t>
      </w:r>
    </w:p>
    <w:p w:rsidR="000D1F7F" w:rsidRPr="000D1F7F" w:rsidRDefault="000D1F7F" w:rsidP="000D1F7F">
      <w:pPr>
        <w:autoSpaceDE w:val="0"/>
        <w:autoSpaceDN w:val="0"/>
        <w:adjustRightInd w:val="0"/>
        <w:snapToGrid w:val="0"/>
        <w:rPr>
          <w:rFonts w:eastAsia="Times New Roman" w:cs="Arial"/>
          <w:color w:val="000000"/>
          <w:sz w:val="24"/>
          <w:szCs w:val="24"/>
          <w:lang w:val="x-none"/>
        </w:rPr>
      </w:pPr>
      <w:r w:rsidRPr="000D1F7F">
        <w:rPr>
          <w:rFonts w:eastAsia="Times New Roman" w:cs="Arial"/>
          <w:color w:val="000000"/>
          <w:sz w:val="24"/>
          <w:szCs w:val="24"/>
          <w:lang w:val="x-none"/>
        </w:rPr>
        <w:t>10 West Broad Street, Suite 1800</w:t>
      </w:r>
    </w:p>
    <w:p w:rsidR="000D1F7F" w:rsidRPr="000D1F7F" w:rsidRDefault="000D1F7F" w:rsidP="000D1F7F">
      <w:pPr>
        <w:autoSpaceDE w:val="0"/>
        <w:autoSpaceDN w:val="0"/>
        <w:adjustRightInd w:val="0"/>
        <w:snapToGrid w:val="0"/>
        <w:rPr>
          <w:rFonts w:eastAsia="Times New Roman" w:cs="Arial"/>
          <w:sz w:val="24"/>
          <w:szCs w:val="24"/>
          <w:lang w:val="x-none"/>
        </w:rPr>
      </w:pPr>
      <w:r w:rsidRPr="000D1F7F">
        <w:rPr>
          <w:rFonts w:eastAsia="Times New Roman" w:cs="Arial"/>
          <w:sz w:val="24"/>
          <w:szCs w:val="24"/>
          <w:lang w:val="x-none"/>
        </w:rPr>
        <w:t>Columbus, Ohio 43215-3485</w:t>
      </w:r>
    </w:p>
    <w:p w:rsidR="000D1F7F" w:rsidRPr="000D1F7F" w:rsidRDefault="000D1F7F" w:rsidP="000D1F7F">
      <w:pPr>
        <w:autoSpaceDE w:val="0"/>
        <w:autoSpaceDN w:val="0"/>
        <w:adjustRightInd w:val="0"/>
        <w:snapToGrid w:val="0"/>
        <w:rPr>
          <w:rFonts w:eastAsia="Times New Roman" w:cs="Arial"/>
          <w:sz w:val="24"/>
          <w:szCs w:val="24"/>
          <w:lang w:val="x-none"/>
        </w:rPr>
      </w:pPr>
      <w:r w:rsidRPr="000D1F7F">
        <w:rPr>
          <w:rFonts w:eastAsia="Times New Roman" w:cs="Arial"/>
          <w:sz w:val="24"/>
          <w:szCs w:val="24"/>
          <w:lang w:val="x-none"/>
        </w:rPr>
        <w:t>edmund.berger@occ.ohio.gov</w:t>
      </w:r>
    </w:p>
    <w:p w:rsidR="000D1F7F" w:rsidRPr="000D1F7F" w:rsidRDefault="000D1F7F" w:rsidP="000D1F7F">
      <w:pPr>
        <w:autoSpaceDE w:val="0"/>
        <w:autoSpaceDN w:val="0"/>
        <w:adjustRightInd w:val="0"/>
        <w:snapToGrid w:val="0"/>
        <w:rPr>
          <w:rFonts w:eastAsia="Times New Roman" w:cs="Arial"/>
          <w:sz w:val="24"/>
          <w:szCs w:val="24"/>
          <w:lang w:val="x-none"/>
        </w:rPr>
      </w:pPr>
      <w:r w:rsidRPr="000D1F7F">
        <w:rPr>
          <w:rFonts w:eastAsia="Times New Roman" w:cs="Arial"/>
          <w:sz w:val="24"/>
          <w:szCs w:val="24"/>
          <w:lang w:val="x-none"/>
        </w:rPr>
        <w:t>maureen.grady@occ.ohio.gov</w:t>
      </w:r>
    </w:p>
    <w:p w:rsidR="005A0511" w:rsidRDefault="005A0511" w:rsidP="000D1F7F">
      <w:pPr>
        <w:jc w:val="both"/>
        <w:rPr>
          <w:rFonts w:cs="Arial"/>
          <w:sz w:val="24"/>
          <w:szCs w:val="24"/>
        </w:rPr>
      </w:pPr>
    </w:p>
    <w:p w:rsidR="000D1F7F" w:rsidRDefault="000D1F7F" w:rsidP="00C11646">
      <w:pPr>
        <w:rPr>
          <w:rFonts w:ascii="Arial Bold" w:eastAsia="Times New Roman" w:hAnsi="Arial Bold" w:cs="Arial"/>
          <w:b/>
          <w:smallCaps/>
          <w:color w:val="000000"/>
          <w:sz w:val="24"/>
          <w:szCs w:val="24"/>
        </w:rPr>
      </w:pPr>
      <w:r w:rsidRPr="00713A8E">
        <w:rPr>
          <w:rFonts w:ascii="Arial Bold" w:eastAsia="Times New Roman" w:hAnsi="Arial Bold" w:cs="Arial"/>
          <w:b/>
          <w:smallCaps/>
          <w:color w:val="000000"/>
          <w:sz w:val="24"/>
          <w:szCs w:val="24"/>
        </w:rPr>
        <w:t>On Behalf</w:t>
      </w:r>
      <w:r>
        <w:rPr>
          <w:rFonts w:ascii="Arial Bold" w:eastAsia="Times New Roman" w:hAnsi="Arial Bold" w:cs="Arial"/>
          <w:b/>
          <w:smallCaps/>
          <w:color w:val="000000"/>
          <w:sz w:val="24"/>
          <w:szCs w:val="24"/>
        </w:rPr>
        <w:t xml:space="preserve"> of the Office of the Ohio Consumers' Counsel</w:t>
      </w:r>
      <w:r w:rsidR="009C7C09">
        <w:rPr>
          <w:rFonts w:ascii="Arial Bold" w:eastAsia="Times New Roman" w:hAnsi="Arial Bold" w:cs="Arial"/>
          <w:b/>
          <w:smallCaps/>
          <w:color w:val="000000"/>
          <w:sz w:val="24"/>
          <w:szCs w:val="24"/>
        </w:rPr>
        <w:br w:type="column"/>
      </w:r>
    </w:p>
    <w:p w:rsidR="009C7C09" w:rsidRDefault="009C7C09" w:rsidP="009C7C09">
      <w:pPr>
        <w:rPr>
          <w:rFonts w:eastAsia="Times New Roman" w:cs="Arial"/>
          <w:color w:val="000000"/>
          <w:sz w:val="24"/>
          <w:szCs w:val="24"/>
        </w:rPr>
      </w:pPr>
      <w:r>
        <w:rPr>
          <w:rFonts w:eastAsia="Times New Roman" w:cs="Arial"/>
          <w:color w:val="000000"/>
          <w:sz w:val="24"/>
          <w:szCs w:val="24"/>
        </w:rPr>
        <w:t>Bryce A. McKenney</w:t>
      </w:r>
    </w:p>
    <w:p w:rsidR="009C7C09" w:rsidRDefault="009C7C09" w:rsidP="009C7C09">
      <w:pPr>
        <w:rPr>
          <w:rFonts w:eastAsia="Times New Roman" w:cs="Arial"/>
          <w:color w:val="000000"/>
          <w:sz w:val="24"/>
          <w:szCs w:val="24"/>
        </w:rPr>
      </w:pPr>
      <w:r>
        <w:rPr>
          <w:rFonts w:eastAsia="Times New Roman" w:cs="Arial"/>
          <w:color w:val="000000"/>
          <w:sz w:val="24"/>
          <w:szCs w:val="24"/>
        </w:rPr>
        <w:t>Attorney Examiner</w:t>
      </w:r>
    </w:p>
    <w:p w:rsidR="009C7C09" w:rsidRDefault="009C7C09" w:rsidP="009C7C09">
      <w:pPr>
        <w:rPr>
          <w:rFonts w:eastAsia="Times New Roman" w:cs="Arial"/>
          <w:color w:val="000000"/>
          <w:sz w:val="24"/>
          <w:szCs w:val="24"/>
        </w:rPr>
      </w:pPr>
      <w:r>
        <w:rPr>
          <w:rFonts w:eastAsia="Times New Roman" w:cs="Arial"/>
          <w:color w:val="000000"/>
          <w:sz w:val="24"/>
          <w:szCs w:val="24"/>
        </w:rPr>
        <w:t>Public Utilities Commission of Ohio</w:t>
      </w:r>
    </w:p>
    <w:p w:rsidR="009C7C09" w:rsidRDefault="009C7C09" w:rsidP="009C7C09">
      <w:pPr>
        <w:rPr>
          <w:rFonts w:eastAsia="Times New Roman" w:cs="Arial"/>
          <w:color w:val="000000"/>
          <w:sz w:val="24"/>
          <w:szCs w:val="24"/>
        </w:rPr>
      </w:pPr>
      <w:r>
        <w:rPr>
          <w:rFonts w:eastAsia="Times New Roman" w:cs="Arial"/>
          <w:color w:val="000000"/>
          <w:sz w:val="24"/>
          <w:szCs w:val="24"/>
        </w:rPr>
        <w:t>180 East Broad Street</w:t>
      </w:r>
    </w:p>
    <w:p w:rsidR="009C7C09" w:rsidRDefault="009C7C09" w:rsidP="009C7C09">
      <w:pPr>
        <w:rPr>
          <w:rFonts w:eastAsia="Times New Roman" w:cs="Arial"/>
          <w:color w:val="000000"/>
          <w:sz w:val="24"/>
          <w:szCs w:val="24"/>
        </w:rPr>
      </w:pPr>
      <w:r>
        <w:rPr>
          <w:rFonts w:eastAsia="Times New Roman" w:cs="Arial"/>
          <w:color w:val="000000"/>
          <w:sz w:val="24"/>
          <w:szCs w:val="24"/>
        </w:rPr>
        <w:t>Columbus, Ohio  43215</w:t>
      </w:r>
    </w:p>
    <w:p w:rsidR="0009021E" w:rsidRDefault="0009021E" w:rsidP="0009021E">
      <w:pPr>
        <w:rPr>
          <w:rFonts w:ascii="Arial Bold" w:hAnsi="Arial Bold" w:cs="Arial"/>
          <w:b/>
          <w:smallCaps/>
          <w:color w:val="000000"/>
          <w:sz w:val="22"/>
          <w:szCs w:val="22"/>
        </w:rPr>
      </w:pPr>
    </w:p>
    <w:p w:rsidR="0009021E" w:rsidRPr="0009021E" w:rsidRDefault="0009021E" w:rsidP="0009021E">
      <w:pPr>
        <w:rPr>
          <w:rFonts w:ascii="Arial Bold" w:hAnsi="Arial Bold" w:cs="Arial"/>
          <w:b/>
          <w:smallCaps/>
          <w:color w:val="000000"/>
          <w:sz w:val="24"/>
          <w:szCs w:val="24"/>
        </w:rPr>
      </w:pPr>
      <w:r w:rsidRPr="0009021E">
        <w:rPr>
          <w:rFonts w:ascii="Arial Bold" w:hAnsi="Arial Bold" w:cs="Arial"/>
          <w:b/>
          <w:smallCaps/>
          <w:color w:val="000000"/>
          <w:sz w:val="24"/>
          <w:szCs w:val="24"/>
        </w:rPr>
        <w:t>Attorney Examiner</w:t>
      </w:r>
    </w:p>
    <w:p w:rsidR="009C7C09" w:rsidRDefault="009C7C09" w:rsidP="000D1F7F">
      <w:pPr>
        <w:jc w:val="both"/>
        <w:rPr>
          <w:rFonts w:cs="Arial"/>
          <w:sz w:val="24"/>
          <w:szCs w:val="24"/>
        </w:rPr>
      </w:pPr>
    </w:p>
    <w:sectPr w:rsidR="009C7C09" w:rsidSect="000D1F7F">
      <w:headerReference w:type="default" r:id="rId24"/>
      <w:footerReference w:type="default" r:id="rId25"/>
      <w:headerReference w:type="first" r:id="rId26"/>
      <w:footerReference w:type="first" r:id="rId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32" w:rsidRDefault="00993332" w:rsidP="008A3BEF">
      <w:r>
        <w:separator/>
      </w:r>
    </w:p>
  </w:endnote>
  <w:endnote w:type="continuationSeparator" w:id="0">
    <w:p w:rsidR="00993332" w:rsidRDefault="00993332" w:rsidP="008A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Pr="00D10388" w:rsidRDefault="002107C6">
    <w:pPr>
      <w:pStyle w:val="Footer"/>
    </w:pPr>
    <w:r w:rsidRPr="002107C6">
      <w:rPr>
        <w:noProof/>
        <w:sz w:val="16"/>
      </w:rPr>
      <w:t>{C42717: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FD0302" w:rsidRDefault="002107C6" w:rsidP="00683BF1">
    <w:pPr>
      <w:pStyle w:val="Footer"/>
    </w:pPr>
    <w:r w:rsidRPr="002107C6">
      <w:rPr>
        <w:noProof/>
        <w:sz w:val="16"/>
      </w:rPr>
      <w:t>{C42717: }</w:t>
    </w:r>
    <w:sdt>
      <w:sdtPr>
        <w:id w:val="1617405602"/>
        <w:docPartObj>
          <w:docPartGallery w:val="Page Numbers (Bottom of Page)"/>
          <w:docPartUnique/>
        </w:docPartObj>
      </w:sdtPr>
      <w:sdtEndPr>
        <w:rPr>
          <w:noProof/>
        </w:rPr>
      </w:sdtEndPr>
      <w:sdtContent>
        <w:r w:rsidR="008A3BEF">
          <w:tab/>
        </w:r>
        <w:r w:rsidR="008A3BEF" w:rsidRPr="00FD0302">
          <w:fldChar w:fldCharType="begin"/>
        </w:r>
        <w:r w:rsidR="008A3BEF" w:rsidRPr="00FD0302">
          <w:instrText xml:space="preserve"> PAGE   \* MERGEFORMAT </w:instrText>
        </w:r>
        <w:r w:rsidR="008A3BEF" w:rsidRPr="00FD0302">
          <w:fldChar w:fldCharType="separate"/>
        </w:r>
        <w:r>
          <w:rPr>
            <w:noProof/>
          </w:rPr>
          <w:t>3</w:t>
        </w:r>
        <w:r w:rsidR="008A3BEF" w:rsidRPr="00FD0302">
          <w:rPr>
            <w:noProof/>
          </w:rPr>
          <w:fldChar w:fldCharType="end"/>
        </w:r>
      </w:sdtContent>
    </w:sdt>
  </w:p>
  <w:p w:rsidR="00D30618" w:rsidRPr="00FD0302" w:rsidRDefault="00210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CA32B6" w:rsidRDefault="002107C6" w:rsidP="00776874">
    <w:pPr>
      <w:pStyle w:val="Footer"/>
    </w:pPr>
    <w:r w:rsidRPr="002107C6">
      <w:rPr>
        <w:noProof/>
        <w:sz w:val="16"/>
      </w:rPr>
      <w:t>{C42717: }</w:t>
    </w:r>
  </w:p>
  <w:p w:rsidR="00D30618" w:rsidRPr="00CA32B6" w:rsidRDefault="002107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Pr="00FD0302" w:rsidRDefault="002107C6" w:rsidP="00683BF1">
    <w:pPr>
      <w:pStyle w:val="Footer"/>
    </w:pPr>
    <w:r w:rsidRPr="002107C6">
      <w:rPr>
        <w:noProof/>
        <w:sz w:val="16"/>
      </w:rPr>
      <w:t>{C42717: }</w:t>
    </w:r>
    <w:sdt>
      <w:sdtPr>
        <w:id w:val="-2027171433"/>
        <w:docPartObj>
          <w:docPartGallery w:val="Page Numbers (Bottom of Page)"/>
          <w:docPartUnique/>
        </w:docPartObj>
      </w:sdtPr>
      <w:sdtEndPr>
        <w:rPr>
          <w:noProof/>
          <w:sz w:val="24"/>
          <w:szCs w:val="24"/>
        </w:rPr>
      </w:sdtEndPr>
      <w:sdtContent>
        <w:r>
          <w:tab/>
        </w:r>
        <w:r w:rsidRPr="002107C6">
          <w:rPr>
            <w:sz w:val="24"/>
            <w:szCs w:val="24"/>
          </w:rPr>
          <w:fldChar w:fldCharType="begin"/>
        </w:r>
        <w:r w:rsidRPr="002107C6">
          <w:rPr>
            <w:sz w:val="24"/>
            <w:szCs w:val="24"/>
          </w:rPr>
          <w:instrText xml:space="preserve"> PAGE   \* MERGEFORMAT </w:instrText>
        </w:r>
        <w:r w:rsidRPr="002107C6">
          <w:rPr>
            <w:sz w:val="24"/>
            <w:szCs w:val="24"/>
          </w:rPr>
          <w:fldChar w:fldCharType="separate"/>
        </w:r>
        <w:r>
          <w:rPr>
            <w:noProof/>
            <w:sz w:val="24"/>
            <w:szCs w:val="24"/>
          </w:rPr>
          <w:t>6</w:t>
        </w:r>
        <w:r w:rsidRPr="002107C6">
          <w:rPr>
            <w:noProof/>
            <w:sz w:val="24"/>
            <w:szCs w:val="24"/>
          </w:rPr>
          <w:fldChar w:fldCharType="end"/>
        </w:r>
      </w:sdtContent>
    </w:sdt>
  </w:p>
  <w:p w:rsidR="002107C6" w:rsidRPr="00FD0302" w:rsidRDefault="002107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Pr="002107C6" w:rsidRDefault="002107C6">
    <w:pPr>
      <w:pStyle w:val="Footer"/>
      <w:jc w:val="center"/>
    </w:pPr>
    <w:r w:rsidRPr="002107C6">
      <w:rPr>
        <w:noProof/>
        <w:sz w:val="16"/>
      </w:rPr>
      <w:t>{C42717: }</w:t>
    </w:r>
  </w:p>
  <w:p w:rsidR="002107C6" w:rsidRPr="002107C6" w:rsidRDefault="002107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Default="005A05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Pr="00D10388" w:rsidRDefault="002107C6">
    <w:pPr>
      <w:pStyle w:val="Footer"/>
    </w:pPr>
    <w:r w:rsidRPr="002107C6">
      <w:rPr>
        <w:noProof/>
        <w:sz w:val="16"/>
      </w:rPr>
      <w:t>{C42717: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Pr="00D10388" w:rsidRDefault="002107C6">
    <w:pPr>
      <w:pStyle w:val="Footer"/>
    </w:pPr>
    <w:r w:rsidRPr="002107C6">
      <w:rPr>
        <w:noProof/>
        <w:sz w:val="16"/>
      </w:rPr>
      <w:t>{C42717: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Pr="00D10388" w:rsidRDefault="002107C6">
    <w:pPr>
      <w:pStyle w:val="Footer"/>
    </w:pPr>
    <w:r w:rsidRPr="002107C6">
      <w:rPr>
        <w:noProof/>
        <w:sz w:val="16"/>
      </w:rPr>
      <w:t>{C42717: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32" w:rsidRDefault="00993332" w:rsidP="008A3BEF">
      <w:pPr>
        <w:rPr>
          <w:noProof/>
        </w:rPr>
      </w:pPr>
      <w:r>
        <w:rPr>
          <w:noProof/>
        </w:rPr>
        <w:separator/>
      </w:r>
    </w:p>
  </w:footnote>
  <w:footnote w:type="continuationSeparator" w:id="0">
    <w:p w:rsidR="00993332" w:rsidRDefault="00993332" w:rsidP="008A3BEF">
      <w:r>
        <w:continuationSeparator/>
      </w:r>
    </w:p>
  </w:footnote>
  <w:footnote w:id="1">
    <w:p w:rsidR="00F80AFB" w:rsidRDefault="00E44813" w:rsidP="00050537">
      <w:pPr>
        <w:pStyle w:val="FootnoteText"/>
        <w:spacing w:after="120"/>
        <w:jc w:val="both"/>
      </w:pPr>
      <w:r>
        <w:rPr>
          <w:rStyle w:val="FootnoteReference"/>
        </w:rPr>
        <w:footnoteRef/>
      </w:r>
      <w:r>
        <w:t xml:space="preserve"> </w:t>
      </w:r>
      <w:r w:rsidR="0043561E" w:rsidRPr="009D5867">
        <w:rPr>
          <w:rFonts w:cs="Arial"/>
          <w:i/>
          <w:color w:val="000000"/>
        </w:rPr>
        <w:t>In the Matter of the Application of the Dayton Power and Light Company to Transfer or Sell its Generation Assets, Case No. 13-2420-EL-UNC</w:t>
      </w:r>
      <w:r w:rsidR="009A7AD5" w:rsidRPr="009D5867">
        <w:rPr>
          <w:rFonts w:cs="Arial"/>
          <w:color w:val="000000"/>
        </w:rPr>
        <w:t>, Application (hereinafter “Asset Transfer Application”).</w:t>
      </w:r>
      <w:r w:rsidR="0043561E">
        <w:rPr>
          <w:rFonts w:cs="Arial"/>
          <w:color w:val="000000"/>
          <w:sz w:val="19"/>
          <w:szCs w:val="19"/>
        </w:rPr>
        <w:t xml:space="preserve">  </w:t>
      </w:r>
      <w:r>
        <w:t xml:space="preserve">The Asset Transfer Application is addressed in separate comments by </w:t>
      </w:r>
      <w:r w:rsidR="00050537">
        <w:t>Industrial Energy Users-Ohio ("</w:t>
      </w:r>
      <w:r>
        <w:t>IEU-Ohio</w:t>
      </w:r>
      <w:r w:rsidR="00050537">
        <w:t>")</w:t>
      </w:r>
      <w:r>
        <w:t xml:space="preserve">.  The separate comments demonstrate that the Asset Transfer Application is not ripe for a </w:t>
      </w:r>
      <w:r w:rsidR="00050537">
        <w:t>Public Utilities Commission of Ohio ("</w:t>
      </w:r>
      <w:r>
        <w:t>Commission</w:t>
      </w:r>
      <w:r w:rsidR="00050537">
        <w:t>")</w:t>
      </w:r>
      <w:r>
        <w:t xml:space="preserve"> decision because DP&amp;L has not proposed a transfer of the assets.  </w:t>
      </w:r>
    </w:p>
  </w:footnote>
  <w:footnote w:id="2">
    <w:p w:rsidR="00F740BA" w:rsidRDefault="00F740BA" w:rsidP="00050537">
      <w:pPr>
        <w:pStyle w:val="FootnoteText"/>
        <w:spacing w:after="120"/>
      </w:pPr>
      <w:r>
        <w:rPr>
          <w:rStyle w:val="FootnoteReference"/>
        </w:rPr>
        <w:footnoteRef/>
      </w:r>
      <w:r>
        <w:t xml:space="preserve"> Corporate Separation Application at 1. </w:t>
      </w:r>
    </w:p>
  </w:footnote>
  <w:footnote w:id="3">
    <w:p w:rsidR="00F740BA" w:rsidRDefault="00F740BA">
      <w:pPr>
        <w:pStyle w:val="FootnoteText"/>
      </w:pPr>
      <w:r>
        <w:rPr>
          <w:rStyle w:val="FootnoteReference"/>
        </w:rPr>
        <w:footnoteRef/>
      </w:r>
      <w:r>
        <w:t xml:space="preserve"> Corporate Separation Application, Exhibit A at 12-13.</w:t>
      </w:r>
    </w:p>
  </w:footnote>
  <w:footnote w:id="4">
    <w:p w:rsidR="00F85628" w:rsidRDefault="00F740BA" w:rsidP="00050537">
      <w:pPr>
        <w:pStyle w:val="FootnoteText"/>
        <w:spacing w:after="120"/>
        <w:jc w:val="both"/>
      </w:pPr>
      <w:r>
        <w:rPr>
          <w:rStyle w:val="FootnoteReference"/>
        </w:rPr>
        <w:footnoteRef/>
      </w:r>
      <w:r>
        <w:t xml:space="preserve"> Corporate Separation Application, Exhibit A at 1.</w:t>
      </w:r>
    </w:p>
  </w:footnote>
  <w:footnote w:id="5">
    <w:p w:rsidR="00F85628" w:rsidRDefault="004C6213" w:rsidP="00050537">
      <w:pPr>
        <w:pStyle w:val="FootnoteText"/>
        <w:spacing w:after="120"/>
        <w:jc w:val="both"/>
      </w:pPr>
      <w:r>
        <w:rPr>
          <w:rStyle w:val="FootnoteReference"/>
        </w:rPr>
        <w:footnoteRef/>
      </w:r>
      <w:r>
        <w:t xml:space="preserve"> Asset Transfer Application at 2 (Dec. 30, 2013).</w:t>
      </w:r>
    </w:p>
  </w:footnote>
  <w:footnote w:id="6">
    <w:p w:rsidR="0090479E" w:rsidRDefault="00E82456" w:rsidP="00050537">
      <w:pPr>
        <w:pStyle w:val="FootnoteText"/>
        <w:spacing w:after="120"/>
        <w:jc w:val="both"/>
      </w:pPr>
      <w:r>
        <w:rPr>
          <w:rStyle w:val="FootnoteReference"/>
        </w:rPr>
        <w:footnoteRef/>
      </w:r>
      <w:r>
        <w:t xml:space="preserve"> Corporate Separation Application</w:t>
      </w:r>
      <w:r w:rsidR="00F740BA">
        <w:t>, Exhibit A</w:t>
      </w:r>
      <w:r>
        <w:t xml:space="preserve"> at 4-5.</w:t>
      </w:r>
    </w:p>
  </w:footnote>
  <w:footnote w:id="7">
    <w:p w:rsidR="00B02CA0" w:rsidRDefault="00B02CA0" w:rsidP="00050537">
      <w:pPr>
        <w:pStyle w:val="FootnoteText"/>
        <w:spacing w:after="120"/>
        <w:jc w:val="both"/>
      </w:pPr>
      <w:r>
        <w:rPr>
          <w:rStyle w:val="FootnoteReference"/>
        </w:rPr>
        <w:footnoteRef/>
      </w:r>
      <w:r>
        <w:t xml:space="preserve"> </w:t>
      </w:r>
      <w:r w:rsidRPr="00E06D95">
        <w:rPr>
          <w:i/>
        </w:rPr>
        <w:t>In th</w:t>
      </w:r>
      <w:r w:rsidR="0043561E">
        <w:rPr>
          <w:i/>
        </w:rPr>
        <w:t xml:space="preserve">e Matter of the Application of </w:t>
      </w:r>
      <w:r w:rsidRPr="00E06D95">
        <w:rPr>
          <w:i/>
        </w:rPr>
        <w:t>The Dayton Power and Light Company  for Approval of Its Market Rate Offer</w:t>
      </w:r>
      <w:r>
        <w:t xml:space="preserve">, Case No. 12-426-EL-SSO, </w:t>
      </w:r>
      <w:r>
        <w:rPr>
          <w:i/>
        </w:rPr>
        <w:t>et al.</w:t>
      </w:r>
      <w:r>
        <w:t>, Entry on Rehearing (Oct. 23, 2014) (hereinafter “</w:t>
      </w:r>
      <w:r>
        <w:rPr>
          <w:i/>
        </w:rPr>
        <w:t>DP&amp;L ESP</w:t>
      </w:r>
      <w:r w:rsidR="00F07FF5">
        <w:rPr>
          <w:i/>
        </w:rPr>
        <w:t xml:space="preserve"> II</w:t>
      </w:r>
      <w:r>
        <w:t>”).</w:t>
      </w:r>
    </w:p>
  </w:footnote>
  <w:footnote w:id="8">
    <w:p w:rsidR="002A2B89" w:rsidRDefault="00F979D9" w:rsidP="002107C6">
      <w:pPr>
        <w:pStyle w:val="FootnoteText"/>
        <w:spacing w:after="120"/>
      </w:pPr>
      <w:r>
        <w:rPr>
          <w:rStyle w:val="FootnoteReference"/>
        </w:rPr>
        <w:footnoteRef/>
      </w:r>
      <w:r>
        <w:t xml:space="preserve"> </w:t>
      </w:r>
      <w:r>
        <w:rPr>
          <w:i/>
        </w:rPr>
        <w:t>DP&amp;L ESP</w:t>
      </w:r>
      <w:r w:rsidR="00F07FF5">
        <w:rPr>
          <w:i/>
        </w:rPr>
        <w:t xml:space="preserve"> II</w:t>
      </w:r>
      <w:r>
        <w:t>,</w:t>
      </w:r>
      <w:r>
        <w:rPr>
          <w:i/>
        </w:rPr>
        <w:t xml:space="preserve"> </w:t>
      </w:r>
      <w:r>
        <w:t>Entry on Rehearing (Oct. 23, 201</w:t>
      </w:r>
      <w:r w:rsidR="002A2B89">
        <w:t>3</w:t>
      </w:r>
      <w:r>
        <w:t>).</w:t>
      </w:r>
      <w:bookmarkStart w:id="0" w:name="_GoBack"/>
      <w:bookmarkEnd w:id="0"/>
    </w:p>
  </w:footnote>
  <w:footnote w:id="9">
    <w:p w:rsidR="00F62FEC" w:rsidRPr="0090043A" w:rsidRDefault="00F62FEC" w:rsidP="00B6112C">
      <w:pPr>
        <w:pStyle w:val="FootnoteText"/>
        <w:spacing w:after="120"/>
        <w:jc w:val="both"/>
      </w:pPr>
      <w:r w:rsidRPr="0090043A">
        <w:rPr>
          <w:rStyle w:val="FootnoteReference"/>
        </w:rPr>
        <w:footnoteRef/>
      </w:r>
      <w:r w:rsidRPr="0090043A">
        <w:t xml:space="preserve"> </w:t>
      </w:r>
      <w:r w:rsidRPr="0090043A">
        <w:rPr>
          <w:lang w:val="en"/>
        </w:rPr>
        <w:t>“Retail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w:t>
      </w:r>
      <w:r>
        <w:rPr>
          <w:lang w:val="en"/>
        </w:rPr>
        <w:t xml:space="preserve">  </w:t>
      </w:r>
      <w:r w:rsidR="00D708DC">
        <w:rPr>
          <w:lang w:val="en"/>
        </w:rPr>
        <w:t>R.C. 4928.01(27)</w:t>
      </w:r>
      <w:r>
        <w:rPr>
          <w:lang w:val="en"/>
        </w:rPr>
        <w:t>.</w:t>
      </w:r>
    </w:p>
  </w:footnote>
  <w:footnote w:id="10">
    <w:p w:rsidR="0011217A" w:rsidRDefault="0011217A" w:rsidP="00B6112C">
      <w:pPr>
        <w:pStyle w:val="FootnoteText"/>
        <w:spacing w:after="120"/>
        <w:jc w:val="both"/>
      </w:pPr>
      <w:r>
        <w:rPr>
          <w:rStyle w:val="FootnoteReference"/>
        </w:rPr>
        <w:footnoteRef/>
      </w:r>
      <w:r w:rsidR="00D708DC">
        <w:t xml:space="preserve"> R.C. 4928.17</w:t>
      </w:r>
      <w:r w:rsidR="00B02CA0">
        <w:t>(A)</w:t>
      </w:r>
      <w:r w:rsidR="00D708DC">
        <w:t xml:space="preserve"> provides</w:t>
      </w:r>
      <w:r>
        <w:t xml:space="preserve">:  </w:t>
      </w:r>
    </w:p>
    <w:p w:rsidR="0011217A" w:rsidRDefault="0011217A" w:rsidP="00B6112C">
      <w:pPr>
        <w:pStyle w:val="FootnoteText"/>
        <w:spacing w:after="120"/>
        <w:ind w:left="720" w:right="720"/>
        <w:jc w:val="both"/>
      </w:pPr>
      <w:r>
        <w:t>(1) The plan provides, at minimum, for the provision of the competitive retail electric service or the nonelectric product or service through a fully separated affiliate of the utility, and the plan includes separate accounting requirements, the code of conduct  as ordered by the commission pursuant to a rule it shall adopt under division (A) of section 4928.06 of the Revised Code, and such other measures as are necessary to effectuate the policy specified in section 4928.02 of the Revised Code.</w:t>
      </w:r>
    </w:p>
    <w:p w:rsidR="0011217A" w:rsidRDefault="0011217A" w:rsidP="00B6112C">
      <w:pPr>
        <w:pStyle w:val="FootnoteText"/>
        <w:spacing w:after="120"/>
        <w:ind w:left="720" w:right="720"/>
        <w:jc w:val="both"/>
      </w:pPr>
      <w:r>
        <w:t>(2) The plan satisfies the public interest in preventing unfair competitive advantage and preventing the abuse of market power.</w:t>
      </w:r>
    </w:p>
    <w:p w:rsidR="0011217A" w:rsidRDefault="0011217A" w:rsidP="00B6112C">
      <w:pPr>
        <w:pStyle w:val="FootnoteText"/>
        <w:spacing w:after="120"/>
        <w:ind w:left="720" w:right="720"/>
        <w:jc w:val="both"/>
      </w:pPr>
      <w:r>
        <w:t xml:space="preserve">(3) The plan is sufficient to ensure that the utility will not extend any undue preference or advantage to any affiliate, division, or </w:t>
      </w:r>
      <w:r w:rsidR="00D708DC">
        <w:t>part of its own business . . .</w:t>
      </w:r>
      <w:r w:rsidR="00D708DC" w:rsidRPr="00D708DC">
        <w:t xml:space="preserve"> without compensation based upon fully loaded embedded costs charged to the affiliate</w:t>
      </w:r>
      <w:r w:rsidR="00B6112C">
        <w:t>.</w:t>
      </w:r>
    </w:p>
  </w:footnote>
  <w:footnote w:id="11">
    <w:p w:rsidR="00290C2B" w:rsidRDefault="00290C2B" w:rsidP="003F14D8">
      <w:pPr>
        <w:pStyle w:val="FootnoteText"/>
        <w:spacing w:after="120"/>
        <w:jc w:val="both"/>
      </w:pPr>
      <w:r>
        <w:rPr>
          <w:rStyle w:val="FootnoteReference"/>
        </w:rPr>
        <w:footnoteRef/>
      </w:r>
      <w:r>
        <w:t xml:space="preserve"> </w:t>
      </w:r>
      <w:r w:rsidR="00F465AC">
        <w:t>R.C. 4928.17(B)</w:t>
      </w:r>
      <w:r>
        <w:t>.</w:t>
      </w:r>
    </w:p>
  </w:footnote>
  <w:footnote w:id="12">
    <w:p w:rsidR="00290C2B" w:rsidRDefault="00290C2B" w:rsidP="003F14D8">
      <w:pPr>
        <w:pStyle w:val="FootnoteText"/>
        <w:spacing w:after="120"/>
        <w:jc w:val="both"/>
      </w:pPr>
      <w:r>
        <w:rPr>
          <w:rStyle w:val="FootnoteReference"/>
        </w:rPr>
        <w:footnoteRef/>
      </w:r>
      <w:r w:rsidR="00F465AC">
        <w:t xml:space="preserve"> R.C. 4928.17(B)</w:t>
      </w:r>
      <w:r>
        <w:t>.</w:t>
      </w:r>
    </w:p>
  </w:footnote>
  <w:footnote w:id="13">
    <w:p w:rsidR="003F14D8" w:rsidRDefault="00290C2B" w:rsidP="003F14D8">
      <w:pPr>
        <w:pStyle w:val="FootnoteText"/>
        <w:spacing w:after="120"/>
        <w:jc w:val="both"/>
      </w:pPr>
      <w:r>
        <w:rPr>
          <w:rStyle w:val="FootnoteReference"/>
        </w:rPr>
        <w:footnoteRef/>
      </w:r>
      <w:r w:rsidR="00F465AC">
        <w:t xml:space="preserve"> R.C. 4928.17(C)</w:t>
      </w:r>
      <w:r>
        <w:t xml:space="preserve">.   </w:t>
      </w:r>
    </w:p>
  </w:footnote>
  <w:footnote w:id="14">
    <w:p w:rsidR="003F14D8" w:rsidRDefault="003F14D8" w:rsidP="003F14D8">
      <w:pPr>
        <w:pStyle w:val="FootnoteText"/>
        <w:spacing w:after="120"/>
        <w:jc w:val="both"/>
      </w:pPr>
      <w:r>
        <w:rPr>
          <w:rStyle w:val="FootnoteReference"/>
        </w:rPr>
        <w:footnoteRef/>
      </w:r>
      <w:r>
        <w:t xml:space="preserve"> Corporate Separation Application, Exhibit A at 13.</w:t>
      </w:r>
    </w:p>
  </w:footnote>
  <w:footnote w:id="15">
    <w:p w:rsidR="003F14D8" w:rsidRDefault="003F14D8" w:rsidP="003F14D8">
      <w:pPr>
        <w:pStyle w:val="FootnoteText"/>
        <w:spacing w:after="120"/>
        <w:jc w:val="both"/>
      </w:pPr>
      <w:r>
        <w:rPr>
          <w:rStyle w:val="FootnoteReference"/>
        </w:rPr>
        <w:footnoteRef/>
      </w:r>
      <w:r>
        <w:t xml:space="preserve"> R.C. 4928.17(A)(2); R.C. 4928.01(18).</w:t>
      </w:r>
    </w:p>
  </w:footnote>
  <w:footnote w:id="16">
    <w:p w:rsidR="00E72CBE" w:rsidRPr="002C4051" w:rsidRDefault="00E72CBE" w:rsidP="00E72CBE">
      <w:pPr>
        <w:pStyle w:val="FootnoteText"/>
        <w:spacing w:after="120"/>
        <w:jc w:val="both"/>
      </w:pPr>
      <w:r w:rsidRPr="002C4051">
        <w:rPr>
          <w:rStyle w:val="FootnoteReference"/>
          <w:rFonts w:cs="Arial"/>
        </w:rPr>
        <w:footnoteRef/>
      </w:r>
      <w:r w:rsidRPr="002C4051">
        <w:t xml:space="preserve"> </w:t>
      </w:r>
      <w:r w:rsidR="00B02CA0">
        <w:rPr>
          <w:i/>
        </w:rPr>
        <w:t>DP&amp;L ESP</w:t>
      </w:r>
      <w:r w:rsidR="00F07FF5">
        <w:rPr>
          <w:i/>
        </w:rPr>
        <w:t xml:space="preserve"> II</w:t>
      </w:r>
      <w:r w:rsidR="00B02CA0">
        <w:t>,</w:t>
      </w:r>
      <w:r w:rsidR="00B02CA0">
        <w:rPr>
          <w:i/>
        </w:rPr>
        <w:t xml:space="preserve"> </w:t>
      </w:r>
      <w:r w:rsidRPr="002C4051">
        <w:t>IEU-Ohio Ex. 2 at 12.</w:t>
      </w:r>
    </w:p>
  </w:footnote>
  <w:footnote w:id="17">
    <w:p w:rsidR="00E72CBE" w:rsidRPr="002C4051" w:rsidRDefault="00E72CBE" w:rsidP="00E72CBE">
      <w:pPr>
        <w:pStyle w:val="FootnoteText"/>
        <w:spacing w:after="120"/>
        <w:jc w:val="both"/>
        <w:rPr>
          <w:i/>
        </w:rPr>
      </w:pPr>
      <w:r w:rsidRPr="002C4051">
        <w:rPr>
          <w:rStyle w:val="FootnoteReference"/>
          <w:rFonts w:cs="Arial"/>
        </w:rPr>
        <w:footnoteRef/>
      </w:r>
      <w:r w:rsidRPr="002C4051">
        <w:t xml:space="preserve"> </w:t>
      </w:r>
      <w:r w:rsidRPr="002C4051">
        <w:rPr>
          <w:i/>
        </w:rPr>
        <w:t>Id.</w:t>
      </w:r>
    </w:p>
  </w:footnote>
  <w:footnote w:id="18">
    <w:p w:rsidR="00E72CBE" w:rsidRPr="002C4051" w:rsidRDefault="00E72CBE" w:rsidP="00E72CBE">
      <w:pPr>
        <w:pStyle w:val="FootnoteText"/>
        <w:spacing w:after="120"/>
        <w:jc w:val="both"/>
      </w:pPr>
      <w:r w:rsidRPr="002C4051">
        <w:rPr>
          <w:rStyle w:val="FootnoteReference"/>
          <w:rFonts w:cs="Arial"/>
        </w:rPr>
        <w:footnoteRef/>
      </w:r>
      <w:r w:rsidRPr="002C4051">
        <w:t xml:space="preserve"> </w:t>
      </w:r>
      <w:r>
        <w:rPr>
          <w:i/>
        </w:rPr>
        <w:t>Id.</w:t>
      </w:r>
      <w:r>
        <w:t xml:space="preserve"> at</w:t>
      </w:r>
      <w:r w:rsidRPr="002C4051">
        <w:t xml:space="preserve"> 11-1</w:t>
      </w:r>
      <w:r>
        <w:t>3</w:t>
      </w:r>
      <w:r w:rsidRPr="002C4051">
        <w:t>.</w:t>
      </w:r>
    </w:p>
  </w:footnote>
  <w:footnote w:id="19">
    <w:p w:rsidR="0029480A" w:rsidRDefault="0029480A" w:rsidP="00F85628">
      <w:pPr>
        <w:pStyle w:val="FootnoteText"/>
        <w:jc w:val="both"/>
      </w:pPr>
      <w:r>
        <w:rPr>
          <w:rStyle w:val="FootnoteReference"/>
        </w:rPr>
        <w:footnoteRef/>
      </w:r>
      <w:r>
        <w:t xml:space="preserve"> </w:t>
      </w:r>
      <w:r w:rsidR="00B02CA0">
        <w:rPr>
          <w:i/>
        </w:rPr>
        <w:t>DP&amp;L ESP</w:t>
      </w:r>
      <w:r w:rsidR="00F07FF5">
        <w:rPr>
          <w:i/>
        </w:rPr>
        <w:t xml:space="preserve"> II</w:t>
      </w:r>
      <w:r w:rsidR="00B02CA0">
        <w:t>,</w:t>
      </w:r>
      <w:r w:rsidR="00B02CA0">
        <w:rPr>
          <w:i/>
        </w:rPr>
        <w:t xml:space="preserve"> </w:t>
      </w:r>
      <w:r>
        <w:t>Applicatio</w:t>
      </w:r>
      <w:r w:rsidR="000F29CE">
        <w:t xml:space="preserve">n for Rehearing and Memorandum </w:t>
      </w:r>
      <w:r>
        <w:t>in Support of Industrial Energy Users-Ohio at 39-</w:t>
      </w:r>
      <w:r w:rsidR="00B02CA0">
        <w:t>42 (Oct. 4, 2013)</w:t>
      </w:r>
      <w:r>
        <w:t>.</w:t>
      </w:r>
    </w:p>
    <w:p w:rsidR="0029480A" w:rsidRDefault="0029480A" w:rsidP="00F8562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Default="005A05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Default="005A05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1" w:rsidRDefault="005A05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6" w:rsidRDefault="00210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F9"/>
    <w:multiLevelType w:val="hybridMultilevel"/>
    <w:tmpl w:val="CA92CD10"/>
    <w:lvl w:ilvl="0" w:tplc="81E0F6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EF"/>
    <w:rsid w:val="00050537"/>
    <w:rsid w:val="00082E74"/>
    <w:rsid w:val="0009021E"/>
    <w:rsid w:val="000938C1"/>
    <w:rsid w:val="000D1F7F"/>
    <w:rsid w:val="000F29CE"/>
    <w:rsid w:val="0011217A"/>
    <w:rsid w:val="00141CE2"/>
    <w:rsid w:val="001A5188"/>
    <w:rsid w:val="001B132B"/>
    <w:rsid w:val="0021049D"/>
    <w:rsid w:val="002107C6"/>
    <w:rsid w:val="00290C2B"/>
    <w:rsid w:val="0029480A"/>
    <w:rsid w:val="002A2B89"/>
    <w:rsid w:val="003F14D8"/>
    <w:rsid w:val="00402C8B"/>
    <w:rsid w:val="0043561E"/>
    <w:rsid w:val="004C6213"/>
    <w:rsid w:val="0055671A"/>
    <w:rsid w:val="005A0511"/>
    <w:rsid w:val="00607FE3"/>
    <w:rsid w:val="007A4B09"/>
    <w:rsid w:val="007B625F"/>
    <w:rsid w:val="0082549E"/>
    <w:rsid w:val="0086598B"/>
    <w:rsid w:val="0089316A"/>
    <w:rsid w:val="008A3BEF"/>
    <w:rsid w:val="008A75D1"/>
    <w:rsid w:val="008E3BF4"/>
    <w:rsid w:val="0090479E"/>
    <w:rsid w:val="00953E9D"/>
    <w:rsid w:val="00955E13"/>
    <w:rsid w:val="00993332"/>
    <w:rsid w:val="009A7AD5"/>
    <w:rsid w:val="009C7C09"/>
    <w:rsid w:val="009D5867"/>
    <w:rsid w:val="009E7C26"/>
    <w:rsid w:val="00A72F26"/>
    <w:rsid w:val="00A949AF"/>
    <w:rsid w:val="00B02CA0"/>
    <w:rsid w:val="00B27DC0"/>
    <w:rsid w:val="00B6112C"/>
    <w:rsid w:val="00C03FDE"/>
    <w:rsid w:val="00C0405A"/>
    <w:rsid w:val="00C11646"/>
    <w:rsid w:val="00C164FB"/>
    <w:rsid w:val="00C70268"/>
    <w:rsid w:val="00C81A27"/>
    <w:rsid w:val="00CC034A"/>
    <w:rsid w:val="00D6570D"/>
    <w:rsid w:val="00D708DC"/>
    <w:rsid w:val="00E06D95"/>
    <w:rsid w:val="00E44813"/>
    <w:rsid w:val="00E72CBE"/>
    <w:rsid w:val="00E761F9"/>
    <w:rsid w:val="00E82456"/>
    <w:rsid w:val="00E8541A"/>
    <w:rsid w:val="00E97DAD"/>
    <w:rsid w:val="00EB1319"/>
    <w:rsid w:val="00F07FF5"/>
    <w:rsid w:val="00F27414"/>
    <w:rsid w:val="00F465AC"/>
    <w:rsid w:val="00F62FEC"/>
    <w:rsid w:val="00F740BA"/>
    <w:rsid w:val="00F80AFB"/>
    <w:rsid w:val="00F85628"/>
    <w:rsid w:val="00F979D9"/>
    <w:rsid w:val="00FC372D"/>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EF"/>
    <w:rPr>
      <w:sz w:val="20"/>
      <w:szCs w:val="20"/>
    </w:rPr>
  </w:style>
  <w:style w:type="paragraph" w:styleId="Heading1">
    <w:name w:val="heading 1"/>
    <w:basedOn w:val="Normal"/>
    <w:next w:val="Normal"/>
    <w:link w:val="Heading1Char"/>
    <w:uiPriority w:val="9"/>
    <w:qFormat/>
    <w:rsid w:val="00E0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3BEF"/>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8A3BEF"/>
    <w:rPr>
      <w:b/>
      <w:smallCaps/>
      <w:sz w:val="20"/>
      <w:szCs w:val="20"/>
    </w:rPr>
  </w:style>
  <w:style w:type="paragraph" w:styleId="BodyText3">
    <w:name w:val="Body Text 3"/>
    <w:basedOn w:val="Normal"/>
    <w:link w:val="BodyText3Char"/>
    <w:rsid w:val="008A3BEF"/>
    <w:pPr>
      <w:spacing w:after="120"/>
    </w:pPr>
    <w:rPr>
      <w:sz w:val="16"/>
      <w:szCs w:val="16"/>
    </w:rPr>
  </w:style>
  <w:style w:type="character" w:customStyle="1" w:styleId="BodyText3Char">
    <w:name w:val="Body Text 3 Char"/>
    <w:basedOn w:val="DefaultParagraphFont"/>
    <w:link w:val="BodyText3"/>
    <w:rsid w:val="008A3BEF"/>
    <w:rPr>
      <w:sz w:val="16"/>
      <w:szCs w:val="16"/>
    </w:rPr>
  </w:style>
  <w:style w:type="paragraph" w:styleId="Header">
    <w:name w:val="header"/>
    <w:basedOn w:val="Normal"/>
    <w:link w:val="HeaderChar"/>
    <w:uiPriority w:val="99"/>
    <w:unhideWhenUsed/>
    <w:rsid w:val="008A3BEF"/>
    <w:pPr>
      <w:tabs>
        <w:tab w:val="center" w:pos="4680"/>
        <w:tab w:val="right" w:pos="9360"/>
      </w:tabs>
    </w:pPr>
  </w:style>
  <w:style w:type="character" w:customStyle="1" w:styleId="HeaderChar">
    <w:name w:val="Header Char"/>
    <w:basedOn w:val="DefaultParagraphFont"/>
    <w:link w:val="Header"/>
    <w:uiPriority w:val="99"/>
    <w:rsid w:val="008A3BEF"/>
    <w:rPr>
      <w:sz w:val="20"/>
      <w:szCs w:val="20"/>
    </w:rPr>
  </w:style>
  <w:style w:type="paragraph" w:styleId="Footer">
    <w:name w:val="footer"/>
    <w:basedOn w:val="Normal"/>
    <w:link w:val="FooterChar"/>
    <w:uiPriority w:val="99"/>
    <w:unhideWhenUsed/>
    <w:rsid w:val="008A3BEF"/>
    <w:pPr>
      <w:tabs>
        <w:tab w:val="center" w:pos="4680"/>
        <w:tab w:val="right" w:pos="9360"/>
      </w:tabs>
    </w:pPr>
  </w:style>
  <w:style w:type="character" w:customStyle="1" w:styleId="FooterChar">
    <w:name w:val="Footer Char"/>
    <w:basedOn w:val="DefaultParagraphFont"/>
    <w:link w:val="Footer"/>
    <w:uiPriority w:val="99"/>
    <w:rsid w:val="008A3BEF"/>
    <w:rPr>
      <w:sz w:val="20"/>
      <w:szCs w:val="20"/>
    </w:rPr>
  </w:style>
  <w:style w:type="paragraph" w:styleId="FootnoteText">
    <w:name w:val="footnote text"/>
    <w:basedOn w:val="Normal"/>
    <w:link w:val="FootnoteTextChar"/>
    <w:uiPriority w:val="99"/>
    <w:unhideWhenUsed/>
    <w:rsid w:val="00C03FDE"/>
  </w:style>
  <w:style w:type="character" w:customStyle="1" w:styleId="FootnoteTextChar">
    <w:name w:val="Footnote Text Char"/>
    <w:basedOn w:val="DefaultParagraphFont"/>
    <w:link w:val="FootnoteText"/>
    <w:uiPriority w:val="99"/>
    <w:rsid w:val="00C03FDE"/>
    <w:rPr>
      <w:sz w:val="20"/>
      <w:szCs w:val="20"/>
    </w:rPr>
  </w:style>
  <w:style w:type="character" w:styleId="FootnoteReference">
    <w:name w:val="footnote reference"/>
    <w:basedOn w:val="DefaultParagraphFont"/>
    <w:semiHidden/>
    <w:unhideWhenUsed/>
    <w:rsid w:val="00C03FDE"/>
    <w:rPr>
      <w:vertAlign w:val="superscript"/>
    </w:rPr>
  </w:style>
  <w:style w:type="paragraph" w:styleId="ListParagraph">
    <w:name w:val="List Paragraph"/>
    <w:basedOn w:val="Normal"/>
    <w:uiPriority w:val="34"/>
    <w:qFormat/>
    <w:rsid w:val="00290C2B"/>
    <w:pPr>
      <w:ind w:left="720"/>
      <w:contextualSpacing/>
    </w:pPr>
  </w:style>
  <w:style w:type="character" w:customStyle="1" w:styleId="Heading1Char">
    <w:name w:val="Heading 1 Char"/>
    <w:basedOn w:val="DefaultParagraphFont"/>
    <w:link w:val="Heading1"/>
    <w:uiPriority w:val="9"/>
    <w:rsid w:val="00E06D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4813"/>
    <w:rPr>
      <w:rFonts w:ascii="Tahoma" w:hAnsi="Tahoma" w:cs="Tahoma"/>
      <w:sz w:val="16"/>
      <w:szCs w:val="16"/>
    </w:rPr>
  </w:style>
  <w:style w:type="character" w:customStyle="1" w:styleId="BalloonTextChar">
    <w:name w:val="Balloon Text Char"/>
    <w:basedOn w:val="DefaultParagraphFont"/>
    <w:link w:val="BalloonText"/>
    <w:uiPriority w:val="99"/>
    <w:semiHidden/>
    <w:rsid w:val="00E44813"/>
    <w:rPr>
      <w:rFonts w:ascii="Tahoma" w:hAnsi="Tahoma" w:cs="Tahoma"/>
      <w:sz w:val="16"/>
      <w:szCs w:val="16"/>
    </w:rPr>
  </w:style>
  <w:style w:type="character" w:styleId="CommentReference">
    <w:name w:val="annotation reference"/>
    <w:basedOn w:val="DefaultParagraphFont"/>
    <w:uiPriority w:val="99"/>
    <w:semiHidden/>
    <w:unhideWhenUsed/>
    <w:rsid w:val="00C164FB"/>
    <w:rPr>
      <w:sz w:val="16"/>
      <w:szCs w:val="16"/>
    </w:rPr>
  </w:style>
  <w:style w:type="paragraph" w:styleId="CommentText">
    <w:name w:val="annotation text"/>
    <w:basedOn w:val="Normal"/>
    <w:link w:val="CommentTextChar"/>
    <w:uiPriority w:val="99"/>
    <w:semiHidden/>
    <w:unhideWhenUsed/>
    <w:rsid w:val="00C164FB"/>
  </w:style>
  <w:style w:type="character" w:customStyle="1" w:styleId="CommentTextChar">
    <w:name w:val="Comment Text Char"/>
    <w:basedOn w:val="DefaultParagraphFont"/>
    <w:link w:val="CommentText"/>
    <w:uiPriority w:val="99"/>
    <w:semiHidden/>
    <w:rsid w:val="00C164FB"/>
    <w:rPr>
      <w:sz w:val="20"/>
      <w:szCs w:val="20"/>
    </w:rPr>
  </w:style>
  <w:style w:type="paragraph" w:styleId="CommentSubject">
    <w:name w:val="annotation subject"/>
    <w:basedOn w:val="CommentText"/>
    <w:next w:val="CommentText"/>
    <w:link w:val="CommentSubjectChar"/>
    <w:uiPriority w:val="99"/>
    <w:semiHidden/>
    <w:unhideWhenUsed/>
    <w:rsid w:val="00C164FB"/>
    <w:rPr>
      <w:b/>
      <w:bCs/>
    </w:rPr>
  </w:style>
  <w:style w:type="character" w:customStyle="1" w:styleId="CommentSubjectChar">
    <w:name w:val="Comment Subject Char"/>
    <w:basedOn w:val="CommentTextChar"/>
    <w:link w:val="CommentSubject"/>
    <w:uiPriority w:val="99"/>
    <w:semiHidden/>
    <w:rsid w:val="00C164FB"/>
    <w:rPr>
      <w:b/>
      <w:bCs/>
      <w:sz w:val="20"/>
      <w:szCs w:val="20"/>
    </w:rPr>
  </w:style>
  <w:style w:type="paragraph" w:styleId="BodyTextIndent">
    <w:name w:val="Body Text Indent"/>
    <w:basedOn w:val="Normal"/>
    <w:link w:val="BodyTextIndentChar"/>
    <w:uiPriority w:val="99"/>
    <w:semiHidden/>
    <w:unhideWhenUsed/>
    <w:rsid w:val="005A0511"/>
    <w:pPr>
      <w:spacing w:after="120"/>
      <w:ind w:left="360"/>
    </w:pPr>
  </w:style>
  <w:style w:type="character" w:customStyle="1" w:styleId="BodyTextIndentChar">
    <w:name w:val="Body Text Indent Char"/>
    <w:basedOn w:val="DefaultParagraphFont"/>
    <w:link w:val="BodyTextIndent"/>
    <w:uiPriority w:val="99"/>
    <w:semiHidden/>
    <w:rsid w:val="005A0511"/>
    <w:rPr>
      <w:sz w:val="20"/>
      <w:szCs w:val="20"/>
    </w:rPr>
  </w:style>
  <w:style w:type="character" w:styleId="Hyperlink">
    <w:name w:val="Hyperlink"/>
    <w:rsid w:val="005A0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EF"/>
    <w:rPr>
      <w:sz w:val="20"/>
      <w:szCs w:val="20"/>
    </w:rPr>
  </w:style>
  <w:style w:type="paragraph" w:styleId="Heading1">
    <w:name w:val="heading 1"/>
    <w:basedOn w:val="Normal"/>
    <w:next w:val="Normal"/>
    <w:link w:val="Heading1Char"/>
    <w:uiPriority w:val="9"/>
    <w:qFormat/>
    <w:rsid w:val="00E0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3BEF"/>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8A3BEF"/>
    <w:rPr>
      <w:b/>
      <w:smallCaps/>
      <w:sz w:val="20"/>
      <w:szCs w:val="20"/>
    </w:rPr>
  </w:style>
  <w:style w:type="paragraph" w:styleId="BodyText3">
    <w:name w:val="Body Text 3"/>
    <w:basedOn w:val="Normal"/>
    <w:link w:val="BodyText3Char"/>
    <w:rsid w:val="008A3BEF"/>
    <w:pPr>
      <w:spacing w:after="120"/>
    </w:pPr>
    <w:rPr>
      <w:sz w:val="16"/>
      <w:szCs w:val="16"/>
    </w:rPr>
  </w:style>
  <w:style w:type="character" w:customStyle="1" w:styleId="BodyText3Char">
    <w:name w:val="Body Text 3 Char"/>
    <w:basedOn w:val="DefaultParagraphFont"/>
    <w:link w:val="BodyText3"/>
    <w:rsid w:val="008A3BEF"/>
    <w:rPr>
      <w:sz w:val="16"/>
      <w:szCs w:val="16"/>
    </w:rPr>
  </w:style>
  <w:style w:type="paragraph" w:styleId="Header">
    <w:name w:val="header"/>
    <w:basedOn w:val="Normal"/>
    <w:link w:val="HeaderChar"/>
    <w:uiPriority w:val="99"/>
    <w:unhideWhenUsed/>
    <w:rsid w:val="008A3BEF"/>
    <w:pPr>
      <w:tabs>
        <w:tab w:val="center" w:pos="4680"/>
        <w:tab w:val="right" w:pos="9360"/>
      </w:tabs>
    </w:pPr>
  </w:style>
  <w:style w:type="character" w:customStyle="1" w:styleId="HeaderChar">
    <w:name w:val="Header Char"/>
    <w:basedOn w:val="DefaultParagraphFont"/>
    <w:link w:val="Header"/>
    <w:uiPriority w:val="99"/>
    <w:rsid w:val="008A3BEF"/>
    <w:rPr>
      <w:sz w:val="20"/>
      <w:szCs w:val="20"/>
    </w:rPr>
  </w:style>
  <w:style w:type="paragraph" w:styleId="Footer">
    <w:name w:val="footer"/>
    <w:basedOn w:val="Normal"/>
    <w:link w:val="FooterChar"/>
    <w:uiPriority w:val="99"/>
    <w:unhideWhenUsed/>
    <w:rsid w:val="008A3BEF"/>
    <w:pPr>
      <w:tabs>
        <w:tab w:val="center" w:pos="4680"/>
        <w:tab w:val="right" w:pos="9360"/>
      </w:tabs>
    </w:pPr>
  </w:style>
  <w:style w:type="character" w:customStyle="1" w:styleId="FooterChar">
    <w:name w:val="Footer Char"/>
    <w:basedOn w:val="DefaultParagraphFont"/>
    <w:link w:val="Footer"/>
    <w:uiPriority w:val="99"/>
    <w:rsid w:val="008A3BEF"/>
    <w:rPr>
      <w:sz w:val="20"/>
      <w:szCs w:val="20"/>
    </w:rPr>
  </w:style>
  <w:style w:type="paragraph" w:styleId="FootnoteText">
    <w:name w:val="footnote text"/>
    <w:basedOn w:val="Normal"/>
    <w:link w:val="FootnoteTextChar"/>
    <w:uiPriority w:val="99"/>
    <w:unhideWhenUsed/>
    <w:rsid w:val="00C03FDE"/>
  </w:style>
  <w:style w:type="character" w:customStyle="1" w:styleId="FootnoteTextChar">
    <w:name w:val="Footnote Text Char"/>
    <w:basedOn w:val="DefaultParagraphFont"/>
    <w:link w:val="FootnoteText"/>
    <w:uiPriority w:val="99"/>
    <w:rsid w:val="00C03FDE"/>
    <w:rPr>
      <w:sz w:val="20"/>
      <w:szCs w:val="20"/>
    </w:rPr>
  </w:style>
  <w:style w:type="character" w:styleId="FootnoteReference">
    <w:name w:val="footnote reference"/>
    <w:basedOn w:val="DefaultParagraphFont"/>
    <w:semiHidden/>
    <w:unhideWhenUsed/>
    <w:rsid w:val="00C03FDE"/>
    <w:rPr>
      <w:vertAlign w:val="superscript"/>
    </w:rPr>
  </w:style>
  <w:style w:type="paragraph" w:styleId="ListParagraph">
    <w:name w:val="List Paragraph"/>
    <w:basedOn w:val="Normal"/>
    <w:uiPriority w:val="34"/>
    <w:qFormat/>
    <w:rsid w:val="00290C2B"/>
    <w:pPr>
      <w:ind w:left="720"/>
      <w:contextualSpacing/>
    </w:pPr>
  </w:style>
  <w:style w:type="character" w:customStyle="1" w:styleId="Heading1Char">
    <w:name w:val="Heading 1 Char"/>
    <w:basedOn w:val="DefaultParagraphFont"/>
    <w:link w:val="Heading1"/>
    <w:uiPriority w:val="9"/>
    <w:rsid w:val="00E06D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4813"/>
    <w:rPr>
      <w:rFonts w:ascii="Tahoma" w:hAnsi="Tahoma" w:cs="Tahoma"/>
      <w:sz w:val="16"/>
      <w:szCs w:val="16"/>
    </w:rPr>
  </w:style>
  <w:style w:type="character" w:customStyle="1" w:styleId="BalloonTextChar">
    <w:name w:val="Balloon Text Char"/>
    <w:basedOn w:val="DefaultParagraphFont"/>
    <w:link w:val="BalloonText"/>
    <w:uiPriority w:val="99"/>
    <w:semiHidden/>
    <w:rsid w:val="00E44813"/>
    <w:rPr>
      <w:rFonts w:ascii="Tahoma" w:hAnsi="Tahoma" w:cs="Tahoma"/>
      <w:sz w:val="16"/>
      <w:szCs w:val="16"/>
    </w:rPr>
  </w:style>
  <w:style w:type="character" w:styleId="CommentReference">
    <w:name w:val="annotation reference"/>
    <w:basedOn w:val="DefaultParagraphFont"/>
    <w:uiPriority w:val="99"/>
    <w:semiHidden/>
    <w:unhideWhenUsed/>
    <w:rsid w:val="00C164FB"/>
    <w:rPr>
      <w:sz w:val="16"/>
      <w:szCs w:val="16"/>
    </w:rPr>
  </w:style>
  <w:style w:type="paragraph" w:styleId="CommentText">
    <w:name w:val="annotation text"/>
    <w:basedOn w:val="Normal"/>
    <w:link w:val="CommentTextChar"/>
    <w:uiPriority w:val="99"/>
    <w:semiHidden/>
    <w:unhideWhenUsed/>
    <w:rsid w:val="00C164FB"/>
  </w:style>
  <w:style w:type="character" w:customStyle="1" w:styleId="CommentTextChar">
    <w:name w:val="Comment Text Char"/>
    <w:basedOn w:val="DefaultParagraphFont"/>
    <w:link w:val="CommentText"/>
    <w:uiPriority w:val="99"/>
    <w:semiHidden/>
    <w:rsid w:val="00C164FB"/>
    <w:rPr>
      <w:sz w:val="20"/>
      <w:szCs w:val="20"/>
    </w:rPr>
  </w:style>
  <w:style w:type="paragraph" w:styleId="CommentSubject">
    <w:name w:val="annotation subject"/>
    <w:basedOn w:val="CommentText"/>
    <w:next w:val="CommentText"/>
    <w:link w:val="CommentSubjectChar"/>
    <w:uiPriority w:val="99"/>
    <w:semiHidden/>
    <w:unhideWhenUsed/>
    <w:rsid w:val="00C164FB"/>
    <w:rPr>
      <w:b/>
      <w:bCs/>
    </w:rPr>
  </w:style>
  <w:style w:type="character" w:customStyle="1" w:styleId="CommentSubjectChar">
    <w:name w:val="Comment Subject Char"/>
    <w:basedOn w:val="CommentTextChar"/>
    <w:link w:val="CommentSubject"/>
    <w:uiPriority w:val="99"/>
    <w:semiHidden/>
    <w:rsid w:val="00C164FB"/>
    <w:rPr>
      <w:b/>
      <w:bCs/>
      <w:sz w:val="20"/>
      <w:szCs w:val="20"/>
    </w:rPr>
  </w:style>
  <w:style w:type="paragraph" w:styleId="BodyTextIndent">
    <w:name w:val="Body Text Indent"/>
    <w:basedOn w:val="Normal"/>
    <w:link w:val="BodyTextIndentChar"/>
    <w:uiPriority w:val="99"/>
    <w:semiHidden/>
    <w:unhideWhenUsed/>
    <w:rsid w:val="005A0511"/>
    <w:pPr>
      <w:spacing w:after="120"/>
      <w:ind w:left="360"/>
    </w:pPr>
  </w:style>
  <w:style w:type="character" w:customStyle="1" w:styleId="BodyTextIndentChar">
    <w:name w:val="Body Text Indent Char"/>
    <w:basedOn w:val="DefaultParagraphFont"/>
    <w:link w:val="BodyTextIndent"/>
    <w:uiPriority w:val="99"/>
    <w:semiHidden/>
    <w:rsid w:val="005A0511"/>
    <w:rPr>
      <w:sz w:val="20"/>
      <w:szCs w:val="20"/>
    </w:rPr>
  </w:style>
  <w:style w:type="character" w:styleId="Hyperlink">
    <w:name w:val="Hyperlink"/>
    <w:rsid w:val="005A0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693">
      <w:bodyDiv w:val="1"/>
      <w:marLeft w:val="0"/>
      <w:marRight w:val="0"/>
      <w:marTop w:val="0"/>
      <w:marBottom w:val="0"/>
      <w:divBdr>
        <w:top w:val="none" w:sz="0" w:space="0" w:color="auto"/>
        <w:left w:val="none" w:sz="0" w:space="0" w:color="auto"/>
        <w:bottom w:val="none" w:sz="0" w:space="0" w:color="auto"/>
        <w:right w:val="none" w:sz="0" w:space="0" w:color="auto"/>
      </w:divBdr>
    </w:div>
    <w:div w:id="14256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8532</Characters>
  <Application>Microsoft Office Word</Application>
  <DocSecurity>0</DocSecurity>
  <PresentationFormat/>
  <Lines>227</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Objections -- DP&amp;L Corporate Separation Application (13-2442) (C42717).DOCX</dc:title>
  <dc:subject>C42717: /font=8</dc:subject>
  <dc:creator/>
  <cp:keywords> </cp:keywords>
  <dc:description> </dc:description>
  <cp:lastModifiedBy/>
  <cp:revision>17</cp:revision>
  <cp:lastPrinted>2014-02-04T18:26:00Z</cp:lastPrinted>
  <dcterms:created xsi:type="dcterms:W3CDTF">2014-02-04T15:06:00Z</dcterms:created>
  <dcterms:modified xsi:type="dcterms:W3CDTF">2014-02-04T21:20:00Z</dcterms:modified>
  <cp:category> </cp:category>
  <cp:contentStatus> </cp:contentStatus>
</cp:coreProperties>
</file>