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F018E" w14:textId="77777777" w:rsidR="00905A5F" w:rsidRDefault="00BF5E79" w:rsidP="00BF5E79">
      <w:pPr>
        <w:jc w:val="center"/>
        <w:rPr>
          <w:rFonts w:ascii="Times New Roman" w:hAnsi="Times New Roman" w:cs="Times New Roman"/>
          <w:b/>
        </w:rPr>
      </w:pPr>
      <w:r>
        <w:rPr>
          <w:rFonts w:ascii="Times New Roman" w:hAnsi="Times New Roman" w:cs="Times New Roman"/>
          <w:b/>
        </w:rPr>
        <w:t>BEFORE</w:t>
      </w:r>
    </w:p>
    <w:p w14:paraId="425B767C" w14:textId="77777777" w:rsidR="00BF5E79" w:rsidRDefault="00BF5E79" w:rsidP="00BF5E79">
      <w:pPr>
        <w:jc w:val="center"/>
        <w:rPr>
          <w:rFonts w:ascii="Times New Roman" w:hAnsi="Times New Roman" w:cs="Times New Roman"/>
          <w:b/>
        </w:rPr>
      </w:pPr>
      <w:r>
        <w:rPr>
          <w:rFonts w:ascii="Times New Roman" w:hAnsi="Times New Roman" w:cs="Times New Roman"/>
          <w:b/>
        </w:rPr>
        <w:t>THE PUBLIC UTILITIES COMMISSION OF OHIO</w:t>
      </w:r>
    </w:p>
    <w:p w14:paraId="49DD3AFA" w14:textId="77777777" w:rsidR="00BF5E79" w:rsidRDefault="00BF5E79" w:rsidP="00BF5E79">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0"/>
        <w:gridCol w:w="4518"/>
      </w:tblGrid>
      <w:tr w:rsidR="00BF5E79" w14:paraId="40661ED6" w14:textId="77777777" w:rsidTr="00AB6B41">
        <w:tc>
          <w:tcPr>
            <w:tcW w:w="4608" w:type="dxa"/>
          </w:tcPr>
          <w:p w14:paraId="472C710C" w14:textId="77777777" w:rsidR="00BF5E79" w:rsidRDefault="00BF5E79" w:rsidP="00AB6B41">
            <w:pPr>
              <w:rPr>
                <w:rFonts w:ascii="Times New Roman" w:hAnsi="Times New Roman" w:cs="Times New Roman"/>
              </w:rPr>
            </w:pPr>
            <w:r>
              <w:rPr>
                <w:rFonts w:ascii="Times New Roman" w:hAnsi="Times New Roman" w:cs="Times New Roman"/>
              </w:rPr>
              <w:t>In the Matter of the Application of Columbus Southern Power Company and Ohio Power Company for Authority to Establish a Standard Service Offer Pursuant to Section 4928.143, Revised Code, in the Form of an Electric Security Plan.</w:t>
            </w:r>
          </w:p>
          <w:p w14:paraId="0EF9A63D" w14:textId="77777777" w:rsidR="00BF5E79" w:rsidRDefault="00BF5E79" w:rsidP="00AB6B41">
            <w:pPr>
              <w:rPr>
                <w:rFonts w:ascii="Times New Roman" w:hAnsi="Times New Roman" w:cs="Times New Roman"/>
              </w:rPr>
            </w:pPr>
          </w:p>
        </w:tc>
        <w:tc>
          <w:tcPr>
            <w:tcW w:w="450" w:type="dxa"/>
          </w:tcPr>
          <w:p w14:paraId="1A6B3393"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1DA657D6"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11846085"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1E779580"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6CAF1867"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14481D82" w14:textId="77777777" w:rsidR="00BF5E79" w:rsidRDefault="00BF5E79" w:rsidP="00AB6B41">
            <w:pPr>
              <w:jc w:val="center"/>
              <w:rPr>
                <w:rFonts w:ascii="Times New Roman" w:hAnsi="Times New Roman" w:cs="Times New Roman"/>
              </w:rPr>
            </w:pPr>
            <w:r>
              <w:rPr>
                <w:rFonts w:ascii="Times New Roman" w:hAnsi="Times New Roman" w:cs="Times New Roman"/>
              </w:rPr>
              <w:t>)</w:t>
            </w:r>
          </w:p>
        </w:tc>
        <w:tc>
          <w:tcPr>
            <w:tcW w:w="4518" w:type="dxa"/>
          </w:tcPr>
          <w:p w14:paraId="2DA0C1E5" w14:textId="77777777" w:rsidR="00BF5E79" w:rsidRDefault="00BF5E79" w:rsidP="00AB6B41">
            <w:pPr>
              <w:ind w:firstLine="342"/>
              <w:rPr>
                <w:rFonts w:ascii="Times New Roman" w:hAnsi="Times New Roman" w:cs="Times New Roman"/>
              </w:rPr>
            </w:pPr>
          </w:p>
          <w:p w14:paraId="0B3B347A" w14:textId="77777777" w:rsidR="00BF5E79" w:rsidRDefault="00BF5E79" w:rsidP="00AB6B41">
            <w:pPr>
              <w:ind w:firstLine="342"/>
              <w:rPr>
                <w:rFonts w:ascii="Times New Roman" w:hAnsi="Times New Roman" w:cs="Times New Roman"/>
              </w:rPr>
            </w:pPr>
          </w:p>
          <w:p w14:paraId="7958EE54" w14:textId="77777777" w:rsidR="00BF5E79" w:rsidRDefault="00BF5E79" w:rsidP="00AB6B41">
            <w:pPr>
              <w:ind w:firstLine="342"/>
              <w:rPr>
                <w:rFonts w:ascii="Times New Roman" w:hAnsi="Times New Roman" w:cs="Times New Roman"/>
              </w:rPr>
            </w:pPr>
            <w:r>
              <w:rPr>
                <w:rFonts w:ascii="Times New Roman" w:hAnsi="Times New Roman" w:cs="Times New Roman"/>
              </w:rPr>
              <w:t>Case No. 11-346-EL-SSO</w:t>
            </w:r>
          </w:p>
          <w:p w14:paraId="63BC0DB1" w14:textId="77777777" w:rsidR="00BF5E79" w:rsidRDefault="00BF5E79" w:rsidP="00AB6B41">
            <w:pPr>
              <w:ind w:firstLine="342"/>
              <w:rPr>
                <w:rFonts w:ascii="Times New Roman" w:hAnsi="Times New Roman" w:cs="Times New Roman"/>
              </w:rPr>
            </w:pPr>
            <w:r>
              <w:rPr>
                <w:rFonts w:ascii="Times New Roman" w:hAnsi="Times New Roman" w:cs="Times New Roman"/>
              </w:rPr>
              <w:t>Case No. 11-348-EL-SSO</w:t>
            </w:r>
          </w:p>
        </w:tc>
      </w:tr>
      <w:tr w:rsidR="00BF5E79" w14:paraId="57B2AF62" w14:textId="77777777" w:rsidTr="00AB6B41">
        <w:tc>
          <w:tcPr>
            <w:tcW w:w="4608" w:type="dxa"/>
          </w:tcPr>
          <w:p w14:paraId="28B9C1EC" w14:textId="77777777" w:rsidR="00BF5E79" w:rsidRDefault="00BF5E79" w:rsidP="00AB6B41">
            <w:pPr>
              <w:rPr>
                <w:rFonts w:ascii="Times New Roman" w:hAnsi="Times New Roman" w:cs="Times New Roman"/>
              </w:rPr>
            </w:pPr>
            <w:r>
              <w:rPr>
                <w:rFonts w:ascii="Times New Roman" w:hAnsi="Times New Roman" w:cs="Times New Roman"/>
              </w:rPr>
              <w:t xml:space="preserve">In the Matter of the Application of Columbus Southern Power Company and Ohio Power Company for Approval of Certain Accounting Authority. </w:t>
            </w:r>
          </w:p>
        </w:tc>
        <w:tc>
          <w:tcPr>
            <w:tcW w:w="450" w:type="dxa"/>
          </w:tcPr>
          <w:p w14:paraId="79514DD4"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3F23A8B7"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560C4122" w14:textId="77777777" w:rsidR="00BF5E79" w:rsidRDefault="00BF5E79" w:rsidP="00AB6B41">
            <w:pPr>
              <w:jc w:val="center"/>
              <w:rPr>
                <w:rFonts w:ascii="Times New Roman" w:hAnsi="Times New Roman" w:cs="Times New Roman"/>
              </w:rPr>
            </w:pPr>
            <w:r>
              <w:rPr>
                <w:rFonts w:ascii="Times New Roman" w:hAnsi="Times New Roman" w:cs="Times New Roman"/>
              </w:rPr>
              <w:t>)</w:t>
            </w:r>
          </w:p>
          <w:p w14:paraId="2F2B8839" w14:textId="77777777" w:rsidR="00BF5E79" w:rsidRDefault="00BF5E79" w:rsidP="00AB6B41">
            <w:pPr>
              <w:jc w:val="center"/>
              <w:rPr>
                <w:rFonts w:ascii="Times New Roman" w:hAnsi="Times New Roman" w:cs="Times New Roman"/>
              </w:rPr>
            </w:pPr>
            <w:r>
              <w:rPr>
                <w:rFonts w:ascii="Times New Roman" w:hAnsi="Times New Roman" w:cs="Times New Roman"/>
              </w:rPr>
              <w:t>)</w:t>
            </w:r>
          </w:p>
        </w:tc>
        <w:tc>
          <w:tcPr>
            <w:tcW w:w="4518" w:type="dxa"/>
          </w:tcPr>
          <w:p w14:paraId="3415C880" w14:textId="77777777" w:rsidR="00BF5E79" w:rsidRDefault="00BF5E79" w:rsidP="00AB6B41">
            <w:pPr>
              <w:ind w:firstLine="342"/>
              <w:rPr>
                <w:rFonts w:ascii="Times New Roman" w:hAnsi="Times New Roman" w:cs="Times New Roman"/>
              </w:rPr>
            </w:pPr>
          </w:p>
          <w:p w14:paraId="42B9AF84" w14:textId="77777777" w:rsidR="00BF5E79" w:rsidRDefault="00BF5E79" w:rsidP="00AB6B41">
            <w:pPr>
              <w:ind w:firstLine="342"/>
              <w:rPr>
                <w:rFonts w:ascii="Times New Roman" w:hAnsi="Times New Roman" w:cs="Times New Roman"/>
              </w:rPr>
            </w:pPr>
            <w:r>
              <w:rPr>
                <w:rFonts w:ascii="Times New Roman" w:hAnsi="Times New Roman" w:cs="Times New Roman"/>
              </w:rPr>
              <w:t>Case No. 11-349-EL-AAM</w:t>
            </w:r>
          </w:p>
          <w:p w14:paraId="688F2CB3" w14:textId="77777777" w:rsidR="00BF5E79" w:rsidRDefault="00BF5E79" w:rsidP="00AB6B41">
            <w:pPr>
              <w:ind w:firstLine="342"/>
              <w:rPr>
                <w:rFonts w:ascii="Times New Roman" w:hAnsi="Times New Roman" w:cs="Times New Roman"/>
              </w:rPr>
            </w:pPr>
            <w:r>
              <w:rPr>
                <w:rFonts w:ascii="Times New Roman" w:hAnsi="Times New Roman" w:cs="Times New Roman"/>
              </w:rPr>
              <w:t>Case No. 11-350-EL-AAM</w:t>
            </w:r>
          </w:p>
        </w:tc>
      </w:tr>
    </w:tbl>
    <w:p w14:paraId="7CFF3311" w14:textId="77777777" w:rsidR="00BF5E79" w:rsidRDefault="00BF5E79" w:rsidP="00BF5E79">
      <w:pPr>
        <w:jc w:val="center"/>
        <w:rPr>
          <w:rFonts w:ascii="Times New Roman" w:hAnsi="Times New Roman" w:cs="Times New Roman"/>
        </w:rPr>
      </w:pPr>
    </w:p>
    <w:p w14:paraId="655705AA" w14:textId="77777777" w:rsidR="00BF5E79" w:rsidRPr="006E2F32" w:rsidRDefault="00BF5E79" w:rsidP="00BF5E79">
      <w:pPr>
        <w:jc w:val="center"/>
        <w:rPr>
          <w:rFonts w:ascii="Times New Roman" w:hAnsi="Times New Roman" w:cs="Times New Roman"/>
          <w:b/>
        </w:rPr>
      </w:pPr>
      <w:r>
        <w:rPr>
          <w:rFonts w:ascii="Times New Roman" w:hAnsi="Times New Roman" w:cs="Times New Roman"/>
          <w:b/>
        </w:rPr>
        <w:t>POST-HEARING BRIEF OF</w:t>
      </w:r>
    </w:p>
    <w:p w14:paraId="56813993" w14:textId="77777777" w:rsidR="00BF5E79" w:rsidRDefault="00BF5E79" w:rsidP="00BF5E79">
      <w:pPr>
        <w:jc w:val="center"/>
        <w:rPr>
          <w:rFonts w:ascii="Times New Roman" w:hAnsi="Times New Roman" w:cs="Times New Roman"/>
          <w:b/>
          <w:u w:val="single"/>
        </w:rPr>
      </w:pPr>
      <w:r>
        <w:rPr>
          <w:rFonts w:ascii="Times New Roman" w:hAnsi="Times New Roman" w:cs="Times New Roman"/>
          <w:b/>
          <w:u w:val="single"/>
        </w:rPr>
        <w:t>INTERSTATE GAS SUPPLY, INC.</w:t>
      </w:r>
    </w:p>
    <w:p w14:paraId="368AAF0B" w14:textId="77777777" w:rsidR="00BF5E79" w:rsidRDefault="00BF5E79" w:rsidP="00BF5E79">
      <w:pPr>
        <w:rPr>
          <w:rFonts w:ascii="Times New Roman" w:hAnsi="Times New Roman" w:cs="Times New Roman"/>
          <w:b/>
          <w:u w:val="single"/>
        </w:rPr>
      </w:pPr>
    </w:p>
    <w:p w14:paraId="016A0F64" w14:textId="77777777" w:rsidR="00BF5E79" w:rsidRDefault="00BF5E79" w:rsidP="00BF5E79">
      <w:pPr>
        <w:rPr>
          <w:rFonts w:ascii="Times New Roman" w:hAnsi="Times New Roman" w:cs="Times New Roman"/>
          <w:b/>
          <w:u w:val="single"/>
        </w:rPr>
      </w:pPr>
    </w:p>
    <w:p w14:paraId="5CDD335D" w14:textId="77777777" w:rsidR="00BF5E79" w:rsidRDefault="00BF5E79" w:rsidP="00BF5E79">
      <w:pPr>
        <w:rPr>
          <w:rFonts w:ascii="Times New Roman" w:hAnsi="Times New Roman" w:cs="Times New Roman"/>
          <w:b/>
          <w:u w:val="single"/>
        </w:rPr>
      </w:pPr>
    </w:p>
    <w:p w14:paraId="2D084DEE" w14:textId="77777777" w:rsidR="00BF5E79" w:rsidRDefault="00BF5E79" w:rsidP="00BF5E79">
      <w:pPr>
        <w:rPr>
          <w:rFonts w:ascii="Times New Roman" w:hAnsi="Times New Roman" w:cs="Times New Roman"/>
          <w:b/>
          <w:u w:val="single"/>
        </w:rPr>
      </w:pPr>
    </w:p>
    <w:p w14:paraId="32A26BEB" w14:textId="77777777" w:rsidR="00BF5E79" w:rsidRDefault="00BF5E79" w:rsidP="00BF5E79">
      <w:pPr>
        <w:rPr>
          <w:rFonts w:ascii="Times New Roman" w:hAnsi="Times New Roman" w:cs="Times New Roman"/>
          <w:b/>
          <w:u w:val="single"/>
        </w:rPr>
      </w:pPr>
    </w:p>
    <w:p w14:paraId="1C12E2A7" w14:textId="77777777" w:rsidR="00BF5E79" w:rsidRDefault="00BF5E79" w:rsidP="00BF5E79">
      <w:pPr>
        <w:rPr>
          <w:rFonts w:ascii="Times New Roman" w:hAnsi="Times New Roman" w:cs="Times New Roman"/>
          <w:b/>
          <w:u w:val="single"/>
        </w:rPr>
      </w:pPr>
    </w:p>
    <w:p w14:paraId="1B8DD0B3" w14:textId="77777777" w:rsidR="00BF5E79" w:rsidRDefault="00BF5E79" w:rsidP="00BF5E79">
      <w:pPr>
        <w:ind w:left="5040"/>
        <w:rPr>
          <w:rFonts w:ascii="Times New Roman" w:hAnsi="Times New Roman" w:cs="Times New Roman"/>
        </w:rPr>
      </w:pPr>
      <w:r>
        <w:rPr>
          <w:rFonts w:ascii="Times New Roman" w:hAnsi="Times New Roman" w:cs="Times New Roman"/>
        </w:rPr>
        <w:t>Mark A. Whitt (Counsel of Record)</w:t>
      </w:r>
    </w:p>
    <w:p w14:paraId="2A8C2710" w14:textId="77777777" w:rsidR="00BF5E79" w:rsidRDefault="00BF5E79" w:rsidP="00BF5E79">
      <w:pPr>
        <w:ind w:left="5040"/>
        <w:rPr>
          <w:rFonts w:ascii="Times New Roman" w:hAnsi="Times New Roman" w:cs="Times New Roman"/>
        </w:rPr>
      </w:pPr>
      <w:r>
        <w:rPr>
          <w:rFonts w:ascii="Times New Roman" w:hAnsi="Times New Roman" w:cs="Times New Roman"/>
        </w:rPr>
        <w:t>Andrew J. Campbell</w:t>
      </w:r>
    </w:p>
    <w:p w14:paraId="5DC367F4" w14:textId="77777777" w:rsidR="00BF5E79" w:rsidRDefault="00BF5E79" w:rsidP="00BF5E79">
      <w:pPr>
        <w:ind w:left="5040"/>
        <w:rPr>
          <w:rFonts w:ascii="Times New Roman" w:hAnsi="Times New Roman" w:cs="Times New Roman"/>
        </w:rPr>
      </w:pPr>
      <w:r>
        <w:rPr>
          <w:rFonts w:ascii="Times New Roman" w:hAnsi="Times New Roman" w:cs="Times New Roman"/>
        </w:rPr>
        <w:t>Melissa L. Thompson</w:t>
      </w:r>
    </w:p>
    <w:p w14:paraId="2C77DEFF" w14:textId="77777777" w:rsidR="00BF5E79" w:rsidRDefault="00BF5E79" w:rsidP="00BF5E79">
      <w:pPr>
        <w:ind w:left="5040"/>
        <w:rPr>
          <w:rFonts w:ascii="Times New Roman" w:hAnsi="Times New Roman" w:cs="Times New Roman"/>
        </w:rPr>
      </w:pPr>
      <w:r>
        <w:rPr>
          <w:rFonts w:ascii="Times New Roman" w:hAnsi="Times New Roman" w:cs="Times New Roman"/>
        </w:rPr>
        <w:t>WHITT STURTEVANT LLP</w:t>
      </w:r>
    </w:p>
    <w:p w14:paraId="0DB2B0EF" w14:textId="77777777" w:rsidR="00BF5E79" w:rsidRDefault="00BF5E79" w:rsidP="00BF5E79">
      <w:pPr>
        <w:ind w:left="5040"/>
        <w:rPr>
          <w:rFonts w:ascii="Times New Roman" w:hAnsi="Times New Roman" w:cs="Times New Roman"/>
        </w:rPr>
      </w:pPr>
      <w:r>
        <w:rPr>
          <w:rFonts w:ascii="Times New Roman" w:hAnsi="Times New Roman" w:cs="Times New Roman"/>
        </w:rPr>
        <w:t>PNC Plaza, Suite 2020</w:t>
      </w:r>
    </w:p>
    <w:p w14:paraId="1B3A8191" w14:textId="77777777" w:rsidR="00BF5E79" w:rsidRDefault="00BF5E79" w:rsidP="00BF5E79">
      <w:pPr>
        <w:ind w:left="5040"/>
        <w:rPr>
          <w:rFonts w:ascii="Times New Roman" w:hAnsi="Times New Roman" w:cs="Times New Roman"/>
        </w:rPr>
      </w:pPr>
      <w:r>
        <w:rPr>
          <w:rFonts w:ascii="Times New Roman" w:hAnsi="Times New Roman" w:cs="Times New Roman"/>
        </w:rPr>
        <w:t>155 East Broad Street</w:t>
      </w:r>
    </w:p>
    <w:p w14:paraId="2E8948C1" w14:textId="77777777" w:rsidR="00BF5E79" w:rsidRDefault="00BF5E79" w:rsidP="00BF5E79">
      <w:pPr>
        <w:ind w:left="5040"/>
        <w:rPr>
          <w:rFonts w:ascii="Times New Roman" w:hAnsi="Times New Roman" w:cs="Times New Roman"/>
        </w:rPr>
      </w:pPr>
      <w:r>
        <w:rPr>
          <w:rFonts w:ascii="Times New Roman" w:hAnsi="Times New Roman" w:cs="Times New Roman"/>
        </w:rPr>
        <w:t>Columbus, Ohio 43215</w:t>
      </w:r>
    </w:p>
    <w:p w14:paraId="63B8ECFA" w14:textId="77777777" w:rsidR="00BF5E79" w:rsidRDefault="00BF5E79" w:rsidP="00BF5E79">
      <w:pPr>
        <w:ind w:left="5040"/>
        <w:rPr>
          <w:rFonts w:ascii="Times New Roman" w:hAnsi="Times New Roman" w:cs="Times New Roman"/>
        </w:rPr>
      </w:pPr>
      <w:r>
        <w:rPr>
          <w:rFonts w:ascii="Times New Roman" w:hAnsi="Times New Roman" w:cs="Times New Roman"/>
        </w:rPr>
        <w:t>Telephone:  (614) 224-3911</w:t>
      </w:r>
    </w:p>
    <w:p w14:paraId="48681CFE" w14:textId="77777777" w:rsidR="00BF5E79" w:rsidRDefault="00BF5E79" w:rsidP="00BF5E79">
      <w:pPr>
        <w:ind w:left="5040"/>
        <w:rPr>
          <w:rFonts w:ascii="Times New Roman" w:hAnsi="Times New Roman" w:cs="Times New Roman"/>
        </w:rPr>
      </w:pPr>
      <w:r>
        <w:rPr>
          <w:rFonts w:ascii="Times New Roman" w:hAnsi="Times New Roman" w:cs="Times New Roman"/>
        </w:rPr>
        <w:t>Facsimile:   (614) 224-3960</w:t>
      </w:r>
    </w:p>
    <w:p w14:paraId="5D2D24DF" w14:textId="77777777" w:rsidR="00BF5E79" w:rsidRDefault="00BF5E79" w:rsidP="00BF5E79">
      <w:pPr>
        <w:ind w:left="5040"/>
        <w:rPr>
          <w:rFonts w:ascii="Times New Roman" w:hAnsi="Times New Roman" w:cs="Times New Roman"/>
        </w:rPr>
      </w:pPr>
      <w:r>
        <w:rPr>
          <w:rFonts w:ascii="Times New Roman" w:hAnsi="Times New Roman" w:cs="Times New Roman"/>
        </w:rPr>
        <w:t>whitt@whitt-sturtevant.com</w:t>
      </w:r>
    </w:p>
    <w:p w14:paraId="27EC6EBB" w14:textId="77777777" w:rsidR="00BF5E79" w:rsidRDefault="00BF5E79" w:rsidP="00BF5E79">
      <w:pPr>
        <w:ind w:left="5040"/>
        <w:rPr>
          <w:rFonts w:ascii="Times New Roman" w:hAnsi="Times New Roman" w:cs="Times New Roman"/>
        </w:rPr>
      </w:pPr>
      <w:r>
        <w:rPr>
          <w:rFonts w:ascii="Times New Roman" w:hAnsi="Times New Roman" w:cs="Times New Roman"/>
        </w:rPr>
        <w:t>campbell@whitt-sturtevant.com</w:t>
      </w:r>
    </w:p>
    <w:p w14:paraId="3460CF1B" w14:textId="77777777" w:rsidR="00BF5E79" w:rsidRDefault="00BF5E79" w:rsidP="00BF5E79">
      <w:pPr>
        <w:ind w:left="5040"/>
        <w:rPr>
          <w:rFonts w:ascii="Times New Roman" w:hAnsi="Times New Roman" w:cs="Times New Roman"/>
        </w:rPr>
      </w:pPr>
      <w:r>
        <w:rPr>
          <w:rFonts w:ascii="Times New Roman" w:hAnsi="Times New Roman" w:cs="Times New Roman"/>
        </w:rPr>
        <w:t>thompson@whitt-sturtevant.com</w:t>
      </w:r>
    </w:p>
    <w:p w14:paraId="00F60A1E" w14:textId="77777777" w:rsidR="00BF5E79" w:rsidRDefault="00BF5E79" w:rsidP="00BF5E79">
      <w:pPr>
        <w:ind w:left="5040"/>
        <w:rPr>
          <w:rFonts w:ascii="Times New Roman" w:hAnsi="Times New Roman" w:cs="Times New Roman"/>
        </w:rPr>
      </w:pPr>
    </w:p>
    <w:p w14:paraId="79EEC310" w14:textId="77777777" w:rsidR="00BF5E79" w:rsidRDefault="00BF5E79" w:rsidP="00BF5E79">
      <w:pPr>
        <w:ind w:left="5040"/>
        <w:rPr>
          <w:rFonts w:ascii="Times New Roman" w:hAnsi="Times New Roman" w:cs="Times New Roman"/>
        </w:rPr>
      </w:pPr>
      <w:r>
        <w:rPr>
          <w:rFonts w:ascii="Times New Roman" w:hAnsi="Times New Roman" w:cs="Times New Roman"/>
        </w:rPr>
        <w:t>Matthew White</w:t>
      </w:r>
    </w:p>
    <w:p w14:paraId="57BE366C" w14:textId="77777777" w:rsidR="00BF5E79" w:rsidRDefault="00BF5E79" w:rsidP="00BF5E79">
      <w:pPr>
        <w:ind w:left="5040"/>
        <w:rPr>
          <w:rFonts w:ascii="Times New Roman" w:hAnsi="Times New Roman" w:cs="Times New Roman"/>
        </w:rPr>
      </w:pPr>
      <w:r>
        <w:rPr>
          <w:rFonts w:ascii="Times New Roman" w:hAnsi="Times New Roman" w:cs="Times New Roman"/>
        </w:rPr>
        <w:t>Interstate Gas Supply, Inc.</w:t>
      </w:r>
    </w:p>
    <w:p w14:paraId="373AAB1F" w14:textId="77777777" w:rsidR="00BF5E79" w:rsidRDefault="00BF5E79" w:rsidP="00BF5E79">
      <w:pPr>
        <w:ind w:left="5040"/>
        <w:rPr>
          <w:rFonts w:ascii="Times New Roman" w:hAnsi="Times New Roman" w:cs="Times New Roman"/>
        </w:rPr>
      </w:pPr>
      <w:r>
        <w:rPr>
          <w:rFonts w:ascii="Times New Roman" w:hAnsi="Times New Roman" w:cs="Times New Roman"/>
        </w:rPr>
        <w:t>6100 Emerald Parkway</w:t>
      </w:r>
    </w:p>
    <w:p w14:paraId="60C38E97" w14:textId="77777777" w:rsidR="00BF5E79" w:rsidRDefault="00BF5E79" w:rsidP="00BF5E79">
      <w:pPr>
        <w:ind w:left="5040"/>
        <w:rPr>
          <w:rFonts w:ascii="Times New Roman" w:hAnsi="Times New Roman" w:cs="Times New Roman"/>
        </w:rPr>
      </w:pPr>
      <w:r>
        <w:rPr>
          <w:rFonts w:ascii="Times New Roman" w:hAnsi="Times New Roman" w:cs="Times New Roman"/>
        </w:rPr>
        <w:t>Dublin, Ohio 43016</w:t>
      </w:r>
    </w:p>
    <w:p w14:paraId="494217E3" w14:textId="77777777" w:rsidR="00BF5E79" w:rsidRDefault="00BF5E79" w:rsidP="00BF5E79">
      <w:pPr>
        <w:ind w:left="5040"/>
        <w:rPr>
          <w:rFonts w:ascii="Times New Roman" w:hAnsi="Times New Roman" w:cs="Times New Roman"/>
        </w:rPr>
      </w:pPr>
      <w:r>
        <w:rPr>
          <w:rFonts w:ascii="Times New Roman" w:hAnsi="Times New Roman" w:cs="Times New Roman"/>
        </w:rPr>
        <w:t>Telephone:  (614) 659-5000</w:t>
      </w:r>
    </w:p>
    <w:p w14:paraId="079B41ED" w14:textId="77777777" w:rsidR="00BF5E79" w:rsidRDefault="00BF5E79" w:rsidP="00BF5E79">
      <w:pPr>
        <w:ind w:left="5040"/>
        <w:rPr>
          <w:rFonts w:ascii="Times New Roman" w:hAnsi="Times New Roman" w:cs="Times New Roman"/>
        </w:rPr>
      </w:pPr>
      <w:r>
        <w:rPr>
          <w:rFonts w:ascii="Times New Roman" w:hAnsi="Times New Roman" w:cs="Times New Roman"/>
        </w:rPr>
        <w:t>Facsimile:   (614) 659-5073</w:t>
      </w:r>
    </w:p>
    <w:p w14:paraId="6A3CC822" w14:textId="77777777" w:rsidR="00BF5E79" w:rsidRDefault="00BF5E79" w:rsidP="00BF5E79">
      <w:pPr>
        <w:ind w:left="5040"/>
        <w:rPr>
          <w:rFonts w:ascii="Times New Roman" w:hAnsi="Times New Roman" w:cs="Times New Roman"/>
        </w:rPr>
      </w:pPr>
      <w:r>
        <w:rPr>
          <w:rFonts w:ascii="Times New Roman" w:hAnsi="Times New Roman" w:cs="Times New Roman"/>
        </w:rPr>
        <w:t>mswhite@igsenergy.com</w:t>
      </w:r>
    </w:p>
    <w:p w14:paraId="38D6B28B" w14:textId="77777777" w:rsidR="00BF5E79" w:rsidRDefault="00BF5E79" w:rsidP="00BF5E79">
      <w:pPr>
        <w:rPr>
          <w:rFonts w:ascii="Times New Roman" w:hAnsi="Times New Roman" w:cs="Times New Roman"/>
        </w:rPr>
      </w:pPr>
    </w:p>
    <w:p w14:paraId="1F8C5172" w14:textId="77777777" w:rsidR="00BF5E79" w:rsidRDefault="00BF5E79" w:rsidP="00BF5E79">
      <w:pPr>
        <w:ind w:left="5040"/>
        <w:rPr>
          <w:rFonts w:ascii="Times New Roman" w:hAnsi="Times New Roman" w:cs="Times New Roman"/>
        </w:rPr>
        <w:sectPr w:rsidR="00BF5E79" w:rsidSect="0079342F">
          <w:footerReference w:type="even" r:id="rId8"/>
          <w:footerReference w:type="default" r:id="rId9"/>
          <w:pgSz w:w="12240" w:h="15840"/>
          <w:pgMar w:top="1440" w:right="1440" w:bottom="1440" w:left="1440" w:header="720" w:footer="720" w:gutter="0"/>
          <w:cols w:space="720"/>
          <w:titlePg/>
          <w:docGrid w:linePitch="360"/>
        </w:sectPr>
      </w:pPr>
      <w:r>
        <w:rPr>
          <w:rFonts w:ascii="Times New Roman" w:hAnsi="Times New Roman" w:cs="Times New Roman"/>
        </w:rPr>
        <w:t>ATTORNEYS FOR INTERSTATE GAS SUPPLY, INC.</w:t>
      </w:r>
    </w:p>
    <w:p w14:paraId="651D38CF" w14:textId="77777777" w:rsidR="00BF5E79" w:rsidRPr="001D2F67" w:rsidRDefault="00BF5E79" w:rsidP="00BF5E79">
      <w:pPr>
        <w:jc w:val="center"/>
        <w:rPr>
          <w:rFonts w:ascii="Times New Roman" w:hAnsi="Times New Roman" w:cs="Times New Roman"/>
          <w:b/>
          <w:u w:val="single"/>
        </w:rPr>
      </w:pPr>
      <w:r w:rsidRPr="001D2F67">
        <w:rPr>
          <w:rFonts w:ascii="Times New Roman" w:hAnsi="Times New Roman" w:cs="Times New Roman"/>
          <w:b/>
          <w:u w:val="single"/>
        </w:rPr>
        <w:lastRenderedPageBreak/>
        <w:t>TABLE OF CONTENTS</w:t>
      </w:r>
    </w:p>
    <w:p w14:paraId="279654B2" w14:textId="77777777" w:rsidR="00BF5E79" w:rsidRDefault="00BF5E79" w:rsidP="00BF5E79">
      <w:pPr>
        <w:rPr>
          <w:rFonts w:ascii="Times New Roman" w:hAnsi="Times New Roman" w:cs="Times New Roman"/>
          <w:b/>
        </w:rPr>
      </w:pPr>
    </w:p>
    <w:p w14:paraId="5541C8C7" w14:textId="6D5CBC46" w:rsidR="00EC1074" w:rsidRDefault="009328ED" w:rsidP="003D58FB">
      <w:pPr>
        <w:tabs>
          <w:tab w:val="left" w:pos="720"/>
          <w:tab w:val="left" w:leader="dot" w:pos="9180"/>
        </w:tabs>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INTRODUCTION</w:t>
      </w:r>
      <w:r w:rsidR="003D58FB" w:rsidRPr="003D58FB">
        <w:rPr>
          <w:rFonts w:ascii="Times New Roman" w:hAnsi="Times New Roman" w:cs="Times New Roman"/>
        </w:rPr>
        <w:tab/>
      </w:r>
      <w:r w:rsidR="003D58FB">
        <w:rPr>
          <w:rFonts w:ascii="Times New Roman" w:hAnsi="Times New Roman" w:cs="Times New Roman"/>
          <w:b/>
        </w:rPr>
        <w:t>1</w:t>
      </w:r>
    </w:p>
    <w:p w14:paraId="182B4692" w14:textId="77777777" w:rsidR="009328ED" w:rsidRDefault="009328ED" w:rsidP="003D58FB">
      <w:pPr>
        <w:tabs>
          <w:tab w:val="left" w:pos="720"/>
        </w:tabs>
        <w:rPr>
          <w:rFonts w:ascii="Times New Roman" w:hAnsi="Times New Roman" w:cs="Times New Roman"/>
          <w:b/>
        </w:rPr>
      </w:pPr>
    </w:p>
    <w:p w14:paraId="0AAB7033" w14:textId="19AFC73D" w:rsidR="009328ED" w:rsidRDefault="009328ED" w:rsidP="003D58FB">
      <w:pPr>
        <w:tabs>
          <w:tab w:val="left" w:pos="720"/>
          <w:tab w:val="left" w:leader="dot" w:pos="9180"/>
        </w:tabs>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ARGUMENT</w:t>
      </w:r>
      <w:r w:rsidR="003D58FB" w:rsidRPr="003D58FB">
        <w:rPr>
          <w:rFonts w:ascii="Times New Roman" w:hAnsi="Times New Roman" w:cs="Times New Roman"/>
        </w:rPr>
        <w:tab/>
      </w:r>
      <w:r w:rsidR="003D58FB">
        <w:rPr>
          <w:rFonts w:ascii="Times New Roman" w:hAnsi="Times New Roman" w:cs="Times New Roman"/>
          <w:b/>
        </w:rPr>
        <w:t>1</w:t>
      </w:r>
    </w:p>
    <w:p w14:paraId="19CA1A71" w14:textId="77777777" w:rsidR="003D58FB" w:rsidRDefault="003D58FB" w:rsidP="003D58FB">
      <w:pPr>
        <w:tabs>
          <w:tab w:val="left" w:pos="720"/>
          <w:tab w:val="left" w:leader="dot" w:pos="9180"/>
        </w:tabs>
        <w:rPr>
          <w:rFonts w:ascii="Times New Roman" w:hAnsi="Times New Roman" w:cs="Times New Roman"/>
          <w:b/>
        </w:rPr>
      </w:pPr>
    </w:p>
    <w:p w14:paraId="79651F2A" w14:textId="40C99708" w:rsidR="003D58FB" w:rsidRDefault="003D58FB" w:rsidP="003D58FB">
      <w:pPr>
        <w:tabs>
          <w:tab w:val="left" w:pos="720"/>
          <w:tab w:val="left" w:pos="1440"/>
          <w:tab w:val="left" w:leader="dot" w:pos="9180"/>
        </w:tabs>
        <w:rPr>
          <w:rFonts w:ascii="Times New Roman" w:hAnsi="Times New Roman" w:cs="Times New Roman"/>
          <w:b/>
        </w:rPr>
      </w:pPr>
      <w:r>
        <w:rPr>
          <w:rFonts w:ascii="Times New Roman" w:hAnsi="Times New Roman" w:cs="Times New Roman"/>
          <w:b/>
        </w:rPr>
        <w:tab/>
        <w:t>A.</w:t>
      </w:r>
      <w:r>
        <w:rPr>
          <w:rFonts w:ascii="Times New Roman" w:hAnsi="Times New Roman" w:cs="Times New Roman"/>
          <w:b/>
        </w:rPr>
        <w:tab/>
        <w:t>The Commission should not adopt a capacity price structure</w:t>
      </w:r>
    </w:p>
    <w:p w14:paraId="65211258" w14:textId="43016580" w:rsidR="003D58FB" w:rsidRDefault="003D58FB" w:rsidP="003D58FB">
      <w:pPr>
        <w:tabs>
          <w:tab w:val="left" w:pos="720"/>
          <w:tab w:val="left" w:pos="144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that</w:t>
      </w:r>
      <w:proofErr w:type="gramEnd"/>
      <w:r>
        <w:rPr>
          <w:rFonts w:ascii="Times New Roman" w:hAnsi="Times New Roman" w:cs="Times New Roman"/>
          <w:b/>
        </w:rPr>
        <w:t xml:space="preserve"> will hinder competition</w:t>
      </w:r>
      <w:r w:rsidRPr="003D58FB">
        <w:rPr>
          <w:rFonts w:ascii="Times New Roman" w:hAnsi="Times New Roman" w:cs="Times New Roman"/>
        </w:rPr>
        <w:tab/>
      </w:r>
      <w:r>
        <w:rPr>
          <w:rFonts w:ascii="Times New Roman" w:hAnsi="Times New Roman" w:cs="Times New Roman"/>
          <w:b/>
        </w:rPr>
        <w:t>1</w:t>
      </w:r>
    </w:p>
    <w:p w14:paraId="279FC541" w14:textId="77777777" w:rsidR="003D58FB" w:rsidRDefault="003D58FB" w:rsidP="003D58FB">
      <w:pPr>
        <w:tabs>
          <w:tab w:val="left" w:pos="720"/>
          <w:tab w:val="left" w:pos="1440"/>
          <w:tab w:val="left" w:leader="dot" w:pos="9180"/>
        </w:tabs>
        <w:rPr>
          <w:rFonts w:ascii="Times New Roman" w:hAnsi="Times New Roman" w:cs="Times New Roman"/>
          <w:b/>
        </w:rPr>
      </w:pPr>
    </w:p>
    <w:p w14:paraId="375F1BB7" w14:textId="7322F017"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t>B.</w:t>
      </w:r>
      <w:r>
        <w:rPr>
          <w:rFonts w:ascii="Times New Roman" w:hAnsi="Times New Roman" w:cs="Times New Roman"/>
          <w:b/>
        </w:rPr>
        <w:tab/>
        <w:t>If a tired capacity system is adopted, which IGS does not advocate,</w:t>
      </w:r>
    </w:p>
    <w:p w14:paraId="128E2B61" w14:textId="72ABAB36"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the</w:t>
      </w:r>
      <w:proofErr w:type="gramEnd"/>
      <w:r>
        <w:rPr>
          <w:rFonts w:ascii="Times New Roman" w:hAnsi="Times New Roman" w:cs="Times New Roman"/>
          <w:b/>
        </w:rPr>
        <w:t xml:space="preserve"> Commission should modify AEP’s proposal to allow for </w:t>
      </w:r>
    </w:p>
    <w:p w14:paraId="66DE212D" w14:textId="3ED43E17"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additional</w:t>
      </w:r>
      <w:proofErr w:type="gramEnd"/>
      <w:r>
        <w:rPr>
          <w:rFonts w:ascii="Times New Roman" w:hAnsi="Times New Roman" w:cs="Times New Roman"/>
          <w:b/>
        </w:rPr>
        <w:t xml:space="preserve"> customer migration</w:t>
      </w:r>
      <w:r w:rsidRPr="003D58FB">
        <w:rPr>
          <w:rFonts w:ascii="Times New Roman" w:hAnsi="Times New Roman" w:cs="Times New Roman"/>
        </w:rPr>
        <w:tab/>
      </w:r>
      <w:r>
        <w:rPr>
          <w:rFonts w:ascii="Times New Roman" w:hAnsi="Times New Roman" w:cs="Times New Roman"/>
          <w:b/>
        </w:rPr>
        <w:t>2</w:t>
      </w:r>
    </w:p>
    <w:p w14:paraId="6F5EBB6A" w14:textId="77777777" w:rsidR="003D58FB" w:rsidRDefault="003D58FB" w:rsidP="003D58FB">
      <w:pPr>
        <w:tabs>
          <w:tab w:val="left" w:pos="720"/>
          <w:tab w:val="left" w:pos="1440"/>
          <w:tab w:val="left" w:pos="2160"/>
          <w:tab w:val="left" w:leader="dot" w:pos="9180"/>
        </w:tabs>
        <w:rPr>
          <w:rFonts w:ascii="Times New Roman" w:hAnsi="Times New Roman" w:cs="Times New Roman"/>
          <w:b/>
        </w:rPr>
      </w:pPr>
    </w:p>
    <w:p w14:paraId="2048C127" w14:textId="48C406B2"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t>C.</w:t>
      </w:r>
      <w:r>
        <w:rPr>
          <w:rFonts w:ascii="Times New Roman" w:hAnsi="Times New Roman" w:cs="Times New Roman"/>
          <w:b/>
        </w:rPr>
        <w:tab/>
        <w:t>If the Commission grants AEP’s proposals for capacity higher than</w:t>
      </w:r>
    </w:p>
    <w:p w14:paraId="0775AEEA" w14:textId="0F1A67B3"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the</w:t>
      </w:r>
      <w:proofErr w:type="gramEnd"/>
      <w:r>
        <w:rPr>
          <w:rFonts w:ascii="Times New Roman" w:hAnsi="Times New Roman" w:cs="Times New Roman"/>
          <w:b/>
        </w:rPr>
        <w:t xml:space="preserve"> RPM price, the Commission should modify the ESP to include a </w:t>
      </w:r>
    </w:p>
    <w:p w14:paraId="23D074B7" w14:textId="1FCF3AC2" w:rsidR="003D58FB" w:rsidRDefault="003D58FB" w:rsidP="003D58FB">
      <w:pPr>
        <w:tabs>
          <w:tab w:val="left" w:pos="720"/>
          <w:tab w:val="left" w:pos="1440"/>
          <w:tab w:val="left" w:pos="216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POR program and other market enhancement mechanisms</w:t>
      </w:r>
      <w:r>
        <w:rPr>
          <w:rFonts w:ascii="Times New Roman" w:hAnsi="Times New Roman" w:cs="Times New Roman"/>
        </w:rPr>
        <w:tab/>
      </w:r>
      <w:r w:rsidR="001D2F67">
        <w:rPr>
          <w:rFonts w:ascii="Times New Roman" w:hAnsi="Times New Roman" w:cs="Times New Roman"/>
          <w:b/>
        </w:rPr>
        <w:t>4</w:t>
      </w:r>
    </w:p>
    <w:p w14:paraId="0D34E019" w14:textId="77777777" w:rsidR="003D58FB" w:rsidRDefault="003D58FB" w:rsidP="003D58FB">
      <w:pPr>
        <w:tabs>
          <w:tab w:val="left" w:pos="720"/>
          <w:tab w:val="left" w:pos="1440"/>
          <w:tab w:val="left" w:pos="2160"/>
          <w:tab w:val="left" w:leader="dot" w:pos="9180"/>
        </w:tabs>
        <w:rPr>
          <w:rFonts w:ascii="Times New Roman" w:hAnsi="Times New Roman" w:cs="Times New Roman"/>
          <w:b/>
        </w:rPr>
      </w:pPr>
    </w:p>
    <w:p w14:paraId="4085CC6A" w14:textId="56B55FC4" w:rsidR="003D58FB" w:rsidRDefault="003D58FB" w:rsidP="003D58FB">
      <w:pPr>
        <w:tabs>
          <w:tab w:val="left" w:pos="720"/>
          <w:tab w:val="left" w:pos="1440"/>
          <w:tab w:val="left" w:pos="2160"/>
          <w:tab w:val="left" w:pos="288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Pr>
          <w:rFonts w:ascii="Times New Roman" w:hAnsi="Times New Roman" w:cs="Times New Roman"/>
          <w:b/>
        </w:rPr>
        <w:tab/>
        <w:t xml:space="preserve">A purchase of receivables program would enhance </w:t>
      </w:r>
    </w:p>
    <w:p w14:paraId="5C7D871E" w14:textId="656D113A" w:rsidR="003D58FB" w:rsidRDefault="003D58FB" w:rsidP="003D58FB">
      <w:pPr>
        <w:tabs>
          <w:tab w:val="left" w:pos="720"/>
          <w:tab w:val="left" w:pos="1440"/>
          <w:tab w:val="left" w:pos="2160"/>
          <w:tab w:val="left" w:pos="288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competition</w:t>
      </w:r>
      <w:proofErr w:type="gramEnd"/>
      <w:r>
        <w:rPr>
          <w:rFonts w:ascii="Times New Roman" w:hAnsi="Times New Roman" w:cs="Times New Roman"/>
          <w:b/>
        </w:rPr>
        <w:t xml:space="preserve"> by allowing AEP to use the low-risk</w:t>
      </w:r>
    </w:p>
    <w:p w14:paraId="30631D70" w14:textId="7BDC353E" w:rsidR="003D58FB" w:rsidRDefault="003D58FB" w:rsidP="003D58FB">
      <w:pPr>
        <w:tabs>
          <w:tab w:val="left" w:pos="720"/>
          <w:tab w:val="left" w:pos="1440"/>
          <w:tab w:val="left" w:pos="2160"/>
          <w:tab w:val="left" w:pos="288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structure</w:t>
      </w:r>
      <w:proofErr w:type="gramEnd"/>
      <w:r>
        <w:rPr>
          <w:rFonts w:ascii="Times New Roman" w:hAnsi="Times New Roman" w:cs="Times New Roman"/>
          <w:b/>
        </w:rPr>
        <w:t xml:space="preserve"> it already has in place to purchase CRES</w:t>
      </w:r>
    </w:p>
    <w:p w14:paraId="243AB91C" w14:textId="24CFEC1B" w:rsidR="003D58FB" w:rsidRDefault="003D58FB" w:rsidP="003D58FB">
      <w:pPr>
        <w:tabs>
          <w:tab w:val="left" w:pos="720"/>
          <w:tab w:val="left" w:pos="1440"/>
          <w:tab w:val="left" w:pos="2160"/>
          <w:tab w:val="left" w:pos="288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receivables</w:t>
      </w:r>
      <w:proofErr w:type="gramEnd"/>
      <w:r>
        <w:rPr>
          <w:rFonts w:ascii="Times New Roman" w:hAnsi="Times New Roman" w:cs="Times New Roman"/>
        </w:rPr>
        <w:tab/>
      </w:r>
      <w:r>
        <w:rPr>
          <w:rFonts w:ascii="Times New Roman" w:hAnsi="Times New Roman" w:cs="Times New Roman"/>
          <w:b/>
        </w:rPr>
        <w:t>4</w:t>
      </w:r>
    </w:p>
    <w:p w14:paraId="6C0DEE34" w14:textId="77777777" w:rsidR="001D2F67" w:rsidRDefault="001D2F67" w:rsidP="003D58FB">
      <w:pPr>
        <w:tabs>
          <w:tab w:val="left" w:pos="720"/>
          <w:tab w:val="left" w:pos="1440"/>
          <w:tab w:val="left" w:pos="2160"/>
          <w:tab w:val="left" w:pos="2880"/>
          <w:tab w:val="left" w:leader="dot" w:pos="9180"/>
        </w:tabs>
        <w:rPr>
          <w:rFonts w:ascii="Times New Roman" w:hAnsi="Times New Roman" w:cs="Times New Roman"/>
          <w:b/>
        </w:rPr>
      </w:pPr>
    </w:p>
    <w:p w14:paraId="6D7836E6" w14:textId="6F677484"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w:t>
      </w:r>
      <w:r>
        <w:rPr>
          <w:rFonts w:ascii="Times New Roman" w:hAnsi="Times New Roman" w:cs="Times New Roman"/>
          <w:b/>
        </w:rPr>
        <w:tab/>
        <w:t>The Commission is not precluded from</w:t>
      </w:r>
    </w:p>
    <w:p w14:paraId="3CD26B34" w14:textId="2D12C9E4"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modifying</w:t>
      </w:r>
      <w:proofErr w:type="gramEnd"/>
      <w:r>
        <w:rPr>
          <w:rFonts w:ascii="Times New Roman" w:hAnsi="Times New Roman" w:cs="Times New Roman"/>
          <w:b/>
        </w:rPr>
        <w:t xml:space="preserve"> the ESP to include a POR Program</w:t>
      </w:r>
      <w:r>
        <w:rPr>
          <w:rFonts w:ascii="Times New Roman" w:hAnsi="Times New Roman" w:cs="Times New Roman"/>
        </w:rPr>
        <w:tab/>
      </w:r>
      <w:r>
        <w:rPr>
          <w:rFonts w:ascii="Times New Roman" w:hAnsi="Times New Roman" w:cs="Times New Roman"/>
          <w:b/>
        </w:rPr>
        <w:t>5</w:t>
      </w:r>
    </w:p>
    <w:p w14:paraId="44D7FE5A" w14:textId="77777777"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rPr>
      </w:pPr>
    </w:p>
    <w:p w14:paraId="2D45AA53" w14:textId="34B8957F"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b.</w:t>
      </w:r>
      <w:r>
        <w:rPr>
          <w:rFonts w:ascii="Times New Roman" w:hAnsi="Times New Roman" w:cs="Times New Roman"/>
          <w:b/>
        </w:rPr>
        <w:tab/>
        <w:t>A POR program advances state policy</w:t>
      </w:r>
      <w:r>
        <w:rPr>
          <w:rFonts w:ascii="Times New Roman" w:hAnsi="Times New Roman" w:cs="Times New Roman"/>
        </w:rPr>
        <w:tab/>
      </w:r>
      <w:r>
        <w:rPr>
          <w:rFonts w:ascii="Times New Roman" w:hAnsi="Times New Roman" w:cs="Times New Roman"/>
          <w:b/>
        </w:rPr>
        <w:t>6</w:t>
      </w:r>
    </w:p>
    <w:p w14:paraId="284BF963" w14:textId="77777777"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rPr>
      </w:pPr>
    </w:p>
    <w:p w14:paraId="05AB130D" w14:textId="1769A392"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c.</w:t>
      </w:r>
      <w:r>
        <w:rPr>
          <w:rFonts w:ascii="Times New Roman" w:hAnsi="Times New Roman" w:cs="Times New Roman"/>
          <w:b/>
        </w:rPr>
        <w:tab/>
        <w:t>A POR program more efficiently uses resources</w:t>
      </w:r>
    </w:p>
    <w:p w14:paraId="07E28088" w14:textId="08D2AD88"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while</w:t>
      </w:r>
      <w:proofErr w:type="gramEnd"/>
      <w:r>
        <w:rPr>
          <w:rFonts w:ascii="Times New Roman" w:hAnsi="Times New Roman" w:cs="Times New Roman"/>
          <w:b/>
        </w:rPr>
        <w:t xml:space="preserve"> reducing costs to customers</w:t>
      </w:r>
      <w:r>
        <w:rPr>
          <w:rFonts w:ascii="Times New Roman" w:hAnsi="Times New Roman" w:cs="Times New Roman"/>
        </w:rPr>
        <w:tab/>
      </w:r>
      <w:r>
        <w:rPr>
          <w:rFonts w:ascii="Times New Roman" w:hAnsi="Times New Roman" w:cs="Times New Roman"/>
          <w:b/>
        </w:rPr>
        <w:t>6</w:t>
      </w:r>
    </w:p>
    <w:p w14:paraId="1C411BC2" w14:textId="77777777"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p>
    <w:p w14:paraId="1557FBE6" w14:textId="374F0FC5"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w:t>
      </w:r>
      <w:r>
        <w:rPr>
          <w:rFonts w:ascii="Times New Roman" w:hAnsi="Times New Roman" w:cs="Times New Roman"/>
          <w:b/>
        </w:rPr>
        <w:tab/>
        <w:t>A POR program provides other non-monetary</w:t>
      </w:r>
    </w:p>
    <w:p w14:paraId="6B675096" w14:textId="26C6E69C"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benefits</w:t>
      </w:r>
      <w:proofErr w:type="gramEnd"/>
      <w:r>
        <w:rPr>
          <w:rFonts w:ascii="Times New Roman" w:hAnsi="Times New Roman" w:cs="Times New Roman"/>
          <w:b/>
        </w:rPr>
        <w:t xml:space="preserve"> to consumers</w:t>
      </w:r>
      <w:r>
        <w:rPr>
          <w:rFonts w:ascii="Times New Roman" w:hAnsi="Times New Roman" w:cs="Times New Roman"/>
        </w:rPr>
        <w:tab/>
      </w:r>
      <w:r>
        <w:rPr>
          <w:rFonts w:ascii="Times New Roman" w:hAnsi="Times New Roman" w:cs="Times New Roman"/>
          <w:b/>
        </w:rPr>
        <w:t>7</w:t>
      </w:r>
    </w:p>
    <w:p w14:paraId="6F1CC31E" w14:textId="77777777"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p>
    <w:p w14:paraId="3D764BD6" w14:textId="75E57769"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w:t>
      </w:r>
      <w:r>
        <w:rPr>
          <w:rFonts w:ascii="Times New Roman" w:hAnsi="Times New Roman" w:cs="Times New Roman"/>
          <w:b/>
        </w:rPr>
        <w:tab/>
        <w:t>IGS’s proposed POR program would not result</w:t>
      </w:r>
    </w:p>
    <w:p w14:paraId="25602E85" w14:textId="7616D0E3"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in</w:t>
      </w:r>
      <w:proofErr w:type="gramEnd"/>
      <w:r>
        <w:rPr>
          <w:rFonts w:ascii="Times New Roman" w:hAnsi="Times New Roman" w:cs="Times New Roman"/>
          <w:b/>
        </w:rPr>
        <w:t xml:space="preserve"> an increased </w:t>
      </w:r>
      <w:r w:rsidR="00262963">
        <w:rPr>
          <w:rFonts w:ascii="Times New Roman" w:hAnsi="Times New Roman" w:cs="Times New Roman"/>
          <w:b/>
        </w:rPr>
        <w:t xml:space="preserve">cost or </w:t>
      </w:r>
      <w:r>
        <w:rPr>
          <w:rFonts w:ascii="Times New Roman" w:hAnsi="Times New Roman" w:cs="Times New Roman"/>
          <w:b/>
        </w:rPr>
        <w:t>risk to AEP</w:t>
      </w:r>
      <w:r>
        <w:rPr>
          <w:rFonts w:ascii="Times New Roman" w:hAnsi="Times New Roman" w:cs="Times New Roman"/>
        </w:rPr>
        <w:tab/>
      </w:r>
      <w:r>
        <w:rPr>
          <w:rFonts w:ascii="Times New Roman" w:hAnsi="Times New Roman" w:cs="Times New Roman"/>
          <w:b/>
        </w:rPr>
        <w:t>8</w:t>
      </w:r>
    </w:p>
    <w:p w14:paraId="6B17AF80" w14:textId="77777777" w:rsidR="00D76D90" w:rsidRDefault="00D76D90" w:rsidP="001D2F67">
      <w:pPr>
        <w:tabs>
          <w:tab w:val="left" w:pos="720"/>
          <w:tab w:val="left" w:pos="1440"/>
          <w:tab w:val="left" w:pos="2160"/>
          <w:tab w:val="left" w:pos="2880"/>
          <w:tab w:val="left" w:pos="3600"/>
          <w:tab w:val="left" w:leader="dot" w:pos="9180"/>
        </w:tabs>
        <w:rPr>
          <w:rFonts w:ascii="Times New Roman" w:hAnsi="Times New Roman" w:cs="Times New Roman"/>
          <w:b/>
        </w:rPr>
      </w:pPr>
    </w:p>
    <w:p w14:paraId="3062562A" w14:textId="7053CEA3" w:rsidR="00D76D90" w:rsidRPr="00D76D90" w:rsidRDefault="00D76D90" w:rsidP="00D76D90">
      <w:pPr>
        <w:tabs>
          <w:tab w:val="left" w:leader="dot" w:pos="9090"/>
        </w:tabs>
        <w:ind w:left="3600" w:hanging="720"/>
        <w:rPr>
          <w:rFonts w:ascii="Times New Roman" w:hAnsi="Times New Roman" w:cs="Times New Roman"/>
        </w:rPr>
      </w:pPr>
      <w:r w:rsidRPr="00F90FE1">
        <w:rPr>
          <w:rFonts w:ascii="Times New Roman" w:hAnsi="Times New Roman" w:cs="Times New Roman"/>
          <w:b/>
        </w:rPr>
        <w:t>f.</w:t>
      </w:r>
      <w:r w:rsidRPr="00F90FE1">
        <w:rPr>
          <w:rFonts w:ascii="Times New Roman" w:hAnsi="Times New Roman" w:cs="Times New Roman"/>
          <w:b/>
        </w:rPr>
        <w:tab/>
      </w:r>
      <w:r>
        <w:rPr>
          <w:rFonts w:ascii="Times New Roman" w:hAnsi="Times New Roman" w:cs="Times New Roman"/>
          <w:b/>
        </w:rPr>
        <w:t xml:space="preserve">The </w:t>
      </w:r>
      <w:r w:rsidRPr="00F90FE1">
        <w:rPr>
          <w:rFonts w:ascii="Times New Roman" w:hAnsi="Times New Roman" w:cs="Times New Roman"/>
          <w:b/>
        </w:rPr>
        <w:t xml:space="preserve">Duke and </w:t>
      </w:r>
      <w:r>
        <w:rPr>
          <w:rFonts w:ascii="Times New Roman" w:hAnsi="Times New Roman" w:cs="Times New Roman"/>
          <w:b/>
        </w:rPr>
        <w:t>Ohio natural gas utilities’</w:t>
      </w:r>
      <w:r w:rsidRPr="00F90FE1">
        <w:rPr>
          <w:rFonts w:ascii="Times New Roman" w:hAnsi="Times New Roman" w:cs="Times New Roman"/>
          <w:b/>
        </w:rPr>
        <w:t xml:space="preserve"> POR programs evidence the success of POR in </w:t>
      </w:r>
      <w:r>
        <w:rPr>
          <w:rFonts w:ascii="Times New Roman" w:hAnsi="Times New Roman" w:cs="Times New Roman"/>
          <w:b/>
        </w:rPr>
        <w:t>Ohio</w:t>
      </w:r>
      <w:r w:rsidRPr="00D76D90">
        <w:rPr>
          <w:rFonts w:ascii="Times New Roman" w:hAnsi="Times New Roman" w:cs="Times New Roman"/>
        </w:rPr>
        <w:tab/>
      </w:r>
      <w:r>
        <w:rPr>
          <w:rFonts w:ascii="Times New Roman" w:hAnsi="Times New Roman" w:cs="Times New Roman"/>
          <w:b/>
        </w:rPr>
        <w:t>10</w:t>
      </w:r>
    </w:p>
    <w:p w14:paraId="7AE98E16" w14:textId="489E7578"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rPr>
      </w:pPr>
    </w:p>
    <w:p w14:paraId="6CFCE437" w14:textId="10E0D8EE" w:rsidR="001D2F67" w:rsidRDefault="001D2F67" w:rsidP="001D2F67">
      <w:pPr>
        <w:tabs>
          <w:tab w:val="left" w:pos="720"/>
          <w:tab w:val="left" w:pos="1440"/>
          <w:tab w:val="left" w:pos="2160"/>
          <w:tab w:val="left" w:pos="2880"/>
          <w:tab w:val="left" w:pos="3600"/>
          <w:tab w:val="left" w:leader="dot" w:pos="9180"/>
        </w:tabs>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2.</w:t>
      </w:r>
      <w:r>
        <w:rPr>
          <w:rFonts w:ascii="Times New Roman" w:hAnsi="Times New Roman" w:cs="Times New Roman"/>
          <w:b/>
        </w:rPr>
        <w:tab/>
        <w:t>A retail auction should be adopted in lieu of a</w:t>
      </w:r>
    </w:p>
    <w:p w14:paraId="04A6DFB5" w14:textId="4661ED3D" w:rsidR="001D2F67"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wholesale</w:t>
      </w:r>
      <w:proofErr w:type="gramEnd"/>
      <w:r>
        <w:rPr>
          <w:rFonts w:ascii="Times New Roman" w:hAnsi="Times New Roman" w:cs="Times New Roman"/>
          <w:b/>
        </w:rPr>
        <w:t xml:space="preserve"> auction</w:t>
      </w:r>
      <w:r>
        <w:rPr>
          <w:rFonts w:ascii="Times New Roman" w:hAnsi="Times New Roman" w:cs="Times New Roman"/>
        </w:rPr>
        <w:tab/>
      </w:r>
      <w:r>
        <w:rPr>
          <w:rFonts w:ascii="Times New Roman" w:hAnsi="Times New Roman" w:cs="Times New Roman"/>
          <w:b/>
        </w:rPr>
        <w:t>1</w:t>
      </w:r>
      <w:r w:rsidR="00D76D90">
        <w:rPr>
          <w:rFonts w:ascii="Times New Roman" w:hAnsi="Times New Roman" w:cs="Times New Roman"/>
          <w:b/>
        </w:rPr>
        <w:t>1</w:t>
      </w:r>
    </w:p>
    <w:p w14:paraId="39933B26" w14:textId="77777777" w:rsidR="001D2F67"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b/>
        </w:rPr>
      </w:pPr>
    </w:p>
    <w:p w14:paraId="60510642" w14:textId="3D32467A" w:rsidR="001D2F67"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3.</w:t>
      </w:r>
      <w:r>
        <w:rPr>
          <w:rFonts w:ascii="Times New Roman" w:hAnsi="Times New Roman" w:cs="Times New Roman"/>
          <w:b/>
        </w:rPr>
        <w:tab/>
        <w:t>Minimum stay requirements should be eliminated</w:t>
      </w:r>
    </w:p>
    <w:p w14:paraId="1F69E992" w14:textId="10E319F6" w:rsidR="001D2F67"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at</w:t>
      </w:r>
      <w:proofErr w:type="gramEnd"/>
      <w:r>
        <w:rPr>
          <w:rFonts w:ascii="Times New Roman" w:hAnsi="Times New Roman" w:cs="Times New Roman"/>
          <w:b/>
        </w:rPr>
        <w:t xml:space="preserve"> the </w:t>
      </w:r>
      <w:r>
        <w:rPr>
          <w:rFonts w:ascii="Times New Roman" w:hAnsi="Times New Roman" w:cs="Times New Roman"/>
          <w:b/>
          <w:i/>
        </w:rPr>
        <w:t xml:space="preserve">beginning </w:t>
      </w:r>
      <w:r>
        <w:rPr>
          <w:rFonts w:ascii="Times New Roman" w:hAnsi="Times New Roman" w:cs="Times New Roman"/>
          <w:b/>
        </w:rPr>
        <w:t>of the ESP term, not on January 1, 2015</w:t>
      </w:r>
      <w:r>
        <w:rPr>
          <w:rFonts w:ascii="Times New Roman" w:hAnsi="Times New Roman" w:cs="Times New Roman"/>
        </w:rPr>
        <w:tab/>
      </w:r>
      <w:r>
        <w:rPr>
          <w:rFonts w:ascii="Times New Roman" w:hAnsi="Times New Roman" w:cs="Times New Roman"/>
          <w:b/>
        </w:rPr>
        <w:t>1</w:t>
      </w:r>
      <w:r w:rsidR="00262963">
        <w:rPr>
          <w:rFonts w:ascii="Times New Roman" w:hAnsi="Times New Roman" w:cs="Times New Roman"/>
          <w:b/>
        </w:rPr>
        <w:t>2</w:t>
      </w:r>
    </w:p>
    <w:p w14:paraId="21562AC0" w14:textId="77777777" w:rsidR="001D2F67"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rPr>
      </w:pPr>
    </w:p>
    <w:p w14:paraId="13F3329D" w14:textId="77777777" w:rsidR="00D76D90"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1B2CD36" w14:textId="5A2F595E" w:rsidR="001D2F67" w:rsidRDefault="00D76D90" w:rsidP="001D2F67">
      <w:pPr>
        <w:tabs>
          <w:tab w:val="left" w:pos="720"/>
          <w:tab w:val="left" w:pos="1440"/>
          <w:tab w:val="left" w:pos="2160"/>
          <w:tab w:val="left" w:pos="2880"/>
          <w:tab w:val="left" w:pos="3600"/>
          <w:tab w:val="left" w:leader="dot" w:pos="9090"/>
        </w:tabs>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rPr>
        <w:tab/>
      </w:r>
      <w:r w:rsidR="001D2F67">
        <w:rPr>
          <w:rFonts w:ascii="Times New Roman" w:hAnsi="Times New Roman" w:cs="Times New Roman"/>
          <w:b/>
        </w:rPr>
        <w:t>D.</w:t>
      </w:r>
      <w:r w:rsidR="001D2F67">
        <w:rPr>
          <w:rFonts w:ascii="Times New Roman" w:hAnsi="Times New Roman" w:cs="Times New Roman"/>
          <w:b/>
        </w:rPr>
        <w:tab/>
        <w:t>The Commission should not approve the GRR placeholder</w:t>
      </w:r>
    </w:p>
    <w:p w14:paraId="45C9C0C1" w14:textId="6AD1F6BA" w:rsidR="003D58FB" w:rsidRDefault="001D2F67" w:rsidP="001D2F67">
      <w:pPr>
        <w:tabs>
          <w:tab w:val="left" w:pos="720"/>
          <w:tab w:val="left" w:pos="1440"/>
          <w:tab w:val="left" w:pos="2160"/>
          <w:tab w:val="left" w:pos="2880"/>
          <w:tab w:val="left" w:pos="3600"/>
          <w:tab w:val="left" w:leader="dot" w:pos="909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without</w:t>
      </w:r>
      <w:proofErr w:type="gramEnd"/>
      <w:r>
        <w:rPr>
          <w:rFonts w:ascii="Times New Roman" w:hAnsi="Times New Roman" w:cs="Times New Roman"/>
          <w:b/>
        </w:rPr>
        <w:t xml:space="preserve"> several modifications</w:t>
      </w:r>
      <w:r>
        <w:rPr>
          <w:rFonts w:ascii="Times New Roman" w:hAnsi="Times New Roman" w:cs="Times New Roman"/>
        </w:rPr>
        <w:tab/>
      </w:r>
      <w:r>
        <w:rPr>
          <w:rFonts w:ascii="Times New Roman" w:hAnsi="Times New Roman" w:cs="Times New Roman"/>
          <w:b/>
        </w:rPr>
        <w:t>1</w:t>
      </w:r>
      <w:r w:rsidR="00D76D90">
        <w:rPr>
          <w:rFonts w:ascii="Times New Roman" w:hAnsi="Times New Roman" w:cs="Times New Roman"/>
          <w:b/>
        </w:rPr>
        <w:t>2</w:t>
      </w:r>
    </w:p>
    <w:p w14:paraId="6DFC14D0" w14:textId="77777777" w:rsidR="009328ED" w:rsidRDefault="009328ED" w:rsidP="003D58FB">
      <w:pPr>
        <w:tabs>
          <w:tab w:val="left" w:pos="720"/>
          <w:tab w:val="left" w:pos="9180"/>
        </w:tabs>
        <w:rPr>
          <w:rFonts w:ascii="Times New Roman" w:hAnsi="Times New Roman" w:cs="Times New Roman"/>
          <w:b/>
        </w:rPr>
      </w:pPr>
    </w:p>
    <w:p w14:paraId="26B3A749" w14:textId="1E856D84" w:rsidR="009328ED" w:rsidRPr="001D2F67" w:rsidRDefault="009328ED" w:rsidP="001D2F67">
      <w:pPr>
        <w:tabs>
          <w:tab w:val="left" w:pos="720"/>
          <w:tab w:val="left" w:leader="dot" w:pos="9090"/>
        </w:tabs>
        <w:rPr>
          <w:rFonts w:ascii="Times New Roman" w:hAnsi="Times New Roman" w:cs="Times New Roman"/>
        </w:rPr>
      </w:pPr>
      <w:r>
        <w:rPr>
          <w:rFonts w:ascii="Times New Roman" w:hAnsi="Times New Roman" w:cs="Times New Roman"/>
          <w:b/>
        </w:rPr>
        <w:t>III.</w:t>
      </w:r>
      <w:r>
        <w:rPr>
          <w:rFonts w:ascii="Times New Roman" w:hAnsi="Times New Roman" w:cs="Times New Roman"/>
          <w:b/>
        </w:rPr>
        <w:tab/>
        <w:t>CONCLUSION</w:t>
      </w:r>
      <w:r w:rsidR="003D58FB" w:rsidRPr="003D58FB">
        <w:rPr>
          <w:rFonts w:ascii="Times New Roman" w:hAnsi="Times New Roman" w:cs="Times New Roman"/>
        </w:rPr>
        <w:tab/>
      </w:r>
      <w:r w:rsidR="003D58FB">
        <w:rPr>
          <w:rFonts w:ascii="Times New Roman" w:hAnsi="Times New Roman" w:cs="Times New Roman"/>
          <w:b/>
        </w:rPr>
        <w:t>1</w:t>
      </w:r>
      <w:r w:rsidR="00D76D90">
        <w:rPr>
          <w:rFonts w:ascii="Times New Roman" w:hAnsi="Times New Roman" w:cs="Times New Roman"/>
          <w:b/>
        </w:rPr>
        <w:t>4</w:t>
      </w:r>
    </w:p>
    <w:p w14:paraId="55256F4A" w14:textId="77777777" w:rsidR="009328ED" w:rsidRDefault="009328ED" w:rsidP="00BF5E79">
      <w:pPr>
        <w:rPr>
          <w:rFonts w:ascii="Times New Roman" w:hAnsi="Times New Roman" w:cs="Times New Roman"/>
          <w:b/>
        </w:rPr>
        <w:sectPr w:rsidR="009328ED" w:rsidSect="00C07D65">
          <w:footerReference w:type="default" r:id="rId10"/>
          <w:pgSz w:w="12240" w:h="15840"/>
          <w:pgMar w:top="1440" w:right="1440" w:bottom="1440" w:left="1440" w:header="720" w:footer="720" w:gutter="0"/>
          <w:cols w:space="720"/>
          <w:docGrid w:linePitch="360"/>
        </w:sectPr>
      </w:pPr>
    </w:p>
    <w:p w14:paraId="4D3BE5A3" w14:textId="113139B3" w:rsidR="00BF5E79" w:rsidRDefault="00BF5E79" w:rsidP="00BF5E79">
      <w:pPr>
        <w:jc w:val="center"/>
        <w:rPr>
          <w:rFonts w:ascii="Times New Roman" w:hAnsi="Times New Roman" w:cs="Times New Roman"/>
        </w:rPr>
      </w:pPr>
      <w:r>
        <w:rPr>
          <w:rFonts w:ascii="Times New Roman" w:hAnsi="Times New Roman" w:cs="Times New Roman"/>
          <w:b/>
        </w:rPr>
        <w:lastRenderedPageBreak/>
        <w:t>I.</w:t>
      </w:r>
      <w:r>
        <w:rPr>
          <w:rFonts w:ascii="Times New Roman" w:hAnsi="Times New Roman" w:cs="Times New Roman"/>
          <w:b/>
        </w:rPr>
        <w:tab/>
      </w:r>
      <w:r w:rsidR="00857E50">
        <w:rPr>
          <w:rFonts w:ascii="Times New Roman" w:hAnsi="Times New Roman" w:cs="Times New Roman"/>
          <w:b/>
        </w:rPr>
        <w:t>INTRODUCTION</w:t>
      </w:r>
    </w:p>
    <w:p w14:paraId="0DE5882B" w14:textId="77777777" w:rsidR="00BF5E79" w:rsidRDefault="00BF5E79" w:rsidP="00BF5E79">
      <w:pPr>
        <w:jc w:val="center"/>
        <w:rPr>
          <w:rFonts w:ascii="Times New Roman" w:hAnsi="Times New Roman" w:cs="Times New Roman"/>
        </w:rPr>
      </w:pPr>
    </w:p>
    <w:p w14:paraId="2D3B2124" w14:textId="782C62E9" w:rsidR="003D58FB" w:rsidRDefault="00BF5E79" w:rsidP="00BF5E79">
      <w:pPr>
        <w:spacing w:line="480" w:lineRule="auto"/>
        <w:rPr>
          <w:rFonts w:ascii="Times New Roman" w:hAnsi="Times New Roman" w:cs="Times New Roman"/>
        </w:rPr>
      </w:pPr>
      <w:r>
        <w:rPr>
          <w:rFonts w:ascii="Times New Roman" w:hAnsi="Times New Roman" w:cs="Times New Roman"/>
        </w:rPr>
        <w:tab/>
      </w:r>
      <w:r w:rsidR="003D58FB">
        <w:rPr>
          <w:rFonts w:ascii="Times New Roman" w:hAnsi="Times New Roman" w:cs="Times New Roman"/>
        </w:rPr>
        <w:t xml:space="preserve">When </w:t>
      </w:r>
      <w:r w:rsidR="003A3D5A">
        <w:rPr>
          <w:rFonts w:ascii="Times New Roman" w:hAnsi="Times New Roman" w:cs="Times New Roman"/>
        </w:rPr>
        <w:t>Ohio Power Company d/b/a AEP Ohio</w:t>
      </w:r>
      <w:r w:rsidR="00857E50">
        <w:rPr>
          <w:rFonts w:ascii="Times New Roman" w:hAnsi="Times New Roman" w:cs="Times New Roman"/>
        </w:rPr>
        <w:t xml:space="preserve"> (“AEP”) filed its electric security plan (“ESP”), </w:t>
      </w:r>
      <w:r w:rsidR="003D58FB">
        <w:rPr>
          <w:rFonts w:ascii="Times New Roman" w:hAnsi="Times New Roman" w:cs="Times New Roman"/>
        </w:rPr>
        <w:t>it was advertised</w:t>
      </w:r>
      <w:r w:rsidR="00857E50">
        <w:rPr>
          <w:rFonts w:ascii="Times New Roman" w:hAnsi="Times New Roman" w:cs="Times New Roman"/>
        </w:rPr>
        <w:t xml:space="preserve"> as a </w:t>
      </w:r>
      <w:r w:rsidR="003A3D5A">
        <w:rPr>
          <w:rFonts w:ascii="Times New Roman" w:hAnsi="Times New Roman" w:cs="Times New Roman"/>
        </w:rPr>
        <w:t xml:space="preserve">“balanced package.”  </w:t>
      </w:r>
      <w:r w:rsidR="00857E50">
        <w:rPr>
          <w:rFonts w:ascii="Times New Roman" w:hAnsi="Times New Roman" w:cs="Times New Roman"/>
        </w:rPr>
        <w:t xml:space="preserve">What </w:t>
      </w:r>
      <w:r w:rsidR="003D58FB">
        <w:rPr>
          <w:rFonts w:ascii="Times New Roman" w:hAnsi="Times New Roman" w:cs="Times New Roman"/>
        </w:rPr>
        <w:t>AEP</w:t>
      </w:r>
      <w:r w:rsidR="00857E50">
        <w:rPr>
          <w:rFonts w:ascii="Times New Roman" w:hAnsi="Times New Roman" w:cs="Times New Roman"/>
        </w:rPr>
        <w:t xml:space="preserve"> delivered was an </w:t>
      </w:r>
      <w:r w:rsidR="003A3D5A">
        <w:rPr>
          <w:rFonts w:ascii="Times New Roman" w:hAnsi="Times New Roman" w:cs="Times New Roman"/>
        </w:rPr>
        <w:t xml:space="preserve">anti-competitive rate structure </w:t>
      </w:r>
      <w:r w:rsidR="003D58FB">
        <w:rPr>
          <w:rFonts w:ascii="Times New Roman" w:hAnsi="Times New Roman" w:cs="Times New Roman"/>
        </w:rPr>
        <w:t xml:space="preserve">with the stated </w:t>
      </w:r>
      <w:r w:rsidR="00857E50">
        <w:rPr>
          <w:rFonts w:ascii="Times New Roman" w:hAnsi="Times New Roman" w:cs="Times New Roman"/>
        </w:rPr>
        <w:t xml:space="preserve">purpose </w:t>
      </w:r>
      <w:r w:rsidR="003D58FB">
        <w:rPr>
          <w:rFonts w:ascii="Times New Roman" w:hAnsi="Times New Roman" w:cs="Times New Roman"/>
        </w:rPr>
        <w:t xml:space="preserve">of staving off </w:t>
      </w:r>
      <w:r w:rsidR="003A3D5A">
        <w:rPr>
          <w:rFonts w:ascii="Times New Roman" w:hAnsi="Times New Roman" w:cs="Times New Roman"/>
        </w:rPr>
        <w:t>competition in AEP’s service territory</w:t>
      </w:r>
      <w:r w:rsidR="00857E50">
        <w:rPr>
          <w:rFonts w:ascii="Times New Roman" w:hAnsi="Times New Roman" w:cs="Times New Roman"/>
        </w:rPr>
        <w:t xml:space="preserve"> </w:t>
      </w:r>
      <w:r w:rsidR="003D58FB">
        <w:rPr>
          <w:rFonts w:ascii="Times New Roman" w:hAnsi="Times New Roman" w:cs="Times New Roman"/>
        </w:rPr>
        <w:t xml:space="preserve">for </w:t>
      </w:r>
      <w:r w:rsidR="00857E50">
        <w:rPr>
          <w:rFonts w:ascii="Times New Roman" w:hAnsi="Times New Roman" w:cs="Times New Roman"/>
        </w:rPr>
        <w:t>as long as possible</w:t>
      </w:r>
      <w:r w:rsidR="003A3D5A">
        <w:rPr>
          <w:rFonts w:ascii="Times New Roman" w:hAnsi="Times New Roman" w:cs="Times New Roman"/>
        </w:rPr>
        <w:t xml:space="preserve">. </w:t>
      </w:r>
      <w:r w:rsidR="00857E50">
        <w:rPr>
          <w:rFonts w:ascii="Times New Roman" w:hAnsi="Times New Roman" w:cs="Times New Roman"/>
        </w:rPr>
        <w:t xml:space="preserve"> Ohio policy is to encourage competition, not hinder it, and t</w:t>
      </w:r>
      <w:r w:rsidR="003A3D5A">
        <w:rPr>
          <w:rFonts w:ascii="Times New Roman" w:hAnsi="Times New Roman" w:cs="Times New Roman"/>
        </w:rPr>
        <w:t xml:space="preserve">o </w:t>
      </w:r>
      <w:r w:rsidR="00857E50">
        <w:rPr>
          <w:rFonts w:ascii="Times New Roman" w:hAnsi="Times New Roman" w:cs="Times New Roman"/>
        </w:rPr>
        <w:t>foster competition</w:t>
      </w:r>
      <w:r w:rsidR="003A3D5A">
        <w:rPr>
          <w:rFonts w:ascii="Times New Roman" w:hAnsi="Times New Roman" w:cs="Times New Roman"/>
        </w:rPr>
        <w:t xml:space="preserve"> the Commission </w:t>
      </w:r>
      <w:r w:rsidR="00857E50">
        <w:rPr>
          <w:rFonts w:ascii="Times New Roman" w:hAnsi="Times New Roman" w:cs="Times New Roman"/>
        </w:rPr>
        <w:t xml:space="preserve">must </w:t>
      </w:r>
      <w:r w:rsidR="003A3D5A">
        <w:rPr>
          <w:rFonts w:ascii="Times New Roman" w:hAnsi="Times New Roman" w:cs="Times New Roman"/>
        </w:rPr>
        <w:t>modify the ESP</w:t>
      </w:r>
      <w:r w:rsidR="00857E50">
        <w:rPr>
          <w:rFonts w:ascii="Times New Roman" w:hAnsi="Times New Roman" w:cs="Times New Roman"/>
        </w:rPr>
        <w:t xml:space="preserve">.  IGS proposed several modifications that </w:t>
      </w:r>
      <w:r w:rsidR="003A3D5A">
        <w:rPr>
          <w:rFonts w:ascii="Times New Roman" w:hAnsi="Times New Roman" w:cs="Times New Roman"/>
        </w:rPr>
        <w:t xml:space="preserve">would </w:t>
      </w:r>
      <w:r w:rsidR="00857E50">
        <w:rPr>
          <w:rFonts w:ascii="Times New Roman" w:hAnsi="Times New Roman" w:cs="Times New Roman"/>
        </w:rPr>
        <w:t xml:space="preserve">keep the ESP intact but </w:t>
      </w:r>
      <w:r w:rsidR="003D58FB">
        <w:rPr>
          <w:rFonts w:ascii="Times New Roman" w:hAnsi="Times New Roman" w:cs="Times New Roman"/>
        </w:rPr>
        <w:t xml:space="preserve">also </w:t>
      </w:r>
      <w:r w:rsidR="003A3D5A">
        <w:rPr>
          <w:rFonts w:ascii="Times New Roman" w:hAnsi="Times New Roman" w:cs="Times New Roman"/>
        </w:rPr>
        <w:t xml:space="preserve">enhance </w:t>
      </w:r>
      <w:r w:rsidR="003D58FB">
        <w:rPr>
          <w:rFonts w:ascii="Times New Roman" w:hAnsi="Times New Roman" w:cs="Times New Roman"/>
        </w:rPr>
        <w:t>competition for</w:t>
      </w:r>
      <w:r w:rsidR="003A3D5A">
        <w:rPr>
          <w:rFonts w:ascii="Times New Roman" w:hAnsi="Times New Roman" w:cs="Times New Roman"/>
        </w:rPr>
        <w:t xml:space="preserve"> </w:t>
      </w:r>
      <w:r w:rsidR="003D58FB">
        <w:rPr>
          <w:rFonts w:ascii="Times New Roman" w:hAnsi="Times New Roman" w:cs="Times New Roman"/>
        </w:rPr>
        <w:t>the benefit</w:t>
      </w:r>
      <w:r w:rsidR="00857E50">
        <w:rPr>
          <w:rFonts w:ascii="Times New Roman" w:hAnsi="Times New Roman" w:cs="Times New Roman"/>
        </w:rPr>
        <w:t xml:space="preserve"> </w:t>
      </w:r>
      <w:r w:rsidR="003D58FB">
        <w:rPr>
          <w:rFonts w:ascii="Times New Roman" w:hAnsi="Times New Roman" w:cs="Times New Roman"/>
        </w:rPr>
        <w:t>of</w:t>
      </w:r>
      <w:r w:rsidR="00857E50">
        <w:rPr>
          <w:rFonts w:ascii="Times New Roman" w:hAnsi="Times New Roman" w:cs="Times New Roman"/>
        </w:rPr>
        <w:t xml:space="preserve"> all customers in </w:t>
      </w:r>
      <w:r w:rsidR="003A3D5A">
        <w:rPr>
          <w:rFonts w:ascii="Times New Roman" w:hAnsi="Times New Roman" w:cs="Times New Roman"/>
        </w:rPr>
        <w:t>AEP</w:t>
      </w:r>
      <w:r w:rsidR="00857E50">
        <w:rPr>
          <w:rFonts w:ascii="Times New Roman" w:hAnsi="Times New Roman" w:cs="Times New Roman"/>
        </w:rPr>
        <w:t>’s</w:t>
      </w:r>
      <w:r w:rsidR="003A3D5A">
        <w:rPr>
          <w:rFonts w:ascii="Times New Roman" w:hAnsi="Times New Roman" w:cs="Times New Roman"/>
        </w:rPr>
        <w:t xml:space="preserve"> service territory.</w:t>
      </w:r>
      <w:r w:rsidR="00857E50">
        <w:rPr>
          <w:rFonts w:ascii="Times New Roman" w:hAnsi="Times New Roman" w:cs="Times New Roman"/>
        </w:rPr>
        <w:t xml:space="preserve">  </w:t>
      </w:r>
      <w:r w:rsidR="003D58FB">
        <w:rPr>
          <w:rFonts w:ascii="Times New Roman" w:hAnsi="Times New Roman" w:cs="Times New Roman"/>
        </w:rPr>
        <w:t>Specifically,</w:t>
      </w:r>
      <w:r w:rsidR="00DF603C">
        <w:rPr>
          <w:rFonts w:ascii="Times New Roman" w:hAnsi="Times New Roman" w:cs="Times New Roman"/>
        </w:rPr>
        <w:t xml:space="preserve"> if AEP receives above-market capacity pricing, </w:t>
      </w:r>
      <w:r w:rsidR="00084521">
        <w:rPr>
          <w:rFonts w:ascii="Times New Roman" w:hAnsi="Times New Roman" w:cs="Times New Roman"/>
        </w:rPr>
        <w:t>which IGS opposes,</w:t>
      </w:r>
      <w:r w:rsidR="003D58FB">
        <w:rPr>
          <w:rFonts w:ascii="Times New Roman" w:hAnsi="Times New Roman" w:cs="Times New Roman"/>
        </w:rPr>
        <w:t xml:space="preserve"> the Commission should:</w:t>
      </w:r>
    </w:p>
    <w:p w14:paraId="6C228255" w14:textId="076D3D54" w:rsidR="003D58FB" w:rsidRDefault="003D58FB" w:rsidP="003D58FB">
      <w:pPr>
        <w:spacing w:line="48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Adopt a purchase of receivables (“POR”) program </w:t>
      </w:r>
    </w:p>
    <w:p w14:paraId="060E6601" w14:textId="27327A5C" w:rsidR="003D58FB" w:rsidRDefault="003D58FB" w:rsidP="003D58FB">
      <w:pPr>
        <w:spacing w:line="48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80371">
        <w:rPr>
          <w:rFonts w:ascii="Times New Roman" w:hAnsi="Times New Roman" w:cs="Times New Roman"/>
        </w:rPr>
        <w:t>Implement retail auctions in lieu of the proposed wholesale auctions</w:t>
      </w:r>
      <w:r>
        <w:rPr>
          <w:rFonts w:ascii="Times New Roman" w:hAnsi="Times New Roman" w:cs="Times New Roman"/>
        </w:rPr>
        <w:t xml:space="preserve">  </w:t>
      </w:r>
    </w:p>
    <w:p w14:paraId="2EF66CA3" w14:textId="788AC362" w:rsidR="003D58FB" w:rsidRDefault="00380371" w:rsidP="003D58FB">
      <w:pPr>
        <w:spacing w:line="48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Eliminate minimum stay requirements</w:t>
      </w:r>
    </w:p>
    <w:p w14:paraId="39A586F4" w14:textId="5073236A" w:rsidR="00BF5E79" w:rsidRDefault="00857E50" w:rsidP="003D58FB">
      <w:pPr>
        <w:spacing w:line="480" w:lineRule="auto"/>
        <w:ind w:firstLine="720"/>
        <w:rPr>
          <w:rFonts w:ascii="Times New Roman" w:hAnsi="Times New Roman" w:cs="Times New Roman"/>
        </w:rPr>
      </w:pPr>
      <w:r>
        <w:rPr>
          <w:rFonts w:ascii="Times New Roman" w:hAnsi="Times New Roman" w:cs="Times New Roman"/>
        </w:rPr>
        <w:t>For these reasons, explained in detail below, the Commission should order the modifications proposed by IGS.</w:t>
      </w:r>
    </w:p>
    <w:p w14:paraId="1E37145C" w14:textId="77777777" w:rsidR="00BF5E79" w:rsidRDefault="00BF5E79" w:rsidP="00BF5E79">
      <w:pPr>
        <w:spacing w:line="480" w:lineRule="auto"/>
        <w:jc w:val="center"/>
        <w:rPr>
          <w:rFonts w:ascii="Times New Roman" w:hAnsi="Times New Roman" w:cs="Times New Roman"/>
        </w:rPr>
      </w:pPr>
      <w:r>
        <w:rPr>
          <w:rFonts w:ascii="Times New Roman" w:hAnsi="Times New Roman" w:cs="Times New Roman"/>
          <w:b/>
        </w:rPr>
        <w:t>II.</w:t>
      </w:r>
      <w:r>
        <w:rPr>
          <w:rFonts w:ascii="Times New Roman" w:hAnsi="Times New Roman" w:cs="Times New Roman"/>
          <w:b/>
        </w:rPr>
        <w:tab/>
        <w:t>ARGUMENT</w:t>
      </w:r>
    </w:p>
    <w:p w14:paraId="100A7ABC" w14:textId="2A991FB5" w:rsidR="00CB168F" w:rsidRDefault="00CB168F" w:rsidP="00462187">
      <w:pPr>
        <w:ind w:left="1440" w:hanging="720"/>
        <w:rPr>
          <w:rFonts w:ascii="Times New Roman" w:hAnsi="Times New Roman" w:cs="Times New Roman"/>
        </w:rPr>
      </w:pPr>
      <w:r>
        <w:rPr>
          <w:rFonts w:ascii="Times New Roman" w:hAnsi="Times New Roman" w:cs="Times New Roman"/>
          <w:b/>
        </w:rPr>
        <w:t>A.</w:t>
      </w:r>
      <w:r>
        <w:rPr>
          <w:rFonts w:ascii="Times New Roman" w:hAnsi="Times New Roman" w:cs="Times New Roman"/>
          <w:b/>
        </w:rPr>
        <w:tab/>
        <w:t>The Commission should not adopt a capacity price structure that will hinder competition.</w:t>
      </w:r>
    </w:p>
    <w:p w14:paraId="4F623014" w14:textId="77777777" w:rsidR="00CB168F" w:rsidRDefault="00CB168F" w:rsidP="00462187">
      <w:pPr>
        <w:ind w:left="1440" w:hanging="720"/>
        <w:rPr>
          <w:rFonts w:ascii="Times New Roman" w:hAnsi="Times New Roman" w:cs="Times New Roman"/>
        </w:rPr>
      </w:pPr>
    </w:p>
    <w:p w14:paraId="5FD18AA7" w14:textId="59DB775C" w:rsidR="00CB168F" w:rsidRDefault="00857E50" w:rsidP="00F40CB2">
      <w:pPr>
        <w:spacing w:line="480" w:lineRule="auto"/>
        <w:ind w:firstLine="720"/>
        <w:rPr>
          <w:rFonts w:ascii="Times New Roman" w:hAnsi="Times New Roman" w:cs="Times New Roman"/>
        </w:rPr>
      </w:pPr>
      <w:r>
        <w:rPr>
          <w:rFonts w:ascii="Times New Roman" w:hAnsi="Times New Roman" w:cs="Times New Roman"/>
        </w:rPr>
        <w:t>IGS would begin by reiterating that a</w:t>
      </w:r>
      <w:r w:rsidR="001A61C3">
        <w:rPr>
          <w:rFonts w:ascii="Times New Roman" w:hAnsi="Times New Roman" w:cs="Times New Roman"/>
        </w:rPr>
        <w:t xml:space="preserve">ny capacity price </w:t>
      </w:r>
      <w:r>
        <w:rPr>
          <w:rFonts w:ascii="Times New Roman" w:hAnsi="Times New Roman" w:cs="Times New Roman"/>
        </w:rPr>
        <w:t xml:space="preserve">in excess of </w:t>
      </w:r>
      <w:r w:rsidR="001A61C3">
        <w:rPr>
          <w:rFonts w:ascii="Times New Roman" w:hAnsi="Times New Roman" w:cs="Times New Roman"/>
        </w:rPr>
        <w:t xml:space="preserve">the RPM market price will </w:t>
      </w:r>
      <w:r>
        <w:rPr>
          <w:rFonts w:ascii="Times New Roman" w:hAnsi="Times New Roman" w:cs="Times New Roman"/>
        </w:rPr>
        <w:t xml:space="preserve">harm </w:t>
      </w:r>
      <w:r w:rsidR="001A61C3">
        <w:rPr>
          <w:rFonts w:ascii="Times New Roman" w:hAnsi="Times New Roman" w:cs="Times New Roman"/>
        </w:rPr>
        <w:t>competition</w:t>
      </w:r>
      <w:r>
        <w:rPr>
          <w:rFonts w:ascii="Times New Roman" w:hAnsi="Times New Roman" w:cs="Times New Roman"/>
        </w:rPr>
        <w:t>, and the greater the excess, the greater the harm</w:t>
      </w:r>
      <w:r w:rsidR="00623016">
        <w:rPr>
          <w:rFonts w:ascii="Times New Roman" w:hAnsi="Times New Roman" w:cs="Times New Roman"/>
        </w:rPr>
        <w:t>.</w:t>
      </w:r>
      <w:r w:rsidR="003A0674">
        <w:rPr>
          <w:rFonts w:ascii="Times New Roman" w:hAnsi="Times New Roman" w:cs="Times New Roman"/>
        </w:rPr>
        <w:t xml:space="preserve">  </w:t>
      </w:r>
      <w:r>
        <w:rPr>
          <w:rFonts w:ascii="Times New Roman" w:hAnsi="Times New Roman" w:cs="Times New Roman"/>
        </w:rPr>
        <w:t>If capacity is not priced fairly and reasonably, it can artificially inflate prices and suppress or altogether eliminate shopping opportunities</w:t>
      </w:r>
      <w:r w:rsidR="001A61C3">
        <w:rPr>
          <w:rFonts w:ascii="Times New Roman" w:hAnsi="Times New Roman" w:cs="Times New Roman"/>
        </w:rPr>
        <w:t xml:space="preserve">. </w:t>
      </w:r>
      <w:r>
        <w:rPr>
          <w:rFonts w:ascii="Times New Roman" w:hAnsi="Times New Roman" w:cs="Times New Roman"/>
        </w:rPr>
        <w:t xml:space="preserve">  </w:t>
      </w:r>
      <w:r w:rsidR="001A61C3">
        <w:rPr>
          <w:rFonts w:ascii="Times New Roman" w:hAnsi="Times New Roman" w:cs="Times New Roman"/>
        </w:rPr>
        <w:t>(Tr. at 4254:3-6</w:t>
      </w:r>
      <w:r>
        <w:rPr>
          <w:rFonts w:ascii="Times New Roman" w:hAnsi="Times New Roman" w:cs="Times New Roman"/>
        </w:rPr>
        <w:t xml:space="preserve"> (</w:t>
      </w:r>
      <w:r w:rsidRPr="00857E50">
        <w:rPr>
          <w:rFonts w:ascii="Times New Roman" w:hAnsi="Times New Roman" w:cs="Times New Roman"/>
        </w:rPr>
        <w:t xml:space="preserve">“whatever the market rate is at the time for the RPM pricing on capacity would be part of </w:t>
      </w:r>
      <w:r>
        <w:rPr>
          <w:rFonts w:ascii="Times New Roman" w:hAnsi="Times New Roman" w:cs="Times New Roman"/>
        </w:rPr>
        <w:t>[the CRES provider’s pricing] calculation</w:t>
      </w:r>
      <w:r w:rsidRPr="00857E50">
        <w:rPr>
          <w:rFonts w:ascii="Times New Roman" w:hAnsi="Times New Roman" w:cs="Times New Roman"/>
        </w:rPr>
        <w:t>”</w:t>
      </w:r>
      <w:r>
        <w:rPr>
          <w:rFonts w:ascii="Times New Roman" w:hAnsi="Times New Roman" w:cs="Times New Roman"/>
        </w:rPr>
        <w:t>)</w:t>
      </w:r>
      <w:r w:rsidR="001A61C3">
        <w:rPr>
          <w:rFonts w:ascii="Times New Roman" w:hAnsi="Times New Roman" w:cs="Times New Roman"/>
        </w:rPr>
        <w:t xml:space="preserve">; </w:t>
      </w:r>
      <w:r w:rsidR="001A61C3">
        <w:rPr>
          <w:rFonts w:ascii="Times New Roman" w:hAnsi="Times New Roman" w:cs="Times New Roman"/>
          <w:i/>
        </w:rPr>
        <w:t>see also</w:t>
      </w:r>
      <w:r w:rsidR="001A61C3">
        <w:rPr>
          <w:rFonts w:ascii="Times New Roman" w:hAnsi="Times New Roman" w:cs="Times New Roman"/>
        </w:rPr>
        <w:t xml:space="preserve"> </w:t>
      </w:r>
      <w:r w:rsidR="001A61C3" w:rsidRPr="009328ED">
        <w:rPr>
          <w:rFonts w:ascii="Times New Roman" w:hAnsi="Times New Roman" w:cs="Times New Roman"/>
          <w:i/>
        </w:rPr>
        <w:t>Id.</w:t>
      </w:r>
      <w:r w:rsidR="001A61C3">
        <w:rPr>
          <w:rFonts w:ascii="Times New Roman" w:hAnsi="Times New Roman" w:cs="Times New Roman"/>
        </w:rPr>
        <w:t xml:space="preserve">, 4254:15-19.)  </w:t>
      </w:r>
      <w:r w:rsidR="00F40CB2">
        <w:rPr>
          <w:rFonts w:ascii="Times New Roman" w:hAnsi="Times New Roman" w:cs="Times New Roman"/>
        </w:rPr>
        <w:t>Because ca</w:t>
      </w:r>
      <w:r w:rsidR="00B65698">
        <w:rPr>
          <w:rFonts w:ascii="Times New Roman" w:hAnsi="Times New Roman" w:cs="Times New Roman"/>
        </w:rPr>
        <w:t>pacity pricing plays a role in CRES Supplier’</w:t>
      </w:r>
      <w:r w:rsidR="00F40CB2">
        <w:rPr>
          <w:rFonts w:ascii="Times New Roman" w:hAnsi="Times New Roman" w:cs="Times New Roman"/>
        </w:rPr>
        <w:t xml:space="preserve">s offers to customers, an </w:t>
      </w:r>
      <w:r w:rsidR="00F40CB2">
        <w:rPr>
          <w:rFonts w:ascii="Times New Roman" w:hAnsi="Times New Roman" w:cs="Times New Roman"/>
        </w:rPr>
        <w:lastRenderedPageBreak/>
        <w:t xml:space="preserve">increase in this capacity price </w:t>
      </w:r>
      <w:r>
        <w:rPr>
          <w:rFonts w:ascii="Times New Roman" w:hAnsi="Times New Roman" w:cs="Times New Roman"/>
        </w:rPr>
        <w:t>will likely</w:t>
      </w:r>
      <w:r w:rsidR="00F40CB2">
        <w:rPr>
          <w:rFonts w:ascii="Times New Roman" w:hAnsi="Times New Roman" w:cs="Times New Roman"/>
        </w:rPr>
        <w:t xml:space="preserve"> require CRES providers to </w:t>
      </w:r>
      <w:r>
        <w:rPr>
          <w:rFonts w:ascii="Times New Roman" w:hAnsi="Times New Roman" w:cs="Times New Roman"/>
        </w:rPr>
        <w:t xml:space="preserve">either increase their prices or force them to </w:t>
      </w:r>
      <w:r w:rsidR="00F40CB2">
        <w:rPr>
          <w:rFonts w:ascii="Times New Roman" w:hAnsi="Times New Roman" w:cs="Times New Roman"/>
        </w:rPr>
        <w:t xml:space="preserve">cancel </w:t>
      </w:r>
      <w:r>
        <w:rPr>
          <w:rFonts w:ascii="Times New Roman" w:hAnsi="Times New Roman" w:cs="Times New Roman"/>
        </w:rPr>
        <w:t>their</w:t>
      </w:r>
      <w:r w:rsidR="001A2BA8">
        <w:rPr>
          <w:rFonts w:ascii="Times New Roman" w:hAnsi="Times New Roman" w:cs="Times New Roman"/>
        </w:rPr>
        <w:t xml:space="preserve"> existing</w:t>
      </w:r>
      <w:r>
        <w:rPr>
          <w:rFonts w:ascii="Times New Roman" w:hAnsi="Times New Roman" w:cs="Times New Roman"/>
        </w:rPr>
        <w:t xml:space="preserve"> </w:t>
      </w:r>
      <w:r w:rsidR="00F40CB2">
        <w:rPr>
          <w:rFonts w:ascii="Times New Roman" w:hAnsi="Times New Roman" w:cs="Times New Roman"/>
        </w:rPr>
        <w:t xml:space="preserve">contracts. </w:t>
      </w:r>
      <w:r>
        <w:rPr>
          <w:rFonts w:ascii="Times New Roman" w:hAnsi="Times New Roman" w:cs="Times New Roman"/>
        </w:rPr>
        <w:t xml:space="preserve"> </w:t>
      </w:r>
      <w:r w:rsidR="00F40CB2">
        <w:rPr>
          <w:rFonts w:ascii="Times New Roman" w:hAnsi="Times New Roman" w:cs="Times New Roman"/>
        </w:rPr>
        <w:t xml:space="preserve">(IGS Ex. 101 </w:t>
      </w:r>
      <w:r w:rsidR="009328ED">
        <w:rPr>
          <w:rFonts w:ascii="Times New Roman" w:hAnsi="Times New Roman" w:cs="Times New Roman"/>
        </w:rPr>
        <w:t xml:space="preserve">(Parisi Dir. Test.) </w:t>
      </w:r>
      <w:r w:rsidR="00F40CB2">
        <w:rPr>
          <w:rFonts w:ascii="Times New Roman" w:hAnsi="Times New Roman" w:cs="Times New Roman"/>
        </w:rPr>
        <w:t>at 7:1-3</w:t>
      </w:r>
      <w:r>
        <w:rPr>
          <w:rFonts w:ascii="Times New Roman" w:hAnsi="Times New Roman" w:cs="Times New Roman"/>
        </w:rPr>
        <w:t>, 5-11</w:t>
      </w:r>
      <w:r w:rsidR="00F40CB2">
        <w:rPr>
          <w:rFonts w:ascii="Times New Roman" w:hAnsi="Times New Roman" w:cs="Times New Roman"/>
        </w:rPr>
        <w:t xml:space="preserve">.)   </w:t>
      </w:r>
    </w:p>
    <w:p w14:paraId="1A6B939F" w14:textId="537EE1DB" w:rsidR="000B3B26" w:rsidRDefault="001A2BA8" w:rsidP="008655AF">
      <w:pPr>
        <w:spacing w:line="480" w:lineRule="auto"/>
        <w:ind w:firstLine="720"/>
        <w:rPr>
          <w:rFonts w:ascii="Times New Roman" w:hAnsi="Times New Roman" w:cs="Times New Roman"/>
        </w:rPr>
      </w:pPr>
      <w:r>
        <w:rPr>
          <w:rFonts w:ascii="Times New Roman" w:hAnsi="Times New Roman" w:cs="Times New Roman"/>
        </w:rPr>
        <w:t>AEP’s proposed i</w:t>
      </w:r>
      <w:r w:rsidR="00EF0358">
        <w:rPr>
          <w:rFonts w:ascii="Times New Roman" w:hAnsi="Times New Roman" w:cs="Times New Roman"/>
        </w:rPr>
        <w:t xml:space="preserve">nflated </w:t>
      </w:r>
      <w:r w:rsidR="0079342F">
        <w:rPr>
          <w:rFonts w:ascii="Times New Roman" w:hAnsi="Times New Roman" w:cs="Times New Roman"/>
        </w:rPr>
        <w:t xml:space="preserve">capacity prices will not only </w:t>
      </w:r>
      <w:r w:rsidR="00EF0358">
        <w:rPr>
          <w:rFonts w:ascii="Times New Roman" w:hAnsi="Times New Roman" w:cs="Times New Roman"/>
        </w:rPr>
        <w:t xml:space="preserve">threaten </w:t>
      </w:r>
      <w:r w:rsidR="0079342F">
        <w:rPr>
          <w:rFonts w:ascii="Times New Roman" w:hAnsi="Times New Roman" w:cs="Times New Roman"/>
        </w:rPr>
        <w:t>existing shopping, but it will further</w:t>
      </w:r>
      <w:r w:rsidR="008655AF">
        <w:rPr>
          <w:rFonts w:ascii="Times New Roman" w:hAnsi="Times New Roman" w:cs="Times New Roman"/>
        </w:rPr>
        <w:t xml:space="preserve"> </w:t>
      </w:r>
      <w:r w:rsidR="00EF0358">
        <w:rPr>
          <w:rFonts w:ascii="Times New Roman" w:hAnsi="Times New Roman" w:cs="Times New Roman"/>
        </w:rPr>
        <w:t xml:space="preserve">suppress </w:t>
      </w:r>
      <w:r w:rsidR="008655AF">
        <w:rPr>
          <w:rFonts w:ascii="Times New Roman" w:hAnsi="Times New Roman" w:cs="Times New Roman"/>
        </w:rPr>
        <w:t xml:space="preserve">the opportunities for </w:t>
      </w:r>
      <w:r w:rsidR="0079342F">
        <w:rPr>
          <w:rFonts w:ascii="Times New Roman" w:hAnsi="Times New Roman" w:cs="Times New Roman"/>
        </w:rPr>
        <w:t xml:space="preserve">non-shopping </w:t>
      </w:r>
      <w:r w:rsidR="008655AF">
        <w:rPr>
          <w:rFonts w:ascii="Times New Roman" w:hAnsi="Times New Roman" w:cs="Times New Roman"/>
        </w:rPr>
        <w:t xml:space="preserve">customers to shop </w:t>
      </w:r>
      <w:r w:rsidR="0079342F">
        <w:rPr>
          <w:rFonts w:ascii="Times New Roman" w:hAnsi="Times New Roman" w:cs="Times New Roman"/>
        </w:rPr>
        <w:t>during the ESP period</w:t>
      </w:r>
      <w:r w:rsidR="008655AF">
        <w:rPr>
          <w:rFonts w:ascii="Times New Roman" w:hAnsi="Times New Roman" w:cs="Times New Roman"/>
        </w:rPr>
        <w:t>.  If the Commission adopts a capacity p</w:t>
      </w:r>
      <w:r w:rsidR="00EF0358">
        <w:rPr>
          <w:rFonts w:ascii="Times New Roman" w:hAnsi="Times New Roman" w:cs="Times New Roman"/>
        </w:rPr>
        <w:t>rice that is higher than market</w:t>
      </w:r>
      <w:r w:rsidR="008655AF">
        <w:rPr>
          <w:rFonts w:ascii="Times New Roman" w:hAnsi="Times New Roman" w:cs="Times New Roman"/>
        </w:rPr>
        <w:t xml:space="preserve"> </w:t>
      </w:r>
      <w:r w:rsidR="00EF0358">
        <w:rPr>
          <w:rFonts w:ascii="Times New Roman" w:hAnsi="Times New Roman" w:cs="Times New Roman"/>
        </w:rPr>
        <w:t>(</w:t>
      </w:r>
      <w:r w:rsidR="008655AF">
        <w:rPr>
          <w:rFonts w:ascii="Times New Roman" w:hAnsi="Times New Roman" w:cs="Times New Roman"/>
        </w:rPr>
        <w:t>even for Tier 1 pricing</w:t>
      </w:r>
      <w:r w:rsidR="00EF0358">
        <w:rPr>
          <w:rFonts w:ascii="Times New Roman" w:hAnsi="Times New Roman" w:cs="Times New Roman"/>
        </w:rPr>
        <w:t xml:space="preserve"> in AEP’s proposal)</w:t>
      </w:r>
      <w:r w:rsidR="008655AF">
        <w:rPr>
          <w:rFonts w:ascii="Times New Roman" w:hAnsi="Times New Roman" w:cs="Times New Roman"/>
        </w:rPr>
        <w:t>, it will “make it very difficult for suppliers to offer competitive pricing for the en</w:t>
      </w:r>
      <w:r w:rsidR="009328ED">
        <w:rPr>
          <w:rFonts w:ascii="Times New Roman" w:hAnsi="Times New Roman" w:cs="Times New Roman"/>
        </w:rPr>
        <w:t>tire ESP period.”  (IGS Ex. 101</w:t>
      </w:r>
      <w:r w:rsidR="008655AF">
        <w:rPr>
          <w:rFonts w:ascii="Times New Roman" w:hAnsi="Times New Roman" w:cs="Times New Roman"/>
        </w:rPr>
        <w:t xml:space="preserve"> at</w:t>
      </w:r>
      <w:r w:rsidR="00692399">
        <w:rPr>
          <w:rFonts w:ascii="Times New Roman" w:hAnsi="Times New Roman" w:cs="Times New Roman"/>
        </w:rPr>
        <w:t xml:space="preserve"> 6:</w:t>
      </w:r>
      <w:r w:rsidR="008655AF">
        <w:rPr>
          <w:rFonts w:ascii="Times New Roman" w:hAnsi="Times New Roman" w:cs="Times New Roman"/>
        </w:rPr>
        <w:t xml:space="preserve">12-13.)  </w:t>
      </w:r>
      <w:r w:rsidR="00EF0358">
        <w:rPr>
          <w:rFonts w:ascii="Times New Roman" w:hAnsi="Times New Roman" w:cs="Times New Roman"/>
        </w:rPr>
        <w:t xml:space="preserve">And </w:t>
      </w:r>
      <w:r w:rsidR="008655AF">
        <w:rPr>
          <w:rFonts w:ascii="Times New Roman" w:hAnsi="Times New Roman" w:cs="Times New Roman"/>
        </w:rPr>
        <w:t>once the Tier 1 capacity limits are reached, CRES suppliers would have to pay a</w:t>
      </w:r>
      <w:r w:rsidR="00EF0358">
        <w:rPr>
          <w:rFonts w:ascii="Times New Roman" w:hAnsi="Times New Roman" w:cs="Times New Roman"/>
        </w:rPr>
        <w:t>n even</w:t>
      </w:r>
      <w:r w:rsidR="008655AF">
        <w:rPr>
          <w:rFonts w:ascii="Times New Roman" w:hAnsi="Times New Roman" w:cs="Times New Roman"/>
        </w:rPr>
        <w:t xml:space="preserve"> higher amount for capacity in the second tier.  (</w:t>
      </w:r>
      <w:r w:rsidR="008655AF">
        <w:rPr>
          <w:rFonts w:ascii="Times New Roman" w:hAnsi="Times New Roman" w:cs="Times New Roman"/>
          <w:i/>
        </w:rPr>
        <w:t>Id.</w:t>
      </w:r>
      <w:r w:rsidR="008655AF">
        <w:rPr>
          <w:rFonts w:ascii="Times New Roman" w:hAnsi="Times New Roman" w:cs="Times New Roman"/>
        </w:rPr>
        <w:t xml:space="preserve"> at 6:13-15.)  </w:t>
      </w:r>
      <w:r w:rsidR="00EF0358">
        <w:rPr>
          <w:rFonts w:ascii="Times New Roman" w:hAnsi="Times New Roman" w:cs="Times New Roman"/>
        </w:rPr>
        <w:t xml:space="preserve">It follows that </w:t>
      </w:r>
      <w:r w:rsidR="008655AF">
        <w:rPr>
          <w:rFonts w:ascii="Times New Roman" w:hAnsi="Times New Roman" w:cs="Times New Roman"/>
        </w:rPr>
        <w:t>the two-tier system will “severely limit the amount of shopping that occurs in the AEP service territory through the ESP period” creating “a longer-term chilling effect on competition.”  (</w:t>
      </w:r>
      <w:r w:rsidR="008655AF">
        <w:rPr>
          <w:rFonts w:ascii="Times New Roman" w:hAnsi="Times New Roman" w:cs="Times New Roman"/>
          <w:i/>
        </w:rPr>
        <w:t>Id.</w:t>
      </w:r>
      <w:r w:rsidR="008655AF">
        <w:rPr>
          <w:rFonts w:ascii="Times New Roman" w:hAnsi="Times New Roman" w:cs="Times New Roman"/>
        </w:rPr>
        <w:t xml:space="preserve"> at 6:15-20.)</w:t>
      </w:r>
      <w:r w:rsidR="000B3B26">
        <w:rPr>
          <w:rFonts w:ascii="Times New Roman" w:hAnsi="Times New Roman" w:cs="Times New Roman"/>
        </w:rPr>
        <w:t xml:space="preserve">  </w:t>
      </w:r>
    </w:p>
    <w:p w14:paraId="41DCA9AE" w14:textId="45AB7BCE" w:rsidR="00EF0358" w:rsidRDefault="00EF0358" w:rsidP="00EF0358">
      <w:pPr>
        <w:spacing w:line="480" w:lineRule="auto"/>
        <w:ind w:firstLine="720"/>
        <w:rPr>
          <w:rFonts w:ascii="Times New Roman" w:hAnsi="Times New Roman" w:cs="Times New Roman"/>
        </w:rPr>
      </w:pPr>
      <w:r>
        <w:rPr>
          <w:rFonts w:ascii="Times New Roman" w:hAnsi="Times New Roman" w:cs="Times New Roman"/>
        </w:rPr>
        <w:t xml:space="preserve">Finally, IGS would reiterate what it explained in detail in the capacity-charge case (10-2929-EL-UNC): the capacity charge must be set consistent with Ohio policy, and Ohio policy affirmatively requires the encouragement and promotion of competition.   AEP’s inflated capacity-charge proposal plainly violates that policy; RPM pricing plainly advances it. </w:t>
      </w:r>
    </w:p>
    <w:p w14:paraId="4957D490" w14:textId="79D4D9B9" w:rsidR="00A51A24" w:rsidRDefault="000B3B26" w:rsidP="00EF0358">
      <w:pPr>
        <w:spacing w:line="480" w:lineRule="auto"/>
        <w:ind w:firstLine="720"/>
        <w:rPr>
          <w:rFonts w:ascii="Times New Roman" w:hAnsi="Times New Roman" w:cs="Times New Roman"/>
        </w:rPr>
      </w:pPr>
      <w:r>
        <w:rPr>
          <w:rFonts w:ascii="Times New Roman" w:hAnsi="Times New Roman" w:cs="Times New Roman"/>
        </w:rPr>
        <w:t xml:space="preserve">The Commission should recognize that the price </w:t>
      </w:r>
      <w:r w:rsidR="00EF0358">
        <w:rPr>
          <w:rFonts w:ascii="Times New Roman" w:hAnsi="Times New Roman" w:cs="Times New Roman"/>
        </w:rPr>
        <w:t xml:space="preserve">and structure of </w:t>
      </w:r>
      <w:r>
        <w:rPr>
          <w:rFonts w:ascii="Times New Roman" w:hAnsi="Times New Roman" w:cs="Times New Roman"/>
        </w:rPr>
        <w:t xml:space="preserve">capacity </w:t>
      </w:r>
      <w:r w:rsidR="00EF0358">
        <w:rPr>
          <w:rFonts w:ascii="Times New Roman" w:hAnsi="Times New Roman" w:cs="Times New Roman"/>
        </w:rPr>
        <w:t xml:space="preserve">charges </w:t>
      </w:r>
      <w:r>
        <w:rPr>
          <w:rFonts w:ascii="Times New Roman" w:hAnsi="Times New Roman" w:cs="Times New Roman"/>
        </w:rPr>
        <w:t>during</w:t>
      </w:r>
      <w:r w:rsidR="004A78E7">
        <w:rPr>
          <w:rFonts w:ascii="Times New Roman" w:hAnsi="Times New Roman" w:cs="Times New Roman"/>
        </w:rPr>
        <w:t xml:space="preserve"> proposed by during</w:t>
      </w:r>
      <w:r>
        <w:rPr>
          <w:rFonts w:ascii="Times New Roman" w:hAnsi="Times New Roman" w:cs="Times New Roman"/>
        </w:rPr>
        <w:t xml:space="preserve"> AEP’s ESP period will </w:t>
      </w:r>
      <w:r w:rsidR="00084521">
        <w:rPr>
          <w:rFonts w:ascii="Times New Roman" w:hAnsi="Times New Roman" w:cs="Times New Roman"/>
        </w:rPr>
        <w:t xml:space="preserve">negatively </w:t>
      </w:r>
      <w:r>
        <w:rPr>
          <w:rFonts w:ascii="Times New Roman" w:hAnsi="Times New Roman" w:cs="Times New Roman"/>
        </w:rPr>
        <w:t>impact the competition</w:t>
      </w:r>
      <w:r w:rsidR="004A78E7">
        <w:rPr>
          <w:rFonts w:ascii="Times New Roman" w:hAnsi="Times New Roman" w:cs="Times New Roman"/>
        </w:rPr>
        <w:t>.</w:t>
      </w:r>
      <w:r>
        <w:rPr>
          <w:rFonts w:ascii="Times New Roman" w:hAnsi="Times New Roman" w:cs="Times New Roman"/>
        </w:rPr>
        <w:t xml:space="preserve"> </w:t>
      </w:r>
      <w:r w:rsidR="001A2BA8">
        <w:rPr>
          <w:rFonts w:ascii="Times New Roman" w:hAnsi="Times New Roman" w:cs="Times New Roman"/>
        </w:rPr>
        <w:t xml:space="preserve"> </w:t>
      </w:r>
      <w:r w:rsidR="004A78E7">
        <w:rPr>
          <w:rFonts w:ascii="Times New Roman" w:hAnsi="Times New Roman" w:cs="Times New Roman"/>
        </w:rPr>
        <w:t>A</w:t>
      </w:r>
      <w:r w:rsidR="001A2BA8">
        <w:rPr>
          <w:rFonts w:ascii="Times New Roman" w:hAnsi="Times New Roman" w:cs="Times New Roman"/>
        </w:rPr>
        <w:t xml:space="preserve">ccordingly the </w:t>
      </w:r>
      <w:r>
        <w:rPr>
          <w:rFonts w:ascii="Times New Roman" w:hAnsi="Times New Roman" w:cs="Times New Roman"/>
        </w:rPr>
        <w:t>Commission should</w:t>
      </w:r>
      <w:r w:rsidR="001A2BA8">
        <w:rPr>
          <w:rFonts w:ascii="Times New Roman" w:hAnsi="Times New Roman" w:cs="Times New Roman"/>
        </w:rPr>
        <w:t xml:space="preserve"> not</w:t>
      </w:r>
      <w:r>
        <w:rPr>
          <w:rFonts w:ascii="Times New Roman" w:hAnsi="Times New Roman" w:cs="Times New Roman"/>
        </w:rPr>
        <w:t xml:space="preserve"> adopt </w:t>
      </w:r>
      <w:r w:rsidR="001A2BA8">
        <w:rPr>
          <w:rFonts w:ascii="Times New Roman" w:hAnsi="Times New Roman" w:cs="Times New Roman"/>
        </w:rPr>
        <w:t>AEP’s proposed</w:t>
      </w:r>
      <w:r>
        <w:rPr>
          <w:rFonts w:ascii="Times New Roman" w:hAnsi="Times New Roman" w:cs="Times New Roman"/>
        </w:rPr>
        <w:t xml:space="preserve"> capacity price </w:t>
      </w:r>
      <w:r w:rsidR="00E90121">
        <w:rPr>
          <w:rFonts w:ascii="Times New Roman" w:hAnsi="Times New Roman" w:cs="Times New Roman"/>
        </w:rPr>
        <w:t>and rather require that AEP charge CRES suppliers RPM pricing for the AEP ESP term</w:t>
      </w:r>
      <w:r>
        <w:rPr>
          <w:rFonts w:ascii="Times New Roman" w:hAnsi="Times New Roman" w:cs="Times New Roman"/>
        </w:rPr>
        <w:t>.</w:t>
      </w:r>
    </w:p>
    <w:p w14:paraId="1B9C9E8F" w14:textId="2CEFDF46" w:rsidR="007646BE" w:rsidRDefault="00A51A24" w:rsidP="007646BE">
      <w:pPr>
        <w:ind w:left="1440" w:hanging="72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r>
      <w:r w:rsidR="007646BE">
        <w:rPr>
          <w:rFonts w:ascii="Times New Roman" w:hAnsi="Times New Roman" w:cs="Times New Roman"/>
          <w:b/>
        </w:rPr>
        <w:t xml:space="preserve">If a tiered capacity system is adopted, which IGS does not advocate, the Commission should modify AEP’s proposal to allow for </w:t>
      </w:r>
      <w:r w:rsidR="00B066CE">
        <w:rPr>
          <w:rFonts w:ascii="Times New Roman" w:hAnsi="Times New Roman" w:cs="Times New Roman"/>
          <w:b/>
        </w:rPr>
        <w:t>additional customer migration</w:t>
      </w:r>
      <w:r w:rsidR="007646BE">
        <w:rPr>
          <w:rFonts w:ascii="Times New Roman" w:hAnsi="Times New Roman" w:cs="Times New Roman"/>
          <w:b/>
        </w:rPr>
        <w:t>.</w:t>
      </w:r>
    </w:p>
    <w:p w14:paraId="328C6E40" w14:textId="77777777" w:rsidR="007646BE" w:rsidRDefault="007646BE" w:rsidP="007646BE">
      <w:pPr>
        <w:ind w:left="1440" w:hanging="720"/>
        <w:rPr>
          <w:rFonts w:ascii="Times New Roman" w:hAnsi="Times New Roman" w:cs="Times New Roman"/>
        </w:rPr>
      </w:pPr>
    </w:p>
    <w:p w14:paraId="52AEC705" w14:textId="52A10BDE" w:rsidR="007646BE" w:rsidRDefault="007646BE" w:rsidP="007646BE">
      <w:pPr>
        <w:spacing w:line="480" w:lineRule="auto"/>
        <w:ind w:firstLine="720"/>
        <w:rPr>
          <w:rFonts w:ascii="Times New Roman" w:hAnsi="Times New Roman" w:cs="Times New Roman"/>
        </w:rPr>
      </w:pPr>
      <w:r>
        <w:rPr>
          <w:rFonts w:ascii="Times New Roman" w:hAnsi="Times New Roman" w:cs="Times New Roman"/>
        </w:rPr>
        <w:t>AEP proposes a tiered capac</w:t>
      </w:r>
      <w:r w:rsidR="00EF0358">
        <w:rPr>
          <w:rFonts w:ascii="Times New Roman" w:hAnsi="Times New Roman" w:cs="Times New Roman"/>
        </w:rPr>
        <w:t>ity system that limits the ability of customer</w:t>
      </w:r>
      <w:r>
        <w:rPr>
          <w:rFonts w:ascii="Times New Roman" w:hAnsi="Times New Roman" w:cs="Times New Roman"/>
        </w:rPr>
        <w:t>s to shop</w:t>
      </w:r>
      <w:r w:rsidR="00EF0358">
        <w:rPr>
          <w:rFonts w:ascii="Times New Roman" w:hAnsi="Times New Roman" w:cs="Times New Roman"/>
        </w:rPr>
        <w:t>,</w:t>
      </w:r>
      <w:r>
        <w:rPr>
          <w:rFonts w:ascii="Times New Roman" w:hAnsi="Times New Roman" w:cs="Times New Roman"/>
        </w:rPr>
        <w:t xml:space="preserve"> and </w:t>
      </w:r>
      <w:r w:rsidR="00EF0358">
        <w:rPr>
          <w:rFonts w:ascii="Times New Roman" w:hAnsi="Times New Roman" w:cs="Times New Roman"/>
        </w:rPr>
        <w:t xml:space="preserve">it </w:t>
      </w:r>
      <w:r>
        <w:rPr>
          <w:rFonts w:ascii="Times New Roman" w:hAnsi="Times New Roman" w:cs="Times New Roman"/>
        </w:rPr>
        <w:t>creates a price disparity based on a customer’s place in the queue.  (</w:t>
      </w:r>
      <w:r w:rsidR="009158EF">
        <w:rPr>
          <w:rFonts w:ascii="Times New Roman" w:hAnsi="Times New Roman" w:cs="Times New Roman"/>
        </w:rPr>
        <w:t>Tr. 1539:11-20; Tr. 1528:24-</w:t>
      </w:r>
      <w:r w:rsidR="009158EF">
        <w:rPr>
          <w:rFonts w:ascii="Times New Roman" w:hAnsi="Times New Roman" w:cs="Times New Roman"/>
        </w:rPr>
        <w:lastRenderedPageBreak/>
        <w:t>1531:14; Tr. 1535:19-1536:2.</w:t>
      </w:r>
      <w:r w:rsidR="009328ED">
        <w:rPr>
          <w:rFonts w:ascii="Times New Roman" w:hAnsi="Times New Roman" w:cs="Times New Roman"/>
        </w:rPr>
        <w:t>)</w:t>
      </w:r>
      <w:r>
        <w:rPr>
          <w:rFonts w:ascii="Times New Roman" w:hAnsi="Times New Roman" w:cs="Times New Roman"/>
        </w:rPr>
        <w:t xml:space="preserve">  IGS, along with many other </w:t>
      </w:r>
      <w:r w:rsidR="00EF0358">
        <w:rPr>
          <w:rFonts w:ascii="Times New Roman" w:hAnsi="Times New Roman" w:cs="Times New Roman"/>
        </w:rPr>
        <w:t>customers and supplier groups</w:t>
      </w:r>
      <w:r>
        <w:rPr>
          <w:rFonts w:ascii="Times New Roman" w:hAnsi="Times New Roman" w:cs="Times New Roman"/>
        </w:rPr>
        <w:t>, oppose this two-tiered system for multiple reasons.  To avoid repetition of intervenor briefs, IGS will not recite every reason for opposing the two-tier capacity.</w:t>
      </w:r>
      <w:r w:rsidR="00EF0358">
        <w:rPr>
          <w:rFonts w:ascii="Times New Roman" w:hAnsi="Times New Roman" w:cs="Times New Roman"/>
        </w:rPr>
        <w:t xml:space="preserve"> </w:t>
      </w:r>
      <w:r>
        <w:rPr>
          <w:rFonts w:ascii="Times New Roman" w:hAnsi="Times New Roman" w:cs="Times New Roman"/>
        </w:rPr>
        <w:t xml:space="preserve"> IGS would </w:t>
      </w:r>
      <w:r w:rsidR="00EF0358">
        <w:rPr>
          <w:rFonts w:ascii="Times New Roman" w:hAnsi="Times New Roman" w:cs="Times New Roman"/>
        </w:rPr>
        <w:t xml:space="preserve">highlight, however, </w:t>
      </w:r>
      <w:r>
        <w:rPr>
          <w:rFonts w:ascii="Times New Roman" w:hAnsi="Times New Roman" w:cs="Times New Roman"/>
        </w:rPr>
        <w:t>several outcomes if the two-tier capacity structure is adopted.</w:t>
      </w:r>
    </w:p>
    <w:p w14:paraId="1139CC30" w14:textId="7F17E7A8" w:rsidR="007646BE" w:rsidRDefault="007646BE" w:rsidP="007646BE">
      <w:pPr>
        <w:spacing w:line="480" w:lineRule="auto"/>
        <w:ind w:firstLine="720"/>
        <w:rPr>
          <w:rFonts w:ascii="Times New Roman" w:hAnsi="Times New Roman" w:cs="Times New Roman"/>
        </w:rPr>
      </w:pPr>
      <w:r>
        <w:rPr>
          <w:rFonts w:ascii="Times New Roman" w:hAnsi="Times New Roman" w:cs="Times New Roman"/>
        </w:rPr>
        <w:t xml:space="preserve">First, </w:t>
      </w:r>
      <w:r w:rsidR="00EF0358">
        <w:rPr>
          <w:rFonts w:ascii="Times New Roman" w:hAnsi="Times New Roman" w:cs="Times New Roman"/>
        </w:rPr>
        <w:t>it appears likely that t</w:t>
      </w:r>
      <w:r>
        <w:rPr>
          <w:rFonts w:ascii="Times New Roman" w:hAnsi="Times New Roman" w:cs="Times New Roman"/>
        </w:rPr>
        <w:t xml:space="preserve">he two-tier </w:t>
      </w:r>
      <w:r w:rsidR="00EF0358">
        <w:rPr>
          <w:rFonts w:ascii="Times New Roman" w:hAnsi="Times New Roman" w:cs="Times New Roman"/>
        </w:rPr>
        <w:t>capacity structure as proposed</w:t>
      </w:r>
      <w:r>
        <w:rPr>
          <w:rFonts w:ascii="Times New Roman" w:hAnsi="Times New Roman" w:cs="Times New Roman"/>
        </w:rPr>
        <w:t xml:space="preserve"> will be quickly oversubscribed</w:t>
      </w:r>
      <w:r w:rsidR="00170F09">
        <w:rPr>
          <w:rFonts w:ascii="Times New Roman" w:hAnsi="Times New Roman" w:cs="Times New Roman"/>
        </w:rPr>
        <w:t xml:space="preserve">.  With </w:t>
      </w:r>
      <w:r w:rsidR="009158EF">
        <w:rPr>
          <w:rFonts w:ascii="Times New Roman" w:hAnsi="Times New Roman" w:cs="Times New Roman"/>
        </w:rPr>
        <w:t>15.57</w:t>
      </w:r>
      <w:r w:rsidR="00170F09">
        <w:rPr>
          <w:rFonts w:ascii="Times New Roman" w:hAnsi="Times New Roman" w:cs="Times New Roman"/>
        </w:rPr>
        <w:t xml:space="preserve">% of residential customers </w:t>
      </w:r>
      <w:r w:rsidR="00EF0358">
        <w:rPr>
          <w:rFonts w:ascii="Times New Roman" w:hAnsi="Times New Roman" w:cs="Times New Roman"/>
        </w:rPr>
        <w:t xml:space="preserve">either </w:t>
      </w:r>
      <w:r w:rsidR="00170F09">
        <w:rPr>
          <w:rFonts w:ascii="Times New Roman" w:hAnsi="Times New Roman" w:cs="Times New Roman"/>
        </w:rPr>
        <w:t>shopping</w:t>
      </w:r>
      <w:r w:rsidR="009158EF">
        <w:rPr>
          <w:rFonts w:ascii="Times New Roman" w:hAnsi="Times New Roman" w:cs="Times New Roman"/>
        </w:rPr>
        <w:t xml:space="preserve"> or </w:t>
      </w:r>
      <w:r w:rsidR="00EF0358">
        <w:rPr>
          <w:rFonts w:ascii="Times New Roman" w:hAnsi="Times New Roman" w:cs="Times New Roman"/>
        </w:rPr>
        <w:t xml:space="preserve">soon to shop </w:t>
      </w:r>
      <w:r w:rsidR="00170F09">
        <w:rPr>
          <w:rFonts w:ascii="Times New Roman" w:hAnsi="Times New Roman" w:cs="Times New Roman"/>
        </w:rPr>
        <w:t xml:space="preserve">as of May 31, 2012, </w:t>
      </w:r>
      <w:r w:rsidR="00BD49A0">
        <w:rPr>
          <w:rFonts w:ascii="Times New Roman" w:hAnsi="Times New Roman" w:cs="Times New Roman"/>
        </w:rPr>
        <w:t xml:space="preserve">it appears </w:t>
      </w:r>
      <w:r w:rsidR="00170F09">
        <w:rPr>
          <w:rFonts w:ascii="Times New Roman" w:hAnsi="Times New Roman" w:cs="Times New Roman"/>
        </w:rPr>
        <w:t>that the 21% threshold for 2012 will be reached soon</w:t>
      </w:r>
      <w:r w:rsidR="00BD49A0">
        <w:rPr>
          <w:rFonts w:ascii="Times New Roman" w:hAnsi="Times New Roman" w:cs="Times New Roman"/>
        </w:rPr>
        <w:t>er rather than later</w:t>
      </w:r>
      <w:r w:rsidR="00170F09">
        <w:rPr>
          <w:rFonts w:ascii="Times New Roman" w:hAnsi="Times New Roman" w:cs="Times New Roman"/>
        </w:rPr>
        <w:t xml:space="preserve">.  (AEP Ex. </w:t>
      </w:r>
      <w:r w:rsidR="009158EF">
        <w:rPr>
          <w:rFonts w:ascii="Times New Roman" w:hAnsi="Times New Roman" w:cs="Times New Roman"/>
        </w:rPr>
        <w:t xml:space="preserve">151 </w:t>
      </w:r>
      <w:r w:rsidR="00170F09">
        <w:rPr>
          <w:rFonts w:ascii="Times New Roman" w:hAnsi="Times New Roman" w:cs="Times New Roman"/>
        </w:rPr>
        <w:t xml:space="preserve">(Allen </w:t>
      </w:r>
      <w:proofErr w:type="spellStart"/>
      <w:r w:rsidR="00170F09">
        <w:rPr>
          <w:rFonts w:ascii="Times New Roman" w:hAnsi="Times New Roman" w:cs="Times New Roman"/>
        </w:rPr>
        <w:t>Reb</w:t>
      </w:r>
      <w:proofErr w:type="spellEnd"/>
      <w:r w:rsidR="00170F09">
        <w:rPr>
          <w:rFonts w:ascii="Times New Roman" w:hAnsi="Times New Roman" w:cs="Times New Roman"/>
        </w:rPr>
        <w:t>.), at</w:t>
      </w:r>
      <w:r w:rsidR="009158EF">
        <w:rPr>
          <w:rFonts w:ascii="Times New Roman" w:hAnsi="Times New Roman" w:cs="Times New Roman"/>
        </w:rPr>
        <w:t xml:space="preserve"> 10</w:t>
      </w:r>
      <w:r w:rsidR="00170F09">
        <w:rPr>
          <w:rFonts w:ascii="Times New Roman" w:hAnsi="Times New Roman" w:cs="Times New Roman"/>
        </w:rPr>
        <w:t xml:space="preserve">.)  Further the </w:t>
      </w:r>
      <w:r w:rsidR="00BD49A0">
        <w:rPr>
          <w:rFonts w:ascii="Times New Roman" w:hAnsi="Times New Roman" w:cs="Times New Roman"/>
        </w:rPr>
        <w:t xml:space="preserve">arrival of </w:t>
      </w:r>
      <w:r w:rsidR="00170F09">
        <w:rPr>
          <w:rFonts w:ascii="Times New Roman" w:hAnsi="Times New Roman" w:cs="Times New Roman"/>
        </w:rPr>
        <w:t xml:space="preserve">aggregation customers </w:t>
      </w:r>
      <w:r w:rsidR="00BD49A0">
        <w:rPr>
          <w:rFonts w:ascii="Times New Roman" w:hAnsi="Times New Roman" w:cs="Times New Roman"/>
        </w:rPr>
        <w:t>to Tier 1 on January 1, 2013</w:t>
      </w:r>
      <w:r w:rsidR="00170F09">
        <w:rPr>
          <w:rFonts w:ascii="Times New Roman" w:hAnsi="Times New Roman" w:cs="Times New Roman"/>
        </w:rPr>
        <w:t xml:space="preserve"> </w:t>
      </w:r>
      <w:r w:rsidR="009158EF">
        <w:rPr>
          <w:rFonts w:ascii="Times New Roman" w:hAnsi="Times New Roman" w:cs="Times New Roman"/>
        </w:rPr>
        <w:t>(Tr. 1571:6-14)</w:t>
      </w:r>
      <w:r w:rsidR="00170F09">
        <w:rPr>
          <w:rFonts w:ascii="Times New Roman" w:hAnsi="Times New Roman" w:cs="Times New Roman"/>
        </w:rPr>
        <w:t xml:space="preserve">, will </w:t>
      </w:r>
      <w:r w:rsidR="00BD49A0">
        <w:rPr>
          <w:rFonts w:ascii="Times New Roman" w:hAnsi="Times New Roman" w:cs="Times New Roman"/>
        </w:rPr>
        <w:t xml:space="preserve">make </w:t>
      </w:r>
      <w:r w:rsidR="00170F09">
        <w:rPr>
          <w:rFonts w:ascii="Times New Roman" w:hAnsi="Times New Roman" w:cs="Times New Roman"/>
        </w:rPr>
        <w:t xml:space="preserve">the already </w:t>
      </w:r>
      <w:r w:rsidR="00BD49A0">
        <w:rPr>
          <w:rFonts w:ascii="Times New Roman" w:hAnsi="Times New Roman" w:cs="Times New Roman"/>
        </w:rPr>
        <w:t xml:space="preserve">limited </w:t>
      </w:r>
      <w:r w:rsidR="00170F09">
        <w:rPr>
          <w:rFonts w:ascii="Times New Roman" w:hAnsi="Times New Roman" w:cs="Times New Roman"/>
        </w:rPr>
        <w:t xml:space="preserve">Tier 1 capacity </w:t>
      </w:r>
      <w:r w:rsidR="00BD49A0">
        <w:rPr>
          <w:rFonts w:ascii="Times New Roman" w:hAnsi="Times New Roman" w:cs="Times New Roman"/>
        </w:rPr>
        <w:t>even scarcer</w:t>
      </w:r>
      <w:r w:rsidR="00170F09">
        <w:rPr>
          <w:rFonts w:ascii="Times New Roman" w:hAnsi="Times New Roman" w:cs="Times New Roman"/>
        </w:rPr>
        <w:t xml:space="preserve">. </w:t>
      </w:r>
      <w:r w:rsidR="00BD49A0">
        <w:rPr>
          <w:rFonts w:ascii="Times New Roman" w:hAnsi="Times New Roman" w:cs="Times New Roman"/>
        </w:rPr>
        <w:t xml:space="preserve"> </w:t>
      </w:r>
      <w:r w:rsidR="00170F09">
        <w:rPr>
          <w:rFonts w:ascii="Times New Roman" w:hAnsi="Times New Roman" w:cs="Times New Roman"/>
        </w:rPr>
        <w:t>AEP witn</w:t>
      </w:r>
      <w:r w:rsidR="00BD49A0">
        <w:rPr>
          <w:rFonts w:ascii="Times New Roman" w:hAnsi="Times New Roman" w:cs="Times New Roman"/>
        </w:rPr>
        <w:t>ess Allen admitted on the stand that</w:t>
      </w:r>
      <w:r w:rsidR="00170F09">
        <w:rPr>
          <w:rFonts w:ascii="Times New Roman" w:hAnsi="Times New Roman" w:cs="Times New Roman"/>
        </w:rPr>
        <w:t xml:space="preserve"> </w:t>
      </w:r>
      <w:r w:rsidR="009328ED">
        <w:rPr>
          <w:rFonts w:ascii="Times New Roman" w:hAnsi="Times New Roman" w:cs="Times New Roman"/>
        </w:rPr>
        <w:t>including the</w:t>
      </w:r>
      <w:r w:rsidR="00BD49A0">
        <w:rPr>
          <w:rFonts w:ascii="Times New Roman" w:hAnsi="Times New Roman" w:cs="Times New Roman"/>
        </w:rPr>
        <w:t xml:space="preserve"> </w:t>
      </w:r>
      <w:r w:rsidR="00814A9F">
        <w:rPr>
          <w:rFonts w:ascii="Times New Roman" w:hAnsi="Times New Roman" w:cs="Times New Roman"/>
        </w:rPr>
        <w:t>total potential</w:t>
      </w:r>
      <w:r w:rsidR="00170F09">
        <w:rPr>
          <w:rFonts w:ascii="Times New Roman" w:hAnsi="Times New Roman" w:cs="Times New Roman"/>
        </w:rPr>
        <w:t xml:space="preserve"> aggregation</w:t>
      </w:r>
      <w:r w:rsidR="00814A9F">
        <w:rPr>
          <w:rFonts w:ascii="Times New Roman" w:hAnsi="Times New Roman" w:cs="Times New Roman"/>
        </w:rPr>
        <w:t xml:space="preserve"> load</w:t>
      </w:r>
      <w:r w:rsidR="00170F09">
        <w:rPr>
          <w:rFonts w:ascii="Times New Roman" w:hAnsi="Times New Roman" w:cs="Times New Roman"/>
        </w:rPr>
        <w:t xml:space="preserve"> </w:t>
      </w:r>
      <w:r w:rsidR="00BD49A0">
        <w:rPr>
          <w:rFonts w:ascii="Times New Roman" w:hAnsi="Times New Roman" w:cs="Times New Roman"/>
        </w:rPr>
        <w:t>could reduce</w:t>
      </w:r>
      <w:r w:rsidR="00170F09">
        <w:rPr>
          <w:rFonts w:ascii="Times New Roman" w:hAnsi="Times New Roman" w:cs="Times New Roman"/>
        </w:rPr>
        <w:t xml:space="preserve"> the </w:t>
      </w:r>
      <w:r w:rsidR="00814A9F">
        <w:rPr>
          <w:rFonts w:ascii="Times New Roman" w:hAnsi="Times New Roman" w:cs="Times New Roman"/>
        </w:rPr>
        <w:t>3</w:t>
      </w:r>
      <w:r w:rsidR="00170F09">
        <w:rPr>
          <w:rFonts w:ascii="Times New Roman" w:hAnsi="Times New Roman" w:cs="Times New Roman"/>
        </w:rPr>
        <w:t xml:space="preserve">1% </w:t>
      </w:r>
      <w:r w:rsidR="00BD49A0">
        <w:rPr>
          <w:rFonts w:ascii="Times New Roman" w:hAnsi="Times New Roman" w:cs="Times New Roman"/>
        </w:rPr>
        <w:t xml:space="preserve">Tier 1 capacity </w:t>
      </w:r>
      <w:r w:rsidR="00170F09">
        <w:rPr>
          <w:rFonts w:ascii="Times New Roman" w:hAnsi="Times New Roman" w:cs="Times New Roman"/>
        </w:rPr>
        <w:t xml:space="preserve">to </w:t>
      </w:r>
      <w:r w:rsidR="00814A9F">
        <w:rPr>
          <w:rFonts w:ascii="Times New Roman" w:hAnsi="Times New Roman" w:cs="Times New Roman"/>
        </w:rPr>
        <w:t xml:space="preserve">approximately </w:t>
      </w:r>
      <w:r w:rsidR="00170F09">
        <w:rPr>
          <w:rFonts w:ascii="Times New Roman" w:hAnsi="Times New Roman" w:cs="Times New Roman"/>
        </w:rPr>
        <w:t>10%</w:t>
      </w:r>
      <w:r w:rsidR="004F2F7C">
        <w:rPr>
          <w:rFonts w:ascii="Times New Roman" w:hAnsi="Times New Roman" w:cs="Times New Roman"/>
        </w:rPr>
        <w:t xml:space="preserve">. </w:t>
      </w:r>
      <w:r w:rsidR="00814A9F">
        <w:rPr>
          <w:rFonts w:ascii="Times New Roman" w:hAnsi="Times New Roman" w:cs="Times New Roman"/>
        </w:rPr>
        <w:t xml:space="preserve"> (Tr. </w:t>
      </w:r>
      <w:r w:rsidR="00170F09">
        <w:rPr>
          <w:rFonts w:ascii="Times New Roman" w:hAnsi="Times New Roman" w:cs="Times New Roman"/>
        </w:rPr>
        <w:t xml:space="preserve">at </w:t>
      </w:r>
      <w:r w:rsidR="00814A9F">
        <w:rPr>
          <w:rFonts w:ascii="Times New Roman" w:hAnsi="Times New Roman" w:cs="Times New Roman"/>
        </w:rPr>
        <w:t>1564:18-1565:1.)</w:t>
      </w:r>
    </w:p>
    <w:p w14:paraId="0C741AF8" w14:textId="77777777" w:rsidR="00BD49A0" w:rsidRDefault="00BD49A0" w:rsidP="007646BE">
      <w:pPr>
        <w:spacing w:line="480" w:lineRule="auto"/>
        <w:ind w:firstLine="720"/>
        <w:rPr>
          <w:rFonts w:ascii="Times New Roman" w:hAnsi="Times New Roman" w:cs="Times New Roman"/>
        </w:rPr>
      </w:pPr>
      <w:r>
        <w:rPr>
          <w:rFonts w:ascii="Times New Roman" w:hAnsi="Times New Roman" w:cs="Times New Roman"/>
        </w:rPr>
        <w:t>Because of the decreased</w:t>
      </w:r>
      <w:r w:rsidR="00170F09">
        <w:rPr>
          <w:rFonts w:ascii="Times New Roman" w:hAnsi="Times New Roman" w:cs="Times New Roman"/>
        </w:rPr>
        <w:t xml:space="preserve"> capacity available, IGS recommends that the Commission ensure that the first tier of customers receive RPM-priced capacity.  (IGS Ex. 101 at 12:3-13:1.)  IGS further proposes that the Tier 1 capacity thresholds should be raised </w:t>
      </w:r>
      <w:r>
        <w:rPr>
          <w:rFonts w:ascii="Times New Roman" w:hAnsi="Times New Roman" w:cs="Times New Roman"/>
        </w:rPr>
        <w:t xml:space="preserve">an additional </w:t>
      </w:r>
      <w:r w:rsidR="00170F09">
        <w:rPr>
          <w:rFonts w:ascii="Times New Roman" w:hAnsi="Times New Roman" w:cs="Times New Roman"/>
        </w:rPr>
        <w:t>10</w:t>
      </w:r>
      <w:r>
        <w:rPr>
          <w:rFonts w:ascii="Times New Roman" w:hAnsi="Times New Roman" w:cs="Times New Roman"/>
        </w:rPr>
        <w:t>% over the proposed thresholds</w:t>
      </w:r>
      <w:r w:rsidR="00170F09">
        <w:rPr>
          <w:rFonts w:ascii="Times New Roman" w:hAnsi="Times New Roman" w:cs="Times New Roman"/>
        </w:rPr>
        <w:t xml:space="preserve"> to provide more incentive </w:t>
      </w:r>
      <w:r>
        <w:rPr>
          <w:rFonts w:ascii="Times New Roman" w:hAnsi="Times New Roman" w:cs="Times New Roman"/>
        </w:rPr>
        <w:t xml:space="preserve">and more opportunities </w:t>
      </w:r>
      <w:r w:rsidR="00170F09">
        <w:rPr>
          <w:rFonts w:ascii="Times New Roman" w:hAnsi="Times New Roman" w:cs="Times New Roman"/>
        </w:rPr>
        <w:t>for customers to shop at lower capacity rates.  (IGS Ex. 101 at 13:1-</w:t>
      </w:r>
      <w:r w:rsidR="00B066CE">
        <w:rPr>
          <w:rFonts w:ascii="Times New Roman" w:hAnsi="Times New Roman" w:cs="Times New Roman"/>
        </w:rPr>
        <w:t xml:space="preserve">4.)  Because aggregation customers would take up </w:t>
      </w:r>
      <w:r>
        <w:rPr>
          <w:rFonts w:ascii="Times New Roman" w:hAnsi="Times New Roman" w:cs="Times New Roman"/>
        </w:rPr>
        <w:t xml:space="preserve">the bulk of available </w:t>
      </w:r>
      <w:r w:rsidR="00B066CE">
        <w:rPr>
          <w:rFonts w:ascii="Times New Roman" w:hAnsi="Times New Roman" w:cs="Times New Roman"/>
        </w:rPr>
        <w:t xml:space="preserve">Tier 1 capacity, IGS also recommends </w:t>
      </w:r>
      <w:r>
        <w:rPr>
          <w:rFonts w:ascii="Times New Roman" w:hAnsi="Times New Roman" w:cs="Times New Roman"/>
        </w:rPr>
        <w:t xml:space="preserve">that </w:t>
      </w:r>
      <w:r w:rsidR="00B066CE">
        <w:rPr>
          <w:rFonts w:ascii="Times New Roman" w:hAnsi="Times New Roman" w:cs="Times New Roman"/>
        </w:rPr>
        <w:t xml:space="preserve">these customers be limited to second tier capacity pricing.  (IGS Ex. 101 at 13:4-7.)  Finally, </w:t>
      </w:r>
      <w:r w:rsidR="00B066CE" w:rsidRPr="00BD49A0">
        <w:rPr>
          <w:rFonts w:ascii="Times New Roman" w:hAnsi="Times New Roman" w:cs="Times New Roman"/>
          <w:i/>
        </w:rPr>
        <w:t xml:space="preserve">any </w:t>
      </w:r>
      <w:r w:rsidR="00B066CE">
        <w:rPr>
          <w:rFonts w:ascii="Times New Roman" w:hAnsi="Times New Roman" w:cs="Times New Roman"/>
        </w:rPr>
        <w:t xml:space="preserve">tiered capacity structure should end after 2014, </w:t>
      </w:r>
      <w:r>
        <w:rPr>
          <w:rFonts w:ascii="Times New Roman" w:hAnsi="Times New Roman" w:cs="Times New Roman"/>
        </w:rPr>
        <w:t xml:space="preserve">at which point </w:t>
      </w:r>
      <w:r w:rsidR="00B066CE">
        <w:rPr>
          <w:rFonts w:ascii="Times New Roman" w:hAnsi="Times New Roman" w:cs="Times New Roman"/>
        </w:rPr>
        <w:t xml:space="preserve">the CRES Suppliers should </w:t>
      </w:r>
      <w:r>
        <w:rPr>
          <w:rFonts w:ascii="Times New Roman" w:hAnsi="Times New Roman" w:cs="Times New Roman"/>
        </w:rPr>
        <w:t xml:space="preserve">begin </w:t>
      </w:r>
      <w:r w:rsidR="00B066CE">
        <w:rPr>
          <w:rFonts w:ascii="Times New Roman" w:hAnsi="Times New Roman" w:cs="Times New Roman"/>
        </w:rPr>
        <w:t>pay</w:t>
      </w:r>
      <w:r>
        <w:rPr>
          <w:rFonts w:ascii="Times New Roman" w:hAnsi="Times New Roman" w:cs="Times New Roman"/>
        </w:rPr>
        <w:t>ing</w:t>
      </w:r>
      <w:r w:rsidR="00B066CE">
        <w:rPr>
          <w:rFonts w:ascii="Times New Roman" w:hAnsi="Times New Roman" w:cs="Times New Roman"/>
        </w:rPr>
        <w:t xml:space="preserve"> RPM market-priced capacity in </w:t>
      </w:r>
      <w:r>
        <w:rPr>
          <w:rFonts w:ascii="Times New Roman" w:hAnsi="Times New Roman" w:cs="Times New Roman"/>
        </w:rPr>
        <w:t xml:space="preserve">preparation </w:t>
      </w:r>
      <w:r w:rsidR="00B066CE">
        <w:rPr>
          <w:rFonts w:ascii="Times New Roman" w:hAnsi="Times New Roman" w:cs="Times New Roman"/>
        </w:rPr>
        <w:t>for AEP</w:t>
      </w:r>
      <w:r>
        <w:rPr>
          <w:rFonts w:ascii="Times New Roman" w:hAnsi="Times New Roman" w:cs="Times New Roman"/>
        </w:rPr>
        <w:t>’s</w:t>
      </w:r>
      <w:r w:rsidR="00B066CE">
        <w:rPr>
          <w:rFonts w:ascii="Times New Roman" w:hAnsi="Times New Roman" w:cs="Times New Roman"/>
        </w:rPr>
        <w:t xml:space="preserve"> </w:t>
      </w:r>
      <w:r>
        <w:rPr>
          <w:rFonts w:ascii="Times New Roman" w:hAnsi="Times New Roman" w:cs="Times New Roman"/>
        </w:rPr>
        <w:t xml:space="preserve">full </w:t>
      </w:r>
      <w:r w:rsidR="00B066CE">
        <w:rPr>
          <w:rFonts w:ascii="Times New Roman" w:hAnsi="Times New Roman" w:cs="Times New Roman"/>
        </w:rPr>
        <w:t xml:space="preserve">transition to </w:t>
      </w:r>
      <w:r>
        <w:rPr>
          <w:rFonts w:ascii="Times New Roman" w:hAnsi="Times New Roman" w:cs="Times New Roman"/>
        </w:rPr>
        <w:t xml:space="preserve">competition </w:t>
      </w:r>
      <w:r w:rsidR="00B066CE">
        <w:rPr>
          <w:rFonts w:ascii="Times New Roman" w:hAnsi="Times New Roman" w:cs="Times New Roman"/>
        </w:rPr>
        <w:t xml:space="preserve">on June 1, 2015.  (IGS Ex. 101 at 13:7-9.)  </w:t>
      </w:r>
    </w:p>
    <w:p w14:paraId="269E24E8" w14:textId="067CA9DF" w:rsidR="00170F09" w:rsidRPr="007646BE" w:rsidRDefault="00BD49A0" w:rsidP="007646BE">
      <w:pPr>
        <w:spacing w:line="480" w:lineRule="auto"/>
        <w:ind w:firstLine="720"/>
        <w:rPr>
          <w:rFonts w:ascii="Times New Roman" w:hAnsi="Times New Roman" w:cs="Times New Roman"/>
        </w:rPr>
      </w:pPr>
      <w:r>
        <w:rPr>
          <w:rFonts w:ascii="Times New Roman" w:hAnsi="Times New Roman" w:cs="Times New Roman"/>
        </w:rPr>
        <w:t xml:space="preserve">These </w:t>
      </w:r>
      <w:r w:rsidR="00B066CE">
        <w:rPr>
          <w:rFonts w:ascii="Times New Roman" w:hAnsi="Times New Roman" w:cs="Times New Roman"/>
        </w:rPr>
        <w:t xml:space="preserve">modifications would </w:t>
      </w:r>
      <w:r>
        <w:rPr>
          <w:rFonts w:ascii="Times New Roman" w:hAnsi="Times New Roman" w:cs="Times New Roman"/>
        </w:rPr>
        <w:t xml:space="preserve">substantially </w:t>
      </w:r>
      <w:r w:rsidR="00B066CE">
        <w:rPr>
          <w:rFonts w:ascii="Times New Roman" w:hAnsi="Times New Roman" w:cs="Times New Roman"/>
        </w:rPr>
        <w:t xml:space="preserve">mitigate the harms described above and would allow for additional </w:t>
      </w:r>
      <w:r>
        <w:rPr>
          <w:rFonts w:ascii="Times New Roman" w:hAnsi="Times New Roman" w:cs="Times New Roman"/>
        </w:rPr>
        <w:t xml:space="preserve">shopping opportunities during </w:t>
      </w:r>
      <w:r w:rsidR="00B066CE">
        <w:rPr>
          <w:rFonts w:ascii="Times New Roman" w:hAnsi="Times New Roman" w:cs="Times New Roman"/>
        </w:rPr>
        <w:t xml:space="preserve">the ESP.  (IGS Ex. 101 at 9-11.)  Therefore, if </w:t>
      </w:r>
      <w:r w:rsidR="00B066CE">
        <w:rPr>
          <w:rFonts w:ascii="Times New Roman" w:hAnsi="Times New Roman" w:cs="Times New Roman"/>
        </w:rPr>
        <w:lastRenderedPageBreak/>
        <w:t>the Commission adopts a two-tier capacity structure in this ESP, it should modify the structure</w:t>
      </w:r>
      <w:r>
        <w:rPr>
          <w:rFonts w:ascii="Times New Roman" w:hAnsi="Times New Roman" w:cs="Times New Roman"/>
        </w:rPr>
        <w:t xml:space="preserve"> as proposed</w:t>
      </w:r>
      <w:r w:rsidR="00B066CE">
        <w:rPr>
          <w:rFonts w:ascii="Times New Roman" w:hAnsi="Times New Roman" w:cs="Times New Roman"/>
        </w:rPr>
        <w:t>.</w:t>
      </w:r>
    </w:p>
    <w:p w14:paraId="4214DF78" w14:textId="2D6A3814" w:rsidR="00AB6B41" w:rsidRDefault="007646BE" w:rsidP="00462187">
      <w:pPr>
        <w:ind w:left="1440" w:hanging="720"/>
        <w:rPr>
          <w:rFonts w:ascii="Times New Roman" w:hAnsi="Times New Roman" w:cs="Times New Roman"/>
          <w:b/>
        </w:rPr>
      </w:pPr>
      <w:r>
        <w:rPr>
          <w:rFonts w:ascii="Times New Roman" w:hAnsi="Times New Roman" w:cs="Times New Roman"/>
          <w:b/>
        </w:rPr>
        <w:t>C</w:t>
      </w:r>
      <w:r w:rsidR="00462187">
        <w:rPr>
          <w:rFonts w:ascii="Times New Roman" w:hAnsi="Times New Roman" w:cs="Times New Roman"/>
          <w:b/>
        </w:rPr>
        <w:t>.</w:t>
      </w:r>
      <w:r w:rsidR="00462187">
        <w:rPr>
          <w:rFonts w:ascii="Times New Roman" w:hAnsi="Times New Roman" w:cs="Times New Roman"/>
          <w:b/>
        </w:rPr>
        <w:tab/>
      </w:r>
      <w:r w:rsidR="00D6450E">
        <w:rPr>
          <w:rFonts w:ascii="Times New Roman" w:hAnsi="Times New Roman" w:cs="Times New Roman"/>
          <w:b/>
        </w:rPr>
        <w:t>If the Commission grants AEP’s proposals for capacity higher than the RPM price, t</w:t>
      </w:r>
      <w:r w:rsidR="00462187">
        <w:rPr>
          <w:rFonts w:ascii="Times New Roman" w:hAnsi="Times New Roman" w:cs="Times New Roman"/>
          <w:b/>
        </w:rPr>
        <w:t xml:space="preserve">he Commission should modify the ESP to include </w:t>
      </w:r>
      <w:r w:rsidR="00D6450E">
        <w:rPr>
          <w:rFonts w:ascii="Times New Roman" w:hAnsi="Times New Roman" w:cs="Times New Roman"/>
          <w:b/>
        </w:rPr>
        <w:t xml:space="preserve">a POR program and other </w:t>
      </w:r>
      <w:r w:rsidR="00462187">
        <w:rPr>
          <w:rFonts w:ascii="Times New Roman" w:hAnsi="Times New Roman" w:cs="Times New Roman"/>
          <w:b/>
        </w:rPr>
        <w:t>market enhancement mechanisms.</w:t>
      </w:r>
    </w:p>
    <w:p w14:paraId="4C12B195" w14:textId="77777777" w:rsidR="00462187" w:rsidRDefault="00462187" w:rsidP="00462187">
      <w:pPr>
        <w:ind w:left="1440" w:hanging="720"/>
        <w:rPr>
          <w:rFonts w:ascii="Times New Roman" w:hAnsi="Times New Roman" w:cs="Times New Roman"/>
          <w:b/>
        </w:rPr>
      </w:pPr>
    </w:p>
    <w:p w14:paraId="7F5DD466" w14:textId="397A2F67" w:rsidR="00A51A24" w:rsidRPr="00A51A24" w:rsidRDefault="00BD49A0" w:rsidP="00B066CE">
      <w:pPr>
        <w:spacing w:line="480" w:lineRule="auto"/>
        <w:ind w:firstLine="720"/>
        <w:rPr>
          <w:rFonts w:ascii="Times New Roman" w:hAnsi="Times New Roman" w:cs="Times New Roman"/>
        </w:rPr>
      </w:pPr>
      <w:r>
        <w:rPr>
          <w:rFonts w:ascii="Times New Roman" w:hAnsi="Times New Roman" w:cs="Times New Roman"/>
        </w:rPr>
        <w:t>To counter</w:t>
      </w:r>
      <w:r w:rsidR="008E20E2">
        <w:rPr>
          <w:rFonts w:ascii="Times New Roman" w:hAnsi="Times New Roman" w:cs="Times New Roman"/>
        </w:rPr>
        <w:t xml:space="preserve">act the anticompetitive effect of adopting a capacity price above RPM, the Commission should modify the ESP to include a </w:t>
      </w:r>
      <w:r w:rsidR="003C22ED">
        <w:rPr>
          <w:rFonts w:ascii="Times New Roman" w:hAnsi="Times New Roman" w:cs="Times New Roman"/>
        </w:rPr>
        <w:t>purchase of receivables (“POR”)</w:t>
      </w:r>
      <w:r w:rsidR="008E20E2">
        <w:rPr>
          <w:rFonts w:ascii="Times New Roman" w:hAnsi="Times New Roman" w:cs="Times New Roman"/>
        </w:rPr>
        <w:t xml:space="preserve"> program and other market enhancement mecha</w:t>
      </w:r>
      <w:r w:rsidR="003C22ED">
        <w:rPr>
          <w:rFonts w:ascii="Times New Roman" w:hAnsi="Times New Roman" w:cs="Times New Roman"/>
        </w:rPr>
        <w:t>nisms.  As explained above, any capacity charge or structure above the RPM marke</w:t>
      </w:r>
      <w:r>
        <w:rPr>
          <w:rFonts w:ascii="Times New Roman" w:hAnsi="Times New Roman" w:cs="Times New Roman"/>
        </w:rPr>
        <w:t xml:space="preserve">t rate will hinder competition in violation of Ohio’s precompetitive electric policy.  </w:t>
      </w:r>
      <w:r>
        <w:rPr>
          <w:rFonts w:ascii="Times New Roman" w:hAnsi="Times New Roman" w:cs="Times New Roman"/>
          <w:i/>
        </w:rPr>
        <w:t>See, e.g.</w:t>
      </w:r>
      <w:r>
        <w:rPr>
          <w:rFonts w:ascii="Times New Roman" w:hAnsi="Times New Roman" w:cs="Times New Roman"/>
        </w:rPr>
        <w:t>,</w:t>
      </w:r>
      <w:r>
        <w:rPr>
          <w:rFonts w:ascii="Times New Roman" w:hAnsi="Times New Roman" w:cs="Times New Roman"/>
          <w:i/>
        </w:rPr>
        <w:t xml:space="preserve"> </w:t>
      </w:r>
      <w:r w:rsidR="003C22ED">
        <w:rPr>
          <w:rFonts w:ascii="Times New Roman" w:hAnsi="Times New Roman" w:cs="Times New Roman"/>
        </w:rPr>
        <w:t xml:space="preserve">R.C. 4928.02(H).  </w:t>
      </w:r>
      <w:r w:rsidR="00A51A24">
        <w:rPr>
          <w:rFonts w:ascii="Times New Roman" w:hAnsi="Times New Roman" w:cs="Times New Roman"/>
        </w:rPr>
        <w:t xml:space="preserve">To </w:t>
      </w:r>
      <w:r>
        <w:rPr>
          <w:rFonts w:ascii="Times New Roman" w:hAnsi="Times New Roman" w:cs="Times New Roman"/>
        </w:rPr>
        <w:t>enable</w:t>
      </w:r>
      <w:r w:rsidR="00A51A24">
        <w:rPr>
          <w:rFonts w:ascii="Times New Roman" w:hAnsi="Times New Roman" w:cs="Times New Roman"/>
        </w:rPr>
        <w:t xml:space="preserve"> AEP’s ESP proposal to </w:t>
      </w:r>
      <w:r>
        <w:rPr>
          <w:rFonts w:ascii="Times New Roman" w:hAnsi="Times New Roman" w:cs="Times New Roman"/>
        </w:rPr>
        <w:t xml:space="preserve">satisfy state </w:t>
      </w:r>
      <w:r w:rsidR="00A51A24">
        <w:rPr>
          <w:rFonts w:ascii="Times New Roman" w:hAnsi="Times New Roman" w:cs="Times New Roman"/>
        </w:rPr>
        <w:t>policy</w:t>
      </w:r>
      <w:r w:rsidR="003C22ED">
        <w:rPr>
          <w:rFonts w:ascii="Times New Roman" w:hAnsi="Times New Roman" w:cs="Times New Roman"/>
        </w:rPr>
        <w:t xml:space="preserve">, the Commission should modify the ESP to </w:t>
      </w:r>
      <w:r w:rsidR="00E90121">
        <w:rPr>
          <w:rFonts w:ascii="Times New Roman" w:hAnsi="Times New Roman" w:cs="Times New Roman"/>
        </w:rPr>
        <w:t xml:space="preserve">1) </w:t>
      </w:r>
      <w:r w:rsidR="003C22ED">
        <w:rPr>
          <w:rFonts w:ascii="Times New Roman" w:hAnsi="Times New Roman" w:cs="Times New Roman"/>
        </w:rPr>
        <w:t xml:space="preserve">include </w:t>
      </w:r>
      <w:r w:rsidR="00A51A24">
        <w:rPr>
          <w:rFonts w:ascii="Times New Roman" w:hAnsi="Times New Roman" w:cs="Times New Roman"/>
        </w:rPr>
        <w:t xml:space="preserve">a </w:t>
      </w:r>
      <w:r>
        <w:rPr>
          <w:rFonts w:ascii="Times New Roman" w:hAnsi="Times New Roman" w:cs="Times New Roman"/>
        </w:rPr>
        <w:t xml:space="preserve">purchase of receivables (“POR”) program and </w:t>
      </w:r>
      <w:r w:rsidR="00E90121">
        <w:rPr>
          <w:rFonts w:ascii="Times New Roman" w:hAnsi="Times New Roman" w:cs="Times New Roman"/>
        </w:rPr>
        <w:t xml:space="preserve">2) initiate </w:t>
      </w:r>
      <w:r>
        <w:rPr>
          <w:rFonts w:ascii="Times New Roman" w:hAnsi="Times New Roman" w:cs="Times New Roman"/>
        </w:rPr>
        <w:t>retail auctions</w:t>
      </w:r>
      <w:r w:rsidR="00E90121">
        <w:rPr>
          <w:rFonts w:ascii="Times New Roman" w:hAnsi="Times New Roman" w:cs="Times New Roman"/>
        </w:rPr>
        <w:t xml:space="preserve"> as </w:t>
      </w:r>
      <w:r w:rsidR="00084521">
        <w:rPr>
          <w:rFonts w:ascii="Times New Roman" w:hAnsi="Times New Roman" w:cs="Times New Roman"/>
        </w:rPr>
        <w:t>proposed by IGS</w:t>
      </w:r>
      <w:r w:rsidR="00E90121">
        <w:rPr>
          <w:rFonts w:ascii="Times New Roman" w:hAnsi="Times New Roman" w:cs="Times New Roman"/>
        </w:rPr>
        <w:t xml:space="preserve"> witness Parisi</w:t>
      </w:r>
      <w:r w:rsidR="00A51A24">
        <w:rPr>
          <w:rFonts w:ascii="Times New Roman" w:hAnsi="Times New Roman" w:cs="Times New Roman"/>
        </w:rPr>
        <w:t xml:space="preserve"> and</w:t>
      </w:r>
      <w:r w:rsidR="00E90121">
        <w:rPr>
          <w:rFonts w:ascii="Times New Roman" w:hAnsi="Times New Roman" w:cs="Times New Roman"/>
        </w:rPr>
        <w:t xml:space="preserve"> 3)</w:t>
      </w:r>
      <w:r w:rsidR="00A51A24">
        <w:rPr>
          <w:rFonts w:ascii="Times New Roman" w:hAnsi="Times New Roman" w:cs="Times New Roman"/>
        </w:rPr>
        <w:t xml:space="preserve"> </w:t>
      </w:r>
      <w:r>
        <w:rPr>
          <w:rFonts w:ascii="Times New Roman" w:hAnsi="Times New Roman" w:cs="Times New Roman"/>
        </w:rPr>
        <w:t>to eliminate</w:t>
      </w:r>
      <w:r w:rsidR="00A51A24">
        <w:rPr>
          <w:rFonts w:ascii="Times New Roman" w:hAnsi="Times New Roman" w:cs="Times New Roman"/>
        </w:rPr>
        <w:t xml:space="preserve"> </w:t>
      </w:r>
      <w:r>
        <w:rPr>
          <w:rFonts w:ascii="Times New Roman" w:hAnsi="Times New Roman" w:cs="Times New Roman"/>
        </w:rPr>
        <w:t xml:space="preserve">the </w:t>
      </w:r>
      <w:r w:rsidR="00A51A24">
        <w:rPr>
          <w:rFonts w:ascii="Times New Roman" w:hAnsi="Times New Roman" w:cs="Times New Roman"/>
        </w:rPr>
        <w:t xml:space="preserve">minimum stay provisions.  </w:t>
      </w:r>
      <w:r>
        <w:rPr>
          <w:rFonts w:ascii="Times New Roman" w:hAnsi="Times New Roman" w:cs="Times New Roman"/>
        </w:rPr>
        <w:t>L</w:t>
      </w:r>
      <w:r w:rsidR="00B458E8">
        <w:rPr>
          <w:rFonts w:ascii="Times New Roman" w:hAnsi="Times New Roman" w:cs="Times New Roman"/>
        </w:rPr>
        <w:t>owering the</w:t>
      </w:r>
      <w:r>
        <w:rPr>
          <w:rFonts w:ascii="Times New Roman" w:hAnsi="Times New Roman" w:cs="Times New Roman"/>
        </w:rPr>
        <w:t>se</w:t>
      </w:r>
      <w:r w:rsidR="00B458E8">
        <w:rPr>
          <w:rFonts w:ascii="Times New Roman" w:hAnsi="Times New Roman" w:cs="Times New Roman"/>
        </w:rPr>
        <w:t xml:space="preserve"> barriers </w:t>
      </w:r>
      <w:r w:rsidR="00036DD6">
        <w:rPr>
          <w:rFonts w:ascii="Times New Roman" w:hAnsi="Times New Roman" w:cs="Times New Roman"/>
        </w:rPr>
        <w:t>to entry will open</w:t>
      </w:r>
      <w:r w:rsidR="00683258">
        <w:rPr>
          <w:rFonts w:ascii="Times New Roman" w:hAnsi="Times New Roman" w:cs="Times New Roman"/>
        </w:rPr>
        <w:t xml:space="preserve"> AEP’s territory to more robust competition.  (Tr. 4269:16-23.)</w:t>
      </w:r>
    </w:p>
    <w:p w14:paraId="41555339" w14:textId="4C4FBD4E" w:rsidR="00462187" w:rsidRDefault="00462187" w:rsidP="00462187">
      <w:pPr>
        <w:ind w:left="2160" w:hanging="72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A purchase of receivables program would enhance competition by allowing AEP to use the low-risk structure it already has in place to purchase CRES receivables.</w:t>
      </w:r>
    </w:p>
    <w:p w14:paraId="2A1E42E9" w14:textId="77777777" w:rsidR="00462187" w:rsidRDefault="00462187" w:rsidP="00462187">
      <w:pPr>
        <w:ind w:left="2160" w:hanging="720"/>
        <w:rPr>
          <w:rFonts w:ascii="Times New Roman" w:hAnsi="Times New Roman" w:cs="Times New Roman"/>
        </w:rPr>
      </w:pPr>
    </w:p>
    <w:p w14:paraId="66AEEF45" w14:textId="7118F90C" w:rsidR="00172A31" w:rsidRPr="00180F56" w:rsidRDefault="008F48AC" w:rsidP="00BF5E79">
      <w:pPr>
        <w:spacing w:line="480" w:lineRule="auto"/>
        <w:rPr>
          <w:rFonts w:ascii="Times New Roman" w:hAnsi="Times New Roman" w:cs="Times New Roman"/>
        </w:rPr>
      </w:pPr>
      <w:r>
        <w:rPr>
          <w:rFonts w:ascii="Times New Roman" w:hAnsi="Times New Roman" w:cs="Times New Roman"/>
        </w:rPr>
        <w:tab/>
        <w:t xml:space="preserve">A </w:t>
      </w:r>
      <w:r w:rsidR="00BD49A0">
        <w:rPr>
          <w:rFonts w:ascii="Times New Roman" w:hAnsi="Times New Roman" w:cs="Times New Roman"/>
        </w:rPr>
        <w:t>POR</w:t>
      </w:r>
      <w:r w:rsidR="00F544C2">
        <w:rPr>
          <w:rFonts w:ascii="Times New Roman" w:hAnsi="Times New Roman" w:cs="Times New Roman"/>
        </w:rPr>
        <w:t xml:space="preserve"> </w:t>
      </w:r>
      <w:r>
        <w:rPr>
          <w:rFonts w:ascii="Times New Roman" w:hAnsi="Times New Roman" w:cs="Times New Roman"/>
        </w:rPr>
        <w:t xml:space="preserve">program is an integral </w:t>
      </w:r>
      <w:r w:rsidR="00F544C2">
        <w:rPr>
          <w:rFonts w:ascii="Times New Roman" w:hAnsi="Times New Roman" w:cs="Times New Roman"/>
        </w:rPr>
        <w:t xml:space="preserve">and important </w:t>
      </w:r>
      <w:r w:rsidR="00036DD6">
        <w:rPr>
          <w:rFonts w:ascii="Times New Roman" w:hAnsi="Times New Roman" w:cs="Times New Roman"/>
        </w:rPr>
        <w:t xml:space="preserve">component </w:t>
      </w:r>
      <w:r w:rsidR="00F544C2">
        <w:rPr>
          <w:rFonts w:ascii="Times New Roman" w:hAnsi="Times New Roman" w:cs="Times New Roman"/>
        </w:rPr>
        <w:t xml:space="preserve">of a robust competitive market.  The existence of a </w:t>
      </w:r>
      <w:r w:rsidR="00036DD6">
        <w:rPr>
          <w:rFonts w:ascii="Times New Roman" w:hAnsi="Times New Roman" w:cs="Times New Roman"/>
        </w:rPr>
        <w:t xml:space="preserve">POR </w:t>
      </w:r>
      <w:r w:rsidR="00F544C2">
        <w:rPr>
          <w:rFonts w:ascii="Times New Roman" w:hAnsi="Times New Roman" w:cs="Times New Roman"/>
        </w:rPr>
        <w:t xml:space="preserve">program can make or break whether a CRES Supplier chooses to participate in an EDU’s market.  </w:t>
      </w:r>
      <w:r w:rsidR="00180F56">
        <w:rPr>
          <w:rFonts w:ascii="Times New Roman" w:hAnsi="Times New Roman" w:cs="Times New Roman"/>
        </w:rPr>
        <w:t xml:space="preserve">(Tr. 4310:7-10.)  </w:t>
      </w:r>
      <w:r w:rsidR="00F544C2">
        <w:rPr>
          <w:rFonts w:ascii="Times New Roman" w:hAnsi="Times New Roman" w:cs="Times New Roman"/>
        </w:rPr>
        <w:t>For example</w:t>
      </w:r>
      <w:r>
        <w:rPr>
          <w:rFonts w:ascii="Times New Roman" w:hAnsi="Times New Roman" w:cs="Times New Roman"/>
        </w:rPr>
        <w:t xml:space="preserve">, when IGS decides whether the enter the market, “one of the first things that </w:t>
      </w:r>
      <w:r w:rsidR="00F544C2">
        <w:rPr>
          <w:rFonts w:ascii="Times New Roman" w:hAnsi="Times New Roman" w:cs="Times New Roman"/>
        </w:rPr>
        <w:t>[it]</w:t>
      </w:r>
      <w:r>
        <w:rPr>
          <w:rFonts w:ascii="Times New Roman" w:hAnsi="Times New Roman" w:cs="Times New Roman"/>
        </w:rPr>
        <w:t xml:space="preserve"> look</w:t>
      </w:r>
      <w:r w:rsidR="00F544C2">
        <w:rPr>
          <w:rFonts w:ascii="Times New Roman" w:hAnsi="Times New Roman" w:cs="Times New Roman"/>
        </w:rPr>
        <w:t>[s]</w:t>
      </w:r>
      <w:r>
        <w:rPr>
          <w:rFonts w:ascii="Times New Roman" w:hAnsi="Times New Roman" w:cs="Times New Roman"/>
        </w:rPr>
        <w:t xml:space="preserve"> at is whether the market has purchase of receivables.”  (Tr. 4236</w:t>
      </w:r>
      <w:r w:rsidR="00973743">
        <w:rPr>
          <w:rFonts w:ascii="Times New Roman" w:hAnsi="Times New Roman" w:cs="Times New Roman"/>
        </w:rPr>
        <w:t>:10-13</w:t>
      </w:r>
      <w:r>
        <w:rPr>
          <w:rFonts w:ascii="Times New Roman" w:hAnsi="Times New Roman" w:cs="Times New Roman"/>
        </w:rPr>
        <w:t>.)</w:t>
      </w:r>
      <w:r w:rsidR="00973743">
        <w:rPr>
          <w:rFonts w:ascii="Times New Roman" w:hAnsi="Times New Roman" w:cs="Times New Roman"/>
        </w:rPr>
        <w:t xml:space="preserve">  </w:t>
      </w:r>
      <w:r w:rsidR="00180F56">
        <w:rPr>
          <w:rFonts w:ascii="Times New Roman" w:hAnsi="Times New Roman" w:cs="Times New Roman"/>
        </w:rPr>
        <w:t xml:space="preserve">Similarly, Direct Energy does not participate in AEP’s market for residential customers “because [it doesn’t] have a </w:t>
      </w:r>
      <w:r w:rsidR="00036DD6">
        <w:rPr>
          <w:rFonts w:ascii="Times New Roman" w:hAnsi="Times New Roman" w:cs="Times New Roman"/>
        </w:rPr>
        <w:t>purchase of receivables program</w:t>
      </w:r>
      <w:r w:rsidR="00180F56">
        <w:rPr>
          <w:rFonts w:ascii="Times New Roman" w:hAnsi="Times New Roman" w:cs="Times New Roman"/>
        </w:rPr>
        <w:t xml:space="preserve">.”  (Tr. 3702:1-6.)  </w:t>
      </w:r>
      <w:r w:rsidR="00973743">
        <w:rPr>
          <w:rFonts w:ascii="Times New Roman" w:hAnsi="Times New Roman" w:cs="Times New Roman"/>
        </w:rPr>
        <w:t xml:space="preserve">IGS participates in about </w:t>
      </w:r>
      <w:r w:rsidR="00036DD6">
        <w:rPr>
          <w:rFonts w:ascii="Times New Roman" w:hAnsi="Times New Roman" w:cs="Times New Roman"/>
        </w:rPr>
        <w:t>thirty</w:t>
      </w:r>
      <w:r w:rsidR="00973743">
        <w:rPr>
          <w:rFonts w:ascii="Times New Roman" w:hAnsi="Times New Roman" w:cs="Times New Roman"/>
        </w:rPr>
        <w:t xml:space="preserve"> service territories </w:t>
      </w:r>
      <w:r w:rsidR="00F544C2">
        <w:rPr>
          <w:rFonts w:ascii="Times New Roman" w:hAnsi="Times New Roman" w:cs="Times New Roman"/>
        </w:rPr>
        <w:t xml:space="preserve">across the country </w:t>
      </w:r>
      <w:r w:rsidR="00973743">
        <w:rPr>
          <w:rFonts w:ascii="Times New Roman" w:hAnsi="Times New Roman" w:cs="Times New Roman"/>
        </w:rPr>
        <w:t xml:space="preserve">with “the vast majority </w:t>
      </w:r>
      <w:proofErr w:type="spellStart"/>
      <w:r w:rsidR="00973743">
        <w:rPr>
          <w:rFonts w:ascii="Times New Roman" w:hAnsi="Times New Roman" w:cs="Times New Roman"/>
        </w:rPr>
        <w:t>hav</w:t>
      </w:r>
      <w:proofErr w:type="spellEnd"/>
      <w:r w:rsidR="00973743">
        <w:rPr>
          <w:rFonts w:ascii="Times New Roman" w:hAnsi="Times New Roman" w:cs="Times New Roman"/>
        </w:rPr>
        <w:t>[</w:t>
      </w:r>
      <w:proofErr w:type="spellStart"/>
      <w:r w:rsidR="00973743">
        <w:rPr>
          <w:rFonts w:ascii="Times New Roman" w:hAnsi="Times New Roman" w:cs="Times New Roman"/>
        </w:rPr>
        <w:t>ing</w:t>
      </w:r>
      <w:proofErr w:type="spellEnd"/>
      <w:r w:rsidR="00973743">
        <w:rPr>
          <w:rFonts w:ascii="Times New Roman" w:hAnsi="Times New Roman" w:cs="Times New Roman"/>
        </w:rPr>
        <w:t>] p</w:t>
      </w:r>
      <w:r w:rsidR="004F2F7C">
        <w:rPr>
          <w:rFonts w:ascii="Times New Roman" w:hAnsi="Times New Roman" w:cs="Times New Roman"/>
        </w:rPr>
        <w:t xml:space="preserve">urchase of receivables.”  (Tr. </w:t>
      </w:r>
      <w:r w:rsidR="00973743">
        <w:rPr>
          <w:rFonts w:ascii="Times New Roman" w:hAnsi="Times New Roman" w:cs="Times New Roman"/>
        </w:rPr>
        <w:t>4248:9-10.)</w:t>
      </w:r>
      <w:r w:rsidR="003405A9">
        <w:rPr>
          <w:rFonts w:ascii="Times New Roman" w:hAnsi="Times New Roman" w:cs="Times New Roman"/>
        </w:rPr>
        <w:t xml:space="preserve">  </w:t>
      </w:r>
      <w:r w:rsidR="00F544C2">
        <w:rPr>
          <w:rFonts w:ascii="Times New Roman" w:hAnsi="Times New Roman" w:cs="Times New Roman"/>
        </w:rPr>
        <w:t xml:space="preserve">Though AEP has not proposed </w:t>
      </w:r>
      <w:r w:rsidR="00F544C2">
        <w:rPr>
          <w:rFonts w:ascii="Times New Roman" w:hAnsi="Times New Roman" w:cs="Times New Roman"/>
        </w:rPr>
        <w:lastRenderedPageBreak/>
        <w:t xml:space="preserve">implementing a POR program in this ESP, IGS recommends the Commission </w:t>
      </w:r>
      <w:r w:rsidR="00776544">
        <w:rPr>
          <w:rFonts w:ascii="Times New Roman" w:hAnsi="Times New Roman" w:cs="Times New Roman"/>
        </w:rPr>
        <w:t>modify</w:t>
      </w:r>
      <w:r w:rsidR="00F544C2">
        <w:rPr>
          <w:rFonts w:ascii="Times New Roman" w:hAnsi="Times New Roman" w:cs="Times New Roman"/>
        </w:rPr>
        <w:t xml:space="preserve"> the ESP to include such a valuable program.</w:t>
      </w:r>
      <w:r w:rsidR="003A70E5">
        <w:rPr>
          <w:rFonts w:ascii="Times New Roman" w:hAnsi="Times New Roman" w:cs="Times New Roman"/>
        </w:rPr>
        <w:t xml:space="preserve">  To </w:t>
      </w:r>
      <w:r w:rsidR="00776544">
        <w:rPr>
          <w:rFonts w:ascii="Times New Roman" w:hAnsi="Times New Roman" w:cs="Times New Roman"/>
        </w:rPr>
        <w:t xml:space="preserve">enable </w:t>
      </w:r>
      <w:r w:rsidR="003A70E5">
        <w:rPr>
          <w:rFonts w:ascii="Times New Roman" w:hAnsi="Times New Roman" w:cs="Times New Roman"/>
        </w:rPr>
        <w:t>implement</w:t>
      </w:r>
      <w:r w:rsidR="00776544">
        <w:rPr>
          <w:rFonts w:ascii="Times New Roman" w:hAnsi="Times New Roman" w:cs="Times New Roman"/>
        </w:rPr>
        <w:t>ation of</w:t>
      </w:r>
      <w:r w:rsidR="003A70E5">
        <w:rPr>
          <w:rFonts w:ascii="Times New Roman" w:hAnsi="Times New Roman" w:cs="Times New Roman"/>
        </w:rPr>
        <w:t xml:space="preserve"> a POR program, IGS recommends that the Commission </w:t>
      </w:r>
      <w:r w:rsidR="00776544" w:rsidRPr="004F2F7C">
        <w:rPr>
          <w:rFonts w:ascii="Times New Roman" w:hAnsi="Times New Roman" w:cs="Times New Roman"/>
        </w:rPr>
        <w:t>set a schedule for implementation and</w:t>
      </w:r>
      <w:r w:rsidR="00776544">
        <w:rPr>
          <w:rFonts w:ascii="Times New Roman" w:hAnsi="Times New Roman" w:cs="Times New Roman"/>
        </w:rPr>
        <w:t xml:space="preserve"> </w:t>
      </w:r>
      <w:r w:rsidR="003A70E5">
        <w:rPr>
          <w:rFonts w:ascii="Times New Roman" w:hAnsi="Times New Roman" w:cs="Times New Roman"/>
        </w:rPr>
        <w:t xml:space="preserve">establish a collaborative comprised of </w:t>
      </w:r>
      <w:r w:rsidR="00AF2661">
        <w:rPr>
          <w:rFonts w:ascii="Times New Roman" w:hAnsi="Times New Roman" w:cs="Times New Roman"/>
        </w:rPr>
        <w:t xml:space="preserve">AEP, </w:t>
      </w:r>
      <w:r w:rsidR="00776544">
        <w:rPr>
          <w:rFonts w:ascii="Times New Roman" w:hAnsi="Times New Roman" w:cs="Times New Roman"/>
        </w:rPr>
        <w:t xml:space="preserve">Staff, </w:t>
      </w:r>
      <w:r w:rsidR="003A70E5">
        <w:rPr>
          <w:rFonts w:ascii="Times New Roman" w:hAnsi="Times New Roman" w:cs="Times New Roman"/>
        </w:rPr>
        <w:t xml:space="preserve">and </w:t>
      </w:r>
      <w:r w:rsidR="00776544">
        <w:rPr>
          <w:rFonts w:ascii="Times New Roman" w:hAnsi="Times New Roman" w:cs="Times New Roman"/>
        </w:rPr>
        <w:t xml:space="preserve">any </w:t>
      </w:r>
      <w:r w:rsidR="003A70E5">
        <w:rPr>
          <w:rFonts w:ascii="Times New Roman" w:hAnsi="Times New Roman" w:cs="Times New Roman"/>
        </w:rPr>
        <w:t>interested stakeholders.  (IGS Ex. 101 at 21:1-13; Tr. 4302:1</w:t>
      </w:r>
      <w:r w:rsidR="00180F56">
        <w:rPr>
          <w:rFonts w:ascii="Times New Roman" w:hAnsi="Times New Roman" w:cs="Times New Roman"/>
        </w:rPr>
        <w:t>9</w:t>
      </w:r>
      <w:r w:rsidR="003A70E5">
        <w:rPr>
          <w:rFonts w:ascii="Times New Roman" w:hAnsi="Times New Roman" w:cs="Times New Roman"/>
        </w:rPr>
        <w:t>-21.)</w:t>
      </w:r>
      <w:r w:rsidR="00180F56">
        <w:rPr>
          <w:rFonts w:ascii="Times New Roman" w:hAnsi="Times New Roman" w:cs="Times New Roman"/>
        </w:rPr>
        <w:t xml:space="preserve"> </w:t>
      </w:r>
    </w:p>
    <w:p w14:paraId="2EA136D5" w14:textId="3D5034C4" w:rsidR="00A55AFE" w:rsidRDefault="00A20710" w:rsidP="00A55AFE">
      <w:pPr>
        <w:ind w:left="2880" w:hanging="720"/>
        <w:rPr>
          <w:rFonts w:ascii="Times New Roman" w:hAnsi="Times New Roman" w:cs="Times New Roman"/>
          <w:b/>
        </w:rPr>
      </w:pPr>
      <w:r>
        <w:rPr>
          <w:rFonts w:ascii="Times New Roman" w:hAnsi="Times New Roman" w:cs="Times New Roman"/>
          <w:b/>
        </w:rPr>
        <w:t>a</w:t>
      </w:r>
      <w:r w:rsidR="00A55AFE">
        <w:rPr>
          <w:rFonts w:ascii="Times New Roman" w:hAnsi="Times New Roman" w:cs="Times New Roman"/>
          <w:b/>
        </w:rPr>
        <w:t>.</w:t>
      </w:r>
      <w:r w:rsidR="00A55AFE">
        <w:rPr>
          <w:rFonts w:ascii="Times New Roman" w:hAnsi="Times New Roman" w:cs="Times New Roman"/>
          <w:b/>
        </w:rPr>
        <w:tab/>
        <w:t>The Commission is not precluded from modifying the ESP to include a POR Program.</w:t>
      </w:r>
    </w:p>
    <w:p w14:paraId="79C1634B" w14:textId="77777777" w:rsidR="00A55AFE" w:rsidRDefault="00A55AFE" w:rsidP="00A55AFE">
      <w:pPr>
        <w:ind w:left="2880" w:hanging="720"/>
        <w:rPr>
          <w:rFonts w:ascii="Times New Roman" w:hAnsi="Times New Roman" w:cs="Times New Roman"/>
          <w:b/>
        </w:rPr>
      </w:pPr>
    </w:p>
    <w:p w14:paraId="70D3B0D0" w14:textId="417E8C9B" w:rsidR="00A55AFE" w:rsidRDefault="00A55AFE" w:rsidP="00A55AFE">
      <w:pPr>
        <w:spacing w:line="480" w:lineRule="auto"/>
        <w:rPr>
          <w:rFonts w:ascii="Times New Roman" w:hAnsi="Times New Roman" w:cs="Times New Roman"/>
        </w:rPr>
      </w:pPr>
      <w:r>
        <w:rPr>
          <w:rFonts w:ascii="Times New Roman" w:hAnsi="Times New Roman" w:cs="Times New Roman"/>
        </w:rPr>
        <w:tab/>
      </w:r>
      <w:r w:rsidR="00875BA4">
        <w:rPr>
          <w:rFonts w:ascii="Times New Roman" w:hAnsi="Times New Roman" w:cs="Times New Roman"/>
        </w:rPr>
        <w:t xml:space="preserve">The Commission may “modify and approve” any ESP filed under R.C. 4928.143(A).  </w:t>
      </w:r>
      <w:proofErr w:type="gramStart"/>
      <w:r w:rsidR="00875BA4">
        <w:rPr>
          <w:rFonts w:ascii="Times New Roman" w:hAnsi="Times New Roman" w:cs="Times New Roman"/>
        </w:rPr>
        <w:t>R.C. 4928.143(C)(1).</w:t>
      </w:r>
      <w:proofErr w:type="gramEnd"/>
      <w:r w:rsidR="00875BA4">
        <w:rPr>
          <w:rFonts w:ascii="Times New Roman" w:hAnsi="Times New Roman" w:cs="Times New Roman"/>
        </w:rPr>
        <w:t xml:space="preserve">  Further, in determining whether an ESP should be modified, the Commission</w:t>
      </w:r>
      <w:r w:rsidR="00776544">
        <w:rPr>
          <w:rFonts w:ascii="Times New Roman" w:hAnsi="Times New Roman" w:cs="Times New Roman"/>
        </w:rPr>
        <w:t xml:space="preserve"> “must consider more than price</w:t>
      </w:r>
      <w:r w:rsidR="00875BA4">
        <w:rPr>
          <w:rFonts w:ascii="Times New Roman" w:hAnsi="Times New Roman" w:cs="Times New Roman"/>
        </w:rPr>
        <w:t xml:space="preserve">.”  </w:t>
      </w:r>
      <w:r w:rsidR="00875BA4">
        <w:rPr>
          <w:rFonts w:ascii="Times New Roman" w:hAnsi="Times New Roman" w:cs="Times New Roman"/>
          <w:i/>
        </w:rPr>
        <w:t>In re Columbus S. Power Co.</w:t>
      </w:r>
      <w:r w:rsidR="00875BA4">
        <w:rPr>
          <w:rFonts w:ascii="Times New Roman" w:hAnsi="Times New Roman" w:cs="Times New Roman"/>
        </w:rPr>
        <w:t>, 128 Ohio St.3d 402, 2011-Ohio-958, ¶ 27 (2011).  Any ESP</w:t>
      </w:r>
      <w:r>
        <w:rPr>
          <w:rFonts w:ascii="Times New Roman" w:hAnsi="Times New Roman" w:cs="Times New Roman"/>
        </w:rPr>
        <w:t xml:space="preserve"> may include “provisions relating to the supply and pricing of electric generation service,” R.C. 4928.143(B)(1), as well as any provisions relating to shopping, R.C. 4928.143(B)(2)(d).  </w:t>
      </w:r>
      <w:r w:rsidR="00875BA4">
        <w:rPr>
          <w:rFonts w:ascii="Times New Roman" w:hAnsi="Times New Roman" w:cs="Times New Roman"/>
        </w:rPr>
        <w:t>The proposed POR program falls within the permissible criteria of an ESP, and should be a considered modification.</w:t>
      </w:r>
    </w:p>
    <w:p w14:paraId="095F0572" w14:textId="375E3983" w:rsidR="001D2F67" w:rsidRDefault="00875BA4" w:rsidP="00084521">
      <w:pPr>
        <w:spacing w:line="480" w:lineRule="auto"/>
        <w:ind w:firstLine="720"/>
        <w:rPr>
          <w:rFonts w:ascii="Times New Roman" w:hAnsi="Times New Roman" w:cs="Times New Roman"/>
        </w:rPr>
      </w:pPr>
      <w:r>
        <w:rPr>
          <w:rFonts w:ascii="Times New Roman" w:hAnsi="Times New Roman" w:cs="Times New Roman"/>
        </w:rPr>
        <w:t xml:space="preserve">Though the Commission has latitude to modify the ESP, AEP </w:t>
      </w:r>
      <w:r w:rsidR="00776544">
        <w:rPr>
          <w:rFonts w:ascii="Times New Roman" w:hAnsi="Times New Roman" w:cs="Times New Roman"/>
        </w:rPr>
        <w:t xml:space="preserve">may </w:t>
      </w:r>
      <w:r>
        <w:rPr>
          <w:rFonts w:ascii="Times New Roman" w:hAnsi="Times New Roman" w:cs="Times New Roman"/>
        </w:rPr>
        <w:t xml:space="preserve">argue that such a program cannot be adopted because it has a waiver from any requirement to purchase CRES accounts receivables.  In Case No. 11-5544-EL-WVR, the Commission granted AEP’s request </w:t>
      </w:r>
      <w:r w:rsidR="00A55AFE">
        <w:rPr>
          <w:rFonts w:ascii="Times New Roman" w:hAnsi="Times New Roman" w:cs="Times New Roman"/>
        </w:rPr>
        <w:t xml:space="preserve">for </w:t>
      </w:r>
      <w:r>
        <w:rPr>
          <w:rFonts w:ascii="Times New Roman" w:hAnsi="Times New Roman" w:cs="Times New Roman"/>
        </w:rPr>
        <w:t>“</w:t>
      </w:r>
      <w:r w:rsidR="00A55AFE">
        <w:rPr>
          <w:rFonts w:ascii="Times New Roman" w:hAnsi="Times New Roman" w:cs="Times New Roman"/>
        </w:rPr>
        <w:t>a waiver from any existing requirement to purchase CRES account receivables.</w:t>
      </w:r>
      <w:r>
        <w:rPr>
          <w:rFonts w:ascii="Times New Roman" w:hAnsi="Times New Roman" w:cs="Times New Roman"/>
        </w:rPr>
        <w:t>”</w:t>
      </w:r>
      <w:r w:rsidR="00A20710">
        <w:rPr>
          <w:rFonts w:ascii="Times New Roman" w:hAnsi="Times New Roman" w:cs="Times New Roman"/>
          <w:i/>
        </w:rPr>
        <w:t xml:space="preserve">  </w:t>
      </w:r>
      <w:proofErr w:type="gramStart"/>
      <w:r w:rsidR="00A20710">
        <w:rPr>
          <w:rFonts w:ascii="Times New Roman" w:hAnsi="Times New Roman" w:cs="Times New Roman"/>
          <w:i/>
        </w:rPr>
        <w:t>In re Application of Columbus Southern Power</w:t>
      </w:r>
      <w:r w:rsidR="00A20710">
        <w:rPr>
          <w:rFonts w:ascii="Times New Roman" w:hAnsi="Times New Roman" w:cs="Times New Roman"/>
        </w:rPr>
        <w:t>, Case No. 11-5544-EL-WVR, Entry at Finding (6) (Nov. 29, 2011)</w:t>
      </w:r>
      <w:r w:rsidR="00A20710">
        <w:rPr>
          <w:rFonts w:ascii="Times New Roman" w:hAnsi="Times New Roman" w:cs="Times New Roman"/>
          <w:i/>
        </w:rPr>
        <w:t>.</w:t>
      </w:r>
      <w:proofErr w:type="gramEnd"/>
      <w:r w:rsidR="00A20710">
        <w:rPr>
          <w:rFonts w:ascii="Times New Roman" w:hAnsi="Times New Roman" w:cs="Times New Roman"/>
        </w:rPr>
        <w:t xml:space="preserve">  However, the Commission continued by “</w:t>
      </w:r>
      <w:proofErr w:type="spellStart"/>
      <w:r w:rsidR="00A20710">
        <w:rPr>
          <w:rFonts w:ascii="Times New Roman" w:hAnsi="Times New Roman" w:cs="Times New Roman"/>
        </w:rPr>
        <w:t>emphasiz</w:t>
      </w:r>
      <w:proofErr w:type="spellEnd"/>
      <w:r w:rsidR="00A20710">
        <w:rPr>
          <w:rFonts w:ascii="Times New Roman" w:hAnsi="Times New Roman" w:cs="Times New Roman"/>
        </w:rPr>
        <w:t>[</w:t>
      </w:r>
      <w:proofErr w:type="spellStart"/>
      <w:r w:rsidR="00A20710">
        <w:rPr>
          <w:rFonts w:ascii="Times New Roman" w:hAnsi="Times New Roman" w:cs="Times New Roman"/>
        </w:rPr>
        <w:t>ing</w:t>
      </w:r>
      <w:proofErr w:type="spellEnd"/>
      <w:r w:rsidR="00A20710">
        <w:rPr>
          <w:rFonts w:ascii="Times New Roman" w:hAnsi="Times New Roman" w:cs="Times New Roman"/>
        </w:rPr>
        <w:t>]</w:t>
      </w:r>
      <w:r w:rsidR="00A55AFE">
        <w:rPr>
          <w:rFonts w:ascii="Times New Roman" w:hAnsi="Times New Roman" w:cs="Times New Roman"/>
        </w:rPr>
        <w:t xml:space="preserve"> that the waiver is limited to the purposes of this case only and </w:t>
      </w:r>
      <w:r w:rsidR="00A55AFE">
        <w:rPr>
          <w:rFonts w:ascii="Times New Roman" w:hAnsi="Times New Roman" w:cs="Times New Roman"/>
          <w:i/>
        </w:rPr>
        <w:t xml:space="preserve">does not </w:t>
      </w:r>
      <w:r w:rsidR="00A55AFE">
        <w:rPr>
          <w:rFonts w:ascii="Times New Roman" w:hAnsi="Times New Roman" w:cs="Times New Roman"/>
        </w:rPr>
        <w:t>impact the Commission’s ability to reconsider this issue in any future proceeding.”</w:t>
      </w:r>
      <w:r w:rsidR="00A20710">
        <w:rPr>
          <w:rFonts w:ascii="Times New Roman" w:hAnsi="Times New Roman" w:cs="Times New Roman"/>
        </w:rPr>
        <w:t xml:space="preserve">  </w:t>
      </w:r>
      <w:r w:rsidR="00A20710">
        <w:rPr>
          <w:rFonts w:ascii="Times New Roman" w:hAnsi="Times New Roman" w:cs="Times New Roman"/>
          <w:i/>
        </w:rPr>
        <w:t>Id.</w:t>
      </w:r>
      <w:r w:rsidR="00A20710">
        <w:rPr>
          <w:rFonts w:ascii="Times New Roman" w:hAnsi="Times New Roman" w:cs="Times New Roman"/>
        </w:rPr>
        <w:t xml:space="preserve"> (emphasis added)</w:t>
      </w:r>
      <w:r w:rsidR="00A55AFE">
        <w:rPr>
          <w:rFonts w:ascii="Times New Roman" w:hAnsi="Times New Roman" w:cs="Times New Roman"/>
        </w:rPr>
        <w:t>.</w:t>
      </w:r>
      <w:r w:rsidR="00A20710">
        <w:rPr>
          <w:rFonts w:ascii="Times New Roman" w:hAnsi="Times New Roman" w:cs="Times New Roman"/>
        </w:rPr>
        <w:t xml:space="preserve">  </w:t>
      </w:r>
      <w:r w:rsidR="00E90121">
        <w:rPr>
          <w:rFonts w:ascii="Times New Roman" w:hAnsi="Times New Roman" w:cs="Times New Roman"/>
        </w:rPr>
        <w:t xml:space="preserve">As </w:t>
      </w:r>
      <w:r w:rsidR="003D5C63">
        <w:rPr>
          <w:rFonts w:ascii="Times New Roman" w:hAnsi="Times New Roman" w:cs="Times New Roman"/>
        </w:rPr>
        <w:t>such, the Commission can, and should, implement a POR program in this proceeding.</w:t>
      </w:r>
    </w:p>
    <w:p w14:paraId="7367A9E3" w14:textId="77777777" w:rsidR="00262963" w:rsidRDefault="00262963" w:rsidP="00084521">
      <w:pPr>
        <w:spacing w:line="480" w:lineRule="auto"/>
        <w:ind w:firstLine="720"/>
        <w:rPr>
          <w:rFonts w:ascii="Times New Roman" w:hAnsi="Times New Roman" w:cs="Times New Roman"/>
          <w:b/>
        </w:rPr>
      </w:pPr>
      <w:bookmarkStart w:id="0" w:name="_GoBack"/>
      <w:bookmarkEnd w:id="0"/>
    </w:p>
    <w:p w14:paraId="7D2F88DA" w14:textId="6177D75B" w:rsidR="00F544C2" w:rsidRPr="00F544C2" w:rsidRDefault="00A20710" w:rsidP="00A55AFE">
      <w:pPr>
        <w:spacing w:line="480" w:lineRule="auto"/>
        <w:ind w:left="1440" w:firstLine="720"/>
        <w:rPr>
          <w:rFonts w:ascii="Times New Roman" w:hAnsi="Times New Roman" w:cs="Times New Roman"/>
          <w:b/>
        </w:rPr>
      </w:pPr>
      <w:r>
        <w:rPr>
          <w:rFonts w:ascii="Times New Roman" w:hAnsi="Times New Roman" w:cs="Times New Roman"/>
          <w:b/>
        </w:rPr>
        <w:t>b</w:t>
      </w:r>
      <w:r w:rsidR="00F544C2">
        <w:rPr>
          <w:rFonts w:ascii="Times New Roman" w:hAnsi="Times New Roman" w:cs="Times New Roman"/>
          <w:b/>
        </w:rPr>
        <w:t>.</w:t>
      </w:r>
      <w:r w:rsidR="00F544C2">
        <w:rPr>
          <w:rFonts w:ascii="Times New Roman" w:hAnsi="Times New Roman" w:cs="Times New Roman"/>
          <w:b/>
        </w:rPr>
        <w:tab/>
        <w:t xml:space="preserve">A POR program </w:t>
      </w:r>
      <w:r w:rsidR="00361CFD">
        <w:rPr>
          <w:rFonts w:ascii="Times New Roman" w:hAnsi="Times New Roman" w:cs="Times New Roman"/>
          <w:b/>
        </w:rPr>
        <w:t>advances state policy.</w:t>
      </w:r>
    </w:p>
    <w:p w14:paraId="3BAE8C7C" w14:textId="48CE5A65" w:rsidR="00462187" w:rsidRDefault="00361CFD" w:rsidP="00EE03B5">
      <w:pPr>
        <w:spacing w:line="480" w:lineRule="auto"/>
        <w:ind w:firstLine="720"/>
        <w:rPr>
          <w:rFonts w:ascii="Times New Roman" w:hAnsi="Times New Roman" w:cs="Times New Roman"/>
        </w:rPr>
      </w:pPr>
      <w:r>
        <w:rPr>
          <w:rFonts w:ascii="Times New Roman" w:hAnsi="Times New Roman" w:cs="Times New Roman"/>
        </w:rPr>
        <w:lastRenderedPageBreak/>
        <w:t>Adopting a POR program would advance several state policy initiatives detailed in R.C. 4928.02.  Initially, and most important, a POR program ensures “effective competition in the provision of retail electric service by avo</w:t>
      </w:r>
      <w:r w:rsidR="00776544">
        <w:rPr>
          <w:rFonts w:ascii="Times New Roman" w:hAnsi="Times New Roman" w:cs="Times New Roman"/>
        </w:rPr>
        <w:t>iding anticompetitive subsidies</w:t>
      </w:r>
      <w:r>
        <w:rPr>
          <w:rFonts w:ascii="Times New Roman" w:hAnsi="Times New Roman" w:cs="Times New Roman"/>
        </w:rPr>
        <w:t>.”  R.C. 4928.</w:t>
      </w:r>
      <w:r w:rsidR="00252208">
        <w:rPr>
          <w:rFonts w:ascii="Times New Roman" w:hAnsi="Times New Roman" w:cs="Times New Roman"/>
        </w:rPr>
        <w:t xml:space="preserve">02(H); </w:t>
      </w:r>
      <w:r w:rsidR="00252208">
        <w:rPr>
          <w:rFonts w:ascii="Times New Roman" w:hAnsi="Times New Roman" w:cs="Times New Roman"/>
          <w:i/>
        </w:rPr>
        <w:t xml:space="preserve">see </w:t>
      </w:r>
      <w:r w:rsidR="00252208" w:rsidRPr="00252208">
        <w:rPr>
          <w:rFonts w:ascii="Times New Roman" w:hAnsi="Times New Roman" w:cs="Times New Roman"/>
          <w:i/>
        </w:rPr>
        <w:t>also</w:t>
      </w:r>
      <w:r w:rsidR="00252208">
        <w:rPr>
          <w:rFonts w:ascii="Times New Roman" w:hAnsi="Times New Roman" w:cs="Times New Roman"/>
        </w:rPr>
        <w:t xml:space="preserve"> IGS Ex. 101 at 14.  This is evident by reviewing the switching statistics of </w:t>
      </w:r>
      <w:r w:rsidR="00776544">
        <w:rPr>
          <w:rFonts w:ascii="Times New Roman" w:hAnsi="Times New Roman" w:cs="Times New Roman"/>
        </w:rPr>
        <w:t xml:space="preserve">Ohio’s </w:t>
      </w:r>
      <w:r w:rsidR="00252208">
        <w:rPr>
          <w:rFonts w:ascii="Times New Roman" w:hAnsi="Times New Roman" w:cs="Times New Roman"/>
        </w:rPr>
        <w:t xml:space="preserve">natural gas utilities </w:t>
      </w:r>
      <w:r w:rsidR="00776544">
        <w:rPr>
          <w:rFonts w:ascii="Times New Roman" w:hAnsi="Times New Roman" w:cs="Times New Roman"/>
        </w:rPr>
        <w:t xml:space="preserve">as well </w:t>
      </w:r>
      <w:r w:rsidR="00252208">
        <w:rPr>
          <w:rFonts w:ascii="Times New Roman" w:hAnsi="Times New Roman" w:cs="Times New Roman"/>
        </w:rPr>
        <w:t>Duke</w:t>
      </w:r>
      <w:r w:rsidR="00776544">
        <w:rPr>
          <w:rFonts w:ascii="Times New Roman" w:hAnsi="Times New Roman" w:cs="Times New Roman"/>
        </w:rPr>
        <w:t xml:space="preserve"> Energy-Ohio, which “demonstrate[]</w:t>
      </w:r>
      <w:r w:rsidR="00252208">
        <w:rPr>
          <w:rFonts w:ascii="Times New Roman" w:hAnsi="Times New Roman" w:cs="Times New Roman"/>
        </w:rPr>
        <w:t xml:space="preserve"> that where a purchase of receivable</w:t>
      </w:r>
      <w:r w:rsidR="00776544">
        <w:rPr>
          <w:rFonts w:ascii="Times New Roman" w:hAnsi="Times New Roman" w:cs="Times New Roman"/>
        </w:rPr>
        <w:t>s (‘POR’</w:t>
      </w:r>
      <w:r w:rsidR="00252208">
        <w:rPr>
          <w:rFonts w:ascii="Times New Roman" w:hAnsi="Times New Roman" w:cs="Times New Roman"/>
        </w:rPr>
        <w:t xml:space="preserve">) program is in place there are many suppliers making multiple residential offers.”  (RESA Ex. 102 at 15:14-17.)  </w:t>
      </w:r>
      <w:r w:rsidR="00703B70">
        <w:rPr>
          <w:rFonts w:ascii="Times New Roman" w:hAnsi="Times New Roman" w:cs="Times New Roman"/>
        </w:rPr>
        <w:t xml:space="preserve">Duke Energy-Ohio, the only electric distribution company with a POR program, has the greatest level of CRES supplier participation.  (IGS Ex. 101 at 18:13-16.)  </w:t>
      </w:r>
      <w:r w:rsidR="00252208">
        <w:rPr>
          <w:rFonts w:ascii="Times New Roman" w:hAnsi="Times New Roman" w:cs="Times New Roman"/>
        </w:rPr>
        <w:t xml:space="preserve">Implementing a POR program also recognizes “the continuing emergence of competitive electricity markets through the development and implementation of flexible regulatory treatment.”  R.C. 4928.02(G); </w:t>
      </w:r>
      <w:r w:rsidR="00252208">
        <w:rPr>
          <w:rFonts w:ascii="Times New Roman" w:hAnsi="Times New Roman" w:cs="Times New Roman"/>
          <w:i/>
        </w:rPr>
        <w:t>see also</w:t>
      </w:r>
      <w:r w:rsidR="00252208">
        <w:rPr>
          <w:rFonts w:ascii="Times New Roman" w:hAnsi="Times New Roman" w:cs="Times New Roman"/>
        </w:rPr>
        <w:t xml:space="preserve"> IGS Ex. 101 at 14.  Finally, a POR program ensures the “availability of unbundled and comparable retail electric service that provides consumers with the supplier, price, terms, conditions, and quality options they elect to meet their respective needs.”  R.C. 4929.02(B); </w:t>
      </w:r>
      <w:r w:rsidR="00252208">
        <w:rPr>
          <w:rFonts w:ascii="Times New Roman" w:hAnsi="Times New Roman" w:cs="Times New Roman"/>
          <w:i/>
        </w:rPr>
        <w:t>see also</w:t>
      </w:r>
      <w:r w:rsidR="00252208">
        <w:rPr>
          <w:rFonts w:ascii="Times New Roman" w:hAnsi="Times New Roman" w:cs="Times New Roman"/>
        </w:rPr>
        <w:t xml:space="preserve"> IGS Ex. 101 at 14.  Furthering these state polices is another reason for the Commission to modify the ESP to include a POR Program.</w:t>
      </w:r>
    </w:p>
    <w:p w14:paraId="7ED2B872" w14:textId="1C4ACA78" w:rsidR="00835C38" w:rsidRDefault="003C2987" w:rsidP="00D60334">
      <w:pPr>
        <w:ind w:left="2880" w:hanging="720"/>
        <w:rPr>
          <w:rFonts w:ascii="Times New Roman" w:hAnsi="Times New Roman" w:cs="Times New Roman"/>
          <w:b/>
        </w:rPr>
      </w:pPr>
      <w:r>
        <w:rPr>
          <w:rFonts w:ascii="Times New Roman" w:hAnsi="Times New Roman" w:cs="Times New Roman"/>
          <w:b/>
        </w:rPr>
        <w:t>c</w:t>
      </w:r>
      <w:r w:rsidR="00835C38" w:rsidRPr="00835C38">
        <w:rPr>
          <w:rFonts w:ascii="Times New Roman" w:hAnsi="Times New Roman" w:cs="Times New Roman"/>
          <w:b/>
        </w:rPr>
        <w:t>.</w:t>
      </w:r>
      <w:r w:rsidR="00835C38">
        <w:rPr>
          <w:rFonts w:ascii="Times New Roman" w:hAnsi="Times New Roman" w:cs="Times New Roman"/>
        </w:rPr>
        <w:tab/>
      </w:r>
      <w:r w:rsidR="00D60334">
        <w:rPr>
          <w:rFonts w:ascii="Times New Roman" w:hAnsi="Times New Roman" w:cs="Times New Roman"/>
          <w:b/>
        </w:rPr>
        <w:t>A POR program more efficiently uses resources while reducing costs to customers.</w:t>
      </w:r>
    </w:p>
    <w:p w14:paraId="7C462F56" w14:textId="77777777" w:rsidR="00D60334" w:rsidRPr="00835C38" w:rsidRDefault="00D60334" w:rsidP="00D60334">
      <w:pPr>
        <w:ind w:left="2880" w:hanging="720"/>
        <w:rPr>
          <w:rFonts w:ascii="Times New Roman" w:hAnsi="Times New Roman" w:cs="Times New Roman"/>
        </w:rPr>
      </w:pPr>
    </w:p>
    <w:p w14:paraId="1DF1124A" w14:textId="76C6F2BC" w:rsidR="00D110CD" w:rsidRDefault="0022183C" w:rsidP="00EB7B70">
      <w:pPr>
        <w:spacing w:line="480" w:lineRule="auto"/>
        <w:ind w:firstLine="720"/>
        <w:rPr>
          <w:rFonts w:ascii="Times New Roman" w:hAnsi="Times New Roman" w:cs="Times New Roman"/>
        </w:rPr>
      </w:pPr>
      <w:r>
        <w:rPr>
          <w:rFonts w:ascii="Times New Roman" w:hAnsi="Times New Roman" w:cs="Times New Roman"/>
        </w:rPr>
        <w:t>Implementing a POR program will</w:t>
      </w:r>
      <w:r w:rsidR="00D60334">
        <w:rPr>
          <w:rFonts w:ascii="Times New Roman" w:hAnsi="Times New Roman" w:cs="Times New Roman"/>
        </w:rPr>
        <w:t xml:space="preserve"> encourage competition by “</w:t>
      </w:r>
      <w:proofErr w:type="spellStart"/>
      <w:r w:rsidR="00D60334">
        <w:rPr>
          <w:rFonts w:ascii="Times New Roman" w:hAnsi="Times New Roman" w:cs="Times New Roman"/>
        </w:rPr>
        <w:t>reduc</w:t>
      </w:r>
      <w:proofErr w:type="spellEnd"/>
      <w:r w:rsidR="00D60334">
        <w:rPr>
          <w:rFonts w:ascii="Times New Roman" w:hAnsi="Times New Roman" w:cs="Times New Roman"/>
        </w:rPr>
        <w:t>[</w:t>
      </w:r>
      <w:proofErr w:type="spellStart"/>
      <w:r w:rsidR="00D60334">
        <w:rPr>
          <w:rFonts w:ascii="Times New Roman" w:hAnsi="Times New Roman" w:cs="Times New Roman"/>
        </w:rPr>
        <w:t>ing</w:t>
      </w:r>
      <w:proofErr w:type="spellEnd"/>
      <w:r w:rsidR="00D60334">
        <w:rPr>
          <w:rFonts w:ascii="Times New Roman" w:hAnsi="Times New Roman" w:cs="Times New Roman"/>
        </w:rPr>
        <w:t>] the overall cost of service for AEP’s customers, regardless of whether they receive generation service from AEP or from a competitive suppl</w:t>
      </w:r>
      <w:r w:rsidR="00EB7B70">
        <w:rPr>
          <w:rFonts w:ascii="Times New Roman" w:hAnsi="Times New Roman" w:cs="Times New Roman"/>
        </w:rPr>
        <w:t xml:space="preserve">ier.”  (IGS Ex. 101 at 16:1-2.)  </w:t>
      </w:r>
      <w:r w:rsidR="00776544">
        <w:rPr>
          <w:rFonts w:ascii="Times New Roman" w:hAnsi="Times New Roman" w:cs="Times New Roman"/>
        </w:rPr>
        <w:t>Several factors reduce t</w:t>
      </w:r>
      <w:r w:rsidR="00D60334">
        <w:rPr>
          <w:rFonts w:ascii="Times New Roman" w:hAnsi="Times New Roman" w:cs="Times New Roman"/>
        </w:rPr>
        <w:t xml:space="preserve">he </w:t>
      </w:r>
      <w:r w:rsidR="00D110CD">
        <w:rPr>
          <w:rFonts w:ascii="Times New Roman" w:hAnsi="Times New Roman" w:cs="Times New Roman"/>
        </w:rPr>
        <w:t xml:space="preserve">overall </w:t>
      </w:r>
      <w:r w:rsidR="00D60334">
        <w:rPr>
          <w:rFonts w:ascii="Times New Roman" w:hAnsi="Times New Roman" w:cs="Times New Roman"/>
        </w:rPr>
        <w:t>cost</w:t>
      </w:r>
      <w:r w:rsidR="00D110CD">
        <w:rPr>
          <w:rFonts w:ascii="Times New Roman" w:hAnsi="Times New Roman" w:cs="Times New Roman"/>
        </w:rPr>
        <w:t xml:space="preserve"> to customers</w:t>
      </w:r>
      <w:r w:rsidR="00D60334">
        <w:rPr>
          <w:rFonts w:ascii="Times New Roman" w:hAnsi="Times New Roman" w:cs="Times New Roman"/>
        </w:rPr>
        <w:t xml:space="preserve">. </w:t>
      </w:r>
      <w:r w:rsidR="00776544">
        <w:rPr>
          <w:rFonts w:ascii="Times New Roman" w:hAnsi="Times New Roman" w:cs="Times New Roman"/>
        </w:rPr>
        <w:t xml:space="preserve"> </w:t>
      </w:r>
      <w:r w:rsidR="00D110CD">
        <w:rPr>
          <w:rFonts w:ascii="Times New Roman" w:hAnsi="Times New Roman" w:cs="Times New Roman"/>
        </w:rPr>
        <w:t>W</w:t>
      </w:r>
      <w:r w:rsidR="00D60334">
        <w:rPr>
          <w:rFonts w:ascii="Times New Roman" w:hAnsi="Times New Roman" w:cs="Times New Roman"/>
        </w:rPr>
        <w:t>ithout a POR program, competitive suppliers must provide systems and resources to collect outstanding receivables of its customers.  (IGS Ex. 101 at 16.)</w:t>
      </w:r>
      <w:r w:rsidR="00AB27C1">
        <w:rPr>
          <w:rFonts w:ascii="Times New Roman" w:hAnsi="Times New Roman" w:cs="Times New Roman"/>
        </w:rPr>
        <w:t xml:space="preserve"> </w:t>
      </w:r>
      <w:r w:rsidR="00776544">
        <w:rPr>
          <w:rFonts w:ascii="Times New Roman" w:hAnsi="Times New Roman" w:cs="Times New Roman"/>
        </w:rPr>
        <w:t xml:space="preserve"> T</w:t>
      </w:r>
      <w:r w:rsidR="00AB27C1">
        <w:rPr>
          <w:rFonts w:ascii="Times New Roman" w:hAnsi="Times New Roman" w:cs="Times New Roman"/>
        </w:rPr>
        <w:t>o the extent AEP’s distribution rates reflect AEP’s costs of systems and resources necessary to collect arrearages, shopping customers will pay for these costs twice.  (IGS Ex. 101 at 16</w:t>
      </w:r>
      <w:r w:rsidR="00236F1D">
        <w:rPr>
          <w:rFonts w:ascii="Times New Roman" w:hAnsi="Times New Roman" w:cs="Times New Roman"/>
        </w:rPr>
        <w:t>; Tr. 4294:6</w:t>
      </w:r>
      <w:r w:rsidR="00ED565A">
        <w:rPr>
          <w:rFonts w:ascii="Times New Roman" w:hAnsi="Times New Roman" w:cs="Times New Roman"/>
        </w:rPr>
        <w:t>-</w:t>
      </w:r>
      <w:r w:rsidR="00ED565A">
        <w:rPr>
          <w:rFonts w:ascii="Times New Roman" w:hAnsi="Times New Roman" w:cs="Times New Roman"/>
        </w:rPr>
        <w:lastRenderedPageBreak/>
        <w:t>15; Tr. at 4295:4-5</w:t>
      </w:r>
      <w:r w:rsidR="00683258">
        <w:rPr>
          <w:rFonts w:ascii="Times New Roman" w:hAnsi="Times New Roman" w:cs="Times New Roman"/>
        </w:rPr>
        <w:t>; Tr. at 4296:4-9</w:t>
      </w:r>
      <w:r w:rsidR="00ED565A">
        <w:rPr>
          <w:rFonts w:ascii="Times New Roman" w:hAnsi="Times New Roman" w:cs="Times New Roman"/>
        </w:rPr>
        <w:t>.</w:t>
      </w:r>
      <w:r w:rsidR="00AB27C1">
        <w:rPr>
          <w:rFonts w:ascii="Times New Roman" w:hAnsi="Times New Roman" w:cs="Times New Roman"/>
        </w:rPr>
        <w:t xml:space="preserve">)  </w:t>
      </w:r>
      <w:r w:rsidR="00776544">
        <w:rPr>
          <w:rFonts w:ascii="Times New Roman" w:hAnsi="Times New Roman" w:cs="Times New Roman"/>
        </w:rPr>
        <w:t>Since t</w:t>
      </w:r>
      <w:r w:rsidR="00ED565A">
        <w:rPr>
          <w:rFonts w:ascii="Times New Roman" w:hAnsi="Times New Roman" w:cs="Times New Roman"/>
        </w:rPr>
        <w:t xml:space="preserve">hese customers </w:t>
      </w:r>
      <w:r w:rsidR="00776544">
        <w:rPr>
          <w:rFonts w:ascii="Times New Roman" w:hAnsi="Times New Roman" w:cs="Times New Roman"/>
        </w:rPr>
        <w:t xml:space="preserve">pay for these services, they </w:t>
      </w:r>
      <w:r w:rsidR="00ED565A">
        <w:rPr>
          <w:rFonts w:ascii="Times New Roman" w:hAnsi="Times New Roman" w:cs="Times New Roman"/>
        </w:rPr>
        <w:t xml:space="preserve">should benefit </w:t>
      </w:r>
      <w:r w:rsidR="00776544">
        <w:rPr>
          <w:rFonts w:ascii="Times New Roman" w:hAnsi="Times New Roman" w:cs="Times New Roman"/>
        </w:rPr>
        <w:t>from them.</w:t>
      </w:r>
      <w:r w:rsidR="00ED565A">
        <w:rPr>
          <w:rFonts w:ascii="Times New Roman" w:hAnsi="Times New Roman" w:cs="Times New Roman"/>
        </w:rPr>
        <w:t xml:space="preserve">  (Tr. at 4324:3-7.)  </w:t>
      </w:r>
      <w:r w:rsidR="00AB27C1">
        <w:rPr>
          <w:rFonts w:ascii="Times New Roman" w:hAnsi="Times New Roman" w:cs="Times New Roman"/>
        </w:rPr>
        <w:t>Under the current system, AEP</w:t>
      </w:r>
      <w:r w:rsidR="00A26276">
        <w:rPr>
          <w:rFonts w:ascii="Times New Roman" w:hAnsi="Times New Roman" w:cs="Times New Roman"/>
        </w:rPr>
        <w:t xml:space="preserve"> already attempts to collect CRES</w:t>
      </w:r>
      <w:r w:rsidR="00AB27C1">
        <w:rPr>
          <w:rFonts w:ascii="Times New Roman" w:hAnsi="Times New Roman" w:cs="Times New Roman"/>
        </w:rPr>
        <w:t xml:space="preserve"> supplier arrearages along with its own </w:t>
      </w:r>
      <w:r w:rsidR="00A26276">
        <w:rPr>
          <w:rFonts w:ascii="Times New Roman" w:hAnsi="Times New Roman" w:cs="Times New Roman"/>
        </w:rPr>
        <w:t>if a customer remains current on a payment plan</w:t>
      </w:r>
      <w:r w:rsidR="00BA2E1A">
        <w:rPr>
          <w:rFonts w:ascii="Times New Roman" w:hAnsi="Times New Roman" w:cs="Times New Roman"/>
        </w:rPr>
        <w:t xml:space="preserve">. </w:t>
      </w:r>
      <w:r w:rsidR="00A26276">
        <w:rPr>
          <w:rFonts w:ascii="Times New Roman" w:hAnsi="Times New Roman" w:cs="Times New Roman"/>
        </w:rPr>
        <w:t xml:space="preserve"> </w:t>
      </w:r>
      <w:r w:rsidR="00AB27C1">
        <w:rPr>
          <w:rFonts w:ascii="Times New Roman" w:hAnsi="Times New Roman" w:cs="Times New Roman"/>
        </w:rPr>
        <w:t xml:space="preserve">(RESA Ex. 102 at </w:t>
      </w:r>
      <w:r>
        <w:rPr>
          <w:rFonts w:ascii="Times New Roman" w:hAnsi="Times New Roman" w:cs="Times New Roman"/>
        </w:rPr>
        <w:t>1</w:t>
      </w:r>
      <w:r w:rsidR="00A26276">
        <w:rPr>
          <w:rFonts w:ascii="Times New Roman" w:hAnsi="Times New Roman" w:cs="Times New Roman"/>
        </w:rPr>
        <w:t>6:14-16</w:t>
      </w:r>
      <w:r w:rsidR="00BA2E1A">
        <w:rPr>
          <w:rFonts w:ascii="Times New Roman" w:hAnsi="Times New Roman" w:cs="Times New Roman"/>
        </w:rPr>
        <w:t>.</w:t>
      </w:r>
      <w:r>
        <w:rPr>
          <w:rFonts w:ascii="Times New Roman" w:hAnsi="Times New Roman" w:cs="Times New Roman"/>
        </w:rPr>
        <w:t>)</w:t>
      </w:r>
      <w:r w:rsidR="00BA2E1A">
        <w:rPr>
          <w:rFonts w:ascii="Times New Roman" w:hAnsi="Times New Roman" w:cs="Times New Roman"/>
        </w:rPr>
        <w:t xml:space="preserve">  </w:t>
      </w:r>
      <w:r w:rsidR="00380371">
        <w:rPr>
          <w:rFonts w:ascii="Times New Roman" w:hAnsi="Times New Roman" w:cs="Times New Roman"/>
        </w:rPr>
        <w:t>And</w:t>
      </w:r>
      <w:r w:rsidR="00AB27C1">
        <w:rPr>
          <w:rFonts w:ascii="Times New Roman" w:hAnsi="Times New Roman" w:cs="Times New Roman"/>
        </w:rPr>
        <w:t xml:space="preserve">, unlike CRES suppliers, AEP has the ability to terminate service and is </w:t>
      </w:r>
      <w:r w:rsidR="00776544">
        <w:rPr>
          <w:rFonts w:ascii="Times New Roman" w:hAnsi="Times New Roman" w:cs="Times New Roman"/>
        </w:rPr>
        <w:t xml:space="preserve">thus </w:t>
      </w:r>
      <w:r w:rsidR="00AB27C1">
        <w:rPr>
          <w:rFonts w:ascii="Times New Roman" w:hAnsi="Times New Roman" w:cs="Times New Roman"/>
        </w:rPr>
        <w:t>bet</w:t>
      </w:r>
      <w:r w:rsidR="00BA2E1A">
        <w:rPr>
          <w:rFonts w:ascii="Times New Roman" w:hAnsi="Times New Roman" w:cs="Times New Roman"/>
        </w:rPr>
        <w:t xml:space="preserve">ter </w:t>
      </w:r>
      <w:r w:rsidR="00AB27C1">
        <w:rPr>
          <w:rFonts w:ascii="Times New Roman" w:hAnsi="Times New Roman" w:cs="Times New Roman"/>
        </w:rPr>
        <w:t>positioned to collect delinquent accounts</w:t>
      </w:r>
      <w:r w:rsidR="00776544">
        <w:rPr>
          <w:rFonts w:ascii="Times New Roman" w:hAnsi="Times New Roman" w:cs="Times New Roman"/>
        </w:rPr>
        <w:t xml:space="preserve"> at a lower cost</w:t>
      </w:r>
      <w:r w:rsidR="00AB27C1">
        <w:rPr>
          <w:rFonts w:ascii="Times New Roman" w:hAnsi="Times New Roman" w:cs="Times New Roman"/>
        </w:rPr>
        <w:t xml:space="preserve"> to </w:t>
      </w:r>
      <w:r w:rsidR="00776544">
        <w:rPr>
          <w:rFonts w:ascii="Times New Roman" w:hAnsi="Times New Roman" w:cs="Times New Roman"/>
        </w:rPr>
        <w:t xml:space="preserve">all </w:t>
      </w:r>
      <w:r w:rsidR="00D110CD">
        <w:rPr>
          <w:rFonts w:ascii="Times New Roman" w:hAnsi="Times New Roman" w:cs="Times New Roman"/>
        </w:rPr>
        <w:t>customers.  (IGS Ex. 101 at 16; Tr. at 4292:9 – 4293:15.)  Therefore, a POR provides ratepayers a more cost-effective means of collecting arrearages.</w:t>
      </w:r>
    </w:p>
    <w:p w14:paraId="7AEA7823" w14:textId="5E416813" w:rsidR="006D19E1" w:rsidRDefault="006D19E1" w:rsidP="006D19E1">
      <w:pPr>
        <w:ind w:left="2880" w:hanging="72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 xml:space="preserve">A POR program provides other </w:t>
      </w:r>
      <w:r w:rsidR="00A26276">
        <w:rPr>
          <w:rFonts w:ascii="Times New Roman" w:hAnsi="Times New Roman" w:cs="Times New Roman"/>
          <w:b/>
        </w:rPr>
        <w:t>non-monetary</w:t>
      </w:r>
      <w:r>
        <w:rPr>
          <w:rFonts w:ascii="Times New Roman" w:hAnsi="Times New Roman" w:cs="Times New Roman"/>
          <w:b/>
        </w:rPr>
        <w:t xml:space="preserve"> benefits to consumers.</w:t>
      </w:r>
    </w:p>
    <w:p w14:paraId="70338987" w14:textId="77777777" w:rsidR="006D19E1" w:rsidRPr="006D19E1" w:rsidRDefault="006D19E1" w:rsidP="006D19E1">
      <w:pPr>
        <w:ind w:left="2880" w:hanging="720"/>
        <w:rPr>
          <w:rFonts w:ascii="Times New Roman" w:hAnsi="Times New Roman" w:cs="Times New Roman"/>
          <w:b/>
        </w:rPr>
      </w:pPr>
    </w:p>
    <w:p w14:paraId="74FAEAC4" w14:textId="60FB865E" w:rsidR="00835C38" w:rsidRDefault="00835C38" w:rsidP="00D60334">
      <w:pPr>
        <w:spacing w:line="480" w:lineRule="auto"/>
        <w:ind w:firstLine="720"/>
        <w:rPr>
          <w:rFonts w:ascii="Times New Roman" w:hAnsi="Times New Roman" w:cs="Times New Roman"/>
        </w:rPr>
      </w:pPr>
      <w:r>
        <w:rPr>
          <w:rFonts w:ascii="Times New Roman" w:hAnsi="Times New Roman" w:cs="Times New Roman"/>
        </w:rPr>
        <w:t>A POR Program</w:t>
      </w:r>
      <w:r w:rsidR="00776544">
        <w:rPr>
          <w:rFonts w:ascii="Times New Roman" w:hAnsi="Times New Roman" w:cs="Times New Roman"/>
        </w:rPr>
        <w:t xml:space="preserve"> does more than lower costs.  It</w:t>
      </w:r>
      <w:r>
        <w:rPr>
          <w:rFonts w:ascii="Times New Roman" w:hAnsi="Times New Roman" w:cs="Times New Roman"/>
        </w:rPr>
        <w:t xml:space="preserve"> provides customers “not only with a single bill, but more importantly with a single collection point.”  (RESA Ex.</w:t>
      </w:r>
      <w:r w:rsidR="00623016">
        <w:rPr>
          <w:rFonts w:ascii="Times New Roman" w:hAnsi="Times New Roman" w:cs="Times New Roman"/>
        </w:rPr>
        <w:t>102</w:t>
      </w:r>
      <w:r w:rsidR="008E31B7">
        <w:rPr>
          <w:rFonts w:ascii="Times New Roman" w:hAnsi="Times New Roman" w:cs="Times New Roman"/>
        </w:rPr>
        <w:t xml:space="preserve"> at</w:t>
      </w:r>
      <w:r>
        <w:rPr>
          <w:rFonts w:ascii="Times New Roman" w:hAnsi="Times New Roman" w:cs="Times New Roman"/>
        </w:rPr>
        <w:t xml:space="preserve"> 15:17-18.)</w:t>
      </w:r>
      <w:r w:rsidR="006D19E1">
        <w:rPr>
          <w:rFonts w:ascii="Times New Roman" w:hAnsi="Times New Roman" w:cs="Times New Roman"/>
        </w:rPr>
        <w:t xml:space="preserve">  By streamlining the collection process to one bill, customers will “not face the additional stress and potential confusion of collections activity by multiple parties.”  (IGS Ex. 101 at 15:22-23.)  </w:t>
      </w:r>
      <w:r w:rsidR="00776544">
        <w:rPr>
          <w:rFonts w:ascii="Times New Roman" w:hAnsi="Times New Roman" w:cs="Times New Roman"/>
        </w:rPr>
        <w:t xml:space="preserve">If </w:t>
      </w:r>
      <w:r w:rsidR="00A26276">
        <w:rPr>
          <w:rFonts w:ascii="Times New Roman" w:hAnsi="Times New Roman" w:cs="Times New Roman"/>
        </w:rPr>
        <w:t xml:space="preserve">several entities </w:t>
      </w:r>
      <w:r w:rsidR="00776544">
        <w:rPr>
          <w:rFonts w:ascii="Times New Roman" w:hAnsi="Times New Roman" w:cs="Times New Roman"/>
        </w:rPr>
        <w:t>must seek</w:t>
      </w:r>
      <w:r w:rsidR="00A26276">
        <w:rPr>
          <w:rFonts w:ascii="Times New Roman" w:hAnsi="Times New Roman" w:cs="Times New Roman"/>
        </w:rPr>
        <w:t xml:space="preserve"> collection for </w:t>
      </w:r>
      <w:r w:rsidR="00776544">
        <w:rPr>
          <w:rFonts w:ascii="Times New Roman" w:hAnsi="Times New Roman" w:cs="Times New Roman"/>
        </w:rPr>
        <w:t>what appears to the customer as one unitary service</w:t>
      </w:r>
      <w:r w:rsidR="00A26276">
        <w:rPr>
          <w:rFonts w:ascii="Times New Roman" w:hAnsi="Times New Roman" w:cs="Times New Roman"/>
        </w:rPr>
        <w:t>, there is a substantial likelihood for customer confusion.  (IGS Ex. 101 at 16</w:t>
      </w:r>
      <w:r w:rsidR="008E31B7">
        <w:rPr>
          <w:rFonts w:ascii="Times New Roman" w:hAnsi="Times New Roman" w:cs="Times New Roman"/>
        </w:rPr>
        <w:t xml:space="preserve">; Tr. </w:t>
      </w:r>
      <w:r w:rsidR="00ED565A">
        <w:rPr>
          <w:rFonts w:ascii="Times New Roman" w:hAnsi="Times New Roman" w:cs="Times New Roman"/>
        </w:rPr>
        <w:t>4323:19-21</w:t>
      </w:r>
      <w:r w:rsidR="00E34063">
        <w:rPr>
          <w:rFonts w:ascii="Times New Roman" w:hAnsi="Times New Roman" w:cs="Times New Roman"/>
        </w:rPr>
        <w:t>; RESA Ex. 102 at 16:9-10</w:t>
      </w:r>
      <w:r w:rsidR="00A26276">
        <w:rPr>
          <w:rFonts w:ascii="Times New Roman" w:hAnsi="Times New Roman" w:cs="Times New Roman"/>
        </w:rPr>
        <w:t>.)  A POR program also allows a CRES Supplier to utilize credit standards equivalent to those of the utility.  (IGS Ex. 101 at 17.)  In markets in which a POR program is not present, CRES suppliers must utilize more stringent credit standards because it does not have the ability to terminate service.  (IGS Ex. 101 at 17.)</w:t>
      </w:r>
      <w:r w:rsidR="00AE016A">
        <w:rPr>
          <w:rFonts w:ascii="Times New Roman" w:hAnsi="Times New Roman" w:cs="Times New Roman"/>
        </w:rPr>
        <w:t xml:space="preserve">  As Mr. Parisi noted, utilizing these more restrictive standards is primarily driven by the market without a POR program.  (Tr. </w:t>
      </w:r>
      <w:r w:rsidR="00581FDF">
        <w:rPr>
          <w:rFonts w:ascii="Times New Roman" w:hAnsi="Times New Roman" w:cs="Times New Roman"/>
        </w:rPr>
        <w:t>4240:22-4241:19</w:t>
      </w:r>
      <w:r w:rsidR="00AE016A">
        <w:rPr>
          <w:rFonts w:ascii="Times New Roman" w:hAnsi="Times New Roman" w:cs="Times New Roman"/>
        </w:rPr>
        <w:t>.)</w:t>
      </w:r>
      <w:r w:rsidR="00683258">
        <w:rPr>
          <w:rFonts w:ascii="Times New Roman" w:hAnsi="Times New Roman" w:cs="Times New Roman"/>
        </w:rPr>
        <w:t xml:space="preserve">  With a POR program, however, CRES Suppliers would be able t</w:t>
      </w:r>
      <w:r w:rsidR="00776544">
        <w:rPr>
          <w:rFonts w:ascii="Times New Roman" w:hAnsi="Times New Roman" w:cs="Times New Roman"/>
        </w:rPr>
        <w:t>o offer their products to “a wid</w:t>
      </w:r>
      <w:r w:rsidR="00683258">
        <w:rPr>
          <w:rFonts w:ascii="Times New Roman" w:hAnsi="Times New Roman" w:cs="Times New Roman"/>
        </w:rPr>
        <w:t>e range of customers without a concern generally about uncollectibles.”  (Tr. 4301:6-9.)</w:t>
      </w:r>
    </w:p>
    <w:p w14:paraId="0EF72B01" w14:textId="46AEBBEB" w:rsidR="00776544" w:rsidRDefault="00380371" w:rsidP="00D60334">
      <w:pPr>
        <w:spacing w:line="480" w:lineRule="auto"/>
        <w:ind w:firstLine="720"/>
        <w:rPr>
          <w:rFonts w:ascii="Times New Roman" w:hAnsi="Times New Roman" w:cs="Times New Roman"/>
        </w:rPr>
      </w:pPr>
      <w:r>
        <w:rPr>
          <w:rFonts w:ascii="Times New Roman" w:hAnsi="Times New Roman" w:cs="Times New Roman"/>
        </w:rPr>
        <w:lastRenderedPageBreak/>
        <w:t>U</w:t>
      </w:r>
      <w:r w:rsidR="009A5778">
        <w:rPr>
          <w:rFonts w:ascii="Times New Roman" w:hAnsi="Times New Roman" w:cs="Times New Roman"/>
        </w:rPr>
        <w:t>tilities with POR programs consistently experience greater shopping levels than utilities without POR programs.  For example, in Pennsylvania, several utilities with POR programs have experienced over 20% shopping</w:t>
      </w:r>
      <w:r w:rsidR="008E31B7">
        <w:rPr>
          <w:rFonts w:ascii="Times New Roman" w:hAnsi="Times New Roman" w:cs="Times New Roman"/>
        </w:rPr>
        <w:t xml:space="preserve">. </w:t>
      </w:r>
      <w:r w:rsidR="009A5778">
        <w:rPr>
          <w:rFonts w:ascii="Times New Roman" w:hAnsi="Times New Roman" w:cs="Times New Roman"/>
        </w:rPr>
        <w:t xml:space="preserve"> (IGS Ex. 101 at Ex. 1</w:t>
      </w:r>
      <w:r w:rsidR="00565C81">
        <w:rPr>
          <w:rFonts w:ascii="Times New Roman" w:hAnsi="Times New Roman" w:cs="Times New Roman"/>
        </w:rPr>
        <w:t xml:space="preserve">.) </w:t>
      </w:r>
      <w:r w:rsidR="008E31B7">
        <w:rPr>
          <w:rFonts w:ascii="Times New Roman" w:hAnsi="Times New Roman" w:cs="Times New Roman"/>
        </w:rPr>
        <w:t xml:space="preserve"> </w:t>
      </w:r>
      <w:r w:rsidR="00565C81">
        <w:rPr>
          <w:rFonts w:ascii="Times New Roman" w:hAnsi="Times New Roman" w:cs="Times New Roman"/>
        </w:rPr>
        <w:t>Similarly, in Illinois, Commonwealth Edison recently implemented a POR program and experienced a 10% residential customer migration over the past year.  (IGS Ex. 101 at 19:6-8.)</w:t>
      </w:r>
      <w:r w:rsidR="001225EB">
        <w:rPr>
          <w:rFonts w:ascii="Times New Roman" w:hAnsi="Times New Roman" w:cs="Times New Roman"/>
        </w:rPr>
        <w:t xml:space="preserve">  Ohio shopping statistics show even more promising results.  As of December 31, 2011, </w:t>
      </w:r>
      <w:r w:rsidR="00E75BFF">
        <w:rPr>
          <w:rFonts w:ascii="Times New Roman" w:hAnsi="Times New Roman" w:cs="Times New Roman"/>
        </w:rPr>
        <w:t>Duke Energy Ohio, the only electric utility with a POR program, experienced nearly</w:t>
      </w:r>
      <w:r w:rsidR="001225EB">
        <w:rPr>
          <w:rFonts w:ascii="Times New Roman" w:hAnsi="Times New Roman" w:cs="Times New Roman"/>
        </w:rPr>
        <w:t xml:space="preserve"> 30% </w:t>
      </w:r>
      <w:r w:rsidR="00E75BFF">
        <w:rPr>
          <w:rFonts w:ascii="Times New Roman" w:hAnsi="Times New Roman" w:cs="Times New Roman"/>
        </w:rPr>
        <w:t>residential customer</w:t>
      </w:r>
      <w:r w:rsidR="001225EB">
        <w:rPr>
          <w:rFonts w:ascii="Times New Roman" w:hAnsi="Times New Roman" w:cs="Times New Roman"/>
        </w:rPr>
        <w:t xml:space="preserve"> </w:t>
      </w:r>
      <w:r w:rsidR="00E75BFF">
        <w:rPr>
          <w:rFonts w:ascii="Times New Roman" w:hAnsi="Times New Roman" w:cs="Times New Roman"/>
        </w:rPr>
        <w:t>migration</w:t>
      </w:r>
      <w:r w:rsidR="001225EB">
        <w:rPr>
          <w:rFonts w:ascii="Times New Roman" w:hAnsi="Times New Roman" w:cs="Times New Roman"/>
        </w:rPr>
        <w:t xml:space="preserve">.  (IGS Ex. 101 at </w:t>
      </w:r>
      <w:r w:rsidR="00E75BFF">
        <w:rPr>
          <w:rFonts w:ascii="Times New Roman" w:hAnsi="Times New Roman" w:cs="Times New Roman"/>
        </w:rPr>
        <w:t xml:space="preserve">19:11-12; </w:t>
      </w:r>
      <w:r w:rsidR="00E75BFF">
        <w:rPr>
          <w:rFonts w:ascii="Times New Roman" w:hAnsi="Times New Roman" w:cs="Times New Roman"/>
          <w:i/>
        </w:rPr>
        <w:t>Id.</w:t>
      </w:r>
      <w:r w:rsidR="00E75BFF">
        <w:rPr>
          <w:rFonts w:ascii="Times New Roman" w:hAnsi="Times New Roman" w:cs="Times New Roman"/>
        </w:rPr>
        <w:t xml:space="preserve"> at </w:t>
      </w:r>
      <w:r w:rsidR="001225EB">
        <w:rPr>
          <w:rFonts w:ascii="Times New Roman" w:hAnsi="Times New Roman" w:cs="Times New Roman"/>
        </w:rPr>
        <w:t xml:space="preserve">Ex. 2.) </w:t>
      </w:r>
      <w:r w:rsidR="00E75BFF">
        <w:rPr>
          <w:rFonts w:ascii="Times New Roman" w:hAnsi="Times New Roman" w:cs="Times New Roman"/>
        </w:rPr>
        <w:t xml:space="preserve"> </w:t>
      </w:r>
      <w:r w:rsidR="001225EB">
        <w:rPr>
          <w:rFonts w:ascii="Times New Roman" w:hAnsi="Times New Roman" w:cs="Times New Roman"/>
        </w:rPr>
        <w:t xml:space="preserve">FirstEnergy utilities also show a large number of </w:t>
      </w:r>
      <w:r w:rsidR="00E75BFF">
        <w:rPr>
          <w:rFonts w:ascii="Times New Roman" w:hAnsi="Times New Roman" w:cs="Times New Roman"/>
        </w:rPr>
        <w:t xml:space="preserve">residential </w:t>
      </w:r>
      <w:r w:rsidR="001225EB">
        <w:rPr>
          <w:rFonts w:ascii="Times New Roman" w:hAnsi="Times New Roman" w:cs="Times New Roman"/>
        </w:rPr>
        <w:t xml:space="preserve">customers shopping; however, a vast majority of these </w:t>
      </w:r>
      <w:r w:rsidR="00E75BFF">
        <w:rPr>
          <w:rFonts w:ascii="Times New Roman" w:hAnsi="Times New Roman" w:cs="Times New Roman"/>
        </w:rPr>
        <w:t xml:space="preserve">residential customers participate due to opt-out aggregations programs.  (IGS Ex. 101 at 19:12-18.)  Even the major Ohio gas utilities’ POR programs have created “a glide path for many suppliers and offers to residential and small commercial customers.”  (RESA Ex. 102 at 18:5-6.)  </w:t>
      </w:r>
    </w:p>
    <w:p w14:paraId="4C1901DB" w14:textId="47BB1E2A" w:rsidR="009A5778" w:rsidRPr="00776544" w:rsidRDefault="00776544" w:rsidP="00D60334">
      <w:pPr>
        <w:spacing w:line="480" w:lineRule="auto"/>
        <w:ind w:firstLine="720"/>
        <w:rPr>
          <w:rFonts w:ascii="Times New Roman" w:hAnsi="Times New Roman" w:cs="Times New Roman"/>
        </w:rPr>
      </w:pPr>
      <w:r>
        <w:rPr>
          <w:rFonts w:ascii="Times New Roman" w:hAnsi="Times New Roman" w:cs="Times New Roman"/>
        </w:rPr>
        <w:t>The record</w:t>
      </w:r>
      <w:r w:rsidR="00380371">
        <w:rPr>
          <w:rFonts w:ascii="Times New Roman" w:hAnsi="Times New Roman" w:cs="Times New Roman"/>
        </w:rPr>
        <w:t xml:space="preserve"> thus establishes</w:t>
      </w:r>
      <w:r>
        <w:rPr>
          <w:rFonts w:ascii="Times New Roman" w:hAnsi="Times New Roman" w:cs="Times New Roman"/>
        </w:rPr>
        <w:t xml:space="preserve"> shows that a </w:t>
      </w:r>
      <w:r w:rsidR="00E75BFF">
        <w:rPr>
          <w:rFonts w:ascii="Times New Roman" w:hAnsi="Times New Roman" w:cs="Times New Roman"/>
        </w:rPr>
        <w:t>POR program is a substantial benefit to encouraging competition and increasing shopping in a utility service area.</w:t>
      </w:r>
      <w:r>
        <w:rPr>
          <w:rFonts w:ascii="Times New Roman" w:hAnsi="Times New Roman" w:cs="Times New Roman"/>
        </w:rPr>
        <w:t xml:space="preserve">  </w:t>
      </w:r>
      <w:r w:rsidR="00380371">
        <w:rPr>
          <w:rFonts w:ascii="Times New Roman" w:hAnsi="Times New Roman" w:cs="Times New Roman"/>
        </w:rPr>
        <w:t xml:space="preserve">No party </w:t>
      </w:r>
      <w:r w:rsidR="003D5C63">
        <w:rPr>
          <w:rFonts w:ascii="Times New Roman" w:hAnsi="Times New Roman" w:cs="Times New Roman"/>
        </w:rPr>
        <w:t xml:space="preserve">has </w:t>
      </w:r>
      <w:r w:rsidR="00380371">
        <w:rPr>
          <w:rFonts w:ascii="Times New Roman" w:hAnsi="Times New Roman" w:cs="Times New Roman"/>
        </w:rPr>
        <w:t xml:space="preserve">introduced </w:t>
      </w:r>
      <w:r>
        <w:rPr>
          <w:rFonts w:ascii="Times New Roman" w:hAnsi="Times New Roman" w:cs="Times New Roman"/>
        </w:rPr>
        <w:t xml:space="preserve">evidence </w:t>
      </w:r>
      <w:r w:rsidR="003D5C63">
        <w:rPr>
          <w:rFonts w:ascii="Times New Roman" w:hAnsi="Times New Roman" w:cs="Times New Roman"/>
        </w:rPr>
        <w:t>to the contrary</w:t>
      </w:r>
      <w:r>
        <w:rPr>
          <w:rFonts w:ascii="Times New Roman" w:hAnsi="Times New Roman" w:cs="Times New Roman"/>
        </w:rPr>
        <w:t>.</w:t>
      </w:r>
    </w:p>
    <w:p w14:paraId="590D5D0F" w14:textId="653BFE9B" w:rsidR="00835C38" w:rsidRDefault="006D19E1" w:rsidP="006D19E1">
      <w:pPr>
        <w:ind w:left="2880" w:hanging="72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 xml:space="preserve">IGS’s proposed POR program would not result in an increased </w:t>
      </w:r>
      <w:r w:rsidR="00E474B8">
        <w:rPr>
          <w:rFonts w:ascii="Times New Roman" w:hAnsi="Times New Roman" w:cs="Times New Roman"/>
          <w:b/>
        </w:rPr>
        <w:t xml:space="preserve">cost or </w:t>
      </w:r>
      <w:r>
        <w:rPr>
          <w:rFonts w:ascii="Times New Roman" w:hAnsi="Times New Roman" w:cs="Times New Roman"/>
          <w:b/>
        </w:rPr>
        <w:t>risk to AEP.</w:t>
      </w:r>
    </w:p>
    <w:p w14:paraId="23B2BD7F" w14:textId="77777777" w:rsidR="006D19E1" w:rsidRPr="006D19E1" w:rsidRDefault="006D19E1" w:rsidP="006D19E1">
      <w:pPr>
        <w:ind w:left="2880" w:hanging="720"/>
        <w:rPr>
          <w:rFonts w:ascii="Times New Roman" w:hAnsi="Times New Roman" w:cs="Times New Roman"/>
          <w:b/>
        </w:rPr>
      </w:pPr>
    </w:p>
    <w:p w14:paraId="4207888C" w14:textId="49A36E74" w:rsidR="00BA2E1A" w:rsidRPr="00BA2E1A" w:rsidRDefault="006D19E1" w:rsidP="006D19E1">
      <w:pPr>
        <w:spacing w:line="480" w:lineRule="auto"/>
        <w:ind w:firstLine="720"/>
        <w:rPr>
          <w:rFonts w:ascii="Times New Roman" w:hAnsi="Times New Roman" w:cs="Times New Roman"/>
        </w:rPr>
      </w:pPr>
      <w:r>
        <w:rPr>
          <w:rFonts w:ascii="Times New Roman" w:hAnsi="Times New Roman" w:cs="Times New Roman"/>
        </w:rPr>
        <w:t xml:space="preserve">Any perceived </w:t>
      </w:r>
      <w:r w:rsidR="00E474B8">
        <w:rPr>
          <w:rFonts w:ascii="Times New Roman" w:hAnsi="Times New Roman" w:cs="Times New Roman"/>
        </w:rPr>
        <w:t xml:space="preserve">cost or </w:t>
      </w:r>
      <w:r>
        <w:rPr>
          <w:rFonts w:ascii="Times New Roman" w:hAnsi="Times New Roman" w:cs="Times New Roman"/>
        </w:rPr>
        <w:t>r</w:t>
      </w:r>
      <w:r w:rsidR="00776544">
        <w:rPr>
          <w:rFonts w:ascii="Times New Roman" w:hAnsi="Times New Roman" w:cs="Times New Roman"/>
        </w:rPr>
        <w:t>isk that AEP may contend exists</w:t>
      </w:r>
      <w:r>
        <w:rPr>
          <w:rFonts w:ascii="Times New Roman" w:hAnsi="Times New Roman" w:cs="Times New Roman"/>
        </w:rPr>
        <w:t xml:space="preserve"> is eliminated </w:t>
      </w:r>
      <w:r w:rsidR="0089226C">
        <w:rPr>
          <w:rFonts w:ascii="Times New Roman" w:hAnsi="Times New Roman" w:cs="Times New Roman"/>
        </w:rPr>
        <w:t xml:space="preserve">both </w:t>
      </w:r>
      <w:r>
        <w:rPr>
          <w:rFonts w:ascii="Times New Roman" w:hAnsi="Times New Roman" w:cs="Times New Roman"/>
        </w:rPr>
        <w:t>by the ability of AEP to recover its expenses</w:t>
      </w:r>
      <w:r w:rsidR="00D110CD">
        <w:rPr>
          <w:rFonts w:ascii="Times New Roman" w:hAnsi="Times New Roman" w:cs="Times New Roman"/>
        </w:rPr>
        <w:t xml:space="preserve"> and </w:t>
      </w:r>
      <w:r w:rsidR="0089226C">
        <w:rPr>
          <w:rFonts w:ascii="Times New Roman" w:hAnsi="Times New Roman" w:cs="Times New Roman"/>
        </w:rPr>
        <w:t xml:space="preserve">by </w:t>
      </w:r>
      <w:r w:rsidR="00D110CD">
        <w:rPr>
          <w:rFonts w:ascii="Times New Roman" w:hAnsi="Times New Roman" w:cs="Times New Roman"/>
        </w:rPr>
        <w:t>AEP’s current system of securitizing its receivables</w:t>
      </w:r>
      <w:r>
        <w:rPr>
          <w:rFonts w:ascii="Times New Roman" w:hAnsi="Times New Roman" w:cs="Times New Roman"/>
        </w:rPr>
        <w:t xml:space="preserve">.  </w:t>
      </w:r>
      <w:r w:rsidR="00AE016A">
        <w:rPr>
          <w:rFonts w:ascii="Times New Roman" w:hAnsi="Times New Roman" w:cs="Times New Roman"/>
        </w:rPr>
        <w:t>Typically</w:t>
      </w:r>
      <w:r w:rsidR="00776544">
        <w:rPr>
          <w:rFonts w:ascii="Times New Roman" w:hAnsi="Times New Roman" w:cs="Times New Roman"/>
        </w:rPr>
        <w:t>,</w:t>
      </w:r>
      <w:r w:rsidR="00AE016A">
        <w:rPr>
          <w:rFonts w:ascii="Times New Roman" w:hAnsi="Times New Roman" w:cs="Times New Roman"/>
        </w:rPr>
        <w:t xml:space="preserve"> utilities may recover costs of a POR program through either a discount rate or an uncollectible expense</w:t>
      </w:r>
      <w:r w:rsidR="00BA2E1A">
        <w:rPr>
          <w:rFonts w:ascii="Times New Roman" w:hAnsi="Times New Roman" w:cs="Times New Roman"/>
        </w:rPr>
        <w:t xml:space="preserve"> rider, or a combination of both.  (IGS Ex. 101 at 17:20-22.)  If a utility uses the discount rate method, it will pay the CRES provider a discount for value of the receivables as compensation for assuming the risk of unpaid accounts and collection expense.  (IGS Ex. 101 at 17:22 – 18:1.)  </w:t>
      </w:r>
      <w:r w:rsidR="0089226C">
        <w:rPr>
          <w:rFonts w:ascii="Times New Roman" w:hAnsi="Times New Roman" w:cs="Times New Roman"/>
        </w:rPr>
        <w:t>The other method, a</w:t>
      </w:r>
      <w:r w:rsidR="00BA2E1A">
        <w:rPr>
          <w:rFonts w:ascii="Times New Roman" w:hAnsi="Times New Roman" w:cs="Times New Roman"/>
        </w:rPr>
        <w:t>n uncollectible expense rider</w:t>
      </w:r>
      <w:r w:rsidR="0089226C">
        <w:rPr>
          <w:rFonts w:ascii="Times New Roman" w:hAnsi="Times New Roman" w:cs="Times New Roman"/>
        </w:rPr>
        <w:t xml:space="preserve">, </w:t>
      </w:r>
      <w:r w:rsidR="00BA2E1A">
        <w:rPr>
          <w:rFonts w:ascii="Times New Roman" w:hAnsi="Times New Roman" w:cs="Times New Roman"/>
        </w:rPr>
        <w:t xml:space="preserve">accounts for </w:t>
      </w:r>
      <w:r w:rsidR="00BA2E1A">
        <w:rPr>
          <w:rFonts w:ascii="Times New Roman" w:hAnsi="Times New Roman" w:cs="Times New Roman"/>
        </w:rPr>
        <w:lastRenderedPageBreak/>
        <w:t>the uncollectible expenses and recovers the expenses through a separate</w:t>
      </w:r>
      <w:r w:rsidR="00E03B54">
        <w:rPr>
          <w:rFonts w:ascii="Times New Roman" w:hAnsi="Times New Roman" w:cs="Times New Roman"/>
        </w:rPr>
        <w:t xml:space="preserve"> rider.  (IGS Ex. 101 at 18:1-5; </w:t>
      </w:r>
      <w:r w:rsidR="00E03B54">
        <w:rPr>
          <w:rFonts w:ascii="Times New Roman" w:hAnsi="Times New Roman" w:cs="Times New Roman"/>
          <w:i/>
        </w:rPr>
        <w:t xml:space="preserve">see also </w:t>
      </w:r>
      <w:r w:rsidR="00E03B54">
        <w:rPr>
          <w:rFonts w:ascii="Times New Roman" w:hAnsi="Times New Roman" w:cs="Times New Roman"/>
        </w:rPr>
        <w:t xml:space="preserve">Tr. </w:t>
      </w:r>
      <w:r w:rsidR="009D60BB">
        <w:rPr>
          <w:rFonts w:ascii="Times New Roman" w:hAnsi="Times New Roman" w:cs="Times New Roman"/>
        </w:rPr>
        <w:t>4242:19 – 4243:25; Tr. 4302:15-24</w:t>
      </w:r>
      <w:r w:rsidR="00E03B54">
        <w:rPr>
          <w:rFonts w:ascii="Times New Roman" w:hAnsi="Times New Roman" w:cs="Times New Roman"/>
        </w:rPr>
        <w:t>.</w:t>
      </w:r>
      <w:r w:rsidR="00BA2E1A">
        <w:rPr>
          <w:rFonts w:ascii="Times New Roman" w:hAnsi="Times New Roman" w:cs="Times New Roman"/>
        </w:rPr>
        <w:t xml:space="preserve">) </w:t>
      </w:r>
      <w:r w:rsidR="00E03B54">
        <w:rPr>
          <w:rFonts w:ascii="Times New Roman" w:hAnsi="Times New Roman" w:cs="Times New Roman"/>
        </w:rPr>
        <w:t xml:space="preserve"> </w:t>
      </w:r>
      <w:r w:rsidR="00BA2E1A">
        <w:rPr>
          <w:rFonts w:ascii="Times New Roman" w:hAnsi="Times New Roman" w:cs="Times New Roman"/>
        </w:rPr>
        <w:t xml:space="preserve">Importantly, whichever mechanism is selected, </w:t>
      </w:r>
      <w:r w:rsidR="009A5778">
        <w:rPr>
          <w:rFonts w:ascii="Times New Roman" w:hAnsi="Times New Roman" w:cs="Times New Roman"/>
        </w:rPr>
        <w:t xml:space="preserve">a </w:t>
      </w:r>
      <w:r w:rsidR="00BA2E1A">
        <w:rPr>
          <w:rFonts w:ascii="Times New Roman" w:hAnsi="Times New Roman" w:cs="Times New Roman"/>
        </w:rPr>
        <w:t>utilit</w:t>
      </w:r>
      <w:r w:rsidR="009A5778">
        <w:rPr>
          <w:rFonts w:ascii="Times New Roman" w:hAnsi="Times New Roman" w:cs="Times New Roman"/>
        </w:rPr>
        <w:t>y</w:t>
      </w:r>
      <w:r w:rsidR="00BA2E1A">
        <w:rPr>
          <w:rFonts w:ascii="Times New Roman" w:hAnsi="Times New Roman" w:cs="Times New Roman"/>
        </w:rPr>
        <w:t xml:space="preserve"> will recover </w:t>
      </w:r>
      <w:r w:rsidR="009A5778">
        <w:rPr>
          <w:rFonts w:ascii="Times New Roman" w:hAnsi="Times New Roman" w:cs="Times New Roman"/>
        </w:rPr>
        <w:t>its</w:t>
      </w:r>
      <w:r w:rsidR="00BA2E1A">
        <w:rPr>
          <w:rFonts w:ascii="Times New Roman" w:hAnsi="Times New Roman" w:cs="Times New Roman"/>
        </w:rPr>
        <w:t xml:space="preserve"> uncollectible expenses from CRES Suppliers.  (</w:t>
      </w:r>
      <w:r w:rsidR="00940FC8">
        <w:rPr>
          <w:rFonts w:ascii="Times New Roman" w:hAnsi="Times New Roman" w:cs="Times New Roman"/>
        </w:rPr>
        <w:t>IGS Ex. 101</w:t>
      </w:r>
      <w:r w:rsidR="00BA2E1A">
        <w:rPr>
          <w:rFonts w:ascii="Times New Roman" w:hAnsi="Times New Roman" w:cs="Times New Roman"/>
        </w:rPr>
        <w:t xml:space="preserve"> at 18:5-8.)</w:t>
      </w:r>
    </w:p>
    <w:p w14:paraId="60DFF4B7" w14:textId="2CF3BF69" w:rsidR="00511B9F" w:rsidRDefault="00E03B54" w:rsidP="006D19E1">
      <w:pPr>
        <w:spacing w:line="480" w:lineRule="auto"/>
        <w:ind w:firstLine="720"/>
        <w:rPr>
          <w:rFonts w:ascii="Times New Roman" w:hAnsi="Times New Roman" w:cs="Times New Roman"/>
        </w:rPr>
      </w:pPr>
      <w:r>
        <w:rPr>
          <w:rFonts w:ascii="Times New Roman" w:hAnsi="Times New Roman" w:cs="Times New Roman"/>
        </w:rPr>
        <w:t xml:space="preserve">As a utility, AEP’s risk of collecting the expense is lower because it may </w:t>
      </w:r>
      <w:r w:rsidR="0089226C">
        <w:rPr>
          <w:rFonts w:ascii="Times New Roman" w:hAnsi="Times New Roman" w:cs="Times New Roman"/>
        </w:rPr>
        <w:t xml:space="preserve">encourage </w:t>
      </w:r>
      <w:r>
        <w:rPr>
          <w:rFonts w:ascii="Times New Roman" w:hAnsi="Times New Roman" w:cs="Times New Roman"/>
        </w:rPr>
        <w:t xml:space="preserve">customer payment through a disconnection of service.  </w:t>
      </w:r>
      <w:r w:rsidR="00D110CD">
        <w:rPr>
          <w:rFonts w:ascii="Times New Roman" w:hAnsi="Times New Roman" w:cs="Times New Roman"/>
        </w:rPr>
        <w:t>Once the utility purchases the receivable, it receives the full rights, title</w:t>
      </w:r>
      <w:r w:rsidR="0089226C">
        <w:rPr>
          <w:rFonts w:ascii="Times New Roman" w:hAnsi="Times New Roman" w:cs="Times New Roman"/>
        </w:rPr>
        <w:t>,</w:t>
      </w:r>
      <w:r w:rsidR="00D110CD">
        <w:rPr>
          <w:rFonts w:ascii="Times New Roman" w:hAnsi="Times New Roman" w:cs="Times New Roman"/>
        </w:rPr>
        <w:t xml:space="preserve"> and interest in the receivable.  (Tr. 4292:14-18; </w:t>
      </w:r>
      <w:r w:rsidR="00D110CD" w:rsidRPr="004C7BD1">
        <w:rPr>
          <w:rFonts w:ascii="Times New Roman" w:hAnsi="Times New Roman" w:cs="Times New Roman"/>
          <w:i/>
        </w:rPr>
        <w:t>Id.</w:t>
      </w:r>
      <w:r w:rsidR="00D110CD">
        <w:rPr>
          <w:rFonts w:ascii="Times New Roman" w:hAnsi="Times New Roman" w:cs="Times New Roman"/>
          <w:i/>
        </w:rPr>
        <w:t xml:space="preserve"> </w:t>
      </w:r>
      <w:r w:rsidR="00D110CD">
        <w:rPr>
          <w:rFonts w:ascii="Times New Roman" w:hAnsi="Times New Roman" w:cs="Times New Roman"/>
        </w:rPr>
        <w:t xml:space="preserve">at 4293:11-13.)  As part of </w:t>
      </w:r>
      <w:r w:rsidR="0089226C">
        <w:rPr>
          <w:rFonts w:ascii="Times New Roman" w:hAnsi="Times New Roman" w:cs="Times New Roman"/>
        </w:rPr>
        <w:t xml:space="preserve">those </w:t>
      </w:r>
      <w:r w:rsidR="00D110CD">
        <w:rPr>
          <w:rFonts w:ascii="Times New Roman" w:hAnsi="Times New Roman" w:cs="Times New Roman"/>
        </w:rPr>
        <w:t xml:space="preserve">rights, </w:t>
      </w:r>
      <w:r w:rsidR="0089226C">
        <w:rPr>
          <w:rFonts w:ascii="Times New Roman" w:hAnsi="Times New Roman" w:cs="Times New Roman"/>
        </w:rPr>
        <w:t xml:space="preserve">the </w:t>
      </w:r>
      <w:r w:rsidR="00D110CD">
        <w:rPr>
          <w:rFonts w:ascii="Times New Roman" w:hAnsi="Times New Roman" w:cs="Times New Roman"/>
        </w:rPr>
        <w:t>utility</w:t>
      </w:r>
      <w:r w:rsidR="0089226C">
        <w:rPr>
          <w:rFonts w:ascii="Times New Roman" w:hAnsi="Times New Roman" w:cs="Times New Roman"/>
        </w:rPr>
        <w:t xml:space="preserve"> </w:t>
      </w:r>
      <w:r w:rsidR="00D110CD">
        <w:rPr>
          <w:rFonts w:ascii="Times New Roman" w:hAnsi="Times New Roman" w:cs="Times New Roman"/>
        </w:rPr>
        <w:t xml:space="preserve">may disconnect customers, upon following all proper protocols and Commission rules.  (Tr. 4293:13-15.)  </w:t>
      </w:r>
      <w:r w:rsidR="00511B9F">
        <w:rPr>
          <w:rFonts w:ascii="Times New Roman" w:hAnsi="Times New Roman" w:cs="Times New Roman"/>
        </w:rPr>
        <w:t xml:space="preserve">As explained by Mr. Parisi, “once that receivable is purchased by the utility, it becomes their receivable, they have all of the tools available to them to ultimately collect on it and, in the event it ultimately is converted from a receivable to an uncollectible debt, they have a mechanism to recover that.”  (Tr. </w:t>
      </w:r>
      <w:r w:rsidR="005A06A1">
        <w:rPr>
          <w:rFonts w:ascii="Times New Roman" w:hAnsi="Times New Roman" w:cs="Times New Roman"/>
        </w:rPr>
        <w:t xml:space="preserve">4290:12-18.) </w:t>
      </w:r>
      <w:r w:rsidR="00AE016A">
        <w:rPr>
          <w:rFonts w:ascii="Times New Roman" w:hAnsi="Times New Roman" w:cs="Times New Roman"/>
        </w:rPr>
        <w:t xml:space="preserve"> </w:t>
      </w:r>
      <w:r w:rsidR="0089226C">
        <w:rPr>
          <w:rFonts w:ascii="Times New Roman" w:hAnsi="Times New Roman" w:cs="Times New Roman"/>
        </w:rPr>
        <w:t>Risk is also lowered under the discount rate mechanism.  The</w:t>
      </w:r>
      <w:r w:rsidR="00511B9F">
        <w:rPr>
          <w:rFonts w:ascii="Times New Roman" w:hAnsi="Times New Roman" w:cs="Times New Roman"/>
        </w:rPr>
        <w:t xml:space="preserve"> utility and CRES provider </w:t>
      </w:r>
      <w:r w:rsidR="0089226C">
        <w:rPr>
          <w:rFonts w:ascii="Times New Roman" w:hAnsi="Times New Roman" w:cs="Times New Roman"/>
        </w:rPr>
        <w:t xml:space="preserve">would </w:t>
      </w:r>
      <w:r w:rsidR="00511B9F">
        <w:rPr>
          <w:rFonts w:ascii="Times New Roman" w:hAnsi="Times New Roman" w:cs="Times New Roman"/>
        </w:rPr>
        <w:t xml:space="preserve">enter into a contract for a “discount to the amount that the utility would pay on a monthly basis to the CRES provider.” (Tr. </w:t>
      </w:r>
      <w:r w:rsidR="005A06A1">
        <w:rPr>
          <w:rFonts w:ascii="Times New Roman" w:hAnsi="Times New Roman" w:cs="Times New Roman"/>
        </w:rPr>
        <w:t>4291:13-15.)  This discount rate is typically “based upon [] system-wide experience with respect to uncollectibles,” and is periodically adjusted based on t</w:t>
      </w:r>
      <w:r w:rsidR="00940FC8">
        <w:rPr>
          <w:rFonts w:ascii="Times New Roman" w:hAnsi="Times New Roman" w:cs="Times New Roman"/>
        </w:rPr>
        <w:t>he uncollectible expense rate.</w:t>
      </w:r>
      <w:r w:rsidR="005A06A1">
        <w:rPr>
          <w:rFonts w:ascii="Times New Roman" w:hAnsi="Times New Roman" w:cs="Times New Roman"/>
        </w:rPr>
        <w:t xml:space="preserve">  (Tr. 4291:16-23.)</w:t>
      </w:r>
    </w:p>
    <w:p w14:paraId="197A1B5A" w14:textId="5750F12E" w:rsidR="00D110CD" w:rsidRDefault="00511B9F" w:rsidP="00BF5E79">
      <w:pPr>
        <w:spacing w:line="480" w:lineRule="auto"/>
        <w:rPr>
          <w:rFonts w:ascii="Times New Roman" w:hAnsi="Times New Roman" w:cs="Times New Roman"/>
        </w:rPr>
      </w:pPr>
      <w:r>
        <w:rPr>
          <w:rFonts w:ascii="Times New Roman" w:hAnsi="Times New Roman" w:cs="Times New Roman"/>
        </w:rPr>
        <w:tab/>
        <w:t xml:space="preserve">Further, any concern of AEP about an increased </w:t>
      </w:r>
      <w:r w:rsidR="00E474B8">
        <w:rPr>
          <w:rFonts w:ascii="Times New Roman" w:hAnsi="Times New Roman" w:cs="Times New Roman"/>
        </w:rPr>
        <w:t xml:space="preserve">cost or </w:t>
      </w:r>
      <w:r>
        <w:rPr>
          <w:rFonts w:ascii="Times New Roman" w:hAnsi="Times New Roman" w:cs="Times New Roman"/>
        </w:rPr>
        <w:t xml:space="preserve">risk being passed to it through a POR program is eliminated by the fact </w:t>
      </w:r>
      <w:r w:rsidR="0089226C">
        <w:rPr>
          <w:rFonts w:ascii="Times New Roman" w:hAnsi="Times New Roman" w:cs="Times New Roman"/>
        </w:rPr>
        <w:t xml:space="preserve">that </w:t>
      </w:r>
      <w:r>
        <w:rPr>
          <w:rFonts w:ascii="Times New Roman" w:hAnsi="Times New Roman" w:cs="Times New Roman"/>
        </w:rPr>
        <w:t xml:space="preserve">AEP </w:t>
      </w:r>
      <w:r w:rsidR="00D110CD">
        <w:rPr>
          <w:rFonts w:ascii="Times New Roman" w:hAnsi="Times New Roman" w:cs="Times New Roman"/>
        </w:rPr>
        <w:t xml:space="preserve">currently </w:t>
      </w:r>
      <w:r>
        <w:rPr>
          <w:rFonts w:ascii="Times New Roman" w:hAnsi="Times New Roman" w:cs="Times New Roman"/>
        </w:rPr>
        <w:t xml:space="preserve">securitizes its receivables.  </w:t>
      </w:r>
      <w:r w:rsidR="00D110CD">
        <w:rPr>
          <w:rFonts w:ascii="Times New Roman" w:hAnsi="Times New Roman" w:cs="Times New Roman"/>
        </w:rPr>
        <w:t xml:space="preserve">AEP Witness Hawkins testified that AEP </w:t>
      </w:r>
      <w:r w:rsidR="00AE016A">
        <w:rPr>
          <w:rFonts w:ascii="Times New Roman" w:hAnsi="Times New Roman" w:cs="Times New Roman"/>
        </w:rPr>
        <w:t>Credit</w:t>
      </w:r>
      <w:r w:rsidR="0089226C">
        <w:rPr>
          <w:rFonts w:ascii="Times New Roman" w:hAnsi="Times New Roman" w:cs="Times New Roman"/>
        </w:rPr>
        <w:t>, a special-</w:t>
      </w:r>
      <w:r w:rsidR="004D15A3">
        <w:rPr>
          <w:rFonts w:ascii="Times New Roman" w:hAnsi="Times New Roman" w:cs="Times New Roman"/>
        </w:rPr>
        <w:t>purpo</w:t>
      </w:r>
      <w:r w:rsidR="0089226C">
        <w:rPr>
          <w:rFonts w:ascii="Times New Roman" w:hAnsi="Times New Roman" w:cs="Times New Roman"/>
        </w:rPr>
        <w:t>se entity “just for receivables</w:t>
      </w:r>
      <w:r w:rsidR="004D15A3">
        <w:rPr>
          <w:rFonts w:ascii="Times New Roman" w:hAnsi="Times New Roman" w:cs="Times New Roman"/>
        </w:rPr>
        <w:t>”</w:t>
      </w:r>
      <w:r w:rsidR="00AE016A">
        <w:rPr>
          <w:rFonts w:ascii="Times New Roman" w:hAnsi="Times New Roman" w:cs="Times New Roman"/>
        </w:rPr>
        <w:t xml:space="preserve"> </w:t>
      </w:r>
      <w:r w:rsidR="004D15A3">
        <w:rPr>
          <w:rFonts w:ascii="Times New Roman" w:hAnsi="Times New Roman" w:cs="Times New Roman"/>
        </w:rPr>
        <w:t xml:space="preserve">securitizes AEP’s receivables.  (Tr. at 458:14-459:1; </w:t>
      </w:r>
      <w:r w:rsidR="004D15A3">
        <w:rPr>
          <w:rFonts w:ascii="Times New Roman" w:hAnsi="Times New Roman" w:cs="Times New Roman"/>
          <w:i/>
        </w:rPr>
        <w:t>Id.</w:t>
      </w:r>
      <w:r w:rsidR="004D15A3">
        <w:rPr>
          <w:rFonts w:ascii="Times New Roman" w:hAnsi="Times New Roman" w:cs="Times New Roman"/>
        </w:rPr>
        <w:t xml:space="preserve"> at 461:21-462:1.)  According to Ms. Hawkins, AEP has been securitizing its receivables since late 2000.  (Tr. at 462:14-17.)  According to Ms. </w:t>
      </w:r>
      <w:r w:rsidR="00E01931">
        <w:rPr>
          <w:rFonts w:ascii="Times New Roman" w:hAnsi="Times New Roman" w:cs="Times New Roman"/>
        </w:rPr>
        <w:t>Hawkins, AEP only sells the recei</w:t>
      </w:r>
      <w:r w:rsidR="004D15A3">
        <w:rPr>
          <w:rFonts w:ascii="Times New Roman" w:hAnsi="Times New Roman" w:cs="Times New Roman"/>
        </w:rPr>
        <w:t>vables of its standard service</w:t>
      </w:r>
      <w:r w:rsidR="00940FC8">
        <w:rPr>
          <w:rFonts w:ascii="Times New Roman" w:hAnsi="Times New Roman" w:cs="Times New Roman"/>
        </w:rPr>
        <w:t xml:space="preserve"> offer </w:t>
      </w:r>
      <w:r w:rsidR="00940FC8">
        <w:rPr>
          <w:rFonts w:ascii="Times New Roman" w:hAnsi="Times New Roman" w:cs="Times New Roman"/>
        </w:rPr>
        <w:lastRenderedPageBreak/>
        <w:t>customers.</w:t>
      </w:r>
      <w:r w:rsidR="00E01931">
        <w:rPr>
          <w:rFonts w:ascii="Times New Roman" w:hAnsi="Times New Roman" w:cs="Times New Roman"/>
        </w:rPr>
        <w:t xml:space="preserve">  (Tr. 463:17-21.)  </w:t>
      </w:r>
      <w:r w:rsidR="00D110CD">
        <w:rPr>
          <w:rFonts w:ascii="Times New Roman" w:hAnsi="Times New Roman" w:cs="Times New Roman"/>
        </w:rPr>
        <w:t xml:space="preserve">Though these receivables do not include CRES receivables (Tr. </w:t>
      </w:r>
      <w:r w:rsidR="00E01931">
        <w:rPr>
          <w:rFonts w:ascii="Times New Roman" w:hAnsi="Times New Roman" w:cs="Times New Roman"/>
        </w:rPr>
        <w:t>at 484:2-5),</w:t>
      </w:r>
      <w:r w:rsidR="00D110CD">
        <w:rPr>
          <w:rFonts w:ascii="Times New Roman" w:hAnsi="Times New Roman" w:cs="Times New Roman"/>
        </w:rPr>
        <w:t xml:space="preserve"> nothing </w:t>
      </w:r>
      <w:r w:rsidR="00295663">
        <w:rPr>
          <w:rFonts w:ascii="Times New Roman" w:hAnsi="Times New Roman" w:cs="Times New Roman"/>
        </w:rPr>
        <w:t xml:space="preserve">would </w:t>
      </w:r>
      <w:r w:rsidR="00D110CD">
        <w:rPr>
          <w:rFonts w:ascii="Times New Roman" w:hAnsi="Times New Roman" w:cs="Times New Roman"/>
        </w:rPr>
        <w:t xml:space="preserve">prevent AEP from negotiating with its </w:t>
      </w:r>
      <w:r w:rsidR="00E01931" w:rsidRPr="00F90FE1">
        <w:rPr>
          <w:rFonts w:ascii="Times New Roman" w:hAnsi="Times New Roman" w:cs="Times New Roman"/>
        </w:rPr>
        <w:t>affiliate</w:t>
      </w:r>
      <w:r w:rsidR="00D110CD">
        <w:rPr>
          <w:rFonts w:ascii="Times New Roman" w:hAnsi="Times New Roman" w:cs="Times New Roman"/>
        </w:rPr>
        <w:t xml:space="preserve"> to </w:t>
      </w:r>
      <w:r w:rsidR="00E01931">
        <w:rPr>
          <w:rFonts w:ascii="Times New Roman" w:hAnsi="Times New Roman" w:cs="Times New Roman"/>
        </w:rPr>
        <w:t>begin including these receivables</w:t>
      </w:r>
      <w:r w:rsidR="0089226C">
        <w:rPr>
          <w:rFonts w:ascii="Times New Roman" w:hAnsi="Times New Roman" w:cs="Times New Roman"/>
        </w:rPr>
        <w:t xml:space="preserve"> as well</w:t>
      </w:r>
      <w:r w:rsidR="00D110CD">
        <w:rPr>
          <w:rFonts w:ascii="Times New Roman" w:hAnsi="Times New Roman" w:cs="Times New Roman"/>
        </w:rPr>
        <w:t>.</w:t>
      </w:r>
    </w:p>
    <w:p w14:paraId="57415836" w14:textId="447C73AE" w:rsidR="00F90FE1" w:rsidRDefault="00F90FE1" w:rsidP="00F90FE1">
      <w:pPr>
        <w:ind w:left="2880" w:hanging="720"/>
        <w:rPr>
          <w:rFonts w:ascii="Times New Roman" w:hAnsi="Times New Roman" w:cs="Times New Roman"/>
          <w:b/>
        </w:rPr>
      </w:pPr>
      <w:r w:rsidRPr="00F90FE1">
        <w:rPr>
          <w:rFonts w:ascii="Times New Roman" w:hAnsi="Times New Roman" w:cs="Times New Roman"/>
          <w:b/>
        </w:rPr>
        <w:t>f.</w:t>
      </w:r>
      <w:r w:rsidRPr="00F90FE1">
        <w:rPr>
          <w:rFonts w:ascii="Times New Roman" w:hAnsi="Times New Roman" w:cs="Times New Roman"/>
          <w:b/>
        </w:rPr>
        <w:tab/>
      </w:r>
      <w:r w:rsidR="006C1BAB">
        <w:rPr>
          <w:rFonts w:ascii="Times New Roman" w:hAnsi="Times New Roman" w:cs="Times New Roman"/>
          <w:b/>
        </w:rPr>
        <w:t xml:space="preserve">The </w:t>
      </w:r>
      <w:r w:rsidRPr="00F90FE1">
        <w:rPr>
          <w:rFonts w:ascii="Times New Roman" w:hAnsi="Times New Roman" w:cs="Times New Roman"/>
          <w:b/>
        </w:rPr>
        <w:t xml:space="preserve">Duke and </w:t>
      </w:r>
      <w:r w:rsidR="00DE0DE6">
        <w:rPr>
          <w:rFonts w:ascii="Times New Roman" w:hAnsi="Times New Roman" w:cs="Times New Roman"/>
          <w:b/>
        </w:rPr>
        <w:t xml:space="preserve">Ohio </w:t>
      </w:r>
      <w:r>
        <w:rPr>
          <w:rFonts w:ascii="Times New Roman" w:hAnsi="Times New Roman" w:cs="Times New Roman"/>
          <w:b/>
        </w:rPr>
        <w:t>natural gas utilities’</w:t>
      </w:r>
      <w:r w:rsidRPr="00F90FE1">
        <w:rPr>
          <w:rFonts w:ascii="Times New Roman" w:hAnsi="Times New Roman" w:cs="Times New Roman"/>
          <w:b/>
        </w:rPr>
        <w:t xml:space="preserve"> POR programs evidence the success of POR in </w:t>
      </w:r>
      <w:r w:rsidR="006C1BAB">
        <w:rPr>
          <w:rFonts w:ascii="Times New Roman" w:hAnsi="Times New Roman" w:cs="Times New Roman"/>
          <w:b/>
        </w:rPr>
        <w:t>Ohio</w:t>
      </w:r>
      <w:r w:rsidRPr="00F90FE1">
        <w:rPr>
          <w:rFonts w:ascii="Times New Roman" w:hAnsi="Times New Roman" w:cs="Times New Roman"/>
          <w:b/>
        </w:rPr>
        <w:t>.</w:t>
      </w:r>
    </w:p>
    <w:p w14:paraId="46BF3FCD" w14:textId="77777777" w:rsidR="00F90FE1" w:rsidRPr="00F90FE1" w:rsidRDefault="00F90FE1" w:rsidP="00F90FE1">
      <w:pPr>
        <w:ind w:left="2880" w:hanging="720"/>
        <w:rPr>
          <w:rFonts w:ascii="Times New Roman" w:hAnsi="Times New Roman" w:cs="Times New Roman"/>
          <w:b/>
        </w:rPr>
      </w:pPr>
    </w:p>
    <w:p w14:paraId="14170D78" w14:textId="4AAF9568" w:rsidR="00DE0DE6" w:rsidRDefault="00F90FE1" w:rsidP="00F90FE1">
      <w:pPr>
        <w:spacing w:line="480" w:lineRule="auto"/>
        <w:rPr>
          <w:rFonts w:ascii="Times New Roman" w:hAnsi="Times New Roman" w:cs="Times New Roman"/>
        </w:rPr>
      </w:pPr>
      <w:r>
        <w:rPr>
          <w:rFonts w:ascii="Times New Roman" w:hAnsi="Times New Roman" w:cs="Times New Roman"/>
        </w:rPr>
        <w:tab/>
        <w:t xml:space="preserve">When all arguments are considered for or against </w:t>
      </w:r>
      <w:r w:rsidR="00822146">
        <w:rPr>
          <w:rFonts w:ascii="Times New Roman" w:hAnsi="Times New Roman" w:cs="Times New Roman"/>
        </w:rPr>
        <w:t xml:space="preserve">a </w:t>
      </w:r>
      <w:r>
        <w:rPr>
          <w:rFonts w:ascii="Times New Roman" w:hAnsi="Times New Roman" w:cs="Times New Roman"/>
        </w:rPr>
        <w:t>POR</w:t>
      </w:r>
      <w:r w:rsidR="00822146">
        <w:rPr>
          <w:rFonts w:ascii="Times New Roman" w:hAnsi="Times New Roman" w:cs="Times New Roman"/>
        </w:rPr>
        <w:t xml:space="preserve"> program</w:t>
      </w:r>
      <w:r>
        <w:rPr>
          <w:rFonts w:ascii="Times New Roman" w:hAnsi="Times New Roman" w:cs="Times New Roman"/>
        </w:rPr>
        <w:t>, the Commission should</w:t>
      </w:r>
      <w:r w:rsidR="00C852E8">
        <w:rPr>
          <w:rFonts w:ascii="Times New Roman" w:hAnsi="Times New Roman" w:cs="Times New Roman"/>
        </w:rPr>
        <w:t xml:space="preserve"> look</w:t>
      </w:r>
      <w:r>
        <w:rPr>
          <w:rFonts w:ascii="Times New Roman" w:hAnsi="Times New Roman" w:cs="Times New Roman"/>
        </w:rPr>
        <w:t xml:space="preserve"> </w:t>
      </w:r>
      <w:r w:rsidR="00822146">
        <w:rPr>
          <w:rFonts w:ascii="Times New Roman" w:hAnsi="Times New Roman" w:cs="Times New Roman"/>
        </w:rPr>
        <w:t xml:space="preserve">to </w:t>
      </w:r>
      <w:r>
        <w:rPr>
          <w:rFonts w:ascii="Times New Roman" w:hAnsi="Times New Roman" w:cs="Times New Roman"/>
        </w:rPr>
        <w:t>the</w:t>
      </w:r>
      <w:r w:rsidR="00CF5137">
        <w:rPr>
          <w:rFonts w:ascii="Times New Roman" w:hAnsi="Times New Roman" w:cs="Times New Roman"/>
        </w:rPr>
        <w:t xml:space="preserve"> success of Du</w:t>
      </w:r>
      <w:r w:rsidR="00425463">
        <w:rPr>
          <w:rFonts w:ascii="Times New Roman" w:hAnsi="Times New Roman" w:cs="Times New Roman"/>
        </w:rPr>
        <w:t xml:space="preserve">ke and the </w:t>
      </w:r>
      <w:r w:rsidR="00DE0DE6">
        <w:rPr>
          <w:rFonts w:ascii="Times New Roman" w:hAnsi="Times New Roman" w:cs="Times New Roman"/>
        </w:rPr>
        <w:t xml:space="preserve">Ohio </w:t>
      </w:r>
      <w:r w:rsidR="00425463">
        <w:rPr>
          <w:rFonts w:ascii="Times New Roman" w:hAnsi="Times New Roman" w:cs="Times New Roman"/>
        </w:rPr>
        <w:t>natural gas programs</w:t>
      </w:r>
      <w:r w:rsidR="00822146">
        <w:rPr>
          <w:rFonts w:ascii="Times New Roman" w:hAnsi="Times New Roman" w:cs="Times New Roman"/>
        </w:rPr>
        <w:t xml:space="preserve"> as evidence that a POR program</w:t>
      </w:r>
      <w:r w:rsidR="006C1BAB">
        <w:rPr>
          <w:rFonts w:ascii="Times New Roman" w:hAnsi="Times New Roman" w:cs="Times New Roman"/>
        </w:rPr>
        <w:t xml:space="preserve"> should be included in </w:t>
      </w:r>
      <w:r w:rsidR="00822146">
        <w:rPr>
          <w:rFonts w:ascii="Times New Roman" w:hAnsi="Times New Roman" w:cs="Times New Roman"/>
        </w:rPr>
        <w:t>AEP</w:t>
      </w:r>
      <w:r w:rsidR="006C1BAB">
        <w:rPr>
          <w:rFonts w:ascii="Times New Roman" w:hAnsi="Times New Roman" w:cs="Times New Roman"/>
        </w:rPr>
        <w:t>’s</w:t>
      </w:r>
      <w:r w:rsidR="00822146">
        <w:rPr>
          <w:rFonts w:ascii="Times New Roman" w:hAnsi="Times New Roman" w:cs="Times New Roman"/>
        </w:rPr>
        <w:t xml:space="preserve"> service territory.</w:t>
      </w:r>
      <w:r w:rsidR="00DE0DE6">
        <w:rPr>
          <w:rFonts w:ascii="Times New Roman" w:hAnsi="Times New Roman" w:cs="Times New Roman"/>
        </w:rPr>
        <w:t xml:space="preserve">  While AEP may raise theoretical concerns about whether or not a POR </w:t>
      </w:r>
      <w:r w:rsidR="00A04688">
        <w:rPr>
          <w:rFonts w:ascii="Times New Roman" w:hAnsi="Times New Roman" w:cs="Times New Roman"/>
        </w:rPr>
        <w:t xml:space="preserve">program </w:t>
      </w:r>
      <w:r w:rsidR="00DE0DE6">
        <w:rPr>
          <w:rFonts w:ascii="Times New Roman" w:hAnsi="Times New Roman" w:cs="Times New Roman"/>
        </w:rPr>
        <w:t xml:space="preserve">can be successfully implemented, the bottom line is that POR </w:t>
      </w:r>
      <w:r w:rsidR="00A04688">
        <w:rPr>
          <w:rFonts w:ascii="Times New Roman" w:hAnsi="Times New Roman" w:cs="Times New Roman"/>
        </w:rPr>
        <w:t>programs have</w:t>
      </w:r>
      <w:r w:rsidR="00DE0DE6">
        <w:rPr>
          <w:rFonts w:ascii="Times New Roman" w:hAnsi="Times New Roman" w:cs="Times New Roman"/>
        </w:rPr>
        <w:t xml:space="preserve"> been implemented throughout Ohio</w:t>
      </w:r>
      <w:r w:rsidR="00A04688">
        <w:rPr>
          <w:rFonts w:ascii="Times New Roman" w:hAnsi="Times New Roman" w:cs="Times New Roman"/>
        </w:rPr>
        <w:t xml:space="preserve">.  The established POR programs have neither </w:t>
      </w:r>
      <w:r w:rsidR="00DE0DE6">
        <w:rPr>
          <w:rFonts w:ascii="Times New Roman" w:hAnsi="Times New Roman" w:cs="Times New Roman"/>
        </w:rPr>
        <w:t>run afoul of Ohio law, nor have they been unduly burdenso</w:t>
      </w:r>
      <w:r w:rsidR="00A04688">
        <w:rPr>
          <w:rFonts w:ascii="Times New Roman" w:hAnsi="Times New Roman" w:cs="Times New Roman"/>
        </w:rPr>
        <w:t>me to implement or administer.  E</w:t>
      </w:r>
      <w:r w:rsidR="00DE0DE6">
        <w:rPr>
          <w:rFonts w:ascii="Times New Roman" w:hAnsi="Times New Roman" w:cs="Times New Roman"/>
        </w:rPr>
        <w:t xml:space="preserve">xamining the POR programs in place demonstrates that POR </w:t>
      </w:r>
      <w:r w:rsidR="00A04688">
        <w:rPr>
          <w:rFonts w:ascii="Times New Roman" w:hAnsi="Times New Roman" w:cs="Times New Roman"/>
        </w:rPr>
        <w:t>programs have</w:t>
      </w:r>
      <w:r w:rsidR="00DE0DE6">
        <w:rPr>
          <w:rFonts w:ascii="Times New Roman" w:hAnsi="Times New Roman" w:cs="Times New Roman"/>
        </w:rPr>
        <w:t xml:space="preserve"> </w:t>
      </w:r>
      <w:r w:rsidR="00CD3351">
        <w:rPr>
          <w:rFonts w:ascii="Times New Roman" w:hAnsi="Times New Roman" w:cs="Times New Roman"/>
        </w:rPr>
        <w:t>contributed significantly to competition in Ohio</w:t>
      </w:r>
      <w:r w:rsidR="00DE0DE6">
        <w:rPr>
          <w:rFonts w:ascii="Times New Roman" w:hAnsi="Times New Roman" w:cs="Times New Roman"/>
        </w:rPr>
        <w:t>.</w:t>
      </w:r>
    </w:p>
    <w:p w14:paraId="173710BB" w14:textId="2B02322A" w:rsidR="00DE0DE6" w:rsidRDefault="00DE0DE6" w:rsidP="00F90FE1">
      <w:pPr>
        <w:spacing w:line="480" w:lineRule="auto"/>
        <w:rPr>
          <w:rFonts w:ascii="Times New Roman" w:hAnsi="Times New Roman" w:cs="Times New Roman"/>
        </w:rPr>
      </w:pPr>
      <w:r>
        <w:rPr>
          <w:rFonts w:ascii="Times New Roman" w:hAnsi="Times New Roman" w:cs="Times New Roman"/>
        </w:rPr>
        <w:tab/>
      </w:r>
      <w:r w:rsidR="00D74B03">
        <w:rPr>
          <w:rFonts w:ascii="Times New Roman" w:hAnsi="Times New Roman" w:cs="Times New Roman"/>
        </w:rPr>
        <w:t xml:space="preserve">As previously stated, the switching statistics of the natural gas utilities and Duke indicate that a POR program encourages supplier participation.  (IGS Ex. 101 at 18:10-18; RESA Ex. 101 at 15.)  </w:t>
      </w:r>
      <w:r w:rsidR="00C852E8">
        <w:rPr>
          <w:rFonts w:ascii="Times New Roman" w:hAnsi="Times New Roman" w:cs="Times New Roman"/>
        </w:rPr>
        <w:t>The existence of the POR program also encourages greater customer shopping.  As of December 31, 201</w:t>
      </w:r>
      <w:r w:rsidR="007B4DAC">
        <w:rPr>
          <w:rFonts w:ascii="Times New Roman" w:hAnsi="Times New Roman" w:cs="Times New Roman"/>
        </w:rPr>
        <w:t>1</w:t>
      </w:r>
      <w:r w:rsidR="00C852E8">
        <w:rPr>
          <w:rFonts w:ascii="Times New Roman" w:hAnsi="Times New Roman" w:cs="Times New Roman"/>
        </w:rPr>
        <w:t>, 30% of Duke’s residential customers were shopping.  (IGS Ex. 101 at 19:10-12</w:t>
      </w:r>
      <w:r w:rsidR="00F64198">
        <w:rPr>
          <w:rFonts w:ascii="Times New Roman" w:hAnsi="Times New Roman" w:cs="Times New Roman"/>
        </w:rPr>
        <w:t xml:space="preserve">; </w:t>
      </w:r>
      <w:r w:rsidR="00F64198">
        <w:rPr>
          <w:rFonts w:ascii="Times New Roman" w:hAnsi="Times New Roman" w:cs="Times New Roman"/>
          <w:i/>
        </w:rPr>
        <w:t>Id.</w:t>
      </w:r>
      <w:r w:rsidR="00F64198">
        <w:rPr>
          <w:rFonts w:ascii="Times New Roman" w:hAnsi="Times New Roman" w:cs="Times New Roman"/>
        </w:rPr>
        <w:t xml:space="preserve"> at Ex. 2</w:t>
      </w:r>
      <w:r w:rsidR="00C852E8">
        <w:rPr>
          <w:rFonts w:ascii="Times New Roman" w:hAnsi="Times New Roman" w:cs="Times New Roman"/>
        </w:rPr>
        <w:t>.)</w:t>
      </w:r>
      <w:r>
        <w:rPr>
          <w:rFonts w:ascii="Times New Roman" w:hAnsi="Times New Roman" w:cs="Times New Roman"/>
        </w:rPr>
        <w:t xml:space="preserve"> </w:t>
      </w:r>
      <w:r w:rsidR="00A04688">
        <w:rPr>
          <w:rFonts w:ascii="Times New Roman" w:hAnsi="Times New Roman" w:cs="Times New Roman"/>
        </w:rPr>
        <w:t xml:space="preserve"> </w:t>
      </w:r>
      <w:r w:rsidR="00C852E8">
        <w:rPr>
          <w:rFonts w:ascii="Times New Roman" w:hAnsi="Times New Roman" w:cs="Times New Roman"/>
        </w:rPr>
        <w:t xml:space="preserve">Even with </w:t>
      </w:r>
      <w:r w:rsidR="007C0A80">
        <w:rPr>
          <w:rFonts w:ascii="Times New Roman" w:hAnsi="Times New Roman" w:cs="Times New Roman"/>
        </w:rPr>
        <w:t>updating its</w:t>
      </w:r>
      <w:r w:rsidR="00C852E8">
        <w:rPr>
          <w:rFonts w:ascii="Times New Roman" w:hAnsi="Times New Roman" w:cs="Times New Roman"/>
        </w:rPr>
        <w:t xml:space="preserve"> information as of May 31, 2012, AEP still only has around 15% of its residential customers shopping.  (AEP Ex. 151 at 10.) </w:t>
      </w:r>
      <w:r w:rsidR="00A04688">
        <w:rPr>
          <w:rFonts w:ascii="Times New Roman" w:hAnsi="Times New Roman" w:cs="Times New Roman"/>
        </w:rPr>
        <w:t xml:space="preserve"> </w:t>
      </w:r>
      <w:r w:rsidR="00CD3351">
        <w:rPr>
          <w:rFonts w:ascii="Times New Roman" w:hAnsi="Times New Roman" w:cs="Times New Roman"/>
        </w:rPr>
        <w:t>Further, POR has been a major contributor the natural gas competition in Ohio</w:t>
      </w:r>
      <w:r>
        <w:rPr>
          <w:rFonts w:ascii="Times New Roman" w:hAnsi="Times New Roman" w:cs="Times New Roman"/>
        </w:rPr>
        <w:t>.</w:t>
      </w:r>
      <w:r w:rsidR="00CD3351">
        <w:rPr>
          <w:rFonts w:ascii="Times New Roman" w:hAnsi="Times New Roman" w:cs="Times New Roman"/>
        </w:rPr>
        <w:t xml:space="preserve">  All of the natural gas utilities that offer POR programs have seen significant migration of customers to competitive suppliers as well as more competitive offers to customers.</w:t>
      </w:r>
      <w:r>
        <w:rPr>
          <w:rFonts w:ascii="Times New Roman" w:hAnsi="Times New Roman" w:cs="Times New Roman"/>
        </w:rPr>
        <w:t xml:space="preserve"> </w:t>
      </w:r>
      <w:r w:rsidR="00866C6C">
        <w:rPr>
          <w:rFonts w:ascii="Times New Roman" w:hAnsi="Times New Roman" w:cs="Times New Roman"/>
        </w:rPr>
        <w:t xml:space="preserve"> </w:t>
      </w:r>
      <w:r w:rsidR="00D76D90">
        <w:rPr>
          <w:rFonts w:ascii="Times New Roman" w:hAnsi="Times New Roman" w:cs="Times New Roman"/>
        </w:rPr>
        <w:t xml:space="preserve">According to the most recent Apples-to-Apples statistics, </w:t>
      </w:r>
      <w:r w:rsidRPr="00A04688">
        <w:rPr>
          <w:rFonts w:ascii="Times New Roman" w:hAnsi="Times New Roman" w:cs="Times New Roman"/>
        </w:rPr>
        <w:t xml:space="preserve">Columbia </w:t>
      </w:r>
      <w:r w:rsidR="00A04688">
        <w:rPr>
          <w:rFonts w:ascii="Times New Roman" w:hAnsi="Times New Roman" w:cs="Times New Roman"/>
        </w:rPr>
        <w:t xml:space="preserve">Gas </w:t>
      </w:r>
      <w:r w:rsidRPr="00A04688">
        <w:rPr>
          <w:rFonts w:ascii="Times New Roman" w:hAnsi="Times New Roman" w:cs="Times New Roman"/>
        </w:rPr>
        <w:t xml:space="preserve">of Ohio and Dominion East Ohio, both of which have </w:t>
      </w:r>
      <w:r w:rsidR="00A04688">
        <w:rPr>
          <w:rFonts w:ascii="Times New Roman" w:hAnsi="Times New Roman" w:cs="Times New Roman"/>
        </w:rPr>
        <w:t xml:space="preserve">well-established </w:t>
      </w:r>
      <w:r w:rsidRPr="00A04688">
        <w:rPr>
          <w:rFonts w:ascii="Times New Roman" w:hAnsi="Times New Roman" w:cs="Times New Roman"/>
        </w:rPr>
        <w:lastRenderedPageBreak/>
        <w:t>POR programs, have, respectively, fifteen and sixteen competitive suppliers</w:t>
      </w:r>
      <w:r w:rsidRPr="00A04688">
        <w:rPr>
          <w:rFonts w:ascii="Times New Roman" w:hAnsi="Times New Roman" w:cs="Times New Roman"/>
          <w:bCs/>
        </w:rPr>
        <w:t xml:space="preserve"> actively soliciting </w:t>
      </w:r>
      <w:r w:rsidR="00D76D90">
        <w:rPr>
          <w:rFonts w:ascii="Times New Roman" w:hAnsi="Times New Roman" w:cs="Times New Roman"/>
          <w:bCs/>
        </w:rPr>
        <w:t>customers</w:t>
      </w:r>
      <w:r w:rsidR="00CD3351" w:rsidRPr="00A04688">
        <w:rPr>
          <w:rFonts w:ascii="Times New Roman" w:hAnsi="Times New Roman" w:cs="Times New Roman"/>
          <w:bCs/>
        </w:rPr>
        <w:t>.</w:t>
      </w:r>
    </w:p>
    <w:p w14:paraId="598D41FA" w14:textId="228BFDC5" w:rsidR="009A5778" w:rsidRPr="009A5778" w:rsidRDefault="00D74B03" w:rsidP="00A04688">
      <w:pPr>
        <w:spacing w:line="480" w:lineRule="auto"/>
        <w:ind w:firstLine="720"/>
        <w:rPr>
          <w:rFonts w:ascii="Times New Roman" w:hAnsi="Times New Roman" w:cs="Times New Roman"/>
          <w:b/>
        </w:rPr>
      </w:pPr>
      <w:r>
        <w:rPr>
          <w:rFonts w:ascii="Times New Roman" w:hAnsi="Times New Roman" w:cs="Times New Roman"/>
        </w:rPr>
        <w:t>The programs in place for Duke and the natural gas utilities have been “very successful in creating a glide path for many suppliers and offers to residential and small commercial customers.”  (RESA Ex. 101 at 18:3-6.)</w:t>
      </w:r>
      <w:r w:rsidR="00A04688">
        <w:rPr>
          <w:rFonts w:ascii="Times New Roman" w:hAnsi="Times New Roman" w:cs="Times New Roman"/>
        </w:rPr>
        <w:t xml:space="preserve">  </w:t>
      </w:r>
      <w:r w:rsidR="00E75BFF">
        <w:rPr>
          <w:rFonts w:ascii="Times New Roman" w:hAnsi="Times New Roman" w:cs="Times New Roman"/>
        </w:rPr>
        <w:t>For all of the reasons stated above, the Commission should modify the ESP</w:t>
      </w:r>
      <w:r w:rsidR="00940FC8">
        <w:rPr>
          <w:rFonts w:ascii="Times New Roman" w:hAnsi="Times New Roman" w:cs="Times New Roman"/>
        </w:rPr>
        <w:t xml:space="preserve"> </w:t>
      </w:r>
      <w:r w:rsidR="00380371">
        <w:rPr>
          <w:rFonts w:ascii="Times New Roman" w:hAnsi="Times New Roman" w:cs="Times New Roman"/>
        </w:rPr>
        <w:t xml:space="preserve">by ordering the initiation of a workshop </w:t>
      </w:r>
      <w:r w:rsidR="006349FD">
        <w:rPr>
          <w:rFonts w:ascii="Times New Roman" w:hAnsi="Times New Roman" w:cs="Times New Roman"/>
        </w:rPr>
        <w:t xml:space="preserve">or other collaborative process </w:t>
      </w:r>
      <w:r w:rsidR="00380371">
        <w:rPr>
          <w:rFonts w:ascii="Times New Roman" w:hAnsi="Times New Roman" w:cs="Times New Roman"/>
        </w:rPr>
        <w:t xml:space="preserve">to address protocols for the implementation of a POR program. </w:t>
      </w:r>
    </w:p>
    <w:p w14:paraId="22C46886" w14:textId="314C927C" w:rsidR="00462187" w:rsidRDefault="00462187" w:rsidP="00BF5E79">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110CD">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t>A retail auction should be adopted in lieu of a wholesale auction.</w:t>
      </w:r>
    </w:p>
    <w:p w14:paraId="22203154" w14:textId="17062489" w:rsidR="00446E1A" w:rsidRDefault="008D166C" w:rsidP="00BF5E79">
      <w:pPr>
        <w:spacing w:line="480" w:lineRule="auto"/>
        <w:rPr>
          <w:rFonts w:ascii="Times New Roman" w:hAnsi="Times New Roman" w:cs="Times New Roman"/>
        </w:rPr>
      </w:pPr>
      <w:r>
        <w:rPr>
          <w:rFonts w:ascii="Times New Roman" w:hAnsi="Times New Roman" w:cs="Times New Roman"/>
        </w:rPr>
        <w:tab/>
      </w:r>
      <w:r w:rsidR="00446E1A">
        <w:rPr>
          <w:rFonts w:ascii="Times New Roman" w:hAnsi="Times New Roman" w:cs="Times New Roman"/>
        </w:rPr>
        <w:t>AEP proposes three auctions in its ESP: a 5% auction six months from the final order in this case, an energy-only auction in January 2015, and a capacity and energy auction in June 2015.  (</w:t>
      </w:r>
      <w:r w:rsidR="00CE16AB">
        <w:rPr>
          <w:rFonts w:ascii="Times New Roman" w:hAnsi="Times New Roman" w:cs="Times New Roman"/>
        </w:rPr>
        <w:t xml:space="preserve">AEP Ex. 100 (App.) at 11; </w:t>
      </w:r>
      <w:r w:rsidR="00446E1A">
        <w:rPr>
          <w:rFonts w:ascii="Times New Roman" w:hAnsi="Times New Roman" w:cs="Times New Roman"/>
        </w:rPr>
        <w:t xml:space="preserve">Tr. 325:19 – 326:7.)  All three auctions, as proposed, would be wholesale auctions in which the </w:t>
      </w:r>
      <w:r w:rsidR="00073B12">
        <w:rPr>
          <w:rFonts w:ascii="Times New Roman" w:hAnsi="Times New Roman" w:cs="Times New Roman"/>
        </w:rPr>
        <w:t>supplier</w:t>
      </w:r>
      <w:r w:rsidR="00446E1A">
        <w:rPr>
          <w:rFonts w:ascii="Times New Roman" w:hAnsi="Times New Roman" w:cs="Times New Roman"/>
        </w:rPr>
        <w:t xml:space="preserve"> would bid for a portion of load</w:t>
      </w:r>
      <w:r w:rsidR="00CD0060">
        <w:rPr>
          <w:rFonts w:ascii="Times New Roman" w:hAnsi="Times New Roman" w:cs="Times New Roman"/>
        </w:rPr>
        <w:t xml:space="preserve">.  (AEP </w:t>
      </w:r>
      <w:r w:rsidR="00CE16AB">
        <w:rPr>
          <w:rFonts w:ascii="Times New Roman" w:hAnsi="Times New Roman" w:cs="Times New Roman"/>
        </w:rPr>
        <w:t xml:space="preserve">Ex. 100 </w:t>
      </w:r>
      <w:r w:rsidR="00CD0060">
        <w:rPr>
          <w:rFonts w:ascii="Times New Roman" w:hAnsi="Times New Roman" w:cs="Times New Roman"/>
        </w:rPr>
        <w:t>at 11; IGS Ex. 101 at 21:15-22:2.)  A</w:t>
      </w:r>
      <w:r w:rsidR="006349FD">
        <w:rPr>
          <w:rFonts w:ascii="Times New Roman" w:hAnsi="Times New Roman" w:cs="Times New Roman"/>
        </w:rPr>
        <w:t>s discussed below, a</w:t>
      </w:r>
      <w:r w:rsidR="00CD0060">
        <w:rPr>
          <w:rFonts w:ascii="Times New Roman" w:hAnsi="Times New Roman" w:cs="Times New Roman"/>
        </w:rPr>
        <w:t xml:space="preserve"> wholesale auction</w:t>
      </w:r>
      <w:r w:rsidR="00073B12">
        <w:rPr>
          <w:rFonts w:ascii="Times New Roman" w:hAnsi="Times New Roman" w:cs="Times New Roman"/>
        </w:rPr>
        <w:t xml:space="preserve"> does not provide the </w:t>
      </w:r>
      <w:r w:rsidR="00CD0060">
        <w:rPr>
          <w:rFonts w:ascii="Times New Roman" w:hAnsi="Times New Roman" w:cs="Times New Roman"/>
        </w:rPr>
        <w:t>robust transition to a competitive market</w:t>
      </w:r>
      <w:r w:rsidR="00073B12">
        <w:rPr>
          <w:rFonts w:ascii="Times New Roman" w:hAnsi="Times New Roman" w:cs="Times New Roman"/>
        </w:rPr>
        <w:t xml:space="preserve"> that a retail auction would</w:t>
      </w:r>
      <w:r w:rsidR="00CD0060">
        <w:rPr>
          <w:rFonts w:ascii="Times New Roman" w:hAnsi="Times New Roman" w:cs="Times New Roman"/>
        </w:rPr>
        <w:t>.</w:t>
      </w:r>
    </w:p>
    <w:p w14:paraId="0F0609A8" w14:textId="3F67C049" w:rsidR="00E227B8" w:rsidRDefault="00CD0060" w:rsidP="00E227B8">
      <w:pPr>
        <w:spacing w:line="480" w:lineRule="auto"/>
        <w:rPr>
          <w:rFonts w:ascii="Times New Roman" w:hAnsi="Times New Roman" w:cs="Times New Roman"/>
        </w:rPr>
      </w:pPr>
      <w:r>
        <w:rPr>
          <w:rFonts w:ascii="Times New Roman" w:hAnsi="Times New Roman" w:cs="Times New Roman"/>
        </w:rPr>
        <w:tab/>
      </w:r>
      <w:r w:rsidR="002818A8">
        <w:rPr>
          <w:rFonts w:ascii="Times New Roman" w:hAnsi="Times New Roman" w:cs="Times New Roman"/>
        </w:rPr>
        <w:t xml:space="preserve">Unlike a wholesale auction, in which </w:t>
      </w:r>
      <w:r w:rsidR="00073B12">
        <w:rPr>
          <w:rFonts w:ascii="Times New Roman" w:hAnsi="Times New Roman" w:cs="Times New Roman"/>
        </w:rPr>
        <w:t xml:space="preserve">suppliers </w:t>
      </w:r>
      <w:r w:rsidR="002818A8">
        <w:rPr>
          <w:rFonts w:ascii="Times New Roman" w:hAnsi="Times New Roman" w:cs="Times New Roman"/>
        </w:rPr>
        <w:t>bid to serve AEP, CRES suppl</w:t>
      </w:r>
      <w:r w:rsidR="00073B12">
        <w:rPr>
          <w:rFonts w:ascii="Times New Roman" w:hAnsi="Times New Roman" w:cs="Times New Roman"/>
        </w:rPr>
        <w:t>iers bid for the right to serv</w:t>
      </w:r>
      <w:r w:rsidR="002818A8">
        <w:rPr>
          <w:rFonts w:ascii="Times New Roman" w:hAnsi="Times New Roman" w:cs="Times New Roman"/>
        </w:rPr>
        <w:t xml:space="preserve">e customers on the default service rate </w:t>
      </w:r>
      <w:r w:rsidR="002818A8">
        <w:rPr>
          <w:rFonts w:ascii="Times New Roman" w:hAnsi="Times New Roman" w:cs="Times New Roman"/>
          <w:i/>
        </w:rPr>
        <w:t>directly</w:t>
      </w:r>
      <w:r w:rsidR="002818A8">
        <w:rPr>
          <w:rFonts w:ascii="Times New Roman" w:hAnsi="Times New Roman" w:cs="Times New Roman"/>
        </w:rPr>
        <w:t xml:space="preserve">.  (IGS Ex. 101 at 22:4-12.)  This direct contact allows customers to become more comfortable with the idea of receiving </w:t>
      </w:r>
      <w:r w:rsidR="00073B12">
        <w:rPr>
          <w:rFonts w:ascii="Times New Roman" w:hAnsi="Times New Roman" w:cs="Times New Roman"/>
        </w:rPr>
        <w:t>supply from a non-utility CRES supplier</w:t>
      </w:r>
      <w:r w:rsidR="002818A8">
        <w:rPr>
          <w:rFonts w:ascii="Times New Roman" w:hAnsi="Times New Roman" w:cs="Times New Roman"/>
        </w:rPr>
        <w:t xml:space="preserve">.  (IGS Ex. 101 at 22:18-20.)  Moreover, a retail auction, as proposed by IGS, could raise </w:t>
      </w:r>
      <w:r w:rsidR="00073B12">
        <w:rPr>
          <w:rFonts w:ascii="Times New Roman" w:hAnsi="Times New Roman" w:cs="Times New Roman"/>
        </w:rPr>
        <w:t xml:space="preserve">additional </w:t>
      </w:r>
      <w:r w:rsidR="002818A8">
        <w:rPr>
          <w:rFonts w:ascii="Times New Roman" w:hAnsi="Times New Roman" w:cs="Times New Roman"/>
        </w:rPr>
        <w:t xml:space="preserve">revenue </w:t>
      </w:r>
      <w:r w:rsidR="00073B12">
        <w:rPr>
          <w:rFonts w:ascii="Times New Roman" w:hAnsi="Times New Roman" w:cs="Times New Roman"/>
        </w:rPr>
        <w:t xml:space="preserve">that could </w:t>
      </w:r>
      <w:r w:rsidR="002818A8">
        <w:rPr>
          <w:rFonts w:ascii="Times New Roman" w:hAnsi="Times New Roman" w:cs="Times New Roman"/>
        </w:rPr>
        <w:t>pay for a POR program, Choice customer education programs, and the Governor’s energy initiatives.  (IGS Ex</w:t>
      </w:r>
      <w:r w:rsidR="00E227B8">
        <w:rPr>
          <w:rFonts w:ascii="Times New Roman" w:hAnsi="Times New Roman" w:cs="Times New Roman"/>
        </w:rPr>
        <w:t xml:space="preserve">. 101 at 24.)  </w:t>
      </w:r>
    </w:p>
    <w:p w14:paraId="6CE144FB" w14:textId="61B46905" w:rsidR="00446E1A" w:rsidRDefault="00073B12" w:rsidP="00E227B8">
      <w:pPr>
        <w:spacing w:line="480" w:lineRule="auto"/>
        <w:ind w:firstLine="720"/>
        <w:rPr>
          <w:rFonts w:ascii="Times New Roman" w:hAnsi="Times New Roman" w:cs="Times New Roman"/>
        </w:rPr>
      </w:pPr>
      <w:r>
        <w:rPr>
          <w:rFonts w:ascii="Times New Roman" w:hAnsi="Times New Roman" w:cs="Times New Roman"/>
        </w:rPr>
        <w:t>T</w:t>
      </w:r>
      <w:r w:rsidR="002818A8">
        <w:rPr>
          <w:rFonts w:ascii="Times New Roman" w:hAnsi="Times New Roman" w:cs="Times New Roman"/>
        </w:rPr>
        <w:t>he Commission should adopt IGS’s recommendation for a collaborative to transition AEP to retail auctions for its proposed competitive loads.</w:t>
      </w:r>
      <w:r w:rsidR="00E227B8">
        <w:rPr>
          <w:rFonts w:ascii="Times New Roman" w:hAnsi="Times New Roman" w:cs="Times New Roman"/>
        </w:rPr>
        <w:t xml:space="preserve">  (IGS Ex. 101 at 24.)</w:t>
      </w:r>
    </w:p>
    <w:p w14:paraId="64588874" w14:textId="77777777" w:rsidR="00262963" w:rsidRPr="008D166C" w:rsidRDefault="00262963" w:rsidP="00E227B8">
      <w:pPr>
        <w:spacing w:line="480" w:lineRule="auto"/>
        <w:ind w:firstLine="720"/>
        <w:rPr>
          <w:rFonts w:ascii="Times New Roman" w:hAnsi="Times New Roman" w:cs="Times New Roman"/>
        </w:rPr>
      </w:pPr>
    </w:p>
    <w:p w14:paraId="21BC691D" w14:textId="3EA86270" w:rsidR="00462187" w:rsidRDefault="00D110CD" w:rsidP="00462187">
      <w:pPr>
        <w:ind w:left="2160" w:hanging="720"/>
        <w:rPr>
          <w:rFonts w:ascii="Times New Roman" w:hAnsi="Times New Roman" w:cs="Times New Roman"/>
          <w:b/>
        </w:rPr>
      </w:pPr>
      <w:r>
        <w:rPr>
          <w:rFonts w:ascii="Times New Roman" w:hAnsi="Times New Roman" w:cs="Times New Roman"/>
          <w:b/>
        </w:rPr>
        <w:t>3</w:t>
      </w:r>
      <w:r w:rsidR="00462187">
        <w:rPr>
          <w:rFonts w:ascii="Times New Roman" w:hAnsi="Times New Roman" w:cs="Times New Roman"/>
          <w:b/>
        </w:rPr>
        <w:t>.</w:t>
      </w:r>
      <w:r w:rsidR="00462187">
        <w:rPr>
          <w:rFonts w:ascii="Times New Roman" w:hAnsi="Times New Roman" w:cs="Times New Roman"/>
          <w:b/>
        </w:rPr>
        <w:tab/>
        <w:t xml:space="preserve">Minimum stay requirements should be eliminated at the </w:t>
      </w:r>
      <w:r w:rsidR="00462187" w:rsidRPr="00F119C4">
        <w:rPr>
          <w:rFonts w:ascii="Times New Roman" w:hAnsi="Times New Roman" w:cs="Times New Roman"/>
          <w:b/>
          <w:i/>
        </w:rPr>
        <w:t>beginning</w:t>
      </w:r>
      <w:r w:rsidR="00462187">
        <w:rPr>
          <w:rFonts w:ascii="Times New Roman" w:hAnsi="Times New Roman" w:cs="Times New Roman"/>
          <w:b/>
        </w:rPr>
        <w:t xml:space="preserve"> of the ESP term, not on January 1, 201</w:t>
      </w:r>
      <w:r w:rsidR="000E23C9">
        <w:rPr>
          <w:rFonts w:ascii="Times New Roman" w:hAnsi="Times New Roman" w:cs="Times New Roman"/>
          <w:b/>
        </w:rPr>
        <w:t>5</w:t>
      </w:r>
      <w:r w:rsidR="00462187">
        <w:rPr>
          <w:rFonts w:ascii="Times New Roman" w:hAnsi="Times New Roman" w:cs="Times New Roman"/>
          <w:b/>
        </w:rPr>
        <w:t>.</w:t>
      </w:r>
    </w:p>
    <w:p w14:paraId="6695BD89" w14:textId="77777777" w:rsidR="00462187" w:rsidRDefault="00462187" w:rsidP="00462187">
      <w:pPr>
        <w:ind w:left="2160" w:hanging="720"/>
        <w:rPr>
          <w:rFonts w:ascii="Times New Roman" w:hAnsi="Times New Roman" w:cs="Times New Roman"/>
        </w:rPr>
      </w:pPr>
    </w:p>
    <w:p w14:paraId="14E346A6" w14:textId="7A1AC439" w:rsidR="00462187" w:rsidRDefault="00623016" w:rsidP="000E23C9">
      <w:pPr>
        <w:spacing w:line="480" w:lineRule="auto"/>
        <w:rPr>
          <w:rFonts w:ascii="Times New Roman" w:hAnsi="Times New Roman" w:cs="Times New Roman"/>
        </w:rPr>
      </w:pPr>
      <w:r>
        <w:rPr>
          <w:rFonts w:ascii="Times New Roman" w:hAnsi="Times New Roman" w:cs="Times New Roman"/>
        </w:rPr>
        <w:tab/>
      </w:r>
      <w:r w:rsidR="00462187">
        <w:rPr>
          <w:rFonts w:ascii="Times New Roman" w:hAnsi="Times New Roman" w:cs="Times New Roman"/>
          <w:b/>
        </w:rPr>
        <w:t xml:space="preserve"> </w:t>
      </w:r>
      <w:r w:rsidR="000E23C9">
        <w:rPr>
          <w:rFonts w:ascii="Times New Roman" w:hAnsi="Times New Roman" w:cs="Times New Roman"/>
        </w:rPr>
        <w:t>AEP’s tariff currently requires GS2, GS3, and GS4 customers</w:t>
      </w:r>
      <w:r w:rsidR="00F119C4">
        <w:rPr>
          <w:rFonts w:ascii="Times New Roman" w:hAnsi="Times New Roman" w:cs="Times New Roman"/>
        </w:rPr>
        <w:t xml:space="preserve"> (large commercial and industrial)</w:t>
      </w:r>
      <w:r w:rsidR="000E23C9">
        <w:rPr>
          <w:rFonts w:ascii="Times New Roman" w:hAnsi="Times New Roman" w:cs="Times New Roman"/>
        </w:rPr>
        <w:t xml:space="preserve"> that </w:t>
      </w:r>
      <w:r w:rsidR="00073B12">
        <w:rPr>
          <w:rFonts w:ascii="Times New Roman" w:hAnsi="Times New Roman" w:cs="Times New Roman"/>
        </w:rPr>
        <w:t xml:space="preserve">shop and then </w:t>
      </w:r>
      <w:r w:rsidR="000E23C9">
        <w:rPr>
          <w:rFonts w:ascii="Times New Roman" w:hAnsi="Times New Roman" w:cs="Times New Roman"/>
        </w:rPr>
        <w:t>return to SSO s</w:t>
      </w:r>
      <w:r w:rsidR="00CE16AB">
        <w:rPr>
          <w:rFonts w:ascii="Times New Roman" w:hAnsi="Times New Roman" w:cs="Times New Roman"/>
        </w:rPr>
        <w:t>ervice to remain on SSO service</w:t>
      </w:r>
      <w:r w:rsidR="000E23C9">
        <w:rPr>
          <w:rFonts w:ascii="Times New Roman" w:hAnsi="Times New Roman" w:cs="Times New Roman"/>
        </w:rPr>
        <w:t xml:space="preserve"> for at least 12 months before</w:t>
      </w:r>
      <w:r w:rsidR="00F119C4">
        <w:rPr>
          <w:rFonts w:ascii="Times New Roman" w:hAnsi="Times New Roman" w:cs="Times New Roman"/>
        </w:rPr>
        <w:t xml:space="preserve"> </w:t>
      </w:r>
      <w:r w:rsidR="00073B12">
        <w:rPr>
          <w:rFonts w:ascii="Times New Roman" w:hAnsi="Times New Roman" w:cs="Times New Roman"/>
        </w:rPr>
        <w:t xml:space="preserve">they may </w:t>
      </w:r>
      <w:r w:rsidR="00F119C4">
        <w:rPr>
          <w:rFonts w:ascii="Times New Roman" w:hAnsi="Times New Roman" w:cs="Times New Roman"/>
        </w:rPr>
        <w:t>shop</w:t>
      </w:r>
      <w:r w:rsidR="00073B12">
        <w:rPr>
          <w:rFonts w:ascii="Times New Roman" w:hAnsi="Times New Roman" w:cs="Times New Roman"/>
        </w:rPr>
        <w:t xml:space="preserve"> again</w:t>
      </w:r>
      <w:r w:rsidR="00F119C4">
        <w:rPr>
          <w:rFonts w:ascii="Times New Roman" w:hAnsi="Times New Roman" w:cs="Times New Roman"/>
        </w:rPr>
        <w:t xml:space="preserve">.  (IGS Ex. 101 at 24.)  Similarly, </w:t>
      </w:r>
      <w:r w:rsidR="00073B12">
        <w:rPr>
          <w:rFonts w:ascii="Times New Roman" w:hAnsi="Times New Roman" w:cs="Times New Roman"/>
        </w:rPr>
        <w:t xml:space="preserve">returning </w:t>
      </w:r>
      <w:r w:rsidR="00F119C4">
        <w:rPr>
          <w:rFonts w:ascii="Times New Roman" w:hAnsi="Times New Roman" w:cs="Times New Roman"/>
        </w:rPr>
        <w:t xml:space="preserve">GS1 and GS2 customers (residential and small commercial) must stay on the SSO rate through April 15 of the </w:t>
      </w:r>
      <w:r w:rsidR="00F119C4">
        <w:rPr>
          <w:rFonts w:ascii="Times New Roman" w:hAnsi="Times New Roman" w:cs="Times New Roman"/>
          <w:i/>
        </w:rPr>
        <w:t>following year</w:t>
      </w:r>
      <w:r w:rsidR="00F119C4">
        <w:rPr>
          <w:rFonts w:ascii="Times New Roman" w:hAnsi="Times New Roman" w:cs="Times New Roman"/>
        </w:rPr>
        <w:t xml:space="preserve"> if the customer received SSO service from May 16 to September 15 of the current year.  (IGS Ex. 101 at 24 (citing Ohio Power Original Tariff Sheet No. 103-26D).) </w:t>
      </w:r>
      <w:r w:rsidR="000E23C9">
        <w:rPr>
          <w:rFonts w:ascii="Times New Roman" w:hAnsi="Times New Roman" w:cs="Times New Roman"/>
        </w:rPr>
        <w:t xml:space="preserve"> In its ESP, AEP proposes to eliminate the 12-month minimum stay requireme</w:t>
      </w:r>
      <w:r w:rsidR="00F119C4">
        <w:rPr>
          <w:rFonts w:ascii="Times New Roman" w:hAnsi="Times New Roman" w:cs="Times New Roman"/>
        </w:rPr>
        <w:t>nt</w:t>
      </w:r>
      <w:r w:rsidR="000E23C9">
        <w:rPr>
          <w:rFonts w:ascii="Times New Roman" w:hAnsi="Times New Roman" w:cs="Times New Roman"/>
        </w:rPr>
        <w:t xml:space="preserve"> and the “</w:t>
      </w:r>
      <w:r w:rsidR="00F119C4">
        <w:rPr>
          <w:rFonts w:ascii="Times New Roman" w:hAnsi="Times New Roman" w:cs="Times New Roman"/>
        </w:rPr>
        <w:t>April 15</w:t>
      </w:r>
      <w:r w:rsidR="000E23C9">
        <w:rPr>
          <w:rFonts w:ascii="Times New Roman" w:hAnsi="Times New Roman" w:cs="Times New Roman"/>
        </w:rPr>
        <w:t>” stay requirement</w:t>
      </w:r>
      <w:r w:rsidR="00073B12">
        <w:rPr>
          <w:rFonts w:ascii="Times New Roman" w:hAnsi="Times New Roman" w:cs="Times New Roman"/>
        </w:rPr>
        <w:t xml:space="preserve"> as o</w:t>
      </w:r>
      <w:r w:rsidR="00F119C4">
        <w:rPr>
          <w:rFonts w:ascii="Times New Roman" w:hAnsi="Times New Roman" w:cs="Times New Roman"/>
        </w:rPr>
        <w:t>f January 1, 2015</w:t>
      </w:r>
      <w:r w:rsidR="000E23C9">
        <w:rPr>
          <w:rFonts w:ascii="Times New Roman" w:hAnsi="Times New Roman" w:cs="Times New Roman"/>
        </w:rPr>
        <w:t xml:space="preserve">.  (AEP Ex. </w:t>
      </w:r>
      <w:r w:rsidR="005B7407">
        <w:rPr>
          <w:rFonts w:ascii="Times New Roman" w:hAnsi="Times New Roman" w:cs="Times New Roman"/>
        </w:rPr>
        <w:t>111</w:t>
      </w:r>
      <w:r w:rsidR="000E23C9">
        <w:rPr>
          <w:rFonts w:ascii="Times New Roman" w:hAnsi="Times New Roman" w:cs="Times New Roman"/>
        </w:rPr>
        <w:t xml:space="preserve"> (Roush Dir.) at 4</w:t>
      </w:r>
      <w:r w:rsidR="00F119C4">
        <w:rPr>
          <w:rFonts w:ascii="Times New Roman" w:hAnsi="Times New Roman" w:cs="Times New Roman"/>
        </w:rPr>
        <w:t xml:space="preserve">:14-22.)  </w:t>
      </w:r>
    </w:p>
    <w:p w14:paraId="1EB47DE3" w14:textId="60B77E25" w:rsidR="00F119C4" w:rsidRPr="000E23C9" w:rsidRDefault="00F119C4" w:rsidP="000E23C9">
      <w:pPr>
        <w:spacing w:line="480" w:lineRule="auto"/>
        <w:rPr>
          <w:rFonts w:ascii="Times New Roman" w:hAnsi="Times New Roman" w:cs="Times New Roman"/>
        </w:rPr>
      </w:pPr>
      <w:r>
        <w:rPr>
          <w:rFonts w:ascii="Times New Roman" w:hAnsi="Times New Roman" w:cs="Times New Roman"/>
        </w:rPr>
        <w:tab/>
        <w:t xml:space="preserve">These minimum stays create an artificial barrier to </w:t>
      </w:r>
      <w:r w:rsidR="009554AE">
        <w:rPr>
          <w:rFonts w:ascii="Times New Roman" w:hAnsi="Times New Roman" w:cs="Times New Roman"/>
        </w:rPr>
        <w:t xml:space="preserve">shopping.  (IGS Ex. 101 at 25:5.)  </w:t>
      </w:r>
      <w:r w:rsidR="006349FD">
        <w:rPr>
          <w:rFonts w:ascii="Times New Roman" w:hAnsi="Times New Roman" w:cs="Times New Roman"/>
        </w:rPr>
        <w:t>A</w:t>
      </w:r>
      <w:r w:rsidR="009554AE">
        <w:rPr>
          <w:rFonts w:ascii="Times New Roman" w:hAnsi="Times New Roman" w:cs="Times New Roman"/>
        </w:rPr>
        <w:t xml:space="preserve"> prohibition of shopping is </w:t>
      </w:r>
      <w:r w:rsidR="00073B12">
        <w:rPr>
          <w:rFonts w:ascii="Times New Roman" w:hAnsi="Times New Roman" w:cs="Times New Roman"/>
        </w:rPr>
        <w:t>necessarily</w:t>
      </w:r>
      <w:r w:rsidR="006349FD">
        <w:rPr>
          <w:rFonts w:ascii="Times New Roman" w:hAnsi="Times New Roman" w:cs="Times New Roman"/>
        </w:rPr>
        <w:t>, and by design,</w:t>
      </w:r>
      <w:r w:rsidR="00073B12">
        <w:rPr>
          <w:rFonts w:ascii="Times New Roman" w:hAnsi="Times New Roman" w:cs="Times New Roman"/>
        </w:rPr>
        <w:t xml:space="preserve"> </w:t>
      </w:r>
      <w:r w:rsidR="009554AE">
        <w:rPr>
          <w:rFonts w:ascii="Times New Roman" w:hAnsi="Times New Roman" w:cs="Times New Roman"/>
        </w:rPr>
        <w:t xml:space="preserve">a barrier to shopping. </w:t>
      </w:r>
      <w:r w:rsidR="006349FD">
        <w:rPr>
          <w:rFonts w:ascii="Times New Roman" w:hAnsi="Times New Roman" w:cs="Times New Roman"/>
        </w:rPr>
        <w:t xml:space="preserve"> </w:t>
      </w:r>
      <w:r w:rsidR="009554AE">
        <w:rPr>
          <w:rFonts w:ascii="Times New Roman" w:hAnsi="Times New Roman" w:cs="Times New Roman"/>
        </w:rPr>
        <w:t>The stay requirements in AEP’s tariffs directly contravene R.C. 4928.02(C), which requires customers to have “effective choices over [electric] supplies and suppliers.”  A competitive market simply cannot exist unless customer</w:t>
      </w:r>
      <w:r w:rsidR="005B7407">
        <w:rPr>
          <w:rFonts w:ascii="Times New Roman" w:hAnsi="Times New Roman" w:cs="Times New Roman"/>
        </w:rPr>
        <w:t>s</w:t>
      </w:r>
      <w:r w:rsidR="009554AE">
        <w:rPr>
          <w:rFonts w:ascii="Times New Roman" w:hAnsi="Times New Roman" w:cs="Times New Roman"/>
        </w:rPr>
        <w:t xml:space="preserve"> are able to exercise their right to change suppliers and leave default service. </w:t>
      </w:r>
      <w:r w:rsidR="00073B12">
        <w:rPr>
          <w:rFonts w:ascii="Times New Roman" w:hAnsi="Times New Roman" w:cs="Times New Roman"/>
        </w:rPr>
        <w:t xml:space="preserve"> </w:t>
      </w:r>
      <w:r w:rsidR="009554AE">
        <w:rPr>
          <w:rFonts w:ascii="Times New Roman" w:hAnsi="Times New Roman" w:cs="Times New Roman"/>
        </w:rPr>
        <w:t>(IGS Ex. 101 at 25:5-7.)</w:t>
      </w:r>
      <w:r w:rsidR="005B7407">
        <w:rPr>
          <w:rFonts w:ascii="Times New Roman" w:hAnsi="Times New Roman" w:cs="Times New Roman"/>
        </w:rPr>
        <w:t xml:space="preserve">  </w:t>
      </w:r>
      <w:r w:rsidR="009C7392">
        <w:rPr>
          <w:rFonts w:ascii="Times New Roman" w:hAnsi="Times New Roman" w:cs="Times New Roman"/>
        </w:rPr>
        <w:t xml:space="preserve">Other Ohio electric distribution utilities are </w:t>
      </w:r>
      <w:r w:rsidR="00073B12">
        <w:rPr>
          <w:rFonts w:ascii="Times New Roman" w:hAnsi="Times New Roman" w:cs="Times New Roman"/>
        </w:rPr>
        <w:t xml:space="preserve">doing away with </w:t>
      </w:r>
      <w:r w:rsidR="009C7392">
        <w:rPr>
          <w:rFonts w:ascii="Times New Roman" w:hAnsi="Times New Roman" w:cs="Times New Roman"/>
        </w:rPr>
        <w:t>m</w:t>
      </w:r>
      <w:r w:rsidR="00CE16AB">
        <w:rPr>
          <w:rFonts w:ascii="Times New Roman" w:hAnsi="Times New Roman" w:cs="Times New Roman"/>
        </w:rPr>
        <w:t>inimum stay requirements.  (Tr.</w:t>
      </w:r>
      <w:r w:rsidR="009C7392">
        <w:rPr>
          <w:rFonts w:ascii="Times New Roman" w:hAnsi="Times New Roman" w:cs="Times New Roman"/>
        </w:rPr>
        <w:t xml:space="preserve"> 3708: 5-6.)  </w:t>
      </w:r>
      <w:r w:rsidR="005B7407">
        <w:rPr>
          <w:rFonts w:ascii="Times New Roman" w:hAnsi="Times New Roman" w:cs="Times New Roman"/>
        </w:rPr>
        <w:t>The Commission should not wait until six months before the ESP expires to fully remove these competitive barriers.  Instead, the Commission should remove the minimum stay provisions from AEP’s tariff at the beginning of the ESP period.</w:t>
      </w:r>
    </w:p>
    <w:p w14:paraId="35CDD476" w14:textId="6755BC1C" w:rsidR="00AB6B41" w:rsidRDefault="006349FD" w:rsidP="00E666AC">
      <w:pPr>
        <w:ind w:left="1440" w:hanging="720"/>
        <w:rPr>
          <w:rFonts w:ascii="Times New Roman" w:hAnsi="Times New Roman" w:cs="Times New Roman"/>
          <w:b/>
        </w:rPr>
      </w:pPr>
      <w:r>
        <w:rPr>
          <w:rFonts w:ascii="Times New Roman" w:hAnsi="Times New Roman" w:cs="Times New Roman"/>
          <w:b/>
        </w:rPr>
        <w:t>D</w:t>
      </w:r>
      <w:r w:rsidR="00E666AC">
        <w:rPr>
          <w:rFonts w:ascii="Times New Roman" w:hAnsi="Times New Roman" w:cs="Times New Roman"/>
          <w:b/>
        </w:rPr>
        <w:t>.</w:t>
      </w:r>
      <w:r w:rsidR="00E666AC">
        <w:rPr>
          <w:rFonts w:ascii="Times New Roman" w:hAnsi="Times New Roman" w:cs="Times New Roman"/>
          <w:b/>
        </w:rPr>
        <w:tab/>
        <w:t>The Commission should not approve the GRR placeholder without several modifications.</w:t>
      </w:r>
    </w:p>
    <w:p w14:paraId="1FA0A4B5" w14:textId="77777777" w:rsidR="00E666AC" w:rsidRDefault="00E666AC" w:rsidP="00E666AC">
      <w:pPr>
        <w:ind w:left="1440" w:hanging="720"/>
        <w:rPr>
          <w:rFonts w:ascii="Times New Roman" w:hAnsi="Times New Roman" w:cs="Times New Roman"/>
        </w:rPr>
      </w:pPr>
    </w:p>
    <w:p w14:paraId="074B8CC3" w14:textId="5E113E24" w:rsidR="00952C70" w:rsidRPr="00F25805" w:rsidRDefault="00E666AC" w:rsidP="00007BDD">
      <w:pPr>
        <w:spacing w:line="480" w:lineRule="auto"/>
        <w:rPr>
          <w:rFonts w:ascii="Times New Roman" w:hAnsi="Times New Roman" w:cs="Times New Roman"/>
        </w:rPr>
      </w:pPr>
      <w:r>
        <w:rPr>
          <w:rFonts w:ascii="Times New Roman" w:hAnsi="Times New Roman" w:cs="Times New Roman"/>
        </w:rPr>
        <w:tab/>
      </w:r>
      <w:r w:rsidR="00952C70">
        <w:rPr>
          <w:rFonts w:ascii="Times New Roman" w:hAnsi="Times New Roman" w:cs="Times New Roman"/>
        </w:rPr>
        <w:t>AEP proposes a generation resource rider, which it characterizes as a “placeholder” for a future proceeding.  (</w:t>
      </w:r>
      <w:r w:rsidR="00F25805">
        <w:rPr>
          <w:rFonts w:ascii="Times New Roman" w:hAnsi="Times New Roman" w:cs="Times New Roman"/>
        </w:rPr>
        <w:t xml:space="preserve">Tr. 599:24-600:6; </w:t>
      </w:r>
      <w:r w:rsidR="00952C70">
        <w:rPr>
          <w:rFonts w:ascii="Times New Roman" w:hAnsi="Times New Roman" w:cs="Times New Roman"/>
        </w:rPr>
        <w:t xml:space="preserve">Tr. </w:t>
      </w:r>
      <w:r w:rsidR="00F25805">
        <w:rPr>
          <w:rFonts w:ascii="Times New Roman" w:hAnsi="Times New Roman" w:cs="Times New Roman"/>
        </w:rPr>
        <w:t>1170:12-18.)</w:t>
      </w:r>
      <w:r w:rsidR="00952C70">
        <w:rPr>
          <w:rFonts w:ascii="Times New Roman" w:hAnsi="Times New Roman" w:cs="Times New Roman"/>
        </w:rPr>
        <w:t xml:space="preserve"> </w:t>
      </w:r>
      <w:r w:rsidR="00F25805">
        <w:rPr>
          <w:rFonts w:ascii="Times New Roman" w:hAnsi="Times New Roman" w:cs="Times New Roman"/>
        </w:rPr>
        <w:t xml:space="preserve"> Though the proposed rider includes “generic rider language,” AEP requests its approval with the promise that “the actual rider </w:t>
      </w:r>
      <w:r w:rsidR="00F25805">
        <w:rPr>
          <w:rFonts w:ascii="Times New Roman" w:hAnsi="Times New Roman" w:cs="Times New Roman"/>
        </w:rPr>
        <w:lastRenderedPageBreak/>
        <w:t xml:space="preserve">language, other than just this very plain vanilla placeholder, [] would be addressed in that later separate proceeding.”  (Tr. 1171:5-8.)  However, the Commission should not approve any rider, including the GRR, without specific modifications to ensure </w:t>
      </w:r>
      <w:r w:rsidR="00073B12">
        <w:rPr>
          <w:rFonts w:ascii="Times New Roman" w:hAnsi="Times New Roman" w:cs="Times New Roman"/>
        </w:rPr>
        <w:t xml:space="preserve">that </w:t>
      </w:r>
      <w:r w:rsidR="00F25805">
        <w:rPr>
          <w:rFonts w:ascii="Times New Roman" w:hAnsi="Times New Roman" w:cs="Times New Roman"/>
        </w:rPr>
        <w:t xml:space="preserve">the rider </w:t>
      </w:r>
      <w:r w:rsidR="00073B12">
        <w:rPr>
          <w:rFonts w:ascii="Times New Roman" w:hAnsi="Times New Roman" w:cs="Times New Roman"/>
        </w:rPr>
        <w:t xml:space="preserve">will </w:t>
      </w:r>
      <w:r w:rsidR="00F25805">
        <w:rPr>
          <w:rFonts w:ascii="Times New Roman" w:hAnsi="Times New Roman" w:cs="Times New Roman"/>
        </w:rPr>
        <w:t xml:space="preserve">not provide an anticompetitive subsidy flowing from competitive retail electric service to noncompetitive retail electric service.  </w:t>
      </w:r>
      <w:r w:rsidR="00F25805">
        <w:rPr>
          <w:rFonts w:ascii="Times New Roman" w:hAnsi="Times New Roman" w:cs="Times New Roman"/>
          <w:i/>
        </w:rPr>
        <w:t xml:space="preserve">See </w:t>
      </w:r>
      <w:r w:rsidR="00840A33">
        <w:rPr>
          <w:rFonts w:ascii="Times New Roman" w:hAnsi="Times New Roman" w:cs="Times New Roman"/>
        </w:rPr>
        <w:t>R.C.</w:t>
      </w:r>
      <w:r w:rsidR="00F25805">
        <w:rPr>
          <w:rFonts w:ascii="Times New Roman" w:hAnsi="Times New Roman" w:cs="Times New Roman"/>
        </w:rPr>
        <w:t xml:space="preserve"> 4929.02(H).</w:t>
      </w:r>
    </w:p>
    <w:p w14:paraId="5FEEE85E" w14:textId="7EF42AAD" w:rsidR="003405A9" w:rsidRDefault="00840A33" w:rsidP="00952C70">
      <w:pPr>
        <w:spacing w:line="480" w:lineRule="auto"/>
        <w:ind w:firstLine="720"/>
        <w:rPr>
          <w:rFonts w:ascii="Times New Roman" w:hAnsi="Times New Roman" w:cs="Times New Roman"/>
        </w:rPr>
      </w:pPr>
      <w:r>
        <w:rPr>
          <w:rFonts w:ascii="Times New Roman" w:hAnsi="Times New Roman" w:cs="Times New Roman"/>
        </w:rPr>
        <w:t xml:space="preserve">The GRR, as proposed, is a nonbypassable rider.  (Tr. 1166:11-15; Tr. 599:10-17.)  Even though </w:t>
      </w:r>
      <w:r w:rsidRPr="00840A33">
        <w:rPr>
          <w:rFonts w:ascii="Times New Roman" w:hAnsi="Times New Roman" w:cs="Times New Roman"/>
          <w:i/>
        </w:rPr>
        <w:t>both</w:t>
      </w:r>
      <w:r>
        <w:rPr>
          <w:rFonts w:ascii="Times New Roman" w:hAnsi="Times New Roman" w:cs="Times New Roman"/>
        </w:rPr>
        <w:t xml:space="preserve"> shopping and SSO customers will pay this rider, the GRR is intended </w:t>
      </w:r>
      <w:r w:rsidR="00952C70">
        <w:rPr>
          <w:rFonts w:ascii="Times New Roman" w:hAnsi="Times New Roman" w:cs="Times New Roman"/>
        </w:rPr>
        <w:t xml:space="preserve">to pay for </w:t>
      </w:r>
      <w:r>
        <w:rPr>
          <w:rFonts w:ascii="Times New Roman" w:hAnsi="Times New Roman" w:cs="Times New Roman"/>
        </w:rPr>
        <w:t xml:space="preserve">only </w:t>
      </w:r>
      <w:r w:rsidR="00952C70">
        <w:rPr>
          <w:rFonts w:ascii="Times New Roman" w:hAnsi="Times New Roman" w:cs="Times New Roman"/>
        </w:rPr>
        <w:t xml:space="preserve">new generation assets to serve SSO customers.  (Tr. 1166:16-18; </w:t>
      </w:r>
      <w:r w:rsidR="00952C70">
        <w:rPr>
          <w:rFonts w:ascii="Times New Roman" w:hAnsi="Times New Roman" w:cs="Times New Roman"/>
          <w:i/>
        </w:rPr>
        <w:t xml:space="preserve">see also </w:t>
      </w:r>
      <w:r w:rsidR="00DE04C6">
        <w:rPr>
          <w:rFonts w:ascii="Times New Roman" w:hAnsi="Times New Roman" w:cs="Times New Roman"/>
        </w:rPr>
        <w:t xml:space="preserve">Tr. </w:t>
      </w:r>
      <w:r w:rsidR="00952C70">
        <w:rPr>
          <w:rFonts w:ascii="Times New Roman" w:hAnsi="Times New Roman" w:cs="Times New Roman"/>
        </w:rPr>
        <w:t xml:space="preserve">1166:23-1167:6.)  AEP witness Roush </w:t>
      </w:r>
      <w:r>
        <w:rPr>
          <w:rFonts w:ascii="Times New Roman" w:hAnsi="Times New Roman" w:cs="Times New Roman"/>
        </w:rPr>
        <w:t>went so far as to characterize</w:t>
      </w:r>
      <w:r w:rsidR="00952C70">
        <w:rPr>
          <w:rFonts w:ascii="Times New Roman" w:hAnsi="Times New Roman" w:cs="Times New Roman"/>
        </w:rPr>
        <w:t xml:space="preserve"> the GRR as “nothing more than a financial hedge for SSO customers.</w:t>
      </w:r>
      <w:r>
        <w:rPr>
          <w:rFonts w:ascii="Times New Roman" w:hAnsi="Times New Roman" w:cs="Times New Roman"/>
        </w:rPr>
        <w:t xml:space="preserve">”  (Tr. 1167:5-6.)  </w:t>
      </w:r>
    </w:p>
    <w:p w14:paraId="13F4C60F" w14:textId="312316AA" w:rsidR="00EC0B26" w:rsidRDefault="00840A33" w:rsidP="00952C70">
      <w:pPr>
        <w:spacing w:line="480" w:lineRule="auto"/>
        <w:ind w:firstLine="720"/>
        <w:rPr>
          <w:rFonts w:ascii="Times New Roman" w:hAnsi="Times New Roman" w:cs="Times New Roman"/>
        </w:rPr>
      </w:pPr>
      <w:r>
        <w:rPr>
          <w:rFonts w:ascii="Times New Roman" w:hAnsi="Times New Roman" w:cs="Times New Roman"/>
        </w:rPr>
        <w:t xml:space="preserve">A rider </w:t>
      </w:r>
      <w:r w:rsidR="00073B12">
        <w:rPr>
          <w:rFonts w:ascii="Times New Roman" w:hAnsi="Times New Roman" w:cs="Times New Roman"/>
        </w:rPr>
        <w:t>that recovers</w:t>
      </w:r>
      <w:r>
        <w:rPr>
          <w:rFonts w:ascii="Times New Roman" w:hAnsi="Times New Roman" w:cs="Times New Roman"/>
        </w:rPr>
        <w:t xml:space="preserve"> from </w:t>
      </w:r>
      <w:r w:rsidRPr="00073B12">
        <w:rPr>
          <w:rFonts w:ascii="Times New Roman" w:hAnsi="Times New Roman" w:cs="Times New Roman"/>
          <w:i/>
        </w:rPr>
        <w:t xml:space="preserve">shopping </w:t>
      </w:r>
      <w:r>
        <w:rPr>
          <w:rFonts w:ascii="Times New Roman" w:hAnsi="Times New Roman" w:cs="Times New Roman"/>
        </w:rPr>
        <w:t xml:space="preserve">customers the costs of generation to serve </w:t>
      </w:r>
      <w:r w:rsidR="00073B12" w:rsidRPr="00073B12">
        <w:rPr>
          <w:rFonts w:ascii="Times New Roman" w:hAnsi="Times New Roman" w:cs="Times New Roman"/>
          <w:i/>
        </w:rPr>
        <w:t xml:space="preserve">non-shopping </w:t>
      </w:r>
      <w:r>
        <w:rPr>
          <w:rFonts w:ascii="Times New Roman" w:hAnsi="Times New Roman" w:cs="Times New Roman"/>
        </w:rPr>
        <w:t xml:space="preserve">customers is </w:t>
      </w:r>
      <w:r w:rsidR="00073B12">
        <w:rPr>
          <w:rFonts w:ascii="Times New Roman" w:hAnsi="Times New Roman" w:cs="Times New Roman"/>
        </w:rPr>
        <w:t xml:space="preserve">by definition </w:t>
      </w:r>
      <w:r>
        <w:rPr>
          <w:rFonts w:ascii="Times New Roman" w:hAnsi="Times New Roman" w:cs="Times New Roman"/>
        </w:rPr>
        <w:t xml:space="preserve">an anticompetitive subsidy flowing from shopping to SSO customers.  (IGS Ex. 101 at 27.)  </w:t>
      </w:r>
      <w:r w:rsidR="000F3922">
        <w:rPr>
          <w:rFonts w:ascii="Times New Roman" w:hAnsi="Times New Roman" w:cs="Times New Roman"/>
        </w:rPr>
        <w:t>To avoid violating R.C. 4928.02(H), the Commission should reject the proposed Rider GRR, modify Rider GRR to be bypassable, or modify the Rider GRR to allow the benefits of the rider to flow through to shopping customers.  (IGS Ex. 1</w:t>
      </w:r>
      <w:r w:rsidR="00EC0B26">
        <w:rPr>
          <w:rFonts w:ascii="Times New Roman" w:hAnsi="Times New Roman" w:cs="Times New Roman"/>
        </w:rPr>
        <w:t xml:space="preserve">01 at 27-28.)  </w:t>
      </w:r>
    </w:p>
    <w:p w14:paraId="1D99590E" w14:textId="3907096A" w:rsidR="00073B12" w:rsidRDefault="006349FD" w:rsidP="00952C70">
      <w:pPr>
        <w:spacing w:line="480" w:lineRule="auto"/>
        <w:ind w:firstLine="720"/>
        <w:rPr>
          <w:rFonts w:ascii="Times New Roman" w:hAnsi="Times New Roman" w:cs="Times New Roman"/>
        </w:rPr>
      </w:pPr>
      <w:r>
        <w:rPr>
          <w:rFonts w:ascii="Times New Roman" w:hAnsi="Times New Roman" w:cs="Times New Roman"/>
        </w:rPr>
        <w:t>T</w:t>
      </w:r>
      <w:r w:rsidR="00EC0B26">
        <w:rPr>
          <w:rFonts w:ascii="Times New Roman" w:hAnsi="Times New Roman" w:cs="Times New Roman"/>
        </w:rPr>
        <w:t>he Commis</w:t>
      </w:r>
      <w:r>
        <w:rPr>
          <w:rFonts w:ascii="Times New Roman" w:hAnsi="Times New Roman" w:cs="Times New Roman"/>
        </w:rPr>
        <w:t xml:space="preserve">sion should consider rejecting </w:t>
      </w:r>
      <w:r w:rsidR="00EC0B26">
        <w:rPr>
          <w:rFonts w:ascii="Times New Roman" w:hAnsi="Times New Roman" w:cs="Times New Roman"/>
        </w:rPr>
        <w:t>Rider GRR</w:t>
      </w:r>
      <w:r>
        <w:rPr>
          <w:rFonts w:ascii="Times New Roman" w:hAnsi="Times New Roman" w:cs="Times New Roman"/>
        </w:rPr>
        <w:t xml:space="preserve"> altogether</w:t>
      </w:r>
      <w:r w:rsidR="00073B12">
        <w:rPr>
          <w:rFonts w:ascii="Times New Roman" w:hAnsi="Times New Roman" w:cs="Times New Roman"/>
        </w:rPr>
        <w:t xml:space="preserve">.  </w:t>
      </w:r>
      <w:r w:rsidR="00EC0B26">
        <w:rPr>
          <w:rFonts w:ascii="Times New Roman" w:hAnsi="Times New Roman" w:cs="Times New Roman"/>
        </w:rPr>
        <w:t xml:space="preserve">AEP, like </w:t>
      </w:r>
      <w:r w:rsidR="00073B12">
        <w:rPr>
          <w:rFonts w:ascii="Times New Roman" w:hAnsi="Times New Roman" w:cs="Times New Roman"/>
        </w:rPr>
        <w:t>other electricity s</w:t>
      </w:r>
      <w:r w:rsidR="00EC0B26">
        <w:rPr>
          <w:rFonts w:ascii="Times New Roman" w:hAnsi="Times New Roman" w:cs="Times New Roman"/>
        </w:rPr>
        <w:t>uppliers, has the option to develop</w:t>
      </w:r>
      <w:r w:rsidR="00EC0B26" w:rsidRPr="00EC0B26">
        <w:rPr>
          <w:rFonts w:ascii="Times New Roman" w:hAnsi="Times New Roman" w:cs="Times New Roman"/>
        </w:rPr>
        <w:t xml:space="preserve"> </w:t>
      </w:r>
      <w:r w:rsidR="00EC0B26">
        <w:rPr>
          <w:rFonts w:ascii="Times New Roman" w:hAnsi="Times New Roman" w:cs="Times New Roman"/>
        </w:rPr>
        <w:t xml:space="preserve">renewable energy projects on its own and recover the costs through market prices.  (IGS Ex. 101 at 27.)  </w:t>
      </w:r>
      <w:r w:rsidR="00073B12">
        <w:rPr>
          <w:rFonts w:ascii="Times New Roman" w:hAnsi="Times New Roman" w:cs="Times New Roman"/>
        </w:rPr>
        <w:t>Given all the other provisions of this ESP designed to support AEP’s generation business, Rider GRR is hardly necessary.</w:t>
      </w:r>
    </w:p>
    <w:p w14:paraId="1EBAFD0F" w14:textId="1EFA228A" w:rsidR="00EC0B26" w:rsidRDefault="00EC0B26" w:rsidP="00952C70">
      <w:pPr>
        <w:spacing w:line="480" w:lineRule="auto"/>
        <w:ind w:firstLine="720"/>
        <w:rPr>
          <w:rFonts w:ascii="Times New Roman" w:hAnsi="Times New Roman" w:cs="Times New Roman"/>
        </w:rPr>
      </w:pPr>
      <w:r>
        <w:rPr>
          <w:rFonts w:ascii="Times New Roman" w:hAnsi="Times New Roman" w:cs="Times New Roman"/>
        </w:rPr>
        <w:t xml:space="preserve">If the Commission instead determines that the Rider GRR is an appropriate piece of AEP’s ESP, then the Commission should modify the rider to make it bypassable, paid by the SSO customer benefiting from the Rider GRR.  (IGS Ex. 101 at 27.)  </w:t>
      </w:r>
    </w:p>
    <w:p w14:paraId="2D8A13C3" w14:textId="3482443A" w:rsidR="00AB6B41" w:rsidRDefault="006349FD" w:rsidP="00EC0B26">
      <w:pPr>
        <w:spacing w:line="480" w:lineRule="auto"/>
        <w:ind w:firstLine="720"/>
        <w:rPr>
          <w:rFonts w:ascii="Times New Roman" w:hAnsi="Times New Roman" w:cs="Times New Roman"/>
        </w:rPr>
      </w:pPr>
      <w:r>
        <w:rPr>
          <w:rFonts w:ascii="Times New Roman" w:hAnsi="Times New Roman" w:cs="Times New Roman"/>
        </w:rPr>
        <w:lastRenderedPageBreak/>
        <w:t>Short of these alternatives</w:t>
      </w:r>
      <w:r w:rsidR="00EC0B26">
        <w:rPr>
          <w:rFonts w:ascii="Times New Roman" w:hAnsi="Times New Roman" w:cs="Times New Roman"/>
        </w:rPr>
        <w:t xml:space="preserve">, if the Commission determines that Rider GRR should remain nonbypassable, the Commission </w:t>
      </w:r>
      <w:r w:rsidR="00073B12">
        <w:rPr>
          <w:rFonts w:ascii="Times New Roman" w:hAnsi="Times New Roman" w:cs="Times New Roman"/>
        </w:rPr>
        <w:t xml:space="preserve">must </w:t>
      </w:r>
      <w:r w:rsidR="00EC0B26">
        <w:rPr>
          <w:rFonts w:ascii="Times New Roman" w:hAnsi="Times New Roman" w:cs="Times New Roman"/>
        </w:rPr>
        <w:t>make several modifications to the rider.  To ensure benefits flow to all of the customers paying for the rider, shopping</w:t>
      </w:r>
      <w:r w:rsidR="00073B12">
        <w:rPr>
          <w:rFonts w:ascii="Times New Roman" w:hAnsi="Times New Roman" w:cs="Times New Roman"/>
        </w:rPr>
        <w:t xml:space="preserve"> and non-shopping alike</w:t>
      </w:r>
      <w:r w:rsidR="00EC0B26">
        <w:rPr>
          <w:rFonts w:ascii="Times New Roman" w:hAnsi="Times New Roman" w:cs="Times New Roman"/>
        </w:rPr>
        <w:t xml:space="preserve">, AEP should sell the generated electricity on the market with revenues to be credited against the Rider GRR Cost.  (IGS Ex. 101 at 27-28.)  In </w:t>
      </w:r>
      <w:r w:rsidR="00B65C2A">
        <w:rPr>
          <w:rFonts w:ascii="Times New Roman" w:hAnsi="Times New Roman" w:cs="Times New Roman"/>
        </w:rPr>
        <w:t>addition</w:t>
      </w:r>
      <w:r w:rsidR="00EC0B26">
        <w:rPr>
          <w:rFonts w:ascii="Times New Roman" w:hAnsi="Times New Roman" w:cs="Times New Roman"/>
        </w:rPr>
        <w:t xml:space="preserve"> AEP </w:t>
      </w:r>
      <w:r w:rsidR="00B65C2A">
        <w:rPr>
          <w:rFonts w:ascii="Times New Roman" w:hAnsi="Times New Roman" w:cs="Times New Roman"/>
        </w:rPr>
        <w:t>should</w:t>
      </w:r>
      <w:r w:rsidR="00EC0B26">
        <w:rPr>
          <w:rFonts w:ascii="Times New Roman" w:hAnsi="Times New Roman" w:cs="Times New Roman"/>
        </w:rPr>
        <w:t xml:space="preserve"> use the renewable energy credits or “RECs” to reduce the renewable portfolio standard requirements for all customers.  (IGS Ex. 101 at 28.)  </w:t>
      </w:r>
      <w:r w:rsidR="00DE04C6">
        <w:rPr>
          <w:rFonts w:ascii="Times New Roman" w:hAnsi="Times New Roman" w:cs="Times New Roman"/>
        </w:rPr>
        <w:t>Several AEP witnesses agreed that t</w:t>
      </w:r>
      <w:r w:rsidR="00EC0B26">
        <w:rPr>
          <w:rFonts w:ascii="Times New Roman" w:hAnsi="Times New Roman" w:cs="Times New Roman"/>
        </w:rPr>
        <w:t>his second approach</w:t>
      </w:r>
      <w:r w:rsidR="008C6622">
        <w:rPr>
          <w:rFonts w:ascii="Times New Roman" w:hAnsi="Times New Roman" w:cs="Times New Roman"/>
        </w:rPr>
        <w:t>, crediting the RECs to both shopping and non</w:t>
      </w:r>
      <w:r w:rsidR="00073B12">
        <w:rPr>
          <w:rFonts w:ascii="Times New Roman" w:hAnsi="Times New Roman" w:cs="Times New Roman"/>
        </w:rPr>
        <w:t>-</w:t>
      </w:r>
      <w:r w:rsidR="008C6622">
        <w:rPr>
          <w:rFonts w:ascii="Times New Roman" w:hAnsi="Times New Roman" w:cs="Times New Roman"/>
        </w:rPr>
        <w:t>shopping customers,</w:t>
      </w:r>
      <w:r w:rsidR="00EC0B26">
        <w:rPr>
          <w:rFonts w:ascii="Times New Roman" w:hAnsi="Times New Roman" w:cs="Times New Roman"/>
        </w:rPr>
        <w:t xml:space="preserve"> was </w:t>
      </w:r>
      <w:r w:rsidR="00DE04C6">
        <w:rPr>
          <w:rFonts w:ascii="Times New Roman" w:hAnsi="Times New Roman" w:cs="Times New Roman"/>
        </w:rPr>
        <w:t>reasonable</w:t>
      </w:r>
      <w:r w:rsidR="00E01931">
        <w:rPr>
          <w:rFonts w:ascii="Times New Roman" w:hAnsi="Times New Roman" w:cs="Times New Roman"/>
        </w:rPr>
        <w:t>.  (Tr. 599:18-22</w:t>
      </w:r>
      <w:r w:rsidR="00952C70">
        <w:rPr>
          <w:rFonts w:ascii="Times New Roman" w:hAnsi="Times New Roman" w:cs="Times New Roman"/>
        </w:rPr>
        <w:t>; Tr. 1169:24-1170:5</w:t>
      </w:r>
      <w:r w:rsidR="00E01931">
        <w:rPr>
          <w:rFonts w:ascii="Times New Roman" w:hAnsi="Times New Roman" w:cs="Times New Roman"/>
        </w:rPr>
        <w:t>.)</w:t>
      </w:r>
    </w:p>
    <w:p w14:paraId="49518DA0" w14:textId="58B30FF6" w:rsidR="005376B2" w:rsidRDefault="008C6622" w:rsidP="005376B2">
      <w:pPr>
        <w:spacing w:line="480" w:lineRule="auto"/>
        <w:ind w:firstLine="720"/>
        <w:rPr>
          <w:rFonts w:ascii="Times New Roman" w:hAnsi="Times New Roman" w:cs="Times New Roman"/>
        </w:rPr>
      </w:pPr>
      <w:r>
        <w:rPr>
          <w:rFonts w:ascii="Times New Roman" w:hAnsi="Times New Roman" w:cs="Times New Roman"/>
        </w:rPr>
        <w:t>The Commission should not approve the generic Rider GRR without safeguards to protect against an anticompetitive subsidy. The Commission should instead either reject the Rider GRR or modify it as discussed herein.</w:t>
      </w:r>
    </w:p>
    <w:p w14:paraId="79BD4EA6" w14:textId="28C4ACD4" w:rsidR="00D110CD" w:rsidRDefault="008C6622" w:rsidP="008C6622">
      <w:pPr>
        <w:spacing w:line="480" w:lineRule="auto"/>
        <w:jc w:val="center"/>
        <w:rPr>
          <w:rFonts w:ascii="Times New Roman" w:hAnsi="Times New Roman" w:cs="Times New Roman"/>
        </w:rPr>
      </w:pPr>
      <w:r>
        <w:rPr>
          <w:rFonts w:ascii="Times New Roman" w:hAnsi="Times New Roman" w:cs="Times New Roman"/>
          <w:b/>
        </w:rPr>
        <w:t>III.</w:t>
      </w:r>
      <w:r>
        <w:rPr>
          <w:rFonts w:ascii="Times New Roman" w:hAnsi="Times New Roman" w:cs="Times New Roman"/>
          <w:b/>
        </w:rPr>
        <w:tab/>
        <w:t>CONCLUSION</w:t>
      </w:r>
    </w:p>
    <w:p w14:paraId="1C26FDDC" w14:textId="6B4F3E22" w:rsidR="008C6622" w:rsidRPr="008C6622" w:rsidRDefault="008C6622" w:rsidP="008C6622">
      <w:pPr>
        <w:spacing w:line="480" w:lineRule="auto"/>
        <w:rPr>
          <w:rFonts w:ascii="Times New Roman" w:hAnsi="Times New Roman" w:cs="Times New Roman"/>
        </w:rPr>
      </w:pPr>
      <w:r>
        <w:rPr>
          <w:rFonts w:ascii="Times New Roman" w:hAnsi="Times New Roman" w:cs="Times New Roman"/>
        </w:rPr>
        <w:tab/>
        <w:t>For the foregoing reasons, the Commission should adopt the recommendations of IGS and modify the AEP ESP accordingly.</w:t>
      </w:r>
    </w:p>
    <w:p w14:paraId="2524FDBA" w14:textId="77777777" w:rsidR="00AB6B41" w:rsidRDefault="00AB6B41" w:rsidP="00AB6B41">
      <w:pPr>
        <w:tabs>
          <w:tab w:val="left" w:pos="5040"/>
        </w:tabs>
        <w:rPr>
          <w:rFonts w:ascii="Times New Roman" w:hAnsi="Times New Roman" w:cs="Times New Roman"/>
        </w:rPr>
      </w:pPr>
      <w:r>
        <w:rPr>
          <w:rFonts w:ascii="Times New Roman" w:hAnsi="Times New Roman" w:cs="Times New Roman"/>
        </w:rPr>
        <w:t>Dated:  June 29, 2012</w:t>
      </w:r>
      <w:r>
        <w:rPr>
          <w:rFonts w:ascii="Times New Roman" w:hAnsi="Times New Roman" w:cs="Times New Roman"/>
        </w:rPr>
        <w:tab/>
      </w:r>
      <w:proofErr w:type="gramStart"/>
      <w:r>
        <w:rPr>
          <w:rFonts w:ascii="Times New Roman" w:hAnsi="Times New Roman" w:cs="Times New Roman"/>
        </w:rPr>
        <w:t>Respectfully</w:t>
      </w:r>
      <w:proofErr w:type="gramEnd"/>
      <w:r>
        <w:rPr>
          <w:rFonts w:ascii="Times New Roman" w:hAnsi="Times New Roman" w:cs="Times New Roman"/>
        </w:rPr>
        <w:t xml:space="preserve"> submitted,</w:t>
      </w:r>
    </w:p>
    <w:p w14:paraId="172692E7" w14:textId="77777777" w:rsidR="00AB6B41" w:rsidRDefault="00AB6B41" w:rsidP="00AB6B41">
      <w:pPr>
        <w:rPr>
          <w:rFonts w:ascii="Times New Roman" w:hAnsi="Times New Roman" w:cs="Times New Roman"/>
        </w:rPr>
      </w:pPr>
    </w:p>
    <w:p w14:paraId="3DDE6296" w14:textId="77777777" w:rsidR="00AB6B41" w:rsidRDefault="00AB6B41" w:rsidP="00AB6B41">
      <w:pPr>
        <w:ind w:left="5040"/>
        <w:rPr>
          <w:rFonts w:ascii="Times New Roman" w:hAnsi="Times New Roman" w:cs="Times New Roman"/>
        </w:rPr>
      </w:pPr>
      <w:r>
        <w:rPr>
          <w:rFonts w:ascii="Times New Roman" w:hAnsi="Times New Roman" w:cs="Times New Roman"/>
          <w:u w:val="single"/>
        </w:rPr>
        <w:t>/s/ Mark A. Whitt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778F6F3" w14:textId="77777777" w:rsidR="00AB6B41" w:rsidRDefault="00AB6B41" w:rsidP="00AB6B41">
      <w:pPr>
        <w:ind w:left="5040"/>
        <w:rPr>
          <w:rFonts w:ascii="Times New Roman" w:hAnsi="Times New Roman" w:cs="Times New Roman"/>
        </w:rPr>
      </w:pPr>
      <w:r>
        <w:rPr>
          <w:rFonts w:ascii="Times New Roman" w:hAnsi="Times New Roman" w:cs="Times New Roman"/>
        </w:rPr>
        <w:t>Mark A. Whitt (Counsel of Record)</w:t>
      </w:r>
    </w:p>
    <w:p w14:paraId="16A695AE" w14:textId="77777777" w:rsidR="00AB6B41" w:rsidRDefault="00AB6B41" w:rsidP="00AB6B41">
      <w:pPr>
        <w:ind w:left="5040"/>
        <w:rPr>
          <w:rFonts w:ascii="Times New Roman" w:hAnsi="Times New Roman" w:cs="Times New Roman"/>
        </w:rPr>
      </w:pPr>
      <w:r>
        <w:rPr>
          <w:rFonts w:ascii="Times New Roman" w:hAnsi="Times New Roman" w:cs="Times New Roman"/>
        </w:rPr>
        <w:t>Andrew J. Campbell</w:t>
      </w:r>
    </w:p>
    <w:p w14:paraId="0FC9000B" w14:textId="77777777" w:rsidR="00AB6B41" w:rsidRDefault="00AB6B41" w:rsidP="00AB6B41">
      <w:pPr>
        <w:ind w:left="5040"/>
        <w:rPr>
          <w:rFonts w:ascii="Times New Roman" w:hAnsi="Times New Roman" w:cs="Times New Roman"/>
        </w:rPr>
      </w:pPr>
      <w:r>
        <w:rPr>
          <w:rFonts w:ascii="Times New Roman" w:hAnsi="Times New Roman" w:cs="Times New Roman"/>
        </w:rPr>
        <w:t>Melissa L. Thompson</w:t>
      </w:r>
    </w:p>
    <w:p w14:paraId="2D135294" w14:textId="77777777" w:rsidR="00AB6B41" w:rsidRDefault="00AB6B41" w:rsidP="00AB6B41">
      <w:pPr>
        <w:ind w:left="5040"/>
        <w:rPr>
          <w:rFonts w:ascii="Times New Roman" w:hAnsi="Times New Roman" w:cs="Times New Roman"/>
        </w:rPr>
      </w:pPr>
      <w:r>
        <w:rPr>
          <w:rFonts w:ascii="Times New Roman" w:hAnsi="Times New Roman" w:cs="Times New Roman"/>
        </w:rPr>
        <w:t>Whitt Sturtevant LLP</w:t>
      </w:r>
    </w:p>
    <w:p w14:paraId="5953D487" w14:textId="77777777" w:rsidR="00AB6B41" w:rsidRDefault="00AB6B41" w:rsidP="00AB6B41">
      <w:pPr>
        <w:ind w:left="5040"/>
        <w:rPr>
          <w:rFonts w:ascii="Times New Roman" w:hAnsi="Times New Roman" w:cs="Times New Roman"/>
        </w:rPr>
      </w:pPr>
      <w:r>
        <w:rPr>
          <w:rFonts w:ascii="Times New Roman" w:hAnsi="Times New Roman" w:cs="Times New Roman"/>
        </w:rPr>
        <w:t>PNC Plaza, Suite 2020</w:t>
      </w:r>
    </w:p>
    <w:p w14:paraId="000D13F1" w14:textId="77777777" w:rsidR="00AB6B41" w:rsidRDefault="00AB6B41" w:rsidP="00AB6B41">
      <w:pPr>
        <w:ind w:left="5040"/>
        <w:rPr>
          <w:rFonts w:ascii="Times New Roman" w:hAnsi="Times New Roman" w:cs="Times New Roman"/>
        </w:rPr>
      </w:pPr>
      <w:r>
        <w:rPr>
          <w:rFonts w:ascii="Times New Roman" w:hAnsi="Times New Roman" w:cs="Times New Roman"/>
        </w:rPr>
        <w:t>155 East Broad Street</w:t>
      </w:r>
    </w:p>
    <w:p w14:paraId="10C2B050" w14:textId="77777777" w:rsidR="00AB6B41" w:rsidRDefault="00AB6B41" w:rsidP="00AB6B41">
      <w:pPr>
        <w:ind w:left="5040"/>
        <w:rPr>
          <w:rFonts w:ascii="Times New Roman" w:hAnsi="Times New Roman" w:cs="Times New Roman"/>
        </w:rPr>
      </w:pPr>
      <w:r>
        <w:rPr>
          <w:rFonts w:ascii="Times New Roman" w:hAnsi="Times New Roman" w:cs="Times New Roman"/>
        </w:rPr>
        <w:t>Columbus, Ohio 43215</w:t>
      </w:r>
    </w:p>
    <w:p w14:paraId="17F2A38A" w14:textId="77777777" w:rsidR="00AB6B41" w:rsidRDefault="00AB6B41" w:rsidP="00AB6B41">
      <w:pPr>
        <w:ind w:left="5040"/>
        <w:rPr>
          <w:rFonts w:ascii="Times New Roman" w:hAnsi="Times New Roman" w:cs="Times New Roman"/>
        </w:rPr>
      </w:pPr>
      <w:r>
        <w:rPr>
          <w:rFonts w:ascii="Times New Roman" w:hAnsi="Times New Roman" w:cs="Times New Roman"/>
        </w:rPr>
        <w:t>Telephone:  (614) 224-3911</w:t>
      </w:r>
    </w:p>
    <w:p w14:paraId="5278A849" w14:textId="77777777" w:rsidR="00AB6B41" w:rsidRDefault="00AB6B41" w:rsidP="00AB6B41">
      <w:pPr>
        <w:ind w:left="5040"/>
        <w:rPr>
          <w:rFonts w:ascii="Times New Roman" w:hAnsi="Times New Roman" w:cs="Times New Roman"/>
        </w:rPr>
      </w:pPr>
      <w:r>
        <w:rPr>
          <w:rFonts w:ascii="Times New Roman" w:hAnsi="Times New Roman" w:cs="Times New Roman"/>
        </w:rPr>
        <w:t>Facsimile:   (614) 224-3960</w:t>
      </w:r>
    </w:p>
    <w:p w14:paraId="79DCE747" w14:textId="77777777" w:rsidR="00AB6B41" w:rsidRDefault="00AB6B41" w:rsidP="00AB6B41">
      <w:pPr>
        <w:ind w:left="5040"/>
        <w:rPr>
          <w:rFonts w:ascii="Times New Roman" w:hAnsi="Times New Roman" w:cs="Times New Roman"/>
        </w:rPr>
      </w:pPr>
      <w:r>
        <w:rPr>
          <w:rFonts w:ascii="Times New Roman" w:hAnsi="Times New Roman" w:cs="Times New Roman"/>
        </w:rPr>
        <w:t>whitt@whitt-sturtevant.com</w:t>
      </w:r>
    </w:p>
    <w:p w14:paraId="2AA198F6" w14:textId="77777777" w:rsidR="00AB6B41" w:rsidRDefault="00AB6B41" w:rsidP="00AB6B41">
      <w:pPr>
        <w:ind w:left="5040"/>
        <w:rPr>
          <w:rFonts w:ascii="Times New Roman" w:hAnsi="Times New Roman" w:cs="Times New Roman"/>
        </w:rPr>
      </w:pPr>
      <w:r>
        <w:rPr>
          <w:rFonts w:ascii="Times New Roman" w:hAnsi="Times New Roman" w:cs="Times New Roman"/>
        </w:rPr>
        <w:t>campbell@whitt-sturtevant.com</w:t>
      </w:r>
    </w:p>
    <w:p w14:paraId="1475ED1C" w14:textId="77777777" w:rsidR="00AB6B41" w:rsidRDefault="00AB6B41" w:rsidP="00AB6B41">
      <w:pPr>
        <w:ind w:left="5040"/>
        <w:rPr>
          <w:rFonts w:ascii="Times New Roman" w:hAnsi="Times New Roman" w:cs="Times New Roman"/>
        </w:rPr>
      </w:pPr>
      <w:r>
        <w:rPr>
          <w:rFonts w:ascii="Times New Roman" w:hAnsi="Times New Roman" w:cs="Times New Roman"/>
        </w:rPr>
        <w:t>thompson@whitt-sturtevant.com</w:t>
      </w:r>
    </w:p>
    <w:p w14:paraId="0B16198D" w14:textId="77777777" w:rsidR="00AB6B41" w:rsidRDefault="00AB6B41" w:rsidP="00AB6B41">
      <w:pPr>
        <w:ind w:left="5040"/>
        <w:rPr>
          <w:rFonts w:ascii="Times New Roman" w:hAnsi="Times New Roman" w:cs="Times New Roman"/>
        </w:rPr>
      </w:pPr>
    </w:p>
    <w:p w14:paraId="69DEE98C" w14:textId="77777777" w:rsidR="00AB6B41" w:rsidRDefault="00AB6B41" w:rsidP="00AB6B41">
      <w:pPr>
        <w:ind w:left="5040"/>
        <w:rPr>
          <w:rFonts w:ascii="Times New Roman" w:hAnsi="Times New Roman" w:cs="Times New Roman"/>
        </w:rPr>
      </w:pPr>
      <w:r>
        <w:rPr>
          <w:rFonts w:ascii="Times New Roman" w:hAnsi="Times New Roman" w:cs="Times New Roman"/>
        </w:rPr>
        <w:t>Matthew White</w:t>
      </w:r>
    </w:p>
    <w:p w14:paraId="27B289F6" w14:textId="77777777" w:rsidR="00AB6B41" w:rsidRDefault="00AB6B41" w:rsidP="00AB6B41">
      <w:pPr>
        <w:ind w:left="5040"/>
        <w:rPr>
          <w:rFonts w:ascii="Times New Roman" w:hAnsi="Times New Roman" w:cs="Times New Roman"/>
        </w:rPr>
      </w:pPr>
      <w:r>
        <w:rPr>
          <w:rFonts w:ascii="Times New Roman" w:hAnsi="Times New Roman" w:cs="Times New Roman"/>
        </w:rPr>
        <w:t>Interstate Gas Supply, Inc.</w:t>
      </w:r>
    </w:p>
    <w:p w14:paraId="07635DA4" w14:textId="77777777" w:rsidR="00AB6B41" w:rsidRDefault="00AB6B41" w:rsidP="00AB6B41">
      <w:pPr>
        <w:ind w:left="5040"/>
        <w:rPr>
          <w:rFonts w:ascii="Times New Roman" w:hAnsi="Times New Roman" w:cs="Times New Roman"/>
        </w:rPr>
      </w:pPr>
      <w:r>
        <w:rPr>
          <w:rFonts w:ascii="Times New Roman" w:hAnsi="Times New Roman" w:cs="Times New Roman"/>
        </w:rPr>
        <w:lastRenderedPageBreak/>
        <w:t>6100 Emerald Parkway</w:t>
      </w:r>
    </w:p>
    <w:p w14:paraId="0A0C03B2" w14:textId="77777777" w:rsidR="00AB6B41" w:rsidRDefault="00AB6B41" w:rsidP="00AB6B41">
      <w:pPr>
        <w:ind w:left="5040"/>
        <w:rPr>
          <w:rFonts w:ascii="Times New Roman" w:hAnsi="Times New Roman" w:cs="Times New Roman"/>
        </w:rPr>
      </w:pPr>
      <w:r>
        <w:rPr>
          <w:rFonts w:ascii="Times New Roman" w:hAnsi="Times New Roman" w:cs="Times New Roman"/>
        </w:rPr>
        <w:t>Dublin, Ohio 43016</w:t>
      </w:r>
    </w:p>
    <w:p w14:paraId="09F6701A" w14:textId="77777777" w:rsidR="00AB6B41" w:rsidRDefault="00AB6B41" w:rsidP="00AB6B41">
      <w:pPr>
        <w:ind w:left="5040"/>
        <w:rPr>
          <w:rFonts w:ascii="Times New Roman" w:hAnsi="Times New Roman" w:cs="Times New Roman"/>
        </w:rPr>
      </w:pPr>
      <w:r>
        <w:rPr>
          <w:rFonts w:ascii="Times New Roman" w:hAnsi="Times New Roman" w:cs="Times New Roman"/>
        </w:rPr>
        <w:t>Telephone:  (614) 659-5000</w:t>
      </w:r>
    </w:p>
    <w:p w14:paraId="4E373DE8" w14:textId="77777777" w:rsidR="00AB6B41" w:rsidRDefault="00AB6B41" w:rsidP="00AB6B41">
      <w:pPr>
        <w:ind w:left="5040"/>
        <w:rPr>
          <w:rFonts w:ascii="Times New Roman" w:hAnsi="Times New Roman" w:cs="Times New Roman"/>
        </w:rPr>
      </w:pPr>
      <w:r>
        <w:rPr>
          <w:rFonts w:ascii="Times New Roman" w:hAnsi="Times New Roman" w:cs="Times New Roman"/>
        </w:rPr>
        <w:t>Facsimile:   (614) 659-5073</w:t>
      </w:r>
    </w:p>
    <w:p w14:paraId="384ECA6B" w14:textId="77777777" w:rsidR="00AB6B41" w:rsidRDefault="00AB6B41" w:rsidP="00AB6B41">
      <w:pPr>
        <w:ind w:left="5040"/>
        <w:rPr>
          <w:rFonts w:ascii="Times New Roman" w:hAnsi="Times New Roman" w:cs="Times New Roman"/>
        </w:rPr>
      </w:pPr>
      <w:r>
        <w:rPr>
          <w:rFonts w:ascii="Times New Roman" w:hAnsi="Times New Roman" w:cs="Times New Roman"/>
        </w:rPr>
        <w:t>mswhite@igsenergy.com</w:t>
      </w:r>
    </w:p>
    <w:p w14:paraId="41B83C3E" w14:textId="77777777" w:rsidR="00AB6B41" w:rsidRDefault="00AB6B41" w:rsidP="00AB6B41">
      <w:pPr>
        <w:rPr>
          <w:rFonts w:ascii="Times New Roman" w:hAnsi="Times New Roman" w:cs="Times New Roman"/>
        </w:rPr>
      </w:pPr>
    </w:p>
    <w:p w14:paraId="53EBFA67" w14:textId="77777777" w:rsidR="00AB6B41" w:rsidRDefault="00AB6B41" w:rsidP="00AB6B41">
      <w:pPr>
        <w:ind w:left="5040"/>
        <w:rPr>
          <w:rFonts w:ascii="Times New Roman" w:hAnsi="Times New Roman" w:cs="Times New Roman"/>
        </w:rPr>
      </w:pPr>
      <w:r>
        <w:rPr>
          <w:rFonts w:ascii="Times New Roman" w:hAnsi="Times New Roman" w:cs="Times New Roman"/>
        </w:rPr>
        <w:t>ATTORNEYS FOR INTERSTATE GAS SUPPLY, INC.</w:t>
      </w:r>
    </w:p>
    <w:p w14:paraId="49C75C3E" w14:textId="0B11E99B" w:rsidR="00BF5E79" w:rsidRDefault="00BF5E79" w:rsidP="00BF5E79">
      <w:pPr>
        <w:spacing w:line="480" w:lineRule="auto"/>
        <w:rPr>
          <w:rFonts w:ascii="Times New Roman" w:hAnsi="Times New Roman" w:cs="Times New Roman"/>
        </w:rPr>
        <w:sectPr w:rsidR="00BF5E79" w:rsidSect="0079342F">
          <w:footerReference w:type="default" r:id="rId11"/>
          <w:pgSz w:w="12240" w:h="15840"/>
          <w:pgMar w:top="1440" w:right="1440" w:bottom="1440" w:left="1440" w:header="720" w:footer="720" w:gutter="0"/>
          <w:pgNumType w:start="1"/>
          <w:cols w:space="720"/>
          <w:titlePg/>
          <w:docGrid w:linePitch="360"/>
        </w:sectPr>
      </w:pPr>
    </w:p>
    <w:p w14:paraId="002A9097" w14:textId="77777777" w:rsidR="00BF5E79" w:rsidRDefault="00BF5E79" w:rsidP="00BF5E79">
      <w:pPr>
        <w:spacing w:line="480" w:lineRule="auto"/>
        <w:jc w:val="center"/>
        <w:rPr>
          <w:rFonts w:ascii="Times New Roman" w:hAnsi="Times New Roman" w:cs="Times New Roman"/>
        </w:rPr>
      </w:pPr>
      <w:r>
        <w:rPr>
          <w:rFonts w:ascii="Times New Roman" w:hAnsi="Times New Roman" w:cs="Times New Roman"/>
          <w:b/>
          <w:u w:val="single"/>
        </w:rPr>
        <w:lastRenderedPageBreak/>
        <w:t>CERTIFICATE OF SERVICE</w:t>
      </w:r>
    </w:p>
    <w:p w14:paraId="7BF9B111" w14:textId="77777777" w:rsidR="00BF5E79" w:rsidRDefault="00BF5E79" w:rsidP="00BF5E79">
      <w:pPr>
        <w:spacing w:line="480" w:lineRule="auto"/>
        <w:rPr>
          <w:rFonts w:ascii="Times New Roman" w:hAnsi="Times New Roman" w:cs="Times New Roman"/>
        </w:rPr>
      </w:pPr>
      <w:r>
        <w:rPr>
          <w:rFonts w:ascii="Times New Roman" w:hAnsi="Times New Roman" w:cs="Times New Roman"/>
        </w:rPr>
        <w:tab/>
        <w:t>I hereby certify that a copy of the Post-Hearing Brief of Interstate Gas Supply, Inc. was served to the following parties by electronic mail this 29th day of June, 2012:</w:t>
      </w:r>
    </w:p>
    <w:tbl>
      <w:tblPr>
        <w:tblW w:w="0" w:type="auto"/>
        <w:tblLook w:val="04A0" w:firstRow="1" w:lastRow="0" w:firstColumn="1" w:lastColumn="0" w:noHBand="0" w:noVBand="1"/>
      </w:tblPr>
      <w:tblGrid>
        <w:gridCol w:w="4428"/>
        <w:gridCol w:w="4428"/>
      </w:tblGrid>
      <w:tr w:rsidR="00DE04C6" w:rsidRPr="00DE04C6" w14:paraId="74B00D64" w14:textId="77777777" w:rsidTr="00DE04C6">
        <w:tc>
          <w:tcPr>
            <w:tcW w:w="4428" w:type="dxa"/>
            <w:shd w:val="clear" w:color="auto" w:fill="auto"/>
          </w:tcPr>
          <w:p w14:paraId="011B3621"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greta.see@puc.state.oh.us</w:t>
            </w:r>
          </w:p>
          <w:p w14:paraId="0BF8474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jeff.jones@puc.state.oh.us</w:t>
            </w:r>
          </w:p>
          <w:p w14:paraId="4ED3974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Daniel.Shields@puc.state.oh.us</w:t>
            </w:r>
          </w:p>
          <w:p w14:paraId="2660843C"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Tammy.Turkenton@puc.state.oh.us</w:t>
            </w:r>
          </w:p>
          <w:p w14:paraId="5FBDBB6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Jonathan.Tauber@puc.state.oh.us</w:t>
            </w:r>
          </w:p>
          <w:p w14:paraId="0CCA39F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Jodi.Bair@puc.state.oh.us</w:t>
            </w:r>
          </w:p>
          <w:p w14:paraId="451E049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Bob.Fortney@puc.state.oh.us</w:t>
            </w:r>
          </w:p>
          <w:p w14:paraId="2BA291C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Doris.McCarter@puc.state.oh.us</w:t>
            </w:r>
          </w:p>
          <w:p w14:paraId="16BF94B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Stephen.Reilly@puc.state.oh.us</w:t>
            </w:r>
          </w:p>
          <w:p w14:paraId="4EB8783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Werner.Margard@puc.state.oh.us</w:t>
            </w:r>
          </w:p>
          <w:p w14:paraId="15E879A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William.Wright@puc.state.oh.us</w:t>
            </w:r>
          </w:p>
          <w:p w14:paraId="128F9A77"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Thomas.Lindgren@puc.state.oh.us</w:t>
            </w:r>
          </w:p>
          <w:p w14:paraId="2A2593C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john.jones@puc.state.oh.us</w:t>
            </w:r>
          </w:p>
          <w:p w14:paraId="7EA4381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dclark1@aep.com</w:t>
            </w:r>
          </w:p>
          <w:p w14:paraId="7D09175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grady@occ.state.oh.us</w:t>
            </w:r>
          </w:p>
          <w:p w14:paraId="60D1FD0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keith.nusbaum@snrdenton.com</w:t>
            </w:r>
          </w:p>
          <w:p w14:paraId="72E62427"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kpkreider@kmklaw.com</w:t>
            </w:r>
          </w:p>
          <w:p w14:paraId="0205E81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mjsatterwhite@aep.com</w:t>
            </w:r>
          </w:p>
          <w:p w14:paraId="37A5F1B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ned.ford@fuse.net</w:t>
            </w:r>
          </w:p>
          <w:p w14:paraId="7436727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pfox@hilliardohio.gov</w:t>
            </w:r>
          </w:p>
          <w:p w14:paraId="67D120A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ricks@ohanet.org</w:t>
            </w:r>
          </w:p>
          <w:p w14:paraId="5CDFA5E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stnourse@aep.com</w:t>
            </w:r>
          </w:p>
          <w:p w14:paraId="0AED527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cathy@theoec.org</w:t>
            </w:r>
          </w:p>
          <w:p w14:paraId="4D8138C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dsullivan@nrdc.org</w:t>
            </w:r>
          </w:p>
          <w:p w14:paraId="716C282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aehaedt@jonesday.com</w:t>
            </w:r>
          </w:p>
          <w:p w14:paraId="5D4DFFD1"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dakutik@jonesday.com</w:t>
            </w:r>
          </w:p>
          <w:p w14:paraId="145BDB0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haydenm@firstenergycorp.com</w:t>
            </w:r>
          </w:p>
          <w:p w14:paraId="22EF71A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dconway@porterwright.com</w:t>
            </w:r>
          </w:p>
          <w:p w14:paraId="56E86ED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jlang@calfee.com</w:t>
            </w:r>
          </w:p>
          <w:p w14:paraId="2DF0C6A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lmcbride@calfee.com</w:t>
            </w:r>
          </w:p>
          <w:p w14:paraId="0902F13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talexander@calfee.com</w:t>
            </w:r>
          </w:p>
          <w:p w14:paraId="50ED2D1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etter@occ.state.oh.us</w:t>
            </w:r>
          </w:p>
          <w:p w14:paraId="35E892B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grady@occ.state.oh.us</w:t>
            </w:r>
          </w:p>
          <w:p w14:paraId="365166E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small@occ.state.oh.us</w:t>
            </w:r>
          </w:p>
          <w:p w14:paraId="6BE4648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cynthia.a.fonner@constellation.com</w:t>
            </w:r>
          </w:p>
          <w:p w14:paraId="33F1A85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David.fein@constellation.com</w:t>
            </w:r>
          </w:p>
          <w:p w14:paraId="58D42A6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Dorothy.corbett@duke-energy.com</w:t>
            </w:r>
          </w:p>
          <w:p w14:paraId="5E6AD973"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Amy.spiller@duke-energy.com</w:t>
            </w:r>
          </w:p>
          <w:p w14:paraId="4425078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dboehm@bkllawfirm.com</w:t>
            </w:r>
          </w:p>
          <w:p w14:paraId="5B9F0F2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mkurtz@bkllawfirm.com</w:t>
            </w:r>
          </w:p>
          <w:p w14:paraId="001512B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lastRenderedPageBreak/>
              <w:t>ricks@ohanet.org</w:t>
            </w:r>
          </w:p>
          <w:p w14:paraId="437C2EF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tobrien@bricker.com</w:t>
            </w:r>
          </w:p>
          <w:p w14:paraId="0E222821"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jbentine@taftlaw.com</w:t>
            </w:r>
          </w:p>
          <w:p w14:paraId="4F6A20C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myurick@taftlaw.com</w:t>
            </w:r>
          </w:p>
          <w:p w14:paraId="357935C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zkravitz@taftlaw.com</w:t>
            </w:r>
          </w:p>
          <w:p w14:paraId="061032C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jejadwin@aep.com</w:t>
            </w:r>
          </w:p>
          <w:p w14:paraId="367924A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msmalz@ohiopovertylaw.org</w:t>
            </w:r>
          </w:p>
          <w:p w14:paraId="6080207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jmaskovyak@ohiopovertylaw.org</w:t>
            </w:r>
          </w:p>
          <w:p w14:paraId="2E6B44FC"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todonnell@bricker.com</w:t>
            </w:r>
          </w:p>
          <w:p w14:paraId="64424EC3"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cendsley@ofbf.org</w:t>
            </w:r>
          </w:p>
          <w:p w14:paraId="5ED4792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christopher.miller@icemiller.com</w:t>
            </w:r>
          </w:p>
          <w:p w14:paraId="1839106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asim.haque@icemiller.com</w:t>
            </w:r>
          </w:p>
          <w:p w14:paraId="671A239B" w14:textId="328DACC0"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gregory.dunn@icemiller.com</w:t>
            </w:r>
          </w:p>
        </w:tc>
        <w:tc>
          <w:tcPr>
            <w:tcW w:w="4428" w:type="dxa"/>
            <w:shd w:val="clear" w:color="auto" w:fill="auto"/>
          </w:tcPr>
          <w:p w14:paraId="70D4DBE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lastRenderedPageBreak/>
              <w:t>cmontgomery@bricker.com</w:t>
            </w:r>
          </w:p>
          <w:p w14:paraId="3106258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lmcalister@bricker.com</w:t>
            </w:r>
          </w:p>
          <w:p w14:paraId="53D9C35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mwarnock@bricker.com</w:t>
            </w:r>
          </w:p>
          <w:p w14:paraId="6428D08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gthomas@gtpowergroup.com</w:t>
            </w:r>
          </w:p>
          <w:p w14:paraId="0CD3B92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wmassey@cov.com</w:t>
            </w:r>
          </w:p>
          <w:p w14:paraId="31731AA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henryeckhart@aol.com</w:t>
            </w:r>
          </w:p>
          <w:p w14:paraId="27D1904B"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laurac@chappelleconsulting.net</w:t>
            </w:r>
          </w:p>
          <w:p w14:paraId="2D99661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sandy.grace@exeloncorp.com</w:t>
            </w:r>
          </w:p>
          <w:p w14:paraId="70EF2A5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mhpetricoff@vorys.com</w:t>
            </w:r>
          </w:p>
          <w:p w14:paraId="22385A9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smhoward@vorys.com</w:t>
            </w:r>
          </w:p>
          <w:p w14:paraId="66F75C6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mjsettineri@vorys.com</w:t>
            </w:r>
          </w:p>
          <w:p w14:paraId="3AA061D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lkalepsclark@vorys.com</w:t>
            </w:r>
          </w:p>
          <w:p w14:paraId="35D72697"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bakahn@vorys.com</w:t>
            </w:r>
          </w:p>
          <w:p w14:paraId="19F0376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Gary.A.Jeffries@dom.com</w:t>
            </w:r>
          </w:p>
          <w:p w14:paraId="2F89A43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Stephen.chriss@wal-mart.com</w:t>
            </w:r>
          </w:p>
          <w:p w14:paraId="4E6D7DE3"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dmeyer@kmklaw.com</w:t>
            </w:r>
          </w:p>
          <w:p w14:paraId="5983583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holly@raysmithlaw.com</w:t>
            </w:r>
          </w:p>
          <w:p w14:paraId="1EDCEFC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barthroyer@aol.com</w:t>
            </w:r>
          </w:p>
          <w:p w14:paraId="1CE79A6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philip.sineneng@thompsonhine.com</w:t>
            </w:r>
          </w:p>
          <w:p w14:paraId="7C1B5DF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carolyn.flahive@thompsonhine.com</w:t>
            </w:r>
          </w:p>
          <w:p w14:paraId="40F008C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terrance.mebane@thompsonhine.com</w:t>
            </w:r>
          </w:p>
          <w:p w14:paraId="538D512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cmooney2@columbus.rr.com</w:t>
            </w:r>
          </w:p>
          <w:p w14:paraId="6F6EE1A3"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drinebolt@ohiopartners.org</w:t>
            </w:r>
          </w:p>
          <w:p w14:paraId="0BD32B5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trent@theoeg.com</w:t>
            </w:r>
          </w:p>
          <w:p w14:paraId="3F319B11"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nolan@theoec.org</w:t>
            </w:r>
          </w:p>
          <w:p w14:paraId="6D16B071"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gpoulos@enernoc.com</w:t>
            </w:r>
          </w:p>
          <w:p w14:paraId="1A7BD40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emma.hand@snrdenton.com</w:t>
            </w:r>
          </w:p>
          <w:p w14:paraId="1B8165C3"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doug.bonner@snrdenton.com</w:t>
            </w:r>
          </w:p>
          <w:p w14:paraId="4E29A82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clinton.vince@snrdenton.com</w:t>
            </w:r>
          </w:p>
          <w:p w14:paraId="2F25CB5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sam@mwncmh.com</w:t>
            </w:r>
          </w:p>
          <w:p w14:paraId="57F6D89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joliker@mwncmh.com</w:t>
            </w:r>
          </w:p>
          <w:p w14:paraId="33E1039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fdarr@mwncmh.com</w:t>
            </w:r>
          </w:p>
          <w:p w14:paraId="5A53515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jestes@skadden.com</w:t>
            </w:r>
          </w:p>
          <w:p w14:paraId="4963FA6D"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paul.wight@skadden.com</w:t>
            </w:r>
          </w:p>
          <w:p w14:paraId="1B8B0B8E"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dstahl@eimerstahl.com</w:t>
            </w:r>
          </w:p>
          <w:p w14:paraId="404705E7"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aaragona@eimerstahl.com</w:t>
            </w:r>
          </w:p>
          <w:p w14:paraId="7FBA350C"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ssolberg@eimerstahl.com</w:t>
            </w:r>
          </w:p>
          <w:p w14:paraId="25920E2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tsantarelli@elpc.org</w:t>
            </w:r>
          </w:p>
          <w:p w14:paraId="6F361E06"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callwein@wamenergylaw.com</w:t>
            </w:r>
          </w:p>
          <w:p w14:paraId="0A2AB1F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malina@wexlerwalker.com</w:t>
            </w:r>
          </w:p>
          <w:p w14:paraId="22F8EB14"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lastRenderedPageBreak/>
              <w:t>jkooper@hess.com</w:t>
            </w:r>
          </w:p>
          <w:p w14:paraId="425F1C2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kguerry@hess.com</w:t>
            </w:r>
          </w:p>
          <w:p w14:paraId="55C805B8"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afreifeld@viridityenergy.com</w:t>
            </w:r>
          </w:p>
          <w:p w14:paraId="75903FDA"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swolfe@viridityenergy.com</w:t>
            </w:r>
          </w:p>
          <w:p w14:paraId="39EE907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korenergy@insight.rr.com</w:t>
            </w:r>
          </w:p>
          <w:p w14:paraId="102A2D2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sasloan@aep.com</w:t>
            </w:r>
          </w:p>
          <w:p w14:paraId="3D141DC5"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Dane.Stinson@baileycavalieri.com</w:t>
            </w:r>
          </w:p>
          <w:p w14:paraId="47C6E329"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Jeanne.Kingery@duke-energy.com</w:t>
            </w:r>
          </w:p>
          <w:p w14:paraId="34057882"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cendsley@ofbf.org</w:t>
            </w:r>
          </w:p>
          <w:p w14:paraId="50ECDA2F"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bpbarger@bcslawyers.com</w:t>
            </w:r>
          </w:p>
          <w:p w14:paraId="297B1770" w14:textId="77777777"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kaelber@buckleyking.com</w:t>
            </w:r>
          </w:p>
          <w:p w14:paraId="416FAF97" w14:textId="1462EF94" w:rsidR="00DE04C6" w:rsidRPr="00DE04C6" w:rsidRDefault="00DE04C6" w:rsidP="00DE04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walter@buckleyking.com</w:t>
            </w:r>
          </w:p>
        </w:tc>
      </w:tr>
    </w:tbl>
    <w:p w14:paraId="1E716D22" w14:textId="77777777" w:rsidR="00BF5E79" w:rsidRDefault="00BF5E79" w:rsidP="00BF5E79">
      <w:pPr>
        <w:spacing w:line="480" w:lineRule="auto"/>
        <w:rPr>
          <w:rFonts w:ascii="Times New Roman" w:hAnsi="Times New Roman" w:cs="Times New Roman"/>
        </w:rPr>
      </w:pPr>
    </w:p>
    <w:p w14:paraId="00746116" w14:textId="77777777" w:rsidR="00BF5E79" w:rsidRDefault="00BF5E79" w:rsidP="00BF5E79">
      <w:pPr>
        <w:ind w:left="5040"/>
        <w:rPr>
          <w:rFonts w:ascii="Times New Roman" w:hAnsi="Times New Roman" w:cs="Times New Roman"/>
        </w:rPr>
      </w:pPr>
      <w:r>
        <w:rPr>
          <w:rFonts w:ascii="Times New Roman" w:hAnsi="Times New Roman" w:cs="Times New Roman"/>
          <w:u w:val="single"/>
        </w:rPr>
        <w:t>/s/ Mark A. Whitt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BBD3128" w14:textId="77777777" w:rsidR="00BF5E79" w:rsidRPr="00985C31" w:rsidRDefault="00BF5E79" w:rsidP="00BF5E79">
      <w:pPr>
        <w:ind w:left="5040"/>
        <w:rPr>
          <w:rFonts w:ascii="Times New Roman" w:hAnsi="Times New Roman" w:cs="Times New Roman"/>
        </w:rPr>
      </w:pPr>
      <w:proofErr w:type="gramStart"/>
      <w:r>
        <w:rPr>
          <w:rFonts w:ascii="Times New Roman" w:hAnsi="Times New Roman" w:cs="Times New Roman"/>
        </w:rPr>
        <w:t>One of the Attorneys for Interstate Gas Supply, Inc.</w:t>
      </w:r>
      <w:proofErr w:type="gramEnd"/>
    </w:p>
    <w:p w14:paraId="74138CCB" w14:textId="77777777" w:rsidR="00BF5E79" w:rsidRPr="00BF5E79" w:rsidRDefault="00BF5E79" w:rsidP="00BF5E79">
      <w:pPr>
        <w:spacing w:line="480" w:lineRule="auto"/>
        <w:rPr>
          <w:rFonts w:ascii="Times New Roman" w:hAnsi="Times New Roman" w:cs="Times New Roman"/>
        </w:rPr>
      </w:pPr>
    </w:p>
    <w:sectPr w:rsidR="00BF5E79" w:rsidRPr="00BF5E79" w:rsidSect="00C07D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BB434" w14:textId="77777777" w:rsidR="00D76D90" w:rsidRDefault="00D76D90" w:rsidP="0079342F">
      <w:r>
        <w:separator/>
      </w:r>
    </w:p>
  </w:endnote>
  <w:endnote w:type="continuationSeparator" w:id="0">
    <w:p w14:paraId="7066FBE9" w14:textId="77777777" w:rsidR="00D76D90" w:rsidRDefault="00D76D90" w:rsidP="0079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6E38" w14:textId="77777777" w:rsidR="00D76D90" w:rsidRDefault="00D76D90" w:rsidP="00793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9A7AA" w14:textId="77777777" w:rsidR="00D76D90" w:rsidRDefault="00D76D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F3815" w14:textId="77777777" w:rsidR="00D76D90" w:rsidRPr="0079342F" w:rsidRDefault="00D76D90" w:rsidP="0079342F">
    <w:pPr>
      <w:pStyle w:val="Footer"/>
      <w:framePr w:wrap="around" w:vAnchor="text" w:hAnchor="margin" w:xAlign="center" w:y="1"/>
      <w:rPr>
        <w:rStyle w:val="PageNumber"/>
        <w:rFonts w:ascii="Times New Roman" w:hAnsi="Times New Roman" w:cs="Times New Roman"/>
      </w:rPr>
    </w:pPr>
    <w:r w:rsidRPr="0079342F">
      <w:rPr>
        <w:rStyle w:val="PageNumber"/>
        <w:rFonts w:ascii="Times New Roman" w:hAnsi="Times New Roman" w:cs="Times New Roman"/>
      </w:rPr>
      <w:fldChar w:fldCharType="begin"/>
    </w:r>
    <w:r w:rsidRPr="0079342F">
      <w:rPr>
        <w:rStyle w:val="PageNumber"/>
        <w:rFonts w:ascii="Times New Roman" w:hAnsi="Times New Roman" w:cs="Times New Roman"/>
      </w:rPr>
      <w:instrText xml:space="preserve">PAGE  </w:instrText>
    </w:r>
    <w:r w:rsidRPr="0079342F">
      <w:rPr>
        <w:rStyle w:val="PageNumber"/>
        <w:rFonts w:ascii="Times New Roman" w:hAnsi="Times New Roman" w:cs="Times New Roman"/>
      </w:rPr>
      <w:fldChar w:fldCharType="separate"/>
    </w:r>
    <w:r>
      <w:rPr>
        <w:rStyle w:val="PageNumber"/>
        <w:rFonts w:ascii="Times New Roman" w:hAnsi="Times New Roman" w:cs="Times New Roman"/>
        <w:noProof/>
      </w:rPr>
      <w:t>2</w:t>
    </w:r>
    <w:r w:rsidRPr="0079342F">
      <w:rPr>
        <w:rStyle w:val="PageNumber"/>
        <w:rFonts w:ascii="Times New Roman" w:hAnsi="Times New Roman" w:cs="Times New Roman"/>
      </w:rPr>
      <w:fldChar w:fldCharType="end"/>
    </w:r>
  </w:p>
  <w:p w14:paraId="77C5EB98" w14:textId="77777777" w:rsidR="00D76D90" w:rsidRDefault="00D76D9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91657" w14:textId="77777777" w:rsidR="00D76D90" w:rsidRDefault="00D76D9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34A24" w14:textId="77777777" w:rsidR="00D76D90" w:rsidRPr="0079342F" w:rsidRDefault="00D76D90" w:rsidP="0079342F">
    <w:pPr>
      <w:pStyle w:val="Footer"/>
      <w:framePr w:wrap="around" w:vAnchor="text" w:hAnchor="margin" w:xAlign="center" w:y="1"/>
      <w:rPr>
        <w:rStyle w:val="PageNumber"/>
        <w:rFonts w:ascii="Times New Roman" w:hAnsi="Times New Roman" w:cs="Times New Roman"/>
      </w:rPr>
    </w:pPr>
    <w:r w:rsidRPr="0079342F">
      <w:rPr>
        <w:rStyle w:val="PageNumber"/>
        <w:rFonts w:ascii="Times New Roman" w:hAnsi="Times New Roman" w:cs="Times New Roman"/>
      </w:rPr>
      <w:fldChar w:fldCharType="begin"/>
    </w:r>
    <w:r w:rsidRPr="0079342F">
      <w:rPr>
        <w:rStyle w:val="PageNumber"/>
        <w:rFonts w:ascii="Times New Roman" w:hAnsi="Times New Roman" w:cs="Times New Roman"/>
      </w:rPr>
      <w:instrText xml:space="preserve">PAGE  </w:instrText>
    </w:r>
    <w:r w:rsidRPr="0079342F">
      <w:rPr>
        <w:rStyle w:val="PageNumber"/>
        <w:rFonts w:ascii="Times New Roman" w:hAnsi="Times New Roman" w:cs="Times New Roman"/>
      </w:rPr>
      <w:fldChar w:fldCharType="separate"/>
    </w:r>
    <w:r w:rsidR="00262963">
      <w:rPr>
        <w:rStyle w:val="PageNumber"/>
        <w:rFonts w:ascii="Times New Roman" w:hAnsi="Times New Roman" w:cs="Times New Roman"/>
        <w:noProof/>
      </w:rPr>
      <w:t>15</w:t>
    </w:r>
    <w:r w:rsidRPr="0079342F">
      <w:rPr>
        <w:rStyle w:val="PageNumber"/>
        <w:rFonts w:ascii="Times New Roman" w:hAnsi="Times New Roman" w:cs="Times New Roman"/>
      </w:rPr>
      <w:fldChar w:fldCharType="end"/>
    </w:r>
  </w:p>
  <w:p w14:paraId="00D03ED1" w14:textId="77777777" w:rsidR="00D76D90" w:rsidRDefault="00D76D90">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351B" w14:textId="77777777" w:rsidR="00D76D90" w:rsidRPr="00522E4E" w:rsidRDefault="00D76D90" w:rsidP="00AB6B41">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256A0" w14:textId="77777777" w:rsidR="00D76D90" w:rsidRDefault="00D76D90" w:rsidP="0079342F">
      <w:r>
        <w:separator/>
      </w:r>
    </w:p>
  </w:footnote>
  <w:footnote w:type="continuationSeparator" w:id="0">
    <w:p w14:paraId="0B573B4F" w14:textId="77777777" w:rsidR="00D76D90" w:rsidRDefault="00D76D90" w:rsidP="00793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79"/>
    <w:rsid w:val="00007BDD"/>
    <w:rsid w:val="00036DD6"/>
    <w:rsid w:val="00073B12"/>
    <w:rsid w:val="00084521"/>
    <w:rsid w:val="000B3396"/>
    <w:rsid w:val="000B3B26"/>
    <w:rsid w:val="000E23C9"/>
    <w:rsid w:val="000F32A3"/>
    <w:rsid w:val="000F3922"/>
    <w:rsid w:val="001225EB"/>
    <w:rsid w:val="00170F09"/>
    <w:rsid w:val="00172A31"/>
    <w:rsid w:val="00180F56"/>
    <w:rsid w:val="001A2BA8"/>
    <w:rsid w:val="001A61C3"/>
    <w:rsid w:val="001D2F67"/>
    <w:rsid w:val="0022183C"/>
    <w:rsid w:val="00236F1D"/>
    <w:rsid w:val="00252208"/>
    <w:rsid w:val="00262963"/>
    <w:rsid w:val="002818A8"/>
    <w:rsid w:val="00295663"/>
    <w:rsid w:val="003405A9"/>
    <w:rsid w:val="00361CFD"/>
    <w:rsid w:val="00363CCA"/>
    <w:rsid w:val="00380371"/>
    <w:rsid w:val="00382A95"/>
    <w:rsid w:val="003A0674"/>
    <w:rsid w:val="003A3D5A"/>
    <w:rsid w:val="003A70E5"/>
    <w:rsid w:val="003B6A01"/>
    <w:rsid w:val="003C22ED"/>
    <w:rsid w:val="003C2987"/>
    <w:rsid w:val="003D58FB"/>
    <w:rsid w:val="003D5C63"/>
    <w:rsid w:val="00425463"/>
    <w:rsid w:val="00446E1A"/>
    <w:rsid w:val="00462187"/>
    <w:rsid w:val="004A78E7"/>
    <w:rsid w:val="004B08CC"/>
    <w:rsid w:val="004C7BD1"/>
    <w:rsid w:val="004D15A3"/>
    <w:rsid w:val="004F2F7C"/>
    <w:rsid w:val="00511B9F"/>
    <w:rsid w:val="005376B2"/>
    <w:rsid w:val="00565C81"/>
    <w:rsid w:val="00581FDF"/>
    <w:rsid w:val="005A06A1"/>
    <w:rsid w:val="005B7407"/>
    <w:rsid w:val="005C44E7"/>
    <w:rsid w:val="00623016"/>
    <w:rsid w:val="006349FD"/>
    <w:rsid w:val="00683258"/>
    <w:rsid w:val="00683F9B"/>
    <w:rsid w:val="00692399"/>
    <w:rsid w:val="006C1BAB"/>
    <w:rsid w:val="006D19E1"/>
    <w:rsid w:val="006E467A"/>
    <w:rsid w:val="00703B70"/>
    <w:rsid w:val="007646BE"/>
    <w:rsid w:val="00776544"/>
    <w:rsid w:val="0079342F"/>
    <w:rsid w:val="007B4DAC"/>
    <w:rsid w:val="007C0A80"/>
    <w:rsid w:val="007C5234"/>
    <w:rsid w:val="00814A9F"/>
    <w:rsid w:val="00822146"/>
    <w:rsid w:val="00835C38"/>
    <w:rsid w:val="00840A33"/>
    <w:rsid w:val="00857E50"/>
    <w:rsid w:val="008655AF"/>
    <w:rsid w:val="00866C6C"/>
    <w:rsid w:val="00875BA4"/>
    <w:rsid w:val="0089226C"/>
    <w:rsid w:val="008C6622"/>
    <w:rsid w:val="008D166C"/>
    <w:rsid w:val="008E20E2"/>
    <w:rsid w:val="008E31B7"/>
    <w:rsid w:val="008F48AC"/>
    <w:rsid w:val="00905A5F"/>
    <w:rsid w:val="009158EF"/>
    <w:rsid w:val="009328ED"/>
    <w:rsid w:val="00940FC8"/>
    <w:rsid w:val="0094225C"/>
    <w:rsid w:val="00952C70"/>
    <w:rsid w:val="009554AE"/>
    <w:rsid w:val="00973743"/>
    <w:rsid w:val="009A5778"/>
    <w:rsid w:val="009C7392"/>
    <w:rsid w:val="009D60BB"/>
    <w:rsid w:val="009E753C"/>
    <w:rsid w:val="00A04688"/>
    <w:rsid w:val="00A11350"/>
    <w:rsid w:val="00A20710"/>
    <w:rsid w:val="00A26276"/>
    <w:rsid w:val="00A51A24"/>
    <w:rsid w:val="00A55AFE"/>
    <w:rsid w:val="00AB27C1"/>
    <w:rsid w:val="00AB3EBF"/>
    <w:rsid w:val="00AB6B41"/>
    <w:rsid w:val="00AE016A"/>
    <w:rsid w:val="00AF2661"/>
    <w:rsid w:val="00B066CE"/>
    <w:rsid w:val="00B458E8"/>
    <w:rsid w:val="00B65698"/>
    <w:rsid w:val="00B65C2A"/>
    <w:rsid w:val="00B669AF"/>
    <w:rsid w:val="00BA2E1A"/>
    <w:rsid w:val="00BD49A0"/>
    <w:rsid w:val="00BF5E79"/>
    <w:rsid w:val="00C07D65"/>
    <w:rsid w:val="00C852E8"/>
    <w:rsid w:val="00CA1CB1"/>
    <w:rsid w:val="00CB168F"/>
    <w:rsid w:val="00CD0060"/>
    <w:rsid w:val="00CD3351"/>
    <w:rsid w:val="00CE16AB"/>
    <w:rsid w:val="00CF5137"/>
    <w:rsid w:val="00D0735E"/>
    <w:rsid w:val="00D110CD"/>
    <w:rsid w:val="00D60334"/>
    <w:rsid w:val="00D6450E"/>
    <w:rsid w:val="00D7279C"/>
    <w:rsid w:val="00D74B03"/>
    <w:rsid w:val="00D76D90"/>
    <w:rsid w:val="00DE04C6"/>
    <w:rsid w:val="00DE0DE6"/>
    <w:rsid w:val="00DF603C"/>
    <w:rsid w:val="00E01931"/>
    <w:rsid w:val="00E03B54"/>
    <w:rsid w:val="00E227B8"/>
    <w:rsid w:val="00E3269F"/>
    <w:rsid w:val="00E34063"/>
    <w:rsid w:val="00E474B8"/>
    <w:rsid w:val="00E5051D"/>
    <w:rsid w:val="00E666AC"/>
    <w:rsid w:val="00E75BFF"/>
    <w:rsid w:val="00E90121"/>
    <w:rsid w:val="00EB7B70"/>
    <w:rsid w:val="00EC0B26"/>
    <w:rsid w:val="00EC1074"/>
    <w:rsid w:val="00ED565A"/>
    <w:rsid w:val="00EE03B5"/>
    <w:rsid w:val="00EF0358"/>
    <w:rsid w:val="00F119C4"/>
    <w:rsid w:val="00F25805"/>
    <w:rsid w:val="00F40CB2"/>
    <w:rsid w:val="00F52381"/>
    <w:rsid w:val="00F544C2"/>
    <w:rsid w:val="00F64198"/>
    <w:rsid w:val="00F90FE1"/>
    <w:rsid w:val="00FC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A16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E79"/>
    <w:pPr>
      <w:ind w:left="720"/>
      <w:contextualSpacing/>
    </w:pPr>
  </w:style>
  <w:style w:type="paragraph" w:styleId="Footer">
    <w:name w:val="footer"/>
    <w:basedOn w:val="Normal"/>
    <w:link w:val="FooterChar"/>
    <w:uiPriority w:val="99"/>
    <w:unhideWhenUsed/>
    <w:rsid w:val="00BF5E79"/>
    <w:pPr>
      <w:tabs>
        <w:tab w:val="center" w:pos="4320"/>
        <w:tab w:val="right" w:pos="8640"/>
      </w:tabs>
    </w:pPr>
  </w:style>
  <w:style w:type="character" w:customStyle="1" w:styleId="FooterChar">
    <w:name w:val="Footer Char"/>
    <w:basedOn w:val="DefaultParagraphFont"/>
    <w:link w:val="Footer"/>
    <w:uiPriority w:val="99"/>
    <w:rsid w:val="00BF5E79"/>
  </w:style>
  <w:style w:type="character" w:styleId="Hyperlink">
    <w:name w:val="Hyperlink"/>
    <w:basedOn w:val="DefaultParagraphFont"/>
    <w:uiPriority w:val="99"/>
    <w:unhideWhenUsed/>
    <w:rsid w:val="00BF5E79"/>
    <w:rPr>
      <w:color w:val="0000FF" w:themeColor="hyperlink"/>
      <w:u w:val="single"/>
    </w:rPr>
  </w:style>
  <w:style w:type="paragraph" w:styleId="Header">
    <w:name w:val="header"/>
    <w:basedOn w:val="Normal"/>
    <w:link w:val="HeaderChar"/>
    <w:uiPriority w:val="99"/>
    <w:unhideWhenUsed/>
    <w:rsid w:val="0079342F"/>
    <w:pPr>
      <w:tabs>
        <w:tab w:val="center" w:pos="4320"/>
        <w:tab w:val="right" w:pos="8640"/>
      </w:tabs>
    </w:pPr>
  </w:style>
  <w:style w:type="character" w:customStyle="1" w:styleId="HeaderChar">
    <w:name w:val="Header Char"/>
    <w:basedOn w:val="DefaultParagraphFont"/>
    <w:link w:val="Header"/>
    <w:uiPriority w:val="99"/>
    <w:rsid w:val="0079342F"/>
  </w:style>
  <w:style w:type="character" w:styleId="PageNumber">
    <w:name w:val="page number"/>
    <w:basedOn w:val="DefaultParagraphFont"/>
    <w:uiPriority w:val="99"/>
    <w:semiHidden/>
    <w:unhideWhenUsed/>
    <w:rsid w:val="0079342F"/>
  </w:style>
  <w:style w:type="character" w:styleId="CommentReference">
    <w:name w:val="annotation reference"/>
    <w:basedOn w:val="DefaultParagraphFont"/>
    <w:uiPriority w:val="99"/>
    <w:semiHidden/>
    <w:unhideWhenUsed/>
    <w:rsid w:val="001A2BA8"/>
    <w:rPr>
      <w:sz w:val="16"/>
      <w:szCs w:val="16"/>
    </w:rPr>
  </w:style>
  <w:style w:type="paragraph" w:styleId="CommentText">
    <w:name w:val="annotation text"/>
    <w:basedOn w:val="Normal"/>
    <w:link w:val="CommentTextChar"/>
    <w:uiPriority w:val="99"/>
    <w:semiHidden/>
    <w:unhideWhenUsed/>
    <w:rsid w:val="001A2BA8"/>
    <w:rPr>
      <w:sz w:val="20"/>
      <w:szCs w:val="20"/>
    </w:rPr>
  </w:style>
  <w:style w:type="character" w:customStyle="1" w:styleId="CommentTextChar">
    <w:name w:val="Comment Text Char"/>
    <w:basedOn w:val="DefaultParagraphFont"/>
    <w:link w:val="CommentText"/>
    <w:uiPriority w:val="99"/>
    <w:semiHidden/>
    <w:rsid w:val="001A2BA8"/>
    <w:rPr>
      <w:sz w:val="20"/>
      <w:szCs w:val="20"/>
    </w:rPr>
  </w:style>
  <w:style w:type="paragraph" w:styleId="CommentSubject">
    <w:name w:val="annotation subject"/>
    <w:basedOn w:val="CommentText"/>
    <w:next w:val="CommentText"/>
    <w:link w:val="CommentSubjectChar"/>
    <w:uiPriority w:val="99"/>
    <w:semiHidden/>
    <w:unhideWhenUsed/>
    <w:rsid w:val="001A2BA8"/>
    <w:rPr>
      <w:b/>
      <w:bCs/>
    </w:rPr>
  </w:style>
  <w:style w:type="character" w:customStyle="1" w:styleId="CommentSubjectChar">
    <w:name w:val="Comment Subject Char"/>
    <w:basedOn w:val="CommentTextChar"/>
    <w:link w:val="CommentSubject"/>
    <w:uiPriority w:val="99"/>
    <w:semiHidden/>
    <w:rsid w:val="001A2BA8"/>
    <w:rPr>
      <w:b/>
      <w:bCs/>
      <w:sz w:val="20"/>
      <w:szCs w:val="20"/>
    </w:rPr>
  </w:style>
  <w:style w:type="paragraph" w:styleId="BalloonText">
    <w:name w:val="Balloon Text"/>
    <w:basedOn w:val="Normal"/>
    <w:link w:val="BalloonTextChar"/>
    <w:uiPriority w:val="99"/>
    <w:semiHidden/>
    <w:unhideWhenUsed/>
    <w:rsid w:val="001A2BA8"/>
    <w:rPr>
      <w:rFonts w:ascii="Tahoma" w:hAnsi="Tahoma" w:cs="Tahoma"/>
      <w:sz w:val="16"/>
      <w:szCs w:val="16"/>
    </w:rPr>
  </w:style>
  <w:style w:type="character" w:customStyle="1" w:styleId="BalloonTextChar">
    <w:name w:val="Balloon Text Char"/>
    <w:basedOn w:val="DefaultParagraphFont"/>
    <w:link w:val="BalloonText"/>
    <w:uiPriority w:val="99"/>
    <w:semiHidden/>
    <w:rsid w:val="001A2BA8"/>
    <w:rPr>
      <w:rFonts w:ascii="Tahoma" w:hAnsi="Tahoma" w:cs="Tahoma"/>
      <w:sz w:val="16"/>
      <w:szCs w:val="16"/>
    </w:rPr>
  </w:style>
  <w:style w:type="paragraph" w:styleId="FootnoteText">
    <w:name w:val="footnote text"/>
    <w:basedOn w:val="Normal"/>
    <w:link w:val="FootnoteTextChar"/>
    <w:uiPriority w:val="99"/>
    <w:semiHidden/>
    <w:unhideWhenUsed/>
    <w:rsid w:val="00CD3351"/>
    <w:rPr>
      <w:sz w:val="20"/>
      <w:szCs w:val="20"/>
    </w:rPr>
  </w:style>
  <w:style w:type="character" w:customStyle="1" w:styleId="FootnoteTextChar">
    <w:name w:val="Footnote Text Char"/>
    <w:basedOn w:val="DefaultParagraphFont"/>
    <w:link w:val="FootnoteText"/>
    <w:uiPriority w:val="99"/>
    <w:semiHidden/>
    <w:rsid w:val="00CD3351"/>
    <w:rPr>
      <w:sz w:val="20"/>
      <w:szCs w:val="20"/>
    </w:rPr>
  </w:style>
  <w:style w:type="character" w:styleId="FootnoteReference">
    <w:name w:val="footnote reference"/>
    <w:basedOn w:val="DefaultParagraphFont"/>
    <w:uiPriority w:val="99"/>
    <w:semiHidden/>
    <w:unhideWhenUsed/>
    <w:rsid w:val="00CD335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E79"/>
    <w:pPr>
      <w:ind w:left="720"/>
      <w:contextualSpacing/>
    </w:pPr>
  </w:style>
  <w:style w:type="paragraph" w:styleId="Footer">
    <w:name w:val="footer"/>
    <w:basedOn w:val="Normal"/>
    <w:link w:val="FooterChar"/>
    <w:uiPriority w:val="99"/>
    <w:unhideWhenUsed/>
    <w:rsid w:val="00BF5E79"/>
    <w:pPr>
      <w:tabs>
        <w:tab w:val="center" w:pos="4320"/>
        <w:tab w:val="right" w:pos="8640"/>
      </w:tabs>
    </w:pPr>
  </w:style>
  <w:style w:type="character" w:customStyle="1" w:styleId="FooterChar">
    <w:name w:val="Footer Char"/>
    <w:basedOn w:val="DefaultParagraphFont"/>
    <w:link w:val="Footer"/>
    <w:uiPriority w:val="99"/>
    <w:rsid w:val="00BF5E79"/>
  </w:style>
  <w:style w:type="character" w:styleId="Hyperlink">
    <w:name w:val="Hyperlink"/>
    <w:basedOn w:val="DefaultParagraphFont"/>
    <w:uiPriority w:val="99"/>
    <w:unhideWhenUsed/>
    <w:rsid w:val="00BF5E79"/>
    <w:rPr>
      <w:color w:val="0000FF" w:themeColor="hyperlink"/>
      <w:u w:val="single"/>
    </w:rPr>
  </w:style>
  <w:style w:type="paragraph" w:styleId="Header">
    <w:name w:val="header"/>
    <w:basedOn w:val="Normal"/>
    <w:link w:val="HeaderChar"/>
    <w:uiPriority w:val="99"/>
    <w:unhideWhenUsed/>
    <w:rsid w:val="0079342F"/>
    <w:pPr>
      <w:tabs>
        <w:tab w:val="center" w:pos="4320"/>
        <w:tab w:val="right" w:pos="8640"/>
      </w:tabs>
    </w:pPr>
  </w:style>
  <w:style w:type="character" w:customStyle="1" w:styleId="HeaderChar">
    <w:name w:val="Header Char"/>
    <w:basedOn w:val="DefaultParagraphFont"/>
    <w:link w:val="Header"/>
    <w:uiPriority w:val="99"/>
    <w:rsid w:val="0079342F"/>
  </w:style>
  <w:style w:type="character" w:styleId="PageNumber">
    <w:name w:val="page number"/>
    <w:basedOn w:val="DefaultParagraphFont"/>
    <w:uiPriority w:val="99"/>
    <w:semiHidden/>
    <w:unhideWhenUsed/>
    <w:rsid w:val="0079342F"/>
  </w:style>
  <w:style w:type="character" w:styleId="CommentReference">
    <w:name w:val="annotation reference"/>
    <w:basedOn w:val="DefaultParagraphFont"/>
    <w:uiPriority w:val="99"/>
    <w:semiHidden/>
    <w:unhideWhenUsed/>
    <w:rsid w:val="001A2BA8"/>
    <w:rPr>
      <w:sz w:val="16"/>
      <w:szCs w:val="16"/>
    </w:rPr>
  </w:style>
  <w:style w:type="paragraph" w:styleId="CommentText">
    <w:name w:val="annotation text"/>
    <w:basedOn w:val="Normal"/>
    <w:link w:val="CommentTextChar"/>
    <w:uiPriority w:val="99"/>
    <w:semiHidden/>
    <w:unhideWhenUsed/>
    <w:rsid w:val="001A2BA8"/>
    <w:rPr>
      <w:sz w:val="20"/>
      <w:szCs w:val="20"/>
    </w:rPr>
  </w:style>
  <w:style w:type="character" w:customStyle="1" w:styleId="CommentTextChar">
    <w:name w:val="Comment Text Char"/>
    <w:basedOn w:val="DefaultParagraphFont"/>
    <w:link w:val="CommentText"/>
    <w:uiPriority w:val="99"/>
    <w:semiHidden/>
    <w:rsid w:val="001A2BA8"/>
    <w:rPr>
      <w:sz w:val="20"/>
      <w:szCs w:val="20"/>
    </w:rPr>
  </w:style>
  <w:style w:type="paragraph" w:styleId="CommentSubject">
    <w:name w:val="annotation subject"/>
    <w:basedOn w:val="CommentText"/>
    <w:next w:val="CommentText"/>
    <w:link w:val="CommentSubjectChar"/>
    <w:uiPriority w:val="99"/>
    <w:semiHidden/>
    <w:unhideWhenUsed/>
    <w:rsid w:val="001A2BA8"/>
    <w:rPr>
      <w:b/>
      <w:bCs/>
    </w:rPr>
  </w:style>
  <w:style w:type="character" w:customStyle="1" w:styleId="CommentSubjectChar">
    <w:name w:val="Comment Subject Char"/>
    <w:basedOn w:val="CommentTextChar"/>
    <w:link w:val="CommentSubject"/>
    <w:uiPriority w:val="99"/>
    <w:semiHidden/>
    <w:rsid w:val="001A2BA8"/>
    <w:rPr>
      <w:b/>
      <w:bCs/>
      <w:sz w:val="20"/>
      <w:szCs w:val="20"/>
    </w:rPr>
  </w:style>
  <w:style w:type="paragraph" w:styleId="BalloonText">
    <w:name w:val="Balloon Text"/>
    <w:basedOn w:val="Normal"/>
    <w:link w:val="BalloonTextChar"/>
    <w:uiPriority w:val="99"/>
    <w:semiHidden/>
    <w:unhideWhenUsed/>
    <w:rsid w:val="001A2BA8"/>
    <w:rPr>
      <w:rFonts w:ascii="Tahoma" w:hAnsi="Tahoma" w:cs="Tahoma"/>
      <w:sz w:val="16"/>
      <w:szCs w:val="16"/>
    </w:rPr>
  </w:style>
  <w:style w:type="character" w:customStyle="1" w:styleId="BalloonTextChar">
    <w:name w:val="Balloon Text Char"/>
    <w:basedOn w:val="DefaultParagraphFont"/>
    <w:link w:val="BalloonText"/>
    <w:uiPriority w:val="99"/>
    <w:semiHidden/>
    <w:rsid w:val="001A2BA8"/>
    <w:rPr>
      <w:rFonts w:ascii="Tahoma" w:hAnsi="Tahoma" w:cs="Tahoma"/>
      <w:sz w:val="16"/>
      <w:szCs w:val="16"/>
    </w:rPr>
  </w:style>
  <w:style w:type="paragraph" w:styleId="FootnoteText">
    <w:name w:val="footnote text"/>
    <w:basedOn w:val="Normal"/>
    <w:link w:val="FootnoteTextChar"/>
    <w:uiPriority w:val="99"/>
    <w:semiHidden/>
    <w:unhideWhenUsed/>
    <w:rsid w:val="00CD3351"/>
    <w:rPr>
      <w:sz w:val="20"/>
      <w:szCs w:val="20"/>
    </w:rPr>
  </w:style>
  <w:style w:type="character" w:customStyle="1" w:styleId="FootnoteTextChar">
    <w:name w:val="Footnote Text Char"/>
    <w:basedOn w:val="DefaultParagraphFont"/>
    <w:link w:val="FootnoteText"/>
    <w:uiPriority w:val="99"/>
    <w:semiHidden/>
    <w:rsid w:val="00CD3351"/>
    <w:rPr>
      <w:sz w:val="20"/>
      <w:szCs w:val="20"/>
    </w:rPr>
  </w:style>
  <w:style w:type="character" w:styleId="FootnoteReference">
    <w:name w:val="footnote reference"/>
    <w:basedOn w:val="DefaultParagraphFont"/>
    <w:uiPriority w:val="99"/>
    <w:semiHidden/>
    <w:unhideWhenUsed/>
    <w:rsid w:val="00CD3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AA7B-453C-794D-8D06-2A94DDFA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4835</Words>
  <Characters>27565</Characters>
  <Application>Microsoft Macintosh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2</cp:revision>
  <cp:lastPrinted>2012-06-29T20:37:00Z</cp:lastPrinted>
  <dcterms:created xsi:type="dcterms:W3CDTF">2012-06-29T20:41:00Z</dcterms:created>
  <dcterms:modified xsi:type="dcterms:W3CDTF">2012-06-29T20:41:00Z</dcterms:modified>
</cp:coreProperties>
</file>