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993FEA" w:rsidP="00367190" w14:paraId="6D5B56AF" w14:textId="77777777"/>
    <w:p w:rsidR="003F708D" w:rsidP="00367190" w14:paraId="44866CA1" w14:textId="77777777"/>
    <w:p w:rsidR="003F708D" w:rsidP="00367190" w14:paraId="162FAC11" w14:textId="77777777"/>
    <w:p w:rsidR="003F708D" w:rsidP="00367190" w14:paraId="261D3434" w14:textId="77777777"/>
    <w:p w:rsidR="00367190" w:rsidRPr="00815643" w:rsidP="00367190" w14:paraId="64197334" w14:textId="3DE8C6BE">
      <w:r>
        <w:t>May 23</w:t>
      </w:r>
      <w:r w:rsidRPr="00815643" w:rsidR="00815643">
        <w:t>,</w:t>
      </w:r>
      <w:r w:rsidRPr="00815643" w:rsidR="00C6069D">
        <w:t xml:space="preserve"> 2022</w:t>
      </w:r>
    </w:p>
    <w:p w:rsidR="00367190" w:rsidRPr="00815643" w:rsidP="00367190" w14:paraId="3F658701" w14:textId="77777777"/>
    <w:p w:rsidR="00367190" w:rsidRPr="00815643" w:rsidP="00367190" w14:paraId="34F90788" w14:textId="77777777">
      <w:r w:rsidRPr="00815643">
        <w:t>Ms. Tanowa Troupe, Secretary</w:t>
      </w:r>
    </w:p>
    <w:p w:rsidR="00367190" w:rsidRPr="00815643" w:rsidP="00367190" w14:paraId="50A2C1E6" w14:textId="77777777">
      <w:r w:rsidRPr="00815643">
        <w:t>Public Utilities Commission of Ohio</w:t>
      </w:r>
    </w:p>
    <w:p w:rsidR="00367190" w:rsidRPr="00815643" w:rsidP="00367190" w14:paraId="0EF57810" w14:textId="77777777">
      <w:r w:rsidRPr="00815643">
        <w:t>180 East Broad Street, 11th Floor</w:t>
      </w:r>
    </w:p>
    <w:p w:rsidR="00367190" w:rsidRPr="00815643" w:rsidP="00367190" w14:paraId="7A0BB9AD" w14:textId="77777777">
      <w:r w:rsidRPr="00815643">
        <w:t>Columbus, Ohio 43215</w:t>
      </w:r>
    </w:p>
    <w:p w:rsidR="00367190" w:rsidRPr="00815643" w:rsidP="00367190" w14:paraId="2EDF2712" w14:textId="77777777"/>
    <w:p w:rsidR="00367190" w:rsidRPr="00815643" w:rsidP="00204A9B" w14:paraId="41EAB5E1" w14:textId="7FD881E5">
      <w:pPr>
        <w:ind w:left="720" w:hanging="720"/>
      </w:pPr>
      <w:r w:rsidRPr="00815643">
        <w:t>R</w:t>
      </w:r>
      <w:r w:rsidRPr="00815643" w:rsidR="007A77C1">
        <w:t>E</w:t>
      </w:r>
      <w:r w:rsidRPr="00815643">
        <w:t xml:space="preserve">: </w:t>
      </w:r>
      <w:r w:rsidRPr="00815643" w:rsidR="00584EDD">
        <w:tab/>
      </w:r>
      <w:r w:rsidR="00F93F3C">
        <w:rPr>
          <w:i/>
          <w:iCs/>
        </w:rPr>
        <w:t>In the Matter of the Commission’s Investigation into XOOM Energy Ohio, LLC’s Compliance with the Ohio Administrative Code and Potential Remedial Actions for Non-Compliance</w:t>
      </w:r>
      <w:r w:rsidR="00F93F3C">
        <w:t>, Case No. 22-267-GE-COI</w:t>
      </w:r>
      <w:r w:rsidRPr="00815643" w:rsidR="00B056D8">
        <w:t>.</w:t>
      </w:r>
    </w:p>
    <w:p w:rsidR="00367190" w:rsidRPr="00815643" w:rsidP="009B5239" w14:paraId="6450587F" w14:textId="77777777">
      <w:pPr>
        <w:rPr>
          <w:u w:val="single"/>
        </w:rPr>
      </w:pPr>
    </w:p>
    <w:p w:rsidR="00367190" w:rsidRPr="00815643" w:rsidP="009B5239" w14:paraId="795FDF38" w14:textId="77777777">
      <w:r w:rsidRPr="00815643">
        <w:t>Dear Ms. Troupe:</w:t>
      </w:r>
    </w:p>
    <w:p w:rsidR="00367190" w:rsidRPr="00815643" w:rsidP="009B5239" w14:paraId="6E035470" w14:textId="77777777"/>
    <w:p w:rsidR="00FE7056" w:rsidP="00581E09" w14:paraId="01BD42B5" w14:textId="13641946">
      <w:r>
        <w:t xml:space="preserve">On May 16, 2022, XOOM Energy Ohio, LLC (“XOOM”) filed a Memorandum Contra to the </w:t>
      </w:r>
      <w:r w:rsidRPr="00815643" w:rsidR="00B056D8">
        <w:t>Office of the Ohio Consumers’ Counsel</w:t>
      </w:r>
      <w:r w:rsidR="0081097B">
        <w:t>’s</w:t>
      </w:r>
      <w:r w:rsidRPr="00815643" w:rsidR="00B056D8">
        <w:t xml:space="preserve"> (</w:t>
      </w:r>
      <w:r w:rsidRPr="00815643" w:rsidR="00C6069D">
        <w:t>“</w:t>
      </w:r>
      <w:r w:rsidRPr="00815643" w:rsidR="00B056D8">
        <w:t>OCC”)</w:t>
      </w:r>
      <w:r w:rsidR="0081097B">
        <w:t xml:space="preserve"> Motion to Intervene</w:t>
      </w:r>
      <w:r>
        <w:t xml:space="preserve">. Under the rules of the Public Utilities Commission of Ohio (“PUCO”), OCC’s Reply to XOOM’s Memorandum Contra would be due today. </w:t>
      </w:r>
    </w:p>
    <w:p w:rsidR="00FE7056" w:rsidP="00581E09" w14:paraId="34B3FED2" w14:textId="77777777"/>
    <w:p w:rsidR="000611EF" w:rsidRPr="00815643" w:rsidP="00581E09" w14:paraId="10CB3883" w14:textId="022A453C">
      <w:r>
        <w:t xml:space="preserve">OCC will not file a Reply to XOOM’s Memorandum Contra today. On May 20, 2022, the </w:t>
      </w:r>
      <w:r w:rsidR="00991DED">
        <w:t xml:space="preserve">Attorney Examiner issued an Entry granting OCC’s Motion to </w:t>
      </w:r>
      <w:r w:rsidR="00785191">
        <w:t xml:space="preserve">Intervene in this investigation. </w:t>
      </w:r>
      <w:r>
        <w:t xml:space="preserve">Thus, </w:t>
      </w:r>
      <w:r w:rsidR="00785191">
        <w:t xml:space="preserve">XOOM’s Memorandum Contra OCC’s Motion to Intervene is </w:t>
      </w:r>
      <w:r w:rsidR="000E2A6F">
        <w:t xml:space="preserve">a </w:t>
      </w:r>
      <w:r w:rsidR="00785191">
        <w:t>moot</w:t>
      </w:r>
      <w:r w:rsidR="000E2A6F">
        <w:t xml:space="preserve"> point (as it should be)</w:t>
      </w:r>
      <w:r w:rsidR="002B2D62">
        <w:t>.</w:t>
      </w:r>
      <w:r w:rsidRPr="00815643" w:rsidR="00882659">
        <w:t xml:space="preserve"> </w:t>
      </w:r>
    </w:p>
    <w:p w:rsidR="000611EF" w:rsidRPr="00815643" w:rsidP="000611EF" w14:paraId="5F43BBC0" w14:textId="77777777">
      <w:pPr>
        <w:ind w:right="1440"/>
      </w:pPr>
    </w:p>
    <w:p w:rsidR="002F5B3D" w:rsidRPr="00815643" w:rsidP="000611EF" w14:paraId="44869D80" w14:textId="77777777">
      <w:pPr>
        <w:ind w:right="1440"/>
      </w:pPr>
      <w:r w:rsidRPr="00815643">
        <w:t>Thank you.</w:t>
      </w:r>
      <w:r w:rsidRPr="00815643" w:rsidR="00882659">
        <w:t xml:space="preserve"> </w:t>
      </w:r>
    </w:p>
    <w:p w:rsidR="000611EF" w:rsidRPr="00815643" w:rsidP="007A77C1" w14:paraId="7B550ECA" w14:textId="77777777">
      <w:pPr>
        <w:ind w:right="2322"/>
        <w:jc w:val="both"/>
      </w:pPr>
    </w:p>
    <w:p w:rsidR="00367190" w:rsidRPr="00367190" w:rsidP="007A77C1" w14:paraId="09254CAE" w14:textId="77777777">
      <w:pPr>
        <w:ind w:right="2322"/>
        <w:jc w:val="both"/>
      </w:pPr>
      <w:r w:rsidRPr="00815643">
        <w:t>Very truly yours,</w:t>
      </w:r>
    </w:p>
    <w:p w:rsidR="00367190" w:rsidRPr="00367190" w:rsidP="007A77C1" w14:paraId="76FB54E6" w14:textId="77777777">
      <w:pPr>
        <w:ind w:right="2322"/>
        <w:jc w:val="both"/>
      </w:pPr>
    </w:p>
    <w:p w:rsidR="00367190" w:rsidP="007A77C1" w14:paraId="22F4E368" w14:textId="399207B2">
      <w:pPr>
        <w:ind w:right="2322"/>
        <w:jc w:val="both"/>
        <w:rPr>
          <w:i/>
          <w:iCs/>
        </w:rPr>
      </w:pPr>
      <w:r w:rsidRPr="0099439F">
        <w:rPr>
          <w:i/>
          <w:iCs/>
        </w:rPr>
        <w:t xml:space="preserve">/s/ </w:t>
      </w:r>
      <w:r w:rsidR="00581E09">
        <w:rPr>
          <w:i/>
          <w:iCs/>
        </w:rPr>
        <w:t>A</w:t>
      </w:r>
      <w:r w:rsidR="00785191">
        <w:rPr>
          <w:i/>
          <w:iCs/>
        </w:rPr>
        <w:t>ngela D.</w:t>
      </w:r>
      <w:r w:rsidRPr="00581E09" w:rsidR="00581E09">
        <w:rPr>
          <w:i/>
          <w:iCs/>
        </w:rPr>
        <w:t xml:space="preserve"> O’Brien</w:t>
      </w:r>
    </w:p>
    <w:p w:rsidR="0099439F" w:rsidRPr="0099439F" w:rsidP="007A77C1" w14:paraId="27C4DD55" w14:textId="77777777">
      <w:pPr>
        <w:ind w:right="2322"/>
        <w:jc w:val="both"/>
        <w:rPr>
          <w:i/>
          <w:iCs/>
        </w:rPr>
      </w:pPr>
    </w:p>
    <w:p w:rsidR="00581E09" w:rsidP="007A77C1" w14:paraId="466BC378" w14:textId="590471A8">
      <w:pPr>
        <w:ind w:right="2322"/>
        <w:jc w:val="both"/>
      </w:pPr>
      <w:r w:rsidRPr="00581E09">
        <w:t>A</w:t>
      </w:r>
      <w:bookmarkStart w:id="0" w:name="_Hlk99466166"/>
      <w:r w:rsidR="00785191">
        <w:t>ngela D.</w:t>
      </w:r>
      <w:r w:rsidRPr="00581E09">
        <w:t xml:space="preserve"> O’Brien </w:t>
      </w:r>
      <w:bookmarkEnd w:id="0"/>
      <w:r w:rsidRPr="00581E09">
        <w:t>(00</w:t>
      </w:r>
      <w:r w:rsidR="00785191">
        <w:t>97579</w:t>
      </w:r>
      <w:r w:rsidRPr="00581E09">
        <w:t>)</w:t>
      </w:r>
    </w:p>
    <w:p w:rsidR="002D7914" w:rsidP="007A77C1" w14:paraId="2F36B846" w14:textId="77777777">
      <w:pPr>
        <w:ind w:right="2322"/>
        <w:jc w:val="both"/>
      </w:pPr>
      <w:r>
        <w:t>Counsel of Record</w:t>
      </w:r>
    </w:p>
    <w:p w:rsidR="00581E09" w:rsidP="007A77C1" w14:paraId="61481B90" w14:textId="77777777">
      <w:pPr>
        <w:ind w:right="2322"/>
        <w:jc w:val="both"/>
      </w:pPr>
      <w:r w:rsidRPr="00581E09">
        <w:t>Assistant Consumers’ Counsel</w:t>
      </w:r>
    </w:p>
    <w:p w:rsidR="00367190" w:rsidRPr="00367190" w:rsidP="00367190" w14:paraId="26563DC1" w14:textId="77777777">
      <w:pPr>
        <w:ind w:right="1440"/>
      </w:pPr>
    </w:p>
    <w:p w:rsidR="00780101" w:rsidRPr="00367190" w:rsidP="00496B31" w14:paraId="558BD1CE" w14:textId="77777777">
      <w:pPr>
        <w:ind w:right="1440"/>
      </w:pPr>
      <w:r w:rsidRPr="00367190">
        <w:t>cc:</w:t>
      </w:r>
      <w:r w:rsidR="00882659">
        <w:t xml:space="preserve"> </w:t>
      </w:r>
      <w:r w:rsidRPr="00367190">
        <w:t>All Parties of Record &amp; Attorney Examiners</w:t>
      </w:r>
    </w:p>
    <w:sectPr w:rsidSect="003F708D">
      <w:headerReference w:type="default" r:id="rId4"/>
      <w:headerReference w:type="first" r:id="rId5"/>
      <w:footerReference w:type="first" r:id="rId6"/>
      <w:pgSz w:w="12240" w:h="15840" w:code="1"/>
      <w:pgMar w:top="1440" w:right="1440" w:bottom="1440" w:left="1440" w:header="720" w:footer="25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:rsidRPr="00A0550A" w:rsidP="00B557AF" w14:paraId="2901FF9A" w14:textId="77777777">
    <w:pPr>
      <w:pStyle w:val="Footer"/>
      <w:spacing w:line="288" w:lineRule="atLeast"/>
      <w:jc w:val="center"/>
      <w:rPr>
        <w:rFonts w:ascii="Arial Narrow" w:hAnsi="Arial Narrow"/>
        <w:color w:val="003366"/>
        <w:sz w:val="18"/>
        <w:szCs w:val="18"/>
      </w:rPr>
    </w:pPr>
    <w:r>
      <w:rPr>
        <w:rFonts w:ascii="Arial Narrow" w:hAnsi="Arial Narrow"/>
        <w:noProof/>
        <w:color w:val="003366"/>
        <w:sz w:val="20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132080</wp:posOffset>
              </wp:positionV>
              <wp:extent cx="7082790" cy="0"/>
              <wp:effectExtent l="9525" t="8255" r="13335" b="10795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2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2057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45pt,10.4pt" to="512.7pt,10.4pt"/>
          </w:pict>
        </mc:Fallback>
      </mc:AlternateContent>
    </w:r>
  </w:p>
  <w:p w:rsidR="00E96502" w:rsidRPr="00845F44" w:rsidP="00845F44" w14:paraId="4CB76E51" w14:textId="6EDFBEDB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Arial" w:hAnsi="Arial" w:cs="Arial"/>
        <w:sz w:val="18"/>
        <w:szCs w:val="18"/>
      </w:rPr>
      <w:t>65 East State</w:t>
    </w:r>
    <w:r w:rsidR="00B557AF">
      <w:rPr>
        <w:rFonts w:ascii="Arial" w:hAnsi="Arial" w:cs="Arial"/>
        <w:sz w:val="18"/>
        <w:szCs w:val="18"/>
      </w:rPr>
      <w:t xml:space="preserve"> Street,</w:t>
    </w:r>
    <w:r w:rsidR="003F00D1">
      <w:rPr>
        <w:rFonts w:ascii="Arial" w:hAnsi="Arial" w:cs="Arial"/>
        <w:sz w:val="18"/>
        <w:szCs w:val="18"/>
      </w:rPr>
      <w:t xml:space="preserve"> Suite 700</w:t>
    </w:r>
    <w:r>
      <w:rPr>
        <w:rFonts w:ascii="Arial" w:hAnsi="Arial" w:cs="Arial"/>
        <w:sz w:val="18"/>
        <w:szCs w:val="18"/>
      </w:rPr>
      <w:t>,</w:t>
    </w:r>
    <w:r w:rsidR="00B557AF">
      <w:rPr>
        <w:rFonts w:ascii="Arial" w:hAnsi="Arial" w:cs="Arial"/>
        <w:sz w:val="18"/>
        <w:szCs w:val="18"/>
      </w:rPr>
      <w:t xml:space="preserve"> </w:t>
    </w:r>
    <w:r w:rsidRPr="00B557AF">
      <w:rPr>
        <w:rFonts w:ascii="Arial" w:hAnsi="Arial" w:cs="Arial"/>
        <w:sz w:val="18"/>
        <w:szCs w:val="18"/>
      </w:rPr>
      <w:t>Columbus, Ohio</w:t>
    </w:r>
    <w:r w:rsidR="00B557A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4321</w:t>
    </w:r>
    <w:r w:rsidR="00FE3E24">
      <w:rPr>
        <w:rFonts w:ascii="Arial" w:hAnsi="Arial" w:cs="Arial"/>
        <w:sz w:val="18"/>
        <w:szCs w:val="18"/>
      </w:rPr>
      <w:t>5</w:t>
    </w:r>
    <w:r w:rsidR="00B557AF">
      <w:rPr>
        <w:rFonts w:ascii="Arial" w:hAnsi="Arial" w:cs="Arial"/>
        <w:sz w:val="18"/>
        <w:szCs w:val="18"/>
      </w:rPr>
      <w:t xml:space="preserve"> </w:t>
    </w:r>
    <w:r w:rsidRPr="003021FF" w:rsidR="00845F44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9B1A65" w:rsidR="009B1A65">
      <w:rPr>
        <w:rFonts w:ascii="Arial" w:hAnsi="Arial" w:cs="Arial"/>
        <w:sz w:val="18"/>
        <w:szCs w:val="18"/>
      </w:rPr>
      <w:t>(614) 466-95</w:t>
    </w:r>
    <w:r w:rsidR="00785191">
      <w:rPr>
        <w:rFonts w:ascii="Arial" w:hAnsi="Arial" w:cs="Arial"/>
        <w:sz w:val="18"/>
        <w:szCs w:val="18"/>
      </w:rPr>
      <w:t>31</w:t>
    </w:r>
    <w:r w:rsidR="003021FF">
      <w:rPr>
        <w:rFonts w:ascii="Arial" w:hAnsi="Arial" w:cs="Arial"/>
        <w:sz w:val="18"/>
        <w:szCs w:val="18"/>
      </w:rPr>
      <w:t xml:space="preserve"> </w:t>
    </w:r>
    <w:r w:rsidRPr="003021FF" w:rsidR="003021FF">
      <w:rPr>
        <w:rFonts w:ascii="Arial" w:hAnsi="Arial" w:cs="Arial"/>
        <w:position w:val="-2"/>
        <w:sz w:val="26"/>
        <w:szCs w:val="26"/>
      </w:rPr>
      <w:t>•</w:t>
    </w:r>
    <w:r w:rsidR="003021FF">
      <w:rPr>
        <w:rFonts w:ascii="Arial" w:hAnsi="Arial" w:cs="Arial"/>
        <w:sz w:val="18"/>
        <w:szCs w:val="18"/>
      </w:rPr>
      <w:t xml:space="preserve"> </w:t>
    </w:r>
    <w:r w:rsidRPr="003919AD" w:rsidR="00B557AF">
      <w:rPr>
        <w:rFonts w:ascii="Arial" w:hAnsi="Arial" w:cs="Arial"/>
        <w:sz w:val="18"/>
        <w:szCs w:val="18"/>
      </w:rPr>
      <w:t>www.occ.ohio.gov</w:t>
    </w:r>
    <w:r w:rsidR="00B557AF">
      <w:rPr>
        <w:rFonts w:ascii="Arial" w:hAnsi="Arial" w:cs="Arial"/>
        <w:sz w:val="18"/>
        <w:szCs w:val="18"/>
      </w:rPr>
      <w:br/>
    </w:r>
  </w:p>
  <w:p w:rsidR="00B557AF" w:rsidRPr="00B557AF" w:rsidP="00845F44" w14:paraId="340FFC2F" w14:textId="77777777">
    <w:pPr>
      <w:jc w:val="center"/>
      <w:rPr>
        <w:rFonts w:ascii="Arial" w:hAnsi="Arial" w:cs="Arial"/>
        <w:i/>
        <w:sz w:val="18"/>
        <w:szCs w:val="18"/>
      </w:rPr>
    </w:pPr>
    <w:r w:rsidRPr="00B557AF">
      <w:rPr>
        <w:rFonts w:ascii="Arial" w:hAnsi="Arial" w:cs="Arial"/>
        <w:i/>
        <w:sz w:val="18"/>
        <w:szCs w:val="18"/>
      </w:rPr>
      <w:t>Your Residential Utility Consumer Advocate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71F5" w:rsidP="008A71F5" w14:paraId="095480E6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0290" cy="976630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P="008A71F5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85825"/>
                                <wp:effectExtent l="0" t="0" r="0" b="0"/>
                                <wp:docPr id="10881106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49954727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49" type="#_x0000_t202" style="width:82.7pt;height:76.9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75648" filled="f" stroked="f">
              <v:textbox style="mso-fit-shape-to-text:t">
                <w:txbxContent>
                  <w:p w:rsidR="008A71F5" w:rsidP="008A71F5" w14:paraId="1191EB37" w14:textId="77777777">
                    <w:drawing>
                      <wp:inline distT="0" distB="0" distL="0" distR="0">
                        <wp:extent cx="866775" cy="885825"/>
                        <wp:effectExtent l="0" t="0" r="0" b="0"/>
                        <wp:docPr id="203007817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014206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F95523" w:rsidP="008A71F5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2050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d="f">
              <v:textbox>
                <w:txbxContent>
                  <w:p w:rsidR="008A71F5" w:rsidRPr="00F95523" w:rsidP="008A71F5" w14:paraId="671D9ADB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1F5" w:rsidRPr="0055468B" w:rsidP="008A71F5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2051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stroked="f">
              <v:textbox>
                <w:txbxContent>
                  <w:p w:rsidR="008A71F5" w:rsidRPr="0055468B" w:rsidP="008A71F5" w14:paraId="7DE1CBBA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6" name="Lin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3600" from="45.9pt,36.15pt" to="506.1pt,36.15pt"/>
          </w:pict>
        </mc:Fallback>
      </mc:AlternateContent>
    </w:r>
  </w:p>
  <w:p w:rsidR="00117BDE" w14:paraId="09E1AB1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6502" w14:paraId="6487280B" w14:textId="7777777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0</wp:posOffset>
              </wp:positionV>
              <wp:extent cx="1053465" cy="973455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6775" cy="885825"/>
                                <wp:effectExtent l="0" t="0" r="0" b="0"/>
                                <wp:docPr id="199692961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71015601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3" type="#_x0000_t202" style="width:82.95pt;height:76.65pt;margin-top:0;margin-left:-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7456" filled="f" stroked="f">
              <v:textbox style="mso-fit-shape-to-text:t">
                <w:txbxContent>
                  <w:p w:rsidR="00E96502" w14:paraId="05428657" w14:textId="77777777">
                    <w:drawing>
                      <wp:inline distT="0" distB="0" distL="0" distR="0">
                        <wp:extent cx="866775" cy="885825"/>
                        <wp:effectExtent l="0" t="0" r="0" b="0"/>
                        <wp:docPr id="113165487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0782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122555</wp:posOffset>
              </wp:positionV>
              <wp:extent cx="5398770" cy="33655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87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F95523" w14:textId="77777777">
                          <w:pPr>
                            <w:pStyle w:val="Heading3"/>
                          </w:pPr>
                          <w:r w:rsidRPr="00F95523">
                            <w:t>Office of the Ohio Consumers’ Counsel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2054" type="#_x0000_t202" style="width:425.1pt;height:26.5pt;margin-top:9.65pt;margin-left:38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E96502" w:rsidRPr="00F95523" w14:paraId="7D647903" w14:textId="77777777">
                    <w:pPr>
                      <w:pStyle w:val="Heading3"/>
                    </w:pPr>
                    <w:r w:rsidRPr="00F95523">
                      <w:t>Office of the Ohio Consumers’ Counsel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333399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541020</wp:posOffset>
              </wp:positionH>
              <wp:positionV relativeFrom="paragraph">
                <wp:posOffset>459105</wp:posOffset>
              </wp:positionV>
              <wp:extent cx="5547360" cy="471170"/>
              <wp:effectExtent l="0" t="1905" r="0" b="31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736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502" w:rsidRPr="0055468B" w14:textId="77777777">
                          <w:pPr>
                            <w:pStyle w:val="Heading2"/>
                            <w:rPr>
                              <w:rFonts w:ascii="Arial Narrow" w:hAnsi="Arial Narrow"/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2055" type="#_x0000_t202" style="width:436.8pt;height:37.1pt;margin-top:36.15pt;margin-left:4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E96502" w:rsidRPr="0055468B" w14:paraId="57AC26C0" w14:textId="77777777">
                    <w:pPr>
                      <w:pStyle w:val="Heading2"/>
                      <w:rPr>
                        <w:rFonts w:ascii="Arial Narrow" w:hAnsi="Arial Narrow"/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582930</wp:posOffset>
              </wp:positionH>
              <wp:positionV relativeFrom="paragraph">
                <wp:posOffset>459105</wp:posOffset>
              </wp:positionV>
              <wp:extent cx="5844540" cy="0"/>
              <wp:effectExtent l="11430" t="11430" r="11430" b="762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4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45.9pt,36.15pt" to="506.1pt,36.1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gutterAtTop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06"/>
    <w:rsid w:val="000415DD"/>
    <w:rsid w:val="000611EF"/>
    <w:rsid w:val="000B3E3C"/>
    <w:rsid w:val="000B620A"/>
    <w:rsid w:val="000C4550"/>
    <w:rsid w:val="000E2A6F"/>
    <w:rsid w:val="00110E2E"/>
    <w:rsid w:val="00117BDE"/>
    <w:rsid w:val="001211E6"/>
    <w:rsid w:val="00163D06"/>
    <w:rsid w:val="0019498F"/>
    <w:rsid w:val="001C1126"/>
    <w:rsid w:val="001C1846"/>
    <w:rsid w:val="001E58E3"/>
    <w:rsid w:val="00204A9B"/>
    <w:rsid w:val="002370E0"/>
    <w:rsid w:val="002545AE"/>
    <w:rsid w:val="002549EC"/>
    <w:rsid w:val="00257F88"/>
    <w:rsid w:val="00275683"/>
    <w:rsid w:val="002A117E"/>
    <w:rsid w:val="002B2D62"/>
    <w:rsid w:val="002D7914"/>
    <w:rsid w:val="002E5C0E"/>
    <w:rsid w:val="002F5B3D"/>
    <w:rsid w:val="003021FF"/>
    <w:rsid w:val="0030605D"/>
    <w:rsid w:val="00367190"/>
    <w:rsid w:val="003919AD"/>
    <w:rsid w:val="003F00D1"/>
    <w:rsid w:val="003F708D"/>
    <w:rsid w:val="004249A4"/>
    <w:rsid w:val="0042541F"/>
    <w:rsid w:val="00440336"/>
    <w:rsid w:val="004432AE"/>
    <w:rsid w:val="004561BE"/>
    <w:rsid w:val="00460CA8"/>
    <w:rsid w:val="00463CF0"/>
    <w:rsid w:val="00496B31"/>
    <w:rsid w:val="004A6FBB"/>
    <w:rsid w:val="004C29EB"/>
    <w:rsid w:val="004C5DE5"/>
    <w:rsid w:val="004F328A"/>
    <w:rsid w:val="004F32F4"/>
    <w:rsid w:val="00514121"/>
    <w:rsid w:val="0055468B"/>
    <w:rsid w:val="00555813"/>
    <w:rsid w:val="005578F9"/>
    <w:rsid w:val="0057108D"/>
    <w:rsid w:val="00581E09"/>
    <w:rsid w:val="00584EDD"/>
    <w:rsid w:val="005C13BE"/>
    <w:rsid w:val="005E3870"/>
    <w:rsid w:val="005F58AE"/>
    <w:rsid w:val="006275BC"/>
    <w:rsid w:val="00652DF2"/>
    <w:rsid w:val="006661BC"/>
    <w:rsid w:val="007318F1"/>
    <w:rsid w:val="00751876"/>
    <w:rsid w:val="00775C1F"/>
    <w:rsid w:val="00780101"/>
    <w:rsid w:val="00785191"/>
    <w:rsid w:val="00795C8A"/>
    <w:rsid w:val="007A5C93"/>
    <w:rsid w:val="007A77C1"/>
    <w:rsid w:val="007C00AF"/>
    <w:rsid w:val="007E7326"/>
    <w:rsid w:val="0080011D"/>
    <w:rsid w:val="0080403E"/>
    <w:rsid w:val="0081097B"/>
    <w:rsid w:val="00815643"/>
    <w:rsid w:val="00824158"/>
    <w:rsid w:val="0083148B"/>
    <w:rsid w:val="00845F44"/>
    <w:rsid w:val="008560E8"/>
    <w:rsid w:val="00882659"/>
    <w:rsid w:val="00891E98"/>
    <w:rsid w:val="008925C8"/>
    <w:rsid w:val="00896FF2"/>
    <w:rsid w:val="008A71F5"/>
    <w:rsid w:val="008C7372"/>
    <w:rsid w:val="009069F9"/>
    <w:rsid w:val="0091685B"/>
    <w:rsid w:val="00926A69"/>
    <w:rsid w:val="0093571A"/>
    <w:rsid w:val="009900BA"/>
    <w:rsid w:val="00991DED"/>
    <w:rsid w:val="00993FEA"/>
    <w:rsid w:val="0099439F"/>
    <w:rsid w:val="009B1A65"/>
    <w:rsid w:val="009B3005"/>
    <w:rsid w:val="009B5239"/>
    <w:rsid w:val="009F78B3"/>
    <w:rsid w:val="00A0550A"/>
    <w:rsid w:val="00A304AA"/>
    <w:rsid w:val="00A82BAC"/>
    <w:rsid w:val="00A855CC"/>
    <w:rsid w:val="00AD5E99"/>
    <w:rsid w:val="00B056D8"/>
    <w:rsid w:val="00B37436"/>
    <w:rsid w:val="00B557AF"/>
    <w:rsid w:val="00B561AB"/>
    <w:rsid w:val="00B92F33"/>
    <w:rsid w:val="00B93F52"/>
    <w:rsid w:val="00BA7D08"/>
    <w:rsid w:val="00BD70A8"/>
    <w:rsid w:val="00BF4DBE"/>
    <w:rsid w:val="00BF70D3"/>
    <w:rsid w:val="00C13E78"/>
    <w:rsid w:val="00C15CF2"/>
    <w:rsid w:val="00C52AD8"/>
    <w:rsid w:val="00C55CBB"/>
    <w:rsid w:val="00C6069D"/>
    <w:rsid w:val="00C82478"/>
    <w:rsid w:val="00C968C9"/>
    <w:rsid w:val="00CC655A"/>
    <w:rsid w:val="00CE5F28"/>
    <w:rsid w:val="00CF02AE"/>
    <w:rsid w:val="00D1374F"/>
    <w:rsid w:val="00D3760E"/>
    <w:rsid w:val="00D41B6B"/>
    <w:rsid w:val="00D77FD6"/>
    <w:rsid w:val="00DC0018"/>
    <w:rsid w:val="00E433A9"/>
    <w:rsid w:val="00E44213"/>
    <w:rsid w:val="00E44689"/>
    <w:rsid w:val="00E50A35"/>
    <w:rsid w:val="00E96502"/>
    <w:rsid w:val="00EA619B"/>
    <w:rsid w:val="00EC4F5E"/>
    <w:rsid w:val="00ED3E51"/>
    <w:rsid w:val="00F34E50"/>
    <w:rsid w:val="00F66E03"/>
    <w:rsid w:val="00F80A79"/>
    <w:rsid w:val="00F93F3C"/>
    <w:rsid w:val="00F95523"/>
    <w:rsid w:val="00FE3E24"/>
    <w:rsid w:val="00FE705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i/>
      <w:iCs/>
      <w:w w:val="9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sideAddressName">
    <w:name w:val="Inside Address Name"/>
    <w:basedOn w:val="Normal"/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B557AF"/>
    <w:rPr>
      <w:i/>
      <w:iCs/>
      <w:w w:val="90"/>
      <w:sz w:val="24"/>
    </w:rPr>
  </w:style>
  <w:style w:type="paragraph" w:styleId="HTMLPreformatted">
    <w:name w:val="HTML Preformatted"/>
    <w:basedOn w:val="Normal"/>
    <w:link w:val="HTMLPreformattedChar"/>
    <w:rsid w:val="007A77C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A77C1"/>
    <w:rPr>
      <w:rFonts w:ascii="Consolas" w:hAnsi="Consolas"/>
    </w:rPr>
  </w:style>
  <w:style w:type="paragraph" w:styleId="Revision">
    <w:name w:val="Revision"/>
    <w:hidden/>
    <w:uiPriority w:val="99"/>
    <w:semiHidden/>
    <w:rsid w:val="000E2A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OCC's Letter to Docketing - 22-267-GE-COI.docx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2022-05-23T16:30:29Z</dcterms:created>
  <dcterms:modified xsi:type="dcterms:W3CDTF">2022-05-23T16:30:29Z</dcterms:modified>
</cp:coreProperties>
</file>