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B4" w:rsidRPr="007D35BC" w:rsidRDefault="00465EB4" w:rsidP="00465EB4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7D35B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BEFORE</w:t>
      </w:r>
    </w:p>
    <w:p w:rsidR="00465EB4" w:rsidRPr="007D35BC" w:rsidRDefault="00465EB4" w:rsidP="00465EB4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7D35B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THE PUBLIC UTILITIES COMMISSION OF OHIO</w:t>
      </w:r>
    </w:p>
    <w:tbl>
      <w:tblPr>
        <w:tblW w:w="910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5"/>
        <w:gridCol w:w="450"/>
        <w:gridCol w:w="4246"/>
      </w:tblGrid>
      <w:tr w:rsidR="00465EB4" w:rsidRPr="007D35BC" w:rsidTr="004F27DA">
        <w:trPr>
          <w:cantSplit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:rsidR="00F6347A" w:rsidRPr="007D35BC" w:rsidRDefault="00465EB4" w:rsidP="00987C12">
            <w:pPr>
              <w:autoSpaceDE w:val="0"/>
              <w:autoSpaceDN w:val="0"/>
              <w:adjustRightInd w:val="0"/>
              <w:spacing w:after="0" w:line="240" w:lineRule="auto"/>
              <w:ind w:right="540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7D35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In the Matter of the Application of Duke Energy Ohio</w:t>
            </w:r>
            <w:r w:rsidR="0004446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, Inc. </w:t>
            </w:r>
            <w:r w:rsidR="00987C1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to </w:t>
            </w:r>
            <w:r w:rsidRPr="007D35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Adjust </w:t>
            </w:r>
            <w:r w:rsidR="0004446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its </w:t>
            </w:r>
            <w:r w:rsidR="00987C1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Interim, Emergency and Temporary Percentage of Income Payment Plan Rider</w:t>
            </w:r>
            <w:r w:rsidR="00EA4277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6347A" w:rsidRPr="007D35BC" w:rsidRDefault="00C810BE" w:rsidP="00F63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7D35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)</w:t>
            </w:r>
          </w:p>
          <w:p w:rsidR="00F6347A" w:rsidRPr="007D35BC" w:rsidRDefault="00C810BE" w:rsidP="00F63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7D35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)</w:t>
            </w:r>
          </w:p>
          <w:p w:rsidR="00F6347A" w:rsidRPr="007D35BC" w:rsidRDefault="00C810BE" w:rsidP="00F63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7D35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)</w:t>
            </w:r>
          </w:p>
          <w:p w:rsidR="00987C12" w:rsidRPr="007D35BC" w:rsidRDefault="00987C12" w:rsidP="00987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7D35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)</w:t>
            </w:r>
          </w:p>
          <w:p w:rsidR="00987C12" w:rsidRPr="007D35BC" w:rsidRDefault="00987C12" w:rsidP="00987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7D35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)</w:t>
            </w:r>
          </w:p>
          <w:p w:rsidR="00F6347A" w:rsidRPr="007D35BC" w:rsidRDefault="00F6347A" w:rsidP="00F63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F6347A" w:rsidRPr="007D35BC" w:rsidRDefault="00465EB4" w:rsidP="00F6347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7D35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87C12" w:rsidRDefault="00987C12" w:rsidP="000776C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F6347A" w:rsidRPr="007D35BC" w:rsidRDefault="00465EB4" w:rsidP="000776C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7D35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Case No. 1</w:t>
            </w:r>
            <w:r w:rsidR="003E35B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4</w:t>
            </w:r>
            <w:r w:rsidR="004F27DA" w:rsidRPr="007D35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-</w:t>
            </w:r>
            <w:r w:rsidR="00987C1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532581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418</w:t>
            </w:r>
            <w:r w:rsidR="00987C1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7D35B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- </w:t>
            </w:r>
            <w:r w:rsidR="0004446C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GA-</w:t>
            </w:r>
            <w:r w:rsidR="00987C12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PIP</w:t>
            </w:r>
          </w:p>
          <w:p w:rsidR="00F6347A" w:rsidRPr="007D35BC" w:rsidRDefault="00F6347A" w:rsidP="00F6347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F6347A" w:rsidRPr="007D35BC" w:rsidRDefault="00F6347A" w:rsidP="00F6347A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465EB4" w:rsidRPr="007D35BC" w:rsidRDefault="00465EB4" w:rsidP="004F27DA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7D35B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____________________________________________________________________________</w:t>
      </w:r>
    </w:p>
    <w:p w:rsidR="00465EB4" w:rsidRPr="007D35BC" w:rsidRDefault="00465EB4" w:rsidP="00465EB4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4F27DA" w:rsidRDefault="00465EB4" w:rsidP="00465EB4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7D35B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APPLICATION </w:t>
      </w:r>
      <w:r w:rsidR="00352F3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Of</w:t>
      </w:r>
    </w:p>
    <w:p w:rsidR="00465EB4" w:rsidRDefault="0004446C" w:rsidP="00374D41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DUKE ENERGY OHIO, INC.</w:t>
      </w:r>
    </w:p>
    <w:p w:rsidR="00465EB4" w:rsidRPr="007D35BC" w:rsidRDefault="00465EB4" w:rsidP="00465EB4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7D35B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______________________________________________________________________________</w:t>
      </w:r>
    </w:p>
    <w:p w:rsidR="0030031D" w:rsidRDefault="0004446C" w:rsidP="00E63EAE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Pursuant to R.C. 4904.18, Duke Energy Ohio, Inc., (Duke Energy Ohio) </w:t>
      </w:r>
      <w:r w:rsidR="00987C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hereby submits its annual Interim, Emergency and Temporary Percentage of Income Payment Plan Rider Report (“Rider PIPP”) and also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requests approval to adjust the rate for its </w:t>
      </w:r>
      <w:r w:rsidR="00987C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Rider PIPP</w:t>
      </w:r>
      <w:r w:rsidR="0023298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4446C" w:rsidRDefault="0004446C" w:rsidP="00E63EAE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Duke Energy Ohio is an Ohio corporation engaged in the business of supplying natural gas to approximately </w:t>
      </w:r>
      <w:r w:rsidR="00AE41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42</w:t>
      </w:r>
      <w:r w:rsidR="0053258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="00AE411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,000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customers in southwestern Ohio, all of whom, except Interruptible Transportation customers, will be affected by this Application, and is a public utility as defined by R.C. 4905.02 and 4905.03.  Duke Energy Ohio serves incorporated communities and unincorporated territory within its entire</w:t>
      </w:r>
      <w:r w:rsidR="00E63EA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service area, which includes all or parts of Adams, Brown, Butler, Clinton, Clermont, Hamilton, Montgomery, and Warren Counties in Ohio.</w:t>
      </w:r>
    </w:p>
    <w:p w:rsidR="00E63EAE" w:rsidRDefault="00E63EAE" w:rsidP="00E63EAE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In support of its Application, Duke Energy Ohio states as follows:</w:t>
      </w:r>
    </w:p>
    <w:p w:rsidR="00F26352" w:rsidRDefault="00F26352" w:rsidP="00754CD1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Paragraph 51 of the Finding and Order in Case No. 08-1229-GA-COI, dated December 14, 2011, requires each natural gas company to file an annual PIPP status report </w:t>
      </w:r>
      <w:r w:rsidR="00685EE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every year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 The annual report is to include the level of PIPP recoveries to write off and the rate if applicable.  Attached hereto as Exhibit 2 is Duke Energy Ohio’s annual PIPP Report.</w:t>
      </w:r>
    </w:p>
    <w:p w:rsidR="00C71DCF" w:rsidRDefault="00281DD1" w:rsidP="00754CD1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4C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Duke Energy Ohio's current gas PIPP rider became effective </w:t>
      </w:r>
      <w:r w:rsidR="003E35B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July 31, 2013</w:t>
      </w:r>
      <w:r w:rsidRPr="00754C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as a result of Case No. </w:t>
      </w:r>
      <w:r w:rsidR="003E35B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13-1308-GA-PIP</w:t>
      </w:r>
      <w:r w:rsidRPr="00754C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This rate was designed to recover a deferred gas PIPP customer </w:t>
      </w:r>
      <w:r w:rsidRPr="00754C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account balance that existed as of </w:t>
      </w:r>
      <w:r w:rsidR="003E35B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April 30, 2013</w:t>
      </w:r>
      <w:r w:rsidRPr="00754C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It was also designed to recover an ongoing amount of arrears that were expected to occur during each succeeding twelve-month period. The proposed rate is designed to recover the deferred gas PIPP customer balance that existed as of </w:t>
      </w:r>
      <w:r w:rsidR="00532581" w:rsidRPr="0025799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March 31</w:t>
      </w:r>
      <w:r w:rsidRPr="0025799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20</w:t>
      </w:r>
      <w:r w:rsidR="0065201F" w:rsidRPr="0025799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</w:t>
      </w:r>
      <w:r w:rsidR="003E35B1" w:rsidRPr="00137F8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</w:t>
      </w:r>
      <w:r w:rsidRPr="00137F8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over a </w:t>
      </w:r>
      <w:r w:rsidR="00E82A1B" w:rsidRPr="0025799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eleven month</w:t>
      </w:r>
      <w:r w:rsidRPr="00754C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period and an amount of PIPP customer arrears Duke Energy Ohio expects to continue to incur in each succeeding twelve-month period. The method of computing the proposed rider for this proceeding is consistent with that approved in Case Nos.</w:t>
      </w:r>
      <w:r w:rsidR="003E35B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13-1308-GA-PIP</w:t>
      </w:r>
      <w:r w:rsidR="0065201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Pr="00754C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respectively. The schedule supporting the proposed gas rider is attached as Exhibit 2.</w:t>
      </w:r>
    </w:p>
    <w:p w:rsidR="00625A24" w:rsidRDefault="00625A24" w:rsidP="00754CD1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Duke Energy Ohio’s current Rider PIPP rate is $</w:t>
      </w:r>
      <w:r w:rsidR="003E35B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0</w:t>
      </w:r>
      <w:r w:rsidR="00A973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.006572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per CCF.  The proposed Rider PIPP rate is </w:t>
      </w:r>
      <w:r w:rsidR="00A973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$0.00</w:t>
      </w:r>
      <w:r w:rsidR="00BF736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9026</w:t>
      </w:r>
      <w:r w:rsidR="00A973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per CCF.</w:t>
      </w:r>
    </w:p>
    <w:p w:rsidR="00754CD1" w:rsidRPr="00754CD1" w:rsidRDefault="00754CD1" w:rsidP="00754CD1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4C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The Commission has continued to recognize that an emergency, as described by 4909.16,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754C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O.R.C., exists, and that in response to that emergency, PIPP should continue to be available to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754C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residential customers as contained within the Stipulation and Recommendation in Case No. 88-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754C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1115-GE-PIP, approved and adopted by the Commission on December 2, 1993. The Stipulation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754C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and Recommendation provides for the adjustment of PIPP riders upon request of the affected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754C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utility.</w:t>
      </w:r>
    </w:p>
    <w:p w:rsidR="00754CD1" w:rsidRDefault="00754CD1" w:rsidP="00754CD1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54C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In direct testimony of the Commission Staff accepted by the Finding and Order dated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754C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December 2, 1993, a procedure for the implementation of revised PIPP rates essentially requires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754C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 utility to implement its new rate on the forty-sixth day after its application, absent action by the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754C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Commission. Duke Energy Ohio hereby requests that the proposed rate offered by this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754C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application, absent action by the Commission, becomes effective on the forty-sixth day after the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754C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application is filed.</w:t>
      </w:r>
    </w:p>
    <w:p w:rsidR="00754CD1" w:rsidRDefault="00754CD1" w:rsidP="00754CD1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54CD1" w:rsidRDefault="00754CD1" w:rsidP="00754CD1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54CD1" w:rsidRDefault="00754CD1" w:rsidP="00754CD1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71DCF" w:rsidRDefault="00754CD1" w:rsidP="00754CD1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highlight w:val="yellow"/>
        </w:rPr>
      </w:pPr>
      <w:r w:rsidRPr="00754C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WHEREFORE, Duke Energy Ohio respectf</w:t>
      </w:r>
      <w:r w:rsidR="00F263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</w:t>
      </w:r>
      <w:r w:rsidRPr="00754C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lly requests that the Commission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</w:t>
      </w:r>
      <w:r w:rsidRPr="00754C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pprove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754C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the proposed Interim Emergency and Temporary Percentage of Income Payment Plan Rider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754C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charge as filed herein as Exhibit 1 to become effective coincident with the forty-sixth day after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754C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the application is filed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C71DCF" w:rsidRPr="000776CD" w:rsidRDefault="00C71DCF" w:rsidP="00C71DCF">
      <w:pPr>
        <w:pStyle w:val="ListParagraph"/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6347A" w:rsidRPr="007D35BC" w:rsidRDefault="00465EB4" w:rsidP="00F6347A">
      <w:pPr>
        <w:ind w:left="4320"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35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7D35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7D35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7D35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7D35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Respectfully submitted,</w:t>
      </w:r>
    </w:p>
    <w:p w:rsidR="00465EB4" w:rsidRPr="007D35BC" w:rsidRDefault="00465EB4" w:rsidP="00465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35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7D35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7D35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7D35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7D35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7D35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7D35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Duke Energy Ohio, Inc.</w:t>
      </w:r>
    </w:p>
    <w:p w:rsidR="00465EB4" w:rsidRPr="007D35BC" w:rsidRDefault="00465EB4" w:rsidP="00465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65EB4" w:rsidRPr="007D35BC" w:rsidRDefault="00465EB4" w:rsidP="00465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65EB4" w:rsidRPr="007D35BC" w:rsidRDefault="00465EB4" w:rsidP="00465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65EB4" w:rsidRPr="007D35BC" w:rsidRDefault="00465EB4" w:rsidP="00465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65EB4" w:rsidRPr="007D35BC" w:rsidRDefault="00465EB4" w:rsidP="00465EB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35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</w:t>
      </w:r>
    </w:p>
    <w:p w:rsidR="00465EB4" w:rsidRPr="007D35BC" w:rsidRDefault="00465EB4" w:rsidP="00465EB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35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Amy B. Spiller    (0047277)</w:t>
      </w:r>
    </w:p>
    <w:p w:rsidR="00F6347A" w:rsidRPr="007D35BC" w:rsidRDefault="00973E4A" w:rsidP="00F6347A">
      <w:pPr>
        <w:autoSpaceDE w:val="0"/>
        <w:autoSpaceDN w:val="0"/>
        <w:adjustRightInd w:val="0"/>
        <w:spacing w:after="0" w:line="240" w:lineRule="auto"/>
        <w:ind w:left="4320" w:right="-180"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35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Deputy </w:t>
      </w:r>
      <w:r w:rsidR="00465EB4" w:rsidRPr="007D35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General Counsel</w:t>
      </w:r>
      <w:r w:rsidRPr="007D35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465EB4" w:rsidRPr="007D35BC" w:rsidRDefault="00465EB4" w:rsidP="00465EB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35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Elizabeth H. Watts (0031092)</w:t>
      </w:r>
    </w:p>
    <w:p w:rsidR="00465EB4" w:rsidRPr="007D35BC" w:rsidRDefault="00973E4A" w:rsidP="00465EB4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35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Associate </w:t>
      </w:r>
      <w:r w:rsidR="00465EB4" w:rsidRPr="007D35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General Counsel</w:t>
      </w:r>
    </w:p>
    <w:p w:rsidR="00465EB4" w:rsidRPr="007D35BC" w:rsidRDefault="00465EB4" w:rsidP="00465EB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35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Duke Energy Business Services</w:t>
      </w:r>
      <w:r w:rsidR="0054647A" w:rsidRPr="007D35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LLC</w:t>
      </w:r>
    </w:p>
    <w:p w:rsidR="00465EB4" w:rsidRPr="007D35BC" w:rsidRDefault="00973E4A" w:rsidP="00465EB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35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139 East Fourth Street, 1303-Main</w:t>
      </w:r>
    </w:p>
    <w:p w:rsidR="00465EB4" w:rsidRPr="007D35BC" w:rsidRDefault="00465EB4" w:rsidP="00465EB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35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P.O. Box 96</w:t>
      </w:r>
      <w:r w:rsidR="00893C77" w:rsidRPr="007D35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0</w:t>
      </w:r>
    </w:p>
    <w:p w:rsidR="00465EB4" w:rsidRPr="007D35BC" w:rsidRDefault="00465EB4" w:rsidP="00465EB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35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Cincinnati, Ohio  45201-0960</w:t>
      </w:r>
    </w:p>
    <w:p w:rsidR="00465EB4" w:rsidRPr="007D35BC" w:rsidRDefault="007D3A83" w:rsidP="007D3A83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614-222-1331</w:t>
      </w:r>
    </w:p>
    <w:p w:rsidR="007D3A83" w:rsidRDefault="006F586C" w:rsidP="007D3A83">
      <w:pPr>
        <w:spacing w:after="0"/>
        <w:ind w:left="4320"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hyperlink r:id="rId9" w:history="1">
        <w:r w:rsidR="007D3A83" w:rsidRPr="00624BB0">
          <w:rPr>
            <w:rStyle w:val="Hyperlink"/>
            <w:rFonts w:ascii="Times New Roman" w:hAnsi="Times New Roman" w:cs="Times New Roman"/>
            <w:sz w:val="24"/>
            <w:szCs w:val="24"/>
          </w:rPr>
          <w:t>amy.spiller@duke-energy.com</w:t>
        </w:r>
      </w:hyperlink>
    </w:p>
    <w:p w:rsidR="007D3A83" w:rsidRDefault="006F586C" w:rsidP="007D3A83">
      <w:pPr>
        <w:spacing w:after="0"/>
        <w:ind w:left="4320" w:firstLine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hyperlink r:id="rId10" w:history="1">
        <w:r w:rsidR="007D3A83" w:rsidRPr="00624BB0">
          <w:rPr>
            <w:rStyle w:val="Hyperlink"/>
            <w:rFonts w:ascii="Times New Roman" w:hAnsi="Times New Roman" w:cs="Times New Roman"/>
            <w:sz w:val="24"/>
            <w:szCs w:val="24"/>
          </w:rPr>
          <w:t>elizabeth.watts@duke-energy.com</w:t>
        </w:r>
      </w:hyperlink>
    </w:p>
    <w:p w:rsidR="00D62CD6" w:rsidRDefault="00D62CD6">
      <w:pPr>
        <w:rPr>
          <w:color w:val="1D1B11" w:themeColor="background2" w:themeShade="1A"/>
          <w:szCs w:val="24"/>
        </w:rPr>
      </w:pPr>
      <w:r>
        <w:rPr>
          <w:color w:val="1D1B11" w:themeColor="background2" w:themeShade="1A"/>
          <w:szCs w:val="24"/>
        </w:rPr>
        <w:br w:type="page"/>
      </w:r>
    </w:p>
    <w:p w:rsidR="00181974" w:rsidRDefault="00D62CD6" w:rsidP="00181974">
      <w:pPr>
        <w:keepNext/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line="240" w:lineRule="exact"/>
        <w:jc w:val="right"/>
        <w:textAlignment w:val="baseline"/>
        <w:outlineLvl w:val="0"/>
        <w:rPr>
          <w:rFonts w:ascii="Arial" w:eastAsia="Times New Roman" w:hAnsi="Arial" w:cs="Times New Roman"/>
          <w:spacing w:val="-2"/>
          <w:sz w:val="20"/>
          <w:szCs w:val="20"/>
        </w:rPr>
      </w:pPr>
      <w:r w:rsidRPr="00D62CD6">
        <w:rPr>
          <w:rFonts w:ascii="Arial" w:eastAsia="Times New Roman" w:hAnsi="Arial" w:cs="Times New Roman"/>
          <w:spacing w:val="-2"/>
          <w:sz w:val="20"/>
          <w:szCs w:val="20"/>
        </w:rPr>
        <w:tab/>
      </w:r>
      <w:r w:rsidRPr="00D62CD6">
        <w:rPr>
          <w:rFonts w:ascii="Arial" w:eastAsia="Times New Roman" w:hAnsi="Arial" w:cs="Times New Roman"/>
          <w:spacing w:val="-2"/>
          <w:sz w:val="20"/>
          <w:szCs w:val="20"/>
        </w:rPr>
        <w:tab/>
      </w:r>
      <w:r w:rsidRPr="00D62CD6">
        <w:rPr>
          <w:rFonts w:ascii="Arial" w:eastAsia="Times New Roman" w:hAnsi="Arial" w:cs="Times New Roman"/>
          <w:spacing w:val="-2"/>
          <w:sz w:val="20"/>
          <w:szCs w:val="20"/>
        </w:rPr>
        <w:tab/>
      </w:r>
      <w:r w:rsidRPr="00D62CD6">
        <w:rPr>
          <w:rFonts w:ascii="Arial" w:eastAsia="Times New Roman" w:hAnsi="Arial" w:cs="Times New Roman"/>
          <w:spacing w:val="-2"/>
          <w:sz w:val="20"/>
          <w:szCs w:val="20"/>
        </w:rPr>
        <w:tab/>
      </w:r>
      <w:r w:rsidRPr="00D62CD6">
        <w:rPr>
          <w:rFonts w:ascii="Arial" w:eastAsia="Times New Roman" w:hAnsi="Arial" w:cs="Times New Roman"/>
          <w:spacing w:val="-2"/>
          <w:sz w:val="20"/>
          <w:szCs w:val="20"/>
        </w:rPr>
        <w:tab/>
      </w:r>
      <w:r w:rsidR="00181974" w:rsidRPr="00181974">
        <w:rPr>
          <w:rFonts w:ascii="Arial" w:eastAsia="Times New Roman" w:hAnsi="Arial" w:cs="Times New Roman"/>
          <w:b/>
          <w:bCs/>
          <w:spacing w:val="-2"/>
          <w:sz w:val="20"/>
          <w:szCs w:val="20"/>
        </w:rPr>
        <w:t>EXHIBIT 1</w:t>
      </w:r>
    </w:p>
    <w:p w:rsidR="00D62CD6" w:rsidRPr="00D62CD6" w:rsidRDefault="00181974" w:rsidP="00D62CD6">
      <w:pPr>
        <w:keepNext/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outlineLvl w:val="0"/>
        <w:rPr>
          <w:rFonts w:ascii="Arial" w:eastAsia="Times New Roman" w:hAnsi="Arial" w:cs="Times New Roman"/>
          <w:spacing w:val="-2"/>
          <w:sz w:val="20"/>
          <w:szCs w:val="20"/>
        </w:rPr>
      </w:pPr>
      <w:r>
        <w:rPr>
          <w:rFonts w:ascii="Arial" w:eastAsia="Times New Roman" w:hAnsi="Arial" w:cs="Times New Roman"/>
          <w:spacing w:val="-2"/>
          <w:sz w:val="20"/>
          <w:szCs w:val="20"/>
        </w:rPr>
        <w:tab/>
      </w:r>
      <w:r>
        <w:rPr>
          <w:rFonts w:ascii="Arial" w:eastAsia="Times New Roman" w:hAnsi="Arial" w:cs="Times New Roman"/>
          <w:spacing w:val="-2"/>
          <w:sz w:val="20"/>
          <w:szCs w:val="20"/>
        </w:rPr>
        <w:tab/>
      </w:r>
      <w:r>
        <w:rPr>
          <w:rFonts w:ascii="Arial" w:eastAsia="Times New Roman" w:hAnsi="Arial" w:cs="Times New Roman"/>
          <w:spacing w:val="-2"/>
          <w:sz w:val="20"/>
          <w:szCs w:val="20"/>
        </w:rPr>
        <w:tab/>
      </w:r>
      <w:r>
        <w:rPr>
          <w:rFonts w:ascii="Arial" w:eastAsia="Times New Roman" w:hAnsi="Arial" w:cs="Times New Roman"/>
          <w:spacing w:val="-2"/>
          <w:sz w:val="20"/>
          <w:szCs w:val="20"/>
        </w:rPr>
        <w:tab/>
      </w:r>
      <w:r>
        <w:rPr>
          <w:rFonts w:ascii="Arial" w:eastAsia="Times New Roman" w:hAnsi="Arial" w:cs="Times New Roman"/>
          <w:spacing w:val="-2"/>
          <w:sz w:val="20"/>
          <w:szCs w:val="20"/>
        </w:rPr>
        <w:tab/>
      </w:r>
      <w:r w:rsidR="00D62CD6" w:rsidRPr="00D62CD6">
        <w:rPr>
          <w:rFonts w:ascii="Arial" w:eastAsia="Times New Roman" w:hAnsi="Arial" w:cs="Times New Roman"/>
          <w:spacing w:val="-2"/>
          <w:sz w:val="20"/>
          <w:szCs w:val="20"/>
        </w:rPr>
        <w:t>P.U.C.O. Gas No. 18</w:t>
      </w: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  <w:r w:rsidRPr="00D62CD6">
        <w:rPr>
          <w:rFonts w:ascii="Arial" w:eastAsia="Times New Roman" w:hAnsi="Arial" w:cs="Times New Roman"/>
          <w:spacing w:val="-2"/>
          <w:sz w:val="20"/>
          <w:szCs w:val="20"/>
        </w:rPr>
        <w:tab/>
      </w:r>
      <w:r w:rsidRPr="00D62CD6">
        <w:rPr>
          <w:rFonts w:ascii="Arial" w:eastAsia="Times New Roman" w:hAnsi="Arial" w:cs="Times New Roman"/>
          <w:spacing w:val="-2"/>
          <w:sz w:val="20"/>
          <w:szCs w:val="20"/>
        </w:rPr>
        <w:tab/>
      </w:r>
      <w:r w:rsidRPr="00D62CD6">
        <w:rPr>
          <w:rFonts w:ascii="Arial" w:eastAsia="Times New Roman" w:hAnsi="Arial" w:cs="Times New Roman"/>
          <w:spacing w:val="-2"/>
          <w:sz w:val="20"/>
          <w:szCs w:val="20"/>
        </w:rPr>
        <w:tab/>
      </w:r>
      <w:r w:rsidRPr="00D62CD6">
        <w:rPr>
          <w:rFonts w:ascii="Arial" w:eastAsia="Times New Roman" w:hAnsi="Arial" w:cs="Times New Roman"/>
          <w:spacing w:val="-2"/>
          <w:sz w:val="20"/>
          <w:szCs w:val="20"/>
        </w:rPr>
        <w:tab/>
      </w:r>
      <w:r w:rsidRPr="00D62CD6">
        <w:rPr>
          <w:rFonts w:ascii="Arial" w:eastAsia="Times New Roman" w:hAnsi="Arial" w:cs="Times New Roman"/>
          <w:spacing w:val="-2"/>
          <w:sz w:val="20"/>
          <w:szCs w:val="20"/>
        </w:rPr>
        <w:tab/>
        <w:t>Sheet No. 63.11</w:t>
      </w: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left" w:pos="4872"/>
          <w:tab w:val="center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  <w:r w:rsidRPr="00D62CD6">
        <w:rPr>
          <w:rFonts w:ascii="Arial" w:eastAsia="Times New Roman" w:hAnsi="Arial" w:cs="Times New Roman"/>
          <w:spacing w:val="-2"/>
          <w:sz w:val="20"/>
          <w:szCs w:val="20"/>
        </w:rPr>
        <w:t xml:space="preserve">Duke Energy </w:t>
      </w:r>
      <w:smartTag w:uri="urn:schemas-microsoft-com:office:smarttags" w:element="State">
        <w:smartTag w:uri="urn:schemas-microsoft-com:office:smarttags" w:element="place">
          <w:r w:rsidRPr="00D62CD6">
            <w:rPr>
              <w:rFonts w:ascii="Arial" w:eastAsia="Times New Roman" w:hAnsi="Arial" w:cs="Times New Roman"/>
              <w:spacing w:val="-2"/>
              <w:sz w:val="20"/>
              <w:szCs w:val="20"/>
            </w:rPr>
            <w:t>Ohio</w:t>
          </w:r>
        </w:smartTag>
      </w:smartTag>
      <w:r w:rsidRPr="00D62CD6">
        <w:rPr>
          <w:rFonts w:ascii="Arial" w:eastAsia="Times New Roman" w:hAnsi="Arial" w:cs="Times New Roman"/>
          <w:spacing w:val="-2"/>
          <w:sz w:val="20"/>
          <w:szCs w:val="20"/>
        </w:rPr>
        <w:tab/>
        <w:t>   </w:t>
      </w:r>
      <w:r w:rsidRPr="00D62CD6">
        <w:rPr>
          <w:rFonts w:ascii="Arial" w:eastAsia="Times New Roman" w:hAnsi="Arial" w:cs="Times New Roman"/>
          <w:spacing w:val="-2"/>
          <w:sz w:val="20"/>
          <w:szCs w:val="20"/>
        </w:rPr>
        <w:tab/>
      </w:r>
      <w:r w:rsidRPr="00D62CD6">
        <w:rPr>
          <w:rFonts w:ascii="Arial" w:eastAsia="Times New Roman" w:hAnsi="Arial" w:cs="Times New Roman"/>
          <w:spacing w:val="-2"/>
          <w:sz w:val="20"/>
          <w:szCs w:val="20"/>
        </w:rPr>
        <w:tab/>
        <w:t>Cancels and Supersedes</w:t>
      </w: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left" w:pos="4872"/>
          <w:tab w:val="center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  <w:r w:rsidRPr="00D62CD6">
        <w:rPr>
          <w:rFonts w:ascii="Arial" w:eastAsia="Times New Roman" w:hAnsi="Arial" w:cs="Times New Roman"/>
          <w:spacing w:val="-2"/>
          <w:sz w:val="20"/>
          <w:szCs w:val="20"/>
        </w:rPr>
        <w:t>139 East Fourth Street</w:t>
      </w:r>
      <w:r w:rsidRPr="00D62CD6">
        <w:rPr>
          <w:rFonts w:ascii="Arial" w:eastAsia="Times New Roman" w:hAnsi="Arial" w:cs="Times New Roman"/>
          <w:spacing w:val="-2"/>
          <w:sz w:val="20"/>
          <w:szCs w:val="20"/>
        </w:rPr>
        <w:tab/>
      </w:r>
      <w:r w:rsidRPr="00D62CD6">
        <w:rPr>
          <w:rFonts w:ascii="Arial" w:eastAsia="Times New Roman" w:hAnsi="Arial" w:cs="Times New Roman"/>
          <w:spacing w:val="-2"/>
          <w:sz w:val="20"/>
          <w:szCs w:val="20"/>
        </w:rPr>
        <w:tab/>
      </w:r>
      <w:r w:rsidRPr="00D62CD6">
        <w:rPr>
          <w:rFonts w:ascii="Arial" w:eastAsia="Times New Roman" w:hAnsi="Arial" w:cs="Times New Roman"/>
          <w:spacing w:val="-2"/>
          <w:sz w:val="20"/>
          <w:szCs w:val="20"/>
        </w:rPr>
        <w:tab/>
        <w:t>Sheet No. 63.10</w:t>
      </w:r>
    </w:p>
    <w:p w:rsidR="00D62CD6" w:rsidRPr="00D62CD6" w:rsidRDefault="00D62CD6" w:rsidP="00D62CD6">
      <w:pPr>
        <w:widowControl w:val="0"/>
        <w:pBdr>
          <w:bottom w:val="single" w:sz="6" w:space="1" w:color="auto"/>
        </w:pBdr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D62CD6">
            <w:rPr>
              <w:rFonts w:ascii="Arial" w:eastAsia="Times New Roman" w:hAnsi="Arial" w:cs="Times New Roman"/>
              <w:spacing w:val="-2"/>
              <w:sz w:val="20"/>
              <w:szCs w:val="20"/>
            </w:rPr>
            <w:t>Cincinnati</w:t>
          </w:r>
        </w:smartTag>
        <w:r w:rsidRPr="00D62CD6">
          <w:rPr>
            <w:rFonts w:ascii="Arial" w:eastAsia="Times New Roman" w:hAnsi="Arial" w:cs="Times New Roman"/>
            <w:spacing w:val="-2"/>
            <w:sz w:val="20"/>
            <w:szCs w:val="20"/>
          </w:rPr>
          <w:t xml:space="preserve">, </w:t>
        </w:r>
        <w:smartTag w:uri="urn:schemas-microsoft-com:office:smarttags" w:element="State">
          <w:r w:rsidRPr="00D62CD6">
            <w:rPr>
              <w:rFonts w:ascii="Arial" w:eastAsia="Times New Roman" w:hAnsi="Arial" w:cs="Times New Roman"/>
              <w:spacing w:val="-2"/>
              <w:sz w:val="20"/>
              <w:szCs w:val="20"/>
            </w:rPr>
            <w:t>Ohio</w:t>
          </w:r>
        </w:smartTag>
        <w:r w:rsidRPr="00D62CD6">
          <w:rPr>
            <w:rFonts w:ascii="Arial" w:eastAsia="Times New Roman" w:hAnsi="Arial" w:cs="Times New Roman"/>
            <w:spacing w:val="-2"/>
            <w:sz w:val="20"/>
            <w:szCs w:val="20"/>
          </w:rPr>
          <w:t xml:space="preserve"> </w:t>
        </w:r>
        <w:smartTag w:uri="urn:schemas-microsoft-com:office:smarttags" w:element="PostalCode">
          <w:r w:rsidRPr="00D62CD6">
            <w:rPr>
              <w:rFonts w:ascii="Arial" w:eastAsia="Times New Roman" w:hAnsi="Arial" w:cs="Times New Roman"/>
              <w:spacing w:val="-2"/>
              <w:sz w:val="20"/>
              <w:szCs w:val="20"/>
            </w:rPr>
            <w:t>45202</w:t>
          </w:r>
        </w:smartTag>
      </w:smartTag>
      <w:r w:rsidRPr="00D62CD6">
        <w:rPr>
          <w:rFonts w:ascii="Arial" w:eastAsia="Times New Roman" w:hAnsi="Arial" w:cs="Times New Roman"/>
          <w:spacing w:val="-2"/>
          <w:sz w:val="20"/>
          <w:szCs w:val="20"/>
        </w:rPr>
        <w:tab/>
      </w:r>
      <w:r w:rsidRPr="00D62CD6">
        <w:rPr>
          <w:rFonts w:ascii="Arial" w:eastAsia="Times New Roman" w:hAnsi="Arial" w:cs="Times New Roman"/>
          <w:spacing w:val="-2"/>
          <w:sz w:val="20"/>
          <w:szCs w:val="20"/>
        </w:rPr>
        <w:tab/>
      </w:r>
      <w:r w:rsidRPr="00D62CD6">
        <w:rPr>
          <w:rFonts w:ascii="Arial" w:eastAsia="Times New Roman" w:hAnsi="Arial" w:cs="Times New Roman"/>
          <w:spacing w:val="-2"/>
          <w:sz w:val="20"/>
          <w:szCs w:val="20"/>
        </w:rPr>
        <w:tab/>
        <w:t>Page 1 of 1</w:t>
      </w: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b/>
          <w:spacing w:val="-2"/>
          <w:sz w:val="20"/>
          <w:szCs w:val="20"/>
        </w:rPr>
      </w:pPr>
      <w:r w:rsidRPr="00D62CD6">
        <w:rPr>
          <w:rFonts w:ascii="Arial" w:eastAsia="Times New Roman" w:hAnsi="Arial" w:cs="Times New Roman"/>
          <w:spacing w:val="-2"/>
          <w:sz w:val="20"/>
          <w:szCs w:val="20"/>
        </w:rPr>
        <w:tab/>
      </w:r>
      <w:r w:rsidRPr="00D62CD6">
        <w:rPr>
          <w:rFonts w:ascii="Arial" w:eastAsia="Times New Roman" w:hAnsi="Arial" w:cs="Times New Roman"/>
          <w:spacing w:val="-2"/>
          <w:sz w:val="20"/>
          <w:szCs w:val="20"/>
        </w:rPr>
        <w:tab/>
      </w:r>
      <w:r w:rsidRPr="00D62CD6">
        <w:rPr>
          <w:rFonts w:ascii="Arial" w:eastAsia="Times New Roman" w:hAnsi="Arial" w:cs="Times New Roman"/>
          <w:spacing w:val="-2"/>
          <w:sz w:val="20"/>
          <w:szCs w:val="20"/>
        </w:rPr>
        <w:tab/>
      </w:r>
      <w:r w:rsidRPr="00D62CD6">
        <w:rPr>
          <w:rFonts w:ascii="Arial" w:eastAsia="Times New Roman" w:hAnsi="Arial" w:cs="Times New Roman"/>
          <w:b/>
          <w:spacing w:val="-2"/>
          <w:sz w:val="20"/>
          <w:szCs w:val="20"/>
        </w:rPr>
        <w:t>INTERIM EMERGENCY AND TEMPORARY</w:t>
      </w: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b/>
          <w:spacing w:val="-2"/>
          <w:sz w:val="20"/>
          <w:szCs w:val="20"/>
        </w:rPr>
      </w:pPr>
      <w:r w:rsidRPr="00D62CD6">
        <w:rPr>
          <w:rFonts w:ascii="Arial" w:eastAsia="Times New Roman" w:hAnsi="Arial" w:cs="Times New Roman"/>
          <w:spacing w:val="-2"/>
          <w:sz w:val="20"/>
          <w:szCs w:val="20"/>
        </w:rPr>
        <w:tab/>
      </w:r>
      <w:r w:rsidRPr="00D62CD6">
        <w:rPr>
          <w:rFonts w:ascii="Arial" w:eastAsia="Times New Roman" w:hAnsi="Arial" w:cs="Times New Roman"/>
          <w:spacing w:val="-2"/>
          <w:sz w:val="20"/>
          <w:szCs w:val="20"/>
        </w:rPr>
        <w:tab/>
      </w:r>
      <w:r w:rsidRPr="00D62CD6">
        <w:rPr>
          <w:rFonts w:ascii="Arial" w:eastAsia="Times New Roman" w:hAnsi="Arial" w:cs="Times New Roman"/>
          <w:spacing w:val="-2"/>
          <w:sz w:val="20"/>
          <w:szCs w:val="20"/>
        </w:rPr>
        <w:tab/>
      </w:r>
      <w:r w:rsidRPr="00D62CD6">
        <w:rPr>
          <w:rFonts w:ascii="Arial" w:eastAsia="Times New Roman" w:hAnsi="Arial" w:cs="Times New Roman"/>
          <w:b/>
          <w:spacing w:val="-2"/>
          <w:sz w:val="20"/>
          <w:szCs w:val="20"/>
        </w:rPr>
        <w:t>RIDER PIPP</w:t>
      </w: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b/>
          <w:spacing w:val="-2"/>
          <w:sz w:val="20"/>
          <w:szCs w:val="20"/>
        </w:rPr>
      </w:pPr>
      <w:r w:rsidRPr="00D62CD6">
        <w:rPr>
          <w:rFonts w:ascii="Arial" w:eastAsia="Times New Roman" w:hAnsi="Arial" w:cs="Times New Roman"/>
          <w:spacing w:val="-2"/>
          <w:sz w:val="20"/>
          <w:szCs w:val="20"/>
        </w:rPr>
        <w:tab/>
      </w:r>
      <w:r w:rsidRPr="00D62CD6">
        <w:rPr>
          <w:rFonts w:ascii="Arial" w:eastAsia="Times New Roman" w:hAnsi="Arial" w:cs="Times New Roman"/>
          <w:spacing w:val="-2"/>
          <w:sz w:val="20"/>
          <w:szCs w:val="20"/>
        </w:rPr>
        <w:tab/>
      </w:r>
      <w:r w:rsidRPr="00D62CD6">
        <w:rPr>
          <w:rFonts w:ascii="Arial" w:eastAsia="Times New Roman" w:hAnsi="Arial" w:cs="Times New Roman"/>
          <w:spacing w:val="-2"/>
          <w:sz w:val="20"/>
          <w:szCs w:val="20"/>
        </w:rPr>
        <w:tab/>
      </w:r>
      <w:r w:rsidRPr="00D62CD6">
        <w:rPr>
          <w:rFonts w:ascii="Arial" w:eastAsia="Times New Roman" w:hAnsi="Arial" w:cs="Times New Roman"/>
          <w:b/>
          <w:spacing w:val="-2"/>
          <w:sz w:val="20"/>
          <w:szCs w:val="20"/>
        </w:rPr>
        <w:t>PERCENTAGE OF INCOME PAYMENT PLAN</w:t>
      </w: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  <w:r w:rsidRPr="00D62CD6">
        <w:rPr>
          <w:rFonts w:ascii="Arial" w:eastAsia="Times New Roman" w:hAnsi="Arial" w:cs="Times New Roman"/>
          <w:spacing w:val="-2"/>
          <w:sz w:val="20"/>
          <w:szCs w:val="20"/>
        </w:rPr>
        <w:t>The current amount of Percentage of Income Payment Plan arrearages for recovery is a plus $0.009026 per 100 cubic feet.</w:t>
      </w: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</w:p>
    <w:p w:rsidR="00D62CD6" w:rsidRPr="00D62CD6" w:rsidRDefault="00D62CD6" w:rsidP="00D62CD6">
      <w:pPr>
        <w:widowControl w:val="0"/>
        <w:pBdr>
          <w:bottom w:val="single" w:sz="4" w:space="1" w:color="auto"/>
        </w:pBdr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  <w:r w:rsidRPr="00D62CD6">
        <w:rPr>
          <w:rFonts w:ascii="Arial" w:eastAsia="Times New Roman" w:hAnsi="Arial" w:cs="Times New Roman"/>
          <w:spacing w:val="-2"/>
          <w:sz w:val="20"/>
          <w:szCs w:val="20"/>
        </w:rPr>
        <w:t>Filed pursuant to an Entry dated ______in Case No. 14-418-GA-PIP before the Public Utilities Commission of Ohio.</w:t>
      </w: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  <w:r w:rsidRPr="00D62CD6">
        <w:rPr>
          <w:rFonts w:ascii="Arial" w:eastAsia="Times New Roman" w:hAnsi="Arial" w:cs="Times New Roman"/>
          <w:spacing w:val="-2"/>
          <w:sz w:val="20"/>
          <w:szCs w:val="20"/>
        </w:rPr>
        <w:t xml:space="preserve">Issued:  </w:t>
      </w:r>
      <w:r w:rsidRPr="00D62CD6">
        <w:rPr>
          <w:rFonts w:ascii="Arial" w:eastAsia="Times New Roman" w:hAnsi="Arial" w:cs="Times New Roman"/>
          <w:spacing w:val="-2"/>
          <w:sz w:val="20"/>
          <w:szCs w:val="20"/>
        </w:rPr>
        <w:tab/>
      </w:r>
      <w:r w:rsidRPr="00D62CD6">
        <w:rPr>
          <w:rFonts w:ascii="Arial" w:eastAsia="Times New Roman" w:hAnsi="Arial" w:cs="Times New Roman"/>
          <w:spacing w:val="-2"/>
          <w:sz w:val="20"/>
          <w:szCs w:val="20"/>
        </w:rPr>
        <w:tab/>
        <w:t xml:space="preserve">              </w:t>
      </w:r>
      <w:r w:rsidRPr="00D62CD6">
        <w:rPr>
          <w:rFonts w:ascii="Arial" w:eastAsia="Times New Roman" w:hAnsi="Arial" w:cs="Times New Roman"/>
          <w:spacing w:val="-2"/>
          <w:sz w:val="20"/>
          <w:szCs w:val="20"/>
        </w:rPr>
        <w:tab/>
        <w:t xml:space="preserve">  Effective:   </w:t>
      </w: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</w:p>
    <w:p w:rsidR="00D62CD6" w:rsidRPr="00D62CD6" w:rsidRDefault="00D62CD6" w:rsidP="00D62CD6">
      <w:pPr>
        <w:widowControl w:val="0"/>
        <w:tabs>
          <w:tab w:val="left" w:pos="420"/>
          <w:tab w:val="left" w:pos="924"/>
          <w:tab w:val="center" w:pos="4872"/>
          <w:tab w:val="left" w:pos="6132"/>
          <w:tab w:val="left" w:pos="6804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</w:p>
    <w:p w:rsidR="000F72D1" w:rsidRDefault="007A4EEF" w:rsidP="007A4EEF">
      <w:pPr>
        <w:widowControl w:val="0"/>
        <w:tabs>
          <w:tab w:val="left" w:pos="420"/>
          <w:tab w:val="left" w:pos="924"/>
          <w:tab w:val="center" w:pos="4680"/>
          <w:tab w:val="center" w:pos="4872"/>
          <w:tab w:val="left" w:pos="6132"/>
          <w:tab w:val="left" w:pos="7167"/>
          <w:tab w:val="left" w:pos="8820"/>
          <w:tab w:val="right" w:pos="9360"/>
        </w:tabs>
        <w:suppressAutoHyphens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  <w:r>
        <w:rPr>
          <w:rFonts w:ascii="Arial" w:eastAsia="Times New Roman" w:hAnsi="Arial" w:cs="Times New Roman"/>
          <w:spacing w:val="-2"/>
          <w:sz w:val="20"/>
          <w:szCs w:val="20"/>
        </w:rPr>
        <w:tab/>
      </w:r>
      <w:r>
        <w:rPr>
          <w:rFonts w:ascii="Arial" w:eastAsia="Times New Roman" w:hAnsi="Arial" w:cs="Times New Roman"/>
          <w:spacing w:val="-2"/>
          <w:sz w:val="20"/>
          <w:szCs w:val="20"/>
        </w:rPr>
        <w:tab/>
      </w:r>
      <w:r>
        <w:rPr>
          <w:rFonts w:ascii="Arial" w:eastAsia="Times New Roman" w:hAnsi="Arial" w:cs="Times New Roman"/>
          <w:spacing w:val="-2"/>
          <w:sz w:val="20"/>
          <w:szCs w:val="20"/>
        </w:rPr>
        <w:tab/>
      </w:r>
      <w:r w:rsidR="00D62CD6" w:rsidRPr="00D62CD6">
        <w:rPr>
          <w:rFonts w:ascii="Arial" w:eastAsia="Times New Roman" w:hAnsi="Arial" w:cs="Times New Roman"/>
          <w:spacing w:val="-2"/>
          <w:sz w:val="20"/>
          <w:szCs w:val="20"/>
        </w:rPr>
        <w:t>Issued by James P. Henning</w:t>
      </w:r>
      <w:r>
        <w:rPr>
          <w:rFonts w:ascii="Arial" w:eastAsia="Times New Roman" w:hAnsi="Arial" w:cs="Times New Roman"/>
          <w:spacing w:val="-2"/>
          <w:sz w:val="20"/>
          <w:szCs w:val="20"/>
        </w:rPr>
        <w:t>, President</w:t>
      </w:r>
    </w:p>
    <w:tbl>
      <w:tblPr>
        <w:tblW w:w="0" w:type="auto"/>
        <w:tblInd w:w="78" w:type="dxa"/>
        <w:tblLook w:val="0000" w:firstRow="0" w:lastRow="0" w:firstColumn="0" w:lastColumn="0" w:noHBand="0" w:noVBand="0"/>
      </w:tblPr>
      <w:tblGrid>
        <w:gridCol w:w="628"/>
        <w:gridCol w:w="5553"/>
        <w:gridCol w:w="222"/>
        <w:gridCol w:w="1884"/>
        <w:gridCol w:w="1172"/>
      </w:tblGrid>
      <w:tr w:rsidR="000F72D1" w:rsidTr="000F72D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EXHIBIT 2</w:t>
            </w:r>
          </w:p>
        </w:tc>
      </w:tr>
      <w:tr w:rsidR="000F72D1" w:rsidTr="000F72D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Calculation of PIPP Interim Rider 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72D1" w:rsidTr="000F72D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Based on PIPP Deferrals as of March 31,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72D1" w:rsidTr="000F72D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(GAS SERVICE)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72D1" w:rsidTr="000F72D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72D1" w:rsidTr="000F72D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72D1" w:rsidTr="000F72D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72D1" w:rsidTr="000F72D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72D1" w:rsidTr="000F72D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72D1" w:rsidTr="000F72D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Balance of PIPP Arrears Over  2 Months Old 03/31/14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3,991,686.66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72D1" w:rsidTr="000F72D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72D1" w:rsidTr="000F72D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Budgeted Annual Sales - Eleven Months Ended March 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551,127,210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ccf</w:t>
            </w:r>
            <w:proofErr w:type="spellEnd"/>
          </w:p>
        </w:tc>
      </w:tr>
      <w:tr w:rsidR="000F72D1" w:rsidTr="000F72D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(Less Inter Dept. &amp; IT Trans Sales)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72D1" w:rsidTr="000F72D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72D1" w:rsidTr="000F72D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Deferred PIPP Balance Rate  (Line 1 / Line 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0.007243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$\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ccf</w:t>
            </w:r>
            <w:proofErr w:type="spellEnd"/>
          </w:p>
        </w:tc>
      </w:tr>
      <w:tr w:rsidR="000F72D1" w:rsidTr="000F72D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72D1" w:rsidTr="000F72D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Transfer From PIPP A/R to PIPP Deferred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982,757.75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72D1" w:rsidTr="000F72D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During May 2013 Thru March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72D1" w:rsidTr="000F72D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72D1" w:rsidTr="000F72D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Monthly Average (Line 4 / 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  89,341.61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72D1" w:rsidTr="000F72D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72D1" w:rsidTr="000F72D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Annual Average Arrearages (Line 5 * 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        982,757.71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72D1" w:rsidTr="000F72D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72D1" w:rsidTr="000F72D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Annual Average Rate (Line 6 / Line 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0.001783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$\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ccf</w:t>
            </w:r>
            <w:proofErr w:type="spellEnd"/>
          </w:p>
        </w:tc>
      </w:tr>
      <w:tr w:rsidR="000F72D1" w:rsidTr="000F72D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72D1" w:rsidTr="000F72D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Deferred PIPP Balance 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0.007243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$\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ccf</w:t>
            </w:r>
            <w:proofErr w:type="spellEnd"/>
          </w:p>
        </w:tc>
      </w:tr>
      <w:tr w:rsidR="000F72D1" w:rsidTr="000F72D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72D1" w:rsidTr="000F72D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Annual Average 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0.001783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$\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ccf</w:t>
            </w:r>
            <w:proofErr w:type="spellEnd"/>
          </w:p>
        </w:tc>
      </w:tr>
      <w:tr w:rsidR="000F72D1" w:rsidTr="000F72D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72D1" w:rsidTr="000F72D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Recommended 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0.009026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$\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ccf</w:t>
            </w:r>
            <w:proofErr w:type="spellEnd"/>
          </w:p>
        </w:tc>
      </w:tr>
      <w:tr w:rsidR="000F72D1" w:rsidTr="000F72D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72D1" w:rsidTr="000F72D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Incremental Increase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(5,496,942.793)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72D1" w:rsidTr="000F72D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(Line 12 * Line 3) -(0.0190 * Line 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72D1" w:rsidTr="000F72D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72D1" w:rsidTr="000F72D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F72D1" w:rsidRDefault="000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F72D1" w:rsidRPr="000B6926" w:rsidRDefault="000F72D1" w:rsidP="007A4EEF">
      <w:pPr>
        <w:widowControl w:val="0"/>
        <w:tabs>
          <w:tab w:val="left" w:pos="420"/>
          <w:tab w:val="left" w:pos="924"/>
          <w:tab w:val="center" w:pos="4680"/>
          <w:tab w:val="center" w:pos="4872"/>
          <w:tab w:val="left" w:pos="6132"/>
          <w:tab w:val="left" w:pos="7167"/>
          <w:tab w:val="left" w:pos="8820"/>
          <w:tab w:val="right" w:pos="9360"/>
        </w:tabs>
        <w:suppressAutoHyphens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Arial" w:eastAsia="Times New Roman" w:hAnsi="Arial" w:cs="Times New Roman"/>
          <w:spacing w:val="-2"/>
          <w:sz w:val="20"/>
          <w:szCs w:val="20"/>
        </w:rPr>
      </w:pPr>
    </w:p>
    <w:sectPr w:rsidR="000F72D1" w:rsidRPr="000B6926" w:rsidSect="00AC3F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352" w:rsidRDefault="00F26352" w:rsidP="00F71CBB">
      <w:pPr>
        <w:spacing w:after="0" w:line="240" w:lineRule="auto"/>
      </w:pPr>
      <w:r>
        <w:separator/>
      </w:r>
    </w:p>
  </w:endnote>
  <w:endnote w:type="continuationSeparator" w:id="0">
    <w:p w:rsidR="00F26352" w:rsidRDefault="00F26352" w:rsidP="00F7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6C" w:rsidRDefault="006F58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352" w:rsidRPr="008F0D86" w:rsidRDefault="007A4EEF" w:rsidP="007A4EEF">
    <w:pPr>
      <w:pStyle w:val="Footer"/>
      <w:tabs>
        <w:tab w:val="left" w:pos="8556"/>
      </w:tabs>
      <w:rPr>
        <w:rFonts w:ascii="Times New Roman" w:hAnsi="Times New Roman" w:cs="Times New Roman"/>
        <w:sz w:val="24"/>
        <w:szCs w:val="24"/>
      </w:rPr>
    </w:pPr>
    <w:r>
      <w:tab/>
    </w:r>
    <w:sdt>
      <w:sdtPr>
        <w:id w:val="9056110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F26352" w:rsidRPr="008F0D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26352" w:rsidRPr="008F0D8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F26352" w:rsidRPr="008F0D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586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F26352" w:rsidRPr="008F0D86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 w:cs="Times New Roman"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6C" w:rsidRDefault="006F58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352" w:rsidRDefault="00F26352" w:rsidP="00F71CBB">
      <w:pPr>
        <w:spacing w:after="0" w:line="240" w:lineRule="auto"/>
      </w:pPr>
      <w:r>
        <w:separator/>
      </w:r>
    </w:p>
  </w:footnote>
  <w:footnote w:type="continuationSeparator" w:id="0">
    <w:p w:rsidR="00F26352" w:rsidRDefault="00F26352" w:rsidP="00F71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6C" w:rsidRDefault="006F58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6C" w:rsidRDefault="006F58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6C" w:rsidRDefault="006F58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4471"/>
    <w:multiLevelType w:val="hybridMultilevel"/>
    <w:tmpl w:val="67A0F758"/>
    <w:lvl w:ilvl="0" w:tplc="75BE6E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914D5"/>
    <w:multiLevelType w:val="hybridMultilevel"/>
    <w:tmpl w:val="B5A616F0"/>
    <w:lvl w:ilvl="0" w:tplc="046AA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9A"/>
    <w:rsid w:val="000234E6"/>
    <w:rsid w:val="00025413"/>
    <w:rsid w:val="000275E9"/>
    <w:rsid w:val="000320CB"/>
    <w:rsid w:val="0004446C"/>
    <w:rsid w:val="00057A42"/>
    <w:rsid w:val="000776CD"/>
    <w:rsid w:val="000853A5"/>
    <w:rsid w:val="000953C7"/>
    <w:rsid w:val="000B6926"/>
    <w:rsid w:val="000C0B46"/>
    <w:rsid w:val="000C2813"/>
    <w:rsid w:val="000D1CAD"/>
    <w:rsid w:val="000E37D1"/>
    <w:rsid w:val="000F72D1"/>
    <w:rsid w:val="001048F1"/>
    <w:rsid w:val="00116C66"/>
    <w:rsid w:val="0013750E"/>
    <w:rsid w:val="00137F85"/>
    <w:rsid w:val="00157035"/>
    <w:rsid w:val="00173B6D"/>
    <w:rsid w:val="00181974"/>
    <w:rsid w:val="001B159A"/>
    <w:rsid w:val="001B5BED"/>
    <w:rsid w:val="001D737D"/>
    <w:rsid w:val="00210C7B"/>
    <w:rsid w:val="00227484"/>
    <w:rsid w:val="00232983"/>
    <w:rsid w:val="00257998"/>
    <w:rsid w:val="00260B05"/>
    <w:rsid w:val="00275C0C"/>
    <w:rsid w:val="00281DD1"/>
    <w:rsid w:val="00283CCA"/>
    <w:rsid w:val="002B3379"/>
    <w:rsid w:val="002B66E6"/>
    <w:rsid w:val="002E4AE8"/>
    <w:rsid w:val="002F322E"/>
    <w:rsid w:val="0030031D"/>
    <w:rsid w:val="00303CC8"/>
    <w:rsid w:val="00325048"/>
    <w:rsid w:val="00352F3D"/>
    <w:rsid w:val="00356901"/>
    <w:rsid w:val="003573A9"/>
    <w:rsid w:val="0036031F"/>
    <w:rsid w:val="00367729"/>
    <w:rsid w:val="003718F2"/>
    <w:rsid w:val="00374D41"/>
    <w:rsid w:val="00382A3B"/>
    <w:rsid w:val="00385A8E"/>
    <w:rsid w:val="003A1AF0"/>
    <w:rsid w:val="003A1B4C"/>
    <w:rsid w:val="003E35B1"/>
    <w:rsid w:val="003E382F"/>
    <w:rsid w:val="00402A0A"/>
    <w:rsid w:val="0040707D"/>
    <w:rsid w:val="00421BCC"/>
    <w:rsid w:val="004313A5"/>
    <w:rsid w:val="00431778"/>
    <w:rsid w:val="00434F45"/>
    <w:rsid w:val="00435BFA"/>
    <w:rsid w:val="00435C4A"/>
    <w:rsid w:val="00437D35"/>
    <w:rsid w:val="004428EC"/>
    <w:rsid w:val="0044362D"/>
    <w:rsid w:val="00463FF2"/>
    <w:rsid w:val="00465EB4"/>
    <w:rsid w:val="00481FA2"/>
    <w:rsid w:val="004A11B4"/>
    <w:rsid w:val="004B0D58"/>
    <w:rsid w:val="004B0DBE"/>
    <w:rsid w:val="004D0020"/>
    <w:rsid w:val="004D153B"/>
    <w:rsid w:val="004D7E0A"/>
    <w:rsid w:val="004F27DA"/>
    <w:rsid w:val="004F7811"/>
    <w:rsid w:val="00503D7D"/>
    <w:rsid w:val="005174C6"/>
    <w:rsid w:val="00532581"/>
    <w:rsid w:val="0054647A"/>
    <w:rsid w:val="00550453"/>
    <w:rsid w:val="0055154F"/>
    <w:rsid w:val="005536C2"/>
    <w:rsid w:val="00560DD8"/>
    <w:rsid w:val="00593538"/>
    <w:rsid w:val="005A3640"/>
    <w:rsid w:val="005F11BF"/>
    <w:rsid w:val="005F131F"/>
    <w:rsid w:val="006012F5"/>
    <w:rsid w:val="006016A7"/>
    <w:rsid w:val="0062336D"/>
    <w:rsid w:val="00625A24"/>
    <w:rsid w:val="00633A29"/>
    <w:rsid w:val="00644A44"/>
    <w:rsid w:val="0065201F"/>
    <w:rsid w:val="00655D5B"/>
    <w:rsid w:val="0067396E"/>
    <w:rsid w:val="006846E0"/>
    <w:rsid w:val="00685EE2"/>
    <w:rsid w:val="00696420"/>
    <w:rsid w:val="00697148"/>
    <w:rsid w:val="006B0DCF"/>
    <w:rsid w:val="006C58D7"/>
    <w:rsid w:val="006D1817"/>
    <w:rsid w:val="006F586C"/>
    <w:rsid w:val="00706537"/>
    <w:rsid w:val="00713D42"/>
    <w:rsid w:val="00715909"/>
    <w:rsid w:val="00730B45"/>
    <w:rsid w:val="00732A1A"/>
    <w:rsid w:val="00746009"/>
    <w:rsid w:val="00754CD1"/>
    <w:rsid w:val="00766D87"/>
    <w:rsid w:val="00776EFA"/>
    <w:rsid w:val="00782B8B"/>
    <w:rsid w:val="00795773"/>
    <w:rsid w:val="007A450F"/>
    <w:rsid w:val="007A4EEF"/>
    <w:rsid w:val="007B74FD"/>
    <w:rsid w:val="007C04B3"/>
    <w:rsid w:val="007C5387"/>
    <w:rsid w:val="007C7CDC"/>
    <w:rsid w:val="007D294D"/>
    <w:rsid w:val="007D35BC"/>
    <w:rsid w:val="007D3A83"/>
    <w:rsid w:val="007D6601"/>
    <w:rsid w:val="007E6C9F"/>
    <w:rsid w:val="007F4202"/>
    <w:rsid w:val="007F444F"/>
    <w:rsid w:val="0081060C"/>
    <w:rsid w:val="00817627"/>
    <w:rsid w:val="0082538D"/>
    <w:rsid w:val="00853200"/>
    <w:rsid w:val="0087575C"/>
    <w:rsid w:val="0087642B"/>
    <w:rsid w:val="00893C77"/>
    <w:rsid w:val="008C13DA"/>
    <w:rsid w:val="008C14E4"/>
    <w:rsid w:val="008C2DA3"/>
    <w:rsid w:val="008D567F"/>
    <w:rsid w:val="008D71C5"/>
    <w:rsid w:val="008E2586"/>
    <w:rsid w:val="008F0D86"/>
    <w:rsid w:val="009216EA"/>
    <w:rsid w:val="00971C48"/>
    <w:rsid w:val="00973E4A"/>
    <w:rsid w:val="009848D1"/>
    <w:rsid w:val="00987C12"/>
    <w:rsid w:val="00991A9A"/>
    <w:rsid w:val="009B4289"/>
    <w:rsid w:val="009C12D5"/>
    <w:rsid w:val="009C1C80"/>
    <w:rsid w:val="009C299E"/>
    <w:rsid w:val="009D126D"/>
    <w:rsid w:val="009E33D7"/>
    <w:rsid w:val="00A0305F"/>
    <w:rsid w:val="00A04524"/>
    <w:rsid w:val="00A061ED"/>
    <w:rsid w:val="00A46D10"/>
    <w:rsid w:val="00A52F0F"/>
    <w:rsid w:val="00A77AC8"/>
    <w:rsid w:val="00A8251C"/>
    <w:rsid w:val="00A95A31"/>
    <w:rsid w:val="00A97325"/>
    <w:rsid w:val="00AB7C8E"/>
    <w:rsid w:val="00AB7F3E"/>
    <w:rsid w:val="00AC2F6B"/>
    <w:rsid w:val="00AC3F36"/>
    <w:rsid w:val="00AE4112"/>
    <w:rsid w:val="00B021BB"/>
    <w:rsid w:val="00B0689B"/>
    <w:rsid w:val="00B11519"/>
    <w:rsid w:val="00B1758A"/>
    <w:rsid w:val="00B22D00"/>
    <w:rsid w:val="00B27DE4"/>
    <w:rsid w:val="00B32516"/>
    <w:rsid w:val="00B452BC"/>
    <w:rsid w:val="00B604F9"/>
    <w:rsid w:val="00B92D74"/>
    <w:rsid w:val="00BB3747"/>
    <w:rsid w:val="00BC2D69"/>
    <w:rsid w:val="00BE35C9"/>
    <w:rsid w:val="00BF52EA"/>
    <w:rsid w:val="00BF5AFA"/>
    <w:rsid w:val="00BF7369"/>
    <w:rsid w:val="00C011D7"/>
    <w:rsid w:val="00C12C2D"/>
    <w:rsid w:val="00C14D37"/>
    <w:rsid w:val="00C27B01"/>
    <w:rsid w:val="00C4117D"/>
    <w:rsid w:val="00C57490"/>
    <w:rsid w:val="00C60596"/>
    <w:rsid w:val="00C653FA"/>
    <w:rsid w:val="00C71B2A"/>
    <w:rsid w:val="00C71DCF"/>
    <w:rsid w:val="00C810BE"/>
    <w:rsid w:val="00C9747B"/>
    <w:rsid w:val="00CF0E33"/>
    <w:rsid w:val="00CF1E04"/>
    <w:rsid w:val="00CF21B0"/>
    <w:rsid w:val="00D0767B"/>
    <w:rsid w:val="00D224DA"/>
    <w:rsid w:val="00D22C0E"/>
    <w:rsid w:val="00D315D1"/>
    <w:rsid w:val="00D5506B"/>
    <w:rsid w:val="00D55F59"/>
    <w:rsid w:val="00D61A2B"/>
    <w:rsid w:val="00D62CD6"/>
    <w:rsid w:val="00D87DD4"/>
    <w:rsid w:val="00D97796"/>
    <w:rsid w:val="00DA2B7F"/>
    <w:rsid w:val="00DB21AD"/>
    <w:rsid w:val="00DB2633"/>
    <w:rsid w:val="00DB4570"/>
    <w:rsid w:val="00DC5A7B"/>
    <w:rsid w:val="00DF1EF5"/>
    <w:rsid w:val="00E0024A"/>
    <w:rsid w:val="00E0185B"/>
    <w:rsid w:val="00E15632"/>
    <w:rsid w:val="00E23087"/>
    <w:rsid w:val="00E3274F"/>
    <w:rsid w:val="00E53424"/>
    <w:rsid w:val="00E534DD"/>
    <w:rsid w:val="00E54084"/>
    <w:rsid w:val="00E63EAE"/>
    <w:rsid w:val="00E64EB7"/>
    <w:rsid w:val="00E72413"/>
    <w:rsid w:val="00E72EAC"/>
    <w:rsid w:val="00E805D4"/>
    <w:rsid w:val="00E82A1B"/>
    <w:rsid w:val="00E8472D"/>
    <w:rsid w:val="00EA4277"/>
    <w:rsid w:val="00EA78A7"/>
    <w:rsid w:val="00EB4451"/>
    <w:rsid w:val="00EC59AB"/>
    <w:rsid w:val="00ED01C4"/>
    <w:rsid w:val="00ED1EEA"/>
    <w:rsid w:val="00ED6091"/>
    <w:rsid w:val="00EF094C"/>
    <w:rsid w:val="00F10AA9"/>
    <w:rsid w:val="00F26352"/>
    <w:rsid w:val="00F27CF2"/>
    <w:rsid w:val="00F33B28"/>
    <w:rsid w:val="00F36276"/>
    <w:rsid w:val="00F36B56"/>
    <w:rsid w:val="00F377C6"/>
    <w:rsid w:val="00F41822"/>
    <w:rsid w:val="00F422B6"/>
    <w:rsid w:val="00F6347A"/>
    <w:rsid w:val="00F71CBB"/>
    <w:rsid w:val="00F83D35"/>
    <w:rsid w:val="00F849FC"/>
    <w:rsid w:val="00F957BC"/>
    <w:rsid w:val="00FA32E4"/>
    <w:rsid w:val="00FA7D76"/>
    <w:rsid w:val="00FB0A84"/>
    <w:rsid w:val="00FC0633"/>
    <w:rsid w:val="00FD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59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1C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C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1CBB"/>
    <w:rPr>
      <w:vertAlign w:val="superscript"/>
    </w:rPr>
  </w:style>
  <w:style w:type="paragraph" w:styleId="BodyText2">
    <w:name w:val="Body Text 2"/>
    <w:basedOn w:val="Normal"/>
    <w:link w:val="BodyText2Char"/>
    <w:rsid w:val="0040707D"/>
    <w:pPr>
      <w:widowControl w:val="0"/>
      <w:suppressAutoHyphens/>
      <w:spacing w:after="0" w:line="480" w:lineRule="auto"/>
      <w:ind w:left="720" w:hanging="720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0707D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B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DCF"/>
  </w:style>
  <w:style w:type="paragraph" w:styleId="Footer">
    <w:name w:val="footer"/>
    <w:basedOn w:val="Normal"/>
    <w:link w:val="FooterChar"/>
    <w:uiPriority w:val="99"/>
    <w:unhideWhenUsed/>
    <w:rsid w:val="006B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DCF"/>
  </w:style>
  <w:style w:type="character" w:styleId="CommentReference">
    <w:name w:val="annotation reference"/>
    <w:basedOn w:val="DefaultParagraphFont"/>
    <w:uiPriority w:val="99"/>
    <w:semiHidden/>
    <w:unhideWhenUsed/>
    <w:rsid w:val="00431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7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7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7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3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59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1C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C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1CBB"/>
    <w:rPr>
      <w:vertAlign w:val="superscript"/>
    </w:rPr>
  </w:style>
  <w:style w:type="paragraph" w:styleId="BodyText2">
    <w:name w:val="Body Text 2"/>
    <w:basedOn w:val="Normal"/>
    <w:link w:val="BodyText2Char"/>
    <w:rsid w:val="0040707D"/>
    <w:pPr>
      <w:widowControl w:val="0"/>
      <w:suppressAutoHyphens/>
      <w:spacing w:after="0" w:line="480" w:lineRule="auto"/>
      <w:ind w:left="720" w:hanging="720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0707D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B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DCF"/>
  </w:style>
  <w:style w:type="paragraph" w:styleId="Footer">
    <w:name w:val="footer"/>
    <w:basedOn w:val="Normal"/>
    <w:link w:val="FooterChar"/>
    <w:uiPriority w:val="99"/>
    <w:unhideWhenUsed/>
    <w:rsid w:val="006B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DCF"/>
  </w:style>
  <w:style w:type="character" w:styleId="CommentReference">
    <w:name w:val="annotation reference"/>
    <w:basedOn w:val="DefaultParagraphFont"/>
    <w:uiPriority w:val="99"/>
    <w:semiHidden/>
    <w:unhideWhenUsed/>
    <w:rsid w:val="00431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7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7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7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3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elizabeth.watts@duke-energ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y.spiller@duke-energy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DA91-0FF3-4238-B1D2-7DAD8827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2014-04-21T17:37:00Z</dcterms:created>
  <dcterms:modified xsi:type="dcterms:W3CDTF">2014-04-21T18:24:00Z</dcterms:modified>
</cp:coreProperties>
</file>